
<file path=[Content_Types].xml><?xml version="1.0" encoding="utf-8"?>
<Types xmlns="http://schemas.openxmlformats.org/package/2006/content-types">
  <Default Extension="xml" ContentType="application/xml"/>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rPr>
          <w:rFonts w:ascii="宋体" w:hAnsi="宋体"/>
          <w:b/>
          <w:sz w:val="36"/>
          <w:szCs w:val="36"/>
        </w:rPr>
      </w:pPr>
      <w:bookmarkStart w:id="0" w:name="_Toc115057419"/>
      <w:bookmarkStart w:id="1" w:name="_Toc318726366"/>
      <w:bookmarkStart w:id="2" w:name="_Toc320609597"/>
      <w:bookmarkStart w:id="3" w:name="_Toc114996703"/>
      <w:bookmarkStart w:id="4" w:name="_Toc324520659"/>
      <w:bookmarkStart w:id="5" w:name="_Toc319158447"/>
      <w:bookmarkStart w:id="6" w:name="_Toc324522369"/>
      <w:bookmarkStart w:id="7" w:name="_Toc114997573"/>
      <w:bookmarkStart w:id="8" w:name="_Toc324521824"/>
      <w:bookmarkStart w:id="9" w:name="_Toc324521294"/>
      <w:bookmarkStart w:id="10" w:name="_Toc115000247"/>
      <w:bookmarkStart w:id="11" w:name="_Toc319157941"/>
      <w:bookmarkStart w:id="12" w:name="_Toc115839635"/>
      <w:bookmarkStart w:id="13" w:name="_Toc116811271"/>
      <w:bookmarkStart w:id="14" w:name="_Toc152414212"/>
      <w:bookmarkStart w:id="15" w:name="_Toc115840162"/>
      <w:r>
        <w:rPr>
          <w:rFonts w:ascii="宋体" w:hAnsi="宋体"/>
          <w:b/>
          <w:sz w:val="36"/>
          <w:szCs w:val="36"/>
        </w:rPr>
        <w:t>新开发银行贷款</w:t>
      </w:r>
    </w:p>
    <w:p>
      <w:pPr>
        <w:adjustRightInd w:val="0"/>
        <w:spacing w:line="360" w:lineRule="auto"/>
        <w:jc w:val="center"/>
        <w:textAlignment w:val="baseline"/>
        <w:rPr>
          <w:rFonts w:ascii="宋体" w:hAnsi="宋体"/>
          <w:b/>
          <w:sz w:val="36"/>
          <w:szCs w:val="36"/>
        </w:rPr>
      </w:pPr>
      <w:r>
        <w:rPr>
          <w:rFonts w:ascii="宋体" w:hAnsi="宋体"/>
          <w:b/>
          <w:sz w:val="36"/>
          <w:szCs w:val="36"/>
        </w:rPr>
        <w:t>浙江省绿色城镇项目—嵊州市城乡供排水一体化工程（二期）</w:t>
      </w:r>
    </w:p>
    <w:p>
      <w:pPr>
        <w:adjustRightInd w:val="0"/>
        <w:snapToGrid w:val="0"/>
        <w:spacing w:line="360" w:lineRule="auto"/>
        <w:jc w:val="center"/>
        <w:textAlignment w:val="baseline"/>
        <w:rPr>
          <w:rFonts w:ascii="宋体" w:hAnsi="宋体"/>
          <w:b/>
          <w:sz w:val="30"/>
          <w:szCs w:val="30"/>
        </w:rPr>
      </w:pPr>
      <w:r>
        <w:rPr>
          <w:rFonts w:ascii="宋体" w:hAnsi="宋体"/>
          <w:b/>
          <w:sz w:val="30"/>
          <w:szCs w:val="30"/>
        </w:rPr>
        <w:t>贷款编号：19CN01</w:t>
      </w:r>
    </w:p>
    <w:p>
      <w:pPr>
        <w:adjustRightInd w:val="0"/>
        <w:spacing w:line="360" w:lineRule="auto"/>
        <w:jc w:val="center"/>
        <w:textAlignment w:val="baseline"/>
        <w:rPr>
          <w:rFonts w:ascii="宋体" w:hAnsi="宋体"/>
          <w:b/>
          <w:sz w:val="36"/>
          <w:szCs w:val="36"/>
        </w:rPr>
      </w:pPr>
    </w:p>
    <w:p>
      <w:pPr>
        <w:adjustRightInd w:val="0"/>
        <w:snapToGrid w:val="0"/>
        <w:spacing w:line="360" w:lineRule="auto"/>
        <w:jc w:val="center"/>
        <w:textAlignment w:val="baseline"/>
        <w:rPr>
          <w:rFonts w:ascii="宋体" w:hAnsi="宋体"/>
          <w:b/>
          <w:sz w:val="36"/>
          <w:szCs w:val="36"/>
        </w:rPr>
      </w:pPr>
      <w:r>
        <w:rPr>
          <w:rFonts w:hint="eastAsia" w:ascii="宋体" w:hAnsi="宋体"/>
          <w:b/>
          <w:sz w:val="36"/>
          <w:szCs w:val="36"/>
        </w:rPr>
        <w:t>富西水厂及配套管线工程施工、设备供货与安装调试</w:t>
      </w:r>
    </w:p>
    <w:p>
      <w:pPr>
        <w:adjustRightInd w:val="0"/>
        <w:snapToGrid w:val="0"/>
        <w:spacing w:line="360" w:lineRule="auto"/>
        <w:jc w:val="center"/>
        <w:textAlignment w:val="baseline"/>
        <w:rPr>
          <w:rFonts w:ascii="宋体" w:hAnsi="宋体"/>
          <w:b/>
          <w:sz w:val="36"/>
          <w:szCs w:val="36"/>
        </w:rPr>
      </w:pPr>
    </w:p>
    <w:p>
      <w:pPr>
        <w:adjustRightInd w:val="0"/>
        <w:snapToGrid w:val="0"/>
        <w:spacing w:line="360" w:lineRule="auto"/>
        <w:jc w:val="center"/>
        <w:textAlignment w:val="baseline"/>
        <w:rPr>
          <w:rFonts w:ascii="宋体" w:hAnsi="宋体"/>
          <w:b/>
          <w:sz w:val="36"/>
          <w:szCs w:val="36"/>
        </w:rPr>
      </w:pPr>
      <w:r>
        <w:rPr>
          <w:rFonts w:ascii="宋体" w:hAnsi="宋体"/>
          <w:b/>
          <w:sz w:val="30"/>
          <w:szCs w:val="30"/>
        </w:rPr>
        <w:t>招标编号：</w:t>
      </w:r>
      <w:r>
        <w:rPr>
          <w:rFonts w:hint="eastAsia" w:ascii="宋体" w:hAnsi="宋体"/>
          <w:b/>
          <w:sz w:val="30"/>
          <w:szCs w:val="30"/>
        </w:rPr>
        <w:t>0733-22091610</w:t>
      </w:r>
    </w:p>
    <w:p>
      <w:pPr>
        <w:adjustRightInd w:val="0"/>
        <w:snapToGrid w:val="0"/>
        <w:jc w:val="center"/>
        <w:rPr>
          <w:rFonts w:ascii="宋体" w:hAnsi="宋体"/>
          <w:b/>
          <w:sz w:val="36"/>
          <w:szCs w:val="44"/>
        </w:rPr>
      </w:pPr>
      <w:r>
        <w:rPr>
          <w:rFonts w:hint="eastAsia" w:ascii="宋体" w:hAnsi="宋体"/>
          <w:b/>
          <w:sz w:val="36"/>
          <w:szCs w:val="44"/>
        </w:rPr>
        <w:t>合同编号：</w:t>
      </w:r>
      <w:r>
        <w:rPr>
          <w:rFonts w:ascii="宋体" w:hAnsi="宋体"/>
          <w:b/>
          <w:sz w:val="36"/>
          <w:szCs w:val="44"/>
        </w:rPr>
        <w:t>SZ-</w:t>
      </w:r>
      <w:r>
        <w:rPr>
          <w:rFonts w:hint="eastAsia" w:ascii="宋体" w:hAnsi="宋体"/>
          <w:b/>
          <w:sz w:val="36"/>
          <w:szCs w:val="44"/>
        </w:rPr>
        <w:t>CW</w:t>
      </w:r>
      <w:r>
        <w:rPr>
          <w:rFonts w:ascii="宋体" w:hAnsi="宋体"/>
          <w:b/>
          <w:sz w:val="36"/>
          <w:szCs w:val="44"/>
        </w:rPr>
        <w:t>-</w:t>
      </w:r>
      <w:r>
        <w:rPr>
          <w:rFonts w:hint="eastAsia" w:ascii="宋体" w:hAnsi="宋体"/>
          <w:b/>
          <w:sz w:val="36"/>
          <w:szCs w:val="44"/>
        </w:rPr>
        <w:t>3</w:t>
      </w:r>
    </w:p>
    <w:p>
      <w:pPr>
        <w:spacing w:line="480" w:lineRule="auto"/>
        <w:jc w:val="center"/>
        <w:rPr>
          <w:rFonts w:ascii="宋体" w:hAnsi="宋体"/>
          <w:b/>
          <w:sz w:val="72"/>
          <w:szCs w:val="72"/>
        </w:rPr>
      </w:pPr>
    </w:p>
    <w:p>
      <w:pPr>
        <w:adjustRightInd w:val="0"/>
        <w:snapToGrid w:val="0"/>
        <w:spacing w:before="407" w:beforeLines="100" w:after="407" w:afterLines="100"/>
        <w:jc w:val="center"/>
        <w:rPr>
          <w:rFonts w:ascii="宋体" w:hAnsi="宋体"/>
          <w:b/>
          <w:sz w:val="52"/>
          <w:szCs w:val="52"/>
        </w:rPr>
      </w:pPr>
      <w:r>
        <w:rPr>
          <w:rFonts w:hint="eastAsia" w:ascii="宋体" w:hAnsi="宋体"/>
          <w:b/>
          <w:sz w:val="52"/>
          <w:szCs w:val="52"/>
        </w:rPr>
        <w:t>第二册：技术规范</w:t>
      </w:r>
    </w:p>
    <w:p>
      <w:pPr>
        <w:spacing w:line="480" w:lineRule="auto"/>
        <w:jc w:val="center"/>
        <w:rPr>
          <w:rFonts w:ascii="宋体" w:hAnsi="宋体"/>
          <w:b/>
          <w:sz w:val="36"/>
          <w:szCs w:val="44"/>
        </w:rPr>
      </w:pPr>
    </w:p>
    <w:p>
      <w:pPr>
        <w:spacing w:line="480" w:lineRule="auto"/>
        <w:jc w:val="center"/>
        <w:rPr>
          <w:rFonts w:ascii="宋体" w:hAnsi="宋体"/>
          <w:b/>
          <w:sz w:val="36"/>
          <w:szCs w:val="36"/>
        </w:rPr>
      </w:pPr>
      <w:r>
        <w:rPr>
          <w:rFonts w:hint="eastAsia" w:ascii="宋体" w:hAnsi="宋体"/>
          <w:b/>
          <w:sz w:val="36"/>
          <w:szCs w:val="36"/>
        </w:rPr>
        <w:t>招标人：嵊州市水务集团有限公司</w:t>
      </w:r>
    </w:p>
    <w:p>
      <w:pPr>
        <w:spacing w:line="480" w:lineRule="auto"/>
        <w:jc w:val="center"/>
        <w:rPr>
          <w:rFonts w:ascii="宋体" w:hAnsi="宋体"/>
          <w:b/>
          <w:sz w:val="36"/>
          <w:szCs w:val="36"/>
        </w:rPr>
      </w:pPr>
      <w:r>
        <w:rPr>
          <w:rFonts w:hint="eastAsia" w:ascii="宋体" w:hAnsi="宋体"/>
          <w:b/>
          <w:sz w:val="36"/>
          <w:szCs w:val="36"/>
        </w:rPr>
        <w:t>招标代理：中信国际招标有限公司</w:t>
      </w:r>
    </w:p>
    <w:p>
      <w:pPr>
        <w:spacing w:line="480" w:lineRule="auto"/>
        <w:jc w:val="center"/>
        <w:rPr>
          <w:rFonts w:ascii="宋体" w:hAnsi="宋体"/>
          <w:b/>
          <w:sz w:val="36"/>
          <w:szCs w:val="44"/>
        </w:rPr>
        <w:sectPr>
          <w:headerReference r:id="rId3" w:type="default"/>
          <w:footerReference r:id="rId4" w:type="default"/>
          <w:pgSz w:w="11906" w:h="16838"/>
          <w:pgMar w:top="1701" w:right="1701" w:bottom="1701" w:left="1701" w:header="1134" w:footer="1134" w:gutter="0"/>
          <w:pgNumType w:fmt="lowerRoman" w:start="1"/>
          <w:cols w:space="425" w:num="1"/>
          <w:titlePg/>
          <w:docGrid w:type="linesAndChars" w:linePitch="407" w:charSpace="2072"/>
        </w:sectPr>
      </w:pPr>
      <w:r>
        <w:rPr>
          <w:rFonts w:hint="eastAsia" w:ascii="宋体" w:hAnsi="宋体"/>
          <w:b/>
          <w:sz w:val="36"/>
          <w:szCs w:val="44"/>
        </w:rPr>
        <w:t>2</w:t>
      </w:r>
      <w:r>
        <w:rPr>
          <w:rFonts w:ascii="宋体" w:hAnsi="宋体"/>
          <w:b/>
          <w:sz w:val="36"/>
          <w:szCs w:val="44"/>
        </w:rPr>
        <w:t>022</w:t>
      </w:r>
      <w:r>
        <w:rPr>
          <w:rFonts w:hint="eastAsia" w:ascii="宋体" w:hAnsi="宋体"/>
          <w:b/>
          <w:sz w:val="36"/>
          <w:szCs w:val="44"/>
        </w:rPr>
        <w:t>年</w:t>
      </w:r>
      <w:r>
        <w:rPr>
          <w:rFonts w:hint="eastAsia" w:ascii="宋体" w:hAnsi="宋体"/>
          <w:b/>
          <w:sz w:val="36"/>
          <w:szCs w:val="44"/>
          <w:lang w:val="en-US" w:eastAsia="zh-CN"/>
        </w:rPr>
        <w:t>7</w:t>
      </w:r>
      <w:r>
        <w:rPr>
          <w:rFonts w:hint="eastAsia" w:ascii="宋体" w:hAnsi="宋体"/>
          <w:b/>
          <w:sz w:val="36"/>
          <w:szCs w:val="44"/>
        </w:rPr>
        <w:t>月</w:t>
      </w:r>
    </w:p>
    <w:p>
      <w:pPr>
        <w:spacing w:line="480" w:lineRule="auto"/>
        <w:jc w:val="center"/>
        <w:rPr>
          <w:rFonts w:ascii="宋体" w:hAnsi="宋体"/>
          <w:b/>
          <w:sz w:val="36"/>
          <w:szCs w:val="44"/>
          <w:lang w:val="en-CA"/>
        </w:rPr>
      </w:pPr>
      <w:bookmarkStart w:id="16" w:name="_Hlk80860116"/>
      <w:r>
        <w:rPr>
          <w:rFonts w:ascii="宋体" w:hAnsi="宋体"/>
          <w:b/>
          <w:sz w:val="36"/>
          <w:szCs w:val="44"/>
        </w:rPr>
        <w:t>目录</w:t>
      </w:r>
    </w:p>
    <w:p>
      <w:pPr>
        <w:pStyle w:val="50"/>
        <w:tabs>
          <w:tab w:val="right" w:leader="dot" w:pos="8494"/>
        </w:tabs>
        <w:rPr>
          <w:rFonts w:ascii="宋体" w:hAnsi="宋体" w:cstheme="minorBidi"/>
          <w:b w:val="0"/>
          <w:bCs w:val="0"/>
          <w:caps w:val="0"/>
          <w:sz w:val="21"/>
          <w:szCs w:val="22"/>
        </w:rPr>
      </w:pPr>
      <w:bookmarkStart w:id="17" w:name="_Hlk80860990"/>
      <w:r>
        <w:rPr>
          <w:rFonts w:ascii="宋体" w:hAnsi="宋体"/>
          <w:b w:val="0"/>
          <w:bCs w:val="0"/>
          <w:szCs w:val="24"/>
        </w:rPr>
        <w:fldChar w:fldCharType="begin"/>
      </w:r>
      <w:r>
        <w:rPr>
          <w:rFonts w:ascii="宋体" w:hAnsi="宋体"/>
          <w:szCs w:val="24"/>
        </w:rPr>
        <w:instrText xml:space="preserve"> TOC \o "1-3" \h \z \u </w:instrText>
      </w:r>
      <w:r>
        <w:rPr>
          <w:rFonts w:ascii="宋体" w:hAnsi="宋体"/>
          <w:b w:val="0"/>
          <w:bCs w:val="0"/>
          <w:szCs w:val="24"/>
        </w:rPr>
        <w:fldChar w:fldCharType="separate"/>
      </w:r>
      <w:r>
        <w:fldChar w:fldCharType="begin"/>
      </w:r>
      <w:r>
        <w:instrText xml:space="preserve"> HYPERLINK \l "_Toc106882943" </w:instrText>
      </w:r>
      <w:r>
        <w:fldChar w:fldCharType="separate"/>
      </w:r>
      <w:r>
        <w:rPr>
          <w:rStyle w:val="85"/>
          <w:rFonts w:ascii="宋体" w:hAnsi="宋体"/>
        </w:rPr>
        <w:t>1 一般要求</w:t>
      </w:r>
      <w:r>
        <w:rPr>
          <w:rFonts w:ascii="宋体" w:hAnsi="宋体"/>
        </w:rPr>
        <w:tab/>
      </w:r>
      <w:r>
        <w:rPr>
          <w:rFonts w:ascii="宋体" w:hAnsi="宋体"/>
        </w:rPr>
        <w:fldChar w:fldCharType="begin"/>
      </w:r>
      <w:r>
        <w:rPr>
          <w:rFonts w:ascii="宋体" w:hAnsi="宋体"/>
        </w:rPr>
        <w:instrText xml:space="preserve"> PAGEREF _Toc106882943 \h </w:instrText>
      </w:r>
      <w:r>
        <w:rPr>
          <w:rFonts w:ascii="宋体" w:hAnsi="宋体"/>
        </w:rPr>
        <w:fldChar w:fldCharType="separate"/>
      </w:r>
      <w:r>
        <w:rPr>
          <w:rFonts w:ascii="宋体" w:hAnsi="宋体"/>
        </w:rPr>
        <w:t>1</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"_Toc106882944" </w:instrText>
      </w:r>
      <w:r>
        <w:fldChar w:fldCharType="separate"/>
      </w:r>
      <w:r>
        <w:rPr>
          <w:rStyle w:val="85"/>
          <w:rFonts w:ascii="宋体" w:hAnsi="宋体"/>
        </w:rPr>
        <w:t>1.1 合同中所提供服务的内容</w:t>
      </w:r>
      <w:r>
        <w:rPr>
          <w:rStyle w:val="85"/>
          <w:rFonts w:ascii="宋体" w:hAnsi="宋体"/>
        </w:rPr>
        <w:tab/>
      </w:r>
      <w:r>
        <w:rPr>
          <w:rStyle w:val="85"/>
          <w:rFonts w:ascii="宋体" w:hAnsi="宋体"/>
        </w:rPr>
        <w:fldChar w:fldCharType="begin"/>
      </w:r>
      <w:r>
        <w:rPr>
          <w:rStyle w:val="85"/>
          <w:rFonts w:ascii="宋体" w:hAnsi="宋体"/>
        </w:rPr>
        <w:instrText xml:space="preserve"> PAGEREF _Toc106882944 \h </w:instrText>
      </w:r>
      <w:r>
        <w:rPr>
          <w:rStyle w:val="85"/>
          <w:rFonts w:ascii="宋体" w:hAnsi="宋体"/>
        </w:rPr>
        <w:fldChar w:fldCharType="separate"/>
      </w:r>
      <w:r>
        <w:rPr>
          <w:rStyle w:val="85"/>
          <w:rFonts w:ascii="宋体" w:hAnsi="宋体"/>
        </w:rPr>
        <w:t>1</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"_Toc106882945" </w:instrText>
      </w:r>
      <w:r>
        <w:fldChar w:fldCharType="separate"/>
      </w:r>
      <w:r>
        <w:rPr>
          <w:rStyle w:val="85"/>
          <w:rFonts w:ascii="宋体" w:hAnsi="宋体"/>
        </w:rPr>
        <w:t>1.2 项目合同描述</w:t>
      </w:r>
      <w:r>
        <w:rPr>
          <w:rStyle w:val="85"/>
          <w:rFonts w:ascii="宋体" w:hAnsi="宋体"/>
        </w:rPr>
        <w:tab/>
      </w:r>
      <w:r>
        <w:rPr>
          <w:rStyle w:val="85"/>
          <w:rFonts w:ascii="宋体" w:hAnsi="宋体"/>
        </w:rPr>
        <w:fldChar w:fldCharType="begin"/>
      </w:r>
      <w:r>
        <w:rPr>
          <w:rStyle w:val="85"/>
          <w:rFonts w:ascii="宋体" w:hAnsi="宋体"/>
        </w:rPr>
        <w:instrText xml:space="preserve"> PAGEREF _Toc106882945 \h </w:instrText>
      </w:r>
      <w:r>
        <w:rPr>
          <w:rStyle w:val="85"/>
          <w:rFonts w:ascii="宋体" w:hAnsi="宋体"/>
        </w:rPr>
        <w:fldChar w:fldCharType="separate"/>
      </w:r>
      <w:r>
        <w:rPr>
          <w:rStyle w:val="85"/>
          <w:rFonts w:ascii="宋体" w:hAnsi="宋体"/>
        </w:rPr>
        <w:t>1</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"_Toc106882946" </w:instrText>
      </w:r>
      <w:r>
        <w:fldChar w:fldCharType="separate"/>
      </w:r>
      <w:r>
        <w:rPr>
          <w:rStyle w:val="85"/>
          <w:rFonts w:ascii="宋体" w:hAnsi="宋体"/>
        </w:rPr>
        <w:t>1.3 现场</w:t>
      </w:r>
      <w:r>
        <w:rPr>
          <w:rStyle w:val="85"/>
          <w:rFonts w:ascii="宋体" w:hAnsi="宋体"/>
        </w:rPr>
        <w:tab/>
      </w:r>
      <w:r>
        <w:rPr>
          <w:rStyle w:val="85"/>
          <w:rFonts w:ascii="宋体" w:hAnsi="宋体"/>
        </w:rPr>
        <w:fldChar w:fldCharType="begin"/>
      </w:r>
      <w:r>
        <w:rPr>
          <w:rStyle w:val="85"/>
          <w:rFonts w:ascii="宋体" w:hAnsi="宋体"/>
        </w:rPr>
        <w:instrText xml:space="preserve"> PAGEREF _Toc106882946 \h </w:instrText>
      </w:r>
      <w:r>
        <w:rPr>
          <w:rStyle w:val="85"/>
          <w:rFonts w:ascii="宋体" w:hAnsi="宋体"/>
        </w:rPr>
        <w:fldChar w:fldCharType="separate"/>
      </w:r>
      <w:r>
        <w:rPr>
          <w:rStyle w:val="85"/>
          <w:rFonts w:ascii="宋体" w:hAnsi="宋体"/>
        </w:rPr>
        <w:t>1</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"_Toc106882947" </w:instrText>
      </w:r>
      <w:r>
        <w:fldChar w:fldCharType="separate"/>
      </w:r>
      <w:r>
        <w:rPr>
          <w:rStyle w:val="85"/>
          <w:rFonts w:ascii="宋体" w:hAnsi="宋体"/>
        </w:rPr>
        <w:t>1.4 标准和定义</w:t>
      </w:r>
      <w:r>
        <w:rPr>
          <w:rStyle w:val="85"/>
          <w:rFonts w:ascii="宋体" w:hAnsi="宋体"/>
        </w:rPr>
        <w:tab/>
      </w:r>
      <w:r>
        <w:rPr>
          <w:rStyle w:val="85"/>
          <w:rFonts w:ascii="宋体" w:hAnsi="宋体"/>
        </w:rPr>
        <w:fldChar w:fldCharType="begin"/>
      </w:r>
      <w:r>
        <w:rPr>
          <w:rStyle w:val="85"/>
          <w:rFonts w:ascii="宋体" w:hAnsi="宋体"/>
        </w:rPr>
        <w:instrText xml:space="preserve"> PAGEREF _Toc106882947 \h </w:instrText>
      </w:r>
      <w:r>
        <w:rPr>
          <w:rStyle w:val="85"/>
          <w:rFonts w:ascii="宋体" w:hAnsi="宋体"/>
        </w:rPr>
        <w:fldChar w:fldCharType="separate"/>
      </w:r>
      <w:r>
        <w:rPr>
          <w:rStyle w:val="85"/>
          <w:rFonts w:ascii="宋体" w:hAnsi="宋体"/>
        </w:rPr>
        <w:t>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"_Toc106882948" </w:instrText>
      </w:r>
      <w:r>
        <w:fldChar w:fldCharType="separate"/>
      </w:r>
      <w:r>
        <w:rPr>
          <w:rStyle w:val="85"/>
          <w:rFonts w:ascii="宋体" w:hAnsi="宋体"/>
          <w:bCs/>
        </w:rPr>
        <w:t>1.4.1 标准缩写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_Toc106882948 \h </w:instrText>
      </w:r>
      <w:r>
        <w:rPr>
          <w:rStyle w:val="85"/>
          <w:rFonts w:ascii="宋体" w:hAnsi="宋体"/>
          <w:bCs/>
        </w:rPr>
        <w:fldChar w:fldCharType="separate"/>
      </w:r>
      <w:r>
        <w:rPr>
          <w:rStyle w:val="85"/>
          <w:rFonts w:ascii="宋体" w:hAnsi="宋体"/>
          <w:bCs/>
        </w:rPr>
        <w:t>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"_Toc106882949" </w:instrText>
      </w:r>
      <w:r>
        <w:fldChar w:fldCharType="separate"/>
      </w:r>
      <w:r>
        <w:rPr>
          <w:rStyle w:val="85"/>
          <w:rFonts w:ascii="宋体" w:hAnsi="宋体"/>
          <w:bCs/>
        </w:rPr>
        <w:t>1.4.2 使用标准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_Toc106882949 \h </w:instrText>
      </w:r>
      <w:r>
        <w:rPr>
          <w:rStyle w:val="85"/>
          <w:rFonts w:ascii="宋体" w:hAnsi="宋体"/>
          <w:bCs/>
        </w:rPr>
        <w:fldChar w:fldCharType="separate"/>
      </w:r>
      <w:r>
        <w:rPr>
          <w:rStyle w:val="85"/>
          <w:rFonts w:ascii="宋体" w:hAnsi="宋体"/>
          <w:bCs/>
        </w:rPr>
        <w:t>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"_Toc106882950" </w:instrText>
      </w:r>
      <w:r>
        <w:fldChar w:fldCharType="separate"/>
      </w:r>
      <w:r>
        <w:rPr>
          <w:rStyle w:val="85"/>
          <w:rFonts w:ascii="宋体" w:hAnsi="宋体"/>
          <w:bCs/>
        </w:rPr>
        <w:t>1.4.3 替代标准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_Toc106882950 \h </w:instrText>
      </w:r>
      <w:r>
        <w:rPr>
          <w:rStyle w:val="85"/>
          <w:rFonts w:ascii="宋体" w:hAnsi="宋体"/>
          <w:bCs/>
        </w:rPr>
        <w:fldChar w:fldCharType="separate"/>
      </w:r>
      <w:r>
        <w:rPr>
          <w:rStyle w:val="85"/>
          <w:rFonts w:ascii="宋体" w:hAnsi="宋体"/>
          <w:bCs/>
        </w:rPr>
        <w:t>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"_Toc106882951" </w:instrText>
      </w:r>
      <w:r>
        <w:fldChar w:fldCharType="separate"/>
      </w:r>
      <w:r>
        <w:rPr>
          <w:rStyle w:val="85"/>
          <w:rFonts w:ascii="宋体" w:hAnsi="宋体"/>
          <w:bCs/>
        </w:rPr>
        <w:t>1.4.4 可适用的版本</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_Toc106882951 \h </w:instrText>
      </w:r>
      <w:r>
        <w:rPr>
          <w:rStyle w:val="85"/>
          <w:rFonts w:ascii="宋体" w:hAnsi="宋体"/>
          <w:bCs/>
        </w:rPr>
        <w:fldChar w:fldCharType="separate"/>
      </w:r>
      <w:r>
        <w:rPr>
          <w:rStyle w:val="85"/>
          <w:rFonts w:ascii="宋体" w:hAnsi="宋体"/>
          <w:bCs/>
        </w:rPr>
        <w:t>2</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"_Toc106882952" </w:instrText>
      </w:r>
      <w:r>
        <w:fldChar w:fldCharType="separate"/>
      </w:r>
      <w:r>
        <w:rPr>
          <w:rStyle w:val="85"/>
          <w:rFonts w:ascii="宋体" w:hAnsi="宋体"/>
        </w:rPr>
        <w:t>1.5 地点和自然条件</w:t>
      </w:r>
      <w:r>
        <w:rPr>
          <w:rStyle w:val="85"/>
          <w:rFonts w:ascii="宋体" w:hAnsi="宋体"/>
        </w:rPr>
        <w:tab/>
      </w:r>
      <w:r>
        <w:rPr>
          <w:rStyle w:val="85"/>
          <w:rFonts w:ascii="宋体" w:hAnsi="宋体"/>
        </w:rPr>
        <w:fldChar w:fldCharType="begin"/>
      </w:r>
      <w:r>
        <w:rPr>
          <w:rStyle w:val="85"/>
          <w:rFonts w:ascii="宋体" w:hAnsi="宋体"/>
        </w:rPr>
        <w:instrText xml:space="preserve"> PAGEREF _Toc106882952 \h </w:instrText>
      </w:r>
      <w:r>
        <w:rPr>
          <w:rStyle w:val="85"/>
          <w:rFonts w:ascii="宋体" w:hAnsi="宋体"/>
        </w:rPr>
        <w:fldChar w:fldCharType="separate"/>
      </w:r>
      <w:r>
        <w:rPr>
          <w:rStyle w:val="85"/>
          <w:rFonts w:ascii="宋体" w:hAnsi="宋体"/>
        </w:rPr>
        <w:t>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"_Toc106882953" </w:instrText>
      </w:r>
      <w:r>
        <w:fldChar w:fldCharType="separate"/>
      </w:r>
      <w:r>
        <w:rPr>
          <w:rStyle w:val="85"/>
          <w:rFonts w:ascii="宋体" w:hAnsi="宋体"/>
          <w:bCs/>
        </w:rPr>
        <w:t>1.5.1 地点</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_Toc106882953 \h </w:instrText>
      </w:r>
      <w:r>
        <w:rPr>
          <w:rStyle w:val="85"/>
          <w:rFonts w:ascii="宋体" w:hAnsi="宋体"/>
          <w:bCs/>
        </w:rPr>
        <w:fldChar w:fldCharType="separate"/>
      </w:r>
      <w:r>
        <w:rPr>
          <w:rStyle w:val="85"/>
          <w:rFonts w:ascii="宋体" w:hAnsi="宋体"/>
          <w:bCs/>
        </w:rPr>
        <w:t>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"_Toc106882954" </w:instrText>
      </w:r>
      <w:r>
        <w:fldChar w:fldCharType="separate"/>
      </w:r>
      <w:r>
        <w:rPr>
          <w:rStyle w:val="85"/>
          <w:rFonts w:ascii="宋体" w:hAnsi="宋体"/>
          <w:bCs/>
        </w:rPr>
        <w:t>1.5.2 地形地貌</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_Toc106882954 \h </w:instrText>
      </w:r>
      <w:r>
        <w:rPr>
          <w:rStyle w:val="85"/>
          <w:rFonts w:ascii="宋体" w:hAnsi="宋体"/>
          <w:bCs/>
        </w:rPr>
        <w:fldChar w:fldCharType="separate"/>
      </w:r>
      <w:r>
        <w:rPr>
          <w:rStyle w:val="85"/>
          <w:rFonts w:ascii="宋体" w:hAnsi="宋体"/>
          <w:bCs/>
        </w:rPr>
        <w:t>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"_Toc106882955" </w:instrText>
      </w:r>
      <w:r>
        <w:fldChar w:fldCharType="separate"/>
      </w:r>
      <w:r>
        <w:rPr>
          <w:rStyle w:val="85"/>
          <w:rFonts w:ascii="宋体" w:hAnsi="宋体"/>
          <w:bCs/>
        </w:rPr>
        <w:t>1.5.3 气候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_Toc106882955 \h </w:instrText>
      </w:r>
      <w:r>
        <w:rPr>
          <w:rStyle w:val="85"/>
          <w:rFonts w:ascii="宋体" w:hAnsi="宋体"/>
          <w:bCs/>
        </w:rPr>
        <w:fldChar w:fldCharType="separate"/>
      </w:r>
      <w:r>
        <w:rPr>
          <w:rStyle w:val="85"/>
          <w:rFonts w:ascii="宋体" w:hAnsi="宋体"/>
          <w:bCs/>
        </w:rPr>
        <w:t>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"_Toc106882956" </w:instrText>
      </w:r>
      <w:r>
        <w:fldChar w:fldCharType="separate"/>
      </w:r>
      <w:r>
        <w:rPr>
          <w:rStyle w:val="85"/>
          <w:rFonts w:ascii="宋体" w:hAnsi="宋体"/>
          <w:bCs/>
        </w:rPr>
        <w:t>1.5.4 坐标系及高程系</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_Toc106882956 \h </w:instrText>
      </w:r>
      <w:r>
        <w:rPr>
          <w:rStyle w:val="85"/>
          <w:rFonts w:ascii="宋体" w:hAnsi="宋体"/>
          <w:bCs/>
        </w:rPr>
        <w:fldChar w:fldCharType="separate"/>
      </w:r>
      <w:r>
        <w:rPr>
          <w:rStyle w:val="85"/>
          <w:rFonts w:ascii="宋体" w:hAnsi="宋体"/>
          <w:bCs/>
        </w:rPr>
        <w:t>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"_Toc106882957" </w:instrText>
      </w:r>
      <w:r>
        <w:fldChar w:fldCharType="separate"/>
      </w:r>
      <w:r>
        <w:rPr>
          <w:rStyle w:val="85"/>
          <w:rFonts w:ascii="宋体" w:hAnsi="宋体"/>
          <w:bCs/>
        </w:rPr>
        <w:t>1.5.5 工程地质和水文地质</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_Toc106882957 \h </w:instrText>
      </w:r>
      <w:r>
        <w:rPr>
          <w:rStyle w:val="85"/>
          <w:rFonts w:ascii="宋体" w:hAnsi="宋体"/>
          <w:bCs/>
        </w:rPr>
        <w:fldChar w:fldCharType="separate"/>
      </w:r>
      <w:r>
        <w:rPr>
          <w:rStyle w:val="85"/>
          <w:rFonts w:ascii="宋体" w:hAnsi="宋体"/>
          <w:bCs/>
        </w:rPr>
        <w:t>4</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"_Toc106882958" </w:instrText>
      </w:r>
      <w:r>
        <w:fldChar w:fldCharType="separate"/>
      </w:r>
      <w:r>
        <w:rPr>
          <w:rStyle w:val="85"/>
          <w:rFonts w:ascii="宋体" w:hAnsi="宋体"/>
        </w:rPr>
        <w:t>1.6 现场施工</w:t>
      </w:r>
      <w:r>
        <w:rPr>
          <w:rStyle w:val="85"/>
          <w:rFonts w:ascii="宋体" w:hAnsi="宋体"/>
        </w:rPr>
        <w:tab/>
      </w:r>
      <w:r>
        <w:rPr>
          <w:rStyle w:val="85"/>
          <w:rFonts w:ascii="宋体" w:hAnsi="宋体"/>
        </w:rPr>
        <w:fldChar w:fldCharType="begin"/>
      </w:r>
      <w:r>
        <w:rPr>
          <w:rStyle w:val="85"/>
          <w:rFonts w:ascii="宋体" w:hAnsi="宋体"/>
        </w:rPr>
        <w:instrText xml:space="preserve"> PAGEREF _Toc106882958 \h </w:instrText>
      </w:r>
      <w:r>
        <w:rPr>
          <w:rStyle w:val="85"/>
          <w:rFonts w:ascii="宋体" w:hAnsi="宋体"/>
        </w:rPr>
        <w:fldChar w:fldCharType="separate"/>
      </w:r>
      <w:r>
        <w:rPr>
          <w:rStyle w:val="85"/>
          <w:rFonts w:ascii="宋体" w:hAnsi="宋体"/>
        </w:rPr>
        <w:t>4</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"_Toc106882959" </w:instrText>
      </w:r>
      <w:r>
        <w:fldChar w:fldCharType="separate"/>
      </w:r>
      <w:r>
        <w:rPr>
          <w:rStyle w:val="85"/>
          <w:rFonts w:ascii="宋体" w:hAnsi="宋体"/>
          <w:bCs/>
        </w:rPr>
        <w:t>1.6.1 现场、现场道路和通道</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_Toc106882959 \h </w:instrText>
      </w:r>
      <w:r>
        <w:rPr>
          <w:rStyle w:val="85"/>
          <w:rFonts w:ascii="宋体" w:hAnsi="宋体"/>
          <w:bCs/>
        </w:rPr>
        <w:fldChar w:fldCharType="separate"/>
      </w:r>
      <w:r>
        <w:rPr>
          <w:rStyle w:val="85"/>
          <w:rFonts w:ascii="宋体" w:hAnsi="宋体"/>
          <w:bCs/>
        </w:rPr>
        <w:t>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"_Toc106882960" </w:instrText>
      </w:r>
      <w:r>
        <w:fldChar w:fldCharType="separate"/>
      </w:r>
      <w:r>
        <w:rPr>
          <w:rStyle w:val="85"/>
          <w:rFonts w:ascii="宋体" w:hAnsi="宋体"/>
          <w:bCs/>
        </w:rPr>
        <w:t>1.6.2 现场外的场地</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_Toc106882960 \h </w:instrText>
      </w:r>
      <w:r>
        <w:rPr>
          <w:rStyle w:val="85"/>
          <w:rFonts w:ascii="宋体" w:hAnsi="宋体"/>
          <w:bCs/>
        </w:rPr>
        <w:fldChar w:fldCharType="separate"/>
      </w:r>
      <w:r>
        <w:rPr>
          <w:rStyle w:val="85"/>
          <w:rFonts w:ascii="宋体" w:hAnsi="宋体"/>
          <w:bCs/>
        </w:rPr>
        <w:t>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"_Toc106882961" </w:instrText>
      </w:r>
      <w:r>
        <w:fldChar w:fldCharType="separate"/>
      </w:r>
      <w:r>
        <w:rPr>
          <w:rStyle w:val="85"/>
          <w:rFonts w:ascii="宋体" w:hAnsi="宋体"/>
          <w:bCs/>
        </w:rPr>
        <w:t>1.6.3 现场外的工程</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_Toc106882961 \h </w:instrText>
      </w:r>
      <w:r>
        <w:rPr>
          <w:rStyle w:val="85"/>
          <w:rFonts w:ascii="宋体" w:hAnsi="宋体"/>
          <w:bCs/>
        </w:rPr>
        <w:fldChar w:fldCharType="separate"/>
      </w:r>
      <w:r>
        <w:rPr>
          <w:rStyle w:val="85"/>
          <w:rFonts w:ascii="宋体" w:hAnsi="宋体"/>
          <w:bCs/>
        </w:rPr>
        <w:t>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"_Toc106882962" </w:instrText>
      </w:r>
      <w:r>
        <w:fldChar w:fldCharType="separate"/>
      </w:r>
      <w:r>
        <w:rPr>
          <w:rStyle w:val="85"/>
          <w:rFonts w:ascii="宋体" w:hAnsi="宋体"/>
          <w:bCs/>
        </w:rPr>
        <w:t>1.6.4 公用道路上的工程</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_Toc106882962 \h </w:instrText>
      </w:r>
      <w:r>
        <w:rPr>
          <w:rStyle w:val="85"/>
          <w:rFonts w:ascii="宋体" w:hAnsi="宋体"/>
          <w:bCs/>
        </w:rPr>
        <w:fldChar w:fldCharType="separate"/>
      </w:r>
      <w:r>
        <w:rPr>
          <w:rStyle w:val="85"/>
          <w:rFonts w:ascii="宋体" w:hAnsi="宋体"/>
          <w:bCs/>
        </w:rPr>
        <w:t>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"_Toc106882963" </w:instrText>
      </w:r>
      <w:r>
        <w:fldChar w:fldCharType="separate"/>
      </w:r>
      <w:r>
        <w:rPr>
          <w:rStyle w:val="85"/>
          <w:rFonts w:ascii="宋体" w:hAnsi="宋体"/>
          <w:bCs/>
        </w:rPr>
        <w:t>1.6.5 环境保护</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_Toc106882963 \h </w:instrText>
      </w:r>
      <w:r>
        <w:rPr>
          <w:rStyle w:val="85"/>
          <w:rFonts w:ascii="宋体" w:hAnsi="宋体"/>
          <w:bCs/>
        </w:rPr>
        <w:fldChar w:fldCharType="separate"/>
      </w:r>
      <w:r>
        <w:rPr>
          <w:rStyle w:val="85"/>
          <w:rFonts w:ascii="宋体" w:hAnsi="宋体"/>
          <w:bCs/>
        </w:rPr>
        <w:t>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"_Toc106882964" </w:instrText>
      </w:r>
      <w:r>
        <w:fldChar w:fldCharType="separate"/>
      </w:r>
      <w:r>
        <w:rPr>
          <w:rStyle w:val="85"/>
          <w:rFonts w:ascii="宋体" w:hAnsi="宋体"/>
          <w:bCs/>
        </w:rPr>
        <w:t>1.6.6 邻近社会单位的通道</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_Toc106882964 \h </w:instrText>
      </w:r>
      <w:r>
        <w:rPr>
          <w:rStyle w:val="85"/>
          <w:rFonts w:ascii="宋体" w:hAnsi="宋体"/>
          <w:bCs/>
        </w:rPr>
        <w:fldChar w:fldCharType="separate"/>
      </w:r>
      <w:r>
        <w:rPr>
          <w:rStyle w:val="85"/>
          <w:rFonts w:ascii="宋体" w:hAnsi="宋体"/>
          <w:bCs/>
        </w:rPr>
        <w:t>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"_Toc106882965" </w:instrText>
      </w:r>
      <w:r>
        <w:fldChar w:fldCharType="separate"/>
      </w:r>
      <w:r>
        <w:rPr>
          <w:rStyle w:val="85"/>
          <w:rFonts w:ascii="宋体" w:hAnsi="宋体"/>
          <w:bCs/>
        </w:rPr>
        <w:t>1.6.7 现场的复原</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_Toc106882965 \h </w:instrText>
      </w:r>
      <w:r>
        <w:rPr>
          <w:rStyle w:val="85"/>
          <w:rFonts w:ascii="宋体" w:hAnsi="宋体"/>
          <w:bCs/>
        </w:rPr>
        <w:fldChar w:fldCharType="separate"/>
      </w:r>
      <w:r>
        <w:rPr>
          <w:rStyle w:val="85"/>
          <w:rFonts w:ascii="宋体" w:hAnsi="宋体"/>
          <w:bCs/>
        </w:rPr>
        <w:t>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"_Toc106882966" </w:instrText>
      </w:r>
      <w:r>
        <w:fldChar w:fldCharType="separate"/>
      </w:r>
      <w:r>
        <w:rPr>
          <w:rStyle w:val="85"/>
          <w:rFonts w:ascii="宋体" w:hAnsi="宋体"/>
          <w:bCs/>
        </w:rPr>
        <w:t>1.6.8 施工设施和临时性设施</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_Toc106882966 \h </w:instrText>
      </w:r>
      <w:r>
        <w:rPr>
          <w:rStyle w:val="85"/>
          <w:rFonts w:ascii="宋体" w:hAnsi="宋体"/>
          <w:bCs/>
        </w:rPr>
        <w:fldChar w:fldCharType="separate"/>
      </w:r>
      <w:r>
        <w:rPr>
          <w:rStyle w:val="85"/>
          <w:rFonts w:ascii="宋体" w:hAnsi="宋体"/>
          <w:bCs/>
        </w:rPr>
        <w:t>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"_Toc106882967" </w:instrText>
      </w:r>
      <w:r>
        <w:fldChar w:fldCharType="separate"/>
      </w:r>
      <w:r>
        <w:rPr>
          <w:rStyle w:val="85"/>
          <w:rFonts w:ascii="宋体" w:hAnsi="宋体"/>
          <w:bCs/>
        </w:rPr>
        <w:t>1.6.9 现有设施和构筑物</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_Toc106882967 \h </w:instrText>
      </w:r>
      <w:r>
        <w:rPr>
          <w:rStyle w:val="85"/>
          <w:rFonts w:ascii="宋体" w:hAnsi="宋体"/>
          <w:bCs/>
        </w:rPr>
        <w:fldChar w:fldCharType="separate"/>
      </w:r>
      <w:r>
        <w:rPr>
          <w:rStyle w:val="85"/>
          <w:rFonts w:ascii="宋体" w:hAnsi="宋体"/>
          <w:bCs/>
        </w:rPr>
        <w:t>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"_Toc106882968" </w:instrText>
      </w:r>
      <w:r>
        <w:fldChar w:fldCharType="separate"/>
      </w:r>
      <w:r>
        <w:rPr>
          <w:rStyle w:val="85"/>
          <w:rFonts w:ascii="宋体" w:hAnsi="宋体"/>
          <w:bCs/>
        </w:rPr>
        <w:t>1.6.10 现有状况的测量</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_Toc106882968 \h </w:instrText>
      </w:r>
      <w:r>
        <w:rPr>
          <w:rStyle w:val="85"/>
          <w:rFonts w:ascii="宋体" w:hAnsi="宋体"/>
          <w:bCs/>
        </w:rPr>
        <w:fldChar w:fldCharType="separate"/>
      </w:r>
      <w:r>
        <w:rPr>
          <w:rStyle w:val="85"/>
          <w:rFonts w:ascii="宋体" w:hAnsi="宋体"/>
          <w:bCs/>
        </w:rPr>
        <w:t>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"_Toc106882969" </w:instrText>
      </w:r>
      <w:r>
        <w:fldChar w:fldCharType="separate"/>
      </w:r>
      <w:r>
        <w:rPr>
          <w:rStyle w:val="85"/>
          <w:rFonts w:ascii="宋体" w:hAnsi="宋体"/>
          <w:bCs/>
        </w:rPr>
        <w:t>1.6.11 现有设施的保护</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_Toc106882969 \h </w:instrText>
      </w:r>
      <w:r>
        <w:rPr>
          <w:rStyle w:val="85"/>
          <w:rFonts w:ascii="宋体" w:hAnsi="宋体"/>
          <w:bCs/>
        </w:rPr>
        <w:fldChar w:fldCharType="separate"/>
      </w:r>
      <w:r>
        <w:rPr>
          <w:rStyle w:val="85"/>
          <w:rFonts w:ascii="宋体" w:hAnsi="宋体"/>
          <w:bCs/>
        </w:rPr>
        <w:t>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"_Toc106882970" </w:instrText>
      </w:r>
      <w:r>
        <w:fldChar w:fldCharType="separate"/>
      </w:r>
      <w:r>
        <w:rPr>
          <w:rStyle w:val="85"/>
          <w:rFonts w:ascii="宋体" w:hAnsi="宋体"/>
          <w:bCs/>
        </w:rPr>
        <w:t>1.6.12 现有设施的继续工作</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_Toc106882970 \h </w:instrText>
      </w:r>
      <w:r>
        <w:rPr>
          <w:rStyle w:val="85"/>
          <w:rFonts w:ascii="宋体" w:hAnsi="宋体"/>
          <w:bCs/>
        </w:rPr>
        <w:fldChar w:fldCharType="separate"/>
      </w:r>
      <w:r>
        <w:rPr>
          <w:rStyle w:val="85"/>
          <w:rFonts w:ascii="宋体" w:hAnsi="宋体"/>
          <w:bCs/>
        </w:rPr>
        <w:t>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"_Toc106882971" </w:instrText>
      </w:r>
      <w:r>
        <w:fldChar w:fldCharType="separate"/>
      </w:r>
      <w:r>
        <w:rPr>
          <w:rStyle w:val="85"/>
          <w:rFonts w:ascii="宋体" w:hAnsi="宋体"/>
          <w:bCs/>
        </w:rPr>
        <w:t>1.6.13 临时性设施用地</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_Toc106882971 \h </w:instrText>
      </w:r>
      <w:r>
        <w:rPr>
          <w:rStyle w:val="85"/>
          <w:rFonts w:ascii="宋体" w:hAnsi="宋体"/>
          <w:bCs/>
        </w:rPr>
        <w:fldChar w:fldCharType="separate"/>
      </w:r>
      <w:r>
        <w:rPr>
          <w:rStyle w:val="85"/>
          <w:rFonts w:ascii="宋体" w:hAnsi="宋体"/>
          <w:bCs/>
        </w:rPr>
        <w:t>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"_Toc106882972" </w:instrText>
      </w:r>
      <w:r>
        <w:fldChar w:fldCharType="separate"/>
      </w:r>
      <w:r>
        <w:rPr>
          <w:rStyle w:val="85"/>
          <w:rFonts w:ascii="宋体" w:hAnsi="宋体"/>
          <w:bCs/>
        </w:rPr>
        <w:t>1.6.14 临时性设施用地的恢复</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_Toc106882972 \h </w:instrText>
      </w:r>
      <w:r>
        <w:rPr>
          <w:rStyle w:val="85"/>
          <w:rFonts w:ascii="宋体" w:hAnsi="宋体"/>
          <w:bCs/>
        </w:rPr>
        <w:fldChar w:fldCharType="separate"/>
      </w:r>
      <w:r>
        <w:rPr>
          <w:rStyle w:val="85"/>
          <w:rFonts w:ascii="宋体" w:hAnsi="宋体"/>
          <w:bCs/>
        </w:rPr>
        <w:t>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"_Toc106882973" </w:instrText>
      </w:r>
      <w:r>
        <w:fldChar w:fldCharType="separate"/>
      </w:r>
      <w:r>
        <w:rPr>
          <w:rStyle w:val="85"/>
          <w:rFonts w:ascii="宋体" w:hAnsi="宋体"/>
          <w:bCs/>
        </w:rPr>
        <w:t>1.6.15 临时性围栏</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_Toc106882973 \h </w:instrText>
      </w:r>
      <w:r>
        <w:rPr>
          <w:rStyle w:val="85"/>
          <w:rFonts w:ascii="宋体" w:hAnsi="宋体"/>
          <w:bCs/>
        </w:rPr>
        <w:fldChar w:fldCharType="separate"/>
      </w:r>
      <w:r>
        <w:rPr>
          <w:rStyle w:val="85"/>
          <w:rFonts w:ascii="宋体" w:hAnsi="宋体"/>
          <w:bCs/>
        </w:rPr>
        <w:t>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"_Toc106882974" </w:instrText>
      </w:r>
      <w:r>
        <w:fldChar w:fldCharType="separate"/>
      </w:r>
      <w:r>
        <w:rPr>
          <w:rStyle w:val="85"/>
          <w:rFonts w:ascii="宋体" w:hAnsi="宋体"/>
          <w:bCs/>
        </w:rPr>
        <w:t>1.6.16 施工所使用的临时性设施</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_Toc106882974 \h </w:instrText>
      </w:r>
      <w:r>
        <w:rPr>
          <w:rStyle w:val="85"/>
          <w:rFonts w:ascii="宋体" w:hAnsi="宋体"/>
          <w:bCs/>
        </w:rPr>
        <w:fldChar w:fldCharType="separate"/>
      </w:r>
      <w:r>
        <w:rPr>
          <w:rStyle w:val="85"/>
          <w:rFonts w:ascii="宋体" w:hAnsi="宋体"/>
          <w:bCs/>
        </w:rPr>
        <w:t>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"_Toc106882975" </w:instrText>
      </w:r>
      <w:r>
        <w:fldChar w:fldCharType="separate"/>
      </w:r>
      <w:r>
        <w:rPr>
          <w:rStyle w:val="85"/>
          <w:rFonts w:ascii="宋体" w:hAnsi="宋体"/>
          <w:bCs/>
        </w:rPr>
        <w:t>1.6.17 供水</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_Toc106882975 \h </w:instrText>
      </w:r>
      <w:r>
        <w:rPr>
          <w:rStyle w:val="85"/>
          <w:rFonts w:ascii="宋体" w:hAnsi="宋体"/>
          <w:bCs/>
        </w:rPr>
        <w:fldChar w:fldCharType="separate"/>
      </w:r>
      <w:r>
        <w:rPr>
          <w:rStyle w:val="85"/>
          <w:rFonts w:ascii="宋体" w:hAnsi="宋体"/>
          <w:bCs/>
        </w:rPr>
        <w:t>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"_Toc106882976" </w:instrText>
      </w:r>
      <w:r>
        <w:fldChar w:fldCharType="separate"/>
      </w:r>
      <w:r>
        <w:rPr>
          <w:rStyle w:val="85"/>
          <w:rFonts w:ascii="宋体" w:hAnsi="宋体"/>
          <w:bCs/>
        </w:rPr>
        <w:t>1.6.18 供电</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_Toc106882976 \h </w:instrText>
      </w:r>
      <w:r>
        <w:rPr>
          <w:rStyle w:val="85"/>
          <w:rFonts w:ascii="宋体" w:hAnsi="宋体"/>
          <w:bCs/>
        </w:rPr>
        <w:fldChar w:fldCharType="separate"/>
      </w:r>
      <w:r>
        <w:rPr>
          <w:rStyle w:val="85"/>
          <w:rFonts w:ascii="宋体" w:hAnsi="宋体"/>
          <w:bCs/>
        </w:rPr>
        <w:t>10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"_Toc106882977" </w:instrText>
      </w:r>
      <w:r>
        <w:fldChar w:fldCharType="separate"/>
      </w:r>
      <w:r>
        <w:rPr>
          <w:rStyle w:val="85"/>
          <w:rFonts w:ascii="宋体" w:hAnsi="宋体"/>
          <w:bCs/>
        </w:rPr>
        <w:t>1.6.19 卫生设施</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_Toc106882977 \h </w:instrText>
      </w:r>
      <w:r>
        <w:rPr>
          <w:rStyle w:val="85"/>
          <w:rFonts w:ascii="宋体" w:hAnsi="宋体"/>
          <w:bCs/>
        </w:rPr>
        <w:fldChar w:fldCharType="separate"/>
      </w:r>
      <w:r>
        <w:rPr>
          <w:rStyle w:val="85"/>
          <w:rFonts w:ascii="宋体" w:hAnsi="宋体"/>
          <w:bCs/>
        </w:rPr>
        <w:t>11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"_Toc106882978" </w:instrText>
      </w:r>
      <w:r>
        <w:fldChar w:fldCharType="separate"/>
      </w:r>
      <w:r>
        <w:rPr>
          <w:rStyle w:val="85"/>
          <w:rFonts w:ascii="宋体" w:hAnsi="宋体"/>
          <w:bCs/>
        </w:rPr>
        <w:t>1.6.20 工人宿舍</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_Toc106882978 \h </w:instrText>
      </w:r>
      <w:r>
        <w:rPr>
          <w:rStyle w:val="85"/>
          <w:rFonts w:ascii="宋体" w:hAnsi="宋体"/>
          <w:bCs/>
        </w:rPr>
        <w:fldChar w:fldCharType="separate"/>
      </w:r>
      <w:r>
        <w:rPr>
          <w:rStyle w:val="85"/>
          <w:rFonts w:ascii="宋体" w:hAnsi="宋体"/>
          <w:bCs/>
        </w:rPr>
        <w:t>11</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"_Toc106882979" </w:instrText>
      </w:r>
      <w:r>
        <w:fldChar w:fldCharType="separate"/>
      </w:r>
      <w:r>
        <w:rPr>
          <w:rStyle w:val="85"/>
          <w:rFonts w:ascii="宋体" w:hAnsi="宋体"/>
        </w:rPr>
        <w:t>1.7 现场管理</w:t>
      </w:r>
      <w:r>
        <w:rPr>
          <w:rStyle w:val="85"/>
          <w:rFonts w:ascii="宋体" w:hAnsi="宋体"/>
        </w:rPr>
        <w:tab/>
      </w:r>
      <w:r>
        <w:rPr>
          <w:rStyle w:val="85"/>
          <w:rFonts w:ascii="宋体" w:hAnsi="宋体"/>
        </w:rPr>
        <w:fldChar w:fldCharType="begin"/>
      </w:r>
      <w:r>
        <w:rPr>
          <w:rStyle w:val="85"/>
          <w:rFonts w:ascii="宋体" w:hAnsi="宋体"/>
        </w:rPr>
        <w:instrText xml:space="preserve"> PAGEREF _Toc106882979 \h </w:instrText>
      </w:r>
      <w:r>
        <w:rPr>
          <w:rStyle w:val="85"/>
          <w:rFonts w:ascii="宋体" w:hAnsi="宋体"/>
        </w:rPr>
        <w:fldChar w:fldCharType="separate"/>
      </w:r>
      <w:r>
        <w:rPr>
          <w:rStyle w:val="85"/>
          <w:rFonts w:ascii="宋体" w:hAnsi="宋体"/>
        </w:rPr>
        <w:t>11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"_Toc106882980" </w:instrText>
      </w:r>
      <w:r>
        <w:fldChar w:fldCharType="separate"/>
      </w:r>
      <w:r>
        <w:rPr>
          <w:rStyle w:val="85"/>
          <w:rFonts w:ascii="宋体" w:hAnsi="宋体"/>
          <w:bCs/>
        </w:rPr>
        <w:t>1.7.1 现场记录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_Toc106882980 \h </w:instrText>
      </w:r>
      <w:r>
        <w:rPr>
          <w:rStyle w:val="85"/>
          <w:rFonts w:ascii="宋体" w:hAnsi="宋体"/>
          <w:bCs/>
        </w:rPr>
        <w:fldChar w:fldCharType="separate"/>
      </w:r>
      <w:r>
        <w:rPr>
          <w:rStyle w:val="85"/>
          <w:rFonts w:ascii="宋体" w:hAnsi="宋体"/>
          <w:bCs/>
        </w:rPr>
        <w:t>11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"_Toc106882981" </w:instrText>
      </w:r>
      <w:r>
        <w:fldChar w:fldCharType="separate"/>
      </w:r>
      <w:r>
        <w:rPr>
          <w:rStyle w:val="85"/>
          <w:rFonts w:ascii="宋体" w:hAnsi="宋体"/>
          <w:bCs/>
        </w:rPr>
        <w:t>1.7.2 现场勘察记录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_Toc106882981 \h </w:instrText>
      </w:r>
      <w:r>
        <w:rPr>
          <w:rStyle w:val="85"/>
          <w:rFonts w:ascii="宋体" w:hAnsi="宋体"/>
          <w:bCs/>
        </w:rPr>
        <w:fldChar w:fldCharType="separate"/>
      </w:r>
      <w:r>
        <w:rPr>
          <w:rStyle w:val="85"/>
          <w:rFonts w:ascii="宋体" w:hAnsi="宋体"/>
          <w:bCs/>
        </w:rPr>
        <w:t>11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"_Toc106882982" </w:instrText>
      </w:r>
      <w:r>
        <w:fldChar w:fldCharType="separate"/>
      </w:r>
      <w:r>
        <w:rPr>
          <w:rStyle w:val="85"/>
          <w:rFonts w:ascii="宋体" w:hAnsi="宋体"/>
          <w:bCs/>
        </w:rPr>
        <w:t>1.7.3 业主和项目监理的进入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_Toc106882982 \h </w:instrText>
      </w:r>
      <w:r>
        <w:rPr>
          <w:rStyle w:val="85"/>
          <w:rFonts w:ascii="宋体" w:hAnsi="宋体"/>
          <w:bCs/>
        </w:rPr>
        <w:fldChar w:fldCharType="separate"/>
      </w:r>
      <w:r>
        <w:rPr>
          <w:rStyle w:val="85"/>
          <w:rFonts w:ascii="宋体" w:hAnsi="宋体"/>
          <w:bCs/>
        </w:rPr>
        <w:t>12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"_Toc106882983" </w:instrText>
      </w:r>
      <w:r>
        <w:fldChar w:fldCharType="separate"/>
      </w:r>
      <w:r>
        <w:rPr>
          <w:rStyle w:val="85"/>
          <w:rFonts w:ascii="宋体" w:hAnsi="宋体"/>
          <w:bCs/>
        </w:rPr>
        <w:t>1.7.4 工地变更</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_Toc106882983 \h </w:instrText>
      </w:r>
      <w:r>
        <w:rPr>
          <w:rStyle w:val="85"/>
          <w:rFonts w:ascii="宋体" w:hAnsi="宋体"/>
          <w:bCs/>
        </w:rPr>
        <w:fldChar w:fldCharType="separate"/>
      </w:r>
      <w:r>
        <w:rPr>
          <w:rStyle w:val="85"/>
          <w:rFonts w:ascii="宋体" w:hAnsi="宋体"/>
          <w:bCs/>
        </w:rPr>
        <w:t>12</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"_Toc106882984" </w:instrText>
      </w:r>
      <w:r>
        <w:fldChar w:fldCharType="separate"/>
      </w:r>
      <w:r>
        <w:rPr>
          <w:rStyle w:val="85"/>
          <w:rFonts w:ascii="宋体" w:hAnsi="宋体"/>
        </w:rPr>
        <w:t>1.8 临时工程和施工的主要措施</w:t>
      </w:r>
      <w:r>
        <w:rPr>
          <w:rStyle w:val="85"/>
          <w:rFonts w:ascii="宋体" w:hAnsi="宋体"/>
        </w:rPr>
        <w:tab/>
      </w:r>
      <w:r>
        <w:rPr>
          <w:rStyle w:val="85"/>
          <w:rFonts w:ascii="宋体" w:hAnsi="宋体"/>
        </w:rPr>
        <w:fldChar w:fldCharType="begin"/>
      </w:r>
      <w:r>
        <w:rPr>
          <w:rStyle w:val="85"/>
          <w:rFonts w:ascii="宋体" w:hAnsi="宋体"/>
        </w:rPr>
        <w:instrText xml:space="preserve"> PAGEREF _Toc106882984 \h </w:instrText>
      </w:r>
      <w:r>
        <w:rPr>
          <w:rStyle w:val="85"/>
          <w:rFonts w:ascii="宋体" w:hAnsi="宋体"/>
        </w:rPr>
        <w:fldChar w:fldCharType="separate"/>
      </w:r>
      <w:r>
        <w:rPr>
          <w:rStyle w:val="85"/>
          <w:rFonts w:ascii="宋体" w:hAnsi="宋体"/>
        </w:rPr>
        <w:t>12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"_Toc106882985" </w:instrText>
      </w:r>
      <w:r>
        <w:fldChar w:fldCharType="separate"/>
      </w:r>
      <w:r>
        <w:rPr>
          <w:rStyle w:val="85"/>
          <w:rFonts w:ascii="宋体" w:hAnsi="宋体"/>
          <w:bCs/>
        </w:rPr>
        <w:t>1.8.1 边坡保护</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_Toc106882985 \h </w:instrText>
      </w:r>
      <w:r>
        <w:rPr>
          <w:rStyle w:val="85"/>
          <w:rFonts w:ascii="宋体" w:hAnsi="宋体"/>
          <w:bCs/>
        </w:rPr>
        <w:fldChar w:fldCharType="separate"/>
      </w:r>
      <w:r>
        <w:rPr>
          <w:rStyle w:val="85"/>
          <w:rFonts w:ascii="宋体" w:hAnsi="宋体"/>
          <w:bCs/>
        </w:rPr>
        <w:t>12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"_Toc106882986" </w:instrText>
      </w:r>
      <w:r>
        <w:fldChar w:fldCharType="separate"/>
      </w:r>
      <w:r>
        <w:rPr>
          <w:rStyle w:val="85"/>
          <w:rFonts w:ascii="宋体" w:hAnsi="宋体"/>
          <w:bCs/>
        </w:rPr>
        <w:t>1.8.2 脚手架和工作平台</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_Toc106882986 \h </w:instrText>
      </w:r>
      <w:r>
        <w:rPr>
          <w:rStyle w:val="85"/>
          <w:rFonts w:ascii="宋体" w:hAnsi="宋体"/>
          <w:bCs/>
        </w:rPr>
        <w:fldChar w:fldCharType="separate"/>
      </w:r>
      <w:r>
        <w:rPr>
          <w:rStyle w:val="85"/>
          <w:rFonts w:ascii="宋体" w:hAnsi="宋体"/>
          <w:bCs/>
        </w:rPr>
        <w:t>12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"_Toc106882987" </w:instrText>
      </w:r>
      <w:r>
        <w:fldChar w:fldCharType="separate"/>
      </w:r>
      <w:r>
        <w:rPr>
          <w:rStyle w:val="85"/>
          <w:rFonts w:ascii="宋体" w:hAnsi="宋体"/>
          <w:bCs/>
        </w:rPr>
        <w:t>1.8.3 兼作模板支撑的脚手架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_Toc106882987 \h </w:instrText>
      </w:r>
      <w:r>
        <w:rPr>
          <w:rStyle w:val="85"/>
          <w:rFonts w:ascii="宋体" w:hAnsi="宋体"/>
          <w:bCs/>
        </w:rPr>
        <w:fldChar w:fldCharType="separate"/>
      </w:r>
      <w:r>
        <w:rPr>
          <w:rStyle w:val="85"/>
          <w:rFonts w:ascii="宋体" w:hAnsi="宋体"/>
          <w:bCs/>
        </w:rPr>
        <w:t>14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"_Toc106882988" </w:instrText>
      </w:r>
      <w:r>
        <w:fldChar w:fldCharType="separate"/>
      </w:r>
      <w:r>
        <w:rPr>
          <w:rStyle w:val="85"/>
          <w:rFonts w:ascii="宋体" w:hAnsi="宋体"/>
          <w:bCs/>
        </w:rPr>
        <w:t>1.8.4 降低水位</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_Toc106882988 \h </w:instrText>
      </w:r>
      <w:r>
        <w:rPr>
          <w:rStyle w:val="85"/>
          <w:rFonts w:ascii="宋体" w:hAnsi="宋体"/>
          <w:bCs/>
        </w:rPr>
        <w:fldChar w:fldCharType="separate"/>
      </w:r>
      <w:r>
        <w:rPr>
          <w:rStyle w:val="85"/>
          <w:rFonts w:ascii="宋体" w:hAnsi="宋体"/>
          <w:bCs/>
        </w:rPr>
        <w:t>14</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"_Toc106882989" </w:instrText>
      </w:r>
      <w:r>
        <w:fldChar w:fldCharType="separate"/>
      </w:r>
      <w:r>
        <w:rPr>
          <w:rStyle w:val="85"/>
          <w:rFonts w:ascii="宋体" w:hAnsi="宋体"/>
        </w:rPr>
        <w:t>1.9 材料和设备</w:t>
      </w:r>
      <w:r>
        <w:rPr>
          <w:rStyle w:val="85"/>
          <w:rFonts w:ascii="宋体" w:hAnsi="宋体"/>
        </w:rPr>
        <w:tab/>
      </w:r>
      <w:r>
        <w:rPr>
          <w:rStyle w:val="85"/>
          <w:rFonts w:ascii="宋体" w:hAnsi="宋体"/>
        </w:rPr>
        <w:fldChar w:fldCharType="begin"/>
      </w:r>
      <w:r>
        <w:rPr>
          <w:rStyle w:val="85"/>
          <w:rFonts w:ascii="宋体" w:hAnsi="宋体"/>
        </w:rPr>
        <w:instrText xml:space="preserve"> PAGEREF _Toc106882989 \h </w:instrText>
      </w:r>
      <w:r>
        <w:rPr>
          <w:rStyle w:val="85"/>
          <w:rFonts w:ascii="宋体" w:hAnsi="宋体"/>
        </w:rPr>
        <w:fldChar w:fldCharType="separate"/>
      </w:r>
      <w:r>
        <w:rPr>
          <w:rStyle w:val="85"/>
          <w:rFonts w:ascii="宋体" w:hAnsi="宋体"/>
        </w:rPr>
        <w:t>16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"_Toc106882990" </w:instrText>
      </w:r>
      <w:r>
        <w:fldChar w:fldCharType="separate"/>
      </w:r>
      <w:r>
        <w:rPr>
          <w:rStyle w:val="85"/>
          <w:rFonts w:ascii="宋体" w:hAnsi="宋体"/>
          <w:bCs/>
        </w:rPr>
        <w:t>1.9.1 采购</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_Toc106882990 \h </w:instrText>
      </w:r>
      <w:r>
        <w:rPr>
          <w:rStyle w:val="85"/>
          <w:rFonts w:ascii="宋体" w:hAnsi="宋体"/>
          <w:bCs/>
        </w:rPr>
        <w:fldChar w:fldCharType="separate"/>
      </w:r>
      <w:r>
        <w:rPr>
          <w:rStyle w:val="85"/>
          <w:rFonts w:ascii="宋体" w:hAnsi="宋体"/>
          <w:bCs/>
        </w:rPr>
        <w:t>16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"_Toc106882991" </w:instrText>
      </w:r>
      <w:r>
        <w:fldChar w:fldCharType="separate"/>
      </w:r>
      <w:r>
        <w:rPr>
          <w:rStyle w:val="85"/>
          <w:rFonts w:ascii="宋体" w:hAnsi="宋体"/>
          <w:bCs/>
        </w:rPr>
        <w:t>1.9.1.1 材料供货商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_Toc106882991 \h </w:instrText>
      </w:r>
      <w:r>
        <w:rPr>
          <w:rStyle w:val="85"/>
          <w:rFonts w:ascii="宋体" w:hAnsi="宋体"/>
          <w:bCs/>
        </w:rPr>
        <w:fldChar w:fldCharType="separate"/>
      </w:r>
      <w:r>
        <w:rPr>
          <w:rStyle w:val="85"/>
          <w:rFonts w:ascii="宋体" w:hAnsi="宋体"/>
          <w:bCs/>
        </w:rPr>
        <w:t>16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"_Toc106882992" </w:instrText>
      </w:r>
      <w:r>
        <w:fldChar w:fldCharType="separate"/>
      </w:r>
      <w:r>
        <w:rPr>
          <w:rStyle w:val="85"/>
          <w:rFonts w:ascii="宋体" w:hAnsi="宋体"/>
          <w:bCs/>
        </w:rPr>
        <w:t>1.9.1.2 天然材料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_Toc106882992 \h </w:instrText>
      </w:r>
      <w:r>
        <w:rPr>
          <w:rStyle w:val="85"/>
          <w:rFonts w:ascii="宋体" w:hAnsi="宋体"/>
          <w:bCs/>
        </w:rPr>
        <w:fldChar w:fldCharType="separate"/>
      </w:r>
      <w:r>
        <w:rPr>
          <w:rStyle w:val="85"/>
          <w:rFonts w:ascii="宋体" w:hAnsi="宋体"/>
          <w:bCs/>
        </w:rPr>
        <w:t>16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"_Toc106882993" </w:instrText>
      </w:r>
      <w:r>
        <w:fldChar w:fldCharType="separate"/>
      </w:r>
      <w:r>
        <w:rPr>
          <w:rStyle w:val="85"/>
          <w:rFonts w:ascii="宋体" w:hAnsi="宋体"/>
          <w:bCs/>
        </w:rPr>
        <w:t>1.9.1.3 样品</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_Toc106882993 \h </w:instrText>
      </w:r>
      <w:r>
        <w:rPr>
          <w:rStyle w:val="85"/>
          <w:rFonts w:ascii="宋体" w:hAnsi="宋体"/>
          <w:bCs/>
        </w:rPr>
        <w:fldChar w:fldCharType="separate"/>
      </w:r>
      <w:r>
        <w:rPr>
          <w:rStyle w:val="85"/>
          <w:rFonts w:ascii="宋体" w:hAnsi="宋体"/>
          <w:bCs/>
        </w:rPr>
        <w:t>16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"_Toc106882994" </w:instrText>
      </w:r>
      <w:r>
        <w:fldChar w:fldCharType="separate"/>
      </w:r>
      <w:r>
        <w:rPr>
          <w:rStyle w:val="85"/>
          <w:rFonts w:ascii="宋体" w:hAnsi="宋体"/>
          <w:bCs/>
        </w:rPr>
        <w:t>1.9.2 运输和储存</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_Toc106882994 \h </w:instrText>
      </w:r>
      <w:r>
        <w:rPr>
          <w:rStyle w:val="85"/>
          <w:rFonts w:ascii="宋体" w:hAnsi="宋体"/>
          <w:bCs/>
        </w:rPr>
        <w:fldChar w:fldCharType="separate"/>
      </w:r>
      <w:r>
        <w:rPr>
          <w:rStyle w:val="85"/>
          <w:rFonts w:ascii="宋体" w:hAnsi="宋体"/>
          <w:bCs/>
        </w:rPr>
        <w:t>17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"_Toc106882995" </w:instrText>
      </w:r>
      <w:r>
        <w:fldChar w:fldCharType="separate"/>
      </w:r>
      <w:r>
        <w:rPr>
          <w:rStyle w:val="85"/>
          <w:rFonts w:ascii="宋体" w:hAnsi="宋体"/>
          <w:bCs/>
        </w:rPr>
        <w:t>1.9.3 爆炸物和危险品</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_Toc106882995 \h </w:instrText>
      </w:r>
      <w:r>
        <w:rPr>
          <w:rStyle w:val="85"/>
          <w:rFonts w:ascii="宋体" w:hAnsi="宋体"/>
          <w:bCs/>
        </w:rPr>
        <w:fldChar w:fldCharType="separate"/>
      </w:r>
      <w:r>
        <w:rPr>
          <w:rStyle w:val="85"/>
          <w:rFonts w:ascii="宋体" w:hAnsi="宋体"/>
          <w:bCs/>
        </w:rPr>
        <w:t>17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"_Toc106882996" </w:instrText>
      </w:r>
      <w:r>
        <w:fldChar w:fldCharType="separate"/>
      </w:r>
      <w:r>
        <w:rPr>
          <w:rStyle w:val="85"/>
          <w:rFonts w:ascii="宋体" w:hAnsi="宋体"/>
          <w:bCs/>
        </w:rPr>
        <w:t>1.9.4 质量</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_Toc106882996 \h </w:instrText>
      </w:r>
      <w:r>
        <w:rPr>
          <w:rStyle w:val="85"/>
          <w:rFonts w:ascii="宋体" w:hAnsi="宋体"/>
          <w:bCs/>
        </w:rPr>
        <w:fldChar w:fldCharType="separate"/>
      </w:r>
      <w:r>
        <w:rPr>
          <w:rStyle w:val="85"/>
          <w:rFonts w:ascii="宋体" w:hAnsi="宋体"/>
          <w:bCs/>
        </w:rPr>
        <w:t>17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"_Toc106882997" </w:instrText>
      </w:r>
      <w:r>
        <w:fldChar w:fldCharType="separate"/>
      </w:r>
      <w:r>
        <w:rPr>
          <w:rStyle w:val="85"/>
          <w:rFonts w:ascii="宋体" w:hAnsi="宋体"/>
          <w:bCs/>
        </w:rPr>
        <w:t>1.9.4.1 制造厂家和供货商的测试证书</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_Toc106882997 \h </w:instrText>
      </w:r>
      <w:r>
        <w:rPr>
          <w:rStyle w:val="85"/>
          <w:rFonts w:ascii="宋体" w:hAnsi="宋体"/>
          <w:bCs/>
        </w:rPr>
        <w:fldChar w:fldCharType="separate"/>
      </w:r>
      <w:r>
        <w:rPr>
          <w:rStyle w:val="85"/>
          <w:rFonts w:ascii="宋体" w:hAnsi="宋体"/>
          <w:bCs/>
        </w:rPr>
        <w:t>17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"_Toc106882998" </w:instrText>
      </w:r>
      <w:r>
        <w:fldChar w:fldCharType="separate"/>
      </w:r>
      <w:r>
        <w:rPr>
          <w:rStyle w:val="85"/>
          <w:rFonts w:ascii="宋体" w:hAnsi="宋体"/>
          <w:bCs/>
        </w:rPr>
        <w:t>1.9.4.2 测试设施</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_Toc106882998 \h </w:instrText>
      </w:r>
      <w:r>
        <w:rPr>
          <w:rStyle w:val="85"/>
          <w:rFonts w:ascii="宋体" w:hAnsi="宋体"/>
          <w:bCs/>
        </w:rPr>
        <w:fldChar w:fldCharType="separate"/>
      </w:r>
      <w:r>
        <w:rPr>
          <w:rStyle w:val="85"/>
          <w:rFonts w:ascii="宋体" w:hAnsi="宋体"/>
          <w:bCs/>
        </w:rPr>
        <w:t>17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"_Toc106882999" </w:instrText>
      </w:r>
      <w:r>
        <w:fldChar w:fldCharType="separate"/>
      </w:r>
      <w:r>
        <w:rPr>
          <w:rStyle w:val="85"/>
          <w:rFonts w:ascii="宋体" w:hAnsi="宋体"/>
          <w:bCs/>
        </w:rPr>
        <w:t>1.9.4.3 承包商负责的测试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_Toc106882999 \h </w:instrText>
      </w:r>
      <w:r>
        <w:rPr>
          <w:rStyle w:val="85"/>
          <w:rFonts w:ascii="宋体" w:hAnsi="宋体"/>
          <w:bCs/>
        </w:rPr>
        <w:fldChar w:fldCharType="separate"/>
      </w:r>
      <w:r>
        <w:rPr>
          <w:rStyle w:val="85"/>
          <w:rFonts w:ascii="宋体" w:hAnsi="宋体"/>
          <w:bCs/>
        </w:rPr>
        <w:t>18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"_Toc106883000" </w:instrText>
      </w:r>
      <w:r>
        <w:fldChar w:fldCharType="separate"/>
      </w:r>
      <w:r>
        <w:rPr>
          <w:rStyle w:val="85"/>
          <w:rFonts w:ascii="宋体" w:hAnsi="宋体"/>
          <w:bCs/>
        </w:rPr>
        <w:t>1.9.5 价格和成本</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_Toc106883000 \h </w:instrText>
      </w:r>
      <w:r>
        <w:rPr>
          <w:rStyle w:val="85"/>
          <w:rFonts w:ascii="宋体" w:hAnsi="宋体"/>
          <w:bCs/>
        </w:rPr>
        <w:fldChar w:fldCharType="separate"/>
      </w:r>
      <w:r>
        <w:rPr>
          <w:rStyle w:val="85"/>
          <w:rFonts w:ascii="宋体" w:hAnsi="宋体"/>
          <w:bCs/>
        </w:rPr>
        <w:t>18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"_Toc106883001" </w:instrText>
      </w:r>
      <w:r>
        <w:fldChar w:fldCharType="separate"/>
      </w:r>
      <w:r>
        <w:rPr>
          <w:rStyle w:val="85"/>
          <w:rFonts w:ascii="宋体" w:hAnsi="宋体"/>
          <w:bCs/>
        </w:rPr>
        <w:t>1.9.6 材料储放场所的管理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_Toc106883001 \h </w:instrText>
      </w:r>
      <w:r>
        <w:rPr>
          <w:rStyle w:val="85"/>
          <w:rFonts w:ascii="宋体" w:hAnsi="宋体"/>
          <w:bCs/>
        </w:rPr>
        <w:fldChar w:fldCharType="separate"/>
      </w:r>
      <w:r>
        <w:rPr>
          <w:rStyle w:val="85"/>
          <w:rFonts w:ascii="宋体" w:hAnsi="宋体"/>
          <w:bCs/>
        </w:rPr>
        <w:t>18</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"_Toc106883002" </w:instrText>
      </w:r>
      <w:r>
        <w:fldChar w:fldCharType="separate"/>
      </w:r>
      <w:r>
        <w:rPr>
          <w:rStyle w:val="85"/>
          <w:rFonts w:ascii="宋体" w:hAnsi="宋体"/>
        </w:rPr>
        <w:t>1.10 过程控制</w:t>
      </w:r>
      <w:r>
        <w:rPr>
          <w:rStyle w:val="85"/>
          <w:rFonts w:ascii="宋体" w:hAnsi="宋体"/>
        </w:rPr>
        <w:tab/>
      </w:r>
      <w:r>
        <w:rPr>
          <w:rStyle w:val="85"/>
          <w:rFonts w:ascii="宋体" w:hAnsi="宋体"/>
        </w:rPr>
        <w:fldChar w:fldCharType="begin"/>
      </w:r>
      <w:r>
        <w:rPr>
          <w:rStyle w:val="85"/>
          <w:rFonts w:ascii="宋体" w:hAnsi="宋体"/>
        </w:rPr>
        <w:instrText xml:space="preserve"> PAGEREF _Toc106883002 \h </w:instrText>
      </w:r>
      <w:r>
        <w:rPr>
          <w:rStyle w:val="85"/>
          <w:rFonts w:ascii="宋体" w:hAnsi="宋体"/>
        </w:rPr>
        <w:fldChar w:fldCharType="separate"/>
      </w:r>
      <w:r>
        <w:rPr>
          <w:rStyle w:val="85"/>
          <w:rFonts w:ascii="宋体" w:hAnsi="宋体"/>
        </w:rPr>
        <w:t>18</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"_Toc106883003" </w:instrText>
      </w:r>
      <w:r>
        <w:fldChar w:fldCharType="separate"/>
      </w:r>
      <w:r>
        <w:rPr>
          <w:rStyle w:val="85"/>
          <w:rFonts w:ascii="宋体" w:hAnsi="宋体"/>
        </w:rPr>
        <w:t>1.11 图纸呈交</w:t>
      </w:r>
      <w:r>
        <w:rPr>
          <w:rStyle w:val="85"/>
          <w:rFonts w:ascii="宋体" w:hAnsi="宋体"/>
        </w:rPr>
        <w:tab/>
      </w:r>
      <w:r>
        <w:rPr>
          <w:rStyle w:val="85"/>
          <w:rFonts w:ascii="宋体" w:hAnsi="宋体"/>
        </w:rPr>
        <w:fldChar w:fldCharType="begin"/>
      </w:r>
      <w:r>
        <w:rPr>
          <w:rStyle w:val="85"/>
          <w:rFonts w:ascii="宋体" w:hAnsi="宋体"/>
        </w:rPr>
        <w:instrText xml:space="preserve"> PAGEREF _Toc106883003 \h </w:instrText>
      </w:r>
      <w:r>
        <w:rPr>
          <w:rStyle w:val="85"/>
          <w:rFonts w:ascii="宋体" w:hAnsi="宋体"/>
        </w:rPr>
        <w:fldChar w:fldCharType="separate"/>
      </w:r>
      <w:r>
        <w:rPr>
          <w:rStyle w:val="85"/>
          <w:rFonts w:ascii="宋体" w:hAnsi="宋体"/>
        </w:rPr>
        <w:t>20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"_Toc106883004" </w:instrText>
      </w:r>
      <w:r>
        <w:fldChar w:fldCharType="separate"/>
      </w:r>
      <w:r>
        <w:rPr>
          <w:rStyle w:val="85"/>
          <w:rFonts w:ascii="宋体" w:hAnsi="宋体"/>
          <w:bCs/>
        </w:rPr>
        <w:t>1.11.1 图纸一般标准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_Toc106883004 \h </w:instrText>
      </w:r>
      <w:r>
        <w:rPr>
          <w:rStyle w:val="85"/>
          <w:rFonts w:ascii="宋体" w:hAnsi="宋体"/>
          <w:bCs/>
        </w:rPr>
        <w:fldChar w:fldCharType="separate"/>
      </w:r>
      <w:r>
        <w:rPr>
          <w:rStyle w:val="85"/>
          <w:rFonts w:ascii="宋体" w:hAnsi="宋体"/>
          <w:bCs/>
        </w:rPr>
        <w:t>20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"_Toc106883005" </w:instrText>
      </w:r>
      <w:r>
        <w:fldChar w:fldCharType="separate"/>
      </w:r>
      <w:r>
        <w:rPr>
          <w:rStyle w:val="85"/>
          <w:rFonts w:ascii="宋体" w:hAnsi="宋体"/>
          <w:bCs/>
        </w:rPr>
        <w:t>1.11.2 投标图纸</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_Toc106883005 \h </w:instrText>
      </w:r>
      <w:r>
        <w:rPr>
          <w:rStyle w:val="85"/>
          <w:rFonts w:ascii="宋体" w:hAnsi="宋体"/>
          <w:bCs/>
        </w:rPr>
        <w:fldChar w:fldCharType="separate"/>
      </w:r>
      <w:r>
        <w:rPr>
          <w:rStyle w:val="85"/>
          <w:rFonts w:ascii="宋体" w:hAnsi="宋体"/>
          <w:bCs/>
        </w:rPr>
        <w:t>20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"_Toc106883006" </w:instrText>
      </w:r>
      <w:r>
        <w:fldChar w:fldCharType="separate"/>
      </w:r>
      <w:r>
        <w:rPr>
          <w:rStyle w:val="85"/>
          <w:rFonts w:ascii="宋体" w:hAnsi="宋体"/>
          <w:bCs/>
        </w:rPr>
        <w:t>1.11.3 合同图纸</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_Toc106883006 \h </w:instrText>
      </w:r>
      <w:r>
        <w:rPr>
          <w:rStyle w:val="85"/>
          <w:rFonts w:ascii="宋体" w:hAnsi="宋体"/>
          <w:bCs/>
        </w:rPr>
        <w:fldChar w:fldCharType="separate"/>
      </w:r>
      <w:r>
        <w:rPr>
          <w:rStyle w:val="85"/>
          <w:rFonts w:ascii="宋体" w:hAnsi="宋体"/>
          <w:bCs/>
        </w:rPr>
        <w:t>20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"_Toc106883007" </w:instrText>
      </w:r>
      <w:r>
        <w:fldChar w:fldCharType="separate"/>
      </w:r>
      <w:r>
        <w:rPr>
          <w:rStyle w:val="85"/>
          <w:rFonts w:ascii="宋体" w:hAnsi="宋体"/>
          <w:bCs/>
        </w:rPr>
        <w:t>1.11.4 承包商设计图纸</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_Toc106883007 \h </w:instrText>
      </w:r>
      <w:r>
        <w:rPr>
          <w:rStyle w:val="85"/>
          <w:rFonts w:ascii="宋体" w:hAnsi="宋体"/>
          <w:bCs/>
        </w:rPr>
        <w:fldChar w:fldCharType="separate"/>
      </w:r>
      <w:r>
        <w:rPr>
          <w:rStyle w:val="85"/>
          <w:rFonts w:ascii="宋体" w:hAnsi="宋体"/>
          <w:bCs/>
        </w:rPr>
        <w:t>20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"_Toc106883008" </w:instrText>
      </w:r>
      <w:r>
        <w:fldChar w:fldCharType="separate"/>
      </w:r>
      <w:r>
        <w:rPr>
          <w:rStyle w:val="85"/>
          <w:rFonts w:ascii="宋体" w:hAnsi="宋体"/>
          <w:bCs/>
        </w:rPr>
        <w:t>1.11.5 图纸的批准程序</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_Toc106883008 \h </w:instrText>
      </w:r>
      <w:r>
        <w:rPr>
          <w:rStyle w:val="85"/>
          <w:rFonts w:ascii="宋体" w:hAnsi="宋体"/>
          <w:bCs/>
        </w:rPr>
        <w:fldChar w:fldCharType="separate"/>
      </w:r>
      <w:r>
        <w:rPr>
          <w:rStyle w:val="85"/>
          <w:rFonts w:ascii="宋体" w:hAnsi="宋体"/>
          <w:bCs/>
        </w:rPr>
        <w:t>21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"_Toc106883009" </w:instrText>
      </w:r>
      <w:r>
        <w:fldChar w:fldCharType="separate"/>
      </w:r>
      <w:r>
        <w:rPr>
          <w:rStyle w:val="85"/>
          <w:rFonts w:ascii="宋体" w:hAnsi="宋体"/>
          <w:bCs/>
        </w:rPr>
        <w:t>1.11.6 竣工图纸</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_Toc106883009 \h </w:instrText>
      </w:r>
      <w:r>
        <w:rPr>
          <w:rStyle w:val="85"/>
          <w:rFonts w:ascii="宋体" w:hAnsi="宋体"/>
          <w:bCs/>
        </w:rPr>
        <w:fldChar w:fldCharType="separate"/>
      </w:r>
      <w:r>
        <w:rPr>
          <w:rStyle w:val="85"/>
          <w:rFonts w:ascii="宋体" w:hAnsi="宋体"/>
          <w:bCs/>
        </w:rPr>
        <w:t>21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"_Toc106883010" </w:instrText>
      </w:r>
      <w:r>
        <w:fldChar w:fldCharType="separate"/>
      </w:r>
      <w:r>
        <w:rPr>
          <w:rStyle w:val="85"/>
          <w:rFonts w:ascii="宋体" w:hAnsi="宋体"/>
          <w:bCs/>
        </w:rPr>
        <w:t>1.11.7 承包商提交的图纸和其它文件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_Toc106883010 \h </w:instrText>
      </w:r>
      <w:r>
        <w:rPr>
          <w:rStyle w:val="85"/>
          <w:rFonts w:ascii="宋体" w:hAnsi="宋体"/>
          <w:bCs/>
        </w:rPr>
        <w:fldChar w:fldCharType="separate"/>
      </w:r>
      <w:r>
        <w:rPr>
          <w:rStyle w:val="85"/>
          <w:rFonts w:ascii="宋体" w:hAnsi="宋体"/>
          <w:bCs/>
        </w:rPr>
        <w:t>22</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"_Toc106883011" </w:instrText>
      </w:r>
      <w:r>
        <w:fldChar w:fldCharType="separate"/>
      </w:r>
      <w:r>
        <w:rPr>
          <w:rStyle w:val="85"/>
          <w:rFonts w:ascii="宋体" w:hAnsi="宋体"/>
        </w:rPr>
        <w:t>1.12 进度计划</w:t>
      </w:r>
      <w:r>
        <w:rPr>
          <w:rStyle w:val="85"/>
          <w:rFonts w:ascii="宋体" w:hAnsi="宋体"/>
        </w:rPr>
        <w:tab/>
      </w:r>
      <w:r>
        <w:rPr>
          <w:rStyle w:val="85"/>
          <w:rFonts w:ascii="宋体" w:hAnsi="宋体"/>
        </w:rPr>
        <w:fldChar w:fldCharType="begin"/>
      </w:r>
      <w:r>
        <w:rPr>
          <w:rStyle w:val="85"/>
          <w:rFonts w:ascii="宋体" w:hAnsi="宋体"/>
        </w:rPr>
        <w:instrText xml:space="preserve"> PAGEREF _Toc106883011 \h </w:instrText>
      </w:r>
      <w:r>
        <w:rPr>
          <w:rStyle w:val="85"/>
          <w:rFonts w:ascii="宋体" w:hAnsi="宋体"/>
        </w:rPr>
        <w:fldChar w:fldCharType="separate"/>
      </w:r>
      <w:r>
        <w:rPr>
          <w:rStyle w:val="85"/>
          <w:rFonts w:ascii="宋体" w:hAnsi="宋体"/>
        </w:rPr>
        <w:t>22</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"_Toc106883012" </w:instrText>
      </w:r>
      <w:r>
        <w:fldChar w:fldCharType="separate"/>
      </w:r>
      <w:r>
        <w:rPr>
          <w:rStyle w:val="85"/>
          <w:rFonts w:ascii="宋体" w:hAnsi="宋体"/>
        </w:rPr>
        <w:t>1.13 施工时间</w:t>
      </w:r>
      <w:r>
        <w:rPr>
          <w:rStyle w:val="85"/>
          <w:rFonts w:ascii="宋体" w:hAnsi="宋体"/>
        </w:rPr>
        <w:tab/>
      </w:r>
      <w:r>
        <w:rPr>
          <w:rStyle w:val="85"/>
          <w:rFonts w:ascii="宋体" w:hAnsi="宋体"/>
        </w:rPr>
        <w:fldChar w:fldCharType="begin"/>
      </w:r>
      <w:r>
        <w:rPr>
          <w:rStyle w:val="85"/>
          <w:rFonts w:ascii="宋体" w:hAnsi="宋体"/>
        </w:rPr>
        <w:instrText xml:space="preserve"> PAGEREF _Toc106883012 \h </w:instrText>
      </w:r>
      <w:r>
        <w:rPr>
          <w:rStyle w:val="85"/>
          <w:rFonts w:ascii="宋体" w:hAnsi="宋体"/>
        </w:rPr>
        <w:fldChar w:fldCharType="separate"/>
      </w:r>
      <w:r>
        <w:rPr>
          <w:rStyle w:val="85"/>
          <w:rFonts w:ascii="宋体" w:hAnsi="宋体"/>
        </w:rPr>
        <w:t>23</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"_Toc106883013" </w:instrText>
      </w:r>
      <w:r>
        <w:fldChar w:fldCharType="separate"/>
      </w:r>
      <w:r>
        <w:rPr>
          <w:rStyle w:val="85"/>
          <w:rFonts w:ascii="宋体" w:hAnsi="宋体"/>
        </w:rPr>
        <w:t>1.14 项目监理的需求</w:t>
      </w:r>
      <w:r>
        <w:rPr>
          <w:rStyle w:val="85"/>
          <w:rFonts w:ascii="宋体" w:hAnsi="宋体"/>
        </w:rPr>
        <w:tab/>
      </w:r>
      <w:r>
        <w:rPr>
          <w:rStyle w:val="85"/>
          <w:rFonts w:ascii="宋体" w:hAnsi="宋体"/>
        </w:rPr>
        <w:fldChar w:fldCharType="begin"/>
      </w:r>
      <w:r>
        <w:rPr>
          <w:rStyle w:val="85"/>
          <w:rFonts w:ascii="宋体" w:hAnsi="宋体"/>
        </w:rPr>
        <w:instrText xml:space="preserve"> PAGEREF _Toc106883013 \h </w:instrText>
      </w:r>
      <w:r>
        <w:rPr>
          <w:rStyle w:val="85"/>
          <w:rFonts w:ascii="宋体" w:hAnsi="宋体"/>
        </w:rPr>
        <w:fldChar w:fldCharType="separate"/>
      </w:r>
      <w:r>
        <w:rPr>
          <w:rStyle w:val="85"/>
          <w:rFonts w:ascii="宋体" w:hAnsi="宋体"/>
        </w:rPr>
        <w:t>23</w:t>
      </w:r>
      <w:r>
        <w:rPr>
          <w:rStyle w:val="85"/>
          <w:rFonts w:ascii="宋体" w:hAnsi="宋体"/>
        </w:rPr>
        <w:fldChar w:fldCharType="end"/>
      </w:r>
      <w:r>
        <w:rPr>
          <w:rStyle w:val="85"/>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"_Toc106883014" </w:instrText>
      </w:r>
      <w:r>
        <w:fldChar w:fldCharType="separate"/>
      </w:r>
      <w:r>
        <w:rPr>
          <w:rStyle w:val="85"/>
          <w:rFonts w:ascii="宋体" w:hAnsi="宋体"/>
        </w:rPr>
        <w:t>1.14.1 项目监理办公室</w:t>
      </w:r>
      <w:r>
        <w:rPr>
          <w:rFonts w:ascii="宋体" w:hAnsi="宋体"/>
        </w:rPr>
        <w:tab/>
      </w:r>
      <w:r>
        <w:rPr>
          <w:rFonts w:ascii="宋体" w:hAnsi="宋体"/>
        </w:rPr>
        <w:fldChar w:fldCharType="begin"/>
      </w:r>
      <w:r>
        <w:rPr>
          <w:rFonts w:ascii="宋体" w:hAnsi="宋体"/>
        </w:rPr>
        <w:instrText xml:space="preserve"> PAGEREF _Toc106883014 \h </w:instrText>
      </w:r>
      <w:r>
        <w:rPr>
          <w:rFonts w:ascii="宋体" w:hAnsi="宋体"/>
        </w:rPr>
        <w:fldChar w:fldCharType="separate"/>
      </w:r>
      <w:r>
        <w:rPr>
          <w:rFonts w:ascii="宋体" w:hAnsi="宋体"/>
        </w:rPr>
        <w:t>23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"_Toc106883015" </w:instrText>
      </w:r>
      <w:r>
        <w:fldChar w:fldCharType="separate"/>
      </w:r>
      <w:r>
        <w:rPr>
          <w:rStyle w:val="85"/>
          <w:rFonts w:ascii="宋体" w:hAnsi="宋体"/>
        </w:rPr>
        <w:t>1.14.2 监理办公室的服务</w:t>
      </w:r>
      <w:r>
        <w:rPr>
          <w:rFonts w:ascii="宋体" w:hAnsi="宋体"/>
        </w:rPr>
        <w:tab/>
      </w:r>
      <w:r>
        <w:rPr>
          <w:rFonts w:ascii="宋体" w:hAnsi="宋体"/>
        </w:rPr>
        <w:fldChar w:fldCharType="begin"/>
      </w:r>
      <w:r>
        <w:rPr>
          <w:rFonts w:ascii="宋体" w:hAnsi="宋体"/>
        </w:rPr>
        <w:instrText xml:space="preserve"> PAGEREF _Toc106883015 \h </w:instrText>
      </w:r>
      <w:r>
        <w:rPr>
          <w:rFonts w:ascii="宋体" w:hAnsi="宋体"/>
        </w:rPr>
        <w:fldChar w:fldCharType="separate"/>
      </w:r>
      <w:r>
        <w:rPr>
          <w:rFonts w:ascii="宋体" w:hAnsi="宋体"/>
        </w:rPr>
        <w:t>24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"_Toc106883016" </w:instrText>
      </w:r>
      <w:r>
        <w:fldChar w:fldCharType="separate"/>
      </w:r>
      <w:r>
        <w:rPr>
          <w:rStyle w:val="85"/>
          <w:rFonts w:ascii="宋体" w:hAnsi="宋体"/>
        </w:rPr>
        <w:t>1.14.3 用于检查及测量的仪器及设备</w:t>
      </w:r>
      <w:r>
        <w:rPr>
          <w:rFonts w:ascii="宋体" w:hAnsi="宋体"/>
        </w:rPr>
        <w:tab/>
      </w:r>
      <w:r>
        <w:rPr>
          <w:rFonts w:ascii="宋体" w:hAnsi="宋体"/>
        </w:rPr>
        <w:fldChar w:fldCharType="begin"/>
      </w:r>
      <w:r>
        <w:rPr>
          <w:rFonts w:ascii="宋体" w:hAnsi="宋体"/>
        </w:rPr>
        <w:instrText xml:space="preserve"> PAGEREF _Toc106883016 \h </w:instrText>
      </w:r>
      <w:r>
        <w:rPr>
          <w:rFonts w:ascii="宋体" w:hAnsi="宋体"/>
        </w:rPr>
        <w:fldChar w:fldCharType="separate"/>
      </w:r>
      <w:r>
        <w:rPr>
          <w:rFonts w:ascii="宋体" w:hAnsi="宋体"/>
        </w:rPr>
        <w:t>24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"_Toc106883017" </w:instrText>
      </w:r>
      <w:r>
        <w:fldChar w:fldCharType="separate"/>
      </w:r>
      <w:r>
        <w:rPr>
          <w:rStyle w:val="85"/>
          <w:rFonts w:ascii="宋体" w:hAnsi="宋体"/>
        </w:rPr>
        <w:t>1.14.4 对项目监理及其职员提供的帮助</w:t>
      </w:r>
      <w:r>
        <w:rPr>
          <w:rFonts w:ascii="宋体" w:hAnsi="宋体"/>
        </w:rPr>
        <w:tab/>
      </w:r>
      <w:r>
        <w:rPr>
          <w:rFonts w:ascii="宋体" w:hAnsi="宋体"/>
        </w:rPr>
        <w:fldChar w:fldCharType="begin"/>
      </w:r>
      <w:r>
        <w:rPr>
          <w:rFonts w:ascii="宋体" w:hAnsi="宋体"/>
        </w:rPr>
        <w:instrText xml:space="preserve"> PAGEREF _Toc106883017 \h </w:instrText>
      </w:r>
      <w:r>
        <w:rPr>
          <w:rFonts w:ascii="宋体" w:hAnsi="宋体"/>
        </w:rPr>
        <w:fldChar w:fldCharType="separate"/>
      </w:r>
      <w:r>
        <w:rPr>
          <w:rFonts w:ascii="宋体" w:hAnsi="宋体"/>
        </w:rPr>
        <w:t>24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"_Toc106883018" </w:instrText>
      </w:r>
      <w:r>
        <w:fldChar w:fldCharType="separate"/>
      </w:r>
      <w:r>
        <w:rPr>
          <w:rStyle w:val="85"/>
          <w:rFonts w:ascii="宋体" w:hAnsi="宋体"/>
        </w:rPr>
        <w:t>1.14.5 为项目监理提供的出版物</w:t>
      </w:r>
      <w:r>
        <w:rPr>
          <w:rFonts w:ascii="宋体" w:hAnsi="宋体"/>
        </w:rPr>
        <w:tab/>
      </w:r>
      <w:r>
        <w:rPr>
          <w:rFonts w:ascii="宋体" w:hAnsi="宋体"/>
        </w:rPr>
        <w:fldChar w:fldCharType="begin"/>
      </w:r>
      <w:r>
        <w:rPr>
          <w:rFonts w:ascii="宋体" w:hAnsi="宋体"/>
        </w:rPr>
        <w:instrText xml:space="preserve"> PAGEREF _Toc106883018 \h </w:instrText>
      </w:r>
      <w:r>
        <w:rPr>
          <w:rFonts w:ascii="宋体" w:hAnsi="宋体"/>
        </w:rPr>
        <w:fldChar w:fldCharType="separate"/>
      </w:r>
      <w:r>
        <w:rPr>
          <w:rFonts w:ascii="宋体" w:hAnsi="宋体"/>
        </w:rPr>
        <w:t>25</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"_Toc106883019" </w:instrText>
      </w:r>
      <w:r>
        <w:fldChar w:fldCharType="separate"/>
      </w:r>
      <w:r>
        <w:rPr>
          <w:rStyle w:val="85"/>
          <w:rFonts w:ascii="宋体" w:hAnsi="宋体"/>
        </w:rPr>
        <w:t>1.14.6 项目监理交通</w:t>
      </w:r>
      <w:r>
        <w:rPr>
          <w:rFonts w:ascii="宋体" w:hAnsi="宋体"/>
        </w:rPr>
        <w:tab/>
      </w:r>
      <w:r>
        <w:rPr>
          <w:rFonts w:ascii="宋体" w:hAnsi="宋体"/>
        </w:rPr>
        <w:fldChar w:fldCharType="begin"/>
      </w:r>
      <w:r>
        <w:rPr>
          <w:rFonts w:ascii="宋体" w:hAnsi="宋体"/>
        </w:rPr>
        <w:instrText xml:space="preserve"> PAGEREF _Toc106883019 \h </w:instrText>
      </w:r>
      <w:r>
        <w:rPr>
          <w:rFonts w:ascii="宋体" w:hAnsi="宋体"/>
        </w:rPr>
        <w:fldChar w:fldCharType="separate"/>
      </w:r>
      <w:r>
        <w:rPr>
          <w:rFonts w:ascii="宋体" w:hAnsi="宋体"/>
        </w:rPr>
        <w:t>25</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"_Toc106883020" </w:instrText>
      </w:r>
      <w:r>
        <w:fldChar w:fldCharType="separate"/>
      </w:r>
      <w:r>
        <w:rPr>
          <w:rStyle w:val="85"/>
          <w:rFonts w:ascii="宋体" w:hAnsi="宋体"/>
        </w:rPr>
        <w:t>1.15 工程管理</w:t>
      </w:r>
      <w:r>
        <w:rPr>
          <w:rStyle w:val="85"/>
          <w:rFonts w:ascii="宋体" w:hAnsi="宋体"/>
        </w:rPr>
        <w:tab/>
      </w:r>
      <w:r>
        <w:rPr>
          <w:rStyle w:val="85"/>
          <w:rFonts w:ascii="宋体" w:hAnsi="宋体"/>
        </w:rPr>
        <w:fldChar w:fldCharType="begin"/>
      </w:r>
      <w:r>
        <w:rPr>
          <w:rStyle w:val="85"/>
          <w:rFonts w:ascii="宋体" w:hAnsi="宋体"/>
        </w:rPr>
        <w:instrText xml:space="preserve"> PAGEREF _Toc106883020 \h </w:instrText>
      </w:r>
      <w:r>
        <w:rPr>
          <w:rStyle w:val="85"/>
          <w:rFonts w:ascii="宋体" w:hAnsi="宋体"/>
        </w:rPr>
        <w:fldChar w:fldCharType="separate"/>
      </w:r>
      <w:r>
        <w:rPr>
          <w:rStyle w:val="85"/>
          <w:rFonts w:ascii="宋体" w:hAnsi="宋体"/>
        </w:rPr>
        <w:t>25</w:t>
      </w:r>
      <w:r>
        <w:rPr>
          <w:rStyle w:val="85"/>
          <w:rFonts w:ascii="宋体" w:hAnsi="宋体"/>
        </w:rPr>
        <w:fldChar w:fldCharType="end"/>
      </w:r>
      <w:r>
        <w:rPr>
          <w:rStyle w:val="85"/>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"_Toc106883021" </w:instrText>
      </w:r>
      <w:r>
        <w:fldChar w:fldCharType="separate"/>
      </w:r>
      <w:r>
        <w:rPr>
          <w:rStyle w:val="85"/>
          <w:rFonts w:ascii="宋体" w:hAnsi="宋体"/>
        </w:rPr>
        <w:t>1.15.1 放线和测量</w:t>
      </w:r>
      <w:r>
        <w:rPr>
          <w:rFonts w:ascii="宋体" w:hAnsi="宋体"/>
        </w:rPr>
        <w:tab/>
      </w:r>
      <w:r>
        <w:rPr>
          <w:rFonts w:ascii="宋体" w:hAnsi="宋体"/>
        </w:rPr>
        <w:fldChar w:fldCharType="begin"/>
      </w:r>
      <w:r>
        <w:rPr>
          <w:rFonts w:ascii="宋体" w:hAnsi="宋体"/>
        </w:rPr>
        <w:instrText xml:space="preserve"> PAGEREF _Toc106883021 \h </w:instrText>
      </w:r>
      <w:r>
        <w:rPr>
          <w:rFonts w:ascii="宋体" w:hAnsi="宋体"/>
        </w:rPr>
        <w:fldChar w:fldCharType="separate"/>
      </w:r>
      <w:r>
        <w:rPr>
          <w:rFonts w:ascii="宋体" w:hAnsi="宋体"/>
        </w:rPr>
        <w:t>25</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"_Toc106883022" </w:instrText>
      </w:r>
      <w:r>
        <w:fldChar w:fldCharType="separate"/>
      </w:r>
      <w:r>
        <w:rPr>
          <w:rStyle w:val="85"/>
          <w:rFonts w:ascii="宋体" w:hAnsi="宋体"/>
        </w:rPr>
        <w:t>1.15.2 承包商的月报表</w:t>
      </w:r>
      <w:r>
        <w:rPr>
          <w:rFonts w:ascii="宋体" w:hAnsi="宋体"/>
        </w:rPr>
        <w:tab/>
      </w:r>
      <w:r>
        <w:rPr>
          <w:rFonts w:ascii="宋体" w:hAnsi="宋体"/>
        </w:rPr>
        <w:fldChar w:fldCharType="begin"/>
      </w:r>
      <w:r>
        <w:rPr>
          <w:rFonts w:ascii="宋体" w:hAnsi="宋体"/>
        </w:rPr>
        <w:instrText xml:space="preserve"> PAGEREF _Toc106883022 \h </w:instrText>
      </w:r>
      <w:r>
        <w:rPr>
          <w:rFonts w:ascii="宋体" w:hAnsi="宋体"/>
        </w:rPr>
        <w:fldChar w:fldCharType="separate"/>
      </w:r>
      <w:r>
        <w:rPr>
          <w:rFonts w:ascii="宋体" w:hAnsi="宋体"/>
        </w:rPr>
        <w:t>25</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"_Toc106883023" </w:instrText>
      </w:r>
      <w:r>
        <w:fldChar w:fldCharType="separate"/>
      </w:r>
      <w:r>
        <w:rPr>
          <w:rStyle w:val="85"/>
          <w:rFonts w:ascii="宋体" w:hAnsi="宋体"/>
        </w:rPr>
        <w:t>1.15.3 照片</w:t>
      </w:r>
      <w:r>
        <w:rPr>
          <w:rFonts w:ascii="宋体" w:hAnsi="宋体"/>
        </w:rPr>
        <w:tab/>
      </w:r>
      <w:r>
        <w:rPr>
          <w:rFonts w:ascii="宋体" w:hAnsi="宋体"/>
        </w:rPr>
        <w:fldChar w:fldCharType="begin"/>
      </w:r>
      <w:r>
        <w:rPr>
          <w:rFonts w:ascii="宋体" w:hAnsi="宋体"/>
        </w:rPr>
        <w:instrText xml:space="preserve"> PAGEREF _Toc106883023 \h </w:instrText>
      </w:r>
      <w:r>
        <w:rPr>
          <w:rFonts w:ascii="宋体" w:hAnsi="宋体"/>
        </w:rPr>
        <w:fldChar w:fldCharType="separate"/>
      </w:r>
      <w:r>
        <w:rPr>
          <w:rFonts w:ascii="宋体" w:hAnsi="宋体"/>
        </w:rPr>
        <w:t>26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"_Toc106883024" </w:instrText>
      </w:r>
      <w:r>
        <w:fldChar w:fldCharType="separate"/>
      </w:r>
      <w:r>
        <w:rPr>
          <w:rStyle w:val="85"/>
          <w:rFonts w:ascii="宋体" w:hAnsi="宋体"/>
        </w:rPr>
        <w:t>1.15.4 工地现场的排水</w:t>
      </w:r>
      <w:r>
        <w:rPr>
          <w:rFonts w:ascii="宋体" w:hAnsi="宋体"/>
        </w:rPr>
        <w:tab/>
      </w:r>
      <w:r>
        <w:rPr>
          <w:rFonts w:ascii="宋体" w:hAnsi="宋体"/>
        </w:rPr>
        <w:fldChar w:fldCharType="begin"/>
      </w:r>
      <w:r>
        <w:rPr>
          <w:rFonts w:ascii="宋体" w:hAnsi="宋体"/>
        </w:rPr>
        <w:instrText xml:space="preserve"> PAGEREF _Toc106883024 \h </w:instrText>
      </w:r>
      <w:r>
        <w:rPr>
          <w:rFonts w:ascii="宋体" w:hAnsi="宋体"/>
        </w:rPr>
        <w:fldChar w:fldCharType="separate"/>
      </w:r>
      <w:r>
        <w:rPr>
          <w:rFonts w:ascii="宋体" w:hAnsi="宋体"/>
        </w:rPr>
        <w:t>26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"_Toc106883025" </w:instrText>
      </w:r>
      <w:r>
        <w:fldChar w:fldCharType="separate"/>
      </w:r>
      <w:r>
        <w:rPr>
          <w:rStyle w:val="85"/>
          <w:rFonts w:ascii="宋体" w:hAnsi="宋体"/>
        </w:rPr>
        <w:t>1.15.5 工地现场的清洁</w:t>
      </w:r>
      <w:r>
        <w:rPr>
          <w:rFonts w:ascii="宋体" w:hAnsi="宋体"/>
        </w:rPr>
        <w:tab/>
      </w:r>
      <w:r>
        <w:rPr>
          <w:rFonts w:ascii="宋体" w:hAnsi="宋体"/>
        </w:rPr>
        <w:fldChar w:fldCharType="begin"/>
      </w:r>
      <w:r>
        <w:rPr>
          <w:rFonts w:ascii="宋体" w:hAnsi="宋体"/>
        </w:rPr>
        <w:instrText xml:space="preserve"> PAGEREF _Toc106883025 \h </w:instrText>
      </w:r>
      <w:r>
        <w:rPr>
          <w:rFonts w:ascii="宋体" w:hAnsi="宋体"/>
        </w:rPr>
        <w:fldChar w:fldCharType="separate"/>
      </w:r>
      <w:r>
        <w:rPr>
          <w:rFonts w:ascii="宋体" w:hAnsi="宋体"/>
        </w:rPr>
        <w:t>26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"_Toc106883026" </w:instrText>
      </w:r>
      <w:r>
        <w:fldChar w:fldCharType="separate"/>
      </w:r>
      <w:r>
        <w:rPr>
          <w:rStyle w:val="85"/>
          <w:rFonts w:ascii="宋体" w:hAnsi="宋体"/>
        </w:rPr>
        <w:t>1.15.6 噪音控制</w:t>
      </w:r>
      <w:r>
        <w:rPr>
          <w:rFonts w:ascii="宋体" w:hAnsi="宋体"/>
        </w:rPr>
        <w:tab/>
      </w:r>
      <w:r>
        <w:rPr>
          <w:rFonts w:ascii="宋体" w:hAnsi="宋体"/>
        </w:rPr>
        <w:fldChar w:fldCharType="begin"/>
      </w:r>
      <w:r>
        <w:rPr>
          <w:rFonts w:ascii="宋体" w:hAnsi="宋体"/>
        </w:rPr>
        <w:instrText xml:space="preserve"> PAGEREF _Toc106883026 \h </w:instrText>
      </w:r>
      <w:r>
        <w:rPr>
          <w:rFonts w:ascii="宋体" w:hAnsi="宋体"/>
        </w:rPr>
        <w:fldChar w:fldCharType="separate"/>
      </w:r>
      <w:r>
        <w:rPr>
          <w:rFonts w:ascii="宋体" w:hAnsi="宋体"/>
        </w:rPr>
        <w:t>27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"_Toc106883027" </w:instrText>
      </w:r>
      <w:r>
        <w:fldChar w:fldCharType="separate"/>
      </w:r>
      <w:r>
        <w:rPr>
          <w:rStyle w:val="85"/>
          <w:rFonts w:ascii="宋体" w:hAnsi="宋体"/>
        </w:rPr>
        <w:t>1.15.7 公路地段、市政道路地段的工程施工</w:t>
      </w:r>
      <w:r>
        <w:rPr>
          <w:rFonts w:ascii="宋体" w:hAnsi="宋体"/>
        </w:rPr>
        <w:tab/>
      </w:r>
      <w:r>
        <w:rPr>
          <w:rFonts w:ascii="宋体" w:hAnsi="宋体"/>
        </w:rPr>
        <w:fldChar w:fldCharType="begin"/>
      </w:r>
      <w:r>
        <w:rPr>
          <w:rFonts w:ascii="宋体" w:hAnsi="宋体"/>
        </w:rPr>
        <w:instrText xml:space="preserve"> PAGEREF _Toc106883027 \h </w:instrText>
      </w:r>
      <w:r>
        <w:rPr>
          <w:rFonts w:ascii="宋体" w:hAnsi="宋体"/>
        </w:rPr>
        <w:fldChar w:fldCharType="separate"/>
      </w:r>
      <w:r>
        <w:rPr>
          <w:rFonts w:ascii="宋体" w:hAnsi="宋体"/>
        </w:rPr>
        <w:t>27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"_Toc106883028" </w:instrText>
      </w:r>
      <w:r>
        <w:fldChar w:fldCharType="separate"/>
      </w:r>
      <w:r>
        <w:rPr>
          <w:rStyle w:val="85"/>
          <w:rFonts w:ascii="宋体" w:hAnsi="宋体"/>
        </w:rPr>
        <w:t>1.15.8 防火</w:t>
      </w:r>
      <w:r>
        <w:rPr>
          <w:rFonts w:ascii="宋体" w:hAnsi="宋体"/>
        </w:rPr>
        <w:tab/>
      </w:r>
      <w:r>
        <w:rPr>
          <w:rFonts w:ascii="宋体" w:hAnsi="宋体"/>
        </w:rPr>
        <w:fldChar w:fldCharType="begin"/>
      </w:r>
      <w:r>
        <w:rPr>
          <w:rFonts w:ascii="宋体" w:hAnsi="宋体"/>
        </w:rPr>
        <w:instrText xml:space="preserve"> PAGEREF _Toc106883028 \h </w:instrText>
      </w:r>
      <w:r>
        <w:rPr>
          <w:rFonts w:ascii="宋体" w:hAnsi="宋体"/>
        </w:rPr>
        <w:fldChar w:fldCharType="separate"/>
      </w:r>
      <w:r>
        <w:rPr>
          <w:rFonts w:ascii="宋体" w:hAnsi="宋体"/>
        </w:rPr>
        <w:t>27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"_Toc106883029" </w:instrText>
      </w:r>
      <w:r>
        <w:fldChar w:fldCharType="separate"/>
      </w:r>
      <w:r>
        <w:rPr>
          <w:rStyle w:val="85"/>
          <w:rFonts w:ascii="宋体" w:hAnsi="宋体"/>
        </w:rPr>
        <w:t>1.15.9 通风</w:t>
      </w:r>
      <w:r>
        <w:rPr>
          <w:rFonts w:ascii="宋体" w:hAnsi="宋体"/>
        </w:rPr>
        <w:tab/>
      </w:r>
      <w:r>
        <w:rPr>
          <w:rFonts w:ascii="宋体" w:hAnsi="宋体"/>
        </w:rPr>
        <w:fldChar w:fldCharType="begin"/>
      </w:r>
      <w:r>
        <w:rPr>
          <w:rFonts w:ascii="宋体" w:hAnsi="宋体"/>
        </w:rPr>
        <w:instrText xml:space="preserve"> PAGEREF _Toc106883029 \h </w:instrText>
      </w:r>
      <w:r>
        <w:rPr>
          <w:rFonts w:ascii="宋体" w:hAnsi="宋体"/>
        </w:rPr>
        <w:fldChar w:fldCharType="separate"/>
      </w:r>
      <w:r>
        <w:rPr>
          <w:rFonts w:ascii="宋体" w:hAnsi="宋体"/>
        </w:rPr>
        <w:t>28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"_Toc106883030" </w:instrText>
      </w:r>
      <w:r>
        <w:fldChar w:fldCharType="separate"/>
      </w:r>
      <w:r>
        <w:rPr>
          <w:rStyle w:val="85"/>
          <w:rFonts w:ascii="宋体" w:hAnsi="宋体"/>
        </w:rPr>
        <w:t>1.15.10 照明</w:t>
      </w:r>
      <w:r>
        <w:rPr>
          <w:rFonts w:ascii="宋体" w:hAnsi="宋体"/>
        </w:rPr>
        <w:tab/>
      </w:r>
      <w:r>
        <w:rPr>
          <w:rFonts w:ascii="宋体" w:hAnsi="宋体"/>
        </w:rPr>
        <w:fldChar w:fldCharType="begin"/>
      </w:r>
      <w:r>
        <w:rPr>
          <w:rFonts w:ascii="宋体" w:hAnsi="宋体"/>
        </w:rPr>
        <w:instrText xml:space="preserve"> PAGEREF _Toc106883030 \h </w:instrText>
      </w:r>
      <w:r>
        <w:rPr>
          <w:rFonts w:ascii="宋体" w:hAnsi="宋体"/>
        </w:rPr>
        <w:fldChar w:fldCharType="separate"/>
      </w:r>
      <w:r>
        <w:rPr>
          <w:rFonts w:ascii="宋体" w:hAnsi="宋体"/>
        </w:rPr>
        <w:t>28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"_Toc106883031" </w:instrText>
      </w:r>
      <w:r>
        <w:fldChar w:fldCharType="separate"/>
      </w:r>
      <w:r>
        <w:rPr>
          <w:rStyle w:val="85"/>
          <w:rFonts w:ascii="宋体" w:hAnsi="宋体"/>
        </w:rPr>
        <w:t>1.15.11 焊接</w:t>
      </w:r>
      <w:r>
        <w:rPr>
          <w:rFonts w:ascii="宋体" w:hAnsi="宋体"/>
        </w:rPr>
        <w:tab/>
      </w:r>
      <w:r>
        <w:rPr>
          <w:rFonts w:ascii="宋体" w:hAnsi="宋体"/>
        </w:rPr>
        <w:fldChar w:fldCharType="begin"/>
      </w:r>
      <w:r>
        <w:rPr>
          <w:rFonts w:ascii="宋体" w:hAnsi="宋体"/>
        </w:rPr>
        <w:instrText xml:space="preserve"> PAGEREF _Toc106883031 \h </w:instrText>
      </w:r>
      <w:r>
        <w:rPr>
          <w:rFonts w:ascii="宋体" w:hAnsi="宋体"/>
        </w:rPr>
        <w:fldChar w:fldCharType="separate"/>
      </w:r>
      <w:r>
        <w:rPr>
          <w:rFonts w:ascii="宋体" w:hAnsi="宋体"/>
        </w:rPr>
        <w:t>29</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"_Toc106883032" </w:instrText>
      </w:r>
      <w:r>
        <w:fldChar w:fldCharType="separate"/>
      </w:r>
      <w:r>
        <w:rPr>
          <w:rStyle w:val="85"/>
          <w:rFonts w:ascii="宋体" w:hAnsi="宋体"/>
        </w:rPr>
        <w:t>1.15.12 工地现场的标识和标记</w:t>
      </w:r>
      <w:r>
        <w:rPr>
          <w:rFonts w:ascii="宋体" w:hAnsi="宋体"/>
        </w:rPr>
        <w:tab/>
      </w:r>
      <w:r>
        <w:rPr>
          <w:rFonts w:ascii="宋体" w:hAnsi="宋体"/>
        </w:rPr>
        <w:fldChar w:fldCharType="begin"/>
      </w:r>
      <w:r>
        <w:rPr>
          <w:rFonts w:ascii="宋体" w:hAnsi="宋体"/>
        </w:rPr>
        <w:instrText xml:space="preserve"> PAGEREF _Toc106883032 \h </w:instrText>
      </w:r>
      <w:r>
        <w:rPr>
          <w:rFonts w:ascii="宋体" w:hAnsi="宋体"/>
        </w:rPr>
        <w:fldChar w:fldCharType="separate"/>
      </w:r>
      <w:r>
        <w:rPr>
          <w:rFonts w:ascii="宋体" w:hAnsi="宋体"/>
        </w:rPr>
        <w:t>29</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"_Toc106883036" </w:instrText>
      </w:r>
      <w:r>
        <w:fldChar w:fldCharType="separate"/>
      </w:r>
      <w:r>
        <w:rPr>
          <w:rStyle w:val="85"/>
          <w:rFonts w:ascii="宋体" w:hAnsi="宋体"/>
        </w:rPr>
        <w:t>1.15.13 施工协调</w:t>
      </w:r>
      <w:r>
        <w:rPr>
          <w:rFonts w:ascii="宋体" w:hAnsi="宋体"/>
        </w:rPr>
        <w:tab/>
      </w:r>
      <w:r>
        <w:rPr>
          <w:rFonts w:ascii="宋体" w:hAnsi="宋体"/>
        </w:rPr>
        <w:fldChar w:fldCharType="begin"/>
      </w:r>
      <w:r>
        <w:rPr>
          <w:rFonts w:ascii="宋体" w:hAnsi="宋体"/>
        </w:rPr>
        <w:instrText xml:space="preserve"> PAGEREF _Toc106883036 \h </w:instrText>
      </w:r>
      <w:r>
        <w:rPr>
          <w:rFonts w:ascii="宋体" w:hAnsi="宋体"/>
        </w:rPr>
        <w:fldChar w:fldCharType="separate"/>
      </w:r>
      <w:r>
        <w:rPr>
          <w:rFonts w:ascii="宋体" w:hAnsi="宋体"/>
        </w:rPr>
        <w:t>30</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"_Toc106883037" </w:instrText>
      </w:r>
      <w:r>
        <w:fldChar w:fldCharType="separate"/>
      </w:r>
      <w:r>
        <w:rPr>
          <w:rStyle w:val="85"/>
          <w:rFonts w:ascii="宋体" w:hAnsi="宋体"/>
        </w:rPr>
        <w:t>1.15.14 工程会议</w:t>
      </w:r>
      <w:r>
        <w:rPr>
          <w:rFonts w:ascii="宋体" w:hAnsi="宋体"/>
        </w:rPr>
        <w:tab/>
      </w:r>
      <w:r>
        <w:rPr>
          <w:rFonts w:ascii="宋体" w:hAnsi="宋体"/>
        </w:rPr>
        <w:fldChar w:fldCharType="begin"/>
      </w:r>
      <w:r>
        <w:rPr>
          <w:rFonts w:ascii="宋体" w:hAnsi="宋体"/>
        </w:rPr>
        <w:instrText xml:space="preserve"> PAGEREF _Toc106883037 \h </w:instrText>
      </w:r>
      <w:r>
        <w:rPr>
          <w:rFonts w:ascii="宋体" w:hAnsi="宋体"/>
        </w:rPr>
        <w:fldChar w:fldCharType="separate"/>
      </w:r>
      <w:r>
        <w:rPr>
          <w:rFonts w:ascii="宋体" w:hAnsi="宋体"/>
        </w:rPr>
        <w:t>30</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"_Toc106883038" </w:instrText>
      </w:r>
      <w:r>
        <w:fldChar w:fldCharType="separate"/>
      </w:r>
      <w:r>
        <w:rPr>
          <w:rStyle w:val="85"/>
          <w:rFonts w:ascii="宋体" w:hAnsi="宋体"/>
        </w:rPr>
        <w:t>1.15.15 工地现场安全规范</w:t>
      </w:r>
      <w:r>
        <w:rPr>
          <w:rFonts w:ascii="宋体" w:hAnsi="宋体"/>
        </w:rPr>
        <w:tab/>
      </w:r>
      <w:r>
        <w:rPr>
          <w:rFonts w:ascii="宋体" w:hAnsi="宋体"/>
        </w:rPr>
        <w:fldChar w:fldCharType="begin"/>
      </w:r>
      <w:r>
        <w:rPr>
          <w:rFonts w:ascii="宋体" w:hAnsi="宋体"/>
        </w:rPr>
        <w:instrText xml:space="preserve"> PAGEREF _Toc106883038 \h </w:instrText>
      </w:r>
      <w:r>
        <w:rPr>
          <w:rFonts w:ascii="宋体" w:hAnsi="宋体"/>
        </w:rPr>
        <w:fldChar w:fldCharType="separate"/>
      </w:r>
      <w:r>
        <w:rPr>
          <w:rFonts w:ascii="宋体" w:hAnsi="宋体"/>
        </w:rPr>
        <w:t>30</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"_Toc106883039" </w:instrText>
      </w:r>
      <w:r>
        <w:fldChar w:fldCharType="separate"/>
      </w:r>
      <w:r>
        <w:rPr>
          <w:rStyle w:val="85"/>
          <w:rFonts w:ascii="宋体" w:hAnsi="宋体"/>
        </w:rPr>
        <w:t>1.15.16 紧急救护</w:t>
      </w:r>
      <w:r>
        <w:rPr>
          <w:rFonts w:ascii="宋体" w:hAnsi="宋体"/>
        </w:rPr>
        <w:tab/>
      </w:r>
      <w:r>
        <w:rPr>
          <w:rFonts w:ascii="宋体" w:hAnsi="宋体"/>
        </w:rPr>
        <w:fldChar w:fldCharType="begin"/>
      </w:r>
      <w:r>
        <w:rPr>
          <w:rFonts w:ascii="宋体" w:hAnsi="宋体"/>
        </w:rPr>
        <w:instrText xml:space="preserve"> PAGEREF _Toc106883039 \h </w:instrText>
      </w:r>
      <w:r>
        <w:rPr>
          <w:rFonts w:ascii="宋体" w:hAnsi="宋体"/>
        </w:rPr>
        <w:fldChar w:fldCharType="separate"/>
      </w:r>
      <w:r>
        <w:rPr>
          <w:rFonts w:ascii="宋体" w:hAnsi="宋体"/>
        </w:rPr>
        <w:t>31</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"_Toc106883040" </w:instrText>
      </w:r>
      <w:r>
        <w:fldChar w:fldCharType="separate"/>
      </w:r>
      <w:r>
        <w:rPr>
          <w:rStyle w:val="85"/>
          <w:rFonts w:ascii="宋体" w:hAnsi="宋体"/>
        </w:rPr>
        <w:t>1.15.17 宣传和参观者</w:t>
      </w:r>
      <w:r>
        <w:rPr>
          <w:rFonts w:ascii="宋体" w:hAnsi="宋体"/>
        </w:rPr>
        <w:tab/>
      </w:r>
      <w:r>
        <w:rPr>
          <w:rFonts w:ascii="宋体" w:hAnsi="宋体"/>
        </w:rPr>
        <w:fldChar w:fldCharType="begin"/>
      </w:r>
      <w:r>
        <w:rPr>
          <w:rFonts w:ascii="宋体" w:hAnsi="宋体"/>
        </w:rPr>
        <w:instrText xml:space="preserve"> PAGEREF _Toc106883040 \h </w:instrText>
      </w:r>
      <w:r>
        <w:rPr>
          <w:rFonts w:ascii="宋体" w:hAnsi="宋体"/>
        </w:rPr>
        <w:fldChar w:fldCharType="separate"/>
      </w:r>
      <w:r>
        <w:rPr>
          <w:rFonts w:ascii="宋体" w:hAnsi="宋体"/>
        </w:rPr>
        <w:t>31</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"_Toc106883041" </w:instrText>
      </w:r>
      <w:r>
        <w:fldChar w:fldCharType="separate"/>
      </w:r>
      <w:r>
        <w:rPr>
          <w:rStyle w:val="85"/>
          <w:rFonts w:ascii="宋体" w:hAnsi="宋体"/>
        </w:rPr>
        <w:t>1.15.18 许可证和操作保养手册</w:t>
      </w:r>
      <w:r>
        <w:rPr>
          <w:rFonts w:ascii="宋体" w:hAnsi="宋体"/>
        </w:rPr>
        <w:tab/>
      </w:r>
      <w:r>
        <w:rPr>
          <w:rFonts w:ascii="宋体" w:hAnsi="宋体"/>
        </w:rPr>
        <w:fldChar w:fldCharType="begin"/>
      </w:r>
      <w:r>
        <w:rPr>
          <w:rFonts w:ascii="宋体" w:hAnsi="宋体"/>
        </w:rPr>
        <w:instrText xml:space="preserve"> PAGEREF _Toc106883041 \h </w:instrText>
      </w:r>
      <w:r>
        <w:rPr>
          <w:rFonts w:ascii="宋体" w:hAnsi="宋体"/>
        </w:rPr>
        <w:fldChar w:fldCharType="separate"/>
      </w:r>
      <w:r>
        <w:rPr>
          <w:rFonts w:ascii="宋体" w:hAnsi="宋体"/>
        </w:rPr>
        <w:t>32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"_Toc106883042" </w:instrText>
      </w:r>
      <w:r>
        <w:fldChar w:fldCharType="separate"/>
      </w:r>
      <w:r>
        <w:rPr>
          <w:rStyle w:val="85"/>
          <w:rFonts w:ascii="宋体" w:hAnsi="宋体"/>
        </w:rPr>
        <w:t>1.15.19 人身伤害和财产损失的索赔程序</w:t>
      </w:r>
      <w:r>
        <w:rPr>
          <w:rFonts w:ascii="宋体" w:hAnsi="宋体"/>
        </w:rPr>
        <w:tab/>
      </w:r>
      <w:r>
        <w:rPr>
          <w:rFonts w:ascii="宋体" w:hAnsi="宋体"/>
        </w:rPr>
        <w:fldChar w:fldCharType="begin"/>
      </w:r>
      <w:r>
        <w:rPr>
          <w:rFonts w:ascii="宋体" w:hAnsi="宋体"/>
        </w:rPr>
        <w:instrText xml:space="preserve"> PAGEREF _Toc106883042 \h </w:instrText>
      </w:r>
      <w:r>
        <w:rPr>
          <w:rFonts w:ascii="宋体" w:hAnsi="宋体"/>
        </w:rPr>
        <w:fldChar w:fldCharType="separate"/>
      </w:r>
      <w:r>
        <w:rPr>
          <w:rFonts w:ascii="宋体" w:hAnsi="宋体"/>
        </w:rPr>
        <w:t>32</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"_Toc106883043" </w:instrText>
      </w:r>
      <w:r>
        <w:fldChar w:fldCharType="separate"/>
      </w:r>
      <w:r>
        <w:rPr>
          <w:rStyle w:val="85"/>
          <w:rFonts w:ascii="宋体" w:hAnsi="宋体"/>
        </w:rPr>
        <w:t>1.16 工程量计量方法</w:t>
      </w:r>
      <w:r>
        <w:rPr>
          <w:rStyle w:val="85"/>
          <w:rFonts w:ascii="宋体" w:hAnsi="宋体"/>
        </w:rPr>
        <w:tab/>
      </w:r>
      <w:r>
        <w:rPr>
          <w:rStyle w:val="85"/>
          <w:rFonts w:ascii="宋体" w:hAnsi="宋体"/>
        </w:rPr>
        <w:fldChar w:fldCharType="begin"/>
      </w:r>
      <w:r>
        <w:rPr>
          <w:rStyle w:val="85"/>
          <w:rFonts w:ascii="宋体" w:hAnsi="宋体"/>
        </w:rPr>
        <w:instrText xml:space="preserve"> PAGEREF _Toc106883043 \h </w:instrText>
      </w:r>
      <w:r>
        <w:rPr>
          <w:rStyle w:val="85"/>
          <w:rFonts w:ascii="宋体" w:hAnsi="宋体"/>
        </w:rPr>
        <w:fldChar w:fldCharType="separate"/>
      </w:r>
      <w:r>
        <w:rPr>
          <w:rStyle w:val="85"/>
          <w:rFonts w:ascii="宋体" w:hAnsi="宋体"/>
        </w:rPr>
        <w:t>32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"_Toc106883044" </w:instrText>
      </w:r>
      <w:r>
        <w:fldChar w:fldCharType="separate"/>
      </w:r>
      <w:r>
        <w:rPr>
          <w:rStyle w:val="85"/>
          <w:rFonts w:ascii="宋体" w:hAnsi="宋体"/>
          <w:bCs/>
        </w:rPr>
        <w:t>1.16.1 说明</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_Toc106883044 \h </w:instrText>
      </w:r>
      <w:r>
        <w:rPr>
          <w:rStyle w:val="85"/>
          <w:rFonts w:ascii="宋体" w:hAnsi="宋体"/>
          <w:bCs/>
        </w:rPr>
        <w:fldChar w:fldCharType="separate"/>
      </w:r>
      <w:r>
        <w:rPr>
          <w:rStyle w:val="85"/>
          <w:rFonts w:ascii="宋体" w:hAnsi="宋体"/>
          <w:bCs/>
        </w:rPr>
        <w:t>33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"_Toc106883045" </w:instrText>
      </w:r>
      <w:r>
        <w:fldChar w:fldCharType="separate"/>
      </w:r>
      <w:r>
        <w:rPr>
          <w:rStyle w:val="85"/>
          <w:rFonts w:ascii="宋体" w:hAnsi="宋体"/>
          <w:bCs/>
        </w:rPr>
        <w:t>1.16.2 重量计量的计算</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_Toc106883045 \h </w:instrText>
      </w:r>
      <w:r>
        <w:rPr>
          <w:rStyle w:val="85"/>
          <w:rFonts w:ascii="宋体" w:hAnsi="宋体"/>
          <w:bCs/>
        </w:rPr>
        <w:fldChar w:fldCharType="separate"/>
      </w:r>
      <w:r>
        <w:rPr>
          <w:rStyle w:val="85"/>
          <w:rFonts w:ascii="宋体" w:hAnsi="宋体"/>
          <w:bCs/>
        </w:rPr>
        <w:t>33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"_Toc106883046" </w:instrText>
      </w:r>
      <w:r>
        <w:fldChar w:fldCharType="separate"/>
      </w:r>
      <w:r>
        <w:rPr>
          <w:rStyle w:val="85"/>
          <w:rFonts w:ascii="宋体" w:hAnsi="宋体"/>
          <w:bCs/>
        </w:rPr>
        <w:t>1.16.3 面积计量的计算</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_Toc106883046 \h </w:instrText>
      </w:r>
      <w:r>
        <w:rPr>
          <w:rStyle w:val="85"/>
          <w:rFonts w:ascii="宋体" w:hAnsi="宋体"/>
          <w:bCs/>
        </w:rPr>
        <w:fldChar w:fldCharType="separate"/>
      </w:r>
      <w:r>
        <w:rPr>
          <w:rStyle w:val="85"/>
          <w:rFonts w:ascii="宋体" w:hAnsi="宋体"/>
          <w:bCs/>
        </w:rPr>
        <w:t>33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"_Toc106883047" </w:instrText>
      </w:r>
      <w:r>
        <w:fldChar w:fldCharType="separate"/>
      </w:r>
      <w:r>
        <w:rPr>
          <w:rStyle w:val="85"/>
          <w:rFonts w:ascii="宋体" w:hAnsi="宋体"/>
          <w:bCs/>
        </w:rPr>
        <w:t>1.16.4 体积计量的计算</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_Toc106883047 \h </w:instrText>
      </w:r>
      <w:r>
        <w:rPr>
          <w:rStyle w:val="85"/>
          <w:rFonts w:ascii="宋体" w:hAnsi="宋体"/>
          <w:bCs/>
        </w:rPr>
        <w:fldChar w:fldCharType="separate"/>
      </w:r>
      <w:r>
        <w:rPr>
          <w:rStyle w:val="85"/>
          <w:rFonts w:ascii="宋体" w:hAnsi="宋体"/>
          <w:bCs/>
        </w:rPr>
        <w:t>33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"_Toc106883048" </w:instrText>
      </w:r>
      <w:r>
        <w:fldChar w:fldCharType="separate"/>
      </w:r>
      <w:r>
        <w:rPr>
          <w:rStyle w:val="85"/>
          <w:rFonts w:ascii="宋体" w:hAnsi="宋体"/>
          <w:bCs/>
        </w:rPr>
        <w:t>1.16.5 长度计量的计算</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_Toc106883048 \h </w:instrText>
      </w:r>
      <w:r>
        <w:rPr>
          <w:rStyle w:val="85"/>
          <w:rFonts w:ascii="宋体" w:hAnsi="宋体"/>
          <w:bCs/>
        </w:rPr>
        <w:fldChar w:fldCharType="separate"/>
      </w:r>
      <w:r>
        <w:rPr>
          <w:rStyle w:val="85"/>
          <w:rFonts w:ascii="宋体" w:hAnsi="宋体"/>
          <w:bCs/>
        </w:rPr>
        <w:t>33</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"_Toc106883049" </w:instrText>
      </w:r>
      <w:r>
        <w:fldChar w:fldCharType="separate"/>
      </w:r>
      <w:r>
        <w:rPr>
          <w:rStyle w:val="85"/>
          <w:rFonts w:ascii="宋体" w:hAnsi="宋体"/>
        </w:rPr>
        <w:t>1.17 计量和支付</w:t>
      </w:r>
      <w:r>
        <w:rPr>
          <w:rStyle w:val="85"/>
          <w:rFonts w:ascii="宋体" w:hAnsi="宋体"/>
        </w:rPr>
        <w:tab/>
      </w:r>
      <w:r>
        <w:rPr>
          <w:rStyle w:val="85"/>
          <w:rFonts w:ascii="宋体" w:hAnsi="宋体"/>
        </w:rPr>
        <w:fldChar w:fldCharType="begin"/>
      </w:r>
      <w:r>
        <w:rPr>
          <w:rStyle w:val="85"/>
          <w:rFonts w:ascii="宋体" w:hAnsi="宋体"/>
        </w:rPr>
        <w:instrText xml:space="preserve"> PAGEREF _Toc106883049 \h </w:instrText>
      </w:r>
      <w:r>
        <w:rPr>
          <w:rStyle w:val="85"/>
          <w:rFonts w:ascii="宋体" w:hAnsi="宋体"/>
        </w:rPr>
        <w:fldChar w:fldCharType="separate"/>
      </w:r>
      <w:r>
        <w:rPr>
          <w:rStyle w:val="85"/>
          <w:rFonts w:ascii="宋体" w:hAnsi="宋体"/>
        </w:rPr>
        <w:t>33</w:t>
      </w:r>
      <w:r>
        <w:rPr>
          <w:rStyle w:val="85"/>
          <w:rFonts w:ascii="宋体" w:hAnsi="宋体"/>
        </w:rPr>
        <w:fldChar w:fldCharType="end"/>
      </w:r>
      <w:r>
        <w:rPr>
          <w:rStyle w:val="85"/>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"_Toc106883050" </w:instrText>
      </w:r>
      <w:r>
        <w:fldChar w:fldCharType="separate"/>
      </w:r>
      <w:r>
        <w:rPr>
          <w:rStyle w:val="85"/>
          <w:rFonts w:ascii="宋体" w:hAnsi="宋体"/>
        </w:rPr>
        <w:t>2 土石方工程</w:t>
      </w:r>
      <w:r>
        <w:rPr>
          <w:rFonts w:ascii="宋体" w:hAnsi="宋体"/>
        </w:rPr>
        <w:tab/>
      </w:r>
      <w:r>
        <w:rPr>
          <w:rFonts w:ascii="宋体" w:hAnsi="宋体"/>
        </w:rPr>
        <w:fldChar w:fldCharType="begin"/>
      </w:r>
      <w:r>
        <w:rPr>
          <w:rFonts w:ascii="宋体" w:hAnsi="宋体"/>
        </w:rPr>
        <w:instrText xml:space="preserve"> PAGEREF _Toc106883050 \h </w:instrText>
      </w:r>
      <w:r>
        <w:rPr>
          <w:rFonts w:ascii="宋体" w:hAnsi="宋体"/>
        </w:rPr>
        <w:fldChar w:fldCharType="separate"/>
      </w:r>
      <w:r>
        <w:rPr>
          <w:rFonts w:ascii="宋体" w:hAnsi="宋体"/>
        </w:rPr>
        <w:t>34</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"_Toc106883051" </w:instrText>
      </w:r>
      <w:r>
        <w:fldChar w:fldCharType="separate"/>
      </w:r>
      <w:r>
        <w:rPr>
          <w:rStyle w:val="85"/>
          <w:rFonts w:ascii="宋体" w:hAnsi="宋体"/>
        </w:rPr>
        <w:t>2.1 适用标准</w:t>
      </w:r>
      <w:r>
        <w:rPr>
          <w:rStyle w:val="85"/>
          <w:rFonts w:ascii="宋体" w:hAnsi="宋体"/>
        </w:rPr>
        <w:tab/>
      </w:r>
      <w:r>
        <w:rPr>
          <w:rStyle w:val="85"/>
          <w:rFonts w:ascii="宋体" w:hAnsi="宋体"/>
        </w:rPr>
        <w:fldChar w:fldCharType="begin"/>
      </w:r>
      <w:r>
        <w:rPr>
          <w:rStyle w:val="85"/>
          <w:rFonts w:ascii="宋体" w:hAnsi="宋体"/>
        </w:rPr>
        <w:instrText xml:space="preserve"> PAGEREF _Toc106883051 \h </w:instrText>
      </w:r>
      <w:r>
        <w:rPr>
          <w:rStyle w:val="85"/>
          <w:rFonts w:ascii="宋体" w:hAnsi="宋体"/>
        </w:rPr>
        <w:fldChar w:fldCharType="separate"/>
      </w:r>
      <w:r>
        <w:rPr>
          <w:rStyle w:val="85"/>
          <w:rFonts w:ascii="宋体" w:hAnsi="宋体"/>
        </w:rPr>
        <w:t>34</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"_Toc106883052" </w:instrText>
      </w:r>
      <w:r>
        <w:fldChar w:fldCharType="separate"/>
      </w:r>
      <w:r>
        <w:rPr>
          <w:rStyle w:val="85"/>
          <w:rFonts w:ascii="宋体" w:hAnsi="宋体"/>
        </w:rPr>
        <w:t>2.2 由承包商提交的文件</w:t>
      </w:r>
      <w:r>
        <w:rPr>
          <w:rStyle w:val="85"/>
          <w:rFonts w:ascii="宋体" w:hAnsi="宋体"/>
        </w:rPr>
        <w:tab/>
      </w:r>
      <w:r>
        <w:rPr>
          <w:rStyle w:val="85"/>
          <w:rFonts w:ascii="宋体" w:hAnsi="宋体"/>
        </w:rPr>
        <w:fldChar w:fldCharType="begin"/>
      </w:r>
      <w:r>
        <w:rPr>
          <w:rStyle w:val="85"/>
          <w:rFonts w:ascii="宋体" w:hAnsi="宋体"/>
        </w:rPr>
        <w:instrText xml:space="preserve"> PAGEREF _Toc106883052 \h </w:instrText>
      </w:r>
      <w:r>
        <w:rPr>
          <w:rStyle w:val="85"/>
          <w:rFonts w:ascii="宋体" w:hAnsi="宋体"/>
        </w:rPr>
        <w:fldChar w:fldCharType="separate"/>
      </w:r>
      <w:r>
        <w:rPr>
          <w:rStyle w:val="85"/>
          <w:rFonts w:ascii="宋体" w:hAnsi="宋体"/>
        </w:rPr>
        <w:t>34</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"_Toc106883053" </w:instrText>
      </w:r>
      <w:r>
        <w:fldChar w:fldCharType="separate"/>
      </w:r>
      <w:r>
        <w:rPr>
          <w:rStyle w:val="85"/>
          <w:rFonts w:ascii="宋体" w:hAnsi="宋体"/>
        </w:rPr>
        <w:t>2.3 拆除</w:t>
      </w:r>
      <w:r>
        <w:rPr>
          <w:rStyle w:val="85"/>
          <w:rFonts w:ascii="宋体" w:hAnsi="宋体"/>
        </w:rPr>
        <w:tab/>
      </w:r>
      <w:r>
        <w:rPr>
          <w:rStyle w:val="85"/>
          <w:rFonts w:ascii="宋体" w:hAnsi="宋体"/>
        </w:rPr>
        <w:fldChar w:fldCharType="begin"/>
      </w:r>
      <w:r>
        <w:rPr>
          <w:rStyle w:val="85"/>
          <w:rFonts w:ascii="宋体" w:hAnsi="宋体"/>
        </w:rPr>
        <w:instrText xml:space="preserve"> PAGEREF _Toc106883053 \h </w:instrText>
      </w:r>
      <w:r>
        <w:rPr>
          <w:rStyle w:val="85"/>
          <w:rFonts w:ascii="宋体" w:hAnsi="宋体"/>
        </w:rPr>
        <w:fldChar w:fldCharType="separate"/>
      </w:r>
      <w:r>
        <w:rPr>
          <w:rStyle w:val="85"/>
          <w:rFonts w:ascii="宋体" w:hAnsi="宋体"/>
        </w:rPr>
        <w:t>34</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"_Toc106883054" </w:instrText>
      </w:r>
      <w:r>
        <w:fldChar w:fldCharType="separate"/>
      </w:r>
      <w:r>
        <w:rPr>
          <w:rStyle w:val="85"/>
          <w:rFonts w:ascii="宋体" w:hAnsi="宋体"/>
        </w:rPr>
        <w:t>2.4 清理</w:t>
      </w:r>
      <w:r>
        <w:rPr>
          <w:rStyle w:val="85"/>
          <w:rFonts w:ascii="宋体" w:hAnsi="宋体"/>
        </w:rPr>
        <w:tab/>
      </w:r>
      <w:r>
        <w:rPr>
          <w:rStyle w:val="85"/>
          <w:rFonts w:ascii="宋体" w:hAnsi="宋体"/>
        </w:rPr>
        <w:fldChar w:fldCharType="begin"/>
      </w:r>
      <w:r>
        <w:rPr>
          <w:rStyle w:val="85"/>
          <w:rFonts w:ascii="宋体" w:hAnsi="宋体"/>
        </w:rPr>
        <w:instrText xml:space="preserve"> PAGEREF _Toc106883054 \h </w:instrText>
      </w:r>
      <w:r>
        <w:rPr>
          <w:rStyle w:val="85"/>
          <w:rFonts w:ascii="宋体" w:hAnsi="宋体"/>
        </w:rPr>
        <w:fldChar w:fldCharType="separate"/>
      </w:r>
      <w:r>
        <w:rPr>
          <w:rStyle w:val="85"/>
          <w:rFonts w:ascii="宋体" w:hAnsi="宋体"/>
        </w:rPr>
        <w:t>35</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"_Toc106883055" </w:instrText>
      </w:r>
      <w:r>
        <w:fldChar w:fldCharType="separate"/>
      </w:r>
      <w:r>
        <w:rPr>
          <w:rStyle w:val="85"/>
          <w:rFonts w:ascii="宋体" w:hAnsi="宋体"/>
        </w:rPr>
        <w:t>2.5 场平工程</w:t>
      </w:r>
      <w:r>
        <w:rPr>
          <w:rStyle w:val="85"/>
          <w:rFonts w:ascii="宋体" w:hAnsi="宋体"/>
        </w:rPr>
        <w:tab/>
      </w:r>
      <w:r>
        <w:rPr>
          <w:rStyle w:val="85"/>
          <w:rFonts w:ascii="宋体" w:hAnsi="宋体"/>
        </w:rPr>
        <w:fldChar w:fldCharType="begin"/>
      </w:r>
      <w:r>
        <w:rPr>
          <w:rStyle w:val="85"/>
          <w:rFonts w:ascii="宋体" w:hAnsi="宋体"/>
        </w:rPr>
        <w:instrText xml:space="preserve"> PAGEREF _Toc106883055 \h </w:instrText>
      </w:r>
      <w:r>
        <w:rPr>
          <w:rStyle w:val="85"/>
          <w:rFonts w:ascii="宋体" w:hAnsi="宋体"/>
        </w:rPr>
        <w:fldChar w:fldCharType="separate"/>
      </w:r>
      <w:r>
        <w:rPr>
          <w:rStyle w:val="85"/>
          <w:rFonts w:ascii="宋体" w:hAnsi="宋体"/>
        </w:rPr>
        <w:t>35</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"_Toc106883056" </w:instrText>
      </w:r>
      <w:r>
        <w:fldChar w:fldCharType="separate"/>
      </w:r>
      <w:r>
        <w:rPr>
          <w:rStyle w:val="85"/>
          <w:rFonts w:ascii="宋体" w:hAnsi="宋体"/>
        </w:rPr>
        <w:t>2.6 防护</w:t>
      </w:r>
      <w:r>
        <w:rPr>
          <w:rStyle w:val="85"/>
          <w:rFonts w:ascii="宋体" w:hAnsi="宋体"/>
        </w:rPr>
        <w:tab/>
      </w:r>
      <w:r>
        <w:rPr>
          <w:rStyle w:val="85"/>
          <w:rFonts w:ascii="宋体" w:hAnsi="宋体"/>
        </w:rPr>
        <w:fldChar w:fldCharType="begin"/>
      </w:r>
      <w:r>
        <w:rPr>
          <w:rStyle w:val="85"/>
          <w:rFonts w:ascii="宋体" w:hAnsi="宋体"/>
        </w:rPr>
        <w:instrText xml:space="preserve"> PAGEREF _Toc106883056 \h </w:instrText>
      </w:r>
      <w:r>
        <w:rPr>
          <w:rStyle w:val="85"/>
          <w:rFonts w:ascii="宋体" w:hAnsi="宋体"/>
        </w:rPr>
        <w:fldChar w:fldCharType="separate"/>
      </w:r>
      <w:r>
        <w:rPr>
          <w:rStyle w:val="85"/>
          <w:rFonts w:ascii="宋体" w:hAnsi="宋体"/>
        </w:rPr>
        <w:t>36</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"_Toc106883057" </w:instrText>
      </w:r>
      <w:r>
        <w:fldChar w:fldCharType="separate"/>
      </w:r>
      <w:r>
        <w:rPr>
          <w:rStyle w:val="85"/>
          <w:rFonts w:ascii="宋体" w:hAnsi="宋体"/>
        </w:rPr>
        <w:t>2.7 防护施工要求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_Toc106883057 \h </w:instrText>
      </w:r>
      <w:r>
        <w:rPr>
          <w:rStyle w:val="85"/>
          <w:rFonts w:ascii="宋体" w:hAnsi="宋体"/>
        </w:rPr>
        <w:fldChar w:fldCharType="separate"/>
      </w:r>
      <w:r>
        <w:rPr>
          <w:rStyle w:val="85"/>
          <w:rFonts w:ascii="宋体" w:hAnsi="宋体"/>
        </w:rPr>
        <w:t>37</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"_Toc106883058" </w:instrText>
      </w:r>
      <w:r>
        <w:fldChar w:fldCharType="separate"/>
      </w:r>
      <w:r>
        <w:rPr>
          <w:rStyle w:val="85"/>
          <w:rFonts w:ascii="宋体" w:hAnsi="宋体"/>
        </w:rPr>
        <w:t>2.8 围堰</w:t>
      </w:r>
      <w:r>
        <w:rPr>
          <w:rStyle w:val="85"/>
          <w:rFonts w:ascii="宋体" w:hAnsi="宋体"/>
        </w:rPr>
        <w:tab/>
      </w:r>
      <w:r>
        <w:rPr>
          <w:rStyle w:val="85"/>
          <w:rFonts w:ascii="宋体" w:hAnsi="宋体"/>
        </w:rPr>
        <w:fldChar w:fldCharType="begin"/>
      </w:r>
      <w:r>
        <w:rPr>
          <w:rStyle w:val="85"/>
          <w:rFonts w:ascii="宋体" w:hAnsi="宋体"/>
        </w:rPr>
        <w:instrText xml:space="preserve"> PAGEREF _Toc106883058 \h </w:instrText>
      </w:r>
      <w:r>
        <w:rPr>
          <w:rStyle w:val="85"/>
          <w:rFonts w:ascii="宋体" w:hAnsi="宋体"/>
        </w:rPr>
        <w:fldChar w:fldCharType="separate"/>
      </w:r>
      <w:r>
        <w:rPr>
          <w:rStyle w:val="85"/>
          <w:rFonts w:ascii="宋体" w:hAnsi="宋体"/>
        </w:rPr>
        <w:t>39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bCs/>
        </w:rPr>
      </w:pPr>
      <w:r>
        <w:fldChar w:fldCharType="begin"/>
      </w:r>
      <w:r>
        <w:instrText xml:space="preserve"> HYPERLINK \l "_Toc106883059" </w:instrText>
      </w:r>
      <w:r>
        <w:fldChar w:fldCharType="separate"/>
      </w:r>
      <w:r>
        <w:rPr>
          <w:rStyle w:val="85"/>
          <w:rFonts w:ascii="宋体" w:hAnsi="宋体"/>
          <w:bCs/>
        </w:rPr>
        <w:t>2.8.1 围堰施工要求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_Toc106883059 \h </w:instrText>
      </w:r>
      <w:r>
        <w:rPr>
          <w:rStyle w:val="85"/>
          <w:rFonts w:ascii="宋体" w:hAnsi="宋体"/>
          <w:bCs/>
        </w:rPr>
        <w:fldChar w:fldCharType="separate"/>
      </w:r>
      <w:r>
        <w:rPr>
          <w:rStyle w:val="85"/>
          <w:rFonts w:ascii="宋体" w:hAnsi="宋体"/>
          <w:bCs/>
        </w:rPr>
        <w:t>40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"_Toc106883060" </w:instrText>
      </w:r>
      <w:r>
        <w:fldChar w:fldCharType="separate"/>
      </w:r>
      <w:r>
        <w:rPr>
          <w:rStyle w:val="85"/>
          <w:rFonts w:ascii="宋体" w:hAnsi="宋体"/>
          <w:bCs/>
        </w:rPr>
        <w:t>2.8.2 围堰填筑</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_Toc106883060 \h </w:instrText>
      </w:r>
      <w:r>
        <w:rPr>
          <w:rStyle w:val="85"/>
          <w:rFonts w:ascii="宋体" w:hAnsi="宋体"/>
          <w:bCs/>
        </w:rPr>
        <w:fldChar w:fldCharType="separate"/>
      </w:r>
      <w:r>
        <w:rPr>
          <w:rStyle w:val="85"/>
          <w:rFonts w:ascii="宋体" w:hAnsi="宋体"/>
          <w:bCs/>
        </w:rPr>
        <w:t>40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"_Toc106883061" </w:instrText>
      </w:r>
      <w:r>
        <w:fldChar w:fldCharType="separate"/>
      </w:r>
      <w:r>
        <w:rPr>
          <w:rStyle w:val="85"/>
          <w:rFonts w:ascii="宋体" w:hAnsi="宋体"/>
          <w:bCs/>
        </w:rPr>
        <w:t>2.8.2.1 基本要求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_Toc106883061 \h </w:instrText>
      </w:r>
      <w:r>
        <w:rPr>
          <w:rStyle w:val="85"/>
          <w:rFonts w:ascii="宋体" w:hAnsi="宋体"/>
          <w:bCs/>
        </w:rPr>
        <w:fldChar w:fldCharType="separate"/>
      </w:r>
      <w:r>
        <w:rPr>
          <w:rStyle w:val="85"/>
          <w:rFonts w:ascii="宋体" w:hAnsi="宋体"/>
          <w:bCs/>
        </w:rPr>
        <w:t>40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"_Toc106883062" </w:instrText>
      </w:r>
      <w:r>
        <w:fldChar w:fldCharType="separate"/>
      </w:r>
      <w:r>
        <w:rPr>
          <w:rStyle w:val="85"/>
          <w:rFonts w:ascii="宋体" w:hAnsi="宋体"/>
          <w:bCs/>
        </w:rPr>
        <w:t>2.8.2.2 施工要点</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_Toc106883062 \h </w:instrText>
      </w:r>
      <w:r>
        <w:rPr>
          <w:rStyle w:val="85"/>
          <w:rFonts w:ascii="宋体" w:hAnsi="宋体"/>
          <w:bCs/>
        </w:rPr>
        <w:fldChar w:fldCharType="separate"/>
      </w:r>
      <w:r>
        <w:rPr>
          <w:rStyle w:val="85"/>
          <w:rFonts w:ascii="宋体" w:hAnsi="宋体"/>
          <w:bCs/>
        </w:rPr>
        <w:t>41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"_Toc106883063" </w:instrText>
      </w:r>
      <w:r>
        <w:fldChar w:fldCharType="separate"/>
      </w:r>
      <w:r>
        <w:rPr>
          <w:rStyle w:val="85"/>
          <w:rFonts w:ascii="宋体" w:hAnsi="宋体"/>
          <w:bCs/>
        </w:rPr>
        <w:t>2.8.2.3 板桩围堰施工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_Toc106883063 \h </w:instrText>
      </w:r>
      <w:r>
        <w:rPr>
          <w:rStyle w:val="85"/>
          <w:rFonts w:ascii="宋体" w:hAnsi="宋体"/>
          <w:bCs/>
        </w:rPr>
        <w:fldChar w:fldCharType="separate"/>
      </w:r>
      <w:r>
        <w:rPr>
          <w:rStyle w:val="85"/>
          <w:rFonts w:ascii="宋体" w:hAnsi="宋体"/>
          <w:bCs/>
        </w:rPr>
        <w:t>41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"_Toc106883064" </w:instrText>
      </w:r>
      <w:r>
        <w:fldChar w:fldCharType="separate"/>
      </w:r>
      <w:r>
        <w:rPr>
          <w:rStyle w:val="85"/>
          <w:rFonts w:ascii="宋体" w:hAnsi="宋体"/>
          <w:bCs/>
        </w:rPr>
        <w:t>2.8.3 拆堰</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_Toc106883064 \h </w:instrText>
      </w:r>
      <w:r>
        <w:rPr>
          <w:rStyle w:val="85"/>
          <w:rFonts w:ascii="宋体" w:hAnsi="宋体"/>
          <w:bCs/>
        </w:rPr>
        <w:fldChar w:fldCharType="separate"/>
      </w:r>
      <w:r>
        <w:rPr>
          <w:rStyle w:val="85"/>
          <w:rFonts w:ascii="宋体" w:hAnsi="宋体"/>
          <w:bCs/>
        </w:rPr>
        <w:t>42</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"_Toc106883065" </w:instrText>
      </w:r>
      <w:r>
        <w:fldChar w:fldCharType="separate"/>
      </w:r>
      <w:r>
        <w:rPr>
          <w:rStyle w:val="85"/>
          <w:rFonts w:ascii="宋体" w:hAnsi="宋体"/>
        </w:rPr>
        <w:t>2.9 施工排水</w:t>
      </w:r>
      <w:r>
        <w:rPr>
          <w:rStyle w:val="85"/>
          <w:rFonts w:ascii="宋体" w:hAnsi="宋体"/>
        </w:rPr>
        <w:tab/>
      </w:r>
      <w:r>
        <w:rPr>
          <w:rStyle w:val="85"/>
          <w:rFonts w:ascii="宋体" w:hAnsi="宋体"/>
        </w:rPr>
        <w:fldChar w:fldCharType="begin"/>
      </w:r>
      <w:r>
        <w:rPr>
          <w:rStyle w:val="85"/>
          <w:rFonts w:ascii="宋体" w:hAnsi="宋体"/>
        </w:rPr>
        <w:instrText xml:space="preserve"> PAGEREF _Toc106883065 \h </w:instrText>
      </w:r>
      <w:r>
        <w:rPr>
          <w:rStyle w:val="85"/>
          <w:rFonts w:ascii="宋体" w:hAnsi="宋体"/>
        </w:rPr>
        <w:fldChar w:fldCharType="separate"/>
      </w:r>
      <w:r>
        <w:rPr>
          <w:rStyle w:val="85"/>
          <w:rFonts w:ascii="宋体" w:hAnsi="宋体"/>
        </w:rPr>
        <w:t>42</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"_Toc106883066" </w:instrText>
      </w:r>
      <w:r>
        <w:fldChar w:fldCharType="separate"/>
      </w:r>
      <w:r>
        <w:rPr>
          <w:rStyle w:val="85"/>
          <w:rFonts w:ascii="宋体" w:hAnsi="宋体"/>
        </w:rPr>
        <w:t>2.10 沟槽、构筑物基础和基层等的开挖</w:t>
      </w:r>
      <w:r>
        <w:rPr>
          <w:rStyle w:val="85"/>
          <w:rFonts w:ascii="宋体" w:hAnsi="宋体"/>
        </w:rPr>
        <w:tab/>
      </w:r>
      <w:r>
        <w:rPr>
          <w:rStyle w:val="85"/>
          <w:rFonts w:ascii="宋体" w:hAnsi="宋体"/>
        </w:rPr>
        <w:fldChar w:fldCharType="begin"/>
      </w:r>
      <w:r>
        <w:rPr>
          <w:rStyle w:val="85"/>
          <w:rFonts w:ascii="宋体" w:hAnsi="宋体"/>
        </w:rPr>
        <w:instrText xml:space="preserve"> PAGEREF _Toc106883066 \h </w:instrText>
      </w:r>
      <w:r>
        <w:rPr>
          <w:rStyle w:val="85"/>
          <w:rFonts w:ascii="宋体" w:hAnsi="宋体"/>
        </w:rPr>
        <w:fldChar w:fldCharType="separate"/>
      </w:r>
      <w:r>
        <w:rPr>
          <w:rStyle w:val="85"/>
          <w:rFonts w:ascii="宋体" w:hAnsi="宋体"/>
        </w:rPr>
        <w:t>43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"_Toc106883067" </w:instrText>
      </w:r>
      <w:r>
        <w:fldChar w:fldCharType="separate"/>
      </w:r>
      <w:r>
        <w:rPr>
          <w:rStyle w:val="85"/>
          <w:rFonts w:ascii="宋体" w:hAnsi="宋体"/>
          <w:bCs/>
        </w:rPr>
        <w:t>2.10.1 常规开挖</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_Toc106883067 \h </w:instrText>
      </w:r>
      <w:r>
        <w:rPr>
          <w:rStyle w:val="85"/>
          <w:rFonts w:ascii="宋体" w:hAnsi="宋体"/>
          <w:bCs/>
        </w:rPr>
        <w:fldChar w:fldCharType="separate"/>
      </w:r>
      <w:r>
        <w:rPr>
          <w:rStyle w:val="85"/>
          <w:rFonts w:ascii="宋体" w:hAnsi="宋体"/>
          <w:bCs/>
        </w:rPr>
        <w:t>43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"_Toc106883068" </w:instrText>
      </w:r>
      <w:r>
        <w:fldChar w:fldCharType="separate"/>
      </w:r>
      <w:r>
        <w:rPr>
          <w:rStyle w:val="85"/>
          <w:rFonts w:ascii="宋体" w:hAnsi="宋体"/>
          <w:bCs/>
        </w:rPr>
        <w:t>2.10.2 开挖面的支撑</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_Toc106883068 \h </w:instrText>
      </w:r>
      <w:r>
        <w:rPr>
          <w:rStyle w:val="85"/>
          <w:rFonts w:ascii="宋体" w:hAnsi="宋体"/>
          <w:bCs/>
        </w:rPr>
        <w:fldChar w:fldCharType="separate"/>
      </w:r>
      <w:r>
        <w:rPr>
          <w:rStyle w:val="85"/>
          <w:rFonts w:ascii="宋体" w:hAnsi="宋体"/>
          <w:bCs/>
        </w:rPr>
        <w:t>44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"_Toc106883069" </w:instrText>
      </w:r>
      <w:r>
        <w:fldChar w:fldCharType="separate"/>
      </w:r>
      <w:r>
        <w:rPr>
          <w:rStyle w:val="85"/>
          <w:rFonts w:ascii="宋体" w:hAnsi="宋体"/>
          <w:bCs/>
        </w:rPr>
        <w:t>2.10.3 开挖中的不良物质</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_Toc106883069 \h </w:instrText>
      </w:r>
      <w:r>
        <w:rPr>
          <w:rStyle w:val="85"/>
          <w:rFonts w:ascii="宋体" w:hAnsi="宋体"/>
          <w:bCs/>
        </w:rPr>
        <w:fldChar w:fldCharType="separate"/>
      </w:r>
      <w:r>
        <w:rPr>
          <w:rStyle w:val="85"/>
          <w:rFonts w:ascii="宋体" w:hAnsi="宋体"/>
          <w:bCs/>
        </w:rPr>
        <w:t>44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"_Toc106883070" </w:instrText>
      </w:r>
      <w:r>
        <w:fldChar w:fldCharType="separate"/>
      </w:r>
      <w:r>
        <w:rPr>
          <w:rStyle w:val="85"/>
          <w:rFonts w:ascii="宋体" w:hAnsi="宋体"/>
          <w:bCs/>
        </w:rPr>
        <w:t>2.10.4 在水持力层的开挖</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_Toc106883070 \h </w:instrText>
      </w:r>
      <w:r>
        <w:rPr>
          <w:rStyle w:val="85"/>
          <w:rFonts w:ascii="宋体" w:hAnsi="宋体"/>
          <w:bCs/>
        </w:rPr>
        <w:fldChar w:fldCharType="separate"/>
      </w:r>
      <w:r>
        <w:rPr>
          <w:rStyle w:val="85"/>
          <w:rFonts w:ascii="宋体" w:hAnsi="宋体"/>
          <w:bCs/>
        </w:rPr>
        <w:t>45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"_Toc106883071" </w:instrText>
      </w:r>
      <w:r>
        <w:fldChar w:fldCharType="separate"/>
      </w:r>
      <w:r>
        <w:rPr>
          <w:rStyle w:val="85"/>
          <w:rFonts w:ascii="宋体" w:hAnsi="宋体"/>
          <w:bCs/>
        </w:rPr>
        <w:t>2.10.5 掘出物的处置</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_Toc106883071 \h </w:instrText>
      </w:r>
      <w:r>
        <w:rPr>
          <w:rStyle w:val="85"/>
          <w:rFonts w:ascii="宋体" w:hAnsi="宋体"/>
          <w:bCs/>
        </w:rPr>
        <w:fldChar w:fldCharType="separate"/>
      </w:r>
      <w:r>
        <w:rPr>
          <w:rStyle w:val="85"/>
          <w:rFonts w:ascii="宋体" w:hAnsi="宋体"/>
          <w:bCs/>
        </w:rPr>
        <w:t>45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"_Toc106883072" </w:instrText>
      </w:r>
      <w:r>
        <w:fldChar w:fldCharType="separate"/>
      </w:r>
      <w:r>
        <w:rPr>
          <w:rStyle w:val="85"/>
          <w:rFonts w:ascii="宋体" w:hAnsi="宋体"/>
          <w:bCs/>
        </w:rPr>
        <w:t>2.10.6 地基的整平</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_Toc106883072 \h </w:instrText>
      </w:r>
      <w:r>
        <w:rPr>
          <w:rStyle w:val="85"/>
          <w:rFonts w:ascii="宋体" w:hAnsi="宋体"/>
          <w:bCs/>
        </w:rPr>
        <w:fldChar w:fldCharType="separate"/>
      </w:r>
      <w:r>
        <w:rPr>
          <w:rStyle w:val="85"/>
          <w:rFonts w:ascii="宋体" w:hAnsi="宋体"/>
          <w:bCs/>
        </w:rPr>
        <w:t>45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"_Toc106883073" </w:instrText>
      </w:r>
      <w:r>
        <w:fldChar w:fldCharType="separate"/>
      </w:r>
      <w:r>
        <w:rPr>
          <w:rStyle w:val="85"/>
          <w:rFonts w:ascii="宋体" w:hAnsi="宋体"/>
          <w:bCs/>
        </w:rPr>
        <w:t>2.10.7 沟槽的基础处理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_Toc106883073 \h </w:instrText>
      </w:r>
      <w:r>
        <w:rPr>
          <w:rStyle w:val="85"/>
          <w:rFonts w:ascii="宋体" w:hAnsi="宋体"/>
          <w:bCs/>
        </w:rPr>
        <w:fldChar w:fldCharType="separate"/>
      </w:r>
      <w:r>
        <w:rPr>
          <w:rStyle w:val="85"/>
          <w:rFonts w:ascii="宋体" w:hAnsi="宋体"/>
          <w:bCs/>
        </w:rPr>
        <w:t>45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"_Toc106883074" </w:instrText>
      </w:r>
      <w:r>
        <w:fldChar w:fldCharType="separate"/>
      </w:r>
      <w:r>
        <w:rPr>
          <w:rStyle w:val="85"/>
          <w:rFonts w:ascii="宋体" w:hAnsi="宋体"/>
          <w:bCs/>
        </w:rPr>
        <w:t>2.10.8 不良地基处理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_Toc106883074 \h </w:instrText>
      </w:r>
      <w:r>
        <w:rPr>
          <w:rStyle w:val="85"/>
          <w:rFonts w:ascii="宋体" w:hAnsi="宋体"/>
          <w:bCs/>
        </w:rPr>
        <w:fldChar w:fldCharType="separate"/>
      </w:r>
      <w:r>
        <w:rPr>
          <w:rStyle w:val="85"/>
          <w:rFonts w:ascii="宋体" w:hAnsi="宋体"/>
          <w:bCs/>
        </w:rPr>
        <w:t>46</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"_Toc106883075" </w:instrText>
      </w:r>
      <w:r>
        <w:fldChar w:fldCharType="separate"/>
      </w:r>
      <w:r>
        <w:rPr>
          <w:rStyle w:val="85"/>
          <w:rFonts w:ascii="宋体" w:hAnsi="宋体"/>
        </w:rPr>
        <w:t>2.11 回填</w:t>
      </w:r>
      <w:r>
        <w:rPr>
          <w:rStyle w:val="85"/>
          <w:rFonts w:ascii="宋体" w:hAnsi="宋体"/>
        </w:rPr>
        <w:tab/>
      </w:r>
      <w:r>
        <w:rPr>
          <w:rStyle w:val="85"/>
          <w:rFonts w:ascii="宋体" w:hAnsi="宋体"/>
        </w:rPr>
        <w:fldChar w:fldCharType="begin"/>
      </w:r>
      <w:r>
        <w:rPr>
          <w:rStyle w:val="85"/>
          <w:rFonts w:ascii="宋体" w:hAnsi="宋体"/>
        </w:rPr>
        <w:instrText xml:space="preserve"> PAGEREF _Toc106883075 \h </w:instrText>
      </w:r>
      <w:r>
        <w:rPr>
          <w:rStyle w:val="85"/>
          <w:rFonts w:ascii="宋体" w:hAnsi="宋体"/>
        </w:rPr>
        <w:fldChar w:fldCharType="separate"/>
      </w:r>
      <w:r>
        <w:rPr>
          <w:rStyle w:val="85"/>
          <w:rFonts w:ascii="宋体" w:hAnsi="宋体"/>
        </w:rPr>
        <w:t>46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"_Toc106883076" </w:instrText>
      </w:r>
      <w:r>
        <w:fldChar w:fldCharType="separate"/>
      </w:r>
      <w:r>
        <w:rPr>
          <w:rStyle w:val="85"/>
          <w:rFonts w:ascii="宋体" w:hAnsi="宋体"/>
          <w:bCs/>
        </w:rPr>
        <w:t>2.11.1 回填总述</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_Toc106883076 \h </w:instrText>
      </w:r>
      <w:r>
        <w:rPr>
          <w:rStyle w:val="85"/>
          <w:rFonts w:ascii="宋体" w:hAnsi="宋体"/>
          <w:bCs/>
        </w:rPr>
        <w:fldChar w:fldCharType="separate"/>
      </w:r>
      <w:r>
        <w:rPr>
          <w:rStyle w:val="85"/>
          <w:rFonts w:ascii="宋体" w:hAnsi="宋体"/>
          <w:bCs/>
        </w:rPr>
        <w:t>46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"_Toc106883077" </w:instrText>
      </w:r>
      <w:r>
        <w:fldChar w:fldCharType="separate"/>
      </w:r>
      <w:r>
        <w:rPr>
          <w:rStyle w:val="85"/>
          <w:rFonts w:ascii="宋体" w:hAnsi="宋体"/>
          <w:bCs/>
        </w:rPr>
        <w:t>2.11.2 沟槽回填</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_Toc106883077 \h </w:instrText>
      </w:r>
      <w:r>
        <w:rPr>
          <w:rStyle w:val="85"/>
          <w:rFonts w:ascii="宋体" w:hAnsi="宋体"/>
          <w:bCs/>
        </w:rPr>
        <w:fldChar w:fldCharType="separate"/>
      </w:r>
      <w:r>
        <w:rPr>
          <w:rStyle w:val="85"/>
          <w:rFonts w:ascii="宋体" w:hAnsi="宋体"/>
          <w:bCs/>
        </w:rPr>
        <w:t>47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"_Toc106883078" </w:instrText>
      </w:r>
      <w:r>
        <w:fldChar w:fldCharType="separate"/>
      </w:r>
      <w:r>
        <w:rPr>
          <w:rStyle w:val="85"/>
          <w:rFonts w:ascii="宋体" w:hAnsi="宋体"/>
          <w:bCs/>
        </w:rPr>
        <w:t>2.11.3 挡墙的回填</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_Toc106883078 \h </w:instrText>
      </w:r>
      <w:r>
        <w:rPr>
          <w:rStyle w:val="85"/>
          <w:rFonts w:ascii="宋体" w:hAnsi="宋体"/>
          <w:bCs/>
        </w:rPr>
        <w:fldChar w:fldCharType="separate"/>
      </w:r>
      <w:r>
        <w:rPr>
          <w:rStyle w:val="85"/>
          <w:rFonts w:ascii="宋体" w:hAnsi="宋体"/>
          <w:bCs/>
        </w:rPr>
        <w:t>47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"_Toc106883079" </w:instrText>
      </w:r>
      <w:r>
        <w:fldChar w:fldCharType="separate"/>
      </w:r>
      <w:r>
        <w:rPr>
          <w:rStyle w:val="85"/>
          <w:rFonts w:ascii="宋体" w:hAnsi="宋体"/>
          <w:bCs/>
        </w:rPr>
        <w:t>2.11.4 桥涵回填土</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_Toc106883079 \h </w:instrText>
      </w:r>
      <w:r>
        <w:rPr>
          <w:rStyle w:val="85"/>
          <w:rFonts w:ascii="宋体" w:hAnsi="宋体"/>
          <w:bCs/>
        </w:rPr>
        <w:fldChar w:fldCharType="separate"/>
      </w:r>
      <w:r>
        <w:rPr>
          <w:rStyle w:val="85"/>
          <w:rFonts w:ascii="宋体" w:hAnsi="宋体"/>
          <w:bCs/>
        </w:rPr>
        <w:t>48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"_Toc106883080" </w:instrText>
      </w:r>
      <w:r>
        <w:fldChar w:fldCharType="separate"/>
      </w:r>
      <w:r>
        <w:rPr>
          <w:rStyle w:val="85"/>
          <w:rFonts w:ascii="宋体" w:hAnsi="宋体"/>
          <w:bCs/>
        </w:rPr>
        <w:t>2.11.5 回填材料来源</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_Toc106883080 \h </w:instrText>
      </w:r>
      <w:r>
        <w:rPr>
          <w:rStyle w:val="85"/>
          <w:rFonts w:ascii="宋体" w:hAnsi="宋体"/>
          <w:bCs/>
        </w:rPr>
        <w:fldChar w:fldCharType="separate"/>
      </w:r>
      <w:r>
        <w:rPr>
          <w:rStyle w:val="85"/>
          <w:rFonts w:ascii="宋体" w:hAnsi="宋体"/>
          <w:bCs/>
        </w:rPr>
        <w:t>48</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rPr>
      </w:pPr>
      <w:r>
        <w:fldChar w:fldCharType="begin"/>
      </w:r>
      <w:r>
        <w:instrText xml:space="preserve"> HYPERLINK \l "_Toc106883081" </w:instrText>
      </w:r>
      <w:r>
        <w:fldChar w:fldCharType="separate"/>
      </w:r>
      <w:r>
        <w:rPr>
          <w:rStyle w:val="85"/>
          <w:rFonts w:ascii="宋体" w:hAnsi="宋体"/>
        </w:rPr>
        <w:t>2.12 最少量的质检测试</w:t>
      </w:r>
      <w:r>
        <w:rPr>
          <w:rStyle w:val="85"/>
          <w:rFonts w:ascii="宋体" w:hAnsi="宋体"/>
        </w:rPr>
        <w:tab/>
      </w:r>
      <w:r>
        <w:rPr>
          <w:rStyle w:val="85"/>
          <w:rFonts w:ascii="宋体" w:hAnsi="宋体"/>
        </w:rPr>
        <w:fldChar w:fldCharType="begin"/>
      </w:r>
      <w:r>
        <w:rPr>
          <w:rStyle w:val="85"/>
          <w:rFonts w:ascii="宋体" w:hAnsi="宋体"/>
        </w:rPr>
        <w:instrText xml:space="preserve"> PAGEREF _Toc106883081 \h </w:instrText>
      </w:r>
      <w:r>
        <w:rPr>
          <w:rStyle w:val="85"/>
          <w:rFonts w:ascii="宋体" w:hAnsi="宋体"/>
        </w:rPr>
        <w:fldChar w:fldCharType="separate"/>
      </w:r>
      <w:r>
        <w:rPr>
          <w:rStyle w:val="85"/>
          <w:rFonts w:ascii="宋体" w:hAnsi="宋体"/>
        </w:rPr>
        <w:t>49</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rPr>
      </w:pPr>
      <w:r>
        <w:fldChar w:fldCharType="begin"/>
      </w:r>
      <w:r>
        <w:instrText xml:space="preserve"> HYPERLINK \l "_Toc106883082" </w:instrText>
      </w:r>
      <w:r>
        <w:fldChar w:fldCharType="separate"/>
      </w:r>
      <w:r>
        <w:rPr>
          <w:rStyle w:val="85"/>
          <w:rFonts w:ascii="宋体" w:hAnsi="宋体"/>
        </w:rPr>
        <w:t>2.13 土方工程特殊问题的处理</w:t>
      </w:r>
      <w:r>
        <w:rPr>
          <w:rStyle w:val="85"/>
          <w:rFonts w:ascii="宋体" w:hAnsi="宋体"/>
        </w:rPr>
        <w:tab/>
      </w:r>
      <w:r>
        <w:rPr>
          <w:rStyle w:val="85"/>
          <w:rFonts w:ascii="宋体" w:hAnsi="宋体"/>
        </w:rPr>
        <w:fldChar w:fldCharType="begin"/>
      </w:r>
      <w:r>
        <w:rPr>
          <w:rStyle w:val="85"/>
          <w:rFonts w:ascii="宋体" w:hAnsi="宋体"/>
        </w:rPr>
        <w:instrText xml:space="preserve"> PAGEREF _Toc106883082 \h </w:instrText>
      </w:r>
      <w:r>
        <w:rPr>
          <w:rStyle w:val="85"/>
          <w:rFonts w:ascii="宋体" w:hAnsi="宋体"/>
        </w:rPr>
        <w:fldChar w:fldCharType="separate"/>
      </w:r>
      <w:r>
        <w:rPr>
          <w:rStyle w:val="85"/>
          <w:rFonts w:ascii="宋体" w:hAnsi="宋体"/>
        </w:rPr>
        <w:t>49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"_Toc106883083" </w:instrText>
      </w:r>
      <w:r>
        <w:fldChar w:fldCharType="separate"/>
      </w:r>
      <w:r>
        <w:rPr>
          <w:rStyle w:val="85"/>
          <w:rFonts w:ascii="宋体" w:hAnsi="宋体"/>
          <w:bCs/>
        </w:rPr>
        <w:t>2.13.1 冲沟的一般处理方法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_Toc106883083 \h </w:instrText>
      </w:r>
      <w:r>
        <w:rPr>
          <w:rStyle w:val="85"/>
          <w:rFonts w:ascii="宋体" w:hAnsi="宋体"/>
          <w:bCs/>
        </w:rPr>
        <w:fldChar w:fldCharType="separate"/>
      </w:r>
      <w:r>
        <w:rPr>
          <w:rStyle w:val="85"/>
          <w:rFonts w:ascii="宋体" w:hAnsi="宋体"/>
          <w:bCs/>
        </w:rPr>
        <w:t>49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"_Toc106883084" </w:instrText>
      </w:r>
      <w:r>
        <w:fldChar w:fldCharType="separate"/>
      </w:r>
      <w:r>
        <w:rPr>
          <w:rStyle w:val="85"/>
          <w:rFonts w:ascii="宋体" w:hAnsi="宋体"/>
          <w:bCs/>
        </w:rPr>
        <w:t>2.13.2 危岩或孤石的一般处理方法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_Toc106883084 \h </w:instrText>
      </w:r>
      <w:r>
        <w:rPr>
          <w:rStyle w:val="85"/>
          <w:rFonts w:ascii="宋体" w:hAnsi="宋体"/>
          <w:bCs/>
        </w:rPr>
        <w:fldChar w:fldCharType="separate"/>
      </w:r>
      <w:r>
        <w:rPr>
          <w:rStyle w:val="85"/>
          <w:rFonts w:ascii="宋体" w:hAnsi="宋体"/>
          <w:bCs/>
        </w:rPr>
        <w:t>49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"_Toc106883085" </w:instrText>
      </w:r>
      <w:r>
        <w:fldChar w:fldCharType="separate"/>
      </w:r>
      <w:r>
        <w:rPr>
          <w:rStyle w:val="85"/>
          <w:rFonts w:ascii="宋体" w:hAnsi="宋体"/>
          <w:bCs/>
        </w:rPr>
        <w:t>2.13.3 结构松散、厚度大的崩坡地段的一般处理方法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_Toc106883085 \h </w:instrText>
      </w:r>
      <w:r>
        <w:rPr>
          <w:rStyle w:val="85"/>
          <w:rFonts w:ascii="宋体" w:hAnsi="宋体"/>
          <w:bCs/>
        </w:rPr>
        <w:fldChar w:fldCharType="separate"/>
      </w:r>
      <w:r>
        <w:rPr>
          <w:rStyle w:val="85"/>
          <w:rFonts w:ascii="宋体" w:hAnsi="宋体"/>
          <w:bCs/>
        </w:rPr>
        <w:t>49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"_Toc106883086" </w:instrText>
      </w:r>
      <w:r>
        <w:fldChar w:fldCharType="separate"/>
      </w:r>
      <w:r>
        <w:rPr>
          <w:rStyle w:val="85"/>
          <w:rFonts w:ascii="宋体" w:hAnsi="宋体"/>
          <w:bCs/>
        </w:rPr>
        <w:t>2.13.4 特殊土路基施工的一般处理方法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_Toc106883086 \h </w:instrText>
      </w:r>
      <w:r>
        <w:rPr>
          <w:rStyle w:val="85"/>
          <w:rFonts w:ascii="宋体" w:hAnsi="宋体"/>
          <w:bCs/>
        </w:rPr>
        <w:fldChar w:fldCharType="separate"/>
      </w:r>
      <w:r>
        <w:rPr>
          <w:rStyle w:val="85"/>
          <w:rFonts w:ascii="宋体" w:hAnsi="宋体"/>
          <w:bCs/>
        </w:rPr>
        <w:t>49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"_Toc106883087" </w:instrText>
      </w:r>
      <w:r>
        <w:fldChar w:fldCharType="separate"/>
      </w:r>
      <w:r>
        <w:rPr>
          <w:rStyle w:val="85"/>
          <w:rFonts w:ascii="宋体" w:hAnsi="宋体"/>
          <w:bCs/>
        </w:rPr>
        <w:t>2.13.5 振冲碎石桩</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_Toc106883087 \h </w:instrText>
      </w:r>
      <w:r>
        <w:rPr>
          <w:rStyle w:val="85"/>
          <w:rFonts w:ascii="宋体" w:hAnsi="宋体"/>
          <w:bCs/>
        </w:rPr>
        <w:fldChar w:fldCharType="separate"/>
      </w:r>
      <w:r>
        <w:rPr>
          <w:rStyle w:val="85"/>
          <w:rFonts w:ascii="宋体" w:hAnsi="宋体"/>
          <w:bCs/>
        </w:rPr>
        <w:t>50</w:t>
      </w:r>
      <w:r>
        <w:rPr>
          <w:rStyle w:val="85"/>
          <w:rFonts w:ascii="宋体" w:hAnsi="宋体"/>
          <w:bCs/>
        </w:rPr>
        <w:fldChar w:fldCharType="end"/>
      </w:r>
      <w:r>
        <w:rPr>
          <w:rStyle w:val="85"/>
          <w:rFonts w:ascii="宋体" w:hAnsi="宋体"/>
          <w:bCs/>
        </w:rPr>
        <w:fldChar w:fldCharType="end"/>
      </w:r>
    </w:p>
    <w:p>
      <w:pPr>
        <w:pStyle w:val="64"/>
        <w:tabs>
          <w:tab w:val="right" w:leader="dot" w:pos="8494"/>
        </w:tabs>
        <w:rPr>
          <w:rFonts w:ascii="宋体" w:hAnsi="宋体" w:cstheme="minorBidi"/>
          <w:smallCaps w:val="0"/>
          <w:sz w:val="21"/>
          <w:szCs w:val="22"/>
        </w:rPr>
      </w:pPr>
      <w:r>
        <w:fldChar w:fldCharType="begin"/>
      </w:r>
      <w:r>
        <w:instrText xml:space="preserve"> HYPERLINK \l "_Toc106883088" </w:instrText>
      </w:r>
      <w:r>
        <w:fldChar w:fldCharType="separate"/>
      </w:r>
      <w:r>
        <w:rPr>
          <w:rStyle w:val="85"/>
          <w:rFonts w:ascii="宋体" w:hAnsi="宋体"/>
        </w:rPr>
        <w:t>2.14 土石方开挖的计量与支付</w:t>
      </w:r>
      <w:r>
        <w:rPr>
          <w:rFonts w:ascii="宋体" w:hAnsi="宋体"/>
        </w:rPr>
        <w:tab/>
      </w:r>
      <w:r>
        <w:rPr>
          <w:rFonts w:ascii="宋体" w:hAnsi="宋体"/>
        </w:rPr>
        <w:fldChar w:fldCharType="begin"/>
      </w:r>
      <w:r>
        <w:rPr>
          <w:rFonts w:ascii="宋体" w:hAnsi="宋体"/>
        </w:rPr>
        <w:instrText xml:space="preserve"> PAGEREF _Toc106883088 \h </w:instrText>
      </w:r>
      <w:r>
        <w:rPr>
          <w:rFonts w:ascii="宋体" w:hAnsi="宋体"/>
        </w:rPr>
        <w:fldChar w:fldCharType="separate"/>
      </w:r>
      <w:r>
        <w:rPr>
          <w:rFonts w:ascii="宋体" w:hAnsi="宋体"/>
        </w:rPr>
        <w:t>51</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"_Toc106883089" </w:instrText>
      </w:r>
      <w:r>
        <w:fldChar w:fldCharType="separate"/>
      </w:r>
      <w:r>
        <w:rPr>
          <w:rStyle w:val="85"/>
          <w:rFonts w:ascii="宋体" w:hAnsi="宋体"/>
        </w:rPr>
        <w:t>3 钢筋混凝土工程</w:t>
      </w:r>
      <w:r>
        <w:rPr>
          <w:rFonts w:ascii="宋体" w:hAnsi="宋体"/>
        </w:rPr>
        <w:tab/>
      </w:r>
      <w:r>
        <w:rPr>
          <w:rFonts w:ascii="宋体" w:hAnsi="宋体"/>
        </w:rPr>
        <w:fldChar w:fldCharType="begin"/>
      </w:r>
      <w:r>
        <w:rPr>
          <w:rFonts w:ascii="宋体" w:hAnsi="宋体"/>
        </w:rPr>
        <w:instrText xml:space="preserve"> PAGEREF _Toc106883089 \h </w:instrText>
      </w:r>
      <w:r>
        <w:rPr>
          <w:rFonts w:ascii="宋体" w:hAnsi="宋体"/>
        </w:rPr>
        <w:fldChar w:fldCharType="separate"/>
      </w:r>
      <w:r>
        <w:rPr>
          <w:rFonts w:ascii="宋体" w:hAnsi="宋体"/>
        </w:rPr>
        <w:t>52</w:t>
      </w:r>
      <w:r>
        <w:rPr>
          <w:rFonts w:ascii="宋体" w:hAnsi="宋体"/>
        </w:rPr>
        <w:fldChar w:fldCharType="end"/>
      </w:r>
      <w:r>
        <w:rPr>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"_Toc106883090" </w:instrText>
      </w:r>
      <w:r>
        <w:fldChar w:fldCharType="separate"/>
      </w:r>
      <w:r>
        <w:rPr>
          <w:rStyle w:val="85"/>
          <w:rFonts w:ascii="宋体" w:hAnsi="宋体"/>
          <w:bCs/>
        </w:rPr>
        <w:t>3.1 适用标准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_Toc106883090 \h </w:instrText>
      </w:r>
      <w:r>
        <w:rPr>
          <w:rStyle w:val="85"/>
          <w:rFonts w:ascii="宋体" w:hAnsi="宋体"/>
          <w:bCs/>
        </w:rPr>
        <w:fldChar w:fldCharType="separate"/>
      </w:r>
      <w:r>
        <w:rPr>
          <w:rStyle w:val="85"/>
          <w:rFonts w:ascii="宋体" w:hAnsi="宋体"/>
          <w:bCs/>
        </w:rPr>
        <w:t>52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"_Toc106883091" </w:instrText>
      </w:r>
      <w:r>
        <w:fldChar w:fldCharType="separate"/>
      </w:r>
      <w:r>
        <w:rPr>
          <w:rStyle w:val="85"/>
          <w:rFonts w:ascii="宋体" w:hAnsi="宋体"/>
          <w:bCs/>
        </w:rPr>
        <w:t>3.1.1 材料标准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_Toc106883091 \h </w:instrText>
      </w:r>
      <w:r>
        <w:rPr>
          <w:rStyle w:val="85"/>
          <w:rFonts w:ascii="宋体" w:hAnsi="宋体"/>
          <w:bCs/>
        </w:rPr>
        <w:fldChar w:fldCharType="separate"/>
      </w:r>
      <w:r>
        <w:rPr>
          <w:rStyle w:val="85"/>
          <w:rFonts w:ascii="宋体" w:hAnsi="宋体"/>
          <w:bCs/>
        </w:rPr>
        <w:t>52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"_Toc106883092" </w:instrText>
      </w:r>
      <w:r>
        <w:fldChar w:fldCharType="separate"/>
      </w:r>
      <w:r>
        <w:rPr>
          <w:rStyle w:val="85"/>
          <w:rFonts w:ascii="宋体" w:hAnsi="宋体"/>
          <w:bCs/>
        </w:rPr>
        <w:t>3.1.2 施工及验收规范</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_Toc106883092 \h </w:instrText>
      </w:r>
      <w:r>
        <w:rPr>
          <w:rStyle w:val="85"/>
          <w:rFonts w:ascii="宋体" w:hAnsi="宋体"/>
          <w:bCs/>
        </w:rPr>
        <w:fldChar w:fldCharType="separate"/>
      </w:r>
      <w:r>
        <w:rPr>
          <w:rStyle w:val="85"/>
          <w:rFonts w:ascii="宋体" w:hAnsi="宋体"/>
          <w:bCs/>
        </w:rPr>
        <w:t>53</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"_Toc106883093" </w:instrText>
      </w:r>
      <w:r>
        <w:fldChar w:fldCharType="separate"/>
      </w:r>
      <w:r>
        <w:rPr>
          <w:rStyle w:val="85"/>
          <w:rFonts w:ascii="宋体" w:hAnsi="宋体" w:cs="楷体"/>
        </w:rPr>
        <w:t>3.2 由承包商提交的文件</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_Toc106883093 \h </w:instrText>
      </w:r>
      <w:r>
        <w:rPr>
          <w:rStyle w:val="85"/>
          <w:rFonts w:ascii="宋体" w:hAnsi="宋体" w:cs="楷体"/>
        </w:rPr>
        <w:fldChar w:fldCharType="separate"/>
      </w:r>
      <w:r>
        <w:rPr>
          <w:rStyle w:val="85"/>
          <w:rFonts w:ascii="宋体" w:hAnsi="宋体" w:cs="楷体"/>
        </w:rPr>
        <w:t>53</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"_Toc106883094" </w:instrText>
      </w:r>
      <w:r>
        <w:fldChar w:fldCharType="separate"/>
      </w:r>
      <w:r>
        <w:rPr>
          <w:rStyle w:val="85"/>
          <w:rFonts w:ascii="宋体" w:hAnsi="宋体"/>
          <w:bCs/>
        </w:rPr>
        <w:t>3.2.1 通常提交的文件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_Toc106883094 \h </w:instrText>
      </w:r>
      <w:r>
        <w:rPr>
          <w:rStyle w:val="85"/>
          <w:rFonts w:ascii="宋体" w:hAnsi="宋体"/>
          <w:bCs/>
        </w:rPr>
        <w:fldChar w:fldCharType="separate"/>
      </w:r>
      <w:r>
        <w:rPr>
          <w:rStyle w:val="85"/>
          <w:rFonts w:ascii="宋体" w:hAnsi="宋体"/>
          <w:bCs/>
        </w:rPr>
        <w:t>53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"_Toc106883095" </w:instrText>
      </w:r>
      <w:r>
        <w:fldChar w:fldCharType="separate"/>
      </w:r>
      <w:r>
        <w:rPr>
          <w:rStyle w:val="85"/>
          <w:rFonts w:ascii="宋体" w:hAnsi="宋体"/>
          <w:bCs/>
        </w:rPr>
        <w:t>3.2.2 证明书</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_Toc106883095 \h </w:instrText>
      </w:r>
      <w:r>
        <w:rPr>
          <w:rStyle w:val="85"/>
          <w:rFonts w:ascii="宋体" w:hAnsi="宋体"/>
          <w:bCs/>
        </w:rPr>
        <w:fldChar w:fldCharType="separate"/>
      </w:r>
      <w:r>
        <w:rPr>
          <w:rStyle w:val="85"/>
          <w:rFonts w:ascii="宋体" w:hAnsi="宋体"/>
          <w:bCs/>
        </w:rPr>
        <w:t>53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"_Toc106883096" </w:instrText>
      </w:r>
      <w:r>
        <w:fldChar w:fldCharType="separate"/>
      </w:r>
      <w:r>
        <w:rPr>
          <w:rStyle w:val="85"/>
          <w:rFonts w:ascii="宋体" w:hAnsi="宋体"/>
          <w:bCs/>
        </w:rPr>
        <w:t>3.2.3 样品</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_Toc106883096 \h </w:instrText>
      </w:r>
      <w:r>
        <w:rPr>
          <w:rStyle w:val="85"/>
          <w:rFonts w:ascii="宋体" w:hAnsi="宋体"/>
          <w:bCs/>
        </w:rPr>
        <w:fldChar w:fldCharType="separate"/>
      </w:r>
      <w:r>
        <w:rPr>
          <w:rStyle w:val="85"/>
          <w:rFonts w:ascii="宋体" w:hAnsi="宋体"/>
          <w:bCs/>
        </w:rPr>
        <w:t>54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"_Toc106883097" </w:instrText>
      </w:r>
      <w:r>
        <w:fldChar w:fldCharType="separate"/>
      </w:r>
      <w:r>
        <w:rPr>
          <w:rStyle w:val="85"/>
          <w:rFonts w:ascii="宋体" w:hAnsi="宋体"/>
          <w:bCs/>
        </w:rPr>
        <w:t>3.2.4 混凝土配合比</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_Toc106883097 \h </w:instrText>
      </w:r>
      <w:r>
        <w:rPr>
          <w:rStyle w:val="85"/>
          <w:rFonts w:ascii="宋体" w:hAnsi="宋体"/>
          <w:bCs/>
        </w:rPr>
        <w:fldChar w:fldCharType="separate"/>
      </w:r>
      <w:r>
        <w:rPr>
          <w:rStyle w:val="85"/>
          <w:rFonts w:ascii="宋体" w:hAnsi="宋体"/>
          <w:bCs/>
        </w:rPr>
        <w:t>54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"_Toc106883098" </w:instrText>
      </w:r>
      <w:r>
        <w:fldChar w:fldCharType="separate"/>
      </w:r>
      <w:r>
        <w:rPr>
          <w:rStyle w:val="85"/>
          <w:rFonts w:ascii="宋体" w:hAnsi="宋体"/>
          <w:bCs/>
        </w:rPr>
        <w:t>3.2.5 现场混凝土生产的组织</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_Toc106883098 \h </w:instrText>
      </w:r>
      <w:r>
        <w:rPr>
          <w:rStyle w:val="85"/>
          <w:rFonts w:ascii="宋体" w:hAnsi="宋体"/>
          <w:bCs/>
        </w:rPr>
        <w:fldChar w:fldCharType="separate"/>
      </w:r>
      <w:r>
        <w:rPr>
          <w:rStyle w:val="85"/>
          <w:rFonts w:ascii="宋体" w:hAnsi="宋体"/>
          <w:bCs/>
        </w:rPr>
        <w:t>54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"_Toc106883099" </w:instrText>
      </w:r>
      <w:r>
        <w:fldChar w:fldCharType="separate"/>
      </w:r>
      <w:r>
        <w:rPr>
          <w:rStyle w:val="85"/>
          <w:rFonts w:ascii="宋体" w:hAnsi="宋体"/>
          <w:bCs/>
        </w:rPr>
        <w:t>3.2.6 浇筑混凝土时所作的记录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_Toc106883099 \h </w:instrText>
      </w:r>
      <w:r>
        <w:rPr>
          <w:rStyle w:val="85"/>
          <w:rFonts w:ascii="宋体" w:hAnsi="宋体"/>
          <w:bCs/>
        </w:rPr>
        <w:fldChar w:fldCharType="separate"/>
      </w:r>
      <w:r>
        <w:rPr>
          <w:rStyle w:val="85"/>
          <w:rFonts w:ascii="宋体" w:hAnsi="宋体"/>
          <w:bCs/>
        </w:rPr>
        <w:t>55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"_Toc106883100" </w:instrText>
      </w:r>
      <w:r>
        <w:fldChar w:fldCharType="separate"/>
      </w:r>
      <w:r>
        <w:rPr>
          <w:rStyle w:val="85"/>
          <w:rFonts w:ascii="宋体" w:hAnsi="宋体"/>
          <w:bCs/>
        </w:rPr>
        <w:t>3.2.7 混凝土模板的设计</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_Toc106883100 \h </w:instrText>
      </w:r>
      <w:r>
        <w:rPr>
          <w:rStyle w:val="85"/>
          <w:rFonts w:ascii="宋体" w:hAnsi="宋体"/>
          <w:bCs/>
        </w:rPr>
        <w:fldChar w:fldCharType="separate"/>
      </w:r>
      <w:r>
        <w:rPr>
          <w:rStyle w:val="85"/>
          <w:rFonts w:ascii="宋体" w:hAnsi="宋体"/>
          <w:bCs/>
        </w:rPr>
        <w:t>55</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"_Toc106883101" </w:instrText>
      </w:r>
      <w:r>
        <w:fldChar w:fldCharType="separate"/>
      </w:r>
      <w:r>
        <w:rPr>
          <w:rStyle w:val="85"/>
          <w:rFonts w:ascii="宋体" w:hAnsi="宋体" w:cs="楷体"/>
        </w:rPr>
        <w:t>3.3 原材料</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_Toc106883101 \h </w:instrText>
      </w:r>
      <w:r>
        <w:rPr>
          <w:rStyle w:val="85"/>
          <w:rFonts w:ascii="宋体" w:hAnsi="宋体" w:cs="楷体"/>
        </w:rPr>
        <w:fldChar w:fldCharType="separate"/>
      </w:r>
      <w:r>
        <w:rPr>
          <w:rStyle w:val="85"/>
          <w:rFonts w:ascii="宋体" w:hAnsi="宋体" w:cs="楷体"/>
        </w:rPr>
        <w:t>55</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"_Toc106883102" </w:instrText>
      </w:r>
      <w:r>
        <w:fldChar w:fldCharType="separate"/>
      </w:r>
      <w:r>
        <w:rPr>
          <w:rStyle w:val="85"/>
          <w:rFonts w:ascii="宋体" w:hAnsi="宋体"/>
          <w:bCs/>
        </w:rPr>
        <w:t>3.3.1 概述</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_Toc106883102 \h </w:instrText>
      </w:r>
      <w:r>
        <w:rPr>
          <w:rStyle w:val="85"/>
          <w:rFonts w:ascii="宋体" w:hAnsi="宋体"/>
          <w:bCs/>
        </w:rPr>
        <w:fldChar w:fldCharType="separate"/>
      </w:r>
      <w:r>
        <w:rPr>
          <w:rStyle w:val="85"/>
          <w:rFonts w:ascii="宋体" w:hAnsi="宋体"/>
          <w:bCs/>
        </w:rPr>
        <w:t>55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"_Toc106883103" </w:instrText>
      </w:r>
      <w:r>
        <w:fldChar w:fldCharType="separate"/>
      </w:r>
      <w:r>
        <w:rPr>
          <w:rStyle w:val="85"/>
          <w:rFonts w:ascii="宋体" w:hAnsi="宋体"/>
          <w:bCs/>
        </w:rPr>
        <w:t>3.3.2 水泥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_Toc106883103 \h </w:instrText>
      </w:r>
      <w:r>
        <w:rPr>
          <w:rStyle w:val="85"/>
          <w:rFonts w:ascii="宋体" w:hAnsi="宋体"/>
          <w:bCs/>
        </w:rPr>
        <w:fldChar w:fldCharType="separate"/>
      </w:r>
      <w:r>
        <w:rPr>
          <w:rStyle w:val="85"/>
          <w:rFonts w:ascii="宋体" w:hAnsi="宋体"/>
          <w:bCs/>
        </w:rPr>
        <w:t>55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"_Toc106883104" </w:instrText>
      </w:r>
      <w:r>
        <w:fldChar w:fldCharType="separate"/>
      </w:r>
      <w:r>
        <w:rPr>
          <w:rStyle w:val="85"/>
          <w:rFonts w:ascii="宋体" w:hAnsi="宋体"/>
          <w:bCs/>
        </w:rPr>
        <w:t>3.3.3 水泥的储存</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_Toc106883104 \h </w:instrText>
      </w:r>
      <w:r>
        <w:rPr>
          <w:rStyle w:val="85"/>
          <w:rFonts w:ascii="宋体" w:hAnsi="宋体"/>
          <w:bCs/>
        </w:rPr>
        <w:fldChar w:fldCharType="separate"/>
      </w:r>
      <w:r>
        <w:rPr>
          <w:rStyle w:val="85"/>
          <w:rFonts w:ascii="宋体" w:hAnsi="宋体"/>
          <w:bCs/>
        </w:rPr>
        <w:t>56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"_Toc106883105" </w:instrText>
      </w:r>
      <w:r>
        <w:fldChar w:fldCharType="separate"/>
      </w:r>
      <w:r>
        <w:rPr>
          <w:rStyle w:val="85"/>
          <w:rFonts w:ascii="宋体" w:hAnsi="宋体"/>
          <w:bCs/>
        </w:rPr>
        <w:t>3.3.4 骨料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_Toc106883105 \h </w:instrText>
      </w:r>
      <w:r>
        <w:rPr>
          <w:rStyle w:val="85"/>
          <w:rFonts w:ascii="宋体" w:hAnsi="宋体"/>
          <w:bCs/>
        </w:rPr>
        <w:fldChar w:fldCharType="separate"/>
      </w:r>
      <w:r>
        <w:rPr>
          <w:rStyle w:val="85"/>
          <w:rFonts w:ascii="宋体" w:hAnsi="宋体"/>
          <w:bCs/>
        </w:rPr>
        <w:t>56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"_Toc106883106" </w:instrText>
      </w:r>
      <w:r>
        <w:fldChar w:fldCharType="separate"/>
      </w:r>
      <w:r>
        <w:rPr>
          <w:rStyle w:val="85"/>
          <w:rFonts w:ascii="宋体" w:hAnsi="宋体"/>
          <w:bCs/>
        </w:rPr>
        <w:t>3.3.5 骨料的储存</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_Toc106883106 \h </w:instrText>
      </w:r>
      <w:r>
        <w:rPr>
          <w:rStyle w:val="85"/>
          <w:rFonts w:ascii="宋体" w:hAnsi="宋体"/>
          <w:bCs/>
        </w:rPr>
        <w:fldChar w:fldCharType="separate"/>
      </w:r>
      <w:r>
        <w:rPr>
          <w:rStyle w:val="85"/>
          <w:rFonts w:ascii="宋体" w:hAnsi="宋体"/>
          <w:bCs/>
        </w:rPr>
        <w:t>56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"_Toc106883107" </w:instrText>
      </w:r>
      <w:r>
        <w:fldChar w:fldCharType="separate"/>
      </w:r>
      <w:r>
        <w:rPr>
          <w:rStyle w:val="85"/>
          <w:rFonts w:ascii="宋体" w:hAnsi="宋体"/>
          <w:bCs/>
        </w:rPr>
        <w:t>3.3.6 水</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_Toc106883107 \h </w:instrText>
      </w:r>
      <w:r>
        <w:rPr>
          <w:rStyle w:val="85"/>
          <w:rFonts w:ascii="宋体" w:hAnsi="宋体"/>
          <w:bCs/>
        </w:rPr>
        <w:fldChar w:fldCharType="separate"/>
      </w:r>
      <w:r>
        <w:rPr>
          <w:rStyle w:val="85"/>
          <w:rFonts w:ascii="宋体" w:hAnsi="宋体"/>
          <w:bCs/>
        </w:rPr>
        <w:t>57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"_Toc106883108" </w:instrText>
      </w:r>
      <w:r>
        <w:fldChar w:fldCharType="separate"/>
      </w:r>
      <w:r>
        <w:rPr>
          <w:rStyle w:val="85"/>
          <w:rFonts w:ascii="宋体" w:hAnsi="宋体"/>
          <w:bCs/>
        </w:rPr>
        <w:t>3.3.7 沥青混合料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_Toc106883108 \h </w:instrText>
      </w:r>
      <w:r>
        <w:rPr>
          <w:rStyle w:val="85"/>
          <w:rFonts w:ascii="宋体" w:hAnsi="宋体"/>
          <w:bCs/>
        </w:rPr>
        <w:fldChar w:fldCharType="separate"/>
      </w:r>
      <w:r>
        <w:rPr>
          <w:rStyle w:val="85"/>
          <w:rFonts w:ascii="宋体" w:hAnsi="宋体"/>
          <w:bCs/>
        </w:rPr>
        <w:t>57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"_Toc106883109" </w:instrText>
      </w:r>
      <w:r>
        <w:fldChar w:fldCharType="separate"/>
      </w:r>
      <w:r>
        <w:rPr>
          <w:rStyle w:val="85"/>
          <w:rFonts w:ascii="宋体" w:hAnsi="宋体"/>
          <w:bCs/>
        </w:rPr>
        <w:t>3.3.8 填缝材料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_Toc106883109 \h </w:instrText>
      </w:r>
      <w:r>
        <w:rPr>
          <w:rStyle w:val="85"/>
          <w:rFonts w:ascii="宋体" w:hAnsi="宋体"/>
          <w:bCs/>
        </w:rPr>
        <w:fldChar w:fldCharType="separate"/>
      </w:r>
      <w:r>
        <w:rPr>
          <w:rStyle w:val="85"/>
          <w:rFonts w:ascii="宋体" w:hAnsi="宋体"/>
          <w:bCs/>
        </w:rPr>
        <w:t>57</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"_Toc106883110" </w:instrText>
      </w:r>
      <w:r>
        <w:fldChar w:fldCharType="separate"/>
      </w:r>
      <w:r>
        <w:rPr>
          <w:rStyle w:val="85"/>
          <w:rFonts w:ascii="宋体" w:hAnsi="宋体" w:cs="楷体"/>
        </w:rPr>
        <w:t>3.4 工作质量</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_Toc106883110 \h </w:instrText>
      </w:r>
      <w:r>
        <w:rPr>
          <w:rStyle w:val="85"/>
          <w:rFonts w:ascii="宋体" w:hAnsi="宋体" w:cs="楷体"/>
        </w:rPr>
        <w:fldChar w:fldCharType="separate"/>
      </w:r>
      <w:r>
        <w:rPr>
          <w:rStyle w:val="85"/>
          <w:rFonts w:ascii="宋体" w:hAnsi="宋体" w:cs="楷体"/>
        </w:rPr>
        <w:t>58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"_Toc106883111" </w:instrText>
      </w:r>
      <w:r>
        <w:fldChar w:fldCharType="separate"/>
      </w:r>
      <w:r>
        <w:rPr>
          <w:rStyle w:val="85"/>
          <w:rFonts w:ascii="宋体" w:hAnsi="宋体"/>
          <w:bCs/>
        </w:rPr>
        <w:t>3.4.1 混凝土强度等级</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_Toc106883111 \h </w:instrText>
      </w:r>
      <w:r>
        <w:rPr>
          <w:rStyle w:val="85"/>
          <w:rFonts w:ascii="宋体" w:hAnsi="宋体"/>
          <w:bCs/>
        </w:rPr>
        <w:fldChar w:fldCharType="separate"/>
      </w:r>
      <w:r>
        <w:rPr>
          <w:rStyle w:val="85"/>
          <w:rFonts w:ascii="宋体" w:hAnsi="宋体"/>
          <w:bCs/>
        </w:rPr>
        <w:t>58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"_Toc106883112" </w:instrText>
      </w:r>
      <w:r>
        <w:fldChar w:fldCharType="separate"/>
      </w:r>
      <w:r>
        <w:rPr>
          <w:rStyle w:val="85"/>
          <w:rFonts w:ascii="宋体" w:hAnsi="宋体"/>
          <w:bCs/>
        </w:rPr>
        <w:t>3.4.2 混凝土中化学物质的含量</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_Toc106883112 \h </w:instrText>
      </w:r>
      <w:r>
        <w:rPr>
          <w:rStyle w:val="85"/>
          <w:rFonts w:ascii="宋体" w:hAnsi="宋体"/>
          <w:bCs/>
        </w:rPr>
        <w:fldChar w:fldCharType="separate"/>
      </w:r>
      <w:r>
        <w:rPr>
          <w:rStyle w:val="85"/>
          <w:rFonts w:ascii="宋体" w:hAnsi="宋体"/>
          <w:bCs/>
        </w:rPr>
        <w:t>58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"_Toc106883113" </w:instrText>
      </w:r>
      <w:r>
        <w:fldChar w:fldCharType="separate"/>
      </w:r>
      <w:r>
        <w:rPr>
          <w:rStyle w:val="85"/>
          <w:rFonts w:ascii="宋体" w:hAnsi="宋体"/>
          <w:bCs/>
        </w:rPr>
        <w:t>3.4.3 和易性</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_Toc106883113 \h </w:instrText>
      </w:r>
      <w:r>
        <w:rPr>
          <w:rStyle w:val="85"/>
          <w:rFonts w:ascii="宋体" w:hAnsi="宋体"/>
          <w:bCs/>
        </w:rPr>
        <w:fldChar w:fldCharType="separate"/>
      </w:r>
      <w:r>
        <w:rPr>
          <w:rStyle w:val="85"/>
          <w:rFonts w:ascii="宋体" w:hAnsi="宋体"/>
          <w:bCs/>
        </w:rPr>
        <w:t>58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"_Toc106883114" </w:instrText>
      </w:r>
      <w:r>
        <w:fldChar w:fldCharType="separate"/>
      </w:r>
      <w:r>
        <w:rPr>
          <w:rStyle w:val="85"/>
          <w:rFonts w:ascii="宋体" w:hAnsi="宋体"/>
          <w:bCs/>
        </w:rPr>
        <w:t>3.4.4 混凝土配合比的设计</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_Toc106883114 \h </w:instrText>
      </w:r>
      <w:r>
        <w:rPr>
          <w:rStyle w:val="85"/>
          <w:rFonts w:ascii="宋体" w:hAnsi="宋体"/>
          <w:bCs/>
        </w:rPr>
        <w:fldChar w:fldCharType="separate"/>
      </w:r>
      <w:r>
        <w:rPr>
          <w:rStyle w:val="85"/>
          <w:rFonts w:ascii="宋体" w:hAnsi="宋体"/>
          <w:bCs/>
        </w:rPr>
        <w:t>58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"_Toc106883115" </w:instrText>
      </w:r>
      <w:r>
        <w:fldChar w:fldCharType="separate"/>
      </w:r>
      <w:r>
        <w:rPr>
          <w:rStyle w:val="85"/>
          <w:rFonts w:ascii="宋体" w:hAnsi="宋体"/>
          <w:bCs/>
        </w:rPr>
        <w:t>3.4.5 试行配合比</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_Toc106883115 \h </w:instrText>
      </w:r>
      <w:r>
        <w:rPr>
          <w:rStyle w:val="85"/>
          <w:rFonts w:ascii="宋体" w:hAnsi="宋体"/>
          <w:bCs/>
        </w:rPr>
        <w:fldChar w:fldCharType="separate"/>
      </w:r>
      <w:r>
        <w:rPr>
          <w:rStyle w:val="85"/>
          <w:rFonts w:ascii="宋体" w:hAnsi="宋体"/>
          <w:bCs/>
        </w:rPr>
        <w:t>59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"_Toc106883116" </w:instrText>
      </w:r>
      <w:r>
        <w:fldChar w:fldCharType="separate"/>
      </w:r>
      <w:r>
        <w:rPr>
          <w:rStyle w:val="85"/>
          <w:rFonts w:ascii="宋体" w:hAnsi="宋体"/>
          <w:bCs/>
        </w:rPr>
        <w:t>3.4.6 不批准的配合比</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_Toc106883116 \h </w:instrText>
      </w:r>
      <w:r>
        <w:rPr>
          <w:rStyle w:val="85"/>
          <w:rFonts w:ascii="宋体" w:hAnsi="宋体"/>
          <w:bCs/>
        </w:rPr>
        <w:fldChar w:fldCharType="separate"/>
      </w:r>
      <w:r>
        <w:rPr>
          <w:rStyle w:val="85"/>
          <w:rFonts w:ascii="宋体" w:hAnsi="宋体"/>
          <w:bCs/>
        </w:rPr>
        <w:t>60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"_Toc106883117" </w:instrText>
      </w:r>
      <w:r>
        <w:fldChar w:fldCharType="separate"/>
      </w:r>
      <w:r>
        <w:rPr>
          <w:rStyle w:val="85"/>
          <w:rFonts w:ascii="宋体" w:hAnsi="宋体"/>
          <w:bCs/>
        </w:rPr>
        <w:t>3.4.7 混凝土原料的称量或测量</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_Toc106883117 \h </w:instrText>
      </w:r>
      <w:r>
        <w:rPr>
          <w:rStyle w:val="85"/>
          <w:rFonts w:ascii="宋体" w:hAnsi="宋体"/>
          <w:bCs/>
        </w:rPr>
        <w:fldChar w:fldCharType="separate"/>
      </w:r>
      <w:r>
        <w:rPr>
          <w:rStyle w:val="85"/>
          <w:rFonts w:ascii="宋体" w:hAnsi="宋体"/>
          <w:bCs/>
        </w:rPr>
        <w:t>60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"_Toc106883118" </w:instrText>
      </w:r>
      <w:r>
        <w:fldChar w:fldCharType="separate"/>
      </w:r>
      <w:r>
        <w:rPr>
          <w:rStyle w:val="85"/>
          <w:rFonts w:ascii="宋体" w:hAnsi="宋体"/>
          <w:bCs/>
        </w:rPr>
        <w:t>3.4.8 混凝土搅拌</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_Toc106883118 \h </w:instrText>
      </w:r>
      <w:r>
        <w:rPr>
          <w:rStyle w:val="85"/>
          <w:rFonts w:ascii="宋体" w:hAnsi="宋体"/>
          <w:bCs/>
        </w:rPr>
        <w:fldChar w:fldCharType="separate"/>
      </w:r>
      <w:r>
        <w:rPr>
          <w:rStyle w:val="85"/>
          <w:rFonts w:ascii="宋体" w:hAnsi="宋体"/>
          <w:bCs/>
        </w:rPr>
        <w:t>61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"_Toc106883119" </w:instrText>
      </w:r>
      <w:r>
        <w:fldChar w:fldCharType="separate"/>
      </w:r>
      <w:r>
        <w:rPr>
          <w:rStyle w:val="85"/>
          <w:rFonts w:ascii="宋体" w:hAnsi="宋体"/>
          <w:bCs/>
        </w:rPr>
        <w:t>3.4.9 混凝土的运输</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_Toc106883119 \h </w:instrText>
      </w:r>
      <w:r>
        <w:rPr>
          <w:rStyle w:val="85"/>
          <w:rFonts w:ascii="宋体" w:hAnsi="宋体"/>
          <w:bCs/>
        </w:rPr>
        <w:fldChar w:fldCharType="separate"/>
      </w:r>
      <w:r>
        <w:rPr>
          <w:rStyle w:val="85"/>
          <w:rFonts w:ascii="宋体" w:hAnsi="宋体"/>
          <w:bCs/>
        </w:rPr>
        <w:t>61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"_Toc106883120" </w:instrText>
      </w:r>
      <w:r>
        <w:fldChar w:fldCharType="separate"/>
      </w:r>
      <w:r>
        <w:rPr>
          <w:rStyle w:val="85"/>
          <w:rFonts w:ascii="宋体" w:hAnsi="宋体"/>
          <w:bCs/>
        </w:rPr>
        <w:t>3.4.10 浇筑混凝土的准备</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_Toc106883120 \h </w:instrText>
      </w:r>
      <w:r>
        <w:rPr>
          <w:rStyle w:val="85"/>
          <w:rFonts w:ascii="宋体" w:hAnsi="宋体"/>
          <w:bCs/>
        </w:rPr>
        <w:fldChar w:fldCharType="separate"/>
      </w:r>
      <w:r>
        <w:rPr>
          <w:rStyle w:val="85"/>
          <w:rFonts w:ascii="宋体" w:hAnsi="宋体"/>
          <w:bCs/>
        </w:rPr>
        <w:t>62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"_Toc106883121" </w:instrText>
      </w:r>
      <w:r>
        <w:fldChar w:fldCharType="separate"/>
      </w:r>
      <w:r>
        <w:rPr>
          <w:rStyle w:val="85"/>
          <w:rFonts w:ascii="宋体" w:hAnsi="宋体"/>
          <w:bCs/>
        </w:rPr>
        <w:t>3.4.11 项目监理的检查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_Toc106883121 \h </w:instrText>
      </w:r>
      <w:r>
        <w:rPr>
          <w:rStyle w:val="85"/>
          <w:rFonts w:ascii="宋体" w:hAnsi="宋体"/>
          <w:bCs/>
        </w:rPr>
        <w:fldChar w:fldCharType="separate"/>
      </w:r>
      <w:r>
        <w:rPr>
          <w:rStyle w:val="85"/>
          <w:rFonts w:ascii="宋体" w:hAnsi="宋体"/>
          <w:bCs/>
        </w:rPr>
        <w:t>62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"_Toc106883122" </w:instrText>
      </w:r>
      <w:r>
        <w:fldChar w:fldCharType="separate"/>
      </w:r>
      <w:r>
        <w:rPr>
          <w:rStyle w:val="85"/>
          <w:rFonts w:ascii="宋体" w:hAnsi="宋体"/>
          <w:bCs/>
        </w:rPr>
        <w:t>3.4.12 浇筑混凝土</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_Toc106883122 \h </w:instrText>
      </w:r>
      <w:r>
        <w:rPr>
          <w:rStyle w:val="85"/>
          <w:rFonts w:ascii="宋体" w:hAnsi="宋体"/>
          <w:bCs/>
        </w:rPr>
        <w:fldChar w:fldCharType="separate"/>
      </w:r>
      <w:r>
        <w:rPr>
          <w:rStyle w:val="85"/>
          <w:rFonts w:ascii="宋体" w:hAnsi="宋体"/>
          <w:bCs/>
        </w:rPr>
        <w:t>62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"_Toc106883128" </w:instrText>
      </w:r>
      <w:r>
        <w:fldChar w:fldCharType="separate"/>
      </w:r>
      <w:r>
        <w:rPr>
          <w:rStyle w:val="85"/>
          <w:rFonts w:ascii="宋体" w:hAnsi="宋体"/>
          <w:bCs/>
        </w:rPr>
        <w:t>3.4.13 混凝土的振捣</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_Toc106883128 \h </w:instrText>
      </w:r>
      <w:r>
        <w:rPr>
          <w:rStyle w:val="85"/>
          <w:rFonts w:ascii="宋体" w:hAnsi="宋体"/>
          <w:bCs/>
        </w:rPr>
        <w:fldChar w:fldCharType="separate"/>
      </w:r>
      <w:r>
        <w:rPr>
          <w:rStyle w:val="85"/>
          <w:rFonts w:ascii="宋体" w:hAnsi="宋体"/>
          <w:bCs/>
        </w:rPr>
        <w:t>64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"_Toc106883129" </w:instrText>
      </w:r>
      <w:r>
        <w:fldChar w:fldCharType="separate"/>
      </w:r>
      <w:r>
        <w:rPr>
          <w:rStyle w:val="85"/>
          <w:rFonts w:ascii="宋体" w:hAnsi="宋体"/>
          <w:bCs/>
        </w:rPr>
        <w:t>3.4.14 混凝土结构的荷载</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_Toc106883129 \h </w:instrText>
      </w:r>
      <w:r>
        <w:rPr>
          <w:rStyle w:val="85"/>
          <w:rFonts w:ascii="宋体" w:hAnsi="宋体"/>
          <w:bCs/>
        </w:rPr>
        <w:fldChar w:fldCharType="separate"/>
      </w:r>
      <w:r>
        <w:rPr>
          <w:rStyle w:val="85"/>
          <w:rFonts w:ascii="宋体" w:hAnsi="宋体"/>
          <w:bCs/>
        </w:rPr>
        <w:t>65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"_Toc106883130" </w:instrText>
      </w:r>
      <w:r>
        <w:fldChar w:fldCharType="separate"/>
      </w:r>
      <w:r>
        <w:rPr>
          <w:rStyle w:val="85"/>
          <w:rFonts w:ascii="宋体" w:hAnsi="宋体"/>
          <w:bCs/>
        </w:rPr>
        <w:t>3.4.15 混凝土的养护</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_Toc106883130 \h </w:instrText>
      </w:r>
      <w:r>
        <w:rPr>
          <w:rStyle w:val="85"/>
          <w:rFonts w:ascii="宋体" w:hAnsi="宋体"/>
          <w:bCs/>
        </w:rPr>
        <w:fldChar w:fldCharType="separate"/>
      </w:r>
      <w:r>
        <w:rPr>
          <w:rStyle w:val="85"/>
          <w:rFonts w:ascii="宋体" w:hAnsi="宋体"/>
          <w:bCs/>
        </w:rPr>
        <w:t>65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"_Toc106883131" </w:instrText>
      </w:r>
      <w:r>
        <w:fldChar w:fldCharType="separate"/>
      </w:r>
      <w:r>
        <w:rPr>
          <w:rStyle w:val="85"/>
          <w:rFonts w:ascii="宋体" w:hAnsi="宋体"/>
          <w:bCs/>
        </w:rPr>
        <w:t>3.4.16 施工缝</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_Toc106883131 \h </w:instrText>
      </w:r>
      <w:r>
        <w:rPr>
          <w:rStyle w:val="85"/>
          <w:rFonts w:ascii="宋体" w:hAnsi="宋体"/>
          <w:bCs/>
        </w:rPr>
        <w:fldChar w:fldCharType="separate"/>
      </w:r>
      <w:r>
        <w:rPr>
          <w:rStyle w:val="85"/>
          <w:rFonts w:ascii="宋体" w:hAnsi="宋体"/>
          <w:bCs/>
        </w:rPr>
        <w:t>65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"_Toc106883132" </w:instrText>
      </w:r>
      <w:r>
        <w:fldChar w:fldCharType="separate"/>
      </w:r>
      <w:r>
        <w:rPr>
          <w:rStyle w:val="85"/>
          <w:rFonts w:ascii="宋体" w:hAnsi="宋体"/>
          <w:bCs/>
        </w:rPr>
        <w:t>3.4.17 沉降缝</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_Toc106883132 \h </w:instrText>
      </w:r>
      <w:r>
        <w:rPr>
          <w:rStyle w:val="85"/>
          <w:rFonts w:ascii="宋体" w:hAnsi="宋体"/>
          <w:bCs/>
        </w:rPr>
        <w:fldChar w:fldCharType="separate"/>
      </w:r>
      <w:r>
        <w:rPr>
          <w:rStyle w:val="85"/>
          <w:rFonts w:ascii="宋体" w:hAnsi="宋体"/>
          <w:bCs/>
        </w:rPr>
        <w:t>66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"_Toc106883133" </w:instrText>
      </w:r>
      <w:r>
        <w:fldChar w:fldCharType="separate"/>
      </w:r>
      <w:r>
        <w:rPr>
          <w:rStyle w:val="85"/>
          <w:rFonts w:ascii="宋体" w:hAnsi="宋体"/>
          <w:bCs/>
        </w:rPr>
        <w:t>3.4.18 完工后的混凝土尺寸和表面不均匀度</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_Toc106883133 \h </w:instrText>
      </w:r>
      <w:r>
        <w:rPr>
          <w:rStyle w:val="85"/>
          <w:rFonts w:ascii="宋体" w:hAnsi="宋体"/>
          <w:bCs/>
        </w:rPr>
        <w:fldChar w:fldCharType="separate"/>
      </w:r>
      <w:r>
        <w:rPr>
          <w:rStyle w:val="85"/>
          <w:rFonts w:ascii="宋体" w:hAnsi="宋体"/>
          <w:bCs/>
        </w:rPr>
        <w:t>66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"_Toc106883134" </w:instrText>
      </w:r>
      <w:r>
        <w:fldChar w:fldCharType="separate"/>
      </w:r>
      <w:r>
        <w:rPr>
          <w:rStyle w:val="85"/>
          <w:rFonts w:ascii="宋体" w:hAnsi="宋体"/>
          <w:bCs/>
        </w:rPr>
        <w:t>3.4.19 不用模板的混凝土表面的光洁度</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_Toc106883134 \h </w:instrText>
      </w:r>
      <w:r>
        <w:rPr>
          <w:rStyle w:val="85"/>
          <w:rFonts w:ascii="宋体" w:hAnsi="宋体"/>
          <w:bCs/>
        </w:rPr>
        <w:fldChar w:fldCharType="separate"/>
      </w:r>
      <w:r>
        <w:rPr>
          <w:rStyle w:val="85"/>
          <w:rFonts w:ascii="宋体" w:hAnsi="宋体"/>
          <w:bCs/>
        </w:rPr>
        <w:t>67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"_Toc106883135" </w:instrText>
      </w:r>
      <w:r>
        <w:fldChar w:fldCharType="separate"/>
      </w:r>
      <w:r>
        <w:rPr>
          <w:rStyle w:val="85"/>
          <w:rFonts w:ascii="宋体" w:hAnsi="宋体"/>
          <w:bCs/>
        </w:rPr>
        <w:t>3.4.20 预埋管件和其它</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_Toc106883135 \h </w:instrText>
      </w:r>
      <w:r>
        <w:rPr>
          <w:rStyle w:val="85"/>
          <w:rFonts w:ascii="宋体" w:hAnsi="宋体"/>
          <w:bCs/>
        </w:rPr>
        <w:fldChar w:fldCharType="separate"/>
      </w:r>
      <w:r>
        <w:rPr>
          <w:rStyle w:val="85"/>
          <w:rFonts w:ascii="宋体" w:hAnsi="宋体"/>
          <w:bCs/>
        </w:rPr>
        <w:t>67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"_Toc106883136" </w:instrText>
      </w:r>
      <w:r>
        <w:fldChar w:fldCharType="separate"/>
      </w:r>
      <w:r>
        <w:rPr>
          <w:rStyle w:val="85"/>
          <w:rFonts w:ascii="宋体" w:hAnsi="宋体"/>
          <w:bCs/>
        </w:rPr>
        <w:t>3.4.21 计量与支付</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_Toc106883136 \h </w:instrText>
      </w:r>
      <w:r>
        <w:rPr>
          <w:rStyle w:val="85"/>
          <w:rFonts w:ascii="宋体" w:hAnsi="宋体"/>
          <w:bCs/>
        </w:rPr>
        <w:fldChar w:fldCharType="separate"/>
      </w:r>
      <w:r>
        <w:rPr>
          <w:rStyle w:val="85"/>
          <w:rFonts w:ascii="宋体" w:hAnsi="宋体"/>
          <w:bCs/>
        </w:rPr>
        <w:t>68</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"_Toc106883137" </w:instrText>
      </w:r>
      <w:r>
        <w:fldChar w:fldCharType="separate"/>
      </w:r>
      <w:r>
        <w:rPr>
          <w:rStyle w:val="85"/>
          <w:rFonts w:ascii="宋体" w:hAnsi="宋体" w:cs="楷体"/>
        </w:rPr>
        <w:t>3.5 预制混凝土</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_Toc106883137 \h </w:instrText>
      </w:r>
      <w:r>
        <w:rPr>
          <w:rStyle w:val="85"/>
          <w:rFonts w:ascii="宋体" w:hAnsi="宋体" w:cs="楷体"/>
        </w:rPr>
        <w:fldChar w:fldCharType="separate"/>
      </w:r>
      <w:r>
        <w:rPr>
          <w:rStyle w:val="85"/>
          <w:rFonts w:ascii="宋体" w:hAnsi="宋体" w:cs="楷体"/>
        </w:rPr>
        <w:t>69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"_Toc106883138" </w:instrText>
      </w:r>
      <w:r>
        <w:fldChar w:fldCharType="separate"/>
      </w:r>
      <w:r>
        <w:rPr>
          <w:rStyle w:val="85"/>
          <w:rFonts w:ascii="宋体" w:hAnsi="宋体"/>
          <w:bCs/>
        </w:rPr>
        <w:t>3.5.1 预制混凝土构件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_Toc106883138 \h </w:instrText>
      </w:r>
      <w:r>
        <w:rPr>
          <w:rStyle w:val="85"/>
          <w:rFonts w:ascii="宋体" w:hAnsi="宋体"/>
          <w:bCs/>
        </w:rPr>
        <w:fldChar w:fldCharType="separate"/>
      </w:r>
      <w:r>
        <w:rPr>
          <w:rStyle w:val="85"/>
          <w:rFonts w:ascii="宋体" w:hAnsi="宋体"/>
          <w:bCs/>
        </w:rPr>
        <w:t>69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"_Toc106883139" </w:instrText>
      </w:r>
      <w:r>
        <w:fldChar w:fldCharType="separate"/>
      </w:r>
      <w:r>
        <w:rPr>
          <w:rStyle w:val="85"/>
          <w:rFonts w:ascii="宋体" w:hAnsi="宋体"/>
          <w:bCs/>
        </w:rPr>
        <w:t>3.5.2 允许偏差</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_Toc106883139 \h </w:instrText>
      </w:r>
      <w:r>
        <w:rPr>
          <w:rStyle w:val="85"/>
          <w:rFonts w:ascii="宋体" w:hAnsi="宋体"/>
          <w:bCs/>
        </w:rPr>
        <w:fldChar w:fldCharType="separate"/>
      </w:r>
      <w:r>
        <w:rPr>
          <w:rStyle w:val="85"/>
          <w:rFonts w:ascii="宋体" w:hAnsi="宋体"/>
          <w:bCs/>
        </w:rPr>
        <w:t>69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"_Toc106883140" </w:instrText>
      </w:r>
      <w:r>
        <w:fldChar w:fldCharType="separate"/>
      </w:r>
      <w:r>
        <w:rPr>
          <w:rStyle w:val="85"/>
          <w:rFonts w:ascii="宋体" w:hAnsi="宋体"/>
          <w:bCs/>
        </w:rPr>
        <w:t>3.5.3 预制混凝土构件的安装</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_Toc106883140 \h </w:instrText>
      </w:r>
      <w:r>
        <w:rPr>
          <w:rStyle w:val="85"/>
          <w:rFonts w:ascii="宋体" w:hAnsi="宋体"/>
          <w:bCs/>
        </w:rPr>
        <w:fldChar w:fldCharType="separate"/>
      </w:r>
      <w:r>
        <w:rPr>
          <w:rStyle w:val="85"/>
          <w:rFonts w:ascii="宋体" w:hAnsi="宋体"/>
          <w:bCs/>
        </w:rPr>
        <w:t>70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"_Toc106883141" </w:instrText>
      </w:r>
      <w:r>
        <w:fldChar w:fldCharType="separate"/>
      </w:r>
      <w:r>
        <w:rPr>
          <w:rStyle w:val="85"/>
          <w:rFonts w:ascii="宋体" w:hAnsi="宋体"/>
          <w:bCs/>
        </w:rPr>
        <w:t>3.5.4 计量与支付</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_Toc106883141 \h </w:instrText>
      </w:r>
      <w:r>
        <w:rPr>
          <w:rStyle w:val="85"/>
          <w:rFonts w:ascii="宋体" w:hAnsi="宋体"/>
          <w:bCs/>
        </w:rPr>
        <w:fldChar w:fldCharType="separate"/>
      </w:r>
      <w:r>
        <w:rPr>
          <w:rStyle w:val="85"/>
          <w:rFonts w:ascii="宋体" w:hAnsi="宋体"/>
          <w:bCs/>
        </w:rPr>
        <w:t>70</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"_Toc106883142" </w:instrText>
      </w:r>
      <w:r>
        <w:fldChar w:fldCharType="separate"/>
      </w:r>
      <w:r>
        <w:rPr>
          <w:rStyle w:val="85"/>
          <w:rFonts w:ascii="宋体" w:hAnsi="宋体" w:cs="楷体"/>
        </w:rPr>
        <w:t>3.6 试验和质量控制</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_Toc106883142 \h </w:instrText>
      </w:r>
      <w:r>
        <w:rPr>
          <w:rStyle w:val="85"/>
          <w:rFonts w:ascii="宋体" w:hAnsi="宋体" w:cs="楷体"/>
        </w:rPr>
        <w:fldChar w:fldCharType="separate"/>
      </w:r>
      <w:r>
        <w:rPr>
          <w:rStyle w:val="85"/>
          <w:rFonts w:ascii="宋体" w:hAnsi="宋体" w:cs="楷体"/>
        </w:rPr>
        <w:t>70</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"_Toc106883143" </w:instrText>
      </w:r>
      <w:r>
        <w:fldChar w:fldCharType="separate"/>
      </w:r>
      <w:r>
        <w:rPr>
          <w:rStyle w:val="85"/>
          <w:rFonts w:ascii="宋体" w:hAnsi="宋体"/>
          <w:bCs/>
        </w:rPr>
        <w:t>3.6.1 骨料的取样和试验</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_Toc106883143 \h </w:instrText>
      </w:r>
      <w:r>
        <w:rPr>
          <w:rStyle w:val="85"/>
          <w:rFonts w:ascii="宋体" w:hAnsi="宋体"/>
          <w:bCs/>
        </w:rPr>
        <w:fldChar w:fldCharType="separate"/>
      </w:r>
      <w:r>
        <w:rPr>
          <w:rStyle w:val="85"/>
          <w:rFonts w:ascii="宋体" w:hAnsi="宋体"/>
          <w:bCs/>
        </w:rPr>
        <w:t>70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"_Toc106883144" </w:instrText>
      </w:r>
      <w:r>
        <w:fldChar w:fldCharType="separate"/>
      </w:r>
      <w:r>
        <w:rPr>
          <w:rStyle w:val="85"/>
          <w:rFonts w:ascii="宋体" w:hAnsi="宋体"/>
          <w:bCs/>
        </w:rPr>
        <w:t>3.6.2 混凝土的取样和试验</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_Toc106883144 \h </w:instrText>
      </w:r>
      <w:r>
        <w:rPr>
          <w:rStyle w:val="85"/>
          <w:rFonts w:ascii="宋体" w:hAnsi="宋体"/>
          <w:bCs/>
        </w:rPr>
        <w:fldChar w:fldCharType="separate"/>
      </w:r>
      <w:r>
        <w:rPr>
          <w:rStyle w:val="85"/>
          <w:rFonts w:ascii="宋体" w:hAnsi="宋体"/>
          <w:bCs/>
        </w:rPr>
        <w:t>70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"_Toc106883145" </w:instrText>
      </w:r>
      <w:r>
        <w:fldChar w:fldCharType="separate"/>
      </w:r>
      <w:r>
        <w:rPr>
          <w:rStyle w:val="85"/>
          <w:rFonts w:ascii="宋体" w:hAnsi="宋体"/>
          <w:bCs/>
        </w:rPr>
        <w:t>3.6.3 符合特殊规定的要求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_Toc106883145 \h </w:instrText>
      </w:r>
      <w:r>
        <w:rPr>
          <w:rStyle w:val="85"/>
          <w:rFonts w:ascii="宋体" w:hAnsi="宋体"/>
          <w:bCs/>
        </w:rPr>
        <w:fldChar w:fldCharType="separate"/>
      </w:r>
      <w:r>
        <w:rPr>
          <w:rStyle w:val="85"/>
          <w:rFonts w:ascii="宋体" w:hAnsi="宋体"/>
          <w:bCs/>
        </w:rPr>
        <w:t>71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"_Toc106883146" </w:instrText>
      </w:r>
      <w:r>
        <w:fldChar w:fldCharType="separate"/>
      </w:r>
      <w:r>
        <w:rPr>
          <w:rStyle w:val="85"/>
          <w:rFonts w:ascii="宋体" w:hAnsi="宋体"/>
          <w:bCs/>
        </w:rPr>
        <w:t>3.6.4 取芯试验</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_Toc106883146 \h </w:instrText>
      </w:r>
      <w:r>
        <w:rPr>
          <w:rStyle w:val="85"/>
          <w:rFonts w:ascii="宋体" w:hAnsi="宋体"/>
          <w:bCs/>
        </w:rPr>
        <w:fldChar w:fldCharType="separate"/>
      </w:r>
      <w:r>
        <w:rPr>
          <w:rStyle w:val="85"/>
          <w:rFonts w:ascii="宋体" w:hAnsi="宋体"/>
          <w:bCs/>
        </w:rPr>
        <w:t>72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"_Toc106883147" </w:instrText>
      </w:r>
      <w:r>
        <w:fldChar w:fldCharType="separate"/>
      </w:r>
      <w:r>
        <w:rPr>
          <w:rStyle w:val="85"/>
          <w:rFonts w:ascii="宋体" w:hAnsi="宋体"/>
          <w:bCs/>
        </w:rPr>
        <w:t>3.6.5 承包商对试验的责任</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_Toc106883147 \h </w:instrText>
      </w:r>
      <w:r>
        <w:rPr>
          <w:rStyle w:val="85"/>
          <w:rFonts w:ascii="宋体" w:hAnsi="宋体"/>
          <w:bCs/>
        </w:rPr>
        <w:fldChar w:fldCharType="separate"/>
      </w:r>
      <w:r>
        <w:rPr>
          <w:rStyle w:val="85"/>
          <w:rFonts w:ascii="宋体" w:hAnsi="宋体"/>
          <w:bCs/>
        </w:rPr>
        <w:t>72</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"_Toc106883148" </w:instrText>
      </w:r>
      <w:r>
        <w:fldChar w:fldCharType="separate"/>
      </w:r>
      <w:r>
        <w:rPr>
          <w:rStyle w:val="85"/>
          <w:rFonts w:ascii="宋体" w:hAnsi="宋体" w:cs="楷体"/>
        </w:rPr>
        <w:t>3.7 混凝土模板</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_Toc106883148 \h </w:instrText>
      </w:r>
      <w:r>
        <w:rPr>
          <w:rStyle w:val="85"/>
          <w:rFonts w:ascii="宋体" w:hAnsi="宋体" w:cs="楷体"/>
        </w:rPr>
        <w:fldChar w:fldCharType="separate"/>
      </w:r>
      <w:r>
        <w:rPr>
          <w:rStyle w:val="85"/>
          <w:rFonts w:ascii="宋体" w:hAnsi="宋体" w:cs="楷体"/>
        </w:rPr>
        <w:t>72</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"_Toc106883149" </w:instrText>
      </w:r>
      <w:r>
        <w:fldChar w:fldCharType="separate"/>
      </w:r>
      <w:r>
        <w:rPr>
          <w:rStyle w:val="85"/>
          <w:rFonts w:ascii="宋体" w:hAnsi="宋体"/>
        </w:rPr>
        <w:t>3.7.1 模板材料</w:t>
      </w:r>
      <w:r>
        <w:rPr>
          <w:rFonts w:ascii="宋体" w:hAnsi="宋体"/>
        </w:rPr>
        <w:tab/>
      </w:r>
      <w:r>
        <w:rPr>
          <w:rFonts w:ascii="宋体" w:hAnsi="宋体"/>
        </w:rPr>
        <w:fldChar w:fldCharType="begin"/>
      </w:r>
      <w:r>
        <w:rPr>
          <w:rFonts w:ascii="宋体" w:hAnsi="宋体"/>
        </w:rPr>
        <w:instrText xml:space="preserve"> PAGEREF _Toc106883149 \h </w:instrText>
      </w:r>
      <w:r>
        <w:rPr>
          <w:rFonts w:ascii="宋体" w:hAnsi="宋体"/>
        </w:rPr>
        <w:fldChar w:fldCharType="separate"/>
      </w:r>
      <w:r>
        <w:rPr>
          <w:rFonts w:ascii="宋体" w:hAnsi="宋体"/>
        </w:rPr>
        <w:t>72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"_Toc106883150" </w:instrText>
      </w:r>
      <w:r>
        <w:fldChar w:fldCharType="separate"/>
      </w:r>
      <w:r>
        <w:rPr>
          <w:rStyle w:val="85"/>
          <w:rFonts w:ascii="宋体" w:hAnsi="宋体"/>
        </w:rPr>
        <w:t>3.7.2 模板的设计和布置</w:t>
      </w:r>
      <w:r>
        <w:rPr>
          <w:rFonts w:ascii="宋体" w:hAnsi="宋体"/>
        </w:rPr>
        <w:tab/>
      </w:r>
      <w:r>
        <w:rPr>
          <w:rFonts w:ascii="宋体" w:hAnsi="宋体"/>
        </w:rPr>
        <w:fldChar w:fldCharType="begin"/>
      </w:r>
      <w:r>
        <w:rPr>
          <w:rFonts w:ascii="宋体" w:hAnsi="宋体"/>
        </w:rPr>
        <w:instrText xml:space="preserve"> PAGEREF _Toc106883150 \h </w:instrText>
      </w:r>
      <w:r>
        <w:rPr>
          <w:rFonts w:ascii="宋体" w:hAnsi="宋体"/>
        </w:rPr>
        <w:fldChar w:fldCharType="separate"/>
      </w:r>
      <w:r>
        <w:rPr>
          <w:rFonts w:ascii="宋体" w:hAnsi="宋体"/>
        </w:rPr>
        <w:t>72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"_Toc106883151" </w:instrText>
      </w:r>
      <w:r>
        <w:fldChar w:fldCharType="separate"/>
      </w:r>
      <w:r>
        <w:rPr>
          <w:rStyle w:val="85"/>
          <w:rFonts w:ascii="宋体" w:hAnsi="宋体"/>
        </w:rPr>
        <w:t>3.7.3 模板成型的混凝土表面光洁度等级</w:t>
      </w:r>
      <w:r>
        <w:rPr>
          <w:rFonts w:ascii="宋体" w:hAnsi="宋体"/>
        </w:rPr>
        <w:tab/>
      </w:r>
      <w:r>
        <w:rPr>
          <w:rFonts w:ascii="宋体" w:hAnsi="宋体"/>
        </w:rPr>
        <w:fldChar w:fldCharType="begin"/>
      </w:r>
      <w:r>
        <w:rPr>
          <w:rFonts w:ascii="宋体" w:hAnsi="宋体"/>
        </w:rPr>
        <w:instrText xml:space="preserve"> PAGEREF _Toc106883151 \h </w:instrText>
      </w:r>
      <w:r>
        <w:rPr>
          <w:rFonts w:ascii="宋体" w:hAnsi="宋体"/>
        </w:rPr>
        <w:fldChar w:fldCharType="separate"/>
      </w:r>
      <w:r>
        <w:rPr>
          <w:rFonts w:ascii="宋体" w:hAnsi="宋体"/>
        </w:rPr>
        <w:t>72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"_Toc106883152" </w:instrText>
      </w:r>
      <w:r>
        <w:fldChar w:fldCharType="separate"/>
      </w:r>
      <w:r>
        <w:rPr>
          <w:rStyle w:val="85"/>
          <w:rFonts w:ascii="宋体" w:hAnsi="宋体"/>
        </w:rPr>
        <w:t>3.7.4 模板的安装</w:t>
      </w:r>
      <w:r>
        <w:rPr>
          <w:rFonts w:ascii="宋体" w:hAnsi="宋体"/>
        </w:rPr>
        <w:tab/>
      </w:r>
      <w:r>
        <w:rPr>
          <w:rFonts w:ascii="宋体" w:hAnsi="宋体"/>
        </w:rPr>
        <w:fldChar w:fldCharType="begin"/>
      </w:r>
      <w:r>
        <w:rPr>
          <w:rFonts w:ascii="宋体" w:hAnsi="宋体"/>
        </w:rPr>
        <w:instrText xml:space="preserve"> PAGEREF _Toc106883152 \h </w:instrText>
      </w:r>
      <w:r>
        <w:rPr>
          <w:rFonts w:ascii="宋体" w:hAnsi="宋体"/>
        </w:rPr>
        <w:fldChar w:fldCharType="separate"/>
      </w:r>
      <w:r>
        <w:rPr>
          <w:rFonts w:ascii="宋体" w:hAnsi="宋体"/>
        </w:rPr>
        <w:t>73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"_Toc106883153" </w:instrText>
      </w:r>
      <w:r>
        <w:fldChar w:fldCharType="separate"/>
      </w:r>
      <w:r>
        <w:rPr>
          <w:rStyle w:val="85"/>
          <w:rFonts w:ascii="宋体" w:hAnsi="宋体"/>
        </w:rPr>
        <w:t>3.7.5 模板的拆除</w:t>
      </w:r>
      <w:r>
        <w:rPr>
          <w:rFonts w:ascii="宋体" w:hAnsi="宋体"/>
        </w:rPr>
        <w:tab/>
      </w:r>
      <w:r>
        <w:rPr>
          <w:rFonts w:ascii="宋体" w:hAnsi="宋体"/>
        </w:rPr>
        <w:fldChar w:fldCharType="begin"/>
      </w:r>
      <w:r>
        <w:rPr>
          <w:rFonts w:ascii="宋体" w:hAnsi="宋体"/>
        </w:rPr>
        <w:instrText xml:space="preserve"> PAGEREF _Toc106883153 \h </w:instrText>
      </w:r>
      <w:r>
        <w:rPr>
          <w:rFonts w:ascii="宋体" w:hAnsi="宋体"/>
        </w:rPr>
        <w:fldChar w:fldCharType="separate"/>
      </w:r>
      <w:r>
        <w:rPr>
          <w:rFonts w:ascii="宋体" w:hAnsi="宋体"/>
        </w:rPr>
        <w:t>74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"_Toc106883154" </w:instrText>
      </w:r>
      <w:r>
        <w:fldChar w:fldCharType="separate"/>
      </w:r>
      <w:r>
        <w:rPr>
          <w:rStyle w:val="85"/>
          <w:rFonts w:ascii="宋体" w:hAnsi="宋体"/>
        </w:rPr>
        <w:t>3.7.6 混凝土成型后损坏的修复</w:t>
      </w:r>
      <w:r>
        <w:rPr>
          <w:rFonts w:ascii="宋体" w:hAnsi="宋体"/>
        </w:rPr>
        <w:tab/>
      </w:r>
      <w:r>
        <w:rPr>
          <w:rFonts w:ascii="宋体" w:hAnsi="宋体"/>
        </w:rPr>
        <w:fldChar w:fldCharType="begin"/>
      </w:r>
      <w:r>
        <w:rPr>
          <w:rFonts w:ascii="宋体" w:hAnsi="宋体"/>
        </w:rPr>
        <w:instrText xml:space="preserve"> PAGEREF _Toc106883154 \h </w:instrText>
      </w:r>
      <w:r>
        <w:rPr>
          <w:rFonts w:ascii="宋体" w:hAnsi="宋体"/>
        </w:rPr>
        <w:fldChar w:fldCharType="separate"/>
      </w:r>
      <w:r>
        <w:rPr>
          <w:rFonts w:ascii="宋体" w:hAnsi="宋体"/>
        </w:rPr>
        <w:t>74</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"_Toc106883155" </w:instrText>
      </w:r>
      <w:r>
        <w:fldChar w:fldCharType="separate"/>
      </w:r>
      <w:r>
        <w:rPr>
          <w:rStyle w:val="85"/>
          <w:rFonts w:ascii="宋体" w:hAnsi="宋体" w:cs="楷体"/>
        </w:rPr>
        <w:t>3.8 用于混凝土中的钢筋</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_Toc106883155 \h </w:instrText>
      </w:r>
      <w:r>
        <w:rPr>
          <w:rStyle w:val="85"/>
          <w:rFonts w:ascii="宋体" w:hAnsi="宋体" w:cs="楷体"/>
        </w:rPr>
        <w:fldChar w:fldCharType="separate"/>
      </w:r>
      <w:r>
        <w:rPr>
          <w:rStyle w:val="85"/>
          <w:rFonts w:ascii="宋体" w:hAnsi="宋体" w:cs="楷体"/>
        </w:rPr>
        <w:t>74</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"_Toc106883156" </w:instrText>
      </w:r>
      <w:r>
        <w:fldChar w:fldCharType="separate"/>
      </w:r>
      <w:r>
        <w:rPr>
          <w:rStyle w:val="85"/>
          <w:rFonts w:ascii="宋体" w:hAnsi="宋体"/>
          <w:bCs/>
        </w:rPr>
        <w:t>3.8.1 钢筋技术标准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_Toc106883156 \h </w:instrText>
      </w:r>
      <w:r>
        <w:rPr>
          <w:rStyle w:val="85"/>
          <w:rFonts w:ascii="宋体" w:hAnsi="宋体"/>
          <w:bCs/>
        </w:rPr>
        <w:fldChar w:fldCharType="separate"/>
      </w:r>
      <w:r>
        <w:rPr>
          <w:rStyle w:val="85"/>
          <w:rFonts w:ascii="宋体" w:hAnsi="宋体"/>
          <w:bCs/>
        </w:rPr>
        <w:t>74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"_Toc106883157" </w:instrText>
      </w:r>
      <w:r>
        <w:fldChar w:fldCharType="separate"/>
      </w:r>
      <w:r>
        <w:rPr>
          <w:rStyle w:val="85"/>
          <w:rFonts w:ascii="宋体" w:hAnsi="宋体"/>
          <w:bCs/>
        </w:rPr>
        <w:t>3.8.2 钢筋的类别</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_Toc106883157 \h </w:instrText>
      </w:r>
      <w:r>
        <w:rPr>
          <w:rStyle w:val="85"/>
          <w:rFonts w:ascii="宋体" w:hAnsi="宋体"/>
          <w:bCs/>
        </w:rPr>
        <w:fldChar w:fldCharType="separate"/>
      </w:r>
      <w:r>
        <w:rPr>
          <w:rStyle w:val="85"/>
          <w:rFonts w:ascii="宋体" w:hAnsi="宋体"/>
          <w:bCs/>
        </w:rPr>
        <w:t>75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"_Toc106883158" </w:instrText>
      </w:r>
      <w:r>
        <w:fldChar w:fldCharType="separate"/>
      </w:r>
      <w:r>
        <w:rPr>
          <w:rStyle w:val="85"/>
          <w:rFonts w:ascii="宋体" w:hAnsi="宋体"/>
          <w:bCs/>
        </w:rPr>
        <w:t>3.8.3 附件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_Toc106883158 \h </w:instrText>
      </w:r>
      <w:r>
        <w:rPr>
          <w:rStyle w:val="85"/>
          <w:rFonts w:ascii="宋体" w:hAnsi="宋体"/>
          <w:bCs/>
        </w:rPr>
        <w:fldChar w:fldCharType="separate"/>
      </w:r>
      <w:r>
        <w:rPr>
          <w:rStyle w:val="85"/>
          <w:rFonts w:ascii="宋体" w:hAnsi="宋体"/>
          <w:bCs/>
        </w:rPr>
        <w:t>75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"_Toc106883159" </w:instrText>
      </w:r>
      <w:r>
        <w:fldChar w:fldCharType="separate"/>
      </w:r>
      <w:r>
        <w:rPr>
          <w:rStyle w:val="85"/>
          <w:rFonts w:ascii="宋体" w:hAnsi="宋体"/>
          <w:bCs/>
        </w:rPr>
        <w:t>3.8.4 钢筋表</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_Toc106883159 \h </w:instrText>
      </w:r>
      <w:r>
        <w:rPr>
          <w:rStyle w:val="85"/>
          <w:rFonts w:ascii="宋体" w:hAnsi="宋体"/>
          <w:bCs/>
        </w:rPr>
        <w:fldChar w:fldCharType="separate"/>
      </w:r>
      <w:r>
        <w:rPr>
          <w:rStyle w:val="85"/>
          <w:rFonts w:ascii="宋体" w:hAnsi="宋体"/>
          <w:bCs/>
        </w:rPr>
        <w:t>75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"_Toc106883160" </w:instrText>
      </w:r>
      <w:r>
        <w:fldChar w:fldCharType="separate"/>
      </w:r>
      <w:r>
        <w:rPr>
          <w:rStyle w:val="85"/>
          <w:rFonts w:ascii="宋体" w:hAnsi="宋体"/>
          <w:bCs/>
        </w:rPr>
        <w:t>3.8.5 钢筋的切割与弯曲</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_Toc106883160 \h </w:instrText>
      </w:r>
      <w:r>
        <w:rPr>
          <w:rStyle w:val="85"/>
          <w:rFonts w:ascii="宋体" w:hAnsi="宋体"/>
          <w:bCs/>
        </w:rPr>
        <w:fldChar w:fldCharType="separate"/>
      </w:r>
      <w:r>
        <w:rPr>
          <w:rStyle w:val="85"/>
          <w:rFonts w:ascii="宋体" w:hAnsi="宋体"/>
          <w:bCs/>
        </w:rPr>
        <w:t>75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"_Toc106883161" </w:instrText>
      </w:r>
      <w:r>
        <w:fldChar w:fldCharType="separate"/>
      </w:r>
      <w:r>
        <w:rPr>
          <w:rStyle w:val="85"/>
          <w:rFonts w:ascii="宋体" w:hAnsi="宋体"/>
          <w:bCs/>
        </w:rPr>
        <w:t>3.8.6 钢筋及钢筋网的贮存</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_Toc106883161 \h </w:instrText>
      </w:r>
      <w:r>
        <w:rPr>
          <w:rStyle w:val="85"/>
          <w:rFonts w:ascii="宋体" w:hAnsi="宋体"/>
          <w:bCs/>
        </w:rPr>
        <w:fldChar w:fldCharType="separate"/>
      </w:r>
      <w:r>
        <w:rPr>
          <w:rStyle w:val="85"/>
          <w:rFonts w:ascii="宋体" w:hAnsi="宋体"/>
          <w:bCs/>
        </w:rPr>
        <w:t>76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"_Toc106883162" </w:instrText>
      </w:r>
      <w:r>
        <w:fldChar w:fldCharType="separate"/>
      </w:r>
      <w:r>
        <w:rPr>
          <w:rStyle w:val="85"/>
          <w:rFonts w:ascii="宋体" w:hAnsi="宋体"/>
          <w:bCs/>
        </w:rPr>
        <w:t>3.8.7 钢筋的固定及制造允许误差</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_Toc106883162 \h </w:instrText>
      </w:r>
      <w:r>
        <w:rPr>
          <w:rStyle w:val="85"/>
          <w:rFonts w:ascii="宋体" w:hAnsi="宋体"/>
          <w:bCs/>
        </w:rPr>
        <w:fldChar w:fldCharType="separate"/>
      </w:r>
      <w:r>
        <w:rPr>
          <w:rStyle w:val="85"/>
          <w:rFonts w:ascii="宋体" w:hAnsi="宋体"/>
          <w:bCs/>
        </w:rPr>
        <w:t>76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"_Toc106883163" </w:instrText>
      </w:r>
      <w:r>
        <w:fldChar w:fldCharType="separate"/>
      </w:r>
      <w:r>
        <w:rPr>
          <w:rStyle w:val="85"/>
          <w:rFonts w:ascii="宋体" w:hAnsi="宋体"/>
          <w:bCs/>
        </w:rPr>
        <w:t>3.8.8 钢筋的焊接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_Toc106883163 \h </w:instrText>
      </w:r>
      <w:r>
        <w:rPr>
          <w:rStyle w:val="85"/>
          <w:rFonts w:ascii="宋体" w:hAnsi="宋体"/>
          <w:bCs/>
        </w:rPr>
        <w:fldChar w:fldCharType="separate"/>
      </w:r>
      <w:r>
        <w:rPr>
          <w:rStyle w:val="85"/>
          <w:rFonts w:ascii="宋体" w:hAnsi="宋体"/>
          <w:bCs/>
        </w:rPr>
        <w:t>76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"_Toc106883164" </w:instrText>
      </w:r>
      <w:r>
        <w:fldChar w:fldCharType="separate"/>
      </w:r>
      <w:r>
        <w:rPr>
          <w:rStyle w:val="85"/>
          <w:rFonts w:ascii="宋体" w:hAnsi="宋体"/>
          <w:bCs/>
        </w:rPr>
        <w:t>3.8.9 钢筋样品试验</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_Toc106883164 \h </w:instrText>
      </w:r>
      <w:r>
        <w:rPr>
          <w:rStyle w:val="85"/>
          <w:rFonts w:ascii="宋体" w:hAnsi="宋体"/>
          <w:bCs/>
        </w:rPr>
        <w:fldChar w:fldCharType="separate"/>
      </w:r>
      <w:r>
        <w:rPr>
          <w:rStyle w:val="85"/>
          <w:rFonts w:ascii="宋体" w:hAnsi="宋体"/>
          <w:bCs/>
        </w:rPr>
        <w:t>77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"_Toc106883165" </w:instrText>
      </w:r>
      <w:r>
        <w:fldChar w:fldCharType="separate"/>
      </w:r>
      <w:r>
        <w:rPr>
          <w:rStyle w:val="85"/>
          <w:rFonts w:ascii="宋体" w:hAnsi="宋体"/>
          <w:bCs/>
        </w:rPr>
        <w:t>3.8.10 机械联接件及安装</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_Toc106883165 \h </w:instrText>
      </w:r>
      <w:r>
        <w:rPr>
          <w:rStyle w:val="85"/>
          <w:rFonts w:ascii="宋体" w:hAnsi="宋体"/>
          <w:bCs/>
        </w:rPr>
        <w:fldChar w:fldCharType="separate"/>
      </w:r>
      <w:r>
        <w:rPr>
          <w:rStyle w:val="85"/>
          <w:rFonts w:ascii="宋体" w:hAnsi="宋体"/>
          <w:bCs/>
        </w:rPr>
        <w:t>77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"_Toc106883166" </w:instrText>
      </w:r>
      <w:r>
        <w:fldChar w:fldCharType="separate"/>
      </w:r>
      <w:r>
        <w:rPr>
          <w:rStyle w:val="85"/>
          <w:rFonts w:ascii="宋体" w:hAnsi="宋体"/>
          <w:bCs/>
        </w:rPr>
        <w:t>3.8.11 混凝土中钢筋的保护层厚度</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_Toc106883166 \h </w:instrText>
      </w:r>
      <w:r>
        <w:rPr>
          <w:rStyle w:val="85"/>
          <w:rFonts w:ascii="宋体" w:hAnsi="宋体"/>
          <w:bCs/>
        </w:rPr>
        <w:fldChar w:fldCharType="separate"/>
      </w:r>
      <w:r>
        <w:rPr>
          <w:rStyle w:val="85"/>
          <w:rFonts w:ascii="宋体" w:hAnsi="宋体"/>
          <w:bCs/>
        </w:rPr>
        <w:t>77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"_Toc106883167" </w:instrText>
      </w:r>
      <w:r>
        <w:fldChar w:fldCharType="separate"/>
      </w:r>
      <w:r>
        <w:rPr>
          <w:rStyle w:val="85"/>
          <w:rFonts w:ascii="宋体" w:hAnsi="宋体"/>
          <w:bCs/>
        </w:rPr>
        <w:t>3.8.12 计量和支付</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_Toc106883167 \h </w:instrText>
      </w:r>
      <w:r>
        <w:rPr>
          <w:rStyle w:val="85"/>
          <w:rFonts w:ascii="宋体" w:hAnsi="宋体"/>
          <w:bCs/>
        </w:rPr>
        <w:fldChar w:fldCharType="separate"/>
      </w:r>
      <w:r>
        <w:rPr>
          <w:rStyle w:val="85"/>
          <w:rFonts w:ascii="宋体" w:hAnsi="宋体"/>
          <w:bCs/>
        </w:rPr>
        <w:t>78</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"_Toc106883168" </w:instrText>
      </w:r>
      <w:r>
        <w:fldChar w:fldCharType="separate"/>
      </w:r>
      <w:r>
        <w:rPr>
          <w:rStyle w:val="85"/>
          <w:rFonts w:ascii="宋体" w:hAnsi="宋体" w:cs="楷体"/>
        </w:rPr>
        <w:t>3.9 混凝土防腐防水涂层</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_Toc106883168 \h </w:instrText>
      </w:r>
      <w:r>
        <w:rPr>
          <w:rStyle w:val="85"/>
          <w:rFonts w:ascii="宋体" w:hAnsi="宋体" w:cs="楷体"/>
        </w:rPr>
        <w:fldChar w:fldCharType="separate"/>
      </w:r>
      <w:r>
        <w:rPr>
          <w:rStyle w:val="85"/>
          <w:rFonts w:ascii="宋体" w:hAnsi="宋体" w:cs="楷体"/>
        </w:rPr>
        <w:t>78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"_Toc106883169" </w:instrText>
      </w:r>
      <w:r>
        <w:fldChar w:fldCharType="separate"/>
      </w:r>
      <w:r>
        <w:rPr>
          <w:rStyle w:val="85"/>
          <w:rFonts w:ascii="宋体" w:hAnsi="宋体"/>
          <w:bCs/>
        </w:rPr>
        <w:t>3.9.1 总则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_Toc106883169 \h </w:instrText>
      </w:r>
      <w:r>
        <w:rPr>
          <w:rStyle w:val="85"/>
          <w:rFonts w:ascii="宋体" w:hAnsi="宋体"/>
          <w:bCs/>
        </w:rPr>
        <w:fldChar w:fldCharType="separate"/>
      </w:r>
      <w:r>
        <w:rPr>
          <w:rStyle w:val="85"/>
          <w:rFonts w:ascii="宋体" w:hAnsi="宋体"/>
          <w:bCs/>
        </w:rPr>
        <w:t>78</w:t>
      </w:r>
      <w:r>
        <w:rPr>
          <w:rStyle w:val="85"/>
          <w:rFonts w:ascii="宋体" w:hAnsi="宋体"/>
          <w:bCs/>
        </w:rPr>
        <w:fldChar w:fldCharType="end"/>
      </w:r>
      <w:r>
        <w:rPr>
          <w:rStyle w:val="85"/>
          <w:rFonts w:ascii="宋体" w:hAnsi="宋体"/>
          <w:bCs/>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"_Toc106883170" </w:instrText>
      </w:r>
      <w:r>
        <w:fldChar w:fldCharType="separate"/>
      </w:r>
      <w:r>
        <w:rPr>
          <w:rStyle w:val="85"/>
          <w:rFonts w:ascii="宋体" w:hAnsi="宋体"/>
          <w:bCs/>
        </w:rPr>
        <w:t>3.9.2 计量与支付</w:t>
      </w:r>
      <w:r>
        <w:rPr>
          <w:rFonts w:ascii="宋体" w:hAnsi="宋体"/>
        </w:rPr>
        <w:tab/>
      </w:r>
      <w:r>
        <w:rPr>
          <w:rFonts w:ascii="宋体" w:hAnsi="宋体"/>
        </w:rPr>
        <w:fldChar w:fldCharType="begin"/>
      </w:r>
      <w:r>
        <w:rPr>
          <w:rFonts w:ascii="宋体" w:hAnsi="宋体"/>
        </w:rPr>
        <w:instrText xml:space="preserve"> PAGEREF _Toc106883170 \h </w:instrText>
      </w:r>
      <w:r>
        <w:rPr>
          <w:rFonts w:ascii="宋体" w:hAnsi="宋体"/>
        </w:rPr>
        <w:fldChar w:fldCharType="separate"/>
      </w:r>
      <w:r>
        <w:rPr>
          <w:rFonts w:ascii="宋体" w:hAnsi="宋体"/>
        </w:rPr>
        <w:t>78</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"_Toc106883171" </w:instrText>
      </w:r>
      <w:r>
        <w:fldChar w:fldCharType="separate"/>
      </w:r>
      <w:r>
        <w:rPr>
          <w:rStyle w:val="85"/>
          <w:rFonts w:ascii="宋体" w:hAnsi="宋体"/>
        </w:rPr>
        <w:t>4 供水工程</w:t>
      </w:r>
      <w:r>
        <w:rPr>
          <w:rFonts w:ascii="宋体" w:hAnsi="宋体"/>
        </w:rPr>
        <w:tab/>
      </w:r>
      <w:r>
        <w:rPr>
          <w:rFonts w:ascii="宋体" w:hAnsi="宋体"/>
        </w:rPr>
        <w:fldChar w:fldCharType="begin"/>
      </w:r>
      <w:r>
        <w:rPr>
          <w:rFonts w:ascii="宋体" w:hAnsi="宋体"/>
        </w:rPr>
        <w:instrText xml:space="preserve"> PAGEREF _Toc106883171 \h </w:instrText>
      </w:r>
      <w:r>
        <w:rPr>
          <w:rFonts w:ascii="宋体" w:hAnsi="宋体"/>
        </w:rPr>
        <w:fldChar w:fldCharType="separate"/>
      </w:r>
      <w:r>
        <w:rPr>
          <w:rFonts w:ascii="宋体" w:hAnsi="宋体"/>
        </w:rPr>
        <w:t>79</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"_Toc106883172" </w:instrText>
      </w:r>
      <w:r>
        <w:fldChar w:fldCharType="separate"/>
      </w:r>
      <w:r>
        <w:rPr>
          <w:rStyle w:val="85"/>
          <w:rFonts w:ascii="宋体" w:hAnsi="宋体" w:cs="楷体"/>
        </w:rPr>
        <w:t>4.1 建筑部分</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_Toc106883172 \h </w:instrText>
      </w:r>
      <w:r>
        <w:rPr>
          <w:rStyle w:val="85"/>
          <w:rFonts w:ascii="宋体" w:hAnsi="宋体" w:cs="楷体"/>
        </w:rPr>
        <w:fldChar w:fldCharType="separate"/>
      </w:r>
      <w:r>
        <w:rPr>
          <w:rStyle w:val="85"/>
          <w:rFonts w:ascii="宋体" w:hAnsi="宋体" w:cs="楷体"/>
        </w:rPr>
        <w:t>79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"_Toc106883173" </w:instrText>
      </w:r>
      <w:r>
        <w:fldChar w:fldCharType="separate"/>
      </w:r>
      <w:r>
        <w:rPr>
          <w:rStyle w:val="85"/>
          <w:rFonts w:ascii="宋体" w:hAnsi="宋体"/>
          <w:bCs/>
        </w:rPr>
        <w:t>4.1.1  建筑地面</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_Toc106883173 \h </w:instrText>
      </w:r>
      <w:r>
        <w:rPr>
          <w:rStyle w:val="85"/>
          <w:rFonts w:ascii="宋体" w:hAnsi="宋体"/>
          <w:bCs/>
        </w:rPr>
        <w:fldChar w:fldCharType="separate"/>
      </w:r>
      <w:r>
        <w:rPr>
          <w:rStyle w:val="85"/>
          <w:rFonts w:ascii="宋体" w:hAnsi="宋体"/>
          <w:bCs/>
        </w:rPr>
        <w:t>79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"_Toc106883192" </w:instrText>
      </w:r>
      <w:r>
        <w:fldChar w:fldCharType="separate"/>
      </w:r>
      <w:r>
        <w:rPr>
          <w:rStyle w:val="85"/>
          <w:rFonts w:ascii="宋体" w:hAnsi="宋体"/>
          <w:bCs/>
        </w:rPr>
        <w:t>4.1.2  建筑屋面</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_Toc106883192 \h </w:instrText>
      </w:r>
      <w:r>
        <w:rPr>
          <w:rStyle w:val="85"/>
          <w:rFonts w:ascii="宋体" w:hAnsi="宋体"/>
          <w:bCs/>
        </w:rPr>
        <w:fldChar w:fldCharType="separate"/>
      </w:r>
      <w:r>
        <w:rPr>
          <w:rStyle w:val="85"/>
          <w:rFonts w:ascii="宋体" w:hAnsi="宋体"/>
          <w:bCs/>
        </w:rPr>
        <w:t>86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"_Toc106883202" </w:instrText>
      </w:r>
      <w:r>
        <w:fldChar w:fldCharType="separate"/>
      </w:r>
      <w:r>
        <w:rPr>
          <w:rStyle w:val="85"/>
          <w:rFonts w:ascii="宋体" w:hAnsi="宋体"/>
          <w:bCs/>
        </w:rPr>
        <w:t>4.1.3  砌体结构</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_Toc106883202 \h </w:instrText>
      </w:r>
      <w:r>
        <w:rPr>
          <w:rStyle w:val="85"/>
          <w:rFonts w:ascii="宋体" w:hAnsi="宋体"/>
          <w:bCs/>
        </w:rPr>
        <w:fldChar w:fldCharType="separate"/>
      </w:r>
      <w:r>
        <w:rPr>
          <w:rStyle w:val="85"/>
          <w:rFonts w:ascii="宋体" w:hAnsi="宋体"/>
          <w:bCs/>
        </w:rPr>
        <w:t>92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"_Toc106883216" </w:instrText>
      </w:r>
      <w:r>
        <w:fldChar w:fldCharType="separate"/>
      </w:r>
      <w:r>
        <w:rPr>
          <w:rStyle w:val="85"/>
          <w:rFonts w:ascii="宋体" w:hAnsi="宋体"/>
          <w:bCs/>
        </w:rPr>
        <w:t>4.1.4  建筑装饰</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_Toc106883216 \h </w:instrText>
      </w:r>
      <w:r>
        <w:rPr>
          <w:rStyle w:val="85"/>
          <w:rFonts w:ascii="宋体" w:hAnsi="宋体"/>
          <w:bCs/>
        </w:rPr>
        <w:fldChar w:fldCharType="separate"/>
      </w:r>
      <w:r>
        <w:rPr>
          <w:rStyle w:val="85"/>
          <w:rFonts w:ascii="宋体" w:hAnsi="宋体"/>
          <w:bCs/>
        </w:rPr>
        <w:t>98</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"_Toc106883265" </w:instrText>
      </w:r>
      <w:r>
        <w:fldChar w:fldCharType="separate"/>
      </w:r>
      <w:r>
        <w:rPr>
          <w:rStyle w:val="85"/>
          <w:rFonts w:ascii="宋体" w:hAnsi="宋体" w:cs="楷体"/>
        </w:rPr>
        <w:t>4.2  钢及金属结构工程</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_Toc106883265 \h </w:instrText>
      </w:r>
      <w:r>
        <w:rPr>
          <w:rStyle w:val="85"/>
          <w:rFonts w:ascii="宋体" w:hAnsi="宋体" w:cs="楷体"/>
        </w:rPr>
        <w:fldChar w:fldCharType="separate"/>
      </w:r>
      <w:r>
        <w:rPr>
          <w:rStyle w:val="85"/>
          <w:rFonts w:ascii="宋体" w:hAnsi="宋体" w:cs="楷体"/>
        </w:rPr>
        <w:t>119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"_Toc106883266" </w:instrText>
      </w:r>
      <w:r>
        <w:fldChar w:fldCharType="separate"/>
      </w:r>
      <w:r>
        <w:rPr>
          <w:rStyle w:val="85"/>
          <w:rFonts w:ascii="宋体" w:hAnsi="宋体"/>
          <w:bCs/>
        </w:rPr>
        <w:t>4.2.1  钢结构件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_Toc106883266 \h </w:instrText>
      </w:r>
      <w:r>
        <w:rPr>
          <w:rStyle w:val="85"/>
          <w:rFonts w:ascii="宋体" w:hAnsi="宋体"/>
          <w:bCs/>
        </w:rPr>
        <w:fldChar w:fldCharType="separate"/>
      </w:r>
      <w:r>
        <w:rPr>
          <w:rStyle w:val="85"/>
          <w:rFonts w:ascii="宋体" w:hAnsi="宋体"/>
          <w:bCs/>
        </w:rPr>
        <w:t>119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"_Toc106883287" </w:instrText>
      </w:r>
      <w:r>
        <w:fldChar w:fldCharType="separate"/>
      </w:r>
      <w:r>
        <w:rPr>
          <w:rStyle w:val="85"/>
          <w:rFonts w:ascii="宋体" w:hAnsi="宋体"/>
          <w:bCs/>
        </w:rPr>
        <w:t>4.2.2  工程金属</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_Toc106883287 \h </w:instrText>
      </w:r>
      <w:r>
        <w:rPr>
          <w:rStyle w:val="85"/>
          <w:rFonts w:ascii="宋体" w:hAnsi="宋体"/>
          <w:bCs/>
        </w:rPr>
        <w:fldChar w:fldCharType="separate"/>
      </w:r>
      <w:r>
        <w:rPr>
          <w:rStyle w:val="85"/>
          <w:rFonts w:ascii="宋体" w:hAnsi="宋体"/>
          <w:bCs/>
        </w:rPr>
        <w:t>124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"_Toc106883289" </w:instrText>
      </w:r>
      <w:r>
        <w:fldChar w:fldCharType="separate"/>
      </w:r>
      <w:r>
        <w:rPr>
          <w:rStyle w:val="85"/>
          <w:rFonts w:ascii="宋体" w:hAnsi="宋体"/>
          <w:bCs/>
        </w:rPr>
        <w:t>4.2.3  金属保护涂层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_Toc106883289 \h </w:instrText>
      </w:r>
      <w:r>
        <w:rPr>
          <w:rStyle w:val="85"/>
          <w:rFonts w:ascii="宋体" w:hAnsi="宋体"/>
          <w:bCs/>
        </w:rPr>
        <w:fldChar w:fldCharType="separate"/>
      </w:r>
      <w:r>
        <w:rPr>
          <w:rStyle w:val="85"/>
          <w:rFonts w:ascii="宋体" w:hAnsi="宋体"/>
          <w:bCs/>
        </w:rPr>
        <w:t>133</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"_Toc106883295" </w:instrText>
      </w:r>
      <w:r>
        <w:fldChar w:fldCharType="separate"/>
      </w:r>
      <w:r>
        <w:rPr>
          <w:rStyle w:val="85"/>
          <w:rFonts w:ascii="宋体" w:hAnsi="宋体" w:cs="楷体"/>
        </w:rPr>
        <w:t>4.3  建筑服务设施工程</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_Toc106883295 \h </w:instrText>
      </w:r>
      <w:r>
        <w:rPr>
          <w:rStyle w:val="85"/>
          <w:rFonts w:ascii="宋体" w:hAnsi="宋体" w:cs="楷体"/>
        </w:rPr>
        <w:fldChar w:fldCharType="separate"/>
      </w:r>
      <w:r>
        <w:rPr>
          <w:rStyle w:val="85"/>
          <w:rFonts w:ascii="宋体" w:hAnsi="宋体" w:cs="楷体"/>
        </w:rPr>
        <w:t>142</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bCs/>
        </w:rPr>
      </w:pPr>
      <w:r>
        <w:fldChar w:fldCharType="begin"/>
      </w:r>
      <w:r>
        <w:instrText xml:space="preserve"> HYPERLINK \l "_Toc106883296" </w:instrText>
      </w:r>
      <w:r>
        <w:fldChar w:fldCharType="separate"/>
      </w:r>
      <w:r>
        <w:rPr>
          <w:rStyle w:val="85"/>
          <w:rFonts w:ascii="宋体" w:hAnsi="宋体"/>
          <w:bCs/>
        </w:rPr>
        <w:t>4.3.1  一般要求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_Toc106883296 \h </w:instrText>
      </w:r>
      <w:r>
        <w:rPr>
          <w:rStyle w:val="85"/>
          <w:rFonts w:ascii="宋体" w:hAnsi="宋体"/>
          <w:bCs/>
        </w:rPr>
        <w:fldChar w:fldCharType="separate"/>
      </w:r>
      <w:r>
        <w:rPr>
          <w:rStyle w:val="85"/>
          <w:rFonts w:ascii="宋体" w:hAnsi="宋体"/>
          <w:bCs/>
        </w:rPr>
        <w:t>142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"_Toc106883298" </w:instrText>
      </w:r>
      <w:r>
        <w:fldChar w:fldCharType="separate"/>
      </w:r>
      <w:r>
        <w:rPr>
          <w:rStyle w:val="85"/>
          <w:rFonts w:ascii="宋体" w:hAnsi="宋体"/>
          <w:bCs/>
        </w:rPr>
        <w:t>4.3.2  材料及工作质量</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_Toc106883298 \h </w:instrText>
      </w:r>
      <w:r>
        <w:rPr>
          <w:rStyle w:val="85"/>
          <w:rFonts w:ascii="宋体" w:hAnsi="宋体"/>
          <w:bCs/>
        </w:rPr>
        <w:fldChar w:fldCharType="separate"/>
      </w:r>
      <w:r>
        <w:rPr>
          <w:rStyle w:val="85"/>
          <w:rFonts w:ascii="宋体" w:hAnsi="宋体"/>
          <w:bCs/>
        </w:rPr>
        <w:t>143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"_Toc106883308" </w:instrText>
      </w:r>
      <w:r>
        <w:fldChar w:fldCharType="separate"/>
      </w:r>
      <w:r>
        <w:rPr>
          <w:rStyle w:val="85"/>
          <w:rFonts w:ascii="宋体" w:hAnsi="宋体"/>
          <w:bCs/>
        </w:rPr>
        <w:t>4.3.3  电气部分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_Toc106883308 \h </w:instrText>
      </w:r>
      <w:r>
        <w:rPr>
          <w:rStyle w:val="85"/>
          <w:rFonts w:ascii="宋体" w:hAnsi="宋体"/>
          <w:bCs/>
        </w:rPr>
        <w:fldChar w:fldCharType="separate"/>
      </w:r>
      <w:r>
        <w:rPr>
          <w:rStyle w:val="85"/>
          <w:rFonts w:ascii="宋体" w:hAnsi="宋体"/>
          <w:bCs/>
        </w:rPr>
        <w:t>157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"_Toc106883319" </w:instrText>
      </w:r>
      <w:r>
        <w:fldChar w:fldCharType="separate"/>
      </w:r>
      <w:r>
        <w:rPr>
          <w:rStyle w:val="85"/>
          <w:rFonts w:ascii="宋体" w:hAnsi="宋体"/>
          <w:bCs/>
        </w:rPr>
        <w:t>4.3.4  给排水部分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_Toc106883319 \h </w:instrText>
      </w:r>
      <w:r>
        <w:rPr>
          <w:rStyle w:val="85"/>
          <w:rFonts w:ascii="宋体" w:hAnsi="宋体"/>
          <w:bCs/>
        </w:rPr>
        <w:fldChar w:fldCharType="separate"/>
      </w:r>
      <w:r>
        <w:rPr>
          <w:rStyle w:val="85"/>
          <w:rFonts w:ascii="宋体" w:hAnsi="宋体"/>
          <w:bCs/>
        </w:rPr>
        <w:t>175</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"_Toc106883332" </w:instrText>
      </w:r>
      <w:r>
        <w:fldChar w:fldCharType="separate"/>
      </w:r>
      <w:r>
        <w:rPr>
          <w:rStyle w:val="85"/>
          <w:rFonts w:ascii="宋体" w:hAnsi="宋体" w:cs="楷体"/>
        </w:rPr>
        <w:t>4.4  管道工程</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_Toc106883332 \h </w:instrText>
      </w:r>
      <w:r>
        <w:rPr>
          <w:rStyle w:val="85"/>
          <w:rFonts w:ascii="宋体" w:hAnsi="宋体" w:cs="楷体"/>
        </w:rPr>
        <w:fldChar w:fldCharType="separate"/>
      </w:r>
      <w:r>
        <w:rPr>
          <w:rStyle w:val="85"/>
          <w:rFonts w:ascii="宋体" w:hAnsi="宋体" w:cs="楷体"/>
        </w:rPr>
        <w:t>178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bCs/>
        </w:rPr>
      </w:pPr>
      <w:r>
        <w:fldChar w:fldCharType="begin"/>
      </w:r>
      <w:r>
        <w:instrText xml:space="preserve"> HYPERLINK \l "_Toc106883333" </w:instrText>
      </w:r>
      <w:r>
        <w:fldChar w:fldCharType="separate"/>
      </w:r>
      <w:r>
        <w:rPr>
          <w:rStyle w:val="85"/>
          <w:rFonts w:ascii="宋体" w:hAnsi="宋体"/>
          <w:bCs/>
        </w:rPr>
        <w:t>4.4.1  概述</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_Toc106883333 \h </w:instrText>
      </w:r>
      <w:r>
        <w:rPr>
          <w:rStyle w:val="85"/>
          <w:rFonts w:ascii="宋体" w:hAnsi="宋体"/>
          <w:bCs/>
        </w:rPr>
        <w:fldChar w:fldCharType="separate"/>
      </w:r>
      <w:r>
        <w:rPr>
          <w:rStyle w:val="85"/>
          <w:rFonts w:ascii="宋体" w:hAnsi="宋体"/>
          <w:bCs/>
        </w:rPr>
        <w:t>178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"_Toc106883336" </w:instrText>
      </w:r>
      <w:r>
        <w:fldChar w:fldCharType="separate"/>
      </w:r>
      <w:r>
        <w:rPr>
          <w:rStyle w:val="85"/>
          <w:rFonts w:ascii="宋体" w:hAnsi="宋体"/>
          <w:bCs/>
        </w:rPr>
        <w:t>4.4.2  术语</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_Toc106883336 \h </w:instrText>
      </w:r>
      <w:r>
        <w:rPr>
          <w:rStyle w:val="85"/>
          <w:rFonts w:ascii="宋体" w:hAnsi="宋体"/>
          <w:bCs/>
        </w:rPr>
        <w:fldChar w:fldCharType="separate"/>
      </w:r>
      <w:r>
        <w:rPr>
          <w:rStyle w:val="85"/>
          <w:rFonts w:ascii="宋体" w:hAnsi="宋体"/>
          <w:bCs/>
        </w:rPr>
        <w:t>179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"_Toc106883337" </w:instrText>
      </w:r>
      <w:r>
        <w:fldChar w:fldCharType="separate"/>
      </w:r>
      <w:r>
        <w:rPr>
          <w:rStyle w:val="85"/>
          <w:rFonts w:ascii="宋体" w:hAnsi="宋体"/>
          <w:bCs/>
        </w:rPr>
        <w:t>4.4.3  参照标准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_Toc106883337 \h </w:instrText>
      </w:r>
      <w:r>
        <w:rPr>
          <w:rStyle w:val="85"/>
          <w:rFonts w:ascii="宋体" w:hAnsi="宋体"/>
          <w:bCs/>
        </w:rPr>
        <w:fldChar w:fldCharType="separate"/>
      </w:r>
      <w:r>
        <w:rPr>
          <w:rStyle w:val="85"/>
          <w:rFonts w:ascii="宋体" w:hAnsi="宋体"/>
          <w:bCs/>
        </w:rPr>
        <w:t>180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"_Toc106883338" </w:instrText>
      </w:r>
      <w:r>
        <w:fldChar w:fldCharType="separate"/>
      </w:r>
      <w:r>
        <w:rPr>
          <w:rStyle w:val="85"/>
          <w:rFonts w:ascii="宋体" w:hAnsi="宋体"/>
          <w:bCs/>
        </w:rPr>
        <w:t>4.4.4  提交的资料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_Toc106883338 \h </w:instrText>
      </w:r>
      <w:r>
        <w:rPr>
          <w:rStyle w:val="85"/>
          <w:rFonts w:ascii="宋体" w:hAnsi="宋体"/>
          <w:bCs/>
        </w:rPr>
        <w:fldChar w:fldCharType="separate"/>
      </w:r>
      <w:r>
        <w:rPr>
          <w:rStyle w:val="85"/>
          <w:rFonts w:ascii="宋体" w:hAnsi="宋体"/>
          <w:bCs/>
        </w:rPr>
        <w:t>181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"_Toc106883339" </w:instrText>
      </w:r>
      <w:r>
        <w:fldChar w:fldCharType="separate"/>
      </w:r>
      <w:r>
        <w:rPr>
          <w:rStyle w:val="85"/>
          <w:rFonts w:ascii="宋体" w:hAnsi="宋体"/>
          <w:bCs/>
        </w:rPr>
        <w:t>4.4.5  材料和制作</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_Toc106883339 \h </w:instrText>
      </w:r>
      <w:r>
        <w:rPr>
          <w:rStyle w:val="85"/>
          <w:rFonts w:ascii="宋体" w:hAnsi="宋体"/>
          <w:bCs/>
        </w:rPr>
        <w:fldChar w:fldCharType="separate"/>
      </w:r>
      <w:r>
        <w:rPr>
          <w:rStyle w:val="85"/>
          <w:rFonts w:ascii="宋体" w:hAnsi="宋体"/>
          <w:bCs/>
        </w:rPr>
        <w:t>182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"_Toc106883340" </w:instrText>
      </w:r>
      <w:r>
        <w:fldChar w:fldCharType="separate"/>
      </w:r>
      <w:r>
        <w:rPr>
          <w:rStyle w:val="85"/>
          <w:rFonts w:ascii="宋体" w:hAnsi="宋体"/>
          <w:bCs/>
        </w:rPr>
        <w:t>4.4.6  钢管的内外防腐</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_Toc106883340 \h </w:instrText>
      </w:r>
      <w:r>
        <w:rPr>
          <w:rStyle w:val="85"/>
          <w:rFonts w:ascii="宋体" w:hAnsi="宋体"/>
          <w:bCs/>
        </w:rPr>
        <w:fldChar w:fldCharType="separate"/>
      </w:r>
      <w:r>
        <w:rPr>
          <w:rStyle w:val="85"/>
          <w:rFonts w:ascii="宋体" w:hAnsi="宋体"/>
          <w:bCs/>
        </w:rPr>
        <w:t>184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"_Toc106883341" </w:instrText>
      </w:r>
      <w:r>
        <w:fldChar w:fldCharType="separate"/>
      </w:r>
      <w:r>
        <w:rPr>
          <w:rStyle w:val="85"/>
          <w:rFonts w:ascii="宋体" w:hAnsi="宋体"/>
          <w:bCs/>
        </w:rPr>
        <w:t>4.4.7  安装</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_Toc106883341 \h </w:instrText>
      </w:r>
      <w:r>
        <w:rPr>
          <w:rStyle w:val="85"/>
          <w:rFonts w:ascii="宋体" w:hAnsi="宋体"/>
          <w:bCs/>
        </w:rPr>
        <w:fldChar w:fldCharType="separate"/>
      </w:r>
      <w:r>
        <w:rPr>
          <w:rStyle w:val="85"/>
          <w:rFonts w:ascii="宋体" w:hAnsi="宋体"/>
          <w:bCs/>
        </w:rPr>
        <w:t>184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"_Toc106883342" </w:instrText>
      </w:r>
      <w:r>
        <w:fldChar w:fldCharType="separate"/>
      </w:r>
      <w:r>
        <w:rPr>
          <w:rStyle w:val="85"/>
          <w:rFonts w:ascii="宋体" w:hAnsi="宋体"/>
          <w:bCs/>
        </w:rPr>
        <w:t>4.4.8  管道试验</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_Toc106883342 \h </w:instrText>
      </w:r>
      <w:r>
        <w:rPr>
          <w:rStyle w:val="85"/>
          <w:rFonts w:ascii="宋体" w:hAnsi="宋体"/>
          <w:bCs/>
        </w:rPr>
        <w:fldChar w:fldCharType="separate"/>
      </w:r>
      <w:r>
        <w:rPr>
          <w:rStyle w:val="85"/>
          <w:rFonts w:ascii="宋体" w:hAnsi="宋体"/>
          <w:bCs/>
        </w:rPr>
        <w:t>187</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"_Toc106883343" </w:instrText>
      </w:r>
      <w:r>
        <w:fldChar w:fldCharType="separate"/>
      </w:r>
      <w:r>
        <w:rPr>
          <w:rStyle w:val="85"/>
          <w:rFonts w:ascii="宋体" w:hAnsi="宋体" w:cs="楷体"/>
        </w:rPr>
        <w:t>4.5  机械设备</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_Toc106883343 \h </w:instrText>
      </w:r>
      <w:r>
        <w:rPr>
          <w:rStyle w:val="85"/>
          <w:rFonts w:ascii="宋体" w:hAnsi="宋体" w:cs="楷体"/>
        </w:rPr>
        <w:fldChar w:fldCharType="separate"/>
      </w:r>
      <w:r>
        <w:rPr>
          <w:rStyle w:val="85"/>
          <w:rFonts w:ascii="宋体" w:hAnsi="宋体" w:cs="楷体"/>
        </w:rPr>
        <w:t>187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bCs/>
        </w:rPr>
      </w:pPr>
      <w:r>
        <w:fldChar w:fldCharType="begin"/>
      </w:r>
      <w:r>
        <w:instrText xml:space="preserve"> HYPERLINK \l "_Toc106883344" </w:instrText>
      </w:r>
      <w:r>
        <w:fldChar w:fldCharType="separate"/>
      </w:r>
      <w:r>
        <w:rPr>
          <w:rStyle w:val="85"/>
          <w:rFonts w:ascii="宋体" w:hAnsi="宋体"/>
          <w:bCs/>
        </w:rPr>
        <w:t>4.5.1  范围</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_Toc106883344 \h </w:instrText>
      </w:r>
      <w:r>
        <w:rPr>
          <w:rStyle w:val="85"/>
          <w:rFonts w:ascii="宋体" w:hAnsi="宋体"/>
          <w:bCs/>
        </w:rPr>
        <w:fldChar w:fldCharType="separate"/>
      </w:r>
      <w:r>
        <w:rPr>
          <w:rStyle w:val="85"/>
          <w:rFonts w:ascii="宋体" w:hAnsi="宋体"/>
          <w:bCs/>
        </w:rPr>
        <w:t>187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"_Toc106883345" </w:instrText>
      </w:r>
      <w:r>
        <w:fldChar w:fldCharType="separate"/>
      </w:r>
      <w:r>
        <w:rPr>
          <w:rStyle w:val="85"/>
          <w:rFonts w:ascii="宋体" w:hAnsi="宋体"/>
          <w:bCs/>
        </w:rPr>
        <w:t>4.5.2  一般技术规范</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_Toc106883345 \h </w:instrText>
      </w:r>
      <w:r>
        <w:rPr>
          <w:rStyle w:val="85"/>
          <w:rFonts w:ascii="宋体" w:hAnsi="宋体"/>
          <w:bCs/>
        </w:rPr>
        <w:fldChar w:fldCharType="separate"/>
      </w:r>
      <w:r>
        <w:rPr>
          <w:rStyle w:val="85"/>
          <w:rFonts w:ascii="宋体" w:hAnsi="宋体"/>
          <w:bCs/>
        </w:rPr>
        <w:t>188</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"_Toc106883388" </w:instrText>
      </w:r>
      <w:r>
        <w:fldChar w:fldCharType="separate"/>
      </w:r>
      <w:r>
        <w:rPr>
          <w:rStyle w:val="85"/>
          <w:rFonts w:ascii="宋体" w:hAnsi="宋体" w:cs="楷体"/>
        </w:rPr>
        <w:t>4.6  总平面布置工程</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_Toc106883388 \h </w:instrText>
      </w:r>
      <w:r>
        <w:rPr>
          <w:rStyle w:val="85"/>
          <w:rFonts w:ascii="宋体" w:hAnsi="宋体" w:cs="楷体"/>
        </w:rPr>
        <w:fldChar w:fldCharType="separate"/>
      </w:r>
      <w:r>
        <w:rPr>
          <w:rStyle w:val="85"/>
          <w:rFonts w:ascii="宋体" w:hAnsi="宋体" w:cs="楷体"/>
        </w:rPr>
        <w:t>207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"_Toc106883389" </w:instrText>
      </w:r>
      <w:r>
        <w:fldChar w:fldCharType="separate"/>
      </w:r>
      <w:r>
        <w:rPr>
          <w:rStyle w:val="85"/>
          <w:rFonts w:ascii="宋体" w:hAnsi="宋体"/>
          <w:bCs/>
        </w:rPr>
        <w:t>4.6.1  进厂及厂区道路工程</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_Toc106883389 \h </w:instrText>
      </w:r>
      <w:r>
        <w:rPr>
          <w:rStyle w:val="85"/>
          <w:rFonts w:ascii="宋体" w:hAnsi="宋体"/>
          <w:bCs/>
        </w:rPr>
        <w:fldChar w:fldCharType="separate"/>
      </w:r>
      <w:r>
        <w:rPr>
          <w:rStyle w:val="85"/>
          <w:rFonts w:ascii="宋体" w:hAnsi="宋体"/>
          <w:bCs/>
        </w:rPr>
        <w:t>207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"_Toc106883390" </w:instrText>
      </w:r>
      <w:r>
        <w:fldChar w:fldCharType="separate"/>
      </w:r>
      <w:r>
        <w:rPr>
          <w:rStyle w:val="85"/>
          <w:rFonts w:ascii="宋体" w:hAnsi="宋体"/>
          <w:bCs/>
        </w:rPr>
        <w:t>4.6.2 技术标准和规范</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_Toc106883390 \h </w:instrText>
      </w:r>
      <w:r>
        <w:rPr>
          <w:rStyle w:val="85"/>
          <w:rFonts w:ascii="宋体" w:hAnsi="宋体"/>
          <w:bCs/>
        </w:rPr>
        <w:fldChar w:fldCharType="separate"/>
      </w:r>
      <w:r>
        <w:rPr>
          <w:rStyle w:val="85"/>
          <w:rFonts w:ascii="宋体" w:hAnsi="宋体"/>
          <w:bCs/>
        </w:rPr>
        <w:t>207</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"_Toc106883391" </w:instrText>
      </w:r>
      <w:r>
        <w:fldChar w:fldCharType="separate"/>
      </w:r>
      <w:r>
        <w:rPr>
          <w:rStyle w:val="85"/>
          <w:rFonts w:ascii="宋体" w:hAnsi="宋体"/>
          <w:bCs/>
        </w:rPr>
        <w:t>4.6.3 承包商应提交的文件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_Toc106883391 \h </w:instrText>
      </w:r>
      <w:r>
        <w:rPr>
          <w:rStyle w:val="85"/>
          <w:rFonts w:ascii="宋体" w:hAnsi="宋体"/>
          <w:bCs/>
        </w:rPr>
        <w:fldChar w:fldCharType="separate"/>
      </w:r>
      <w:r>
        <w:rPr>
          <w:rStyle w:val="85"/>
          <w:rFonts w:ascii="宋体" w:hAnsi="宋体"/>
          <w:bCs/>
        </w:rPr>
        <w:t>208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"_Toc106883396" </w:instrText>
      </w:r>
      <w:r>
        <w:fldChar w:fldCharType="separate"/>
      </w:r>
      <w:r>
        <w:rPr>
          <w:rStyle w:val="85"/>
          <w:rFonts w:ascii="宋体" w:hAnsi="宋体"/>
          <w:bCs/>
        </w:rPr>
        <w:t>4.6.4路基工程施工要求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_Toc106883396 \h </w:instrText>
      </w:r>
      <w:r>
        <w:rPr>
          <w:rStyle w:val="85"/>
          <w:rFonts w:ascii="宋体" w:hAnsi="宋体"/>
          <w:bCs/>
        </w:rPr>
        <w:fldChar w:fldCharType="separate"/>
      </w:r>
      <w:r>
        <w:rPr>
          <w:rStyle w:val="85"/>
          <w:rFonts w:ascii="宋体" w:hAnsi="宋体"/>
          <w:bCs/>
        </w:rPr>
        <w:t>209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"_Toc106883407" </w:instrText>
      </w:r>
      <w:r>
        <w:fldChar w:fldCharType="separate"/>
      </w:r>
      <w:r>
        <w:rPr>
          <w:rStyle w:val="85"/>
          <w:rFonts w:ascii="宋体" w:hAnsi="宋体"/>
          <w:bCs/>
        </w:rPr>
        <w:t>4.6.5 路面工程</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_Toc106883407 \h </w:instrText>
      </w:r>
      <w:r>
        <w:rPr>
          <w:rStyle w:val="85"/>
          <w:rFonts w:ascii="宋体" w:hAnsi="宋体"/>
          <w:bCs/>
        </w:rPr>
        <w:fldChar w:fldCharType="separate"/>
      </w:r>
      <w:r>
        <w:rPr>
          <w:rStyle w:val="85"/>
          <w:rFonts w:ascii="宋体" w:hAnsi="宋体"/>
          <w:bCs/>
        </w:rPr>
        <w:t>222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"_Toc106883418" </w:instrText>
      </w:r>
      <w:r>
        <w:fldChar w:fldCharType="separate"/>
      </w:r>
      <w:r>
        <w:rPr>
          <w:rStyle w:val="85"/>
          <w:rFonts w:ascii="宋体" w:hAnsi="宋体"/>
          <w:bCs/>
        </w:rPr>
        <w:t>4.6.6 热拌沥青混合料面层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_Toc106883418 \h </w:instrText>
      </w:r>
      <w:r>
        <w:rPr>
          <w:rStyle w:val="85"/>
          <w:rFonts w:ascii="宋体" w:hAnsi="宋体"/>
          <w:bCs/>
        </w:rPr>
        <w:fldChar w:fldCharType="separate"/>
      </w:r>
      <w:r>
        <w:rPr>
          <w:rStyle w:val="85"/>
          <w:rFonts w:ascii="宋体" w:hAnsi="宋体"/>
          <w:bCs/>
        </w:rPr>
        <w:t>228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"_Toc106883438" </w:instrText>
      </w:r>
      <w:r>
        <w:fldChar w:fldCharType="separate"/>
      </w:r>
      <w:r>
        <w:rPr>
          <w:rStyle w:val="85"/>
          <w:rFonts w:ascii="宋体" w:hAnsi="宋体"/>
          <w:bCs/>
        </w:rPr>
        <w:t>4.6.8道路交通标线</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_Toc106883438 \h </w:instrText>
      </w:r>
      <w:r>
        <w:rPr>
          <w:rStyle w:val="85"/>
          <w:rFonts w:ascii="宋体" w:hAnsi="宋体"/>
          <w:bCs/>
        </w:rPr>
        <w:fldChar w:fldCharType="separate"/>
      </w:r>
      <w:r>
        <w:rPr>
          <w:rStyle w:val="85"/>
          <w:rFonts w:ascii="宋体" w:hAnsi="宋体"/>
          <w:bCs/>
        </w:rPr>
        <w:t>247</w:t>
      </w:r>
      <w:r>
        <w:rPr>
          <w:rStyle w:val="85"/>
          <w:rFonts w:ascii="宋体" w:hAnsi="宋体"/>
          <w:bCs/>
        </w:rPr>
        <w:fldChar w:fldCharType="end"/>
      </w:r>
      <w:r>
        <w:rPr>
          <w:rStyle w:val="85"/>
          <w:rFonts w:ascii="宋体" w:hAnsi="宋体"/>
          <w:bCs/>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"_Toc106883444" </w:instrText>
      </w:r>
      <w:r>
        <w:fldChar w:fldCharType="separate"/>
      </w:r>
      <w:r>
        <w:rPr>
          <w:rStyle w:val="85"/>
          <w:rFonts w:ascii="宋体" w:hAnsi="宋体"/>
        </w:rPr>
        <w:t>4.6.9  厂区管道工程</w:t>
      </w:r>
      <w:r>
        <w:rPr>
          <w:rFonts w:ascii="宋体" w:hAnsi="宋体"/>
        </w:rPr>
        <w:tab/>
      </w:r>
      <w:r>
        <w:rPr>
          <w:rFonts w:ascii="宋体" w:hAnsi="宋体"/>
        </w:rPr>
        <w:fldChar w:fldCharType="begin"/>
      </w:r>
      <w:r>
        <w:rPr>
          <w:rFonts w:ascii="宋体" w:hAnsi="宋体"/>
        </w:rPr>
        <w:instrText xml:space="preserve"> PAGEREF _Toc106883444 \h </w:instrText>
      </w:r>
      <w:r>
        <w:rPr>
          <w:rFonts w:ascii="宋体" w:hAnsi="宋体"/>
        </w:rPr>
        <w:fldChar w:fldCharType="separate"/>
      </w:r>
      <w:r>
        <w:rPr>
          <w:rFonts w:ascii="宋体" w:hAnsi="宋体"/>
        </w:rPr>
        <w:t>257</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"_Toc106883445" </w:instrText>
      </w:r>
      <w:r>
        <w:fldChar w:fldCharType="separate"/>
      </w:r>
      <w:r>
        <w:rPr>
          <w:rStyle w:val="85"/>
          <w:rFonts w:ascii="宋体" w:hAnsi="宋体"/>
        </w:rPr>
        <w:t>4.6.10  厂区景观绿化工程</w:t>
      </w:r>
      <w:r>
        <w:rPr>
          <w:rFonts w:ascii="宋体" w:hAnsi="宋体"/>
        </w:rPr>
        <w:tab/>
      </w:r>
      <w:r>
        <w:rPr>
          <w:rFonts w:ascii="宋体" w:hAnsi="宋体"/>
        </w:rPr>
        <w:fldChar w:fldCharType="begin"/>
      </w:r>
      <w:r>
        <w:rPr>
          <w:rFonts w:ascii="宋体" w:hAnsi="宋体"/>
        </w:rPr>
        <w:instrText xml:space="preserve"> PAGEREF _Toc106883445 \h </w:instrText>
      </w:r>
      <w:r>
        <w:rPr>
          <w:rFonts w:ascii="宋体" w:hAnsi="宋体"/>
        </w:rPr>
        <w:fldChar w:fldCharType="separate"/>
      </w:r>
      <w:r>
        <w:rPr>
          <w:rFonts w:ascii="宋体" w:hAnsi="宋体"/>
        </w:rPr>
        <w:t>258</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"_Toc106883454" </w:instrText>
      </w:r>
      <w:r>
        <w:fldChar w:fldCharType="separate"/>
      </w:r>
      <w:r>
        <w:rPr>
          <w:rStyle w:val="85"/>
          <w:rFonts w:ascii="宋体" w:hAnsi="宋体"/>
          <w:kern w:val="0"/>
        </w:rPr>
        <w:t>5给水管道工程</w:t>
      </w:r>
      <w:r>
        <w:rPr>
          <w:rFonts w:ascii="宋体" w:hAnsi="宋体"/>
        </w:rPr>
        <w:tab/>
      </w:r>
      <w:r>
        <w:rPr>
          <w:rFonts w:ascii="宋体" w:hAnsi="宋体"/>
        </w:rPr>
        <w:fldChar w:fldCharType="begin"/>
      </w:r>
      <w:r>
        <w:rPr>
          <w:rFonts w:ascii="宋体" w:hAnsi="宋体"/>
        </w:rPr>
        <w:instrText xml:space="preserve"> PAGEREF _Toc106883454 \h </w:instrText>
      </w:r>
      <w:r>
        <w:rPr>
          <w:rFonts w:ascii="宋体" w:hAnsi="宋体"/>
        </w:rPr>
        <w:fldChar w:fldCharType="separate"/>
      </w:r>
      <w:r>
        <w:rPr>
          <w:rFonts w:ascii="宋体" w:hAnsi="宋体"/>
        </w:rPr>
        <w:t>267</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"_Toc106883455" </w:instrText>
      </w:r>
      <w:r>
        <w:fldChar w:fldCharType="separate"/>
      </w:r>
      <w:r>
        <w:rPr>
          <w:rStyle w:val="85"/>
          <w:rFonts w:ascii="宋体" w:hAnsi="宋体" w:cs="楷体"/>
        </w:rPr>
        <w:t>5.1 管道工程的通用要求</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_Toc106883455 \h </w:instrText>
      </w:r>
      <w:r>
        <w:rPr>
          <w:rStyle w:val="85"/>
          <w:rFonts w:ascii="宋体" w:hAnsi="宋体" w:cs="楷体"/>
        </w:rPr>
        <w:fldChar w:fldCharType="separate"/>
      </w:r>
      <w:r>
        <w:rPr>
          <w:rStyle w:val="85"/>
          <w:rFonts w:ascii="宋体" w:hAnsi="宋体" w:cs="楷体"/>
        </w:rPr>
        <w:t>267</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"_Toc106883456" </w:instrText>
      </w:r>
      <w:r>
        <w:fldChar w:fldCharType="separate"/>
      </w:r>
      <w:r>
        <w:rPr>
          <w:rStyle w:val="85"/>
          <w:rFonts w:ascii="宋体" w:hAnsi="宋体" w:cs="楷体"/>
        </w:rPr>
        <w:t>5.2 适用标准</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_Toc106883456 \h </w:instrText>
      </w:r>
      <w:r>
        <w:rPr>
          <w:rStyle w:val="85"/>
          <w:rFonts w:ascii="宋体" w:hAnsi="宋体" w:cs="楷体"/>
        </w:rPr>
        <w:fldChar w:fldCharType="separate"/>
      </w:r>
      <w:r>
        <w:rPr>
          <w:rStyle w:val="85"/>
          <w:rFonts w:ascii="宋体" w:hAnsi="宋体" w:cs="楷体"/>
        </w:rPr>
        <w:t>267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bCs/>
        </w:rPr>
      </w:pPr>
      <w:r>
        <w:fldChar w:fldCharType="begin"/>
      </w:r>
      <w:r>
        <w:instrText xml:space="preserve"> HYPERLINK \l "_Toc106883457" </w:instrText>
      </w:r>
      <w:r>
        <w:fldChar w:fldCharType="separate"/>
      </w:r>
      <w:r>
        <w:rPr>
          <w:rStyle w:val="85"/>
          <w:rFonts w:ascii="宋体" w:hAnsi="宋体"/>
          <w:bCs/>
        </w:rPr>
        <w:t>5.2.1材料标准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_Toc106883457 \h </w:instrText>
      </w:r>
      <w:r>
        <w:rPr>
          <w:rStyle w:val="85"/>
          <w:rFonts w:ascii="宋体" w:hAnsi="宋体"/>
          <w:bCs/>
        </w:rPr>
        <w:fldChar w:fldCharType="separate"/>
      </w:r>
      <w:r>
        <w:rPr>
          <w:rStyle w:val="85"/>
          <w:rFonts w:ascii="宋体" w:hAnsi="宋体"/>
          <w:bCs/>
        </w:rPr>
        <w:t>268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"_Toc106883458" </w:instrText>
      </w:r>
      <w:r>
        <w:fldChar w:fldCharType="separate"/>
      </w:r>
      <w:r>
        <w:rPr>
          <w:rStyle w:val="85"/>
          <w:rFonts w:ascii="宋体" w:hAnsi="宋体"/>
          <w:bCs/>
        </w:rPr>
        <w:t>5.2.2施工及验收规范</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_Toc106883458 \h </w:instrText>
      </w:r>
      <w:r>
        <w:rPr>
          <w:rStyle w:val="85"/>
          <w:rFonts w:ascii="宋体" w:hAnsi="宋体"/>
          <w:bCs/>
        </w:rPr>
        <w:fldChar w:fldCharType="separate"/>
      </w:r>
      <w:r>
        <w:rPr>
          <w:rStyle w:val="85"/>
          <w:rFonts w:ascii="宋体" w:hAnsi="宋体"/>
          <w:bCs/>
        </w:rPr>
        <w:t>268</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"_Toc106883459" </w:instrText>
      </w:r>
      <w:r>
        <w:fldChar w:fldCharType="separate"/>
      </w:r>
      <w:r>
        <w:rPr>
          <w:rStyle w:val="85"/>
          <w:rFonts w:ascii="宋体" w:hAnsi="宋体" w:cs="楷体"/>
        </w:rPr>
        <w:t>5.3 承包商应提交的文件</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_Toc106883459 \h </w:instrText>
      </w:r>
      <w:r>
        <w:rPr>
          <w:rStyle w:val="85"/>
          <w:rFonts w:ascii="宋体" w:hAnsi="宋体" w:cs="楷体"/>
        </w:rPr>
        <w:fldChar w:fldCharType="separate"/>
      </w:r>
      <w:r>
        <w:rPr>
          <w:rStyle w:val="85"/>
          <w:rFonts w:ascii="宋体" w:hAnsi="宋体" w:cs="楷体"/>
        </w:rPr>
        <w:t>268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"_Toc106883460" </w:instrText>
      </w:r>
      <w:r>
        <w:fldChar w:fldCharType="separate"/>
      </w:r>
      <w:r>
        <w:rPr>
          <w:rStyle w:val="85"/>
          <w:rFonts w:ascii="宋体" w:hAnsi="宋体"/>
          <w:bCs/>
        </w:rPr>
        <w:t>5.3.1 资料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_Toc106883460 \h </w:instrText>
      </w:r>
      <w:r>
        <w:rPr>
          <w:rStyle w:val="85"/>
          <w:rFonts w:ascii="宋体" w:hAnsi="宋体"/>
          <w:bCs/>
        </w:rPr>
        <w:fldChar w:fldCharType="separate"/>
      </w:r>
      <w:r>
        <w:rPr>
          <w:rStyle w:val="85"/>
          <w:rFonts w:ascii="宋体" w:hAnsi="宋体"/>
          <w:bCs/>
        </w:rPr>
        <w:t>268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"_Toc106883461" </w:instrText>
      </w:r>
      <w:r>
        <w:fldChar w:fldCharType="separate"/>
      </w:r>
      <w:r>
        <w:rPr>
          <w:rStyle w:val="85"/>
          <w:rFonts w:ascii="宋体" w:hAnsi="宋体"/>
          <w:bCs/>
        </w:rPr>
        <w:t>5.3.2 应保存的记录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_Toc106883461 \h </w:instrText>
      </w:r>
      <w:r>
        <w:rPr>
          <w:rStyle w:val="85"/>
          <w:rFonts w:ascii="宋体" w:hAnsi="宋体"/>
          <w:bCs/>
        </w:rPr>
        <w:fldChar w:fldCharType="separate"/>
      </w:r>
      <w:r>
        <w:rPr>
          <w:rStyle w:val="85"/>
          <w:rFonts w:ascii="宋体" w:hAnsi="宋体"/>
          <w:bCs/>
        </w:rPr>
        <w:t>269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"_Toc106883462" </w:instrText>
      </w:r>
      <w:r>
        <w:fldChar w:fldCharType="separate"/>
      </w:r>
      <w:r>
        <w:rPr>
          <w:rStyle w:val="85"/>
          <w:rFonts w:ascii="宋体" w:hAnsi="宋体"/>
          <w:bCs/>
        </w:rPr>
        <w:t>5.3.3 试验证书</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_Toc106883462 \h </w:instrText>
      </w:r>
      <w:r>
        <w:rPr>
          <w:rStyle w:val="85"/>
          <w:rFonts w:ascii="宋体" w:hAnsi="宋体"/>
          <w:bCs/>
        </w:rPr>
        <w:fldChar w:fldCharType="separate"/>
      </w:r>
      <w:r>
        <w:rPr>
          <w:rStyle w:val="85"/>
          <w:rFonts w:ascii="宋体" w:hAnsi="宋体"/>
          <w:bCs/>
        </w:rPr>
        <w:t>269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"_Toc106883463" </w:instrText>
      </w:r>
      <w:r>
        <w:fldChar w:fldCharType="separate"/>
      </w:r>
      <w:r>
        <w:rPr>
          <w:rStyle w:val="85"/>
          <w:rFonts w:ascii="宋体" w:hAnsi="宋体"/>
          <w:bCs/>
        </w:rPr>
        <w:t>5.3.4 材料合格证</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_Toc106883463 \h </w:instrText>
      </w:r>
      <w:r>
        <w:rPr>
          <w:rStyle w:val="85"/>
          <w:rFonts w:ascii="宋体" w:hAnsi="宋体"/>
          <w:bCs/>
        </w:rPr>
        <w:fldChar w:fldCharType="separate"/>
      </w:r>
      <w:r>
        <w:rPr>
          <w:rStyle w:val="85"/>
          <w:rFonts w:ascii="宋体" w:hAnsi="宋体"/>
          <w:bCs/>
        </w:rPr>
        <w:t>269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"_Toc106883464" </w:instrText>
      </w:r>
      <w:r>
        <w:fldChar w:fldCharType="separate"/>
      </w:r>
      <w:r>
        <w:rPr>
          <w:rStyle w:val="85"/>
          <w:rFonts w:ascii="宋体" w:hAnsi="宋体"/>
          <w:bCs/>
        </w:rPr>
        <w:t>5.3.5 制造商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_Toc106883464 \h </w:instrText>
      </w:r>
      <w:r>
        <w:rPr>
          <w:rStyle w:val="85"/>
          <w:rFonts w:ascii="宋体" w:hAnsi="宋体"/>
          <w:bCs/>
        </w:rPr>
        <w:fldChar w:fldCharType="separate"/>
      </w:r>
      <w:r>
        <w:rPr>
          <w:rStyle w:val="85"/>
          <w:rFonts w:ascii="宋体" w:hAnsi="宋体"/>
          <w:bCs/>
        </w:rPr>
        <w:t>269</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"_Toc106883469" </w:instrText>
      </w:r>
      <w:r>
        <w:fldChar w:fldCharType="separate"/>
      </w:r>
      <w:r>
        <w:rPr>
          <w:rStyle w:val="85"/>
          <w:rFonts w:ascii="宋体" w:hAnsi="宋体" w:cs="楷体"/>
        </w:rPr>
        <w:t>5.4 检查</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_Toc106883469 \h </w:instrText>
      </w:r>
      <w:r>
        <w:rPr>
          <w:rStyle w:val="85"/>
          <w:rFonts w:ascii="宋体" w:hAnsi="宋体" w:cs="楷体"/>
        </w:rPr>
        <w:fldChar w:fldCharType="separate"/>
      </w:r>
      <w:r>
        <w:rPr>
          <w:rStyle w:val="85"/>
          <w:rFonts w:ascii="宋体" w:hAnsi="宋体" w:cs="楷体"/>
        </w:rPr>
        <w:t>270</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"_Toc106883470" </w:instrText>
      </w:r>
      <w:r>
        <w:fldChar w:fldCharType="separate"/>
      </w:r>
      <w:r>
        <w:rPr>
          <w:rStyle w:val="85"/>
          <w:rFonts w:ascii="宋体" w:hAnsi="宋体"/>
          <w:bCs/>
        </w:rPr>
        <w:t>5.4.1 一般要求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_Toc106883470 \h </w:instrText>
      </w:r>
      <w:r>
        <w:rPr>
          <w:rStyle w:val="85"/>
          <w:rFonts w:ascii="宋体" w:hAnsi="宋体"/>
          <w:bCs/>
        </w:rPr>
        <w:fldChar w:fldCharType="separate"/>
      </w:r>
      <w:r>
        <w:rPr>
          <w:rStyle w:val="85"/>
          <w:rFonts w:ascii="宋体" w:hAnsi="宋体"/>
          <w:bCs/>
        </w:rPr>
        <w:t>270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"_Toc106883471" </w:instrText>
      </w:r>
      <w:r>
        <w:fldChar w:fldCharType="separate"/>
      </w:r>
      <w:r>
        <w:rPr>
          <w:rStyle w:val="85"/>
          <w:rFonts w:ascii="宋体" w:hAnsi="宋体"/>
          <w:bCs/>
        </w:rPr>
        <w:t>5.4.2 交付时的检查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_Toc106883471 \h </w:instrText>
      </w:r>
      <w:r>
        <w:rPr>
          <w:rStyle w:val="85"/>
          <w:rFonts w:ascii="宋体" w:hAnsi="宋体"/>
          <w:bCs/>
        </w:rPr>
        <w:fldChar w:fldCharType="separate"/>
      </w:r>
      <w:r>
        <w:rPr>
          <w:rStyle w:val="85"/>
          <w:rFonts w:ascii="宋体" w:hAnsi="宋体"/>
          <w:bCs/>
        </w:rPr>
        <w:t>270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"_Toc106883472" </w:instrText>
      </w:r>
      <w:r>
        <w:fldChar w:fldCharType="separate"/>
      </w:r>
      <w:r>
        <w:rPr>
          <w:rStyle w:val="85"/>
          <w:rFonts w:ascii="宋体" w:hAnsi="宋体"/>
          <w:bCs/>
        </w:rPr>
        <w:t>5.4.3 附加测试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_Toc106883472 \h </w:instrText>
      </w:r>
      <w:r>
        <w:rPr>
          <w:rStyle w:val="85"/>
          <w:rFonts w:ascii="宋体" w:hAnsi="宋体"/>
          <w:bCs/>
        </w:rPr>
        <w:fldChar w:fldCharType="separate"/>
      </w:r>
      <w:r>
        <w:rPr>
          <w:rStyle w:val="85"/>
          <w:rFonts w:ascii="宋体" w:hAnsi="宋体"/>
          <w:bCs/>
        </w:rPr>
        <w:t>271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"_Toc106883473" </w:instrText>
      </w:r>
      <w:r>
        <w:fldChar w:fldCharType="separate"/>
      </w:r>
      <w:r>
        <w:rPr>
          <w:rStyle w:val="85"/>
          <w:rFonts w:ascii="宋体" w:hAnsi="宋体"/>
          <w:bCs/>
        </w:rPr>
        <w:t>5.4.4 安装过程中的检查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_Toc106883473 \h </w:instrText>
      </w:r>
      <w:r>
        <w:rPr>
          <w:rStyle w:val="85"/>
          <w:rFonts w:ascii="宋体" w:hAnsi="宋体"/>
          <w:bCs/>
        </w:rPr>
        <w:fldChar w:fldCharType="separate"/>
      </w:r>
      <w:r>
        <w:rPr>
          <w:rStyle w:val="85"/>
          <w:rFonts w:ascii="宋体" w:hAnsi="宋体"/>
          <w:bCs/>
        </w:rPr>
        <w:t>271</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"_Toc106883474" </w:instrText>
      </w:r>
      <w:r>
        <w:fldChar w:fldCharType="separate"/>
      </w:r>
      <w:r>
        <w:rPr>
          <w:rStyle w:val="85"/>
          <w:rFonts w:ascii="宋体" w:hAnsi="宋体" w:cs="楷体"/>
        </w:rPr>
        <w:t>5.5 通用术语</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_Toc106883474 \h </w:instrText>
      </w:r>
      <w:r>
        <w:rPr>
          <w:rStyle w:val="85"/>
          <w:rFonts w:ascii="宋体" w:hAnsi="宋体" w:cs="楷体"/>
        </w:rPr>
        <w:fldChar w:fldCharType="separate"/>
      </w:r>
      <w:r>
        <w:rPr>
          <w:rStyle w:val="85"/>
          <w:rFonts w:ascii="宋体" w:hAnsi="宋体" w:cs="楷体"/>
        </w:rPr>
        <w:t>271</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"_Toc106883475" </w:instrText>
      </w:r>
      <w:r>
        <w:fldChar w:fldCharType="separate"/>
      </w:r>
      <w:r>
        <w:rPr>
          <w:rStyle w:val="85"/>
          <w:rFonts w:ascii="宋体" w:hAnsi="宋体" w:cs="楷体"/>
        </w:rPr>
        <w:t>5.6 管道一般说明</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_Toc106883475 \h </w:instrText>
      </w:r>
      <w:r>
        <w:rPr>
          <w:rStyle w:val="85"/>
          <w:rFonts w:ascii="宋体" w:hAnsi="宋体" w:cs="楷体"/>
        </w:rPr>
        <w:fldChar w:fldCharType="separate"/>
      </w:r>
      <w:r>
        <w:rPr>
          <w:rStyle w:val="85"/>
          <w:rFonts w:ascii="宋体" w:hAnsi="宋体" w:cs="楷体"/>
        </w:rPr>
        <w:t>271</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"_Toc106883476" </w:instrText>
      </w:r>
      <w:r>
        <w:fldChar w:fldCharType="separate"/>
      </w:r>
      <w:r>
        <w:rPr>
          <w:rStyle w:val="85"/>
          <w:rFonts w:ascii="宋体" w:hAnsi="宋体"/>
          <w:bCs/>
        </w:rPr>
        <w:t>5.6.1 规格要求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_Toc106883476 \h </w:instrText>
      </w:r>
      <w:r>
        <w:rPr>
          <w:rStyle w:val="85"/>
          <w:rFonts w:ascii="宋体" w:hAnsi="宋体"/>
          <w:bCs/>
        </w:rPr>
        <w:fldChar w:fldCharType="separate"/>
      </w:r>
      <w:r>
        <w:rPr>
          <w:rStyle w:val="85"/>
          <w:rFonts w:ascii="宋体" w:hAnsi="宋体"/>
          <w:bCs/>
        </w:rPr>
        <w:t>271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"_Toc106883477" </w:instrText>
      </w:r>
      <w:r>
        <w:fldChar w:fldCharType="separate"/>
      </w:r>
      <w:r>
        <w:rPr>
          <w:rStyle w:val="85"/>
          <w:rFonts w:ascii="宋体" w:hAnsi="宋体"/>
          <w:bCs/>
        </w:rPr>
        <w:t>5.6.2 管道和配件标准</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_Toc106883477 \h </w:instrText>
      </w:r>
      <w:r>
        <w:rPr>
          <w:rStyle w:val="85"/>
          <w:rFonts w:ascii="宋体" w:hAnsi="宋体"/>
          <w:bCs/>
        </w:rPr>
        <w:fldChar w:fldCharType="separate"/>
      </w:r>
      <w:r>
        <w:rPr>
          <w:rStyle w:val="85"/>
          <w:rFonts w:ascii="宋体" w:hAnsi="宋体"/>
          <w:bCs/>
        </w:rPr>
        <w:t>271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"_Toc106883478" </w:instrText>
      </w:r>
      <w:r>
        <w:fldChar w:fldCharType="separate"/>
      </w:r>
      <w:r>
        <w:rPr>
          <w:rStyle w:val="85"/>
          <w:rFonts w:ascii="宋体" w:hAnsi="宋体"/>
          <w:bCs/>
        </w:rPr>
        <w:t>5.6.3 管材分类及缩写字母</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_Toc106883478 \h </w:instrText>
      </w:r>
      <w:r>
        <w:rPr>
          <w:rStyle w:val="85"/>
          <w:rFonts w:ascii="宋体" w:hAnsi="宋体"/>
          <w:bCs/>
        </w:rPr>
        <w:fldChar w:fldCharType="separate"/>
      </w:r>
      <w:r>
        <w:rPr>
          <w:rStyle w:val="85"/>
          <w:rFonts w:ascii="宋体" w:hAnsi="宋体"/>
          <w:bCs/>
        </w:rPr>
        <w:t>272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"_Toc106883479" </w:instrText>
      </w:r>
      <w:r>
        <w:fldChar w:fldCharType="separate"/>
      </w:r>
      <w:r>
        <w:rPr>
          <w:rStyle w:val="85"/>
          <w:rFonts w:ascii="宋体" w:hAnsi="宋体"/>
          <w:bCs/>
        </w:rPr>
        <w:t>5.6.4 管道垫层和填埋物的粒状材料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_Toc106883479 \h </w:instrText>
      </w:r>
      <w:r>
        <w:rPr>
          <w:rStyle w:val="85"/>
          <w:rFonts w:ascii="宋体" w:hAnsi="宋体"/>
          <w:bCs/>
        </w:rPr>
        <w:fldChar w:fldCharType="separate"/>
      </w:r>
      <w:r>
        <w:rPr>
          <w:rStyle w:val="85"/>
          <w:rFonts w:ascii="宋体" w:hAnsi="宋体"/>
          <w:bCs/>
        </w:rPr>
        <w:t>272</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"_Toc106883480" </w:instrText>
      </w:r>
      <w:r>
        <w:fldChar w:fldCharType="separate"/>
      </w:r>
      <w:r>
        <w:rPr>
          <w:rStyle w:val="85"/>
          <w:rFonts w:ascii="宋体" w:hAnsi="宋体" w:cs="楷体"/>
        </w:rPr>
        <w:t>5.7 质量维护</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_Toc106883480 \h </w:instrText>
      </w:r>
      <w:r>
        <w:rPr>
          <w:rStyle w:val="85"/>
          <w:rFonts w:ascii="宋体" w:hAnsi="宋体" w:cs="楷体"/>
        </w:rPr>
        <w:fldChar w:fldCharType="separate"/>
      </w:r>
      <w:r>
        <w:rPr>
          <w:rStyle w:val="85"/>
          <w:rFonts w:ascii="宋体" w:hAnsi="宋体" w:cs="楷体"/>
        </w:rPr>
        <w:t>273</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"_Toc106883481" </w:instrText>
      </w:r>
      <w:r>
        <w:fldChar w:fldCharType="separate"/>
      </w:r>
      <w:r>
        <w:rPr>
          <w:rStyle w:val="85"/>
          <w:rFonts w:ascii="宋体" w:hAnsi="宋体" w:cs="楷体"/>
        </w:rPr>
        <w:t>5.8 管道类型测试、常规测试及目视检查</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_Toc106883481 \h </w:instrText>
      </w:r>
      <w:r>
        <w:rPr>
          <w:rStyle w:val="85"/>
          <w:rFonts w:ascii="宋体" w:hAnsi="宋体" w:cs="楷体"/>
        </w:rPr>
        <w:fldChar w:fldCharType="separate"/>
      </w:r>
      <w:r>
        <w:rPr>
          <w:rStyle w:val="85"/>
          <w:rFonts w:ascii="宋体" w:hAnsi="宋体" w:cs="楷体"/>
        </w:rPr>
        <w:t>274</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"_Toc106883482" </w:instrText>
      </w:r>
      <w:r>
        <w:fldChar w:fldCharType="separate"/>
      </w:r>
      <w:r>
        <w:rPr>
          <w:rStyle w:val="85"/>
          <w:rFonts w:ascii="宋体" w:hAnsi="宋体"/>
          <w:bCs/>
        </w:rPr>
        <w:t>5.8.1 总则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_Toc106883482 \h </w:instrText>
      </w:r>
      <w:r>
        <w:rPr>
          <w:rStyle w:val="85"/>
          <w:rFonts w:ascii="宋体" w:hAnsi="宋体"/>
          <w:bCs/>
        </w:rPr>
        <w:fldChar w:fldCharType="separate"/>
      </w:r>
      <w:r>
        <w:rPr>
          <w:rStyle w:val="85"/>
          <w:rFonts w:ascii="宋体" w:hAnsi="宋体"/>
          <w:bCs/>
        </w:rPr>
        <w:t>274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"_Toc106883483" </w:instrText>
      </w:r>
      <w:r>
        <w:fldChar w:fldCharType="separate"/>
      </w:r>
      <w:r>
        <w:rPr>
          <w:rStyle w:val="85"/>
          <w:rFonts w:ascii="宋体" w:hAnsi="宋体"/>
          <w:bCs/>
        </w:rPr>
        <w:t>5.8.2 金属管件的类型和常规测试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_Toc106883483 \h </w:instrText>
      </w:r>
      <w:r>
        <w:rPr>
          <w:rStyle w:val="85"/>
          <w:rFonts w:ascii="宋体" w:hAnsi="宋体"/>
          <w:bCs/>
        </w:rPr>
        <w:fldChar w:fldCharType="separate"/>
      </w:r>
      <w:r>
        <w:rPr>
          <w:rStyle w:val="85"/>
          <w:rFonts w:ascii="宋体" w:hAnsi="宋体"/>
          <w:bCs/>
        </w:rPr>
        <w:t>275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"_Toc106883484" </w:instrText>
      </w:r>
      <w:r>
        <w:fldChar w:fldCharType="separate"/>
      </w:r>
      <w:r>
        <w:rPr>
          <w:rStyle w:val="85"/>
          <w:rFonts w:ascii="宋体" w:hAnsi="宋体"/>
          <w:bCs/>
        </w:rPr>
        <w:t>5.8.3 金属管件的目视检查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_Toc106883484 \h </w:instrText>
      </w:r>
      <w:r>
        <w:rPr>
          <w:rStyle w:val="85"/>
          <w:rFonts w:ascii="宋体" w:hAnsi="宋体"/>
          <w:bCs/>
        </w:rPr>
        <w:fldChar w:fldCharType="separate"/>
      </w:r>
      <w:r>
        <w:rPr>
          <w:rStyle w:val="85"/>
          <w:rFonts w:ascii="宋体" w:hAnsi="宋体"/>
          <w:bCs/>
        </w:rPr>
        <w:t>276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"_Toc106883485" </w:instrText>
      </w:r>
      <w:r>
        <w:fldChar w:fldCharType="separate"/>
      </w:r>
      <w:r>
        <w:rPr>
          <w:rStyle w:val="85"/>
          <w:rFonts w:ascii="宋体" w:hAnsi="宋体"/>
          <w:bCs/>
        </w:rPr>
        <w:t>5.8.4 热塑性管件的类型和常规测试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_Toc106883485 \h </w:instrText>
      </w:r>
      <w:r>
        <w:rPr>
          <w:rStyle w:val="85"/>
          <w:rFonts w:ascii="宋体" w:hAnsi="宋体"/>
          <w:bCs/>
        </w:rPr>
        <w:fldChar w:fldCharType="separate"/>
      </w:r>
      <w:r>
        <w:rPr>
          <w:rStyle w:val="85"/>
          <w:rFonts w:ascii="宋体" w:hAnsi="宋体"/>
          <w:bCs/>
        </w:rPr>
        <w:t>276</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"_Toc106883486" </w:instrText>
      </w:r>
      <w:r>
        <w:fldChar w:fldCharType="separate"/>
      </w:r>
      <w:r>
        <w:rPr>
          <w:rStyle w:val="85"/>
          <w:rFonts w:ascii="宋体" w:hAnsi="宋体"/>
          <w:bCs/>
        </w:rPr>
        <w:t>5.8.5 热塑性管件的目视检查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_Toc106883486 \h </w:instrText>
      </w:r>
      <w:r>
        <w:rPr>
          <w:rStyle w:val="85"/>
          <w:rFonts w:ascii="宋体" w:hAnsi="宋体"/>
          <w:bCs/>
        </w:rPr>
        <w:fldChar w:fldCharType="separate"/>
      </w:r>
      <w:r>
        <w:rPr>
          <w:rStyle w:val="85"/>
          <w:rFonts w:ascii="宋体" w:hAnsi="宋体"/>
          <w:bCs/>
        </w:rPr>
        <w:t>280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"_Toc106883487" </w:instrText>
      </w:r>
      <w:r>
        <w:fldChar w:fldCharType="separate"/>
      </w:r>
      <w:r>
        <w:rPr>
          <w:rStyle w:val="85"/>
          <w:rFonts w:ascii="宋体" w:hAnsi="宋体"/>
          <w:bCs/>
        </w:rPr>
        <w:t>5.8.6 漏涂探测试验</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_Toc106883487 \h </w:instrText>
      </w:r>
      <w:r>
        <w:rPr>
          <w:rStyle w:val="85"/>
          <w:rFonts w:ascii="宋体" w:hAnsi="宋体"/>
          <w:bCs/>
        </w:rPr>
        <w:fldChar w:fldCharType="separate"/>
      </w:r>
      <w:r>
        <w:rPr>
          <w:rStyle w:val="85"/>
          <w:rFonts w:ascii="宋体" w:hAnsi="宋体"/>
          <w:bCs/>
        </w:rPr>
        <w:t>280</w:t>
      </w:r>
      <w:r>
        <w:rPr>
          <w:rStyle w:val="85"/>
          <w:rFonts w:ascii="宋体" w:hAnsi="宋体"/>
          <w:bCs/>
        </w:rPr>
        <w:fldChar w:fldCharType="end"/>
      </w:r>
      <w:r>
        <w:rPr>
          <w:rStyle w:val="85"/>
          <w:rFonts w:ascii="宋体" w:hAnsi="宋体"/>
          <w:bCs/>
        </w:rPr>
        <w:fldChar w:fldCharType="end"/>
      </w:r>
    </w:p>
    <w:p>
      <w:pPr>
        <w:pStyle w:val="64"/>
        <w:tabs>
          <w:tab w:val="right" w:leader="dot" w:pos="8494"/>
        </w:tabs>
        <w:rPr>
          <w:rFonts w:ascii="宋体" w:hAnsi="宋体" w:cstheme="minorBidi"/>
          <w:smallCaps w:val="0"/>
          <w:sz w:val="21"/>
          <w:szCs w:val="22"/>
        </w:rPr>
      </w:pPr>
      <w:r>
        <w:fldChar w:fldCharType="begin"/>
      </w:r>
      <w:r>
        <w:instrText xml:space="preserve"> HYPERLINK \l "_Toc106883488" </w:instrText>
      </w:r>
      <w:r>
        <w:fldChar w:fldCharType="separate"/>
      </w:r>
      <w:r>
        <w:rPr>
          <w:rStyle w:val="85"/>
          <w:rFonts w:ascii="宋体" w:hAnsi="宋体"/>
          <w:b/>
          <w:bCs/>
        </w:rPr>
        <w:t>5.9 管线敷设</w:t>
      </w:r>
      <w:r>
        <w:rPr>
          <w:rFonts w:ascii="宋体" w:hAnsi="宋体"/>
        </w:rPr>
        <w:tab/>
      </w:r>
      <w:r>
        <w:rPr>
          <w:rFonts w:ascii="宋体" w:hAnsi="宋体"/>
        </w:rPr>
        <w:fldChar w:fldCharType="begin"/>
      </w:r>
      <w:r>
        <w:rPr>
          <w:rFonts w:ascii="宋体" w:hAnsi="宋体"/>
        </w:rPr>
        <w:instrText xml:space="preserve"> PAGEREF _Toc106883488 \h </w:instrText>
      </w:r>
      <w:r>
        <w:rPr>
          <w:rFonts w:ascii="宋体" w:hAnsi="宋体"/>
        </w:rPr>
        <w:fldChar w:fldCharType="separate"/>
      </w:r>
      <w:r>
        <w:rPr>
          <w:rFonts w:ascii="宋体" w:hAnsi="宋体"/>
        </w:rPr>
        <w:t>281</w:t>
      </w:r>
      <w:r>
        <w:rPr>
          <w:rFonts w:ascii="宋体" w:hAnsi="宋体"/>
        </w:rPr>
        <w:fldChar w:fldCharType="end"/>
      </w:r>
      <w:r>
        <w:rPr>
          <w:rFonts w:ascii="宋体" w:hAnsi="宋体"/>
        </w:rPr>
        <w:fldChar w:fldCharType="end"/>
      </w:r>
    </w:p>
    <w:p>
      <w:pPr>
        <w:pStyle w:val="38"/>
        <w:tabs>
          <w:tab w:val="right" w:leader="dot" w:pos="8494"/>
        </w:tabs>
        <w:rPr>
          <w:rStyle w:val="85"/>
          <w:rFonts w:ascii="宋体" w:hAnsi="宋体"/>
          <w:bCs/>
        </w:rPr>
      </w:pPr>
      <w:r>
        <w:fldChar w:fldCharType="begin"/>
      </w:r>
      <w:r>
        <w:instrText xml:space="preserve"> HYPERLINK \l "_Toc106883489" </w:instrText>
      </w:r>
      <w:r>
        <w:fldChar w:fldCharType="separate"/>
      </w:r>
      <w:r>
        <w:rPr>
          <w:rStyle w:val="85"/>
          <w:rFonts w:ascii="宋体" w:hAnsi="宋体"/>
          <w:bCs/>
        </w:rPr>
        <w:t>5.9.1 管线敷设原则</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_Toc106883489 \h </w:instrText>
      </w:r>
      <w:r>
        <w:rPr>
          <w:rStyle w:val="85"/>
          <w:rFonts w:ascii="宋体" w:hAnsi="宋体"/>
          <w:bCs/>
        </w:rPr>
        <w:fldChar w:fldCharType="separate"/>
      </w:r>
      <w:r>
        <w:rPr>
          <w:rStyle w:val="85"/>
          <w:rFonts w:ascii="宋体" w:hAnsi="宋体"/>
          <w:bCs/>
        </w:rPr>
        <w:t>281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"_Toc106883490" </w:instrText>
      </w:r>
      <w:r>
        <w:fldChar w:fldCharType="separate"/>
      </w:r>
      <w:r>
        <w:rPr>
          <w:rStyle w:val="85"/>
          <w:rFonts w:ascii="宋体" w:hAnsi="宋体"/>
          <w:bCs/>
        </w:rPr>
        <w:t>5.9.2 采用粒状管基和填埋物的管线</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_Toc106883490 \h </w:instrText>
      </w:r>
      <w:r>
        <w:rPr>
          <w:rStyle w:val="85"/>
          <w:rFonts w:ascii="宋体" w:hAnsi="宋体"/>
          <w:bCs/>
        </w:rPr>
        <w:fldChar w:fldCharType="separate"/>
      </w:r>
      <w:r>
        <w:rPr>
          <w:rStyle w:val="85"/>
          <w:rFonts w:ascii="宋体" w:hAnsi="宋体"/>
          <w:bCs/>
        </w:rPr>
        <w:t>282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"_Toc106883491" </w:instrText>
      </w:r>
      <w:r>
        <w:fldChar w:fldCharType="separate"/>
      </w:r>
      <w:r>
        <w:rPr>
          <w:rStyle w:val="85"/>
          <w:rFonts w:ascii="宋体" w:hAnsi="宋体"/>
          <w:bCs/>
        </w:rPr>
        <w:t>5.9.3 管道粒状填埋物的压实</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_Toc106883491 \h </w:instrText>
      </w:r>
      <w:r>
        <w:rPr>
          <w:rStyle w:val="85"/>
          <w:rFonts w:ascii="宋体" w:hAnsi="宋体"/>
          <w:bCs/>
        </w:rPr>
        <w:fldChar w:fldCharType="separate"/>
      </w:r>
      <w:r>
        <w:rPr>
          <w:rStyle w:val="85"/>
          <w:rFonts w:ascii="宋体" w:hAnsi="宋体"/>
          <w:bCs/>
        </w:rPr>
        <w:t>283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"_Toc106883492" </w:instrText>
      </w:r>
      <w:r>
        <w:fldChar w:fldCharType="separate"/>
      </w:r>
      <w:r>
        <w:rPr>
          <w:rStyle w:val="85"/>
          <w:rFonts w:ascii="宋体" w:hAnsi="宋体"/>
          <w:bCs/>
        </w:rPr>
        <w:t>5.7.4 直接铺设在管沟中的管线</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_Toc106883492 \h </w:instrText>
      </w:r>
      <w:r>
        <w:rPr>
          <w:rStyle w:val="85"/>
          <w:rFonts w:ascii="宋体" w:hAnsi="宋体"/>
          <w:bCs/>
        </w:rPr>
        <w:fldChar w:fldCharType="separate"/>
      </w:r>
      <w:r>
        <w:rPr>
          <w:rStyle w:val="85"/>
          <w:rFonts w:ascii="宋体" w:hAnsi="宋体"/>
          <w:bCs/>
        </w:rPr>
        <w:t>284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"_Toc106883493" </w:instrText>
      </w:r>
      <w:r>
        <w:fldChar w:fldCharType="separate"/>
      </w:r>
      <w:r>
        <w:rPr>
          <w:rStyle w:val="85"/>
          <w:rFonts w:ascii="宋体" w:hAnsi="宋体"/>
          <w:bCs/>
        </w:rPr>
        <w:t>5.7.5 管沟的回填</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_Toc106883493 \h </w:instrText>
      </w:r>
      <w:r>
        <w:rPr>
          <w:rStyle w:val="85"/>
          <w:rFonts w:ascii="宋体" w:hAnsi="宋体"/>
          <w:bCs/>
        </w:rPr>
        <w:fldChar w:fldCharType="separate"/>
      </w:r>
      <w:r>
        <w:rPr>
          <w:rStyle w:val="85"/>
          <w:rFonts w:ascii="宋体" w:hAnsi="宋体"/>
          <w:bCs/>
        </w:rPr>
        <w:t>284</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"_Toc106883494" </w:instrText>
      </w:r>
      <w:r>
        <w:fldChar w:fldCharType="separate"/>
      </w:r>
      <w:r>
        <w:rPr>
          <w:rStyle w:val="85"/>
          <w:rFonts w:ascii="宋体" w:hAnsi="宋体"/>
          <w:bCs/>
        </w:rPr>
        <w:t>5.7.6 管道的切割</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_Toc106883494 \h </w:instrText>
      </w:r>
      <w:r>
        <w:rPr>
          <w:rStyle w:val="85"/>
          <w:rFonts w:ascii="宋体" w:hAnsi="宋体"/>
          <w:bCs/>
        </w:rPr>
        <w:fldChar w:fldCharType="separate"/>
      </w:r>
      <w:r>
        <w:rPr>
          <w:rStyle w:val="85"/>
          <w:rFonts w:ascii="宋体" w:hAnsi="宋体"/>
          <w:bCs/>
        </w:rPr>
        <w:t>285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"_Toc106883495" </w:instrText>
      </w:r>
      <w:r>
        <w:fldChar w:fldCharType="separate"/>
      </w:r>
      <w:r>
        <w:rPr>
          <w:rStyle w:val="85"/>
          <w:rFonts w:ascii="宋体" w:hAnsi="宋体"/>
          <w:bCs/>
        </w:rPr>
        <w:t>5.7.7 法兰和柔性机械接头</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_Toc106883495 \h </w:instrText>
      </w:r>
      <w:r>
        <w:rPr>
          <w:rStyle w:val="85"/>
          <w:rFonts w:ascii="宋体" w:hAnsi="宋体"/>
          <w:bCs/>
        </w:rPr>
        <w:fldChar w:fldCharType="separate"/>
      </w:r>
      <w:r>
        <w:rPr>
          <w:rStyle w:val="85"/>
          <w:rFonts w:ascii="宋体" w:hAnsi="宋体"/>
          <w:bCs/>
        </w:rPr>
        <w:t>285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"_Toc106883496" </w:instrText>
      </w:r>
      <w:r>
        <w:fldChar w:fldCharType="separate"/>
      </w:r>
      <w:r>
        <w:rPr>
          <w:rStyle w:val="85"/>
          <w:rFonts w:ascii="宋体" w:hAnsi="宋体"/>
          <w:bCs/>
        </w:rPr>
        <w:t>5.7.8 管线的检验及测试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_Toc106883496 \h </w:instrText>
      </w:r>
      <w:r>
        <w:rPr>
          <w:rStyle w:val="85"/>
          <w:rFonts w:ascii="宋体" w:hAnsi="宋体"/>
          <w:bCs/>
        </w:rPr>
        <w:fldChar w:fldCharType="separate"/>
      </w:r>
      <w:r>
        <w:rPr>
          <w:rStyle w:val="85"/>
          <w:rFonts w:ascii="宋体" w:hAnsi="宋体"/>
          <w:bCs/>
        </w:rPr>
        <w:t>285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"_Toc106883497" </w:instrText>
      </w:r>
      <w:r>
        <w:fldChar w:fldCharType="separate"/>
      </w:r>
      <w:r>
        <w:rPr>
          <w:rStyle w:val="85"/>
          <w:rFonts w:ascii="宋体" w:hAnsi="宋体"/>
          <w:bCs/>
        </w:rPr>
        <w:t>5.7.9 饮用水管线的消毒</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_Toc106883497 \h </w:instrText>
      </w:r>
      <w:r>
        <w:rPr>
          <w:rStyle w:val="85"/>
          <w:rFonts w:ascii="宋体" w:hAnsi="宋体"/>
          <w:bCs/>
        </w:rPr>
        <w:fldChar w:fldCharType="separate"/>
      </w:r>
      <w:r>
        <w:rPr>
          <w:rStyle w:val="85"/>
          <w:rFonts w:ascii="宋体" w:hAnsi="宋体"/>
          <w:bCs/>
        </w:rPr>
        <w:t>287</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"_Toc106883498" </w:instrText>
      </w:r>
      <w:r>
        <w:fldChar w:fldCharType="separate"/>
      </w:r>
      <w:r>
        <w:rPr>
          <w:rStyle w:val="85"/>
          <w:rFonts w:ascii="宋体" w:hAnsi="宋体" w:cs="楷体"/>
        </w:rPr>
        <w:t>5.8 本合同下的热塑管道使用</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_Toc106883498 \h </w:instrText>
      </w:r>
      <w:r>
        <w:rPr>
          <w:rStyle w:val="85"/>
          <w:rFonts w:ascii="宋体" w:hAnsi="宋体" w:cs="楷体"/>
        </w:rPr>
        <w:fldChar w:fldCharType="separate"/>
      </w:r>
      <w:r>
        <w:rPr>
          <w:rStyle w:val="85"/>
          <w:rFonts w:ascii="宋体" w:hAnsi="宋体" w:cs="楷体"/>
        </w:rPr>
        <w:t>288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bCs/>
        </w:rPr>
      </w:pPr>
      <w:r>
        <w:fldChar w:fldCharType="begin"/>
      </w:r>
      <w:r>
        <w:instrText xml:space="preserve"> HYPERLINK \l "_Toc106883499" </w:instrText>
      </w:r>
      <w:r>
        <w:fldChar w:fldCharType="separate"/>
      </w:r>
      <w:r>
        <w:rPr>
          <w:rStyle w:val="85"/>
          <w:rFonts w:ascii="宋体" w:hAnsi="宋体"/>
          <w:bCs/>
        </w:rPr>
        <w:t>5.8.1 管道类型</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_Toc106883499 \h </w:instrText>
      </w:r>
      <w:r>
        <w:rPr>
          <w:rStyle w:val="85"/>
          <w:rFonts w:ascii="宋体" w:hAnsi="宋体"/>
          <w:bCs/>
        </w:rPr>
        <w:fldChar w:fldCharType="separate"/>
      </w:r>
      <w:r>
        <w:rPr>
          <w:rStyle w:val="85"/>
          <w:rFonts w:ascii="宋体" w:hAnsi="宋体"/>
          <w:bCs/>
        </w:rPr>
        <w:t>288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"_Toc106883500" </w:instrText>
      </w:r>
      <w:r>
        <w:fldChar w:fldCharType="separate"/>
      </w:r>
      <w:r>
        <w:rPr>
          <w:rStyle w:val="85"/>
          <w:rFonts w:ascii="宋体" w:hAnsi="宋体"/>
          <w:bCs/>
        </w:rPr>
        <w:t>5.8.2 等级</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_Toc106883500 \h </w:instrText>
      </w:r>
      <w:r>
        <w:rPr>
          <w:rStyle w:val="85"/>
          <w:rFonts w:ascii="宋体" w:hAnsi="宋体"/>
          <w:bCs/>
        </w:rPr>
        <w:fldChar w:fldCharType="separate"/>
      </w:r>
      <w:r>
        <w:rPr>
          <w:rStyle w:val="85"/>
          <w:rFonts w:ascii="宋体" w:hAnsi="宋体"/>
          <w:bCs/>
        </w:rPr>
        <w:t>288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"_Toc106883501" </w:instrText>
      </w:r>
      <w:r>
        <w:fldChar w:fldCharType="separate"/>
      </w:r>
      <w:r>
        <w:rPr>
          <w:rStyle w:val="85"/>
          <w:rFonts w:ascii="宋体" w:hAnsi="宋体"/>
          <w:bCs/>
        </w:rPr>
        <w:t>5.8.3 接口</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_Toc106883501 \h </w:instrText>
      </w:r>
      <w:r>
        <w:rPr>
          <w:rStyle w:val="85"/>
          <w:rFonts w:ascii="宋体" w:hAnsi="宋体"/>
          <w:bCs/>
        </w:rPr>
        <w:fldChar w:fldCharType="separate"/>
      </w:r>
      <w:r>
        <w:rPr>
          <w:rStyle w:val="85"/>
          <w:rFonts w:ascii="宋体" w:hAnsi="宋体"/>
          <w:bCs/>
        </w:rPr>
        <w:t>288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"_Toc106883502" </w:instrText>
      </w:r>
      <w:r>
        <w:fldChar w:fldCharType="separate"/>
      </w:r>
      <w:r>
        <w:rPr>
          <w:rStyle w:val="85"/>
          <w:rFonts w:ascii="宋体" w:hAnsi="宋体"/>
          <w:bCs/>
        </w:rPr>
        <w:t>5.8.4 提升孔</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_Toc106883502 \h </w:instrText>
      </w:r>
      <w:r>
        <w:rPr>
          <w:rStyle w:val="85"/>
          <w:rFonts w:ascii="宋体" w:hAnsi="宋体"/>
          <w:bCs/>
        </w:rPr>
        <w:fldChar w:fldCharType="separate"/>
      </w:r>
      <w:r>
        <w:rPr>
          <w:rStyle w:val="85"/>
          <w:rFonts w:ascii="宋体" w:hAnsi="宋体"/>
          <w:bCs/>
        </w:rPr>
        <w:t>288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"_Toc106883503" </w:instrText>
      </w:r>
      <w:r>
        <w:fldChar w:fldCharType="separate"/>
      </w:r>
      <w:r>
        <w:rPr>
          <w:rStyle w:val="85"/>
          <w:rFonts w:ascii="宋体" w:hAnsi="宋体"/>
          <w:bCs/>
        </w:rPr>
        <w:t>5.8.5 基础</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_Toc106883503 \h </w:instrText>
      </w:r>
      <w:r>
        <w:rPr>
          <w:rStyle w:val="85"/>
          <w:rFonts w:ascii="宋体" w:hAnsi="宋体"/>
          <w:bCs/>
        </w:rPr>
        <w:fldChar w:fldCharType="separate"/>
      </w:r>
      <w:r>
        <w:rPr>
          <w:rStyle w:val="85"/>
          <w:rFonts w:ascii="宋体" w:hAnsi="宋体"/>
          <w:bCs/>
        </w:rPr>
        <w:t>288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"_Toc106883504" </w:instrText>
      </w:r>
      <w:r>
        <w:fldChar w:fldCharType="separate"/>
      </w:r>
      <w:r>
        <w:rPr>
          <w:rStyle w:val="85"/>
          <w:rFonts w:ascii="宋体" w:hAnsi="宋体"/>
          <w:bCs/>
        </w:rPr>
        <w:t>5.8.6 敷设</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_Toc106883504 \h </w:instrText>
      </w:r>
      <w:r>
        <w:rPr>
          <w:rStyle w:val="85"/>
          <w:rFonts w:ascii="宋体" w:hAnsi="宋体"/>
          <w:bCs/>
        </w:rPr>
        <w:fldChar w:fldCharType="separate"/>
      </w:r>
      <w:r>
        <w:rPr>
          <w:rStyle w:val="85"/>
          <w:rFonts w:ascii="宋体" w:hAnsi="宋体"/>
          <w:bCs/>
        </w:rPr>
        <w:t>289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"_Toc106883505" </w:instrText>
      </w:r>
      <w:r>
        <w:fldChar w:fldCharType="separate"/>
      </w:r>
      <w:r>
        <w:rPr>
          <w:rStyle w:val="85"/>
          <w:rFonts w:ascii="宋体" w:hAnsi="宋体"/>
          <w:bCs/>
        </w:rPr>
        <w:t>5.8.7 连接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_Toc106883505 \h </w:instrText>
      </w:r>
      <w:r>
        <w:rPr>
          <w:rStyle w:val="85"/>
          <w:rFonts w:ascii="宋体" w:hAnsi="宋体"/>
          <w:bCs/>
        </w:rPr>
        <w:fldChar w:fldCharType="separate"/>
      </w:r>
      <w:r>
        <w:rPr>
          <w:rStyle w:val="85"/>
          <w:rFonts w:ascii="宋体" w:hAnsi="宋体"/>
          <w:bCs/>
        </w:rPr>
        <w:t>290</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"_Toc106883506" </w:instrText>
      </w:r>
      <w:r>
        <w:fldChar w:fldCharType="separate"/>
      </w:r>
      <w:r>
        <w:rPr>
          <w:rStyle w:val="85"/>
          <w:rFonts w:ascii="宋体" w:hAnsi="宋体"/>
          <w:bCs/>
        </w:rPr>
        <w:t>5.8.8 管道的裁截</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_Toc106883506 \h </w:instrText>
      </w:r>
      <w:r>
        <w:rPr>
          <w:rStyle w:val="85"/>
          <w:rFonts w:ascii="宋体" w:hAnsi="宋体"/>
          <w:bCs/>
        </w:rPr>
        <w:fldChar w:fldCharType="separate"/>
      </w:r>
      <w:r>
        <w:rPr>
          <w:rStyle w:val="85"/>
          <w:rFonts w:ascii="宋体" w:hAnsi="宋体"/>
          <w:bCs/>
        </w:rPr>
        <w:t>291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"_Toc106883507" </w:instrText>
      </w:r>
      <w:r>
        <w:fldChar w:fldCharType="separate"/>
      </w:r>
      <w:r>
        <w:rPr>
          <w:rStyle w:val="85"/>
          <w:rFonts w:ascii="宋体" w:hAnsi="宋体"/>
          <w:bCs/>
        </w:rPr>
        <w:t>5.8.9 管道的偏角</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_Toc106883507 \h </w:instrText>
      </w:r>
      <w:r>
        <w:rPr>
          <w:rStyle w:val="85"/>
          <w:rFonts w:ascii="宋体" w:hAnsi="宋体"/>
          <w:bCs/>
        </w:rPr>
        <w:fldChar w:fldCharType="separate"/>
      </w:r>
      <w:r>
        <w:rPr>
          <w:rStyle w:val="85"/>
          <w:rFonts w:ascii="宋体" w:hAnsi="宋体"/>
          <w:bCs/>
        </w:rPr>
        <w:t>291</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"_Toc106883508" </w:instrText>
      </w:r>
      <w:r>
        <w:fldChar w:fldCharType="separate"/>
      </w:r>
      <w:r>
        <w:rPr>
          <w:rStyle w:val="85"/>
          <w:rFonts w:ascii="宋体" w:hAnsi="宋体" w:cs="楷体"/>
        </w:rPr>
        <w:t>5.9 本合同下的钢管使用</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_Toc106883508 \h </w:instrText>
      </w:r>
      <w:r>
        <w:rPr>
          <w:rStyle w:val="85"/>
          <w:rFonts w:ascii="宋体" w:hAnsi="宋体" w:cs="楷体"/>
        </w:rPr>
        <w:fldChar w:fldCharType="separate"/>
      </w:r>
      <w:r>
        <w:rPr>
          <w:rStyle w:val="85"/>
          <w:rFonts w:ascii="宋体" w:hAnsi="宋体" w:cs="楷体"/>
        </w:rPr>
        <w:t>291</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bCs/>
        </w:rPr>
      </w:pPr>
      <w:r>
        <w:fldChar w:fldCharType="begin"/>
      </w:r>
      <w:r>
        <w:instrText xml:space="preserve"> HYPERLINK \l "_Toc106883509" </w:instrText>
      </w:r>
      <w:r>
        <w:fldChar w:fldCharType="separate"/>
      </w:r>
      <w:r>
        <w:rPr>
          <w:rStyle w:val="85"/>
          <w:rFonts w:ascii="宋体" w:hAnsi="宋体"/>
          <w:bCs/>
        </w:rPr>
        <w:t>5.9.1 验收内容及测试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_Toc106883509 \h </w:instrText>
      </w:r>
      <w:r>
        <w:rPr>
          <w:rStyle w:val="85"/>
          <w:rFonts w:ascii="宋体" w:hAnsi="宋体"/>
          <w:bCs/>
        </w:rPr>
        <w:fldChar w:fldCharType="separate"/>
      </w:r>
      <w:r>
        <w:rPr>
          <w:rStyle w:val="85"/>
          <w:rFonts w:ascii="宋体" w:hAnsi="宋体"/>
          <w:bCs/>
        </w:rPr>
        <w:t>291</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"_Toc106883510" </w:instrText>
      </w:r>
      <w:r>
        <w:fldChar w:fldCharType="separate"/>
      </w:r>
      <w:r>
        <w:rPr>
          <w:rStyle w:val="85"/>
          <w:rFonts w:ascii="宋体" w:hAnsi="宋体"/>
          <w:bCs/>
        </w:rPr>
        <w:t>5.9.2 接口</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_Toc106883510 \h </w:instrText>
      </w:r>
      <w:r>
        <w:rPr>
          <w:rStyle w:val="85"/>
          <w:rFonts w:ascii="宋体" w:hAnsi="宋体"/>
          <w:bCs/>
        </w:rPr>
        <w:fldChar w:fldCharType="separate"/>
      </w:r>
      <w:r>
        <w:rPr>
          <w:rStyle w:val="85"/>
          <w:rFonts w:ascii="宋体" w:hAnsi="宋体"/>
          <w:bCs/>
        </w:rPr>
        <w:t>292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"_Toc106883511" </w:instrText>
      </w:r>
      <w:r>
        <w:fldChar w:fldCharType="separate"/>
      </w:r>
      <w:r>
        <w:rPr>
          <w:rStyle w:val="85"/>
          <w:rFonts w:ascii="宋体" w:hAnsi="宋体"/>
          <w:bCs/>
        </w:rPr>
        <w:t>5.9.3 管道的铺设</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_Toc106883511 \h </w:instrText>
      </w:r>
      <w:r>
        <w:rPr>
          <w:rStyle w:val="85"/>
          <w:rFonts w:ascii="宋体" w:hAnsi="宋体"/>
          <w:bCs/>
        </w:rPr>
        <w:fldChar w:fldCharType="separate"/>
      </w:r>
      <w:r>
        <w:rPr>
          <w:rStyle w:val="85"/>
          <w:rFonts w:ascii="宋体" w:hAnsi="宋体"/>
          <w:bCs/>
        </w:rPr>
        <w:t>292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"_Toc106883512" </w:instrText>
      </w:r>
      <w:r>
        <w:fldChar w:fldCharType="separate"/>
      </w:r>
      <w:r>
        <w:rPr>
          <w:rStyle w:val="85"/>
          <w:rFonts w:ascii="宋体" w:hAnsi="宋体"/>
          <w:bCs/>
        </w:rPr>
        <w:t>5.9.4 管道附件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_Toc106883512 \h </w:instrText>
      </w:r>
      <w:r>
        <w:rPr>
          <w:rStyle w:val="85"/>
          <w:rFonts w:ascii="宋体" w:hAnsi="宋体"/>
          <w:bCs/>
        </w:rPr>
        <w:fldChar w:fldCharType="separate"/>
      </w:r>
      <w:r>
        <w:rPr>
          <w:rStyle w:val="85"/>
          <w:rFonts w:ascii="宋体" w:hAnsi="宋体"/>
          <w:bCs/>
        </w:rPr>
        <w:t>293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"_Toc106883513" </w:instrText>
      </w:r>
      <w:r>
        <w:fldChar w:fldCharType="separate"/>
      </w:r>
      <w:r>
        <w:rPr>
          <w:rStyle w:val="85"/>
          <w:rFonts w:ascii="宋体" w:hAnsi="宋体"/>
          <w:bCs/>
        </w:rPr>
        <w:t>5.9.5 与现有管网的连接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_Toc106883513 \h </w:instrText>
      </w:r>
      <w:r>
        <w:rPr>
          <w:rStyle w:val="85"/>
          <w:rFonts w:ascii="宋体" w:hAnsi="宋体"/>
          <w:bCs/>
        </w:rPr>
        <w:fldChar w:fldCharType="separate"/>
      </w:r>
      <w:r>
        <w:rPr>
          <w:rStyle w:val="85"/>
          <w:rFonts w:ascii="宋体" w:hAnsi="宋体"/>
          <w:bCs/>
        </w:rPr>
        <w:t>293</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"_Toc106883514" </w:instrText>
      </w:r>
      <w:r>
        <w:fldChar w:fldCharType="separate"/>
      </w:r>
      <w:r>
        <w:rPr>
          <w:rStyle w:val="85"/>
          <w:rFonts w:ascii="宋体" w:hAnsi="宋体"/>
          <w:bCs/>
        </w:rPr>
        <w:t>5.9.6 管道的油漆及保护层</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_Toc106883514 \h </w:instrText>
      </w:r>
      <w:r>
        <w:rPr>
          <w:rStyle w:val="85"/>
          <w:rFonts w:ascii="宋体" w:hAnsi="宋体"/>
          <w:bCs/>
        </w:rPr>
        <w:fldChar w:fldCharType="separate"/>
      </w:r>
      <w:r>
        <w:rPr>
          <w:rStyle w:val="85"/>
          <w:rFonts w:ascii="宋体" w:hAnsi="宋体"/>
          <w:bCs/>
        </w:rPr>
        <w:t>293</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"_Toc106883515" </w:instrText>
      </w:r>
      <w:r>
        <w:fldChar w:fldCharType="separate"/>
      </w:r>
      <w:r>
        <w:rPr>
          <w:rStyle w:val="85"/>
          <w:rFonts w:ascii="宋体" w:hAnsi="宋体" w:cs="楷体"/>
        </w:rPr>
        <w:t>5.10 本合同下的球墨铸铁管</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_Toc106883515 \h </w:instrText>
      </w:r>
      <w:r>
        <w:rPr>
          <w:rStyle w:val="85"/>
          <w:rFonts w:ascii="宋体" w:hAnsi="宋体" w:cs="楷体"/>
        </w:rPr>
        <w:fldChar w:fldCharType="separate"/>
      </w:r>
      <w:r>
        <w:rPr>
          <w:rStyle w:val="85"/>
          <w:rFonts w:ascii="宋体" w:hAnsi="宋体" w:cs="楷体"/>
        </w:rPr>
        <w:t>295</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"_Toc106883516" </w:instrText>
      </w:r>
      <w:r>
        <w:fldChar w:fldCharType="separate"/>
      </w:r>
      <w:r>
        <w:rPr>
          <w:rStyle w:val="85"/>
          <w:rFonts w:ascii="宋体" w:hAnsi="宋体"/>
          <w:bCs/>
        </w:rPr>
        <w:t>5.10.1 球墨铸铁管及管件的外观质量</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_Toc106883516 \h </w:instrText>
      </w:r>
      <w:r>
        <w:rPr>
          <w:rStyle w:val="85"/>
          <w:rFonts w:ascii="宋体" w:hAnsi="宋体"/>
          <w:bCs/>
        </w:rPr>
        <w:fldChar w:fldCharType="separate"/>
      </w:r>
      <w:r>
        <w:rPr>
          <w:rStyle w:val="85"/>
          <w:rFonts w:ascii="宋体" w:hAnsi="宋体"/>
          <w:bCs/>
        </w:rPr>
        <w:t>295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"_Toc106883517" </w:instrText>
      </w:r>
      <w:r>
        <w:fldChar w:fldCharType="separate"/>
      </w:r>
      <w:r>
        <w:rPr>
          <w:rStyle w:val="85"/>
          <w:rFonts w:ascii="宋体" w:hAnsi="宋体"/>
          <w:bCs/>
        </w:rPr>
        <w:t>5.10.2 安装前的检查</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_Toc106883517 \h </w:instrText>
      </w:r>
      <w:r>
        <w:rPr>
          <w:rStyle w:val="85"/>
          <w:rFonts w:ascii="宋体" w:hAnsi="宋体"/>
          <w:bCs/>
        </w:rPr>
        <w:fldChar w:fldCharType="separate"/>
      </w:r>
      <w:r>
        <w:rPr>
          <w:rStyle w:val="85"/>
          <w:rFonts w:ascii="宋体" w:hAnsi="宋体"/>
          <w:bCs/>
        </w:rPr>
        <w:t>295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"_Toc106883518" </w:instrText>
      </w:r>
      <w:r>
        <w:fldChar w:fldCharType="separate"/>
      </w:r>
      <w:r>
        <w:rPr>
          <w:rStyle w:val="85"/>
          <w:rFonts w:ascii="宋体" w:hAnsi="宋体"/>
          <w:bCs/>
        </w:rPr>
        <w:t>5.10.3 管道的铺设</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_Toc106883518 \h </w:instrText>
      </w:r>
      <w:r>
        <w:rPr>
          <w:rStyle w:val="85"/>
          <w:rFonts w:ascii="宋体" w:hAnsi="宋体"/>
          <w:bCs/>
        </w:rPr>
        <w:fldChar w:fldCharType="separate"/>
      </w:r>
      <w:r>
        <w:rPr>
          <w:rStyle w:val="85"/>
          <w:rFonts w:ascii="宋体" w:hAnsi="宋体"/>
          <w:bCs/>
        </w:rPr>
        <w:t>295</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"_Toc106883519" </w:instrText>
      </w:r>
      <w:r>
        <w:fldChar w:fldCharType="separate"/>
      </w:r>
      <w:r>
        <w:rPr>
          <w:rStyle w:val="85"/>
          <w:rFonts w:ascii="宋体" w:hAnsi="宋体"/>
          <w:bCs/>
        </w:rPr>
        <w:t>5.10.4 管道的偏角</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_Toc106883519 \h </w:instrText>
      </w:r>
      <w:r>
        <w:rPr>
          <w:rStyle w:val="85"/>
          <w:rFonts w:ascii="宋体" w:hAnsi="宋体"/>
          <w:bCs/>
        </w:rPr>
        <w:fldChar w:fldCharType="separate"/>
      </w:r>
      <w:r>
        <w:rPr>
          <w:rStyle w:val="85"/>
          <w:rFonts w:ascii="宋体" w:hAnsi="宋体"/>
          <w:bCs/>
        </w:rPr>
        <w:t>298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"_Toc106883520" </w:instrText>
      </w:r>
      <w:r>
        <w:fldChar w:fldCharType="separate"/>
      </w:r>
      <w:r>
        <w:rPr>
          <w:rStyle w:val="85"/>
          <w:rFonts w:ascii="宋体" w:hAnsi="宋体"/>
          <w:bCs/>
        </w:rPr>
        <w:t>5.10.5 管道的裁截</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_Toc106883520 \h </w:instrText>
      </w:r>
      <w:r>
        <w:rPr>
          <w:rStyle w:val="85"/>
          <w:rFonts w:ascii="宋体" w:hAnsi="宋体"/>
          <w:bCs/>
        </w:rPr>
        <w:fldChar w:fldCharType="separate"/>
      </w:r>
      <w:r>
        <w:rPr>
          <w:rStyle w:val="85"/>
          <w:rFonts w:ascii="宋体" w:hAnsi="宋体"/>
          <w:bCs/>
        </w:rPr>
        <w:t>298</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rPr>
      </w:pPr>
      <w:r>
        <w:fldChar w:fldCharType="begin"/>
      </w:r>
      <w:r>
        <w:instrText xml:space="preserve"> HYPERLINK \l "_Toc106883521" </w:instrText>
      </w:r>
      <w:r>
        <w:fldChar w:fldCharType="separate"/>
      </w:r>
      <w:r>
        <w:rPr>
          <w:rStyle w:val="85"/>
          <w:rFonts w:ascii="宋体" w:hAnsi="宋体"/>
          <w:bCs/>
        </w:rPr>
        <w:t>5.10.6 管道的防腐</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_Toc106883521 \h </w:instrText>
      </w:r>
      <w:r>
        <w:rPr>
          <w:rStyle w:val="85"/>
          <w:rFonts w:ascii="宋体" w:hAnsi="宋体"/>
          <w:bCs/>
        </w:rPr>
        <w:fldChar w:fldCharType="separate"/>
      </w:r>
      <w:r>
        <w:rPr>
          <w:rStyle w:val="85"/>
          <w:rFonts w:ascii="宋体" w:hAnsi="宋体"/>
          <w:bCs/>
        </w:rPr>
        <w:t>298</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"_Toc106883522" </w:instrText>
      </w:r>
      <w:r>
        <w:fldChar w:fldCharType="separate"/>
      </w:r>
      <w:r>
        <w:rPr>
          <w:rStyle w:val="85"/>
          <w:rFonts w:ascii="宋体" w:hAnsi="宋体" w:cs="楷体"/>
        </w:rPr>
        <w:t>5.11阀门井、支墩、挡墩及拖拉墩</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_Toc106883522 \h </w:instrText>
      </w:r>
      <w:r>
        <w:rPr>
          <w:rStyle w:val="85"/>
          <w:rFonts w:ascii="宋体" w:hAnsi="宋体" w:cs="楷体"/>
        </w:rPr>
        <w:fldChar w:fldCharType="separate"/>
      </w:r>
      <w:r>
        <w:rPr>
          <w:rStyle w:val="85"/>
          <w:rFonts w:ascii="宋体" w:hAnsi="宋体" w:cs="楷体"/>
        </w:rPr>
        <w:t>299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bCs/>
        </w:rPr>
      </w:pPr>
      <w:r>
        <w:fldChar w:fldCharType="begin"/>
      </w:r>
      <w:r>
        <w:instrText xml:space="preserve"> HYPERLINK \l "_Toc106883523" </w:instrText>
      </w:r>
      <w:r>
        <w:fldChar w:fldCharType="separate"/>
      </w:r>
      <w:r>
        <w:rPr>
          <w:rStyle w:val="85"/>
          <w:rFonts w:ascii="宋体" w:hAnsi="宋体"/>
          <w:bCs/>
        </w:rPr>
        <w:t>5.11.1阀门井</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_Toc106883523 \h </w:instrText>
      </w:r>
      <w:r>
        <w:rPr>
          <w:rStyle w:val="85"/>
          <w:rFonts w:ascii="宋体" w:hAnsi="宋体"/>
          <w:bCs/>
        </w:rPr>
        <w:fldChar w:fldCharType="separate"/>
      </w:r>
      <w:r>
        <w:rPr>
          <w:rStyle w:val="85"/>
          <w:rFonts w:ascii="宋体" w:hAnsi="宋体"/>
          <w:bCs/>
        </w:rPr>
        <w:t>299</w:t>
      </w:r>
      <w:r>
        <w:rPr>
          <w:rStyle w:val="85"/>
          <w:rFonts w:ascii="宋体" w:hAnsi="宋体"/>
          <w:bCs/>
        </w:rPr>
        <w:fldChar w:fldCharType="end"/>
      </w:r>
      <w:r>
        <w:rPr>
          <w:rStyle w:val="85"/>
          <w:rFonts w:ascii="宋体" w:hAnsi="宋体"/>
          <w:bCs/>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"_Toc106883524" </w:instrText>
      </w:r>
      <w:r>
        <w:fldChar w:fldCharType="separate"/>
      </w:r>
      <w:r>
        <w:rPr>
          <w:rStyle w:val="85"/>
          <w:rFonts w:ascii="宋体" w:hAnsi="宋体"/>
        </w:rPr>
        <w:t>5.11.2 混凝土支墩、挡墩、拖拉墩</w:t>
      </w:r>
      <w:r>
        <w:rPr>
          <w:rFonts w:ascii="宋体" w:hAnsi="宋体"/>
        </w:rPr>
        <w:tab/>
      </w:r>
      <w:r>
        <w:rPr>
          <w:rFonts w:ascii="宋体" w:hAnsi="宋体"/>
        </w:rPr>
        <w:fldChar w:fldCharType="begin"/>
      </w:r>
      <w:r>
        <w:rPr>
          <w:rFonts w:ascii="宋体" w:hAnsi="宋体"/>
        </w:rPr>
        <w:instrText xml:space="preserve"> PAGEREF _Toc106883524 \h </w:instrText>
      </w:r>
      <w:r>
        <w:rPr>
          <w:rFonts w:ascii="宋体" w:hAnsi="宋体"/>
        </w:rPr>
        <w:fldChar w:fldCharType="separate"/>
      </w:r>
      <w:r>
        <w:rPr>
          <w:rFonts w:ascii="宋体" w:hAnsi="宋体"/>
        </w:rPr>
        <w:t>299</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"_Toc106883525" </w:instrText>
      </w:r>
      <w:r>
        <w:fldChar w:fldCharType="separate"/>
      </w:r>
      <w:r>
        <w:rPr>
          <w:rStyle w:val="85"/>
          <w:rFonts w:ascii="宋体" w:hAnsi="宋体" w:cs="楷体"/>
        </w:rPr>
        <w:t>5.12 阀门、消火栓及管件</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_Toc106883525 \h </w:instrText>
      </w:r>
      <w:r>
        <w:rPr>
          <w:rStyle w:val="85"/>
          <w:rFonts w:ascii="宋体" w:hAnsi="宋体" w:cs="楷体"/>
        </w:rPr>
        <w:fldChar w:fldCharType="separate"/>
      </w:r>
      <w:r>
        <w:rPr>
          <w:rStyle w:val="85"/>
          <w:rFonts w:ascii="宋体" w:hAnsi="宋体" w:cs="楷体"/>
        </w:rPr>
        <w:t>299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bCs/>
        </w:rPr>
      </w:pPr>
      <w:r>
        <w:fldChar w:fldCharType="begin"/>
      </w:r>
      <w:r>
        <w:instrText xml:space="preserve"> HYPERLINK \l "_Toc106883526" </w:instrText>
      </w:r>
      <w:r>
        <w:fldChar w:fldCharType="separate"/>
      </w:r>
      <w:r>
        <w:rPr>
          <w:rStyle w:val="85"/>
          <w:rFonts w:ascii="宋体" w:hAnsi="宋体"/>
          <w:bCs/>
        </w:rPr>
        <w:t>5.12.1 阀门</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_Toc106883526 \h </w:instrText>
      </w:r>
      <w:r>
        <w:rPr>
          <w:rStyle w:val="85"/>
          <w:rFonts w:ascii="宋体" w:hAnsi="宋体"/>
          <w:bCs/>
        </w:rPr>
        <w:fldChar w:fldCharType="separate"/>
      </w:r>
      <w:r>
        <w:rPr>
          <w:rStyle w:val="85"/>
          <w:rFonts w:ascii="宋体" w:hAnsi="宋体"/>
          <w:bCs/>
        </w:rPr>
        <w:t>299</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"_Toc106883530" </w:instrText>
      </w:r>
      <w:r>
        <w:fldChar w:fldCharType="separate"/>
      </w:r>
      <w:r>
        <w:rPr>
          <w:rStyle w:val="85"/>
          <w:rFonts w:ascii="宋体" w:hAnsi="宋体"/>
          <w:bCs/>
        </w:rPr>
        <w:t>5.12.2 消火栓</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_Toc106883530 \h </w:instrText>
      </w:r>
      <w:r>
        <w:rPr>
          <w:rStyle w:val="85"/>
          <w:rFonts w:ascii="宋体" w:hAnsi="宋体"/>
          <w:bCs/>
        </w:rPr>
        <w:fldChar w:fldCharType="separate"/>
      </w:r>
      <w:r>
        <w:rPr>
          <w:rStyle w:val="85"/>
          <w:rFonts w:ascii="宋体" w:hAnsi="宋体"/>
          <w:bCs/>
        </w:rPr>
        <w:t>302</w:t>
      </w:r>
      <w:r>
        <w:rPr>
          <w:rStyle w:val="85"/>
          <w:rFonts w:ascii="宋体" w:hAnsi="宋体"/>
          <w:bCs/>
        </w:rPr>
        <w:fldChar w:fldCharType="end"/>
      </w:r>
      <w:r>
        <w:rPr>
          <w:rStyle w:val="85"/>
          <w:rFonts w:ascii="宋体" w:hAnsi="宋体"/>
          <w:bCs/>
        </w:rPr>
        <w:fldChar w:fldCharType="end"/>
      </w:r>
    </w:p>
    <w:p>
      <w:pPr>
        <w:pStyle w:val="38"/>
        <w:tabs>
          <w:tab w:val="right" w:leader="dot" w:pos="8494"/>
        </w:tabs>
        <w:rPr>
          <w:rStyle w:val="85"/>
          <w:rFonts w:ascii="宋体" w:hAnsi="宋体"/>
          <w:bCs/>
        </w:rPr>
      </w:pPr>
      <w:r>
        <w:fldChar w:fldCharType="begin"/>
      </w:r>
      <w:r>
        <w:instrText xml:space="preserve"> HYPERLINK \l "_Toc106883531" </w:instrText>
      </w:r>
      <w:r>
        <w:fldChar w:fldCharType="separate"/>
      </w:r>
      <w:r>
        <w:rPr>
          <w:rStyle w:val="85"/>
          <w:rFonts w:ascii="宋体" w:hAnsi="宋体"/>
          <w:bCs/>
        </w:rPr>
        <w:t>5.12.3 管件</w:t>
      </w:r>
      <w:r>
        <w:rPr>
          <w:rStyle w:val="85"/>
          <w:rFonts w:ascii="宋体" w:hAnsi="宋体"/>
          <w:bCs/>
        </w:rPr>
        <w:tab/>
      </w:r>
      <w:r>
        <w:rPr>
          <w:rStyle w:val="85"/>
          <w:rFonts w:ascii="宋体" w:hAnsi="宋体"/>
          <w:bCs/>
        </w:rPr>
        <w:fldChar w:fldCharType="begin"/>
      </w:r>
      <w:r>
        <w:rPr>
          <w:rStyle w:val="85"/>
          <w:rFonts w:ascii="宋体" w:hAnsi="宋体"/>
          <w:bCs/>
        </w:rPr>
        <w:instrText xml:space="preserve"> PAGEREF _Toc106883531 \h </w:instrText>
      </w:r>
      <w:r>
        <w:rPr>
          <w:rStyle w:val="85"/>
          <w:rFonts w:ascii="宋体" w:hAnsi="宋体"/>
          <w:bCs/>
        </w:rPr>
        <w:fldChar w:fldCharType="separate"/>
      </w:r>
      <w:r>
        <w:rPr>
          <w:rStyle w:val="85"/>
          <w:rFonts w:ascii="宋体" w:hAnsi="宋体"/>
          <w:bCs/>
        </w:rPr>
        <w:t>304</w:t>
      </w:r>
      <w:r>
        <w:rPr>
          <w:rStyle w:val="85"/>
          <w:rFonts w:ascii="宋体" w:hAnsi="宋体"/>
          <w:bCs/>
        </w:rPr>
        <w:fldChar w:fldCharType="end"/>
      </w:r>
      <w:r>
        <w:rPr>
          <w:rStyle w:val="85"/>
          <w:rFonts w:ascii="宋体" w:hAnsi="宋体"/>
          <w:bCs/>
        </w:rPr>
        <w:fldChar w:fldCharType="end"/>
      </w:r>
    </w:p>
    <w:p>
      <w:pPr>
        <w:pStyle w:val="64"/>
        <w:tabs>
          <w:tab w:val="right" w:leader="dot" w:pos="8494"/>
        </w:tabs>
        <w:rPr>
          <w:rStyle w:val="85"/>
          <w:rFonts w:ascii="宋体" w:hAnsi="宋体" w:cs="楷体"/>
        </w:rPr>
      </w:pPr>
      <w:r>
        <w:fldChar w:fldCharType="begin"/>
      </w:r>
      <w:r>
        <w:instrText xml:space="preserve"> HYPERLINK \l "_Toc106883532" </w:instrText>
      </w:r>
      <w:r>
        <w:fldChar w:fldCharType="separate"/>
      </w:r>
      <w:r>
        <w:rPr>
          <w:rStyle w:val="85"/>
          <w:rFonts w:ascii="宋体" w:hAnsi="宋体" w:cs="楷体"/>
        </w:rPr>
        <w:t>5.13计量与支付</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_Toc106883532 \h </w:instrText>
      </w:r>
      <w:r>
        <w:rPr>
          <w:rStyle w:val="85"/>
          <w:rFonts w:ascii="宋体" w:hAnsi="宋体" w:cs="楷体"/>
        </w:rPr>
        <w:fldChar w:fldCharType="separate"/>
      </w:r>
      <w:r>
        <w:rPr>
          <w:rStyle w:val="85"/>
          <w:rFonts w:ascii="宋体" w:hAnsi="宋体" w:cs="楷体"/>
        </w:rPr>
        <w:t>306</w:t>
      </w:r>
      <w:r>
        <w:rPr>
          <w:rStyle w:val="85"/>
          <w:rFonts w:ascii="宋体" w:hAnsi="宋体" w:cs="楷体"/>
        </w:rPr>
        <w:fldChar w:fldCharType="end"/>
      </w:r>
      <w:r>
        <w:rPr>
          <w:rStyle w:val="85"/>
          <w:rFonts w:ascii="宋体" w:hAnsi="宋体" w:cs="楷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"_Toc106883533" </w:instrText>
      </w:r>
      <w:r>
        <w:fldChar w:fldCharType="separate"/>
      </w:r>
      <w:r>
        <w:rPr>
          <w:rStyle w:val="85"/>
          <w:rFonts w:ascii="宋体" w:hAnsi="宋体"/>
        </w:rPr>
        <w:t>6 机械/工艺设备通用技术要求</w:t>
      </w:r>
      <w:r>
        <w:rPr>
          <w:rFonts w:ascii="宋体" w:hAnsi="宋体"/>
        </w:rPr>
        <w:tab/>
      </w:r>
      <w:r>
        <w:rPr>
          <w:rFonts w:ascii="宋体" w:hAnsi="宋体"/>
        </w:rPr>
        <w:fldChar w:fldCharType="begin"/>
      </w:r>
      <w:r>
        <w:rPr>
          <w:rFonts w:ascii="宋体" w:hAnsi="宋体"/>
        </w:rPr>
        <w:instrText xml:space="preserve"> PAGEREF _Toc106883533 \h </w:instrText>
      </w:r>
      <w:r>
        <w:rPr>
          <w:rFonts w:ascii="宋体" w:hAnsi="宋体"/>
        </w:rPr>
        <w:fldChar w:fldCharType="separate"/>
      </w:r>
      <w:r>
        <w:rPr>
          <w:rFonts w:ascii="宋体" w:hAnsi="宋体"/>
        </w:rPr>
        <w:t>307</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"_Toc106883534" </w:instrText>
      </w:r>
      <w:r>
        <w:fldChar w:fldCharType="separate"/>
      </w:r>
      <w:r>
        <w:rPr>
          <w:rStyle w:val="85"/>
          <w:rFonts w:ascii="宋体" w:hAnsi="宋体" w:cs="楷体"/>
        </w:rPr>
        <w:t>6.1范围</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_Toc106883534 \h </w:instrText>
      </w:r>
      <w:r>
        <w:rPr>
          <w:rStyle w:val="85"/>
          <w:rFonts w:ascii="宋体" w:hAnsi="宋体" w:cs="楷体"/>
        </w:rPr>
        <w:fldChar w:fldCharType="separate"/>
      </w:r>
      <w:r>
        <w:rPr>
          <w:rStyle w:val="85"/>
          <w:rFonts w:ascii="宋体" w:hAnsi="宋体" w:cs="楷体"/>
        </w:rPr>
        <w:t>307</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"_Toc106883535" </w:instrText>
      </w:r>
      <w:r>
        <w:fldChar w:fldCharType="separate"/>
      </w:r>
      <w:r>
        <w:rPr>
          <w:rStyle w:val="85"/>
          <w:rFonts w:ascii="宋体" w:hAnsi="宋体" w:cs="楷体"/>
        </w:rPr>
        <w:t>6.2 一般技术规范</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_Toc106883535 \h </w:instrText>
      </w:r>
      <w:r>
        <w:rPr>
          <w:rStyle w:val="85"/>
          <w:rFonts w:ascii="宋体" w:hAnsi="宋体" w:cs="楷体"/>
        </w:rPr>
        <w:fldChar w:fldCharType="separate"/>
      </w:r>
      <w:r>
        <w:rPr>
          <w:rStyle w:val="85"/>
          <w:rFonts w:ascii="宋体" w:hAnsi="宋体" w:cs="楷体"/>
        </w:rPr>
        <w:t>307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"_Toc106883536" </w:instrText>
      </w:r>
      <w:r>
        <w:fldChar w:fldCharType="separate"/>
      </w:r>
      <w:r>
        <w:rPr>
          <w:rStyle w:val="85"/>
          <w:rFonts w:ascii="宋体" w:hAnsi="宋体"/>
          <w:bCs/>
        </w:rPr>
        <w:t>6.2.1 参照标准</w:t>
      </w:r>
      <w:r>
        <w:rPr>
          <w:rFonts w:ascii="宋体" w:hAnsi="宋体"/>
        </w:rPr>
        <w:tab/>
      </w:r>
      <w:r>
        <w:rPr>
          <w:rFonts w:ascii="宋体" w:hAnsi="宋体"/>
        </w:rPr>
        <w:fldChar w:fldCharType="begin"/>
      </w:r>
      <w:r>
        <w:rPr>
          <w:rFonts w:ascii="宋体" w:hAnsi="宋体"/>
        </w:rPr>
        <w:instrText xml:space="preserve"> PAGEREF _Toc106883536 \h </w:instrText>
      </w:r>
      <w:r>
        <w:rPr>
          <w:rFonts w:ascii="宋体" w:hAnsi="宋体"/>
        </w:rPr>
        <w:fldChar w:fldCharType="separate"/>
      </w:r>
      <w:r>
        <w:rPr>
          <w:rFonts w:ascii="宋体" w:hAnsi="宋体"/>
        </w:rPr>
        <w:t>307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"_Toc106883537" </w:instrText>
      </w:r>
      <w:r>
        <w:fldChar w:fldCharType="separate"/>
      </w:r>
      <w:r>
        <w:rPr>
          <w:rStyle w:val="85"/>
          <w:rFonts w:ascii="宋体" w:hAnsi="宋体"/>
          <w:bCs/>
        </w:rPr>
        <w:t>6.2.2 使用期限</w:t>
      </w:r>
      <w:r>
        <w:rPr>
          <w:rFonts w:ascii="宋体" w:hAnsi="宋体"/>
        </w:rPr>
        <w:tab/>
      </w:r>
      <w:r>
        <w:rPr>
          <w:rFonts w:ascii="宋体" w:hAnsi="宋体"/>
        </w:rPr>
        <w:fldChar w:fldCharType="begin"/>
      </w:r>
      <w:r>
        <w:rPr>
          <w:rFonts w:ascii="宋体" w:hAnsi="宋体"/>
        </w:rPr>
        <w:instrText xml:space="preserve"> PAGEREF _Toc106883537 \h </w:instrText>
      </w:r>
      <w:r>
        <w:rPr>
          <w:rFonts w:ascii="宋体" w:hAnsi="宋体"/>
        </w:rPr>
        <w:fldChar w:fldCharType="separate"/>
      </w:r>
      <w:r>
        <w:rPr>
          <w:rFonts w:ascii="宋体" w:hAnsi="宋体"/>
        </w:rPr>
        <w:t>307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"_Toc106883538" </w:instrText>
      </w:r>
      <w:r>
        <w:fldChar w:fldCharType="separate"/>
      </w:r>
      <w:r>
        <w:rPr>
          <w:rStyle w:val="85"/>
          <w:rFonts w:ascii="宋体" w:hAnsi="宋体"/>
          <w:bCs/>
        </w:rPr>
        <w:t>6.2.3 材料</w:t>
      </w:r>
      <w:r>
        <w:rPr>
          <w:rFonts w:ascii="宋体" w:hAnsi="宋体"/>
        </w:rPr>
        <w:tab/>
      </w:r>
      <w:r>
        <w:rPr>
          <w:rFonts w:ascii="宋体" w:hAnsi="宋体"/>
        </w:rPr>
        <w:fldChar w:fldCharType="begin"/>
      </w:r>
      <w:r>
        <w:rPr>
          <w:rFonts w:ascii="宋体" w:hAnsi="宋体"/>
        </w:rPr>
        <w:instrText xml:space="preserve"> PAGEREF _Toc106883538 \h </w:instrText>
      </w:r>
      <w:r>
        <w:rPr>
          <w:rFonts w:ascii="宋体" w:hAnsi="宋体"/>
        </w:rPr>
        <w:fldChar w:fldCharType="separate"/>
      </w:r>
      <w:r>
        <w:rPr>
          <w:rFonts w:ascii="宋体" w:hAnsi="宋体"/>
        </w:rPr>
        <w:t>308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"_Toc106883539" </w:instrText>
      </w:r>
      <w:r>
        <w:fldChar w:fldCharType="separate"/>
      </w:r>
      <w:r>
        <w:rPr>
          <w:rStyle w:val="85"/>
          <w:rFonts w:ascii="宋体" w:hAnsi="宋体"/>
          <w:bCs/>
        </w:rPr>
        <w:t>6.2.4 质量控制</w:t>
      </w:r>
      <w:r>
        <w:rPr>
          <w:rFonts w:ascii="宋体" w:hAnsi="宋体"/>
        </w:rPr>
        <w:tab/>
      </w:r>
      <w:r>
        <w:rPr>
          <w:rFonts w:ascii="宋体" w:hAnsi="宋体"/>
        </w:rPr>
        <w:fldChar w:fldCharType="begin"/>
      </w:r>
      <w:r>
        <w:rPr>
          <w:rFonts w:ascii="宋体" w:hAnsi="宋体"/>
        </w:rPr>
        <w:instrText xml:space="preserve"> PAGEREF _Toc106883539 \h </w:instrText>
      </w:r>
      <w:r>
        <w:rPr>
          <w:rFonts w:ascii="宋体" w:hAnsi="宋体"/>
        </w:rPr>
        <w:fldChar w:fldCharType="separate"/>
      </w:r>
      <w:r>
        <w:rPr>
          <w:rFonts w:ascii="宋体" w:hAnsi="宋体"/>
        </w:rPr>
        <w:t>308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"_Toc106883540" </w:instrText>
      </w:r>
      <w:r>
        <w:fldChar w:fldCharType="separate"/>
      </w:r>
      <w:r>
        <w:rPr>
          <w:rStyle w:val="85"/>
          <w:rFonts w:ascii="宋体" w:hAnsi="宋体"/>
          <w:bCs/>
        </w:rPr>
        <w:t>6.2.5 铸造与锻造</w:t>
      </w:r>
      <w:r>
        <w:rPr>
          <w:rFonts w:ascii="宋体" w:hAnsi="宋体"/>
        </w:rPr>
        <w:tab/>
      </w:r>
      <w:r>
        <w:rPr>
          <w:rFonts w:ascii="宋体" w:hAnsi="宋体"/>
        </w:rPr>
        <w:fldChar w:fldCharType="begin"/>
      </w:r>
      <w:r>
        <w:rPr>
          <w:rFonts w:ascii="宋体" w:hAnsi="宋体"/>
        </w:rPr>
        <w:instrText xml:space="preserve"> PAGEREF _Toc106883540 \h </w:instrText>
      </w:r>
      <w:r>
        <w:rPr>
          <w:rFonts w:ascii="宋体" w:hAnsi="宋体"/>
        </w:rPr>
        <w:fldChar w:fldCharType="separate"/>
      </w:r>
      <w:r>
        <w:rPr>
          <w:rFonts w:ascii="宋体" w:hAnsi="宋体"/>
        </w:rPr>
        <w:t>308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"_Toc106883541" </w:instrText>
      </w:r>
      <w:r>
        <w:fldChar w:fldCharType="separate"/>
      </w:r>
      <w:r>
        <w:rPr>
          <w:rStyle w:val="85"/>
          <w:rFonts w:ascii="宋体" w:hAnsi="宋体"/>
          <w:bCs/>
        </w:rPr>
        <w:t>6.2.6 齿轮传动与齿轮箱</w:t>
      </w:r>
      <w:r>
        <w:rPr>
          <w:rFonts w:ascii="宋体" w:hAnsi="宋体"/>
        </w:rPr>
        <w:tab/>
      </w:r>
      <w:r>
        <w:rPr>
          <w:rFonts w:ascii="宋体" w:hAnsi="宋体"/>
        </w:rPr>
        <w:fldChar w:fldCharType="begin"/>
      </w:r>
      <w:r>
        <w:rPr>
          <w:rFonts w:ascii="宋体" w:hAnsi="宋体"/>
        </w:rPr>
        <w:instrText xml:space="preserve"> PAGEREF _Toc106883541 \h </w:instrText>
      </w:r>
      <w:r>
        <w:rPr>
          <w:rFonts w:ascii="宋体" w:hAnsi="宋体"/>
        </w:rPr>
        <w:fldChar w:fldCharType="separate"/>
      </w:r>
      <w:r>
        <w:rPr>
          <w:rFonts w:ascii="宋体" w:hAnsi="宋体"/>
        </w:rPr>
        <w:t>310</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"_Toc106883542" </w:instrText>
      </w:r>
      <w:r>
        <w:fldChar w:fldCharType="separate"/>
      </w:r>
      <w:r>
        <w:rPr>
          <w:rStyle w:val="85"/>
          <w:rFonts w:ascii="宋体" w:hAnsi="宋体"/>
          <w:bCs/>
        </w:rPr>
        <w:t>6.2.7 焊接</w:t>
      </w:r>
      <w:r>
        <w:rPr>
          <w:rFonts w:ascii="宋体" w:hAnsi="宋体"/>
        </w:rPr>
        <w:tab/>
      </w:r>
      <w:r>
        <w:rPr>
          <w:rFonts w:ascii="宋体" w:hAnsi="宋体"/>
        </w:rPr>
        <w:fldChar w:fldCharType="begin"/>
      </w:r>
      <w:r>
        <w:rPr>
          <w:rFonts w:ascii="宋体" w:hAnsi="宋体"/>
        </w:rPr>
        <w:instrText xml:space="preserve"> PAGEREF _Toc106883542 \h </w:instrText>
      </w:r>
      <w:r>
        <w:rPr>
          <w:rFonts w:ascii="宋体" w:hAnsi="宋体"/>
        </w:rPr>
        <w:fldChar w:fldCharType="separate"/>
      </w:r>
      <w:r>
        <w:rPr>
          <w:rFonts w:ascii="宋体" w:hAnsi="宋体"/>
        </w:rPr>
        <w:t>310</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"_Toc106883543" </w:instrText>
      </w:r>
      <w:r>
        <w:fldChar w:fldCharType="separate"/>
      </w:r>
      <w:r>
        <w:rPr>
          <w:rStyle w:val="85"/>
          <w:rFonts w:ascii="宋体" w:hAnsi="宋体"/>
          <w:bCs/>
        </w:rPr>
        <w:t>6.2.8 平衡</w:t>
      </w:r>
      <w:r>
        <w:rPr>
          <w:rFonts w:ascii="宋体" w:hAnsi="宋体"/>
        </w:rPr>
        <w:tab/>
      </w:r>
      <w:r>
        <w:rPr>
          <w:rFonts w:ascii="宋体" w:hAnsi="宋体"/>
        </w:rPr>
        <w:fldChar w:fldCharType="begin"/>
      </w:r>
      <w:r>
        <w:rPr>
          <w:rFonts w:ascii="宋体" w:hAnsi="宋体"/>
        </w:rPr>
        <w:instrText xml:space="preserve"> PAGEREF _Toc106883543 \h </w:instrText>
      </w:r>
      <w:r>
        <w:rPr>
          <w:rFonts w:ascii="宋体" w:hAnsi="宋体"/>
        </w:rPr>
        <w:fldChar w:fldCharType="separate"/>
      </w:r>
      <w:r>
        <w:rPr>
          <w:rFonts w:ascii="宋体" w:hAnsi="宋体"/>
        </w:rPr>
        <w:t>313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"_Toc106883544" </w:instrText>
      </w:r>
      <w:r>
        <w:fldChar w:fldCharType="separate"/>
      </w:r>
      <w:r>
        <w:rPr>
          <w:rStyle w:val="85"/>
          <w:rFonts w:ascii="宋体" w:hAnsi="宋体"/>
          <w:bCs/>
        </w:rPr>
        <w:t>6.2.9 互换性</w:t>
      </w:r>
      <w:r>
        <w:rPr>
          <w:rFonts w:ascii="宋体" w:hAnsi="宋体"/>
        </w:rPr>
        <w:tab/>
      </w:r>
      <w:r>
        <w:rPr>
          <w:rFonts w:ascii="宋体" w:hAnsi="宋体"/>
        </w:rPr>
        <w:fldChar w:fldCharType="begin"/>
      </w:r>
      <w:r>
        <w:rPr>
          <w:rFonts w:ascii="宋体" w:hAnsi="宋体"/>
        </w:rPr>
        <w:instrText xml:space="preserve"> PAGEREF _Toc106883544 \h </w:instrText>
      </w:r>
      <w:r>
        <w:rPr>
          <w:rFonts w:ascii="宋体" w:hAnsi="宋体"/>
        </w:rPr>
        <w:fldChar w:fldCharType="separate"/>
      </w:r>
      <w:r>
        <w:rPr>
          <w:rFonts w:ascii="宋体" w:hAnsi="宋体"/>
        </w:rPr>
        <w:t>313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"_Toc106883545" </w:instrText>
      </w:r>
      <w:r>
        <w:fldChar w:fldCharType="separate"/>
      </w:r>
      <w:r>
        <w:rPr>
          <w:rStyle w:val="85"/>
          <w:rFonts w:ascii="宋体" w:hAnsi="宋体"/>
          <w:bCs/>
        </w:rPr>
        <w:t>6.2.10 噪音控制</w:t>
      </w:r>
      <w:r>
        <w:rPr>
          <w:rFonts w:ascii="宋体" w:hAnsi="宋体"/>
        </w:rPr>
        <w:tab/>
      </w:r>
      <w:r>
        <w:rPr>
          <w:rFonts w:ascii="宋体" w:hAnsi="宋体"/>
        </w:rPr>
        <w:fldChar w:fldCharType="begin"/>
      </w:r>
      <w:r>
        <w:rPr>
          <w:rFonts w:ascii="宋体" w:hAnsi="宋体"/>
        </w:rPr>
        <w:instrText xml:space="preserve"> PAGEREF _Toc106883545 \h </w:instrText>
      </w:r>
      <w:r>
        <w:rPr>
          <w:rFonts w:ascii="宋体" w:hAnsi="宋体"/>
        </w:rPr>
        <w:fldChar w:fldCharType="separate"/>
      </w:r>
      <w:r>
        <w:rPr>
          <w:rFonts w:ascii="宋体" w:hAnsi="宋体"/>
        </w:rPr>
        <w:t>313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"_Toc106883546" </w:instrText>
      </w:r>
      <w:r>
        <w:fldChar w:fldCharType="separate"/>
      </w:r>
      <w:r>
        <w:rPr>
          <w:rStyle w:val="85"/>
          <w:rFonts w:ascii="宋体" w:hAnsi="宋体"/>
          <w:bCs/>
        </w:rPr>
        <w:t>6.2.11 润滑和清洗</w:t>
      </w:r>
      <w:r>
        <w:rPr>
          <w:rFonts w:ascii="宋体" w:hAnsi="宋体"/>
        </w:rPr>
        <w:tab/>
      </w:r>
      <w:r>
        <w:rPr>
          <w:rFonts w:ascii="宋体" w:hAnsi="宋体"/>
        </w:rPr>
        <w:fldChar w:fldCharType="begin"/>
      </w:r>
      <w:r>
        <w:rPr>
          <w:rFonts w:ascii="宋体" w:hAnsi="宋体"/>
        </w:rPr>
        <w:instrText xml:space="preserve"> PAGEREF _Toc106883546 \h </w:instrText>
      </w:r>
      <w:r>
        <w:rPr>
          <w:rFonts w:ascii="宋体" w:hAnsi="宋体"/>
        </w:rPr>
        <w:fldChar w:fldCharType="separate"/>
      </w:r>
      <w:r>
        <w:rPr>
          <w:rFonts w:ascii="宋体" w:hAnsi="宋体"/>
        </w:rPr>
        <w:t>313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"_Toc106883547" </w:instrText>
      </w:r>
      <w:r>
        <w:fldChar w:fldCharType="separate"/>
      </w:r>
      <w:r>
        <w:rPr>
          <w:rStyle w:val="85"/>
          <w:rFonts w:ascii="宋体" w:hAnsi="宋体"/>
          <w:bCs/>
        </w:rPr>
        <w:t>6.2.12 铭牌、标志与电路原理牌</w:t>
      </w:r>
      <w:r>
        <w:rPr>
          <w:rFonts w:ascii="宋体" w:hAnsi="宋体"/>
        </w:rPr>
        <w:tab/>
      </w:r>
      <w:r>
        <w:rPr>
          <w:rFonts w:ascii="宋体" w:hAnsi="宋体"/>
        </w:rPr>
        <w:fldChar w:fldCharType="begin"/>
      </w:r>
      <w:r>
        <w:rPr>
          <w:rFonts w:ascii="宋体" w:hAnsi="宋体"/>
        </w:rPr>
        <w:instrText xml:space="preserve"> PAGEREF _Toc106883547 \h </w:instrText>
      </w:r>
      <w:r>
        <w:rPr>
          <w:rFonts w:ascii="宋体" w:hAnsi="宋体"/>
        </w:rPr>
        <w:fldChar w:fldCharType="separate"/>
      </w:r>
      <w:r>
        <w:rPr>
          <w:rFonts w:ascii="宋体" w:hAnsi="宋体"/>
        </w:rPr>
        <w:t>314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"_Toc106883548" </w:instrText>
      </w:r>
      <w:r>
        <w:fldChar w:fldCharType="separate"/>
      </w:r>
      <w:r>
        <w:rPr>
          <w:rStyle w:val="85"/>
          <w:rFonts w:ascii="宋体" w:hAnsi="宋体"/>
          <w:bCs/>
        </w:rPr>
        <w:t>6.2.13 地脚螺栓和二次灌浆</w:t>
      </w:r>
      <w:r>
        <w:rPr>
          <w:rFonts w:ascii="宋体" w:hAnsi="宋体"/>
        </w:rPr>
        <w:tab/>
      </w:r>
      <w:r>
        <w:rPr>
          <w:rFonts w:ascii="宋体" w:hAnsi="宋体"/>
        </w:rPr>
        <w:fldChar w:fldCharType="begin"/>
      </w:r>
      <w:r>
        <w:rPr>
          <w:rFonts w:ascii="宋体" w:hAnsi="宋体"/>
        </w:rPr>
        <w:instrText xml:space="preserve"> PAGEREF _Toc106883548 \h </w:instrText>
      </w:r>
      <w:r>
        <w:rPr>
          <w:rFonts w:ascii="宋体" w:hAnsi="宋体"/>
        </w:rPr>
        <w:fldChar w:fldCharType="separate"/>
      </w:r>
      <w:r>
        <w:rPr>
          <w:rFonts w:ascii="宋体" w:hAnsi="宋体"/>
        </w:rPr>
        <w:t>314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"_Toc106883549" </w:instrText>
      </w:r>
      <w:r>
        <w:fldChar w:fldCharType="separate"/>
      </w:r>
      <w:r>
        <w:rPr>
          <w:rStyle w:val="85"/>
          <w:rFonts w:ascii="宋体" w:hAnsi="宋体"/>
          <w:bCs/>
        </w:rPr>
        <w:t>6.2.14 钢结构件</w:t>
      </w:r>
      <w:r>
        <w:rPr>
          <w:rFonts w:ascii="宋体" w:hAnsi="宋体"/>
        </w:rPr>
        <w:tab/>
      </w:r>
      <w:r>
        <w:rPr>
          <w:rFonts w:ascii="宋体" w:hAnsi="宋体"/>
        </w:rPr>
        <w:fldChar w:fldCharType="begin"/>
      </w:r>
      <w:r>
        <w:rPr>
          <w:rFonts w:ascii="宋体" w:hAnsi="宋体"/>
        </w:rPr>
        <w:instrText xml:space="preserve"> PAGEREF _Toc106883549 \h </w:instrText>
      </w:r>
      <w:r>
        <w:rPr>
          <w:rFonts w:ascii="宋体" w:hAnsi="宋体"/>
        </w:rPr>
        <w:fldChar w:fldCharType="separate"/>
      </w:r>
      <w:r>
        <w:rPr>
          <w:rFonts w:ascii="宋体" w:hAnsi="宋体"/>
        </w:rPr>
        <w:t>314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"_Toc106883550" </w:instrText>
      </w:r>
      <w:r>
        <w:fldChar w:fldCharType="separate"/>
      </w:r>
      <w:r>
        <w:rPr>
          <w:rStyle w:val="85"/>
          <w:rFonts w:ascii="宋体" w:hAnsi="宋体"/>
          <w:bCs/>
        </w:rPr>
        <w:t>6.2.15 防护及油漆</w:t>
      </w:r>
      <w:r>
        <w:rPr>
          <w:rFonts w:ascii="宋体" w:hAnsi="宋体"/>
        </w:rPr>
        <w:tab/>
      </w:r>
      <w:r>
        <w:rPr>
          <w:rFonts w:ascii="宋体" w:hAnsi="宋体"/>
        </w:rPr>
        <w:fldChar w:fldCharType="begin"/>
      </w:r>
      <w:r>
        <w:rPr>
          <w:rFonts w:ascii="宋体" w:hAnsi="宋体"/>
        </w:rPr>
        <w:instrText xml:space="preserve"> PAGEREF _Toc106883550 \h </w:instrText>
      </w:r>
      <w:r>
        <w:rPr>
          <w:rFonts w:ascii="宋体" w:hAnsi="宋体"/>
        </w:rPr>
        <w:fldChar w:fldCharType="separate"/>
      </w:r>
      <w:r>
        <w:rPr>
          <w:rFonts w:ascii="宋体" w:hAnsi="宋体"/>
        </w:rPr>
        <w:t>316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"_Toc106883551" </w:instrText>
      </w:r>
      <w:r>
        <w:fldChar w:fldCharType="separate"/>
      </w:r>
      <w:r>
        <w:rPr>
          <w:rStyle w:val="85"/>
          <w:rFonts w:ascii="宋体" w:hAnsi="宋体"/>
          <w:bCs/>
        </w:rPr>
        <w:t>6.2.16 压力表</w:t>
      </w:r>
      <w:r>
        <w:rPr>
          <w:rFonts w:ascii="宋体" w:hAnsi="宋体"/>
        </w:rPr>
        <w:tab/>
      </w:r>
      <w:r>
        <w:rPr>
          <w:rFonts w:ascii="宋体" w:hAnsi="宋体"/>
        </w:rPr>
        <w:fldChar w:fldCharType="begin"/>
      </w:r>
      <w:r>
        <w:rPr>
          <w:rFonts w:ascii="宋体" w:hAnsi="宋体"/>
        </w:rPr>
        <w:instrText xml:space="preserve"> PAGEREF _Toc106883551 \h </w:instrText>
      </w:r>
      <w:r>
        <w:rPr>
          <w:rFonts w:ascii="宋体" w:hAnsi="宋体"/>
        </w:rPr>
        <w:fldChar w:fldCharType="separate"/>
      </w:r>
      <w:r>
        <w:rPr>
          <w:rFonts w:ascii="宋体" w:hAnsi="宋体"/>
        </w:rPr>
        <w:t>321</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"_Toc106883552" </w:instrText>
      </w:r>
      <w:r>
        <w:fldChar w:fldCharType="separate"/>
      </w:r>
      <w:r>
        <w:rPr>
          <w:rStyle w:val="85"/>
          <w:rFonts w:ascii="宋体" w:hAnsi="宋体"/>
          <w:bCs/>
        </w:rPr>
        <w:t>6.2.17 螺母、螺钉、垫圈和螺栓</w:t>
      </w:r>
      <w:r>
        <w:rPr>
          <w:rFonts w:ascii="宋体" w:hAnsi="宋体"/>
        </w:rPr>
        <w:tab/>
      </w:r>
      <w:r>
        <w:rPr>
          <w:rFonts w:ascii="宋体" w:hAnsi="宋体"/>
        </w:rPr>
        <w:fldChar w:fldCharType="begin"/>
      </w:r>
      <w:r>
        <w:rPr>
          <w:rFonts w:ascii="宋体" w:hAnsi="宋体"/>
        </w:rPr>
        <w:instrText xml:space="preserve"> PAGEREF _Toc106883552 \h </w:instrText>
      </w:r>
      <w:r>
        <w:rPr>
          <w:rFonts w:ascii="宋体" w:hAnsi="宋体"/>
        </w:rPr>
        <w:fldChar w:fldCharType="separate"/>
      </w:r>
      <w:r>
        <w:rPr>
          <w:rFonts w:ascii="宋体" w:hAnsi="宋体"/>
        </w:rPr>
        <w:t>322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"_Toc106883553" </w:instrText>
      </w:r>
      <w:r>
        <w:fldChar w:fldCharType="separate"/>
      </w:r>
      <w:r>
        <w:rPr>
          <w:rStyle w:val="85"/>
          <w:rFonts w:ascii="宋体" w:hAnsi="宋体"/>
          <w:bCs/>
        </w:rPr>
        <w:t>6.2.18 基础螺栓</w:t>
      </w:r>
      <w:r>
        <w:rPr>
          <w:rFonts w:ascii="宋体" w:hAnsi="宋体"/>
        </w:rPr>
        <w:tab/>
      </w:r>
      <w:r>
        <w:rPr>
          <w:rFonts w:ascii="宋体" w:hAnsi="宋体"/>
        </w:rPr>
        <w:fldChar w:fldCharType="begin"/>
      </w:r>
      <w:r>
        <w:rPr>
          <w:rFonts w:ascii="宋体" w:hAnsi="宋体"/>
        </w:rPr>
        <w:instrText xml:space="preserve"> PAGEREF _Toc106883553 \h </w:instrText>
      </w:r>
      <w:r>
        <w:rPr>
          <w:rFonts w:ascii="宋体" w:hAnsi="宋体"/>
        </w:rPr>
        <w:fldChar w:fldCharType="separate"/>
      </w:r>
      <w:r>
        <w:rPr>
          <w:rFonts w:ascii="宋体" w:hAnsi="宋体"/>
        </w:rPr>
        <w:t>322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"_Toc106883554" </w:instrText>
      </w:r>
      <w:r>
        <w:fldChar w:fldCharType="separate"/>
      </w:r>
      <w:r>
        <w:rPr>
          <w:rStyle w:val="85"/>
          <w:rFonts w:ascii="宋体" w:hAnsi="宋体"/>
          <w:bCs/>
        </w:rPr>
        <w:t>6.2.19 质检的准备</w:t>
      </w:r>
      <w:r>
        <w:rPr>
          <w:rFonts w:ascii="宋体" w:hAnsi="宋体"/>
        </w:rPr>
        <w:tab/>
      </w:r>
      <w:r>
        <w:rPr>
          <w:rFonts w:ascii="宋体" w:hAnsi="宋体"/>
        </w:rPr>
        <w:fldChar w:fldCharType="begin"/>
      </w:r>
      <w:r>
        <w:rPr>
          <w:rFonts w:ascii="宋体" w:hAnsi="宋体"/>
        </w:rPr>
        <w:instrText xml:space="preserve"> PAGEREF _Toc106883554 \h </w:instrText>
      </w:r>
      <w:r>
        <w:rPr>
          <w:rFonts w:ascii="宋体" w:hAnsi="宋体"/>
        </w:rPr>
        <w:fldChar w:fldCharType="separate"/>
      </w:r>
      <w:r>
        <w:rPr>
          <w:rFonts w:ascii="宋体" w:hAnsi="宋体"/>
        </w:rPr>
        <w:t>322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"_Toc106883555" </w:instrText>
      </w:r>
      <w:r>
        <w:fldChar w:fldCharType="separate"/>
      </w:r>
      <w:r>
        <w:rPr>
          <w:rStyle w:val="85"/>
          <w:rFonts w:ascii="宋体" w:hAnsi="宋体"/>
          <w:bCs/>
        </w:rPr>
        <w:t>6.2.20 电机</w:t>
      </w:r>
      <w:r>
        <w:rPr>
          <w:rFonts w:ascii="宋体" w:hAnsi="宋体"/>
        </w:rPr>
        <w:tab/>
      </w:r>
      <w:r>
        <w:rPr>
          <w:rFonts w:ascii="宋体" w:hAnsi="宋体"/>
        </w:rPr>
        <w:fldChar w:fldCharType="begin"/>
      </w:r>
      <w:r>
        <w:rPr>
          <w:rFonts w:ascii="宋体" w:hAnsi="宋体"/>
        </w:rPr>
        <w:instrText xml:space="preserve"> PAGEREF _Toc106883555 \h </w:instrText>
      </w:r>
      <w:r>
        <w:rPr>
          <w:rFonts w:ascii="宋体" w:hAnsi="宋体"/>
        </w:rPr>
        <w:fldChar w:fldCharType="separate"/>
      </w:r>
      <w:r>
        <w:rPr>
          <w:rFonts w:ascii="宋体" w:hAnsi="宋体"/>
        </w:rPr>
        <w:t>322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"_Toc106883556" </w:instrText>
      </w:r>
      <w:r>
        <w:fldChar w:fldCharType="separate"/>
      </w:r>
      <w:r>
        <w:rPr>
          <w:rStyle w:val="85"/>
          <w:rFonts w:ascii="宋体" w:hAnsi="宋体"/>
          <w:bCs/>
        </w:rPr>
        <w:t>6.2.21 安全措施</w:t>
      </w:r>
      <w:r>
        <w:rPr>
          <w:rFonts w:ascii="宋体" w:hAnsi="宋体"/>
        </w:rPr>
        <w:tab/>
      </w:r>
      <w:r>
        <w:rPr>
          <w:rFonts w:ascii="宋体" w:hAnsi="宋体"/>
        </w:rPr>
        <w:fldChar w:fldCharType="begin"/>
      </w:r>
      <w:r>
        <w:rPr>
          <w:rFonts w:ascii="宋体" w:hAnsi="宋体"/>
        </w:rPr>
        <w:instrText xml:space="preserve"> PAGEREF _Toc106883556 \h </w:instrText>
      </w:r>
      <w:r>
        <w:rPr>
          <w:rFonts w:ascii="宋体" w:hAnsi="宋体"/>
        </w:rPr>
        <w:fldChar w:fldCharType="separate"/>
      </w:r>
      <w:r>
        <w:rPr>
          <w:rFonts w:ascii="宋体" w:hAnsi="宋体"/>
        </w:rPr>
        <w:t>322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"_Toc106883557" </w:instrText>
      </w:r>
      <w:r>
        <w:fldChar w:fldCharType="separate"/>
      </w:r>
      <w:r>
        <w:rPr>
          <w:rStyle w:val="85"/>
          <w:rFonts w:ascii="宋体" w:hAnsi="宋体"/>
          <w:bCs/>
        </w:rPr>
        <w:t>6.2.22 泵类设备</w:t>
      </w:r>
      <w:r>
        <w:rPr>
          <w:rFonts w:ascii="宋体" w:hAnsi="宋体"/>
        </w:rPr>
        <w:tab/>
      </w:r>
      <w:r>
        <w:rPr>
          <w:rFonts w:ascii="宋体" w:hAnsi="宋体"/>
        </w:rPr>
        <w:fldChar w:fldCharType="begin"/>
      </w:r>
      <w:r>
        <w:rPr>
          <w:rFonts w:ascii="宋体" w:hAnsi="宋体"/>
        </w:rPr>
        <w:instrText xml:space="preserve"> PAGEREF _Toc106883557 \h </w:instrText>
      </w:r>
      <w:r>
        <w:rPr>
          <w:rFonts w:ascii="宋体" w:hAnsi="宋体"/>
        </w:rPr>
        <w:fldChar w:fldCharType="separate"/>
      </w:r>
      <w:r>
        <w:rPr>
          <w:rFonts w:ascii="宋体" w:hAnsi="宋体"/>
        </w:rPr>
        <w:t>323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"_Toc106883558" </w:instrText>
      </w:r>
      <w:r>
        <w:fldChar w:fldCharType="separate"/>
      </w:r>
      <w:r>
        <w:rPr>
          <w:rStyle w:val="85"/>
          <w:rFonts w:ascii="宋体" w:hAnsi="宋体"/>
          <w:bCs/>
        </w:rPr>
        <w:t>6.2.23 阀类</w:t>
      </w:r>
      <w:r>
        <w:rPr>
          <w:rFonts w:ascii="宋体" w:hAnsi="宋体"/>
        </w:rPr>
        <w:tab/>
      </w:r>
      <w:r>
        <w:rPr>
          <w:rFonts w:ascii="宋体" w:hAnsi="宋体"/>
        </w:rPr>
        <w:fldChar w:fldCharType="begin"/>
      </w:r>
      <w:r>
        <w:rPr>
          <w:rFonts w:ascii="宋体" w:hAnsi="宋体"/>
        </w:rPr>
        <w:instrText xml:space="preserve"> PAGEREF _Toc106883558 \h </w:instrText>
      </w:r>
      <w:r>
        <w:rPr>
          <w:rFonts w:ascii="宋体" w:hAnsi="宋体"/>
        </w:rPr>
        <w:fldChar w:fldCharType="separate"/>
      </w:r>
      <w:r>
        <w:rPr>
          <w:rFonts w:ascii="宋体" w:hAnsi="宋体"/>
        </w:rPr>
        <w:t>323</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"_Toc106883559" </w:instrText>
      </w:r>
      <w:r>
        <w:fldChar w:fldCharType="separate"/>
      </w:r>
      <w:r>
        <w:rPr>
          <w:rStyle w:val="85"/>
          <w:rFonts w:ascii="宋体" w:hAnsi="宋体"/>
        </w:rPr>
        <w:t>7电气和控制系统总体要求</w:t>
      </w:r>
      <w:r>
        <w:rPr>
          <w:rFonts w:ascii="宋体" w:hAnsi="宋体"/>
        </w:rPr>
        <w:tab/>
      </w:r>
      <w:r>
        <w:rPr>
          <w:rFonts w:ascii="宋体" w:hAnsi="宋体"/>
        </w:rPr>
        <w:fldChar w:fldCharType="begin"/>
      </w:r>
      <w:r>
        <w:rPr>
          <w:rFonts w:ascii="宋体" w:hAnsi="宋体"/>
        </w:rPr>
        <w:instrText xml:space="preserve"> PAGEREF _Toc106883559 \h </w:instrText>
      </w:r>
      <w:r>
        <w:rPr>
          <w:rFonts w:ascii="宋体" w:hAnsi="宋体"/>
        </w:rPr>
        <w:fldChar w:fldCharType="separate"/>
      </w:r>
      <w:r>
        <w:rPr>
          <w:rFonts w:ascii="宋体" w:hAnsi="宋体"/>
        </w:rPr>
        <w:t>326</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"_Toc106883560" </w:instrText>
      </w:r>
      <w:r>
        <w:fldChar w:fldCharType="separate"/>
      </w:r>
      <w:r>
        <w:rPr>
          <w:rStyle w:val="85"/>
          <w:rFonts w:ascii="宋体" w:hAnsi="宋体" w:cs="楷体"/>
        </w:rPr>
        <w:t>7.1范围</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_Toc106883560 \h </w:instrText>
      </w:r>
      <w:r>
        <w:rPr>
          <w:rStyle w:val="85"/>
          <w:rFonts w:ascii="宋体" w:hAnsi="宋体" w:cs="楷体"/>
        </w:rPr>
        <w:fldChar w:fldCharType="separate"/>
      </w:r>
      <w:r>
        <w:rPr>
          <w:rStyle w:val="85"/>
          <w:rFonts w:ascii="宋体" w:hAnsi="宋体" w:cs="楷体"/>
        </w:rPr>
        <w:t>326</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"_Toc106883561" </w:instrText>
      </w:r>
      <w:r>
        <w:fldChar w:fldCharType="separate"/>
      </w:r>
      <w:r>
        <w:rPr>
          <w:rStyle w:val="85"/>
          <w:rFonts w:ascii="宋体" w:hAnsi="宋体" w:cs="楷体"/>
        </w:rPr>
        <w:t>7.2操作电压和频率</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_Toc106883561 \h </w:instrText>
      </w:r>
      <w:r>
        <w:rPr>
          <w:rStyle w:val="85"/>
          <w:rFonts w:ascii="宋体" w:hAnsi="宋体" w:cs="楷体"/>
        </w:rPr>
        <w:fldChar w:fldCharType="separate"/>
      </w:r>
      <w:r>
        <w:rPr>
          <w:rStyle w:val="85"/>
          <w:rFonts w:ascii="宋体" w:hAnsi="宋体" w:cs="楷体"/>
        </w:rPr>
        <w:t>326</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"_Toc106883562" </w:instrText>
      </w:r>
      <w:r>
        <w:fldChar w:fldCharType="separate"/>
      </w:r>
      <w:r>
        <w:rPr>
          <w:rStyle w:val="85"/>
          <w:rFonts w:ascii="宋体" w:hAnsi="宋体" w:cs="楷体"/>
        </w:rPr>
        <w:t>7.3品牌、功能和警告标签和额定值标牌</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_Toc106883562 \h </w:instrText>
      </w:r>
      <w:r>
        <w:rPr>
          <w:rStyle w:val="85"/>
          <w:rFonts w:ascii="宋体" w:hAnsi="宋体" w:cs="楷体"/>
        </w:rPr>
        <w:fldChar w:fldCharType="separate"/>
      </w:r>
      <w:r>
        <w:rPr>
          <w:rStyle w:val="85"/>
          <w:rFonts w:ascii="宋体" w:hAnsi="宋体" w:cs="楷体"/>
        </w:rPr>
        <w:t>327</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"_Toc106883563" </w:instrText>
      </w:r>
      <w:r>
        <w:fldChar w:fldCharType="separate"/>
      </w:r>
      <w:r>
        <w:rPr>
          <w:rStyle w:val="85"/>
          <w:rFonts w:ascii="宋体" w:hAnsi="宋体" w:cs="楷体"/>
        </w:rPr>
        <w:t>7.4电机</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_Toc106883563 \h </w:instrText>
      </w:r>
      <w:r>
        <w:rPr>
          <w:rStyle w:val="85"/>
          <w:rFonts w:ascii="宋体" w:hAnsi="宋体" w:cs="楷体"/>
        </w:rPr>
        <w:fldChar w:fldCharType="separate"/>
      </w:r>
      <w:r>
        <w:rPr>
          <w:rStyle w:val="85"/>
          <w:rFonts w:ascii="宋体" w:hAnsi="宋体" w:cs="楷体"/>
        </w:rPr>
        <w:t>327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"_Toc106883564" </w:instrText>
      </w:r>
      <w:r>
        <w:fldChar w:fldCharType="separate"/>
      </w:r>
      <w:r>
        <w:rPr>
          <w:rStyle w:val="85"/>
          <w:rFonts w:ascii="宋体" w:hAnsi="宋体"/>
          <w:bCs/>
        </w:rPr>
        <w:t>7.4.1与驱动设备相匹配</w:t>
      </w:r>
      <w:r>
        <w:rPr>
          <w:rFonts w:ascii="宋体" w:hAnsi="宋体"/>
        </w:rPr>
        <w:tab/>
      </w:r>
      <w:r>
        <w:rPr>
          <w:rFonts w:ascii="宋体" w:hAnsi="宋体"/>
        </w:rPr>
        <w:fldChar w:fldCharType="begin"/>
      </w:r>
      <w:r>
        <w:rPr>
          <w:rFonts w:ascii="宋体" w:hAnsi="宋体"/>
        </w:rPr>
        <w:instrText xml:space="preserve"> PAGEREF _Toc106883564 \h </w:instrText>
      </w:r>
      <w:r>
        <w:rPr>
          <w:rFonts w:ascii="宋体" w:hAnsi="宋体"/>
        </w:rPr>
        <w:fldChar w:fldCharType="separate"/>
      </w:r>
      <w:r>
        <w:rPr>
          <w:rFonts w:ascii="宋体" w:hAnsi="宋体"/>
        </w:rPr>
        <w:t>327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"_Toc106883565" </w:instrText>
      </w:r>
      <w:r>
        <w:fldChar w:fldCharType="separate"/>
      </w:r>
      <w:r>
        <w:rPr>
          <w:rStyle w:val="85"/>
          <w:rFonts w:ascii="宋体" w:hAnsi="宋体"/>
          <w:bCs/>
        </w:rPr>
        <w:t>7.4.2启动频率</w:t>
      </w:r>
      <w:r>
        <w:rPr>
          <w:rFonts w:ascii="宋体" w:hAnsi="宋体"/>
        </w:rPr>
        <w:tab/>
      </w:r>
      <w:r>
        <w:rPr>
          <w:rFonts w:ascii="宋体" w:hAnsi="宋体"/>
        </w:rPr>
        <w:fldChar w:fldCharType="begin"/>
      </w:r>
      <w:r>
        <w:rPr>
          <w:rFonts w:ascii="宋体" w:hAnsi="宋体"/>
        </w:rPr>
        <w:instrText xml:space="preserve"> PAGEREF _Toc106883565 \h </w:instrText>
      </w:r>
      <w:r>
        <w:rPr>
          <w:rFonts w:ascii="宋体" w:hAnsi="宋体"/>
        </w:rPr>
        <w:fldChar w:fldCharType="separate"/>
      </w:r>
      <w:r>
        <w:rPr>
          <w:rFonts w:ascii="宋体" w:hAnsi="宋体"/>
        </w:rPr>
        <w:t>328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"_Toc106883566" </w:instrText>
      </w:r>
      <w:r>
        <w:fldChar w:fldCharType="separate"/>
      </w:r>
      <w:r>
        <w:rPr>
          <w:rStyle w:val="85"/>
          <w:rFonts w:ascii="宋体" w:hAnsi="宋体"/>
          <w:bCs/>
        </w:rPr>
        <w:t>7.4.3变速传动系统中使用的电机</w:t>
      </w:r>
      <w:r>
        <w:rPr>
          <w:rFonts w:ascii="宋体" w:hAnsi="宋体"/>
        </w:rPr>
        <w:tab/>
      </w:r>
      <w:r>
        <w:rPr>
          <w:rFonts w:ascii="宋体" w:hAnsi="宋体"/>
        </w:rPr>
        <w:fldChar w:fldCharType="begin"/>
      </w:r>
      <w:r>
        <w:rPr>
          <w:rFonts w:ascii="宋体" w:hAnsi="宋体"/>
        </w:rPr>
        <w:instrText xml:space="preserve"> PAGEREF _Toc106883566 \h </w:instrText>
      </w:r>
      <w:r>
        <w:rPr>
          <w:rFonts w:ascii="宋体" w:hAnsi="宋体"/>
        </w:rPr>
        <w:fldChar w:fldCharType="separate"/>
      </w:r>
      <w:r>
        <w:rPr>
          <w:rFonts w:ascii="宋体" w:hAnsi="宋体"/>
        </w:rPr>
        <w:t>328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"_Toc106883567" </w:instrText>
      </w:r>
      <w:r>
        <w:fldChar w:fldCharType="separate"/>
      </w:r>
      <w:r>
        <w:rPr>
          <w:rStyle w:val="85"/>
          <w:rFonts w:ascii="宋体" w:hAnsi="宋体"/>
          <w:bCs/>
        </w:rPr>
        <w:t>7.4.4电缆终端设备</w:t>
      </w:r>
      <w:r>
        <w:rPr>
          <w:rFonts w:ascii="宋体" w:hAnsi="宋体"/>
        </w:rPr>
        <w:tab/>
      </w:r>
      <w:r>
        <w:rPr>
          <w:rFonts w:ascii="宋体" w:hAnsi="宋体"/>
        </w:rPr>
        <w:fldChar w:fldCharType="begin"/>
      </w:r>
      <w:r>
        <w:rPr>
          <w:rFonts w:ascii="宋体" w:hAnsi="宋体"/>
        </w:rPr>
        <w:instrText xml:space="preserve"> PAGEREF _Toc106883567 \h </w:instrText>
      </w:r>
      <w:r>
        <w:rPr>
          <w:rFonts w:ascii="宋体" w:hAnsi="宋体"/>
        </w:rPr>
        <w:fldChar w:fldCharType="separate"/>
      </w:r>
      <w:r>
        <w:rPr>
          <w:rFonts w:ascii="宋体" w:hAnsi="宋体"/>
        </w:rPr>
        <w:t>328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"_Toc106883568" </w:instrText>
      </w:r>
      <w:r>
        <w:fldChar w:fldCharType="separate"/>
      </w:r>
      <w:r>
        <w:rPr>
          <w:rStyle w:val="85"/>
          <w:rFonts w:ascii="宋体" w:hAnsi="宋体"/>
          <w:bCs/>
        </w:rPr>
        <w:t>7.4.5其他要求</w:t>
      </w:r>
      <w:r>
        <w:rPr>
          <w:rFonts w:ascii="宋体" w:hAnsi="宋体"/>
        </w:rPr>
        <w:tab/>
      </w:r>
      <w:r>
        <w:rPr>
          <w:rFonts w:ascii="宋体" w:hAnsi="宋体"/>
        </w:rPr>
        <w:fldChar w:fldCharType="begin"/>
      </w:r>
      <w:r>
        <w:rPr>
          <w:rFonts w:ascii="宋体" w:hAnsi="宋体"/>
        </w:rPr>
        <w:instrText xml:space="preserve"> PAGEREF _Toc106883568 \h </w:instrText>
      </w:r>
      <w:r>
        <w:rPr>
          <w:rFonts w:ascii="宋体" w:hAnsi="宋体"/>
        </w:rPr>
        <w:fldChar w:fldCharType="separate"/>
      </w:r>
      <w:r>
        <w:rPr>
          <w:rFonts w:ascii="宋体" w:hAnsi="宋体"/>
        </w:rPr>
        <w:t>328</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"_Toc106883569" </w:instrText>
      </w:r>
      <w:r>
        <w:fldChar w:fldCharType="separate"/>
      </w:r>
      <w:r>
        <w:rPr>
          <w:rStyle w:val="85"/>
          <w:rFonts w:ascii="宋体" w:hAnsi="宋体" w:cs="楷体"/>
        </w:rPr>
        <w:t>7.5基本控制概念</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_Toc106883569 \h </w:instrText>
      </w:r>
      <w:r>
        <w:rPr>
          <w:rStyle w:val="85"/>
          <w:rFonts w:ascii="宋体" w:hAnsi="宋体" w:cs="楷体"/>
        </w:rPr>
        <w:fldChar w:fldCharType="separate"/>
      </w:r>
      <w:r>
        <w:rPr>
          <w:rStyle w:val="85"/>
          <w:rFonts w:ascii="宋体" w:hAnsi="宋体" w:cs="楷体"/>
        </w:rPr>
        <w:t>329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"_Toc106883570" </w:instrText>
      </w:r>
      <w:r>
        <w:fldChar w:fldCharType="separate"/>
      </w:r>
      <w:r>
        <w:rPr>
          <w:rStyle w:val="85"/>
          <w:rFonts w:ascii="宋体" w:hAnsi="宋体"/>
          <w:bCs/>
        </w:rPr>
        <w:t>7.5.1介绍</w:t>
      </w:r>
      <w:r>
        <w:rPr>
          <w:rFonts w:ascii="宋体" w:hAnsi="宋体"/>
        </w:rPr>
        <w:tab/>
      </w:r>
      <w:r>
        <w:rPr>
          <w:rFonts w:ascii="宋体" w:hAnsi="宋体"/>
        </w:rPr>
        <w:fldChar w:fldCharType="begin"/>
      </w:r>
      <w:r>
        <w:rPr>
          <w:rFonts w:ascii="宋体" w:hAnsi="宋体"/>
        </w:rPr>
        <w:instrText xml:space="preserve"> PAGEREF _Toc106883570 \h </w:instrText>
      </w:r>
      <w:r>
        <w:rPr>
          <w:rFonts w:ascii="宋体" w:hAnsi="宋体"/>
        </w:rPr>
        <w:fldChar w:fldCharType="separate"/>
      </w:r>
      <w:r>
        <w:rPr>
          <w:rFonts w:ascii="宋体" w:hAnsi="宋体"/>
        </w:rPr>
        <w:t>329</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"_Toc106883571" </w:instrText>
      </w:r>
      <w:r>
        <w:fldChar w:fldCharType="separate"/>
      </w:r>
      <w:r>
        <w:rPr>
          <w:rStyle w:val="85"/>
          <w:rFonts w:ascii="宋体" w:hAnsi="宋体"/>
          <w:bCs/>
        </w:rPr>
        <w:t>7.5.2电机控制模式</w:t>
      </w:r>
      <w:r>
        <w:rPr>
          <w:rFonts w:ascii="宋体" w:hAnsi="宋体"/>
        </w:rPr>
        <w:tab/>
      </w:r>
      <w:r>
        <w:rPr>
          <w:rFonts w:ascii="宋体" w:hAnsi="宋体"/>
        </w:rPr>
        <w:fldChar w:fldCharType="begin"/>
      </w:r>
      <w:r>
        <w:rPr>
          <w:rFonts w:ascii="宋体" w:hAnsi="宋体"/>
        </w:rPr>
        <w:instrText xml:space="preserve"> PAGEREF _Toc106883571 \h </w:instrText>
      </w:r>
      <w:r>
        <w:rPr>
          <w:rFonts w:ascii="宋体" w:hAnsi="宋体"/>
        </w:rPr>
        <w:fldChar w:fldCharType="separate"/>
      </w:r>
      <w:r>
        <w:rPr>
          <w:rFonts w:ascii="宋体" w:hAnsi="宋体"/>
        </w:rPr>
        <w:t>329</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"_Toc106883572" </w:instrText>
      </w:r>
      <w:r>
        <w:fldChar w:fldCharType="separate"/>
      </w:r>
      <w:r>
        <w:rPr>
          <w:rStyle w:val="85"/>
          <w:rFonts w:ascii="宋体" w:hAnsi="宋体"/>
          <w:bCs/>
        </w:rPr>
        <w:t>7.5.3“故障”</w:t>
      </w:r>
      <w:r>
        <w:rPr>
          <w:rFonts w:ascii="宋体" w:hAnsi="宋体"/>
        </w:rPr>
        <w:tab/>
      </w:r>
      <w:r>
        <w:rPr>
          <w:rFonts w:ascii="宋体" w:hAnsi="宋体"/>
        </w:rPr>
        <w:fldChar w:fldCharType="begin"/>
      </w:r>
      <w:r>
        <w:rPr>
          <w:rFonts w:ascii="宋体" w:hAnsi="宋体"/>
        </w:rPr>
        <w:instrText xml:space="preserve"> PAGEREF _Toc106883572 \h </w:instrText>
      </w:r>
      <w:r>
        <w:rPr>
          <w:rFonts w:ascii="宋体" w:hAnsi="宋体"/>
        </w:rPr>
        <w:fldChar w:fldCharType="separate"/>
      </w:r>
      <w:r>
        <w:rPr>
          <w:rFonts w:ascii="宋体" w:hAnsi="宋体"/>
        </w:rPr>
        <w:t>329</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"_Toc106883573" </w:instrText>
      </w:r>
      <w:r>
        <w:fldChar w:fldCharType="separate"/>
      </w:r>
      <w:r>
        <w:rPr>
          <w:rStyle w:val="85"/>
          <w:rFonts w:ascii="宋体" w:hAnsi="宋体"/>
          <w:bCs/>
        </w:rPr>
        <w:t>7.5.4“水泵运行”信号</w:t>
      </w:r>
      <w:r>
        <w:rPr>
          <w:rFonts w:ascii="宋体" w:hAnsi="宋体"/>
        </w:rPr>
        <w:tab/>
      </w:r>
      <w:r>
        <w:rPr>
          <w:rFonts w:ascii="宋体" w:hAnsi="宋体"/>
        </w:rPr>
        <w:fldChar w:fldCharType="begin"/>
      </w:r>
      <w:r>
        <w:rPr>
          <w:rFonts w:ascii="宋体" w:hAnsi="宋体"/>
        </w:rPr>
        <w:instrText xml:space="preserve"> PAGEREF _Toc106883573 \h </w:instrText>
      </w:r>
      <w:r>
        <w:rPr>
          <w:rFonts w:ascii="宋体" w:hAnsi="宋体"/>
        </w:rPr>
        <w:fldChar w:fldCharType="separate"/>
      </w:r>
      <w:r>
        <w:rPr>
          <w:rFonts w:ascii="宋体" w:hAnsi="宋体"/>
        </w:rPr>
        <w:t>329</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"_Toc106883574" </w:instrText>
      </w:r>
      <w:r>
        <w:fldChar w:fldCharType="separate"/>
      </w:r>
      <w:r>
        <w:rPr>
          <w:rStyle w:val="85"/>
          <w:rFonts w:ascii="宋体" w:hAnsi="宋体"/>
          <w:bCs/>
        </w:rPr>
        <w:t>7.5.5控制系统体系结构</w:t>
      </w:r>
      <w:r>
        <w:rPr>
          <w:rFonts w:ascii="宋体" w:hAnsi="宋体"/>
        </w:rPr>
        <w:tab/>
      </w:r>
      <w:r>
        <w:rPr>
          <w:rFonts w:ascii="宋体" w:hAnsi="宋体"/>
        </w:rPr>
        <w:fldChar w:fldCharType="begin"/>
      </w:r>
      <w:r>
        <w:rPr>
          <w:rFonts w:ascii="宋体" w:hAnsi="宋体"/>
        </w:rPr>
        <w:instrText xml:space="preserve"> PAGEREF _Toc106883574 \h </w:instrText>
      </w:r>
      <w:r>
        <w:rPr>
          <w:rFonts w:ascii="宋体" w:hAnsi="宋体"/>
        </w:rPr>
        <w:fldChar w:fldCharType="separate"/>
      </w:r>
      <w:r>
        <w:rPr>
          <w:rFonts w:ascii="宋体" w:hAnsi="宋体"/>
        </w:rPr>
        <w:t>329</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"_Toc106883575" </w:instrText>
      </w:r>
      <w:r>
        <w:fldChar w:fldCharType="separate"/>
      </w:r>
      <w:r>
        <w:rPr>
          <w:rStyle w:val="85"/>
          <w:rFonts w:ascii="宋体" w:hAnsi="宋体" w:cs="楷体"/>
        </w:rPr>
        <w:t>7.7 故障水平</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_Toc106883575 \h </w:instrText>
      </w:r>
      <w:r>
        <w:rPr>
          <w:rStyle w:val="85"/>
          <w:rFonts w:ascii="宋体" w:hAnsi="宋体" w:cs="楷体"/>
        </w:rPr>
        <w:fldChar w:fldCharType="separate"/>
      </w:r>
      <w:r>
        <w:rPr>
          <w:rStyle w:val="85"/>
          <w:rFonts w:ascii="宋体" w:hAnsi="宋体" w:cs="楷体"/>
        </w:rPr>
        <w:t>331</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"_Toc106883576" </w:instrText>
      </w:r>
      <w:r>
        <w:fldChar w:fldCharType="separate"/>
      </w:r>
      <w:r>
        <w:rPr>
          <w:rStyle w:val="85"/>
          <w:rFonts w:ascii="宋体" w:hAnsi="宋体" w:cs="楷体"/>
        </w:rPr>
        <w:t>7.8 电压偏差及波动</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_Toc106883576 \h </w:instrText>
      </w:r>
      <w:r>
        <w:rPr>
          <w:rStyle w:val="85"/>
          <w:rFonts w:ascii="宋体" w:hAnsi="宋体" w:cs="楷体"/>
        </w:rPr>
        <w:fldChar w:fldCharType="separate"/>
      </w:r>
      <w:r>
        <w:rPr>
          <w:rStyle w:val="85"/>
          <w:rFonts w:ascii="宋体" w:hAnsi="宋体" w:cs="楷体"/>
        </w:rPr>
        <w:t>331</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"_Toc106883577" </w:instrText>
      </w:r>
      <w:r>
        <w:fldChar w:fldCharType="separate"/>
      </w:r>
      <w:r>
        <w:rPr>
          <w:rStyle w:val="85"/>
          <w:rFonts w:ascii="宋体" w:hAnsi="宋体" w:cs="楷体"/>
        </w:rPr>
        <w:t>7.9 电机启动</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_Toc106883577 \h </w:instrText>
      </w:r>
      <w:r>
        <w:rPr>
          <w:rStyle w:val="85"/>
          <w:rFonts w:ascii="宋体" w:hAnsi="宋体" w:cs="楷体"/>
        </w:rPr>
        <w:fldChar w:fldCharType="separate"/>
      </w:r>
      <w:r>
        <w:rPr>
          <w:rStyle w:val="85"/>
          <w:rFonts w:ascii="宋体" w:hAnsi="宋体" w:cs="楷体"/>
        </w:rPr>
        <w:t>332</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"_Toc106883578" </w:instrText>
      </w:r>
      <w:r>
        <w:fldChar w:fldCharType="separate"/>
      </w:r>
      <w:r>
        <w:rPr>
          <w:rStyle w:val="85"/>
          <w:rFonts w:ascii="宋体" w:hAnsi="宋体" w:cs="楷体"/>
        </w:rPr>
        <w:t>7.10 电气控制柜</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_Toc106883578 \h </w:instrText>
      </w:r>
      <w:r>
        <w:rPr>
          <w:rStyle w:val="85"/>
          <w:rFonts w:ascii="宋体" w:hAnsi="宋体" w:cs="楷体"/>
        </w:rPr>
        <w:fldChar w:fldCharType="separate"/>
      </w:r>
      <w:r>
        <w:rPr>
          <w:rStyle w:val="85"/>
          <w:rFonts w:ascii="宋体" w:hAnsi="宋体" w:cs="楷体"/>
        </w:rPr>
        <w:t>333</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"_Toc106883579" </w:instrText>
      </w:r>
      <w:r>
        <w:fldChar w:fldCharType="separate"/>
      </w:r>
      <w:r>
        <w:rPr>
          <w:rStyle w:val="85"/>
          <w:rFonts w:ascii="宋体" w:hAnsi="宋体" w:cs="楷体"/>
        </w:rPr>
        <w:t>7.11电气保护</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_Toc106883579 \h </w:instrText>
      </w:r>
      <w:r>
        <w:rPr>
          <w:rStyle w:val="85"/>
          <w:rFonts w:ascii="宋体" w:hAnsi="宋体" w:cs="楷体"/>
        </w:rPr>
        <w:fldChar w:fldCharType="separate"/>
      </w:r>
      <w:r>
        <w:rPr>
          <w:rStyle w:val="85"/>
          <w:rFonts w:ascii="宋体" w:hAnsi="宋体" w:cs="楷体"/>
        </w:rPr>
        <w:t>333</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"_Toc106883580" </w:instrText>
      </w:r>
      <w:r>
        <w:fldChar w:fldCharType="separate"/>
      </w:r>
      <w:r>
        <w:rPr>
          <w:rStyle w:val="85"/>
          <w:rFonts w:ascii="宋体" w:hAnsi="宋体"/>
          <w:bCs/>
        </w:rPr>
        <w:t>7.11.1过电流保护和短路保护</w:t>
      </w:r>
      <w:r>
        <w:rPr>
          <w:rFonts w:ascii="宋体" w:hAnsi="宋体"/>
        </w:rPr>
        <w:tab/>
      </w:r>
      <w:r>
        <w:rPr>
          <w:rFonts w:ascii="宋体" w:hAnsi="宋体"/>
        </w:rPr>
        <w:fldChar w:fldCharType="begin"/>
      </w:r>
      <w:r>
        <w:rPr>
          <w:rFonts w:ascii="宋体" w:hAnsi="宋体"/>
        </w:rPr>
        <w:instrText xml:space="preserve"> PAGEREF _Toc106883580 \h </w:instrText>
      </w:r>
      <w:r>
        <w:rPr>
          <w:rFonts w:ascii="宋体" w:hAnsi="宋体"/>
        </w:rPr>
        <w:fldChar w:fldCharType="separate"/>
      </w:r>
      <w:r>
        <w:rPr>
          <w:rFonts w:ascii="宋体" w:hAnsi="宋体"/>
        </w:rPr>
        <w:t>333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"_Toc106883581" </w:instrText>
      </w:r>
      <w:r>
        <w:fldChar w:fldCharType="separate"/>
      </w:r>
      <w:r>
        <w:rPr>
          <w:rStyle w:val="85"/>
          <w:rFonts w:ascii="宋体" w:hAnsi="宋体"/>
          <w:bCs/>
        </w:rPr>
        <w:t>7.11.2剩余电流保护（故障性接地保护）</w:t>
      </w:r>
      <w:r>
        <w:rPr>
          <w:rFonts w:ascii="宋体" w:hAnsi="宋体"/>
        </w:rPr>
        <w:tab/>
      </w:r>
      <w:r>
        <w:rPr>
          <w:rFonts w:ascii="宋体" w:hAnsi="宋体"/>
        </w:rPr>
        <w:fldChar w:fldCharType="begin"/>
      </w:r>
      <w:r>
        <w:rPr>
          <w:rFonts w:ascii="宋体" w:hAnsi="宋体"/>
        </w:rPr>
        <w:instrText xml:space="preserve"> PAGEREF _Toc106883581 \h </w:instrText>
      </w:r>
      <w:r>
        <w:rPr>
          <w:rFonts w:ascii="宋体" w:hAnsi="宋体"/>
        </w:rPr>
        <w:fldChar w:fldCharType="separate"/>
      </w:r>
      <w:r>
        <w:rPr>
          <w:rFonts w:ascii="宋体" w:hAnsi="宋体"/>
        </w:rPr>
        <w:t>334</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"_Toc106883582" </w:instrText>
      </w:r>
      <w:r>
        <w:fldChar w:fldCharType="separate"/>
      </w:r>
      <w:r>
        <w:rPr>
          <w:rStyle w:val="85"/>
          <w:rFonts w:ascii="宋体" w:hAnsi="宋体" w:cs="楷体"/>
        </w:rPr>
        <w:t>7.12 电气装置的过热保护</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_Toc106883582 \h </w:instrText>
      </w:r>
      <w:r>
        <w:rPr>
          <w:rStyle w:val="85"/>
          <w:rFonts w:ascii="宋体" w:hAnsi="宋体" w:cs="楷体"/>
        </w:rPr>
        <w:fldChar w:fldCharType="separate"/>
      </w:r>
      <w:r>
        <w:rPr>
          <w:rStyle w:val="85"/>
          <w:rFonts w:ascii="宋体" w:hAnsi="宋体" w:cs="楷体"/>
        </w:rPr>
        <w:t>334</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"_Toc106883583" </w:instrText>
      </w:r>
      <w:r>
        <w:fldChar w:fldCharType="separate"/>
      </w:r>
      <w:r>
        <w:rPr>
          <w:rStyle w:val="85"/>
          <w:rFonts w:ascii="宋体" w:hAnsi="宋体" w:cs="楷体"/>
        </w:rPr>
        <w:t>7.13其它驱动保护形式</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_Toc106883583 \h </w:instrText>
      </w:r>
      <w:r>
        <w:rPr>
          <w:rStyle w:val="85"/>
          <w:rFonts w:ascii="宋体" w:hAnsi="宋体" w:cs="楷体"/>
        </w:rPr>
        <w:fldChar w:fldCharType="separate"/>
      </w:r>
      <w:r>
        <w:rPr>
          <w:rStyle w:val="85"/>
          <w:rFonts w:ascii="宋体" w:hAnsi="宋体" w:cs="楷体"/>
        </w:rPr>
        <w:t>334</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"_Toc106883584" </w:instrText>
      </w:r>
      <w:r>
        <w:fldChar w:fldCharType="separate"/>
      </w:r>
      <w:r>
        <w:rPr>
          <w:rStyle w:val="85"/>
          <w:rFonts w:ascii="宋体" w:hAnsi="宋体" w:cs="楷体"/>
        </w:rPr>
        <w:t>7.14主保护</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_Toc106883584 \h </w:instrText>
      </w:r>
      <w:r>
        <w:rPr>
          <w:rStyle w:val="85"/>
          <w:rFonts w:ascii="宋体" w:hAnsi="宋体" w:cs="楷体"/>
        </w:rPr>
        <w:fldChar w:fldCharType="separate"/>
      </w:r>
      <w:r>
        <w:rPr>
          <w:rStyle w:val="85"/>
          <w:rFonts w:ascii="宋体" w:hAnsi="宋体" w:cs="楷体"/>
        </w:rPr>
        <w:t>334</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"_Toc106883585" </w:instrText>
      </w:r>
      <w:r>
        <w:fldChar w:fldCharType="separate"/>
      </w:r>
      <w:r>
        <w:rPr>
          <w:rStyle w:val="85"/>
          <w:rFonts w:ascii="宋体" w:hAnsi="宋体"/>
          <w:bCs/>
        </w:rPr>
        <w:t>7.14.1介绍</w:t>
      </w:r>
      <w:r>
        <w:rPr>
          <w:rFonts w:ascii="宋体" w:hAnsi="宋体"/>
        </w:rPr>
        <w:tab/>
      </w:r>
      <w:r>
        <w:rPr>
          <w:rFonts w:ascii="宋体" w:hAnsi="宋体"/>
        </w:rPr>
        <w:fldChar w:fldCharType="begin"/>
      </w:r>
      <w:r>
        <w:rPr>
          <w:rFonts w:ascii="宋体" w:hAnsi="宋体"/>
        </w:rPr>
        <w:instrText xml:space="preserve"> PAGEREF _Toc106883585 \h </w:instrText>
      </w:r>
      <w:r>
        <w:rPr>
          <w:rFonts w:ascii="宋体" w:hAnsi="宋体"/>
        </w:rPr>
        <w:fldChar w:fldCharType="separate"/>
      </w:r>
      <w:r>
        <w:rPr>
          <w:rFonts w:ascii="宋体" w:hAnsi="宋体"/>
        </w:rPr>
        <w:t>334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"_Toc106883586" </w:instrText>
      </w:r>
      <w:r>
        <w:fldChar w:fldCharType="separate"/>
      </w:r>
      <w:r>
        <w:rPr>
          <w:rStyle w:val="85"/>
          <w:rFonts w:ascii="宋体" w:hAnsi="宋体"/>
          <w:bCs/>
        </w:rPr>
        <w:t>7.14.2驱动装置的实施</w:t>
      </w:r>
      <w:r>
        <w:rPr>
          <w:rFonts w:ascii="宋体" w:hAnsi="宋体"/>
        </w:rPr>
        <w:tab/>
      </w:r>
      <w:r>
        <w:rPr>
          <w:rFonts w:ascii="宋体" w:hAnsi="宋体"/>
        </w:rPr>
        <w:fldChar w:fldCharType="begin"/>
      </w:r>
      <w:r>
        <w:rPr>
          <w:rFonts w:ascii="宋体" w:hAnsi="宋体"/>
        </w:rPr>
        <w:instrText xml:space="preserve"> PAGEREF _Toc106883586 \h </w:instrText>
      </w:r>
      <w:r>
        <w:rPr>
          <w:rFonts w:ascii="宋体" w:hAnsi="宋体"/>
        </w:rPr>
        <w:fldChar w:fldCharType="separate"/>
      </w:r>
      <w:r>
        <w:rPr>
          <w:rFonts w:ascii="宋体" w:hAnsi="宋体"/>
        </w:rPr>
        <w:t>335</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"_Toc106883587" </w:instrText>
      </w:r>
      <w:r>
        <w:fldChar w:fldCharType="separate"/>
      </w:r>
      <w:r>
        <w:rPr>
          <w:rStyle w:val="85"/>
          <w:rFonts w:ascii="宋体" w:hAnsi="宋体"/>
          <w:bCs/>
        </w:rPr>
        <w:t>7.14.3指示灯及按钮(防护等级: 室内IP44 ,室外IP65.)</w:t>
      </w:r>
      <w:r>
        <w:rPr>
          <w:rFonts w:ascii="宋体" w:hAnsi="宋体"/>
        </w:rPr>
        <w:tab/>
      </w:r>
      <w:r>
        <w:rPr>
          <w:rFonts w:ascii="宋体" w:hAnsi="宋体"/>
        </w:rPr>
        <w:fldChar w:fldCharType="begin"/>
      </w:r>
      <w:r>
        <w:rPr>
          <w:rFonts w:ascii="宋体" w:hAnsi="宋体"/>
        </w:rPr>
        <w:instrText xml:space="preserve"> PAGEREF _Toc106883587 \h </w:instrText>
      </w:r>
      <w:r>
        <w:rPr>
          <w:rFonts w:ascii="宋体" w:hAnsi="宋体"/>
        </w:rPr>
        <w:fldChar w:fldCharType="separate"/>
      </w:r>
      <w:r>
        <w:rPr>
          <w:rFonts w:ascii="宋体" w:hAnsi="宋体"/>
        </w:rPr>
        <w:t>336</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"_Toc106883588" </w:instrText>
      </w:r>
      <w:r>
        <w:fldChar w:fldCharType="separate"/>
      </w:r>
      <w:r>
        <w:rPr>
          <w:rStyle w:val="85"/>
          <w:rFonts w:ascii="宋体" w:hAnsi="宋体" w:cs="楷体"/>
        </w:rPr>
        <w:t>7.15 接地系统和保护导线</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_Toc106883588 \h </w:instrText>
      </w:r>
      <w:r>
        <w:rPr>
          <w:rStyle w:val="85"/>
          <w:rFonts w:ascii="宋体" w:hAnsi="宋体" w:cs="楷体"/>
        </w:rPr>
        <w:fldChar w:fldCharType="separate"/>
      </w:r>
      <w:r>
        <w:rPr>
          <w:rStyle w:val="85"/>
          <w:rFonts w:ascii="宋体" w:hAnsi="宋体" w:cs="楷体"/>
        </w:rPr>
        <w:t>336</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"_Toc106883589" </w:instrText>
      </w:r>
      <w:r>
        <w:fldChar w:fldCharType="separate"/>
      </w:r>
      <w:r>
        <w:rPr>
          <w:rStyle w:val="85"/>
          <w:rFonts w:ascii="宋体" w:hAnsi="宋体"/>
          <w:bCs/>
        </w:rPr>
        <w:t>7.15.1概述</w:t>
      </w:r>
      <w:r>
        <w:rPr>
          <w:rFonts w:ascii="宋体" w:hAnsi="宋体"/>
        </w:rPr>
        <w:tab/>
      </w:r>
      <w:r>
        <w:rPr>
          <w:rFonts w:ascii="宋体" w:hAnsi="宋体"/>
        </w:rPr>
        <w:fldChar w:fldCharType="begin"/>
      </w:r>
      <w:r>
        <w:rPr>
          <w:rFonts w:ascii="宋体" w:hAnsi="宋体"/>
        </w:rPr>
        <w:instrText xml:space="preserve"> PAGEREF _Toc106883589 \h </w:instrText>
      </w:r>
      <w:r>
        <w:rPr>
          <w:rFonts w:ascii="宋体" w:hAnsi="宋体"/>
        </w:rPr>
        <w:fldChar w:fldCharType="separate"/>
      </w:r>
      <w:r>
        <w:rPr>
          <w:rFonts w:ascii="宋体" w:hAnsi="宋体"/>
        </w:rPr>
        <w:t>336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"_Toc106883590" </w:instrText>
      </w:r>
      <w:r>
        <w:fldChar w:fldCharType="separate"/>
      </w:r>
      <w:r>
        <w:rPr>
          <w:rStyle w:val="85"/>
          <w:rFonts w:ascii="宋体" w:hAnsi="宋体"/>
          <w:bCs/>
        </w:rPr>
        <w:t>7.15.2接地系统</w:t>
      </w:r>
      <w:r>
        <w:rPr>
          <w:rFonts w:ascii="宋体" w:hAnsi="宋体"/>
        </w:rPr>
        <w:tab/>
      </w:r>
      <w:r>
        <w:rPr>
          <w:rFonts w:ascii="宋体" w:hAnsi="宋体"/>
        </w:rPr>
        <w:fldChar w:fldCharType="begin"/>
      </w:r>
      <w:r>
        <w:rPr>
          <w:rFonts w:ascii="宋体" w:hAnsi="宋体"/>
        </w:rPr>
        <w:instrText xml:space="preserve"> PAGEREF _Toc106883590 \h </w:instrText>
      </w:r>
      <w:r>
        <w:rPr>
          <w:rFonts w:ascii="宋体" w:hAnsi="宋体"/>
        </w:rPr>
        <w:fldChar w:fldCharType="separate"/>
      </w:r>
      <w:r>
        <w:rPr>
          <w:rFonts w:ascii="宋体" w:hAnsi="宋体"/>
        </w:rPr>
        <w:t>337</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"_Toc106883591" </w:instrText>
      </w:r>
      <w:r>
        <w:fldChar w:fldCharType="separate"/>
      </w:r>
      <w:r>
        <w:rPr>
          <w:rStyle w:val="85"/>
          <w:rFonts w:ascii="宋体" w:hAnsi="宋体"/>
        </w:rPr>
        <w:t>8对机械和工艺设备的详细技术要求</w:t>
      </w:r>
      <w:r>
        <w:rPr>
          <w:rFonts w:ascii="宋体" w:hAnsi="宋体"/>
        </w:rPr>
        <w:tab/>
      </w:r>
      <w:r>
        <w:rPr>
          <w:rFonts w:ascii="宋体" w:hAnsi="宋体"/>
        </w:rPr>
        <w:fldChar w:fldCharType="begin"/>
      </w:r>
      <w:r>
        <w:rPr>
          <w:rFonts w:ascii="宋体" w:hAnsi="宋体"/>
        </w:rPr>
        <w:instrText xml:space="preserve"> PAGEREF _Toc106883591 \h </w:instrText>
      </w:r>
      <w:r>
        <w:rPr>
          <w:rFonts w:ascii="宋体" w:hAnsi="宋体"/>
        </w:rPr>
        <w:fldChar w:fldCharType="separate"/>
      </w:r>
      <w:r>
        <w:rPr>
          <w:rFonts w:ascii="宋体" w:hAnsi="宋体"/>
        </w:rPr>
        <w:t>338</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"_Toc106883592" </w:instrText>
      </w:r>
      <w:r>
        <w:fldChar w:fldCharType="separate"/>
      </w:r>
      <w:r>
        <w:rPr>
          <w:rStyle w:val="85"/>
          <w:rFonts w:ascii="宋体" w:hAnsi="宋体" w:cs="楷体"/>
        </w:rPr>
        <w:t>8.1蝶阀</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_Toc106883592 \h </w:instrText>
      </w:r>
      <w:r>
        <w:rPr>
          <w:rStyle w:val="85"/>
          <w:rFonts w:ascii="宋体" w:hAnsi="宋体" w:cs="楷体"/>
        </w:rPr>
        <w:fldChar w:fldCharType="separate"/>
      </w:r>
      <w:r>
        <w:rPr>
          <w:rStyle w:val="85"/>
          <w:rFonts w:ascii="宋体" w:hAnsi="宋体" w:cs="楷体"/>
        </w:rPr>
        <w:t>338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"_Toc106883593" </w:instrText>
      </w:r>
      <w:r>
        <w:fldChar w:fldCharType="separate"/>
      </w:r>
      <w:r>
        <w:rPr>
          <w:rStyle w:val="85"/>
          <w:rFonts w:ascii="宋体" w:hAnsi="宋体"/>
        </w:rPr>
        <w:t>8.1.1概述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_Toc106883593 \h </w:instrText>
      </w:r>
      <w:r>
        <w:rPr>
          <w:rStyle w:val="85"/>
          <w:rFonts w:ascii="宋体" w:hAnsi="宋体"/>
        </w:rPr>
        <w:fldChar w:fldCharType="separate"/>
      </w:r>
      <w:r>
        <w:rPr>
          <w:rStyle w:val="85"/>
          <w:rFonts w:ascii="宋体" w:hAnsi="宋体"/>
        </w:rPr>
        <w:t>338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"_Toc106883594" </w:instrText>
      </w:r>
      <w:r>
        <w:fldChar w:fldCharType="separate"/>
      </w:r>
      <w:r>
        <w:rPr>
          <w:rStyle w:val="85"/>
          <w:rFonts w:ascii="宋体" w:hAnsi="宋体"/>
        </w:rPr>
        <w:t>8.1.2供货范围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_Toc106883594 \h </w:instrText>
      </w:r>
      <w:r>
        <w:rPr>
          <w:rStyle w:val="85"/>
          <w:rFonts w:ascii="宋体" w:hAnsi="宋体"/>
        </w:rPr>
        <w:fldChar w:fldCharType="separate"/>
      </w:r>
      <w:r>
        <w:rPr>
          <w:rStyle w:val="85"/>
          <w:rFonts w:ascii="宋体" w:hAnsi="宋体"/>
        </w:rPr>
        <w:t>338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"_Toc106883595" </w:instrText>
      </w:r>
      <w:r>
        <w:fldChar w:fldCharType="separate"/>
      </w:r>
      <w:r>
        <w:rPr>
          <w:rStyle w:val="85"/>
          <w:rFonts w:ascii="宋体" w:hAnsi="宋体"/>
        </w:rPr>
        <w:t>8.1.3基本要求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_Toc106883595 \h </w:instrText>
      </w:r>
      <w:r>
        <w:rPr>
          <w:rStyle w:val="85"/>
          <w:rFonts w:ascii="宋体" w:hAnsi="宋体"/>
        </w:rPr>
        <w:fldChar w:fldCharType="separate"/>
      </w:r>
      <w:r>
        <w:rPr>
          <w:rStyle w:val="85"/>
          <w:rFonts w:ascii="宋体" w:hAnsi="宋体"/>
        </w:rPr>
        <w:t>339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"_Toc106883601" </w:instrText>
      </w:r>
      <w:r>
        <w:fldChar w:fldCharType="separate"/>
      </w:r>
      <w:r>
        <w:rPr>
          <w:rStyle w:val="85"/>
          <w:rFonts w:ascii="宋体" w:hAnsi="宋体"/>
        </w:rPr>
        <w:t>8.1.4详细说明</w:t>
      </w:r>
      <w:r>
        <w:rPr>
          <w:rStyle w:val="85"/>
          <w:rFonts w:ascii="宋体" w:hAnsi="宋体"/>
        </w:rPr>
        <w:tab/>
      </w:r>
      <w:r>
        <w:rPr>
          <w:rStyle w:val="85"/>
          <w:rFonts w:ascii="宋体" w:hAnsi="宋体"/>
        </w:rPr>
        <w:fldChar w:fldCharType="begin"/>
      </w:r>
      <w:r>
        <w:rPr>
          <w:rStyle w:val="85"/>
          <w:rFonts w:ascii="宋体" w:hAnsi="宋体"/>
        </w:rPr>
        <w:instrText xml:space="preserve"> PAGEREF _Toc106883601 \h </w:instrText>
      </w:r>
      <w:r>
        <w:rPr>
          <w:rStyle w:val="85"/>
          <w:rFonts w:ascii="宋体" w:hAnsi="宋体"/>
        </w:rPr>
        <w:fldChar w:fldCharType="separate"/>
      </w:r>
      <w:r>
        <w:rPr>
          <w:rStyle w:val="85"/>
          <w:rFonts w:ascii="宋体" w:hAnsi="宋体"/>
        </w:rPr>
        <w:t>341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"_Toc106883602" </w:instrText>
      </w:r>
      <w:r>
        <w:fldChar w:fldCharType="separate"/>
      </w:r>
      <w:r>
        <w:rPr>
          <w:rStyle w:val="85"/>
          <w:rFonts w:ascii="宋体" w:hAnsi="宋体"/>
        </w:rPr>
        <w:t>8.1.4.2气动蝶阀</w:t>
      </w:r>
      <w:r>
        <w:rPr>
          <w:rStyle w:val="85"/>
          <w:rFonts w:ascii="宋体" w:hAnsi="宋体"/>
        </w:rPr>
        <w:tab/>
      </w:r>
      <w:r>
        <w:rPr>
          <w:rStyle w:val="85"/>
          <w:rFonts w:ascii="宋体" w:hAnsi="宋体"/>
        </w:rPr>
        <w:fldChar w:fldCharType="begin"/>
      </w:r>
      <w:r>
        <w:rPr>
          <w:rStyle w:val="85"/>
          <w:rFonts w:ascii="宋体" w:hAnsi="宋体"/>
        </w:rPr>
        <w:instrText xml:space="preserve"> PAGEREF _Toc106883602 \h </w:instrText>
      </w:r>
      <w:r>
        <w:rPr>
          <w:rStyle w:val="85"/>
          <w:rFonts w:ascii="宋体" w:hAnsi="宋体"/>
        </w:rPr>
        <w:fldChar w:fldCharType="separate"/>
      </w:r>
      <w:r>
        <w:rPr>
          <w:rStyle w:val="85"/>
          <w:rFonts w:ascii="宋体" w:hAnsi="宋体"/>
        </w:rPr>
        <w:t>342</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"_Toc106883603" </w:instrText>
      </w:r>
      <w:r>
        <w:fldChar w:fldCharType="separate"/>
      </w:r>
      <w:r>
        <w:rPr>
          <w:rStyle w:val="85"/>
          <w:rFonts w:ascii="宋体" w:hAnsi="宋体" w:cs="楷体"/>
        </w:rPr>
        <w:t>8.2闸阀</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_Toc106883603 \h </w:instrText>
      </w:r>
      <w:r>
        <w:rPr>
          <w:rStyle w:val="85"/>
          <w:rFonts w:ascii="宋体" w:hAnsi="宋体" w:cs="楷体"/>
        </w:rPr>
        <w:fldChar w:fldCharType="separate"/>
      </w:r>
      <w:r>
        <w:rPr>
          <w:rStyle w:val="85"/>
          <w:rFonts w:ascii="宋体" w:hAnsi="宋体" w:cs="楷体"/>
        </w:rPr>
        <w:t>348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"_Toc106883604" </w:instrText>
      </w:r>
      <w:r>
        <w:fldChar w:fldCharType="separate"/>
      </w:r>
      <w:r>
        <w:rPr>
          <w:rStyle w:val="85"/>
          <w:rFonts w:ascii="宋体" w:hAnsi="宋体"/>
        </w:rPr>
        <w:t>8.2.1概述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_Toc106883604 \h </w:instrText>
      </w:r>
      <w:r>
        <w:rPr>
          <w:rStyle w:val="85"/>
          <w:rFonts w:ascii="宋体" w:hAnsi="宋体"/>
        </w:rPr>
        <w:fldChar w:fldCharType="separate"/>
      </w:r>
      <w:r>
        <w:rPr>
          <w:rStyle w:val="85"/>
          <w:rFonts w:ascii="宋体" w:hAnsi="宋体"/>
        </w:rPr>
        <w:t>348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"_Toc106883605" </w:instrText>
      </w:r>
      <w:r>
        <w:fldChar w:fldCharType="separate"/>
      </w:r>
      <w:r>
        <w:rPr>
          <w:rStyle w:val="85"/>
          <w:rFonts w:ascii="宋体" w:hAnsi="宋体"/>
        </w:rPr>
        <w:t>8.2.2供货范围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_Toc106883605 \h </w:instrText>
      </w:r>
      <w:r>
        <w:rPr>
          <w:rStyle w:val="85"/>
          <w:rFonts w:ascii="宋体" w:hAnsi="宋体"/>
        </w:rPr>
        <w:fldChar w:fldCharType="separate"/>
      </w:r>
      <w:r>
        <w:rPr>
          <w:rStyle w:val="85"/>
          <w:rFonts w:ascii="宋体" w:hAnsi="宋体"/>
        </w:rPr>
        <w:t>348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"_Toc106883606" </w:instrText>
      </w:r>
      <w:r>
        <w:fldChar w:fldCharType="separate"/>
      </w:r>
      <w:r>
        <w:rPr>
          <w:rStyle w:val="85"/>
          <w:rFonts w:ascii="宋体" w:hAnsi="宋体"/>
        </w:rPr>
        <w:t>8.2.3基本要求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_Toc106883606 \h </w:instrText>
      </w:r>
      <w:r>
        <w:rPr>
          <w:rStyle w:val="85"/>
          <w:rFonts w:ascii="宋体" w:hAnsi="宋体"/>
        </w:rPr>
        <w:fldChar w:fldCharType="separate"/>
      </w:r>
      <w:r>
        <w:rPr>
          <w:rStyle w:val="85"/>
          <w:rFonts w:ascii="宋体" w:hAnsi="宋体"/>
        </w:rPr>
        <w:t>349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"_Toc106883612" </w:instrText>
      </w:r>
      <w:r>
        <w:fldChar w:fldCharType="separate"/>
      </w:r>
      <w:r>
        <w:rPr>
          <w:rStyle w:val="85"/>
          <w:rFonts w:ascii="宋体" w:hAnsi="宋体"/>
        </w:rPr>
        <w:t>8.2.4详细说明</w:t>
      </w:r>
      <w:r>
        <w:rPr>
          <w:rStyle w:val="85"/>
          <w:rFonts w:ascii="宋体" w:hAnsi="宋体"/>
        </w:rPr>
        <w:tab/>
      </w:r>
      <w:r>
        <w:rPr>
          <w:rStyle w:val="85"/>
          <w:rFonts w:ascii="宋体" w:hAnsi="宋体"/>
        </w:rPr>
        <w:fldChar w:fldCharType="begin"/>
      </w:r>
      <w:r>
        <w:rPr>
          <w:rStyle w:val="85"/>
          <w:rFonts w:ascii="宋体" w:hAnsi="宋体"/>
        </w:rPr>
        <w:instrText xml:space="preserve"> PAGEREF _Toc106883612 \h </w:instrText>
      </w:r>
      <w:r>
        <w:rPr>
          <w:rStyle w:val="85"/>
          <w:rFonts w:ascii="宋体" w:hAnsi="宋体"/>
        </w:rPr>
        <w:fldChar w:fldCharType="separate"/>
      </w:r>
      <w:r>
        <w:rPr>
          <w:rStyle w:val="85"/>
          <w:rFonts w:ascii="宋体" w:hAnsi="宋体"/>
        </w:rPr>
        <w:t>351</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"_Toc106883613" </w:instrText>
      </w:r>
      <w:r>
        <w:fldChar w:fldCharType="separate"/>
      </w:r>
      <w:r>
        <w:rPr>
          <w:rStyle w:val="85"/>
          <w:rFonts w:ascii="宋体" w:hAnsi="宋体" w:cs="楷体"/>
        </w:rPr>
        <w:t>8.3止回阀</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_Toc106883613 \h </w:instrText>
      </w:r>
      <w:r>
        <w:rPr>
          <w:rStyle w:val="85"/>
          <w:rFonts w:ascii="宋体" w:hAnsi="宋体" w:cs="楷体"/>
        </w:rPr>
        <w:fldChar w:fldCharType="separate"/>
      </w:r>
      <w:r>
        <w:rPr>
          <w:rStyle w:val="85"/>
          <w:rFonts w:ascii="宋体" w:hAnsi="宋体" w:cs="楷体"/>
        </w:rPr>
        <w:t>355</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"_Toc106883614" </w:instrText>
      </w:r>
      <w:r>
        <w:fldChar w:fldCharType="separate"/>
      </w:r>
      <w:r>
        <w:rPr>
          <w:rStyle w:val="85"/>
          <w:rFonts w:ascii="宋体" w:hAnsi="宋体" w:cs="楷体"/>
          <w:b/>
        </w:rPr>
        <w:t>8.3.1概述</w:t>
      </w:r>
      <w:r>
        <w:rPr>
          <w:rFonts w:ascii="宋体" w:hAnsi="宋体"/>
        </w:rPr>
        <w:tab/>
      </w:r>
      <w:r>
        <w:rPr>
          <w:rFonts w:ascii="宋体" w:hAnsi="宋体"/>
        </w:rPr>
        <w:fldChar w:fldCharType="begin"/>
      </w:r>
      <w:r>
        <w:rPr>
          <w:rFonts w:ascii="宋体" w:hAnsi="宋体"/>
        </w:rPr>
        <w:instrText xml:space="preserve"> PAGEREF _Toc106883614 \h </w:instrText>
      </w:r>
      <w:r>
        <w:rPr>
          <w:rFonts w:ascii="宋体" w:hAnsi="宋体"/>
        </w:rPr>
        <w:fldChar w:fldCharType="separate"/>
      </w:r>
      <w:r>
        <w:rPr>
          <w:rFonts w:ascii="宋体" w:hAnsi="宋体"/>
        </w:rPr>
        <w:t>355</w:t>
      </w:r>
      <w:r>
        <w:rPr>
          <w:rFonts w:ascii="宋体" w:hAnsi="宋体"/>
        </w:rPr>
        <w:fldChar w:fldCharType="end"/>
      </w:r>
      <w:r>
        <w:rPr>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"_Toc106883615" </w:instrText>
      </w:r>
      <w:r>
        <w:fldChar w:fldCharType="separate"/>
      </w:r>
      <w:r>
        <w:rPr>
          <w:rStyle w:val="85"/>
          <w:rFonts w:ascii="宋体" w:hAnsi="宋体"/>
        </w:rPr>
        <w:t>8.3.2供货范围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_Toc106883615 \h </w:instrText>
      </w:r>
      <w:r>
        <w:rPr>
          <w:rStyle w:val="85"/>
          <w:rFonts w:ascii="宋体" w:hAnsi="宋体"/>
        </w:rPr>
        <w:fldChar w:fldCharType="separate"/>
      </w:r>
      <w:r>
        <w:rPr>
          <w:rStyle w:val="85"/>
          <w:rFonts w:ascii="宋体" w:hAnsi="宋体"/>
        </w:rPr>
        <w:t>355</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"_Toc106883616" </w:instrText>
      </w:r>
      <w:r>
        <w:fldChar w:fldCharType="separate"/>
      </w:r>
      <w:r>
        <w:rPr>
          <w:rStyle w:val="85"/>
          <w:rFonts w:ascii="宋体" w:hAnsi="宋体"/>
        </w:rPr>
        <w:t>8.3.3基本要求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_Toc106883616 \h </w:instrText>
      </w:r>
      <w:r>
        <w:rPr>
          <w:rStyle w:val="85"/>
          <w:rFonts w:ascii="宋体" w:hAnsi="宋体"/>
        </w:rPr>
        <w:fldChar w:fldCharType="separate"/>
      </w:r>
      <w:r>
        <w:rPr>
          <w:rStyle w:val="85"/>
          <w:rFonts w:ascii="宋体" w:hAnsi="宋体"/>
        </w:rPr>
        <w:t>356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"_Toc106883617" </w:instrText>
      </w:r>
      <w:r>
        <w:fldChar w:fldCharType="separate"/>
      </w:r>
      <w:r>
        <w:rPr>
          <w:rStyle w:val="85"/>
          <w:rFonts w:ascii="宋体" w:hAnsi="宋体"/>
        </w:rPr>
        <w:t>8.3.3.2产品要求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_Toc106883617 \h </w:instrText>
      </w:r>
      <w:r>
        <w:rPr>
          <w:rStyle w:val="85"/>
          <w:rFonts w:ascii="宋体" w:hAnsi="宋体"/>
        </w:rPr>
        <w:fldChar w:fldCharType="separate"/>
      </w:r>
      <w:r>
        <w:rPr>
          <w:rStyle w:val="85"/>
          <w:rFonts w:ascii="宋体" w:hAnsi="宋体"/>
        </w:rPr>
        <w:t>356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"_Toc106883618" </w:instrText>
      </w:r>
      <w:r>
        <w:fldChar w:fldCharType="separate"/>
      </w:r>
      <w:r>
        <w:rPr>
          <w:rStyle w:val="85"/>
          <w:rFonts w:ascii="宋体" w:hAnsi="宋体"/>
        </w:rPr>
        <w:t>8.3.3.3运行寿命</w:t>
      </w:r>
      <w:r>
        <w:rPr>
          <w:rStyle w:val="85"/>
          <w:rFonts w:ascii="宋体" w:hAnsi="宋体"/>
        </w:rPr>
        <w:tab/>
      </w:r>
      <w:r>
        <w:rPr>
          <w:rStyle w:val="85"/>
          <w:rFonts w:ascii="宋体" w:hAnsi="宋体"/>
        </w:rPr>
        <w:fldChar w:fldCharType="begin"/>
      </w:r>
      <w:r>
        <w:rPr>
          <w:rStyle w:val="85"/>
          <w:rFonts w:ascii="宋体" w:hAnsi="宋体"/>
        </w:rPr>
        <w:instrText xml:space="preserve"> PAGEREF _Toc106883618 \h </w:instrText>
      </w:r>
      <w:r>
        <w:rPr>
          <w:rStyle w:val="85"/>
          <w:rFonts w:ascii="宋体" w:hAnsi="宋体"/>
        </w:rPr>
        <w:fldChar w:fldCharType="separate"/>
      </w:r>
      <w:r>
        <w:rPr>
          <w:rStyle w:val="85"/>
          <w:rFonts w:ascii="宋体" w:hAnsi="宋体"/>
        </w:rPr>
        <w:t>356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"_Toc106883619" </w:instrText>
      </w:r>
      <w:r>
        <w:fldChar w:fldCharType="separate"/>
      </w:r>
      <w:r>
        <w:rPr>
          <w:rStyle w:val="85"/>
          <w:rFonts w:ascii="宋体" w:hAnsi="宋体"/>
        </w:rPr>
        <w:t>8.3.3.4备品备件及所需附件</w:t>
      </w:r>
      <w:r>
        <w:rPr>
          <w:rStyle w:val="85"/>
          <w:rFonts w:ascii="宋体" w:hAnsi="宋体"/>
        </w:rPr>
        <w:tab/>
      </w:r>
      <w:r>
        <w:rPr>
          <w:rStyle w:val="85"/>
          <w:rFonts w:ascii="宋体" w:hAnsi="宋体"/>
        </w:rPr>
        <w:fldChar w:fldCharType="begin"/>
      </w:r>
      <w:r>
        <w:rPr>
          <w:rStyle w:val="85"/>
          <w:rFonts w:ascii="宋体" w:hAnsi="宋体"/>
        </w:rPr>
        <w:instrText xml:space="preserve"> PAGEREF _Toc106883619 \h </w:instrText>
      </w:r>
      <w:r>
        <w:rPr>
          <w:rStyle w:val="85"/>
          <w:rFonts w:ascii="宋体" w:hAnsi="宋体"/>
        </w:rPr>
        <w:fldChar w:fldCharType="separate"/>
      </w:r>
      <w:r>
        <w:rPr>
          <w:rStyle w:val="85"/>
          <w:rFonts w:ascii="宋体" w:hAnsi="宋体"/>
        </w:rPr>
        <w:t>356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"_Toc106883620" </w:instrText>
      </w:r>
      <w:r>
        <w:fldChar w:fldCharType="separate"/>
      </w:r>
      <w:r>
        <w:rPr>
          <w:rStyle w:val="85"/>
          <w:rFonts w:ascii="宋体" w:hAnsi="宋体"/>
        </w:rPr>
        <w:t>2、所需附件</w:t>
      </w:r>
      <w:r>
        <w:rPr>
          <w:rStyle w:val="85"/>
          <w:rFonts w:ascii="宋体" w:hAnsi="宋体"/>
        </w:rPr>
        <w:tab/>
      </w:r>
      <w:r>
        <w:rPr>
          <w:rStyle w:val="85"/>
          <w:rFonts w:ascii="宋体" w:hAnsi="宋体"/>
        </w:rPr>
        <w:fldChar w:fldCharType="begin"/>
      </w:r>
      <w:r>
        <w:rPr>
          <w:rStyle w:val="85"/>
          <w:rFonts w:ascii="宋体" w:hAnsi="宋体"/>
        </w:rPr>
        <w:instrText xml:space="preserve"> PAGEREF _Toc106883620 \h </w:instrText>
      </w:r>
      <w:r>
        <w:rPr>
          <w:rStyle w:val="85"/>
          <w:rFonts w:ascii="宋体" w:hAnsi="宋体"/>
        </w:rPr>
        <w:fldChar w:fldCharType="separate"/>
      </w:r>
      <w:r>
        <w:rPr>
          <w:rStyle w:val="85"/>
          <w:rFonts w:ascii="宋体" w:hAnsi="宋体"/>
        </w:rPr>
        <w:t>357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"_Toc106883621" </w:instrText>
      </w:r>
      <w:r>
        <w:fldChar w:fldCharType="separate"/>
      </w:r>
      <w:r>
        <w:rPr>
          <w:rStyle w:val="85"/>
          <w:rFonts w:ascii="宋体" w:hAnsi="宋体"/>
        </w:rPr>
        <w:t>8.3.3.5产品制造及生产</w:t>
      </w:r>
      <w:r>
        <w:rPr>
          <w:rStyle w:val="85"/>
          <w:rFonts w:ascii="宋体" w:hAnsi="宋体"/>
        </w:rPr>
        <w:tab/>
      </w:r>
      <w:r>
        <w:rPr>
          <w:rStyle w:val="85"/>
          <w:rFonts w:ascii="宋体" w:hAnsi="宋体"/>
        </w:rPr>
        <w:fldChar w:fldCharType="begin"/>
      </w:r>
      <w:r>
        <w:rPr>
          <w:rStyle w:val="85"/>
          <w:rFonts w:ascii="宋体" w:hAnsi="宋体"/>
        </w:rPr>
        <w:instrText xml:space="preserve"> PAGEREF _Toc106883621 \h </w:instrText>
      </w:r>
      <w:r>
        <w:rPr>
          <w:rStyle w:val="85"/>
          <w:rFonts w:ascii="宋体" w:hAnsi="宋体"/>
        </w:rPr>
        <w:fldChar w:fldCharType="separate"/>
      </w:r>
      <w:r>
        <w:rPr>
          <w:rStyle w:val="85"/>
          <w:rFonts w:ascii="宋体" w:hAnsi="宋体"/>
        </w:rPr>
        <w:t>357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"_Toc106883622" </w:instrText>
      </w:r>
      <w:r>
        <w:fldChar w:fldCharType="separate"/>
      </w:r>
      <w:r>
        <w:rPr>
          <w:rStyle w:val="85"/>
          <w:rFonts w:ascii="宋体" w:hAnsi="宋体"/>
        </w:rPr>
        <w:t>8.3.4详细说明</w:t>
      </w:r>
      <w:r>
        <w:rPr>
          <w:rStyle w:val="85"/>
          <w:rFonts w:ascii="宋体" w:hAnsi="宋体"/>
        </w:rPr>
        <w:tab/>
      </w:r>
      <w:r>
        <w:rPr>
          <w:rStyle w:val="85"/>
          <w:rFonts w:ascii="宋体" w:hAnsi="宋体"/>
        </w:rPr>
        <w:fldChar w:fldCharType="begin"/>
      </w:r>
      <w:r>
        <w:rPr>
          <w:rStyle w:val="85"/>
          <w:rFonts w:ascii="宋体" w:hAnsi="宋体"/>
        </w:rPr>
        <w:instrText xml:space="preserve"> PAGEREF _Toc106883622 \h </w:instrText>
      </w:r>
      <w:r>
        <w:rPr>
          <w:rStyle w:val="85"/>
          <w:rFonts w:ascii="宋体" w:hAnsi="宋体"/>
        </w:rPr>
        <w:fldChar w:fldCharType="separate"/>
      </w:r>
      <w:r>
        <w:rPr>
          <w:rStyle w:val="85"/>
          <w:rFonts w:ascii="宋体" w:hAnsi="宋体"/>
        </w:rPr>
        <w:t>358</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"_Toc106883623" </w:instrText>
      </w:r>
      <w:r>
        <w:fldChar w:fldCharType="separate"/>
      </w:r>
      <w:r>
        <w:rPr>
          <w:rStyle w:val="85"/>
          <w:rFonts w:ascii="宋体" w:hAnsi="宋体" w:cs="楷体"/>
        </w:rPr>
        <w:t>8.4角型隔膜排泥阀</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_Toc106883623 \h </w:instrText>
      </w:r>
      <w:r>
        <w:rPr>
          <w:rStyle w:val="85"/>
          <w:rFonts w:ascii="宋体" w:hAnsi="宋体" w:cs="楷体"/>
        </w:rPr>
        <w:fldChar w:fldCharType="separate"/>
      </w:r>
      <w:r>
        <w:rPr>
          <w:rStyle w:val="85"/>
          <w:rFonts w:ascii="宋体" w:hAnsi="宋体" w:cs="楷体"/>
        </w:rPr>
        <w:t>359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"_Toc106883624" </w:instrText>
      </w:r>
      <w:r>
        <w:fldChar w:fldCharType="separate"/>
      </w:r>
      <w:r>
        <w:rPr>
          <w:rStyle w:val="85"/>
          <w:rFonts w:ascii="宋体" w:hAnsi="宋体"/>
        </w:rPr>
        <w:t>8.4.1概述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_Toc106883624 \h </w:instrText>
      </w:r>
      <w:r>
        <w:rPr>
          <w:rStyle w:val="85"/>
          <w:rFonts w:ascii="宋体" w:hAnsi="宋体"/>
        </w:rPr>
        <w:fldChar w:fldCharType="separate"/>
      </w:r>
      <w:r>
        <w:rPr>
          <w:rStyle w:val="85"/>
          <w:rFonts w:ascii="宋体" w:hAnsi="宋体"/>
        </w:rPr>
        <w:t>359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"_Toc106883625" </w:instrText>
      </w:r>
      <w:r>
        <w:fldChar w:fldCharType="separate"/>
      </w:r>
      <w:r>
        <w:rPr>
          <w:rStyle w:val="85"/>
          <w:rFonts w:ascii="宋体" w:hAnsi="宋体"/>
        </w:rPr>
        <w:t>8.4.2供货范围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_Toc106883625 \h </w:instrText>
      </w:r>
      <w:r>
        <w:rPr>
          <w:rStyle w:val="85"/>
          <w:rFonts w:ascii="宋体" w:hAnsi="宋体"/>
        </w:rPr>
        <w:fldChar w:fldCharType="separate"/>
      </w:r>
      <w:r>
        <w:rPr>
          <w:rStyle w:val="85"/>
          <w:rFonts w:ascii="宋体" w:hAnsi="宋体"/>
        </w:rPr>
        <w:t>359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"_Toc106883626" </w:instrText>
      </w:r>
      <w:r>
        <w:fldChar w:fldCharType="separate"/>
      </w:r>
      <w:r>
        <w:rPr>
          <w:rStyle w:val="85"/>
          <w:rFonts w:ascii="宋体" w:hAnsi="宋体"/>
        </w:rPr>
        <w:t>8.4.3基本要求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_Toc106883626 \h </w:instrText>
      </w:r>
      <w:r>
        <w:rPr>
          <w:rStyle w:val="85"/>
          <w:rFonts w:ascii="宋体" w:hAnsi="宋体"/>
        </w:rPr>
        <w:fldChar w:fldCharType="separate"/>
      </w:r>
      <w:r>
        <w:rPr>
          <w:rStyle w:val="85"/>
          <w:rFonts w:ascii="宋体" w:hAnsi="宋体"/>
        </w:rPr>
        <w:t>359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"_Toc106883628" </w:instrText>
      </w:r>
      <w:r>
        <w:fldChar w:fldCharType="separate"/>
      </w:r>
      <w:r>
        <w:rPr>
          <w:rStyle w:val="85"/>
          <w:rFonts w:ascii="宋体" w:hAnsi="宋体"/>
        </w:rPr>
        <w:t>8.4.4详细说明</w:t>
      </w:r>
      <w:r>
        <w:rPr>
          <w:rStyle w:val="85"/>
          <w:rFonts w:ascii="宋体" w:hAnsi="宋体"/>
        </w:rPr>
        <w:tab/>
      </w:r>
      <w:r>
        <w:rPr>
          <w:rStyle w:val="85"/>
          <w:rFonts w:ascii="宋体" w:hAnsi="宋体"/>
        </w:rPr>
        <w:fldChar w:fldCharType="begin"/>
      </w:r>
      <w:r>
        <w:rPr>
          <w:rStyle w:val="85"/>
          <w:rFonts w:ascii="宋体" w:hAnsi="宋体"/>
        </w:rPr>
        <w:instrText xml:space="preserve"> PAGEREF _Toc106883628 \h </w:instrText>
      </w:r>
      <w:r>
        <w:rPr>
          <w:rStyle w:val="85"/>
          <w:rFonts w:ascii="宋体" w:hAnsi="宋体"/>
        </w:rPr>
        <w:fldChar w:fldCharType="separate"/>
      </w:r>
      <w:r>
        <w:rPr>
          <w:rStyle w:val="85"/>
          <w:rFonts w:ascii="宋体" w:hAnsi="宋体"/>
        </w:rPr>
        <w:t>361</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"_Toc106883629" </w:instrText>
      </w:r>
      <w:r>
        <w:fldChar w:fldCharType="separate"/>
      </w:r>
      <w:r>
        <w:rPr>
          <w:rStyle w:val="85"/>
          <w:rFonts w:ascii="宋体" w:hAnsi="宋体" w:cs="楷体"/>
        </w:rPr>
        <w:t>8.5多功能阀</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_Toc106883629 \h </w:instrText>
      </w:r>
      <w:r>
        <w:rPr>
          <w:rStyle w:val="85"/>
          <w:rFonts w:ascii="宋体" w:hAnsi="宋体" w:cs="楷体"/>
        </w:rPr>
        <w:fldChar w:fldCharType="separate"/>
      </w:r>
      <w:r>
        <w:rPr>
          <w:rStyle w:val="85"/>
          <w:rFonts w:ascii="宋体" w:hAnsi="宋体" w:cs="楷体"/>
        </w:rPr>
        <w:t>362</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"_Toc106883630" </w:instrText>
      </w:r>
      <w:r>
        <w:fldChar w:fldCharType="separate"/>
      </w:r>
      <w:r>
        <w:rPr>
          <w:rStyle w:val="85"/>
          <w:rFonts w:ascii="宋体" w:hAnsi="宋体"/>
        </w:rPr>
        <w:t>8.5.1概述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_Toc106883630 \h </w:instrText>
      </w:r>
      <w:r>
        <w:rPr>
          <w:rStyle w:val="85"/>
          <w:rFonts w:ascii="宋体" w:hAnsi="宋体"/>
        </w:rPr>
        <w:fldChar w:fldCharType="separate"/>
      </w:r>
      <w:r>
        <w:rPr>
          <w:rStyle w:val="85"/>
          <w:rFonts w:ascii="宋体" w:hAnsi="宋体"/>
        </w:rPr>
        <w:t>362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"_Toc106883631" </w:instrText>
      </w:r>
      <w:r>
        <w:fldChar w:fldCharType="separate"/>
      </w:r>
      <w:r>
        <w:rPr>
          <w:rStyle w:val="85"/>
          <w:rFonts w:ascii="宋体" w:hAnsi="宋体"/>
        </w:rPr>
        <w:t>8.5.2供货范围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_Toc106883631 \h </w:instrText>
      </w:r>
      <w:r>
        <w:rPr>
          <w:rStyle w:val="85"/>
          <w:rFonts w:ascii="宋体" w:hAnsi="宋体"/>
        </w:rPr>
        <w:fldChar w:fldCharType="separate"/>
      </w:r>
      <w:r>
        <w:rPr>
          <w:rStyle w:val="85"/>
          <w:rFonts w:ascii="宋体" w:hAnsi="宋体"/>
        </w:rPr>
        <w:t>362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"_Toc106883632" </w:instrText>
      </w:r>
      <w:r>
        <w:fldChar w:fldCharType="separate"/>
      </w:r>
      <w:r>
        <w:rPr>
          <w:rStyle w:val="85"/>
          <w:rFonts w:ascii="宋体" w:hAnsi="宋体"/>
        </w:rPr>
        <w:t>8.5.3基本要求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_Toc106883632 \h </w:instrText>
      </w:r>
      <w:r>
        <w:rPr>
          <w:rStyle w:val="85"/>
          <w:rFonts w:ascii="宋体" w:hAnsi="宋体"/>
        </w:rPr>
        <w:fldChar w:fldCharType="separate"/>
      </w:r>
      <w:r>
        <w:rPr>
          <w:rStyle w:val="85"/>
          <w:rFonts w:ascii="宋体" w:hAnsi="宋体"/>
        </w:rPr>
        <w:t>362</w:t>
      </w:r>
      <w:r>
        <w:rPr>
          <w:rStyle w:val="85"/>
          <w:rFonts w:ascii="宋体" w:hAnsi="宋体"/>
        </w:rPr>
        <w:fldChar w:fldCharType="end"/>
      </w:r>
      <w:r>
        <w:rPr>
          <w:rStyle w:val="85"/>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"_Toc106883633" </w:instrText>
      </w:r>
      <w:r>
        <w:fldChar w:fldCharType="separate"/>
      </w:r>
      <w:r>
        <w:rPr>
          <w:rStyle w:val="85"/>
          <w:rFonts w:ascii="宋体" w:hAnsi="宋体" w:cs="楷体"/>
        </w:rPr>
        <w:t>8.5.4详细说明</w:t>
      </w:r>
      <w:r>
        <w:rPr>
          <w:rFonts w:ascii="宋体" w:hAnsi="宋体"/>
        </w:rPr>
        <w:tab/>
      </w:r>
      <w:r>
        <w:rPr>
          <w:rFonts w:ascii="宋体" w:hAnsi="宋体"/>
        </w:rPr>
        <w:fldChar w:fldCharType="begin"/>
      </w:r>
      <w:r>
        <w:rPr>
          <w:rFonts w:ascii="宋体" w:hAnsi="宋体"/>
        </w:rPr>
        <w:instrText xml:space="preserve"> PAGEREF _Toc106883633 \h </w:instrText>
      </w:r>
      <w:r>
        <w:rPr>
          <w:rFonts w:ascii="宋体" w:hAnsi="宋体"/>
        </w:rPr>
        <w:fldChar w:fldCharType="separate"/>
      </w:r>
      <w:r>
        <w:rPr>
          <w:rFonts w:ascii="宋体" w:hAnsi="宋体"/>
        </w:rPr>
        <w:t>362</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"_Toc106883634" </w:instrText>
      </w:r>
      <w:r>
        <w:fldChar w:fldCharType="separate"/>
      </w:r>
      <w:r>
        <w:rPr>
          <w:rStyle w:val="85"/>
          <w:rFonts w:ascii="宋体" w:hAnsi="宋体" w:cs="楷体"/>
        </w:rPr>
        <w:t>8.6调流调压阀</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_Toc106883634 \h </w:instrText>
      </w:r>
      <w:r>
        <w:rPr>
          <w:rStyle w:val="85"/>
          <w:rFonts w:ascii="宋体" w:hAnsi="宋体" w:cs="楷体"/>
        </w:rPr>
        <w:fldChar w:fldCharType="separate"/>
      </w:r>
      <w:r>
        <w:rPr>
          <w:rStyle w:val="85"/>
          <w:rFonts w:ascii="宋体" w:hAnsi="宋体" w:cs="楷体"/>
        </w:rPr>
        <w:t>363</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"_Toc106883635" </w:instrText>
      </w:r>
      <w:r>
        <w:fldChar w:fldCharType="separate"/>
      </w:r>
      <w:r>
        <w:rPr>
          <w:rStyle w:val="85"/>
          <w:rFonts w:ascii="宋体" w:hAnsi="宋体"/>
        </w:rPr>
        <w:t>8.6.1概述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_Toc106883635 \h </w:instrText>
      </w:r>
      <w:r>
        <w:rPr>
          <w:rStyle w:val="85"/>
          <w:rFonts w:ascii="宋体" w:hAnsi="宋体"/>
        </w:rPr>
        <w:fldChar w:fldCharType="separate"/>
      </w:r>
      <w:r>
        <w:rPr>
          <w:rStyle w:val="85"/>
          <w:rFonts w:ascii="宋体" w:hAnsi="宋体"/>
        </w:rPr>
        <w:t>363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"_Toc106883636" </w:instrText>
      </w:r>
      <w:r>
        <w:fldChar w:fldCharType="separate"/>
      </w:r>
      <w:r>
        <w:rPr>
          <w:rStyle w:val="85"/>
          <w:rFonts w:ascii="宋体" w:hAnsi="宋体"/>
        </w:rPr>
        <w:t>8.6.2供货范围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_Toc106883636 \h </w:instrText>
      </w:r>
      <w:r>
        <w:rPr>
          <w:rStyle w:val="85"/>
          <w:rFonts w:ascii="宋体" w:hAnsi="宋体"/>
        </w:rPr>
        <w:fldChar w:fldCharType="separate"/>
      </w:r>
      <w:r>
        <w:rPr>
          <w:rStyle w:val="85"/>
          <w:rFonts w:ascii="宋体" w:hAnsi="宋体"/>
        </w:rPr>
        <w:t>364</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"_Toc106883637" </w:instrText>
      </w:r>
      <w:r>
        <w:fldChar w:fldCharType="separate"/>
      </w:r>
      <w:r>
        <w:rPr>
          <w:rStyle w:val="85"/>
          <w:rFonts w:ascii="宋体" w:hAnsi="宋体"/>
        </w:rPr>
        <w:t>8.6.3</w:t>
      </w:r>
      <w:r>
        <w:rPr>
          <w:rStyle w:val="85"/>
          <w:rFonts w:hint="eastAsia" w:ascii="宋体" w:hAnsi="宋体"/>
        </w:rPr>
        <w:t>技术</w:t>
      </w:r>
      <w:r>
        <w:rPr>
          <w:rStyle w:val="85"/>
          <w:rFonts w:ascii="宋体" w:hAnsi="宋体"/>
        </w:rPr>
        <w:t>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_Toc106883637 \h </w:instrText>
      </w:r>
      <w:r>
        <w:rPr>
          <w:rStyle w:val="85"/>
          <w:rFonts w:ascii="宋体" w:hAnsi="宋体"/>
        </w:rPr>
        <w:fldChar w:fldCharType="separate"/>
      </w:r>
      <w:r>
        <w:rPr>
          <w:rStyle w:val="85"/>
          <w:rFonts w:ascii="宋体" w:hAnsi="宋体"/>
        </w:rPr>
        <w:t>364</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"_Toc106883638" </w:instrText>
      </w:r>
      <w:r>
        <w:fldChar w:fldCharType="separate"/>
      </w:r>
      <w:r>
        <w:rPr>
          <w:rStyle w:val="85"/>
          <w:rFonts w:ascii="宋体" w:hAnsi="宋体"/>
        </w:rPr>
        <w:t>8.6.4</w:t>
      </w:r>
      <w:r>
        <w:rPr>
          <w:rFonts w:ascii="宋体" w:hAnsi="宋体" w:cs="宋体"/>
          <w:lang w:val="zh-TW" w:eastAsia="zh-TW"/>
        </w:rPr>
        <w:t>电动执行器技术要求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_Toc106883638 \h </w:instrText>
      </w:r>
      <w:r>
        <w:rPr>
          <w:rStyle w:val="85"/>
          <w:rFonts w:ascii="宋体" w:hAnsi="宋体"/>
        </w:rPr>
        <w:fldChar w:fldCharType="separate"/>
      </w:r>
      <w:r>
        <w:rPr>
          <w:rStyle w:val="85"/>
          <w:rFonts w:ascii="宋体" w:hAnsi="宋体"/>
        </w:rPr>
        <w:t>365</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"_Toc106883642" </w:instrText>
      </w:r>
      <w:r>
        <w:fldChar w:fldCharType="separate"/>
      </w:r>
      <w:r>
        <w:rPr>
          <w:rStyle w:val="85"/>
          <w:rFonts w:ascii="宋体" w:hAnsi="宋体" w:cs="楷体"/>
        </w:rPr>
        <w:t>8.7伸缩节</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_Toc106883642 \h </w:instrText>
      </w:r>
      <w:r>
        <w:rPr>
          <w:rStyle w:val="85"/>
          <w:rFonts w:ascii="宋体" w:hAnsi="宋体" w:cs="楷体"/>
        </w:rPr>
        <w:fldChar w:fldCharType="separate"/>
      </w:r>
      <w:r>
        <w:rPr>
          <w:rStyle w:val="85"/>
          <w:rFonts w:ascii="宋体" w:hAnsi="宋体" w:cs="楷体"/>
        </w:rPr>
        <w:t>366</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"_Toc106883643" </w:instrText>
      </w:r>
      <w:r>
        <w:fldChar w:fldCharType="separate"/>
      </w:r>
      <w:r>
        <w:rPr>
          <w:rStyle w:val="85"/>
          <w:rFonts w:ascii="宋体" w:hAnsi="宋体"/>
        </w:rPr>
        <w:t>8.7.1概述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_Toc106883643 \h </w:instrText>
      </w:r>
      <w:r>
        <w:rPr>
          <w:rStyle w:val="85"/>
          <w:rFonts w:ascii="宋体" w:hAnsi="宋体"/>
        </w:rPr>
        <w:fldChar w:fldCharType="separate"/>
      </w:r>
      <w:r>
        <w:rPr>
          <w:rStyle w:val="85"/>
          <w:rFonts w:ascii="宋体" w:hAnsi="宋体"/>
        </w:rPr>
        <w:t>366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"_Toc106883644" </w:instrText>
      </w:r>
      <w:r>
        <w:fldChar w:fldCharType="separate"/>
      </w:r>
      <w:r>
        <w:rPr>
          <w:rStyle w:val="85"/>
          <w:rFonts w:ascii="宋体" w:hAnsi="宋体"/>
        </w:rPr>
        <w:t>8.7.2供货范围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_Toc106883644 \h </w:instrText>
      </w:r>
      <w:r>
        <w:rPr>
          <w:rStyle w:val="85"/>
          <w:rFonts w:ascii="宋体" w:hAnsi="宋体"/>
        </w:rPr>
        <w:fldChar w:fldCharType="separate"/>
      </w:r>
      <w:r>
        <w:rPr>
          <w:rStyle w:val="85"/>
          <w:rFonts w:ascii="宋体" w:hAnsi="宋体"/>
        </w:rPr>
        <w:t>367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"_Toc106883645" </w:instrText>
      </w:r>
      <w:r>
        <w:fldChar w:fldCharType="separate"/>
      </w:r>
      <w:r>
        <w:rPr>
          <w:rStyle w:val="85"/>
          <w:rFonts w:ascii="宋体" w:hAnsi="宋体"/>
        </w:rPr>
        <w:t>8.7.3基本要求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_Toc106883645 \h </w:instrText>
      </w:r>
      <w:r>
        <w:rPr>
          <w:rStyle w:val="85"/>
          <w:rFonts w:ascii="宋体" w:hAnsi="宋体"/>
        </w:rPr>
        <w:fldChar w:fldCharType="separate"/>
      </w:r>
      <w:r>
        <w:rPr>
          <w:rStyle w:val="85"/>
          <w:rFonts w:ascii="宋体" w:hAnsi="宋体"/>
        </w:rPr>
        <w:t>368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"_Toc106883646" </w:instrText>
      </w:r>
      <w:r>
        <w:fldChar w:fldCharType="separate"/>
      </w:r>
      <w:r>
        <w:rPr>
          <w:rStyle w:val="85"/>
          <w:rFonts w:ascii="宋体" w:hAnsi="宋体"/>
        </w:rPr>
        <w:t>8.7.4详细要求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_Toc106883646 \h </w:instrText>
      </w:r>
      <w:r>
        <w:rPr>
          <w:rStyle w:val="85"/>
          <w:rFonts w:ascii="宋体" w:hAnsi="宋体"/>
        </w:rPr>
        <w:fldChar w:fldCharType="separate"/>
      </w:r>
      <w:r>
        <w:rPr>
          <w:rStyle w:val="85"/>
          <w:rFonts w:ascii="宋体" w:hAnsi="宋体"/>
        </w:rPr>
        <w:t>369</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"_Toc106883648" </w:instrText>
      </w:r>
      <w:r>
        <w:fldChar w:fldCharType="separate"/>
      </w:r>
      <w:r>
        <w:rPr>
          <w:rStyle w:val="85"/>
          <w:rFonts w:ascii="宋体" w:hAnsi="宋体" w:cs="楷体"/>
        </w:rPr>
        <w:t>8.8潜水泵</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_Toc106883648 \h </w:instrText>
      </w:r>
      <w:r>
        <w:rPr>
          <w:rStyle w:val="85"/>
          <w:rFonts w:ascii="宋体" w:hAnsi="宋体" w:cs="楷体"/>
        </w:rPr>
        <w:fldChar w:fldCharType="separate"/>
      </w:r>
      <w:r>
        <w:rPr>
          <w:rStyle w:val="85"/>
          <w:rFonts w:ascii="宋体" w:hAnsi="宋体" w:cs="楷体"/>
        </w:rPr>
        <w:t>369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"_Toc106883649" </w:instrText>
      </w:r>
      <w:r>
        <w:fldChar w:fldCharType="separate"/>
      </w:r>
      <w:r>
        <w:rPr>
          <w:rStyle w:val="85"/>
          <w:rFonts w:ascii="宋体" w:hAnsi="宋体"/>
        </w:rPr>
        <w:t>8.8.1概述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_Toc106883649 \h </w:instrText>
      </w:r>
      <w:r>
        <w:rPr>
          <w:rStyle w:val="85"/>
          <w:rFonts w:ascii="宋体" w:hAnsi="宋体"/>
        </w:rPr>
        <w:fldChar w:fldCharType="separate"/>
      </w:r>
      <w:r>
        <w:rPr>
          <w:rStyle w:val="85"/>
          <w:rFonts w:ascii="宋体" w:hAnsi="宋体"/>
        </w:rPr>
        <w:t>369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"_Toc106883650" </w:instrText>
      </w:r>
      <w:r>
        <w:fldChar w:fldCharType="separate"/>
      </w:r>
      <w:r>
        <w:rPr>
          <w:rStyle w:val="85"/>
          <w:rFonts w:ascii="宋体" w:hAnsi="宋体"/>
        </w:rPr>
        <w:t>8.8.2设备清单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_Toc106883650 \h </w:instrText>
      </w:r>
      <w:r>
        <w:rPr>
          <w:rStyle w:val="85"/>
          <w:rFonts w:ascii="宋体" w:hAnsi="宋体"/>
        </w:rPr>
        <w:fldChar w:fldCharType="separate"/>
      </w:r>
      <w:r>
        <w:rPr>
          <w:rStyle w:val="85"/>
          <w:rFonts w:ascii="宋体" w:hAnsi="宋体"/>
        </w:rPr>
        <w:t>369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"_Toc106883651" </w:instrText>
      </w:r>
      <w:r>
        <w:fldChar w:fldCharType="separate"/>
      </w:r>
      <w:r>
        <w:rPr>
          <w:rStyle w:val="85"/>
          <w:rFonts w:ascii="宋体" w:hAnsi="宋体"/>
        </w:rPr>
        <w:t>8.8.3供货范围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_Toc106883651 \h </w:instrText>
      </w:r>
      <w:r>
        <w:rPr>
          <w:rStyle w:val="85"/>
          <w:rFonts w:ascii="宋体" w:hAnsi="宋体"/>
        </w:rPr>
        <w:fldChar w:fldCharType="separate"/>
      </w:r>
      <w:r>
        <w:rPr>
          <w:rStyle w:val="85"/>
          <w:rFonts w:ascii="宋体" w:hAnsi="宋体"/>
        </w:rPr>
        <w:t>370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"_Toc106883652" </w:instrText>
      </w:r>
      <w:r>
        <w:fldChar w:fldCharType="separate"/>
      </w:r>
      <w:r>
        <w:rPr>
          <w:rStyle w:val="85"/>
          <w:rFonts w:ascii="宋体" w:hAnsi="宋体"/>
        </w:rPr>
        <w:t>8.8.4运行条件及使用环境</w:t>
      </w:r>
      <w:r>
        <w:rPr>
          <w:rStyle w:val="85"/>
          <w:rFonts w:ascii="宋体" w:hAnsi="宋体"/>
        </w:rPr>
        <w:tab/>
      </w:r>
      <w:r>
        <w:rPr>
          <w:rStyle w:val="85"/>
          <w:rFonts w:ascii="宋体" w:hAnsi="宋体"/>
        </w:rPr>
        <w:fldChar w:fldCharType="begin"/>
      </w:r>
      <w:r>
        <w:rPr>
          <w:rStyle w:val="85"/>
          <w:rFonts w:ascii="宋体" w:hAnsi="宋体"/>
        </w:rPr>
        <w:instrText xml:space="preserve"> PAGEREF _Toc106883652 \h </w:instrText>
      </w:r>
      <w:r>
        <w:rPr>
          <w:rStyle w:val="85"/>
          <w:rFonts w:ascii="宋体" w:hAnsi="宋体"/>
        </w:rPr>
        <w:fldChar w:fldCharType="separate"/>
      </w:r>
      <w:r>
        <w:rPr>
          <w:rStyle w:val="85"/>
          <w:rFonts w:ascii="宋体" w:hAnsi="宋体"/>
        </w:rPr>
        <w:t>370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"_Toc106883653" </w:instrText>
      </w:r>
      <w:r>
        <w:fldChar w:fldCharType="separate"/>
      </w:r>
      <w:r>
        <w:rPr>
          <w:rStyle w:val="85"/>
          <w:rFonts w:ascii="宋体" w:hAnsi="宋体"/>
        </w:rPr>
        <w:t>8.8.4.2使用环境</w:t>
      </w:r>
      <w:r>
        <w:rPr>
          <w:rStyle w:val="85"/>
          <w:rFonts w:ascii="宋体" w:hAnsi="宋体"/>
        </w:rPr>
        <w:tab/>
      </w:r>
      <w:r>
        <w:rPr>
          <w:rStyle w:val="85"/>
          <w:rFonts w:ascii="宋体" w:hAnsi="宋体"/>
        </w:rPr>
        <w:fldChar w:fldCharType="begin"/>
      </w:r>
      <w:r>
        <w:rPr>
          <w:rStyle w:val="85"/>
          <w:rFonts w:ascii="宋体" w:hAnsi="宋体"/>
        </w:rPr>
        <w:instrText xml:space="preserve"> PAGEREF _Toc106883653 \h </w:instrText>
      </w:r>
      <w:r>
        <w:rPr>
          <w:rStyle w:val="85"/>
          <w:rFonts w:ascii="宋体" w:hAnsi="宋体"/>
        </w:rPr>
        <w:fldChar w:fldCharType="separate"/>
      </w:r>
      <w:r>
        <w:rPr>
          <w:rStyle w:val="85"/>
          <w:rFonts w:ascii="宋体" w:hAnsi="宋体"/>
        </w:rPr>
        <w:t>370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"_Toc106883654" </w:instrText>
      </w:r>
      <w:r>
        <w:fldChar w:fldCharType="separate"/>
      </w:r>
      <w:r>
        <w:rPr>
          <w:rStyle w:val="85"/>
          <w:rFonts w:ascii="宋体" w:hAnsi="宋体"/>
        </w:rPr>
        <w:t>8.8.5特别说明</w:t>
      </w:r>
      <w:r>
        <w:rPr>
          <w:rStyle w:val="85"/>
          <w:rFonts w:ascii="宋体" w:hAnsi="宋体"/>
        </w:rPr>
        <w:tab/>
      </w:r>
      <w:r>
        <w:rPr>
          <w:rStyle w:val="85"/>
          <w:rFonts w:ascii="宋体" w:hAnsi="宋体"/>
        </w:rPr>
        <w:fldChar w:fldCharType="begin"/>
      </w:r>
      <w:r>
        <w:rPr>
          <w:rStyle w:val="85"/>
          <w:rFonts w:ascii="宋体" w:hAnsi="宋体"/>
        </w:rPr>
        <w:instrText xml:space="preserve"> PAGEREF _Toc106883654 \h </w:instrText>
      </w:r>
      <w:r>
        <w:rPr>
          <w:rStyle w:val="85"/>
          <w:rFonts w:ascii="宋体" w:hAnsi="宋体"/>
        </w:rPr>
        <w:fldChar w:fldCharType="separate"/>
      </w:r>
      <w:r>
        <w:rPr>
          <w:rStyle w:val="85"/>
          <w:rFonts w:ascii="宋体" w:hAnsi="宋体"/>
        </w:rPr>
        <w:t>370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"_Toc106883655" </w:instrText>
      </w:r>
      <w:r>
        <w:fldChar w:fldCharType="separate"/>
      </w:r>
      <w:r>
        <w:rPr>
          <w:rStyle w:val="85"/>
          <w:rFonts w:ascii="宋体" w:hAnsi="宋体"/>
        </w:rPr>
        <w:t>8.8.6技术要求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_Toc106883655 \h </w:instrText>
      </w:r>
      <w:r>
        <w:rPr>
          <w:rStyle w:val="85"/>
          <w:rFonts w:ascii="宋体" w:hAnsi="宋体"/>
        </w:rPr>
        <w:fldChar w:fldCharType="separate"/>
      </w:r>
      <w:r>
        <w:rPr>
          <w:rStyle w:val="85"/>
          <w:rFonts w:ascii="宋体" w:hAnsi="宋体"/>
        </w:rPr>
        <w:t>371</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"_Toc106883656" </w:instrText>
      </w:r>
      <w:r>
        <w:fldChar w:fldCharType="separate"/>
      </w:r>
      <w:r>
        <w:rPr>
          <w:rStyle w:val="85"/>
          <w:rFonts w:ascii="宋体" w:hAnsi="宋体" w:cs="楷体"/>
        </w:rPr>
        <w:t>8.9离心泵</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_Toc106883656 \h </w:instrText>
      </w:r>
      <w:r>
        <w:rPr>
          <w:rStyle w:val="85"/>
          <w:rFonts w:ascii="宋体" w:hAnsi="宋体" w:cs="楷体"/>
        </w:rPr>
        <w:fldChar w:fldCharType="separate"/>
      </w:r>
      <w:r>
        <w:rPr>
          <w:rStyle w:val="85"/>
          <w:rFonts w:ascii="宋体" w:hAnsi="宋体" w:cs="楷体"/>
        </w:rPr>
        <w:t>375</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"_Toc106883657" </w:instrText>
      </w:r>
      <w:r>
        <w:fldChar w:fldCharType="separate"/>
      </w:r>
      <w:r>
        <w:rPr>
          <w:rStyle w:val="85"/>
          <w:rFonts w:ascii="宋体" w:hAnsi="宋体"/>
        </w:rPr>
        <w:t>8.9.1概述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_Toc106883657 \h </w:instrText>
      </w:r>
      <w:r>
        <w:rPr>
          <w:rStyle w:val="85"/>
          <w:rFonts w:ascii="宋体" w:hAnsi="宋体"/>
        </w:rPr>
        <w:fldChar w:fldCharType="separate"/>
      </w:r>
      <w:r>
        <w:rPr>
          <w:rStyle w:val="85"/>
          <w:rFonts w:ascii="宋体" w:hAnsi="宋体"/>
        </w:rPr>
        <w:t>375</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"_Toc106883658" </w:instrText>
      </w:r>
      <w:r>
        <w:fldChar w:fldCharType="separate"/>
      </w:r>
      <w:r>
        <w:rPr>
          <w:rStyle w:val="85"/>
          <w:rFonts w:ascii="宋体" w:hAnsi="宋体"/>
        </w:rPr>
        <w:t>8.9.2设备清单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_Toc106883658 \h </w:instrText>
      </w:r>
      <w:r>
        <w:rPr>
          <w:rStyle w:val="85"/>
          <w:rFonts w:ascii="宋体" w:hAnsi="宋体"/>
        </w:rPr>
        <w:fldChar w:fldCharType="separate"/>
      </w:r>
      <w:r>
        <w:rPr>
          <w:rStyle w:val="85"/>
          <w:rFonts w:ascii="宋体" w:hAnsi="宋体"/>
        </w:rPr>
        <w:t>375</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"_Toc106883659" </w:instrText>
      </w:r>
      <w:r>
        <w:fldChar w:fldCharType="separate"/>
      </w:r>
      <w:r>
        <w:rPr>
          <w:rStyle w:val="85"/>
          <w:rFonts w:ascii="宋体" w:hAnsi="宋体"/>
        </w:rPr>
        <w:t>8.9.3供货范围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_Toc106883659 \h </w:instrText>
      </w:r>
      <w:r>
        <w:rPr>
          <w:rStyle w:val="85"/>
          <w:rFonts w:ascii="宋体" w:hAnsi="宋体"/>
        </w:rPr>
        <w:fldChar w:fldCharType="separate"/>
      </w:r>
      <w:r>
        <w:rPr>
          <w:rStyle w:val="85"/>
          <w:rFonts w:ascii="宋体" w:hAnsi="宋体"/>
        </w:rPr>
        <w:t>375</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"_Toc106883660" </w:instrText>
      </w:r>
      <w:r>
        <w:fldChar w:fldCharType="separate"/>
      </w:r>
      <w:r>
        <w:rPr>
          <w:rStyle w:val="85"/>
          <w:rFonts w:ascii="宋体" w:hAnsi="宋体"/>
        </w:rPr>
        <w:t>8.9.4执行标准</w:t>
      </w:r>
      <w:r>
        <w:rPr>
          <w:rStyle w:val="85"/>
          <w:rFonts w:ascii="宋体" w:hAnsi="宋体"/>
        </w:rPr>
        <w:tab/>
      </w:r>
      <w:r>
        <w:rPr>
          <w:rStyle w:val="85"/>
          <w:rFonts w:ascii="宋体" w:hAnsi="宋体"/>
        </w:rPr>
        <w:fldChar w:fldCharType="begin"/>
      </w:r>
      <w:r>
        <w:rPr>
          <w:rStyle w:val="85"/>
          <w:rFonts w:ascii="宋体" w:hAnsi="宋体"/>
        </w:rPr>
        <w:instrText xml:space="preserve"> PAGEREF _Toc106883660 \h </w:instrText>
      </w:r>
      <w:r>
        <w:rPr>
          <w:rStyle w:val="85"/>
          <w:rFonts w:ascii="宋体" w:hAnsi="宋体"/>
        </w:rPr>
        <w:fldChar w:fldCharType="separate"/>
      </w:r>
      <w:r>
        <w:rPr>
          <w:rStyle w:val="85"/>
          <w:rFonts w:ascii="宋体" w:hAnsi="宋体"/>
        </w:rPr>
        <w:t>376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"_Toc106883661" </w:instrText>
      </w:r>
      <w:r>
        <w:fldChar w:fldCharType="separate"/>
      </w:r>
      <w:r>
        <w:rPr>
          <w:rStyle w:val="85"/>
          <w:rFonts w:ascii="宋体" w:hAnsi="宋体"/>
        </w:rPr>
        <w:t>8.9.5设备参数</w:t>
      </w:r>
      <w:r>
        <w:rPr>
          <w:rStyle w:val="85"/>
          <w:rFonts w:ascii="宋体" w:hAnsi="宋体"/>
        </w:rPr>
        <w:tab/>
      </w:r>
      <w:r>
        <w:rPr>
          <w:rStyle w:val="85"/>
          <w:rFonts w:ascii="宋体" w:hAnsi="宋体"/>
        </w:rPr>
        <w:fldChar w:fldCharType="begin"/>
      </w:r>
      <w:r>
        <w:rPr>
          <w:rStyle w:val="85"/>
          <w:rFonts w:ascii="宋体" w:hAnsi="宋体"/>
        </w:rPr>
        <w:instrText xml:space="preserve"> PAGEREF _Toc106883661 \h </w:instrText>
      </w:r>
      <w:r>
        <w:rPr>
          <w:rStyle w:val="85"/>
          <w:rFonts w:ascii="宋体" w:hAnsi="宋体"/>
        </w:rPr>
        <w:fldChar w:fldCharType="separate"/>
      </w:r>
      <w:r>
        <w:rPr>
          <w:rStyle w:val="85"/>
          <w:rFonts w:ascii="宋体" w:hAnsi="宋体"/>
        </w:rPr>
        <w:t>376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"_Toc106883662" </w:instrText>
      </w:r>
      <w:r>
        <w:fldChar w:fldCharType="separate"/>
      </w:r>
      <w:r>
        <w:rPr>
          <w:rStyle w:val="85"/>
          <w:rFonts w:ascii="宋体" w:hAnsi="宋体"/>
        </w:rPr>
        <w:t>8.9.6检验与试验</w:t>
      </w:r>
      <w:r>
        <w:rPr>
          <w:rStyle w:val="85"/>
          <w:rFonts w:ascii="宋体" w:hAnsi="宋体"/>
        </w:rPr>
        <w:tab/>
      </w:r>
      <w:r>
        <w:rPr>
          <w:rStyle w:val="85"/>
          <w:rFonts w:ascii="宋体" w:hAnsi="宋体"/>
        </w:rPr>
        <w:fldChar w:fldCharType="begin"/>
      </w:r>
      <w:r>
        <w:rPr>
          <w:rStyle w:val="85"/>
          <w:rFonts w:ascii="宋体" w:hAnsi="宋体"/>
        </w:rPr>
        <w:instrText xml:space="preserve"> PAGEREF _Toc106883662 \h </w:instrText>
      </w:r>
      <w:r>
        <w:rPr>
          <w:rStyle w:val="85"/>
          <w:rFonts w:ascii="宋体" w:hAnsi="宋体"/>
        </w:rPr>
        <w:fldChar w:fldCharType="separate"/>
      </w:r>
      <w:r>
        <w:rPr>
          <w:rStyle w:val="85"/>
          <w:rFonts w:ascii="宋体" w:hAnsi="宋体"/>
        </w:rPr>
        <w:t>381</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"_Toc106883663" </w:instrText>
      </w:r>
      <w:r>
        <w:fldChar w:fldCharType="separate"/>
      </w:r>
      <w:r>
        <w:rPr>
          <w:rStyle w:val="85"/>
          <w:rFonts w:ascii="宋体" w:hAnsi="宋体" w:cs="楷体"/>
        </w:rPr>
        <w:t>8.10排泥机</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_Toc106883663 \h </w:instrText>
      </w:r>
      <w:r>
        <w:rPr>
          <w:rStyle w:val="85"/>
          <w:rFonts w:ascii="宋体" w:hAnsi="宋体" w:cs="楷体"/>
        </w:rPr>
        <w:fldChar w:fldCharType="separate"/>
      </w:r>
      <w:r>
        <w:rPr>
          <w:rStyle w:val="85"/>
          <w:rFonts w:ascii="宋体" w:hAnsi="宋体" w:cs="楷体"/>
        </w:rPr>
        <w:t>382</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"_Toc106883664" </w:instrText>
      </w:r>
      <w:r>
        <w:fldChar w:fldCharType="separate"/>
      </w:r>
      <w:r>
        <w:rPr>
          <w:rStyle w:val="85"/>
          <w:rFonts w:ascii="宋体" w:hAnsi="宋体"/>
        </w:rPr>
        <w:t>8.10.1概述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_Toc106883664 \h </w:instrText>
      </w:r>
      <w:r>
        <w:rPr>
          <w:rStyle w:val="85"/>
          <w:rFonts w:ascii="宋体" w:hAnsi="宋体"/>
        </w:rPr>
        <w:fldChar w:fldCharType="separate"/>
      </w:r>
      <w:r>
        <w:rPr>
          <w:rStyle w:val="85"/>
          <w:rFonts w:ascii="宋体" w:hAnsi="宋体"/>
        </w:rPr>
        <w:t>382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"_Toc106883665" </w:instrText>
      </w:r>
      <w:r>
        <w:fldChar w:fldCharType="separate"/>
      </w:r>
      <w:r>
        <w:rPr>
          <w:rStyle w:val="85"/>
          <w:rFonts w:ascii="宋体" w:hAnsi="宋体"/>
        </w:rPr>
        <w:t>8.10.2设备清单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_Toc106883665 \h </w:instrText>
      </w:r>
      <w:r>
        <w:rPr>
          <w:rStyle w:val="85"/>
          <w:rFonts w:ascii="宋体" w:hAnsi="宋体"/>
        </w:rPr>
        <w:fldChar w:fldCharType="separate"/>
      </w:r>
      <w:r>
        <w:rPr>
          <w:rStyle w:val="85"/>
          <w:rFonts w:ascii="宋体" w:hAnsi="宋体"/>
        </w:rPr>
        <w:t>382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"_Toc106883666" </w:instrText>
      </w:r>
      <w:r>
        <w:fldChar w:fldCharType="separate"/>
      </w:r>
      <w:r>
        <w:rPr>
          <w:rStyle w:val="85"/>
          <w:rFonts w:ascii="宋体" w:hAnsi="宋体"/>
        </w:rPr>
        <w:t>8.10.3泵虹吸排泥机</w:t>
      </w:r>
      <w:r>
        <w:rPr>
          <w:rStyle w:val="85"/>
          <w:rFonts w:ascii="宋体" w:hAnsi="宋体"/>
        </w:rPr>
        <w:tab/>
      </w:r>
      <w:r>
        <w:rPr>
          <w:rStyle w:val="85"/>
          <w:rFonts w:ascii="宋体" w:hAnsi="宋体"/>
        </w:rPr>
        <w:fldChar w:fldCharType="begin"/>
      </w:r>
      <w:r>
        <w:rPr>
          <w:rStyle w:val="85"/>
          <w:rFonts w:ascii="宋体" w:hAnsi="宋体"/>
        </w:rPr>
        <w:instrText xml:space="preserve"> PAGEREF _Toc106883666 \h </w:instrText>
      </w:r>
      <w:r>
        <w:rPr>
          <w:rStyle w:val="85"/>
          <w:rFonts w:ascii="宋体" w:hAnsi="宋体"/>
        </w:rPr>
        <w:fldChar w:fldCharType="separate"/>
      </w:r>
      <w:r>
        <w:rPr>
          <w:rStyle w:val="85"/>
          <w:rFonts w:ascii="宋体" w:hAnsi="宋体"/>
        </w:rPr>
        <w:t>382</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"_Toc106883667" </w:instrText>
      </w:r>
      <w:r>
        <w:fldChar w:fldCharType="separate"/>
      </w:r>
      <w:r>
        <w:rPr>
          <w:rStyle w:val="85"/>
          <w:rFonts w:ascii="宋体" w:hAnsi="宋体" w:cs="楷体"/>
        </w:rPr>
        <w:t>8.11不锈钢折板</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_Toc106883667 \h </w:instrText>
      </w:r>
      <w:r>
        <w:rPr>
          <w:rStyle w:val="85"/>
          <w:rFonts w:ascii="宋体" w:hAnsi="宋体" w:cs="楷体"/>
        </w:rPr>
        <w:fldChar w:fldCharType="separate"/>
      </w:r>
      <w:r>
        <w:rPr>
          <w:rStyle w:val="85"/>
          <w:rFonts w:ascii="宋体" w:hAnsi="宋体" w:cs="楷体"/>
        </w:rPr>
        <w:t>386</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"_Toc106883668" </w:instrText>
      </w:r>
      <w:r>
        <w:fldChar w:fldCharType="separate"/>
      </w:r>
      <w:r>
        <w:rPr>
          <w:rStyle w:val="85"/>
          <w:rFonts w:ascii="宋体" w:hAnsi="宋体"/>
        </w:rPr>
        <w:t>8.11.1概述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_Toc106883668 \h </w:instrText>
      </w:r>
      <w:r>
        <w:rPr>
          <w:rStyle w:val="85"/>
          <w:rFonts w:ascii="宋体" w:hAnsi="宋体"/>
        </w:rPr>
        <w:fldChar w:fldCharType="separate"/>
      </w:r>
      <w:r>
        <w:rPr>
          <w:rStyle w:val="85"/>
          <w:rFonts w:ascii="宋体" w:hAnsi="宋体"/>
        </w:rPr>
        <w:t>386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"_Toc106883669" </w:instrText>
      </w:r>
      <w:r>
        <w:fldChar w:fldCharType="separate"/>
      </w:r>
      <w:r>
        <w:rPr>
          <w:rStyle w:val="85"/>
          <w:rFonts w:ascii="宋体" w:hAnsi="宋体"/>
        </w:rPr>
        <w:t>8.11.2设备清单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_Toc106883669 \h </w:instrText>
      </w:r>
      <w:r>
        <w:rPr>
          <w:rStyle w:val="85"/>
          <w:rFonts w:ascii="宋体" w:hAnsi="宋体"/>
        </w:rPr>
        <w:fldChar w:fldCharType="separate"/>
      </w:r>
      <w:r>
        <w:rPr>
          <w:rStyle w:val="85"/>
          <w:rFonts w:ascii="宋体" w:hAnsi="宋体"/>
        </w:rPr>
        <w:t>386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"_Toc106883670" </w:instrText>
      </w:r>
      <w:r>
        <w:fldChar w:fldCharType="separate"/>
      </w:r>
      <w:r>
        <w:rPr>
          <w:rStyle w:val="85"/>
          <w:rFonts w:ascii="宋体" w:hAnsi="宋体"/>
        </w:rPr>
        <w:t>8.11.3不锈钢折板</w:t>
      </w:r>
      <w:r>
        <w:rPr>
          <w:rStyle w:val="85"/>
          <w:rFonts w:ascii="宋体" w:hAnsi="宋体"/>
        </w:rPr>
        <w:tab/>
      </w:r>
      <w:r>
        <w:rPr>
          <w:rStyle w:val="85"/>
          <w:rFonts w:ascii="宋体" w:hAnsi="宋体"/>
        </w:rPr>
        <w:fldChar w:fldCharType="begin"/>
      </w:r>
      <w:r>
        <w:rPr>
          <w:rStyle w:val="85"/>
          <w:rFonts w:ascii="宋体" w:hAnsi="宋体"/>
        </w:rPr>
        <w:instrText xml:space="preserve"> PAGEREF _Toc106883670 \h </w:instrText>
      </w:r>
      <w:r>
        <w:rPr>
          <w:rStyle w:val="85"/>
          <w:rFonts w:ascii="宋体" w:hAnsi="宋体"/>
        </w:rPr>
        <w:fldChar w:fldCharType="separate"/>
      </w:r>
      <w:r>
        <w:rPr>
          <w:rStyle w:val="85"/>
          <w:rFonts w:ascii="宋体" w:hAnsi="宋体"/>
        </w:rPr>
        <w:t>387</w:t>
      </w:r>
      <w:r>
        <w:rPr>
          <w:rStyle w:val="85"/>
          <w:rFonts w:ascii="宋体" w:hAnsi="宋体"/>
        </w:rPr>
        <w:fldChar w:fldCharType="end"/>
      </w:r>
      <w:r>
        <w:rPr>
          <w:rStyle w:val="85"/>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"_Toc106883671" </w:instrText>
      </w:r>
      <w:r>
        <w:fldChar w:fldCharType="separate"/>
      </w:r>
      <w:r>
        <w:rPr>
          <w:rStyle w:val="85"/>
          <w:rFonts w:ascii="宋体" w:hAnsi="宋体" w:cs="楷体"/>
        </w:rPr>
        <w:t>8.11.3.2技术要求</w:t>
      </w:r>
      <w:r>
        <w:rPr>
          <w:rFonts w:ascii="宋体" w:hAnsi="宋体"/>
        </w:rPr>
        <w:tab/>
      </w:r>
      <w:r>
        <w:rPr>
          <w:rFonts w:ascii="宋体" w:hAnsi="宋体"/>
        </w:rPr>
        <w:fldChar w:fldCharType="begin"/>
      </w:r>
      <w:r>
        <w:rPr>
          <w:rFonts w:ascii="宋体" w:hAnsi="宋体"/>
        </w:rPr>
        <w:instrText xml:space="preserve"> PAGEREF _Toc106883671 \h </w:instrText>
      </w:r>
      <w:r>
        <w:rPr>
          <w:rFonts w:ascii="宋体" w:hAnsi="宋体"/>
        </w:rPr>
        <w:fldChar w:fldCharType="separate"/>
      </w:r>
      <w:r>
        <w:rPr>
          <w:rFonts w:ascii="宋体" w:hAnsi="宋体"/>
        </w:rPr>
        <w:t>387</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"_Toc106883672" </w:instrText>
      </w:r>
      <w:r>
        <w:fldChar w:fldCharType="separate"/>
      </w:r>
      <w:r>
        <w:rPr>
          <w:rStyle w:val="85"/>
          <w:rFonts w:ascii="宋体" w:hAnsi="宋体" w:cs="楷体"/>
        </w:rPr>
        <w:t>8.11.3.3制作要求</w:t>
      </w:r>
      <w:r>
        <w:rPr>
          <w:rFonts w:ascii="宋体" w:hAnsi="宋体"/>
        </w:rPr>
        <w:tab/>
      </w:r>
      <w:r>
        <w:rPr>
          <w:rFonts w:ascii="宋体" w:hAnsi="宋体"/>
        </w:rPr>
        <w:fldChar w:fldCharType="begin"/>
      </w:r>
      <w:r>
        <w:rPr>
          <w:rFonts w:ascii="宋体" w:hAnsi="宋体"/>
        </w:rPr>
        <w:instrText xml:space="preserve"> PAGEREF _Toc106883672 \h </w:instrText>
      </w:r>
      <w:r>
        <w:rPr>
          <w:rFonts w:ascii="宋体" w:hAnsi="宋体"/>
        </w:rPr>
        <w:fldChar w:fldCharType="separate"/>
      </w:r>
      <w:r>
        <w:rPr>
          <w:rFonts w:ascii="宋体" w:hAnsi="宋体"/>
        </w:rPr>
        <w:t>387</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"_Toc106883673" </w:instrText>
      </w:r>
      <w:r>
        <w:fldChar w:fldCharType="separate"/>
      </w:r>
      <w:r>
        <w:rPr>
          <w:rStyle w:val="85"/>
          <w:rFonts w:ascii="宋体" w:hAnsi="宋体" w:cs="楷体"/>
        </w:rPr>
        <w:t>8.12不锈钢集水槽</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_Toc106883673 \h </w:instrText>
      </w:r>
      <w:r>
        <w:rPr>
          <w:rStyle w:val="85"/>
          <w:rFonts w:ascii="宋体" w:hAnsi="宋体" w:cs="楷体"/>
        </w:rPr>
        <w:fldChar w:fldCharType="separate"/>
      </w:r>
      <w:r>
        <w:rPr>
          <w:rStyle w:val="85"/>
          <w:rFonts w:ascii="宋体" w:hAnsi="宋体" w:cs="楷体"/>
        </w:rPr>
        <w:t>387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"_Toc106883674" </w:instrText>
      </w:r>
      <w:r>
        <w:fldChar w:fldCharType="separate"/>
      </w:r>
      <w:r>
        <w:rPr>
          <w:rStyle w:val="85"/>
          <w:rFonts w:ascii="宋体" w:hAnsi="宋体"/>
        </w:rPr>
        <w:t>8.12.1概述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_Toc106883674 \h </w:instrText>
      </w:r>
      <w:r>
        <w:rPr>
          <w:rStyle w:val="85"/>
          <w:rFonts w:ascii="宋体" w:hAnsi="宋体"/>
        </w:rPr>
        <w:fldChar w:fldCharType="separate"/>
      </w:r>
      <w:r>
        <w:rPr>
          <w:rStyle w:val="85"/>
          <w:rFonts w:ascii="宋体" w:hAnsi="宋体"/>
        </w:rPr>
        <w:t>387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"_Toc106883675" </w:instrText>
      </w:r>
      <w:r>
        <w:fldChar w:fldCharType="separate"/>
      </w:r>
      <w:r>
        <w:rPr>
          <w:rStyle w:val="85"/>
          <w:rFonts w:ascii="宋体" w:hAnsi="宋体"/>
        </w:rPr>
        <w:t>8.12.2设备清单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_Toc106883675 \h </w:instrText>
      </w:r>
      <w:r>
        <w:rPr>
          <w:rStyle w:val="85"/>
          <w:rFonts w:ascii="宋体" w:hAnsi="宋体"/>
        </w:rPr>
        <w:fldChar w:fldCharType="separate"/>
      </w:r>
      <w:r>
        <w:rPr>
          <w:rStyle w:val="85"/>
          <w:rFonts w:ascii="宋体" w:hAnsi="宋体"/>
        </w:rPr>
        <w:t>388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"_Toc106883676" </w:instrText>
      </w:r>
      <w:r>
        <w:fldChar w:fldCharType="separate"/>
      </w:r>
      <w:r>
        <w:rPr>
          <w:rStyle w:val="85"/>
          <w:rFonts w:ascii="宋体" w:hAnsi="宋体"/>
        </w:rPr>
        <w:t>8.12.3集水槽</w:t>
      </w:r>
      <w:r>
        <w:rPr>
          <w:rStyle w:val="85"/>
          <w:rFonts w:ascii="宋体" w:hAnsi="宋体"/>
        </w:rPr>
        <w:tab/>
      </w:r>
      <w:r>
        <w:rPr>
          <w:rStyle w:val="85"/>
          <w:rFonts w:ascii="宋体" w:hAnsi="宋体"/>
        </w:rPr>
        <w:fldChar w:fldCharType="begin"/>
      </w:r>
      <w:r>
        <w:rPr>
          <w:rStyle w:val="85"/>
          <w:rFonts w:ascii="宋体" w:hAnsi="宋体"/>
        </w:rPr>
        <w:instrText xml:space="preserve"> PAGEREF _Toc106883676 \h </w:instrText>
      </w:r>
      <w:r>
        <w:rPr>
          <w:rStyle w:val="85"/>
          <w:rFonts w:ascii="宋体" w:hAnsi="宋体"/>
        </w:rPr>
        <w:fldChar w:fldCharType="separate"/>
      </w:r>
      <w:r>
        <w:rPr>
          <w:rStyle w:val="85"/>
          <w:rFonts w:ascii="宋体" w:hAnsi="宋体"/>
        </w:rPr>
        <w:t>388</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"_Toc106883677" </w:instrText>
      </w:r>
      <w:r>
        <w:fldChar w:fldCharType="separate"/>
      </w:r>
      <w:r>
        <w:rPr>
          <w:rStyle w:val="85"/>
          <w:rFonts w:ascii="宋体" w:hAnsi="宋体" w:cs="楷体"/>
        </w:rPr>
        <w:t>8.13滤板、滤头及石英砂</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_Toc106883677 \h </w:instrText>
      </w:r>
      <w:r>
        <w:rPr>
          <w:rStyle w:val="85"/>
          <w:rFonts w:ascii="宋体" w:hAnsi="宋体" w:cs="楷体"/>
        </w:rPr>
        <w:fldChar w:fldCharType="separate"/>
      </w:r>
      <w:r>
        <w:rPr>
          <w:rStyle w:val="85"/>
          <w:rFonts w:ascii="宋体" w:hAnsi="宋体" w:cs="楷体"/>
        </w:rPr>
        <w:t>389</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"_Toc106883678" </w:instrText>
      </w:r>
      <w:r>
        <w:fldChar w:fldCharType="separate"/>
      </w:r>
      <w:r>
        <w:rPr>
          <w:rStyle w:val="85"/>
          <w:rFonts w:ascii="宋体" w:hAnsi="宋体"/>
        </w:rPr>
        <w:t>8.13.1概述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_Toc106883678 \h </w:instrText>
      </w:r>
      <w:r>
        <w:rPr>
          <w:rStyle w:val="85"/>
          <w:rFonts w:ascii="宋体" w:hAnsi="宋体"/>
        </w:rPr>
        <w:fldChar w:fldCharType="separate"/>
      </w:r>
      <w:r>
        <w:rPr>
          <w:rStyle w:val="85"/>
          <w:rFonts w:ascii="宋体" w:hAnsi="宋体"/>
        </w:rPr>
        <w:t>389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"_Toc106883679" </w:instrText>
      </w:r>
      <w:r>
        <w:fldChar w:fldCharType="separate"/>
      </w:r>
      <w:r>
        <w:rPr>
          <w:rStyle w:val="85"/>
          <w:rFonts w:ascii="宋体" w:hAnsi="宋体"/>
        </w:rPr>
        <w:t>8.13.2设备清单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_Toc106883679 \h </w:instrText>
      </w:r>
      <w:r>
        <w:rPr>
          <w:rStyle w:val="85"/>
          <w:rFonts w:ascii="宋体" w:hAnsi="宋体"/>
        </w:rPr>
        <w:fldChar w:fldCharType="separate"/>
      </w:r>
      <w:r>
        <w:rPr>
          <w:rStyle w:val="85"/>
          <w:rFonts w:ascii="宋体" w:hAnsi="宋体"/>
        </w:rPr>
        <w:t>389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"_Toc106883680" </w:instrText>
      </w:r>
      <w:r>
        <w:fldChar w:fldCharType="separate"/>
      </w:r>
      <w:r>
        <w:rPr>
          <w:rStyle w:val="85"/>
          <w:rFonts w:ascii="宋体" w:hAnsi="宋体"/>
        </w:rPr>
        <w:t>8.13.3滤板、滤头</w:t>
      </w:r>
      <w:r>
        <w:rPr>
          <w:rStyle w:val="85"/>
          <w:rFonts w:ascii="宋体" w:hAnsi="宋体"/>
        </w:rPr>
        <w:tab/>
      </w:r>
      <w:r>
        <w:rPr>
          <w:rStyle w:val="85"/>
          <w:rFonts w:ascii="宋体" w:hAnsi="宋体"/>
        </w:rPr>
        <w:fldChar w:fldCharType="begin"/>
      </w:r>
      <w:r>
        <w:rPr>
          <w:rStyle w:val="85"/>
          <w:rFonts w:ascii="宋体" w:hAnsi="宋体"/>
        </w:rPr>
        <w:instrText xml:space="preserve"> PAGEREF _Toc106883680 \h </w:instrText>
      </w:r>
      <w:r>
        <w:rPr>
          <w:rStyle w:val="85"/>
          <w:rFonts w:ascii="宋体" w:hAnsi="宋体"/>
        </w:rPr>
        <w:fldChar w:fldCharType="separate"/>
      </w:r>
      <w:r>
        <w:rPr>
          <w:rStyle w:val="85"/>
          <w:rFonts w:ascii="宋体" w:hAnsi="宋体"/>
        </w:rPr>
        <w:t>389</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"_Toc106883684" </w:instrText>
      </w:r>
      <w:r>
        <w:fldChar w:fldCharType="separate"/>
      </w:r>
      <w:r>
        <w:rPr>
          <w:rStyle w:val="85"/>
          <w:rFonts w:ascii="宋体" w:hAnsi="宋体" w:cs="楷体"/>
        </w:rPr>
        <w:t>8.14罗茨风机</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_Toc106883684 \h </w:instrText>
      </w:r>
      <w:r>
        <w:rPr>
          <w:rStyle w:val="85"/>
          <w:rFonts w:ascii="宋体" w:hAnsi="宋体" w:cs="楷体"/>
        </w:rPr>
        <w:fldChar w:fldCharType="separate"/>
      </w:r>
      <w:r>
        <w:rPr>
          <w:rStyle w:val="85"/>
          <w:rFonts w:ascii="宋体" w:hAnsi="宋体" w:cs="楷体"/>
        </w:rPr>
        <w:t>392</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"_Toc106883685" </w:instrText>
      </w:r>
      <w:r>
        <w:fldChar w:fldCharType="separate"/>
      </w:r>
      <w:r>
        <w:rPr>
          <w:rStyle w:val="85"/>
          <w:rFonts w:ascii="宋体" w:hAnsi="宋体"/>
        </w:rPr>
        <w:t>8.14.1概述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_Toc106883685 \h </w:instrText>
      </w:r>
      <w:r>
        <w:rPr>
          <w:rStyle w:val="85"/>
          <w:rFonts w:ascii="宋体" w:hAnsi="宋体"/>
        </w:rPr>
        <w:fldChar w:fldCharType="separate"/>
      </w:r>
      <w:r>
        <w:rPr>
          <w:rStyle w:val="85"/>
          <w:rFonts w:ascii="宋体" w:hAnsi="宋体"/>
        </w:rPr>
        <w:t>392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"_Toc106883686" </w:instrText>
      </w:r>
      <w:r>
        <w:fldChar w:fldCharType="separate"/>
      </w:r>
      <w:r>
        <w:rPr>
          <w:rStyle w:val="85"/>
          <w:rFonts w:ascii="宋体" w:hAnsi="宋体"/>
        </w:rPr>
        <w:t>8.14.2设备清单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_Toc106883686 \h </w:instrText>
      </w:r>
      <w:r>
        <w:rPr>
          <w:rStyle w:val="85"/>
          <w:rFonts w:ascii="宋体" w:hAnsi="宋体"/>
        </w:rPr>
        <w:fldChar w:fldCharType="separate"/>
      </w:r>
      <w:r>
        <w:rPr>
          <w:rStyle w:val="85"/>
          <w:rFonts w:ascii="宋体" w:hAnsi="宋体"/>
        </w:rPr>
        <w:t>392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"_Toc106883687" </w:instrText>
      </w:r>
      <w:r>
        <w:fldChar w:fldCharType="separate"/>
      </w:r>
      <w:r>
        <w:rPr>
          <w:rStyle w:val="85"/>
          <w:rFonts w:ascii="宋体" w:hAnsi="宋体"/>
        </w:rPr>
        <w:t>8.14.3基本要求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_Toc106883687 \h </w:instrText>
      </w:r>
      <w:r>
        <w:rPr>
          <w:rStyle w:val="85"/>
          <w:rFonts w:ascii="宋体" w:hAnsi="宋体"/>
        </w:rPr>
        <w:fldChar w:fldCharType="separate"/>
      </w:r>
      <w:r>
        <w:rPr>
          <w:rStyle w:val="85"/>
          <w:rFonts w:ascii="宋体" w:hAnsi="宋体"/>
        </w:rPr>
        <w:t>392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"_Toc106883688" </w:instrText>
      </w:r>
      <w:r>
        <w:fldChar w:fldCharType="separate"/>
      </w:r>
      <w:r>
        <w:rPr>
          <w:rStyle w:val="85"/>
          <w:rFonts w:ascii="宋体" w:hAnsi="宋体"/>
        </w:rPr>
        <w:t>8.14.4产品要求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_Toc106883688 \h </w:instrText>
      </w:r>
      <w:r>
        <w:rPr>
          <w:rStyle w:val="85"/>
          <w:rFonts w:ascii="宋体" w:hAnsi="宋体"/>
        </w:rPr>
        <w:fldChar w:fldCharType="separate"/>
      </w:r>
      <w:r>
        <w:rPr>
          <w:rStyle w:val="85"/>
          <w:rFonts w:ascii="宋体" w:hAnsi="宋体"/>
        </w:rPr>
        <w:t>392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"_Toc106883689" </w:instrText>
      </w:r>
      <w:r>
        <w:fldChar w:fldCharType="separate"/>
      </w:r>
      <w:r>
        <w:rPr>
          <w:rStyle w:val="85"/>
          <w:rFonts w:ascii="宋体" w:hAnsi="宋体"/>
        </w:rPr>
        <w:t>8.14.5技术要求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_Toc106883689 \h </w:instrText>
      </w:r>
      <w:r>
        <w:rPr>
          <w:rStyle w:val="85"/>
          <w:rFonts w:ascii="宋体" w:hAnsi="宋体"/>
        </w:rPr>
        <w:fldChar w:fldCharType="separate"/>
      </w:r>
      <w:r>
        <w:rPr>
          <w:rStyle w:val="85"/>
          <w:rFonts w:ascii="宋体" w:hAnsi="宋体"/>
        </w:rPr>
        <w:t>393</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"_Toc106883690" </w:instrText>
      </w:r>
      <w:r>
        <w:fldChar w:fldCharType="separate"/>
      </w:r>
      <w:r>
        <w:rPr>
          <w:rStyle w:val="85"/>
          <w:rFonts w:ascii="宋体" w:hAnsi="宋体" w:cs="楷体"/>
        </w:rPr>
        <w:t>8.15空压机</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_Toc106883690 \h </w:instrText>
      </w:r>
      <w:r>
        <w:rPr>
          <w:rStyle w:val="85"/>
          <w:rFonts w:ascii="宋体" w:hAnsi="宋体" w:cs="楷体"/>
        </w:rPr>
        <w:fldChar w:fldCharType="separate"/>
      </w:r>
      <w:r>
        <w:rPr>
          <w:rStyle w:val="85"/>
          <w:rFonts w:ascii="宋体" w:hAnsi="宋体" w:cs="楷体"/>
        </w:rPr>
        <w:t>396</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"_Toc106883691" </w:instrText>
      </w:r>
      <w:r>
        <w:fldChar w:fldCharType="separate"/>
      </w:r>
      <w:r>
        <w:rPr>
          <w:rStyle w:val="85"/>
          <w:rFonts w:ascii="宋体" w:hAnsi="宋体"/>
        </w:rPr>
        <w:t>8.15.1概述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_Toc106883691 \h </w:instrText>
      </w:r>
      <w:r>
        <w:rPr>
          <w:rStyle w:val="85"/>
          <w:rFonts w:ascii="宋体" w:hAnsi="宋体"/>
        </w:rPr>
        <w:fldChar w:fldCharType="separate"/>
      </w:r>
      <w:r>
        <w:rPr>
          <w:rStyle w:val="85"/>
          <w:rFonts w:ascii="宋体" w:hAnsi="宋体"/>
        </w:rPr>
        <w:t>396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"_Toc106883692" </w:instrText>
      </w:r>
      <w:r>
        <w:fldChar w:fldCharType="separate"/>
      </w:r>
      <w:r>
        <w:rPr>
          <w:rStyle w:val="85"/>
          <w:rFonts w:ascii="宋体" w:hAnsi="宋体"/>
        </w:rPr>
        <w:t>8.15.2设备清单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_Toc106883692 \h </w:instrText>
      </w:r>
      <w:r>
        <w:rPr>
          <w:rStyle w:val="85"/>
          <w:rFonts w:ascii="宋体" w:hAnsi="宋体"/>
        </w:rPr>
        <w:fldChar w:fldCharType="separate"/>
      </w:r>
      <w:r>
        <w:rPr>
          <w:rStyle w:val="85"/>
          <w:rFonts w:ascii="宋体" w:hAnsi="宋体"/>
        </w:rPr>
        <w:t>396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"_Toc106883693" </w:instrText>
      </w:r>
      <w:r>
        <w:fldChar w:fldCharType="separate"/>
      </w:r>
      <w:r>
        <w:rPr>
          <w:rStyle w:val="85"/>
          <w:rFonts w:ascii="宋体" w:hAnsi="宋体"/>
        </w:rPr>
        <w:t>8.15.3供货范围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_Toc106883693 \h </w:instrText>
      </w:r>
      <w:r>
        <w:rPr>
          <w:rStyle w:val="85"/>
          <w:rFonts w:ascii="宋体" w:hAnsi="宋体"/>
        </w:rPr>
        <w:fldChar w:fldCharType="separate"/>
      </w:r>
      <w:r>
        <w:rPr>
          <w:rStyle w:val="85"/>
          <w:rFonts w:ascii="宋体" w:hAnsi="宋体"/>
        </w:rPr>
        <w:t>396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"_Toc106883694" </w:instrText>
      </w:r>
      <w:r>
        <w:fldChar w:fldCharType="separate"/>
      </w:r>
      <w:r>
        <w:rPr>
          <w:rStyle w:val="85"/>
          <w:rFonts w:ascii="宋体" w:hAnsi="宋体"/>
        </w:rPr>
        <w:t>8.15.4工作条件</w:t>
      </w:r>
      <w:r>
        <w:rPr>
          <w:rStyle w:val="85"/>
          <w:rFonts w:ascii="宋体" w:hAnsi="宋体"/>
        </w:rPr>
        <w:tab/>
      </w:r>
      <w:r>
        <w:rPr>
          <w:rStyle w:val="85"/>
          <w:rFonts w:ascii="宋体" w:hAnsi="宋体"/>
        </w:rPr>
        <w:fldChar w:fldCharType="begin"/>
      </w:r>
      <w:r>
        <w:rPr>
          <w:rStyle w:val="85"/>
          <w:rFonts w:ascii="宋体" w:hAnsi="宋体"/>
        </w:rPr>
        <w:instrText xml:space="preserve"> PAGEREF _Toc106883694 \h </w:instrText>
      </w:r>
      <w:r>
        <w:rPr>
          <w:rStyle w:val="85"/>
          <w:rFonts w:ascii="宋体" w:hAnsi="宋体"/>
        </w:rPr>
        <w:fldChar w:fldCharType="separate"/>
      </w:r>
      <w:r>
        <w:rPr>
          <w:rStyle w:val="85"/>
          <w:rFonts w:ascii="宋体" w:hAnsi="宋体"/>
        </w:rPr>
        <w:t>396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"_Toc106883695" </w:instrText>
      </w:r>
      <w:r>
        <w:fldChar w:fldCharType="separate"/>
      </w:r>
      <w:r>
        <w:rPr>
          <w:rStyle w:val="85"/>
          <w:rFonts w:ascii="宋体" w:hAnsi="宋体"/>
        </w:rPr>
        <w:t>8.15.5技术要求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_Toc106883695 \h </w:instrText>
      </w:r>
      <w:r>
        <w:rPr>
          <w:rStyle w:val="85"/>
          <w:rFonts w:ascii="宋体" w:hAnsi="宋体"/>
        </w:rPr>
        <w:fldChar w:fldCharType="separate"/>
      </w:r>
      <w:r>
        <w:rPr>
          <w:rStyle w:val="85"/>
          <w:rFonts w:ascii="宋体" w:hAnsi="宋体"/>
        </w:rPr>
        <w:t>396</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"_Toc106883696" </w:instrText>
      </w:r>
      <w:r>
        <w:fldChar w:fldCharType="separate"/>
      </w:r>
      <w:r>
        <w:rPr>
          <w:rStyle w:val="85"/>
          <w:rFonts w:ascii="宋体" w:hAnsi="宋体" w:cs="楷体"/>
        </w:rPr>
        <w:t>8.16气水分离装置</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_Toc106883696 \h </w:instrText>
      </w:r>
      <w:r>
        <w:rPr>
          <w:rStyle w:val="85"/>
          <w:rFonts w:ascii="宋体" w:hAnsi="宋体" w:cs="楷体"/>
        </w:rPr>
        <w:fldChar w:fldCharType="separate"/>
      </w:r>
      <w:r>
        <w:rPr>
          <w:rStyle w:val="85"/>
          <w:rFonts w:ascii="宋体" w:hAnsi="宋体" w:cs="楷体"/>
        </w:rPr>
        <w:t>397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"_Toc106883697" </w:instrText>
      </w:r>
      <w:r>
        <w:fldChar w:fldCharType="separate"/>
      </w:r>
      <w:r>
        <w:rPr>
          <w:rStyle w:val="85"/>
          <w:rFonts w:ascii="宋体" w:hAnsi="宋体"/>
        </w:rPr>
        <w:t>8.16.1概述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_Toc106883697 \h </w:instrText>
      </w:r>
      <w:r>
        <w:rPr>
          <w:rStyle w:val="85"/>
          <w:rFonts w:ascii="宋体" w:hAnsi="宋体"/>
        </w:rPr>
        <w:fldChar w:fldCharType="separate"/>
      </w:r>
      <w:r>
        <w:rPr>
          <w:rStyle w:val="85"/>
          <w:rFonts w:ascii="宋体" w:hAnsi="宋体"/>
        </w:rPr>
        <w:t>397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"_Toc106883698" </w:instrText>
      </w:r>
      <w:r>
        <w:fldChar w:fldCharType="separate"/>
      </w:r>
      <w:r>
        <w:rPr>
          <w:rStyle w:val="85"/>
          <w:rFonts w:ascii="宋体" w:hAnsi="宋体"/>
        </w:rPr>
        <w:t>8.16.2设备清单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_Toc106883698 \h </w:instrText>
      </w:r>
      <w:r>
        <w:rPr>
          <w:rStyle w:val="85"/>
          <w:rFonts w:ascii="宋体" w:hAnsi="宋体"/>
        </w:rPr>
        <w:fldChar w:fldCharType="separate"/>
      </w:r>
      <w:r>
        <w:rPr>
          <w:rStyle w:val="85"/>
          <w:rFonts w:ascii="宋体" w:hAnsi="宋体"/>
        </w:rPr>
        <w:t>398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"_Toc106883699" </w:instrText>
      </w:r>
      <w:r>
        <w:fldChar w:fldCharType="separate"/>
      </w:r>
      <w:r>
        <w:rPr>
          <w:rStyle w:val="85"/>
          <w:rFonts w:ascii="宋体" w:hAnsi="宋体"/>
        </w:rPr>
        <w:t>8.16.3技术要求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_Toc106883699 \h </w:instrText>
      </w:r>
      <w:r>
        <w:rPr>
          <w:rStyle w:val="85"/>
          <w:rFonts w:ascii="宋体" w:hAnsi="宋体"/>
        </w:rPr>
        <w:fldChar w:fldCharType="separate"/>
      </w:r>
      <w:r>
        <w:rPr>
          <w:rStyle w:val="85"/>
          <w:rFonts w:ascii="宋体" w:hAnsi="宋体"/>
        </w:rPr>
        <w:t>398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"_Toc106883700" </w:instrText>
      </w:r>
      <w:r>
        <w:fldChar w:fldCharType="separate"/>
      </w:r>
      <w:r>
        <w:rPr>
          <w:rStyle w:val="85"/>
          <w:rFonts w:ascii="宋体" w:hAnsi="宋体"/>
        </w:rPr>
        <w:t>8.16.3.1 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_Toc106883700 \h </w:instrText>
      </w:r>
      <w:r>
        <w:rPr>
          <w:rStyle w:val="85"/>
          <w:rFonts w:ascii="宋体" w:hAnsi="宋体"/>
        </w:rPr>
        <w:fldChar w:fldCharType="separate"/>
      </w:r>
      <w:r>
        <w:rPr>
          <w:rStyle w:val="85"/>
          <w:rFonts w:ascii="宋体" w:hAnsi="宋体"/>
        </w:rPr>
        <w:t>398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"_Toc106883701" </w:instrText>
      </w:r>
      <w:r>
        <w:fldChar w:fldCharType="separate"/>
      </w:r>
      <w:r>
        <w:rPr>
          <w:rStyle w:val="85"/>
          <w:rFonts w:ascii="宋体" w:hAnsi="宋体"/>
        </w:rPr>
        <w:t>8.16.3.3 系统组成</w:t>
      </w:r>
      <w:r>
        <w:rPr>
          <w:rStyle w:val="85"/>
          <w:rFonts w:ascii="宋体" w:hAnsi="宋体"/>
        </w:rPr>
        <w:tab/>
      </w:r>
      <w:r>
        <w:rPr>
          <w:rStyle w:val="85"/>
          <w:rFonts w:ascii="宋体" w:hAnsi="宋体"/>
        </w:rPr>
        <w:fldChar w:fldCharType="begin"/>
      </w:r>
      <w:r>
        <w:rPr>
          <w:rStyle w:val="85"/>
          <w:rFonts w:ascii="宋体" w:hAnsi="宋体"/>
        </w:rPr>
        <w:instrText xml:space="preserve"> PAGEREF _Toc106883701 \h </w:instrText>
      </w:r>
      <w:r>
        <w:rPr>
          <w:rStyle w:val="85"/>
          <w:rFonts w:ascii="宋体" w:hAnsi="宋体"/>
        </w:rPr>
        <w:fldChar w:fldCharType="separate"/>
      </w:r>
      <w:r>
        <w:rPr>
          <w:rStyle w:val="85"/>
          <w:rFonts w:ascii="宋体" w:hAnsi="宋体"/>
        </w:rPr>
        <w:t>398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"_Toc106883702" </w:instrText>
      </w:r>
      <w:r>
        <w:fldChar w:fldCharType="separate"/>
      </w:r>
      <w:r>
        <w:rPr>
          <w:rStyle w:val="85"/>
          <w:rFonts w:ascii="宋体" w:hAnsi="宋体"/>
        </w:rPr>
        <w:t>8.16.3.5 材料</w:t>
      </w:r>
      <w:r>
        <w:rPr>
          <w:rStyle w:val="85"/>
          <w:rFonts w:ascii="宋体" w:hAnsi="宋体"/>
        </w:rPr>
        <w:tab/>
      </w:r>
      <w:r>
        <w:rPr>
          <w:rStyle w:val="85"/>
          <w:rFonts w:ascii="宋体" w:hAnsi="宋体"/>
        </w:rPr>
        <w:fldChar w:fldCharType="begin"/>
      </w:r>
      <w:r>
        <w:rPr>
          <w:rStyle w:val="85"/>
          <w:rFonts w:ascii="宋体" w:hAnsi="宋体"/>
        </w:rPr>
        <w:instrText xml:space="preserve"> PAGEREF _Toc106883702 \h </w:instrText>
      </w:r>
      <w:r>
        <w:rPr>
          <w:rStyle w:val="85"/>
          <w:rFonts w:ascii="宋体" w:hAnsi="宋体"/>
        </w:rPr>
        <w:fldChar w:fldCharType="separate"/>
      </w:r>
      <w:r>
        <w:rPr>
          <w:rStyle w:val="85"/>
          <w:rFonts w:ascii="宋体" w:hAnsi="宋体"/>
        </w:rPr>
        <w:t>399</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"_Toc106883703" </w:instrText>
      </w:r>
      <w:r>
        <w:fldChar w:fldCharType="separate"/>
      </w:r>
      <w:r>
        <w:rPr>
          <w:rStyle w:val="85"/>
          <w:rFonts w:ascii="宋体" w:hAnsi="宋体" w:cs="楷体"/>
        </w:rPr>
        <w:t>8.17混合搅拌机</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_Toc106883703 \h </w:instrText>
      </w:r>
      <w:r>
        <w:rPr>
          <w:rStyle w:val="85"/>
          <w:rFonts w:ascii="宋体" w:hAnsi="宋体" w:cs="楷体"/>
        </w:rPr>
        <w:fldChar w:fldCharType="separate"/>
      </w:r>
      <w:r>
        <w:rPr>
          <w:rStyle w:val="85"/>
          <w:rFonts w:ascii="宋体" w:hAnsi="宋体" w:cs="楷体"/>
        </w:rPr>
        <w:t>400</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"_Toc106883704" </w:instrText>
      </w:r>
      <w:r>
        <w:fldChar w:fldCharType="separate"/>
      </w:r>
      <w:r>
        <w:rPr>
          <w:rStyle w:val="85"/>
          <w:rFonts w:ascii="宋体" w:hAnsi="宋体"/>
        </w:rPr>
        <w:t>8.17.1概述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_Toc106883704 \h </w:instrText>
      </w:r>
      <w:r>
        <w:rPr>
          <w:rStyle w:val="85"/>
          <w:rFonts w:ascii="宋体" w:hAnsi="宋体"/>
        </w:rPr>
        <w:fldChar w:fldCharType="separate"/>
      </w:r>
      <w:r>
        <w:rPr>
          <w:rStyle w:val="85"/>
          <w:rFonts w:ascii="宋体" w:hAnsi="宋体"/>
        </w:rPr>
        <w:t>400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"_Toc106883705" </w:instrText>
      </w:r>
      <w:r>
        <w:fldChar w:fldCharType="separate"/>
      </w:r>
      <w:r>
        <w:rPr>
          <w:rStyle w:val="85"/>
          <w:rFonts w:ascii="宋体" w:hAnsi="宋体"/>
        </w:rPr>
        <w:t>8.17.2设备清单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_Toc106883705 \h </w:instrText>
      </w:r>
      <w:r>
        <w:rPr>
          <w:rStyle w:val="85"/>
          <w:rFonts w:ascii="宋体" w:hAnsi="宋体"/>
        </w:rPr>
        <w:fldChar w:fldCharType="separate"/>
      </w:r>
      <w:r>
        <w:rPr>
          <w:rStyle w:val="85"/>
          <w:rFonts w:ascii="宋体" w:hAnsi="宋体"/>
        </w:rPr>
        <w:t>400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"_Toc106883706" </w:instrText>
      </w:r>
      <w:r>
        <w:fldChar w:fldCharType="separate"/>
      </w:r>
      <w:r>
        <w:rPr>
          <w:rStyle w:val="85"/>
          <w:rFonts w:ascii="宋体" w:hAnsi="宋体"/>
        </w:rPr>
        <w:t>8.17.3供货范围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_Toc106883706 \h </w:instrText>
      </w:r>
      <w:r>
        <w:rPr>
          <w:rStyle w:val="85"/>
          <w:rFonts w:ascii="宋体" w:hAnsi="宋体"/>
        </w:rPr>
        <w:fldChar w:fldCharType="separate"/>
      </w:r>
      <w:r>
        <w:rPr>
          <w:rStyle w:val="85"/>
          <w:rFonts w:ascii="宋体" w:hAnsi="宋体"/>
        </w:rPr>
        <w:t>400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"_Toc106883707" </w:instrText>
      </w:r>
      <w:r>
        <w:fldChar w:fldCharType="separate"/>
      </w:r>
      <w:r>
        <w:rPr>
          <w:rStyle w:val="85"/>
          <w:rFonts w:ascii="宋体" w:hAnsi="宋体"/>
        </w:rPr>
        <w:t>8.17.4基本要求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_Toc106883707 \h </w:instrText>
      </w:r>
      <w:r>
        <w:rPr>
          <w:rStyle w:val="85"/>
          <w:rFonts w:ascii="宋体" w:hAnsi="宋体"/>
        </w:rPr>
        <w:fldChar w:fldCharType="separate"/>
      </w:r>
      <w:r>
        <w:rPr>
          <w:rStyle w:val="85"/>
          <w:rFonts w:ascii="宋体" w:hAnsi="宋体"/>
        </w:rPr>
        <w:t>400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"_Toc106883708" </w:instrText>
      </w:r>
      <w:r>
        <w:fldChar w:fldCharType="separate"/>
      </w:r>
      <w:r>
        <w:rPr>
          <w:rStyle w:val="85"/>
          <w:rFonts w:ascii="宋体" w:hAnsi="宋体"/>
        </w:rPr>
        <w:t>8.17.5技术要求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_Toc106883708 \h </w:instrText>
      </w:r>
      <w:r>
        <w:rPr>
          <w:rStyle w:val="85"/>
          <w:rFonts w:ascii="宋体" w:hAnsi="宋体"/>
        </w:rPr>
        <w:fldChar w:fldCharType="separate"/>
      </w:r>
      <w:r>
        <w:rPr>
          <w:rStyle w:val="85"/>
          <w:rFonts w:ascii="宋体" w:hAnsi="宋体"/>
        </w:rPr>
        <w:t>400</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"_Toc106883709" </w:instrText>
      </w:r>
      <w:r>
        <w:fldChar w:fldCharType="separate"/>
      </w:r>
      <w:r>
        <w:rPr>
          <w:rStyle w:val="85"/>
          <w:rFonts w:ascii="宋体" w:hAnsi="宋体" w:cs="楷体"/>
        </w:rPr>
        <w:t>8.18浓缩系统类</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_Toc106883709 \h </w:instrText>
      </w:r>
      <w:r>
        <w:rPr>
          <w:rStyle w:val="85"/>
          <w:rFonts w:ascii="宋体" w:hAnsi="宋体" w:cs="楷体"/>
        </w:rPr>
        <w:fldChar w:fldCharType="separate"/>
      </w:r>
      <w:r>
        <w:rPr>
          <w:rStyle w:val="85"/>
          <w:rFonts w:ascii="宋体" w:hAnsi="宋体" w:cs="楷体"/>
        </w:rPr>
        <w:t>403</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"_Toc106883710" </w:instrText>
      </w:r>
      <w:r>
        <w:fldChar w:fldCharType="separate"/>
      </w:r>
      <w:r>
        <w:rPr>
          <w:rStyle w:val="85"/>
          <w:rFonts w:ascii="宋体" w:hAnsi="宋体"/>
        </w:rPr>
        <w:t>8.18.1概述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_Toc106883710 \h </w:instrText>
      </w:r>
      <w:r>
        <w:rPr>
          <w:rStyle w:val="85"/>
          <w:rFonts w:ascii="宋体" w:hAnsi="宋体"/>
        </w:rPr>
        <w:fldChar w:fldCharType="separate"/>
      </w:r>
      <w:r>
        <w:rPr>
          <w:rStyle w:val="85"/>
          <w:rFonts w:ascii="宋体" w:hAnsi="宋体"/>
        </w:rPr>
        <w:t>403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"_Toc106883711" </w:instrText>
      </w:r>
      <w:r>
        <w:fldChar w:fldCharType="separate"/>
      </w:r>
      <w:r>
        <w:rPr>
          <w:rStyle w:val="85"/>
          <w:rFonts w:ascii="宋体" w:hAnsi="宋体"/>
        </w:rPr>
        <w:t>8.18.2设备清单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_Toc106883711 \h </w:instrText>
      </w:r>
      <w:r>
        <w:rPr>
          <w:rStyle w:val="85"/>
          <w:rFonts w:ascii="宋体" w:hAnsi="宋体"/>
        </w:rPr>
        <w:fldChar w:fldCharType="separate"/>
      </w:r>
      <w:r>
        <w:rPr>
          <w:rStyle w:val="85"/>
          <w:rFonts w:ascii="宋体" w:hAnsi="宋体"/>
        </w:rPr>
        <w:t>403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"_Toc106883712" </w:instrText>
      </w:r>
      <w:r>
        <w:fldChar w:fldCharType="separate"/>
      </w:r>
      <w:r>
        <w:rPr>
          <w:rStyle w:val="85"/>
          <w:rFonts w:ascii="宋体" w:hAnsi="宋体"/>
        </w:rPr>
        <w:t>8.18.3供货范围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_Toc106883712 \h </w:instrText>
      </w:r>
      <w:r>
        <w:rPr>
          <w:rStyle w:val="85"/>
          <w:rFonts w:ascii="宋体" w:hAnsi="宋体"/>
        </w:rPr>
        <w:fldChar w:fldCharType="separate"/>
      </w:r>
      <w:r>
        <w:rPr>
          <w:rStyle w:val="85"/>
          <w:rFonts w:ascii="宋体" w:hAnsi="宋体"/>
        </w:rPr>
        <w:t>404</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"_Toc106883713" </w:instrText>
      </w:r>
      <w:r>
        <w:fldChar w:fldCharType="separate"/>
      </w:r>
      <w:r>
        <w:rPr>
          <w:rStyle w:val="85"/>
          <w:rFonts w:ascii="宋体" w:hAnsi="宋体"/>
        </w:rPr>
        <w:t>8.18.4技术要求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_Toc106883713 \h </w:instrText>
      </w:r>
      <w:r>
        <w:rPr>
          <w:rStyle w:val="85"/>
          <w:rFonts w:ascii="宋体" w:hAnsi="宋体"/>
        </w:rPr>
        <w:fldChar w:fldCharType="separate"/>
      </w:r>
      <w:r>
        <w:rPr>
          <w:rStyle w:val="85"/>
          <w:rFonts w:ascii="宋体" w:hAnsi="宋体"/>
        </w:rPr>
        <w:t>404</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"_Toc106883714" </w:instrText>
      </w:r>
      <w:r>
        <w:fldChar w:fldCharType="separate"/>
      </w:r>
      <w:r>
        <w:rPr>
          <w:rStyle w:val="85"/>
          <w:rFonts w:ascii="宋体" w:hAnsi="宋体" w:cs="楷体"/>
        </w:rPr>
        <w:t>8.19脱水系统类</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_Toc106883714 \h </w:instrText>
      </w:r>
      <w:r>
        <w:rPr>
          <w:rStyle w:val="85"/>
          <w:rFonts w:ascii="宋体" w:hAnsi="宋体" w:cs="楷体"/>
        </w:rPr>
        <w:fldChar w:fldCharType="separate"/>
      </w:r>
      <w:r>
        <w:rPr>
          <w:rStyle w:val="85"/>
          <w:rFonts w:ascii="宋体" w:hAnsi="宋体" w:cs="楷体"/>
        </w:rPr>
        <w:t>407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"_Toc106883715" </w:instrText>
      </w:r>
      <w:r>
        <w:fldChar w:fldCharType="separate"/>
      </w:r>
      <w:r>
        <w:rPr>
          <w:rStyle w:val="85"/>
          <w:rFonts w:ascii="宋体" w:hAnsi="宋体"/>
        </w:rPr>
        <w:t>8.19.1概述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_Toc106883715 \h </w:instrText>
      </w:r>
      <w:r>
        <w:rPr>
          <w:rStyle w:val="85"/>
          <w:rFonts w:ascii="宋体" w:hAnsi="宋体"/>
        </w:rPr>
        <w:fldChar w:fldCharType="separate"/>
      </w:r>
      <w:r>
        <w:rPr>
          <w:rStyle w:val="85"/>
          <w:rFonts w:ascii="宋体" w:hAnsi="宋体"/>
        </w:rPr>
        <w:t>407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"_Toc106883716" </w:instrText>
      </w:r>
      <w:r>
        <w:fldChar w:fldCharType="separate"/>
      </w:r>
      <w:r>
        <w:rPr>
          <w:rStyle w:val="85"/>
          <w:rFonts w:ascii="宋体" w:hAnsi="宋体"/>
        </w:rPr>
        <w:t>8.19.2设备清单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_Toc106883716 \h </w:instrText>
      </w:r>
      <w:r>
        <w:rPr>
          <w:rStyle w:val="85"/>
          <w:rFonts w:ascii="宋体" w:hAnsi="宋体"/>
        </w:rPr>
        <w:fldChar w:fldCharType="separate"/>
      </w:r>
      <w:r>
        <w:rPr>
          <w:rStyle w:val="85"/>
          <w:rFonts w:ascii="宋体" w:hAnsi="宋体"/>
        </w:rPr>
        <w:t>407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"_Toc106883717" </w:instrText>
      </w:r>
      <w:r>
        <w:fldChar w:fldCharType="separate"/>
      </w:r>
      <w:r>
        <w:rPr>
          <w:rStyle w:val="85"/>
          <w:rFonts w:ascii="宋体" w:hAnsi="宋体"/>
        </w:rPr>
        <w:t>8.19.3压榨机</w:t>
      </w:r>
      <w:r>
        <w:rPr>
          <w:rStyle w:val="85"/>
          <w:rFonts w:ascii="宋体" w:hAnsi="宋体"/>
        </w:rPr>
        <w:tab/>
      </w:r>
      <w:r>
        <w:rPr>
          <w:rStyle w:val="85"/>
          <w:rFonts w:ascii="宋体" w:hAnsi="宋体"/>
        </w:rPr>
        <w:fldChar w:fldCharType="begin"/>
      </w:r>
      <w:r>
        <w:rPr>
          <w:rStyle w:val="85"/>
          <w:rFonts w:ascii="宋体" w:hAnsi="宋体"/>
        </w:rPr>
        <w:instrText xml:space="preserve"> PAGEREF _Toc106883717 \h </w:instrText>
      </w:r>
      <w:r>
        <w:rPr>
          <w:rStyle w:val="85"/>
          <w:rFonts w:ascii="宋体" w:hAnsi="宋体"/>
        </w:rPr>
        <w:fldChar w:fldCharType="separate"/>
      </w:r>
      <w:r>
        <w:rPr>
          <w:rStyle w:val="85"/>
          <w:rFonts w:ascii="宋体" w:hAnsi="宋体"/>
        </w:rPr>
        <w:t>408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"_Toc106883718" </w:instrText>
      </w:r>
      <w:r>
        <w:fldChar w:fldCharType="separate"/>
      </w:r>
      <w:r>
        <w:rPr>
          <w:rStyle w:val="85"/>
          <w:rFonts w:ascii="宋体" w:hAnsi="宋体"/>
        </w:rPr>
        <w:t>8.19.3.5主要零部件材料</w:t>
      </w:r>
      <w:r>
        <w:rPr>
          <w:rStyle w:val="85"/>
          <w:rFonts w:ascii="宋体" w:hAnsi="宋体"/>
        </w:rPr>
        <w:tab/>
      </w:r>
      <w:r>
        <w:rPr>
          <w:rStyle w:val="85"/>
          <w:rFonts w:ascii="宋体" w:hAnsi="宋体"/>
        </w:rPr>
        <w:fldChar w:fldCharType="begin"/>
      </w:r>
      <w:r>
        <w:rPr>
          <w:rStyle w:val="85"/>
          <w:rFonts w:ascii="宋体" w:hAnsi="宋体"/>
        </w:rPr>
        <w:instrText xml:space="preserve"> PAGEREF _Toc106883718 \h </w:instrText>
      </w:r>
      <w:r>
        <w:rPr>
          <w:rStyle w:val="85"/>
          <w:rFonts w:ascii="宋体" w:hAnsi="宋体"/>
        </w:rPr>
        <w:fldChar w:fldCharType="separate"/>
      </w:r>
      <w:r>
        <w:rPr>
          <w:rStyle w:val="85"/>
          <w:rFonts w:ascii="宋体" w:hAnsi="宋体"/>
        </w:rPr>
        <w:t>413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"_Toc106883719" </w:instrText>
      </w:r>
      <w:r>
        <w:fldChar w:fldCharType="separate"/>
      </w:r>
      <w:r>
        <w:rPr>
          <w:rStyle w:val="85"/>
          <w:rFonts w:ascii="宋体" w:hAnsi="宋体"/>
        </w:rPr>
        <w:t>8.19.4悬挂式中心传动浓缩机</w:t>
      </w:r>
      <w:r>
        <w:rPr>
          <w:rStyle w:val="85"/>
          <w:rFonts w:ascii="宋体" w:hAnsi="宋体"/>
        </w:rPr>
        <w:tab/>
      </w:r>
      <w:r>
        <w:rPr>
          <w:rStyle w:val="85"/>
          <w:rFonts w:ascii="宋体" w:hAnsi="宋体"/>
        </w:rPr>
        <w:fldChar w:fldCharType="begin"/>
      </w:r>
      <w:r>
        <w:rPr>
          <w:rStyle w:val="85"/>
          <w:rFonts w:ascii="宋体" w:hAnsi="宋体"/>
        </w:rPr>
        <w:instrText xml:space="preserve"> PAGEREF _Toc106883719 \h </w:instrText>
      </w:r>
      <w:r>
        <w:rPr>
          <w:rStyle w:val="85"/>
          <w:rFonts w:ascii="宋体" w:hAnsi="宋体"/>
        </w:rPr>
        <w:fldChar w:fldCharType="separate"/>
      </w:r>
      <w:r>
        <w:rPr>
          <w:rStyle w:val="85"/>
          <w:rFonts w:ascii="宋体" w:hAnsi="宋体"/>
        </w:rPr>
        <w:t>415</w:t>
      </w:r>
      <w:r>
        <w:rPr>
          <w:rStyle w:val="85"/>
          <w:rFonts w:ascii="宋体" w:hAnsi="宋体"/>
        </w:rPr>
        <w:fldChar w:fldCharType="end"/>
      </w:r>
      <w:r>
        <w:rPr>
          <w:rStyle w:val="85"/>
          <w:rFonts w:ascii="宋体" w:hAnsi="宋体"/>
        </w:rPr>
        <w:fldChar w:fldCharType="end"/>
      </w:r>
    </w:p>
    <w:p>
      <w:pPr>
        <w:pStyle w:val="64"/>
        <w:tabs>
          <w:tab w:val="right" w:leader="dot" w:pos="8494"/>
        </w:tabs>
        <w:rPr>
          <w:rFonts w:ascii="宋体" w:hAnsi="宋体" w:cstheme="minorBidi"/>
          <w:smallCaps w:val="0"/>
          <w:sz w:val="21"/>
          <w:szCs w:val="22"/>
        </w:rPr>
      </w:pPr>
      <w:r>
        <w:fldChar w:fldCharType="begin"/>
      </w:r>
      <w:r>
        <w:instrText xml:space="preserve"> HYPERLINK \l "_Toc106883720" </w:instrText>
      </w:r>
      <w:r>
        <w:fldChar w:fldCharType="separate"/>
      </w:r>
      <w:r>
        <w:rPr>
          <w:rStyle w:val="85"/>
          <w:rFonts w:ascii="宋体" w:hAnsi="宋体" w:cs="楷体"/>
          <w:b/>
        </w:rPr>
        <w:t>8.20加药系统类</w:t>
      </w:r>
      <w:r>
        <w:rPr>
          <w:rFonts w:ascii="宋体" w:hAnsi="宋体"/>
        </w:rPr>
        <w:tab/>
      </w:r>
      <w:r>
        <w:rPr>
          <w:rFonts w:ascii="宋体" w:hAnsi="宋体"/>
        </w:rPr>
        <w:fldChar w:fldCharType="begin"/>
      </w:r>
      <w:r>
        <w:rPr>
          <w:rFonts w:ascii="宋体" w:hAnsi="宋体"/>
        </w:rPr>
        <w:instrText xml:space="preserve"> PAGEREF _Toc106883720 \h </w:instrText>
      </w:r>
      <w:r>
        <w:rPr>
          <w:rFonts w:ascii="宋体" w:hAnsi="宋体"/>
        </w:rPr>
        <w:fldChar w:fldCharType="separate"/>
      </w:r>
      <w:r>
        <w:rPr>
          <w:rFonts w:ascii="宋体" w:hAnsi="宋体"/>
        </w:rPr>
        <w:t>418</w:t>
      </w:r>
      <w:r>
        <w:rPr>
          <w:rFonts w:ascii="宋体" w:hAnsi="宋体"/>
        </w:rPr>
        <w:fldChar w:fldCharType="end"/>
      </w:r>
      <w:r>
        <w:rPr>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"_Toc106883721" </w:instrText>
      </w:r>
      <w:r>
        <w:fldChar w:fldCharType="separate"/>
      </w:r>
      <w:r>
        <w:rPr>
          <w:rStyle w:val="85"/>
          <w:rFonts w:ascii="宋体" w:hAnsi="宋体"/>
        </w:rPr>
        <w:t>8.20.1概述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_Toc106883721 \h </w:instrText>
      </w:r>
      <w:r>
        <w:rPr>
          <w:rStyle w:val="85"/>
          <w:rFonts w:ascii="宋体" w:hAnsi="宋体"/>
        </w:rPr>
        <w:fldChar w:fldCharType="separate"/>
      </w:r>
      <w:r>
        <w:rPr>
          <w:rStyle w:val="85"/>
          <w:rFonts w:ascii="宋体" w:hAnsi="宋体"/>
        </w:rPr>
        <w:t>418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"_Toc106883722" </w:instrText>
      </w:r>
      <w:r>
        <w:fldChar w:fldCharType="separate"/>
      </w:r>
      <w:r>
        <w:rPr>
          <w:rStyle w:val="85"/>
          <w:rFonts w:ascii="宋体" w:hAnsi="宋体"/>
        </w:rPr>
        <w:t>8.20.2设备清单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_Toc106883722 \h </w:instrText>
      </w:r>
      <w:r>
        <w:rPr>
          <w:rStyle w:val="85"/>
          <w:rFonts w:ascii="宋体" w:hAnsi="宋体"/>
        </w:rPr>
        <w:fldChar w:fldCharType="separate"/>
      </w:r>
      <w:r>
        <w:rPr>
          <w:rStyle w:val="85"/>
          <w:rFonts w:ascii="宋体" w:hAnsi="宋体"/>
        </w:rPr>
        <w:t>418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"_Toc106883728" </w:instrText>
      </w:r>
      <w:r>
        <w:fldChar w:fldCharType="separate"/>
      </w:r>
      <w:r>
        <w:rPr>
          <w:rStyle w:val="85"/>
          <w:rFonts w:ascii="宋体" w:hAnsi="宋体"/>
        </w:rPr>
        <w:t>8.20.3供货范围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_Toc106883728 \h </w:instrText>
      </w:r>
      <w:r>
        <w:rPr>
          <w:rStyle w:val="85"/>
          <w:rFonts w:ascii="宋体" w:hAnsi="宋体"/>
        </w:rPr>
        <w:fldChar w:fldCharType="separate"/>
      </w:r>
      <w:r>
        <w:rPr>
          <w:rStyle w:val="85"/>
          <w:rFonts w:ascii="宋体" w:hAnsi="宋体"/>
        </w:rPr>
        <w:t>428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"_Toc106883729" </w:instrText>
      </w:r>
      <w:r>
        <w:fldChar w:fldCharType="separate"/>
      </w:r>
      <w:r>
        <w:rPr>
          <w:rStyle w:val="85"/>
          <w:rFonts w:ascii="宋体" w:hAnsi="宋体"/>
        </w:rPr>
        <w:t>8.20.4PAC投加系统</w:t>
      </w:r>
      <w:r>
        <w:rPr>
          <w:rStyle w:val="85"/>
          <w:rFonts w:ascii="宋体" w:hAnsi="宋体"/>
        </w:rPr>
        <w:tab/>
      </w:r>
      <w:r>
        <w:rPr>
          <w:rStyle w:val="85"/>
          <w:rFonts w:ascii="宋体" w:hAnsi="宋体"/>
        </w:rPr>
        <w:fldChar w:fldCharType="begin"/>
      </w:r>
      <w:r>
        <w:rPr>
          <w:rStyle w:val="85"/>
          <w:rFonts w:ascii="宋体" w:hAnsi="宋体"/>
        </w:rPr>
        <w:instrText xml:space="preserve"> PAGEREF _Toc106883729 \h </w:instrText>
      </w:r>
      <w:r>
        <w:rPr>
          <w:rStyle w:val="85"/>
          <w:rFonts w:ascii="宋体" w:hAnsi="宋体"/>
        </w:rPr>
        <w:fldChar w:fldCharType="separate"/>
      </w:r>
      <w:r>
        <w:rPr>
          <w:rStyle w:val="85"/>
          <w:rFonts w:ascii="宋体" w:hAnsi="宋体"/>
        </w:rPr>
        <w:t>429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"_Toc106883734" </w:instrText>
      </w:r>
      <w:r>
        <w:fldChar w:fldCharType="separate"/>
      </w:r>
      <w:r>
        <w:rPr>
          <w:rStyle w:val="85"/>
          <w:rFonts w:ascii="宋体" w:hAnsi="宋体"/>
        </w:rPr>
        <w:t>8.20.5聚硅锰氯化铝钾投加系统</w:t>
      </w:r>
      <w:r>
        <w:rPr>
          <w:rStyle w:val="85"/>
          <w:rFonts w:ascii="宋体" w:hAnsi="宋体"/>
        </w:rPr>
        <w:tab/>
      </w:r>
      <w:r>
        <w:rPr>
          <w:rStyle w:val="85"/>
          <w:rFonts w:ascii="宋体" w:hAnsi="宋体"/>
        </w:rPr>
        <w:fldChar w:fldCharType="begin"/>
      </w:r>
      <w:r>
        <w:rPr>
          <w:rStyle w:val="85"/>
          <w:rFonts w:ascii="宋体" w:hAnsi="宋体"/>
        </w:rPr>
        <w:instrText xml:space="preserve"> PAGEREF _Toc106883734 \h </w:instrText>
      </w:r>
      <w:r>
        <w:rPr>
          <w:rStyle w:val="85"/>
          <w:rFonts w:ascii="宋体" w:hAnsi="宋体"/>
        </w:rPr>
        <w:fldChar w:fldCharType="separate"/>
      </w:r>
      <w:r>
        <w:rPr>
          <w:rStyle w:val="85"/>
          <w:rFonts w:ascii="宋体" w:hAnsi="宋体"/>
        </w:rPr>
        <w:t>436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"_Toc106883735" </w:instrText>
      </w:r>
      <w:r>
        <w:fldChar w:fldCharType="separate"/>
      </w:r>
      <w:r>
        <w:rPr>
          <w:rStyle w:val="85"/>
          <w:rFonts w:ascii="宋体" w:hAnsi="宋体"/>
        </w:rPr>
        <w:t>8.20.6次氯酸钠系统</w:t>
      </w:r>
      <w:r>
        <w:rPr>
          <w:rStyle w:val="85"/>
          <w:rFonts w:ascii="宋体" w:hAnsi="宋体"/>
        </w:rPr>
        <w:tab/>
      </w:r>
      <w:r>
        <w:rPr>
          <w:rStyle w:val="85"/>
          <w:rFonts w:ascii="宋体" w:hAnsi="宋体"/>
        </w:rPr>
        <w:fldChar w:fldCharType="begin"/>
      </w:r>
      <w:r>
        <w:rPr>
          <w:rStyle w:val="85"/>
          <w:rFonts w:ascii="宋体" w:hAnsi="宋体"/>
        </w:rPr>
        <w:instrText xml:space="preserve"> PAGEREF _Toc106883735 \h </w:instrText>
      </w:r>
      <w:r>
        <w:rPr>
          <w:rStyle w:val="85"/>
          <w:rFonts w:ascii="宋体" w:hAnsi="宋体"/>
        </w:rPr>
        <w:fldChar w:fldCharType="separate"/>
      </w:r>
      <w:r>
        <w:rPr>
          <w:rStyle w:val="85"/>
          <w:rFonts w:ascii="宋体" w:hAnsi="宋体"/>
        </w:rPr>
        <w:t>442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"_Toc106883736" </w:instrText>
      </w:r>
      <w:r>
        <w:fldChar w:fldCharType="separate"/>
      </w:r>
      <w:r>
        <w:rPr>
          <w:rStyle w:val="85"/>
          <w:rFonts w:ascii="宋体" w:hAnsi="宋体"/>
        </w:rPr>
        <w:t>8.20.7活性炭投加系统</w:t>
      </w:r>
      <w:r>
        <w:rPr>
          <w:rStyle w:val="85"/>
          <w:rFonts w:ascii="宋体" w:hAnsi="宋体"/>
        </w:rPr>
        <w:tab/>
      </w:r>
      <w:r>
        <w:rPr>
          <w:rStyle w:val="85"/>
          <w:rFonts w:ascii="宋体" w:hAnsi="宋体"/>
        </w:rPr>
        <w:fldChar w:fldCharType="begin"/>
      </w:r>
      <w:r>
        <w:rPr>
          <w:rStyle w:val="85"/>
          <w:rFonts w:ascii="宋体" w:hAnsi="宋体"/>
        </w:rPr>
        <w:instrText xml:space="preserve"> PAGEREF _Toc106883736 \h </w:instrText>
      </w:r>
      <w:r>
        <w:rPr>
          <w:rStyle w:val="85"/>
          <w:rFonts w:ascii="宋体" w:hAnsi="宋体"/>
        </w:rPr>
        <w:fldChar w:fldCharType="separate"/>
      </w:r>
      <w:r>
        <w:rPr>
          <w:rStyle w:val="85"/>
          <w:rFonts w:ascii="宋体" w:hAnsi="宋体"/>
        </w:rPr>
        <w:t>448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"_Toc106883737" </w:instrText>
      </w:r>
      <w:r>
        <w:fldChar w:fldCharType="separate"/>
      </w:r>
      <w:r>
        <w:rPr>
          <w:rStyle w:val="85"/>
          <w:rFonts w:ascii="宋体" w:hAnsi="宋体"/>
        </w:rPr>
        <w:t>8.20.8石灰投加系统</w:t>
      </w:r>
      <w:r>
        <w:rPr>
          <w:rStyle w:val="85"/>
          <w:rFonts w:ascii="宋体" w:hAnsi="宋体"/>
        </w:rPr>
        <w:tab/>
      </w:r>
      <w:r>
        <w:rPr>
          <w:rStyle w:val="85"/>
          <w:rFonts w:ascii="宋体" w:hAnsi="宋体"/>
        </w:rPr>
        <w:fldChar w:fldCharType="begin"/>
      </w:r>
      <w:r>
        <w:rPr>
          <w:rStyle w:val="85"/>
          <w:rFonts w:ascii="宋体" w:hAnsi="宋体"/>
        </w:rPr>
        <w:instrText xml:space="preserve"> PAGEREF _Toc106883737 \h </w:instrText>
      </w:r>
      <w:r>
        <w:rPr>
          <w:rStyle w:val="85"/>
          <w:rFonts w:ascii="宋体" w:hAnsi="宋体"/>
        </w:rPr>
        <w:fldChar w:fldCharType="separate"/>
      </w:r>
      <w:r>
        <w:rPr>
          <w:rStyle w:val="85"/>
          <w:rFonts w:ascii="宋体" w:hAnsi="宋体"/>
        </w:rPr>
        <w:t>460</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"_Toc106883738" </w:instrText>
      </w:r>
      <w:r>
        <w:fldChar w:fldCharType="separate"/>
      </w:r>
      <w:r>
        <w:rPr>
          <w:rStyle w:val="85"/>
          <w:rFonts w:ascii="宋体" w:hAnsi="宋体" w:cs="楷体"/>
        </w:rPr>
        <w:t>8.21起重机</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_Toc106883738 \h </w:instrText>
      </w:r>
      <w:r>
        <w:rPr>
          <w:rStyle w:val="85"/>
          <w:rFonts w:ascii="宋体" w:hAnsi="宋体" w:cs="楷体"/>
        </w:rPr>
        <w:fldChar w:fldCharType="separate"/>
      </w:r>
      <w:r>
        <w:rPr>
          <w:rStyle w:val="85"/>
          <w:rFonts w:ascii="宋体" w:hAnsi="宋体" w:cs="楷体"/>
        </w:rPr>
        <w:t>470</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"_Toc106883739" </w:instrText>
      </w:r>
      <w:r>
        <w:fldChar w:fldCharType="separate"/>
      </w:r>
      <w:r>
        <w:rPr>
          <w:rStyle w:val="85"/>
          <w:rFonts w:ascii="宋体" w:hAnsi="宋体"/>
        </w:rPr>
        <w:t>8.21.1概述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_Toc106883739 \h </w:instrText>
      </w:r>
      <w:r>
        <w:rPr>
          <w:rStyle w:val="85"/>
          <w:rFonts w:ascii="宋体" w:hAnsi="宋体"/>
        </w:rPr>
        <w:fldChar w:fldCharType="separate"/>
      </w:r>
      <w:r>
        <w:rPr>
          <w:rStyle w:val="85"/>
          <w:rFonts w:ascii="宋体" w:hAnsi="宋体"/>
        </w:rPr>
        <w:t>470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"_Toc106883740" </w:instrText>
      </w:r>
      <w:r>
        <w:fldChar w:fldCharType="separate"/>
      </w:r>
      <w:r>
        <w:rPr>
          <w:rStyle w:val="85"/>
          <w:rFonts w:ascii="宋体" w:hAnsi="宋体"/>
        </w:rPr>
        <w:t>8.21.2设备清单</w:t>
      </w:r>
      <w:r>
        <w:rPr>
          <w:rStyle w:val="85"/>
          <w:rFonts w:ascii="宋体" w:hAnsi="宋体"/>
        </w:rPr>
        <w:tab/>
      </w:r>
      <w:r>
        <w:rPr>
          <w:rStyle w:val="85"/>
          <w:rFonts w:ascii="宋体" w:hAnsi="宋体"/>
        </w:rPr>
        <w:fldChar w:fldCharType="begin"/>
      </w:r>
      <w:r>
        <w:rPr>
          <w:rStyle w:val="85"/>
          <w:rFonts w:ascii="宋体" w:hAnsi="宋体"/>
        </w:rPr>
        <w:instrText xml:space="preserve"> PAGEREF _Toc106883740 \h </w:instrText>
      </w:r>
      <w:r>
        <w:rPr>
          <w:rStyle w:val="85"/>
          <w:rFonts w:ascii="宋体" w:hAnsi="宋体"/>
        </w:rPr>
        <w:fldChar w:fldCharType="separate"/>
      </w:r>
      <w:r>
        <w:rPr>
          <w:rStyle w:val="85"/>
          <w:rFonts w:ascii="宋体" w:hAnsi="宋体"/>
        </w:rPr>
        <w:t>471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"_Toc106883741" </w:instrText>
      </w:r>
      <w:r>
        <w:fldChar w:fldCharType="separate"/>
      </w:r>
      <w:r>
        <w:rPr>
          <w:rStyle w:val="85"/>
          <w:rFonts w:ascii="宋体" w:hAnsi="宋体"/>
        </w:rPr>
        <w:t>8.21.3供货范围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_Toc106883741 \h </w:instrText>
      </w:r>
      <w:r>
        <w:rPr>
          <w:rStyle w:val="85"/>
          <w:rFonts w:ascii="宋体" w:hAnsi="宋体"/>
        </w:rPr>
        <w:fldChar w:fldCharType="separate"/>
      </w:r>
      <w:r>
        <w:rPr>
          <w:rStyle w:val="85"/>
          <w:rFonts w:ascii="宋体" w:hAnsi="宋体"/>
        </w:rPr>
        <w:t>471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"_Toc106883742" </w:instrText>
      </w:r>
      <w:r>
        <w:fldChar w:fldCharType="separate"/>
      </w:r>
      <w:r>
        <w:rPr>
          <w:rStyle w:val="85"/>
          <w:rFonts w:ascii="宋体" w:hAnsi="宋体"/>
        </w:rPr>
        <w:t>8.21.4技术要求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_Toc106883742 \h </w:instrText>
      </w:r>
      <w:r>
        <w:rPr>
          <w:rStyle w:val="85"/>
          <w:rFonts w:ascii="宋体" w:hAnsi="宋体"/>
        </w:rPr>
        <w:fldChar w:fldCharType="separate"/>
      </w:r>
      <w:r>
        <w:rPr>
          <w:rStyle w:val="85"/>
          <w:rFonts w:ascii="宋体" w:hAnsi="宋体"/>
        </w:rPr>
        <w:t>471</w:t>
      </w:r>
      <w:r>
        <w:rPr>
          <w:rStyle w:val="85"/>
          <w:rFonts w:ascii="宋体" w:hAnsi="宋体"/>
        </w:rPr>
        <w:fldChar w:fldCharType="end"/>
      </w:r>
      <w:r>
        <w:rPr>
          <w:rStyle w:val="85"/>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"_Toc106883746" </w:instrText>
      </w:r>
      <w:r>
        <w:fldChar w:fldCharType="separate"/>
      </w:r>
      <w:r>
        <w:rPr>
          <w:rStyle w:val="85"/>
          <w:rFonts w:ascii="宋体" w:hAnsi="宋体"/>
        </w:rPr>
        <w:t>9低压电气设备详细技术要求</w:t>
      </w:r>
      <w:r>
        <w:rPr>
          <w:rFonts w:ascii="宋体" w:hAnsi="宋体"/>
        </w:rPr>
        <w:tab/>
      </w:r>
      <w:r>
        <w:rPr>
          <w:rFonts w:ascii="宋体" w:hAnsi="宋体"/>
        </w:rPr>
        <w:fldChar w:fldCharType="begin"/>
      </w:r>
      <w:r>
        <w:rPr>
          <w:rFonts w:ascii="宋体" w:hAnsi="宋体"/>
        </w:rPr>
        <w:instrText xml:space="preserve"> PAGEREF _Toc106883746 \h </w:instrText>
      </w:r>
      <w:r>
        <w:rPr>
          <w:rFonts w:ascii="宋体" w:hAnsi="宋体"/>
        </w:rPr>
        <w:fldChar w:fldCharType="separate"/>
      </w:r>
      <w:r>
        <w:rPr>
          <w:rFonts w:ascii="宋体" w:hAnsi="宋体"/>
        </w:rPr>
        <w:t>474</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"_Toc106883747" </w:instrText>
      </w:r>
      <w:r>
        <w:fldChar w:fldCharType="separate"/>
      </w:r>
      <w:r>
        <w:rPr>
          <w:rStyle w:val="85"/>
          <w:rFonts w:ascii="宋体" w:hAnsi="宋体" w:cs="楷体"/>
        </w:rPr>
        <w:t>9.1功能概述</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_Toc106883747 \h </w:instrText>
      </w:r>
      <w:r>
        <w:rPr>
          <w:rStyle w:val="85"/>
          <w:rFonts w:ascii="宋体" w:hAnsi="宋体" w:cs="楷体"/>
        </w:rPr>
        <w:fldChar w:fldCharType="separate"/>
      </w:r>
      <w:r>
        <w:rPr>
          <w:rStyle w:val="85"/>
          <w:rFonts w:ascii="宋体" w:hAnsi="宋体" w:cs="楷体"/>
        </w:rPr>
        <w:t>474</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"_Toc106883748" </w:instrText>
      </w:r>
      <w:r>
        <w:fldChar w:fldCharType="separate"/>
      </w:r>
      <w:r>
        <w:rPr>
          <w:rStyle w:val="85"/>
          <w:rFonts w:ascii="宋体" w:hAnsi="宋体" w:cs="楷体"/>
        </w:rPr>
        <w:t>9.2供货范围</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_Toc106883748 \h </w:instrText>
      </w:r>
      <w:r>
        <w:rPr>
          <w:rStyle w:val="85"/>
          <w:rFonts w:ascii="宋体" w:hAnsi="宋体" w:cs="楷体"/>
        </w:rPr>
        <w:fldChar w:fldCharType="separate"/>
      </w:r>
      <w:r>
        <w:rPr>
          <w:rStyle w:val="85"/>
          <w:rFonts w:ascii="宋体" w:hAnsi="宋体" w:cs="楷体"/>
        </w:rPr>
        <w:t>474</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"_Toc106883749" </w:instrText>
      </w:r>
      <w:r>
        <w:fldChar w:fldCharType="separate"/>
      </w:r>
      <w:r>
        <w:rPr>
          <w:rStyle w:val="85"/>
          <w:rFonts w:ascii="宋体" w:hAnsi="宋体" w:cs="楷体"/>
        </w:rPr>
        <w:t>9.3工地仓储条件</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_Toc106883749 \h </w:instrText>
      </w:r>
      <w:r>
        <w:rPr>
          <w:rStyle w:val="85"/>
          <w:rFonts w:ascii="宋体" w:hAnsi="宋体" w:cs="楷体"/>
        </w:rPr>
        <w:fldChar w:fldCharType="separate"/>
      </w:r>
      <w:r>
        <w:rPr>
          <w:rStyle w:val="85"/>
          <w:rFonts w:ascii="宋体" w:hAnsi="宋体" w:cs="楷体"/>
        </w:rPr>
        <w:t>480</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"_Toc106883750" </w:instrText>
      </w:r>
      <w:r>
        <w:fldChar w:fldCharType="separate"/>
      </w:r>
      <w:r>
        <w:rPr>
          <w:rStyle w:val="85"/>
          <w:rFonts w:ascii="宋体" w:hAnsi="宋体" w:cs="楷体"/>
        </w:rPr>
        <w:t>9.4运行要求</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_Toc106883750 \h </w:instrText>
      </w:r>
      <w:r>
        <w:rPr>
          <w:rStyle w:val="85"/>
          <w:rFonts w:ascii="宋体" w:hAnsi="宋体" w:cs="楷体"/>
        </w:rPr>
        <w:fldChar w:fldCharType="separate"/>
      </w:r>
      <w:r>
        <w:rPr>
          <w:rStyle w:val="85"/>
          <w:rFonts w:ascii="宋体" w:hAnsi="宋体" w:cs="楷体"/>
        </w:rPr>
        <w:t>481</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"_Toc106883751" </w:instrText>
      </w:r>
      <w:r>
        <w:fldChar w:fldCharType="separate"/>
      </w:r>
      <w:r>
        <w:rPr>
          <w:rStyle w:val="85"/>
          <w:rFonts w:ascii="宋体" w:hAnsi="宋体" w:cs="楷体"/>
        </w:rPr>
        <w:t>9.5特别说明</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_Toc106883751 \h </w:instrText>
      </w:r>
      <w:r>
        <w:rPr>
          <w:rStyle w:val="85"/>
          <w:rFonts w:ascii="宋体" w:hAnsi="宋体" w:cs="楷体"/>
        </w:rPr>
        <w:fldChar w:fldCharType="separate"/>
      </w:r>
      <w:r>
        <w:rPr>
          <w:rStyle w:val="85"/>
          <w:rFonts w:ascii="宋体" w:hAnsi="宋体" w:cs="楷体"/>
        </w:rPr>
        <w:t>481</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"_Toc106883752" </w:instrText>
      </w:r>
      <w:r>
        <w:fldChar w:fldCharType="separate"/>
      </w:r>
      <w:r>
        <w:rPr>
          <w:rStyle w:val="85"/>
          <w:rFonts w:ascii="宋体" w:hAnsi="宋体" w:cs="楷体"/>
        </w:rPr>
        <w:t>9.6组合式低压开关柜</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_Toc106883752 \h </w:instrText>
      </w:r>
      <w:r>
        <w:rPr>
          <w:rStyle w:val="85"/>
          <w:rFonts w:ascii="宋体" w:hAnsi="宋体" w:cs="楷体"/>
        </w:rPr>
        <w:fldChar w:fldCharType="separate"/>
      </w:r>
      <w:r>
        <w:rPr>
          <w:rStyle w:val="85"/>
          <w:rFonts w:ascii="宋体" w:hAnsi="宋体" w:cs="楷体"/>
        </w:rPr>
        <w:t>481</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"_Toc106883753" </w:instrText>
      </w:r>
      <w:r>
        <w:fldChar w:fldCharType="separate"/>
      </w:r>
      <w:r>
        <w:rPr>
          <w:rStyle w:val="85"/>
          <w:rFonts w:ascii="宋体" w:hAnsi="宋体"/>
        </w:rPr>
        <w:t>9.6.2生产和验收标准</w:t>
      </w:r>
      <w:r>
        <w:rPr>
          <w:rStyle w:val="85"/>
          <w:rFonts w:ascii="宋体" w:hAnsi="宋体"/>
        </w:rPr>
        <w:tab/>
      </w:r>
      <w:r>
        <w:rPr>
          <w:rStyle w:val="85"/>
          <w:rFonts w:ascii="宋体" w:hAnsi="宋体"/>
        </w:rPr>
        <w:fldChar w:fldCharType="begin"/>
      </w:r>
      <w:r>
        <w:rPr>
          <w:rStyle w:val="85"/>
          <w:rFonts w:ascii="宋体" w:hAnsi="宋体"/>
        </w:rPr>
        <w:instrText xml:space="preserve"> PAGEREF _Toc106883753 \h </w:instrText>
      </w:r>
      <w:r>
        <w:rPr>
          <w:rStyle w:val="85"/>
          <w:rFonts w:ascii="宋体" w:hAnsi="宋体"/>
        </w:rPr>
        <w:fldChar w:fldCharType="separate"/>
      </w:r>
      <w:r>
        <w:rPr>
          <w:rStyle w:val="85"/>
          <w:rFonts w:ascii="宋体" w:hAnsi="宋体"/>
        </w:rPr>
        <w:t>481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"_Toc106883754" </w:instrText>
      </w:r>
      <w:r>
        <w:fldChar w:fldCharType="separate"/>
      </w:r>
      <w:r>
        <w:rPr>
          <w:rStyle w:val="85"/>
          <w:rFonts w:ascii="宋体" w:hAnsi="宋体"/>
        </w:rPr>
        <w:t>9.6.4结构</w:t>
      </w:r>
      <w:r>
        <w:rPr>
          <w:rStyle w:val="85"/>
          <w:rFonts w:ascii="宋体" w:hAnsi="宋体"/>
        </w:rPr>
        <w:tab/>
      </w:r>
      <w:r>
        <w:rPr>
          <w:rStyle w:val="85"/>
          <w:rFonts w:ascii="宋体" w:hAnsi="宋体"/>
        </w:rPr>
        <w:fldChar w:fldCharType="begin"/>
      </w:r>
      <w:r>
        <w:rPr>
          <w:rStyle w:val="85"/>
          <w:rFonts w:ascii="宋体" w:hAnsi="宋体"/>
        </w:rPr>
        <w:instrText xml:space="preserve"> PAGEREF _Toc106883754 \h </w:instrText>
      </w:r>
      <w:r>
        <w:rPr>
          <w:rStyle w:val="85"/>
          <w:rFonts w:ascii="宋体" w:hAnsi="宋体"/>
        </w:rPr>
        <w:fldChar w:fldCharType="separate"/>
      </w:r>
      <w:r>
        <w:rPr>
          <w:rStyle w:val="85"/>
          <w:rFonts w:ascii="宋体" w:hAnsi="宋体"/>
        </w:rPr>
        <w:t>482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"_Toc106883755" </w:instrText>
      </w:r>
      <w:r>
        <w:fldChar w:fldCharType="separate"/>
      </w:r>
      <w:r>
        <w:rPr>
          <w:rStyle w:val="85"/>
          <w:rFonts w:ascii="宋体" w:hAnsi="宋体"/>
        </w:rPr>
        <w:t>9.6.5元器件要求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_Toc106883755 \h </w:instrText>
      </w:r>
      <w:r>
        <w:rPr>
          <w:rStyle w:val="85"/>
          <w:rFonts w:ascii="宋体" w:hAnsi="宋体"/>
        </w:rPr>
        <w:fldChar w:fldCharType="separate"/>
      </w:r>
      <w:r>
        <w:rPr>
          <w:rStyle w:val="85"/>
          <w:rFonts w:ascii="宋体" w:hAnsi="宋体"/>
        </w:rPr>
        <w:t>483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"_Toc106883756" </w:instrText>
      </w:r>
      <w:r>
        <w:fldChar w:fldCharType="separate"/>
      </w:r>
      <w:r>
        <w:rPr>
          <w:rStyle w:val="85"/>
          <w:rFonts w:ascii="宋体" w:hAnsi="宋体"/>
        </w:rPr>
        <w:t>9.6.6试验和检验</w:t>
      </w:r>
      <w:r>
        <w:rPr>
          <w:rStyle w:val="85"/>
          <w:rFonts w:ascii="宋体" w:hAnsi="宋体"/>
        </w:rPr>
        <w:tab/>
      </w:r>
      <w:r>
        <w:rPr>
          <w:rStyle w:val="85"/>
          <w:rFonts w:ascii="宋体" w:hAnsi="宋体"/>
        </w:rPr>
        <w:fldChar w:fldCharType="begin"/>
      </w:r>
      <w:r>
        <w:rPr>
          <w:rStyle w:val="85"/>
          <w:rFonts w:ascii="宋体" w:hAnsi="宋体"/>
        </w:rPr>
        <w:instrText xml:space="preserve"> PAGEREF _Toc106883756 \h </w:instrText>
      </w:r>
      <w:r>
        <w:rPr>
          <w:rStyle w:val="85"/>
          <w:rFonts w:ascii="宋体" w:hAnsi="宋体"/>
        </w:rPr>
        <w:fldChar w:fldCharType="separate"/>
      </w:r>
      <w:r>
        <w:rPr>
          <w:rStyle w:val="85"/>
          <w:rFonts w:ascii="宋体" w:hAnsi="宋体"/>
        </w:rPr>
        <w:t>491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"_Toc106883757" </w:instrText>
      </w:r>
      <w:r>
        <w:fldChar w:fldCharType="separate"/>
      </w:r>
      <w:r>
        <w:rPr>
          <w:rStyle w:val="85"/>
          <w:rFonts w:ascii="宋体" w:hAnsi="宋体"/>
        </w:rPr>
        <w:t>9.6.7质量保证</w:t>
      </w:r>
      <w:r>
        <w:rPr>
          <w:rStyle w:val="85"/>
          <w:rFonts w:ascii="宋体" w:hAnsi="宋体"/>
        </w:rPr>
        <w:tab/>
      </w:r>
      <w:r>
        <w:rPr>
          <w:rStyle w:val="85"/>
          <w:rFonts w:ascii="宋体" w:hAnsi="宋体"/>
        </w:rPr>
        <w:fldChar w:fldCharType="begin"/>
      </w:r>
      <w:r>
        <w:rPr>
          <w:rStyle w:val="85"/>
          <w:rFonts w:ascii="宋体" w:hAnsi="宋体"/>
        </w:rPr>
        <w:instrText xml:space="preserve"> PAGEREF _Toc106883757 \h </w:instrText>
      </w:r>
      <w:r>
        <w:rPr>
          <w:rStyle w:val="85"/>
          <w:rFonts w:ascii="宋体" w:hAnsi="宋体"/>
        </w:rPr>
        <w:fldChar w:fldCharType="separate"/>
      </w:r>
      <w:r>
        <w:rPr>
          <w:rStyle w:val="85"/>
          <w:rFonts w:ascii="宋体" w:hAnsi="宋体"/>
        </w:rPr>
        <w:t>491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"_Toc106883758" </w:instrText>
      </w:r>
      <w:r>
        <w:fldChar w:fldCharType="separate"/>
      </w:r>
      <w:r>
        <w:rPr>
          <w:rStyle w:val="85"/>
          <w:rFonts w:ascii="宋体" w:hAnsi="宋体"/>
        </w:rPr>
        <w:t>9.6.8铭牌和标志</w:t>
      </w:r>
      <w:r>
        <w:rPr>
          <w:rStyle w:val="85"/>
          <w:rFonts w:ascii="宋体" w:hAnsi="宋体"/>
        </w:rPr>
        <w:tab/>
      </w:r>
      <w:r>
        <w:rPr>
          <w:rStyle w:val="85"/>
          <w:rFonts w:ascii="宋体" w:hAnsi="宋体"/>
        </w:rPr>
        <w:fldChar w:fldCharType="begin"/>
      </w:r>
      <w:r>
        <w:rPr>
          <w:rStyle w:val="85"/>
          <w:rFonts w:ascii="宋体" w:hAnsi="宋体"/>
        </w:rPr>
        <w:instrText xml:space="preserve"> PAGEREF _Toc106883758 \h </w:instrText>
      </w:r>
      <w:r>
        <w:rPr>
          <w:rStyle w:val="85"/>
          <w:rFonts w:ascii="宋体" w:hAnsi="宋体"/>
        </w:rPr>
        <w:fldChar w:fldCharType="separate"/>
      </w:r>
      <w:r>
        <w:rPr>
          <w:rStyle w:val="85"/>
          <w:rFonts w:ascii="宋体" w:hAnsi="宋体"/>
        </w:rPr>
        <w:t>492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"_Toc106883759" </w:instrText>
      </w:r>
      <w:r>
        <w:fldChar w:fldCharType="separate"/>
      </w:r>
      <w:r>
        <w:rPr>
          <w:rStyle w:val="85"/>
          <w:rFonts w:ascii="宋体" w:hAnsi="宋体"/>
        </w:rPr>
        <w:t>9.6.9供货范围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_Toc106883759 \h </w:instrText>
      </w:r>
      <w:r>
        <w:rPr>
          <w:rStyle w:val="85"/>
          <w:rFonts w:ascii="宋体" w:hAnsi="宋体"/>
        </w:rPr>
        <w:fldChar w:fldCharType="separate"/>
      </w:r>
      <w:r>
        <w:rPr>
          <w:rStyle w:val="85"/>
          <w:rFonts w:ascii="宋体" w:hAnsi="宋体"/>
        </w:rPr>
        <w:t>492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"_Toc106883760" </w:instrText>
      </w:r>
      <w:r>
        <w:fldChar w:fldCharType="separate"/>
      </w:r>
      <w:r>
        <w:rPr>
          <w:rStyle w:val="85"/>
          <w:rFonts w:ascii="宋体" w:hAnsi="宋体"/>
        </w:rPr>
        <w:t>9.6.10包装和运输</w:t>
      </w:r>
      <w:r>
        <w:rPr>
          <w:rStyle w:val="85"/>
          <w:rFonts w:ascii="宋体" w:hAnsi="宋体"/>
        </w:rPr>
        <w:tab/>
      </w:r>
      <w:r>
        <w:rPr>
          <w:rStyle w:val="85"/>
          <w:rFonts w:ascii="宋体" w:hAnsi="宋体"/>
        </w:rPr>
        <w:fldChar w:fldCharType="begin"/>
      </w:r>
      <w:r>
        <w:rPr>
          <w:rStyle w:val="85"/>
          <w:rFonts w:ascii="宋体" w:hAnsi="宋体"/>
        </w:rPr>
        <w:instrText xml:space="preserve"> PAGEREF _Toc106883760 \h </w:instrText>
      </w:r>
      <w:r>
        <w:rPr>
          <w:rStyle w:val="85"/>
          <w:rFonts w:ascii="宋体" w:hAnsi="宋体"/>
        </w:rPr>
        <w:fldChar w:fldCharType="separate"/>
      </w:r>
      <w:r>
        <w:rPr>
          <w:rStyle w:val="85"/>
          <w:rFonts w:ascii="宋体" w:hAnsi="宋体"/>
        </w:rPr>
        <w:t>492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"_Toc106883761" </w:instrText>
      </w:r>
      <w:r>
        <w:fldChar w:fldCharType="separate"/>
      </w:r>
      <w:r>
        <w:rPr>
          <w:rStyle w:val="85"/>
          <w:rFonts w:ascii="宋体" w:hAnsi="宋体"/>
        </w:rPr>
        <w:t>9.6.11现场服务</w:t>
      </w:r>
      <w:r>
        <w:rPr>
          <w:rStyle w:val="85"/>
          <w:rFonts w:ascii="宋体" w:hAnsi="宋体"/>
        </w:rPr>
        <w:tab/>
      </w:r>
      <w:r>
        <w:rPr>
          <w:rStyle w:val="85"/>
          <w:rFonts w:ascii="宋体" w:hAnsi="宋体"/>
        </w:rPr>
        <w:fldChar w:fldCharType="begin"/>
      </w:r>
      <w:r>
        <w:rPr>
          <w:rStyle w:val="85"/>
          <w:rFonts w:ascii="宋体" w:hAnsi="宋体"/>
        </w:rPr>
        <w:instrText xml:space="preserve"> PAGEREF _Toc106883761 \h </w:instrText>
      </w:r>
      <w:r>
        <w:rPr>
          <w:rStyle w:val="85"/>
          <w:rFonts w:ascii="宋体" w:hAnsi="宋体"/>
        </w:rPr>
        <w:fldChar w:fldCharType="separate"/>
      </w:r>
      <w:r>
        <w:rPr>
          <w:rStyle w:val="85"/>
          <w:rFonts w:ascii="宋体" w:hAnsi="宋体"/>
        </w:rPr>
        <w:t>493</w:t>
      </w:r>
      <w:r>
        <w:rPr>
          <w:rStyle w:val="85"/>
          <w:rFonts w:ascii="宋体" w:hAnsi="宋体"/>
        </w:rPr>
        <w:fldChar w:fldCharType="end"/>
      </w:r>
      <w:r>
        <w:rPr>
          <w:rStyle w:val="85"/>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"_Toc106883762" </w:instrText>
      </w:r>
      <w:r>
        <w:fldChar w:fldCharType="separate"/>
      </w:r>
      <w:r>
        <w:rPr>
          <w:rStyle w:val="85"/>
          <w:rFonts w:ascii="宋体" w:hAnsi="宋体"/>
        </w:rPr>
        <w:t>9.6.12专用工具及备品备件</w:t>
      </w:r>
      <w:r>
        <w:rPr>
          <w:rFonts w:ascii="宋体" w:hAnsi="宋体"/>
        </w:rPr>
        <w:tab/>
      </w:r>
      <w:r>
        <w:rPr>
          <w:rFonts w:ascii="宋体" w:hAnsi="宋体"/>
        </w:rPr>
        <w:fldChar w:fldCharType="begin"/>
      </w:r>
      <w:r>
        <w:rPr>
          <w:rFonts w:ascii="宋体" w:hAnsi="宋体"/>
        </w:rPr>
        <w:instrText xml:space="preserve"> PAGEREF _Toc106883762 \h </w:instrText>
      </w:r>
      <w:r>
        <w:rPr>
          <w:rFonts w:ascii="宋体" w:hAnsi="宋体"/>
        </w:rPr>
        <w:fldChar w:fldCharType="separate"/>
      </w:r>
      <w:r>
        <w:rPr>
          <w:rFonts w:ascii="宋体" w:hAnsi="宋体"/>
        </w:rPr>
        <w:t>493</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"_Toc106883763" </w:instrText>
      </w:r>
      <w:r>
        <w:fldChar w:fldCharType="separate"/>
      </w:r>
      <w:r>
        <w:rPr>
          <w:rStyle w:val="85"/>
          <w:rFonts w:ascii="宋体" w:hAnsi="宋体" w:cs="楷体"/>
        </w:rPr>
        <w:t>9.7就地电控箱</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_Toc106883763 \h </w:instrText>
      </w:r>
      <w:r>
        <w:rPr>
          <w:rStyle w:val="85"/>
          <w:rFonts w:ascii="宋体" w:hAnsi="宋体" w:cs="楷体"/>
        </w:rPr>
        <w:fldChar w:fldCharType="separate"/>
      </w:r>
      <w:r>
        <w:rPr>
          <w:rStyle w:val="85"/>
          <w:rFonts w:ascii="宋体" w:hAnsi="宋体" w:cs="楷体"/>
        </w:rPr>
        <w:t>493</w:t>
      </w:r>
      <w:r>
        <w:rPr>
          <w:rStyle w:val="85"/>
          <w:rFonts w:ascii="宋体" w:hAnsi="宋体" w:cs="楷体"/>
        </w:rPr>
        <w:fldChar w:fldCharType="end"/>
      </w:r>
      <w:r>
        <w:rPr>
          <w:rStyle w:val="85"/>
          <w:rFonts w:ascii="宋体" w:hAnsi="宋体" w:cs="楷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"_Toc106883764" </w:instrText>
      </w:r>
      <w:r>
        <w:fldChar w:fldCharType="separate"/>
      </w:r>
      <w:r>
        <w:rPr>
          <w:rStyle w:val="85"/>
          <w:rFonts w:ascii="宋体" w:hAnsi="宋体"/>
        </w:rPr>
        <w:t>9.7.2.2控制继电器</w:t>
      </w:r>
      <w:r>
        <w:rPr>
          <w:rFonts w:ascii="宋体" w:hAnsi="宋体"/>
        </w:rPr>
        <w:tab/>
      </w:r>
      <w:r>
        <w:rPr>
          <w:rFonts w:ascii="宋体" w:hAnsi="宋体"/>
        </w:rPr>
        <w:fldChar w:fldCharType="begin"/>
      </w:r>
      <w:r>
        <w:rPr>
          <w:rFonts w:ascii="宋体" w:hAnsi="宋体"/>
        </w:rPr>
        <w:instrText xml:space="preserve"> PAGEREF _Toc106883764 \h </w:instrText>
      </w:r>
      <w:r>
        <w:rPr>
          <w:rFonts w:ascii="宋体" w:hAnsi="宋体"/>
        </w:rPr>
        <w:fldChar w:fldCharType="separate"/>
      </w:r>
      <w:r>
        <w:rPr>
          <w:rFonts w:ascii="宋体" w:hAnsi="宋体"/>
        </w:rPr>
        <w:t>494</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"_Toc106883765" </w:instrText>
      </w:r>
      <w:r>
        <w:fldChar w:fldCharType="separate"/>
      </w:r>
      <w:r>
        <w:rPr>
          <w:rStyle w:val="85"/>
          <w:rFonts w:ascii="宋体" w:hAnsi="宋体"/>
        </w:rPr>
        <w:t>9.7.2.3  转换开关</w:t>
      </w:r>
      <w:r>
        <w:rPr>
          <w:rFonts w:ascii="宋体" w:hAnsi="宋体"/>
        </w:rPr>
        <w:tab/>
      </w:r>
      <w:r>
        <w:rPr>
          <w:rFonts w:ascii="宋体" w:hAnsi="宋体"/>
        </w:rPr>
        <w:fldChar w:fldCharType="begin"/>
      </w:r>
      <w:r>
        <w:rPr>
          <w:rFonts w:ascii="宋体" w:hAnsi="宋体"/>
        </w:rPr>
        <w:instrText xml:space="preserve"> PAGEREF _Toc106883765 \h </w:instrText>
      </w:r>
      <w:r>
        <w:rPr>
          <w:rFonts w:ascii="宋体" w:hAnsi="宋体"/>
        </w:rPr>
        <w:fldChar w:fldCharType="separate"/>
      </w:r>
      <w:r>
        <w:rPr>
          <w:rFonts w:ascii="宋体" w:hAnsi="宋体"/>
        </w:rPr>
        <w:t>494</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"_Toc106883766" </w:instrText>
      </w:r>
      <w:r>
        <w:fldChar w:fldCharType="separate"/>
      </w:r>
      <w:r>
        <w:rPr>
          <w:rStyle w:val="85"/>
          <w:rFonts w:ascii="宋体" w:hAnsi="宋体"/>
        </w:rPr>
        <w:t>9.7.2.4  信号指示灯和按钮</w:t>
      </w:r>
      <w:r>
        <w:rPr>
          <w:rFonts w:ascii="宋体" w:hAnsi="宋体"/>
        </w:rPr>
        <w:tab/>
      </w:r>
      <w:r>
        <w:rPr>
          <w:rFonts w:ascii="宋体" w:hAnsi="宋体"/>
        </w:rPr>
        <w:fldChar w:fldCharType="begin"/>
      </w:r>
      <w:r>
        <w:rPr>
          <w:rFonts w:ascii="宋体" w:hAnsi="宋体"/>
        </w:rPr>
        <w:instrText xml:space="preserve"> PAGEREF _Toc106883766 \h </w:instrText>
      </w:r>
      <w:r>
        <w:rPr>
          <w:rFonts w:ascii="宋体" w:hAnsi="宋体"/>
        </w:rPr>
        <w:fldChar w:fldCharType="separate"/>
      </w:r>
      <w:r>
        <w:rPr>
          <w:rFonts w:ascii="宋体" w:hAnsi="宋体"/>
        </w:rPr>
        <w:t>495</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"_Toc106883767" </w:instrText>
      </w:r>
      <w:r>
        <w:fldChar w:fldCharType="separate"/>
      </w:r>
      <w:r>
        <w:rPr>
          <w:rStyle w:val="85"/>
          <w:rFonts w:ascii="宋体" w:hAnsi="宋体"/>
        </w:rPr>
        <w:t>9.7.2.5  液位开关</w:t>
      </w:r>
      <w:r>
        <w:rPr>
          <w:rFonts w:ascii="宋体" w:hAnsi="宋体"/>
        </w:rPr>
        <w:tab/>
      </w:r>
      <w:r>
        <w:rPr>
          <w:rFonts w:ascii="宋体" w:hAnsi="宋体"/>
        </w:rPr>
        <w:fldChar w:fldCharType="begin"/>
      </w:r>
      <w:r>
        <w:rPr>
          <w:rFonts w:ascii="宋体" w:hAnsi="宋体"/>
        </w:rPr>
        <w:instrText xml:space="preserve"> PAGEREF _Toc106883767 \h </w:instrText>
      </w:r>
      <w:r>
        <w:rPr>
          <w:rFonts w:ascii="宋体" w:hAnsi="宋体"/>
        </w:rPr>
        <w:fldChar w:fldCharType="separate"/>
      </w:r>
      <w:r>
        <w:rPr>
          <w:rFonts w:ascii="宋体" w:hAnsi="宋体"/>
        </w:rPr>
        <w:t>495</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"_Toc106883768" </w:instrText>
      </w:r>
      <w:r>
        <w:fldChar w:fldCharType="separate"/>
      </w:r>
      <w:r>
        <w:rPr>
          <w:rStyle w:val="85"/>
          <w:rFonts w:ascii="宋体" w:hAnsi="宋体" w:cs="楷体"/>
        </w:rPr>
        <w:t>9.8对厂家设计图纸、说明书和试验报告的要求</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_Toc106883768 \h </w:instrText>
      </w:r>
      <w:r>
        <w:rPr>
          <w:rStyle w:val="85"/>
          <w:rFonts w:ascii="宋体" w:hAnsi="宋体" w:cs="楷体"/>
        </w:rPr>
        <w:fldChar w:fldCharType="separate"/>
      </w:r>
      <w:r>
        <w:rPr>
          <w:rStyle w:val="85"/>
          <w:rFonts w:ascii="宋体" w:hAnsi="宋体" w:cs="楷体"/>
        </w:rPr>
        <w:t>495</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"_Toc106883769" </w:instrText>
      </w:r>
      <w:r>
        <w:fldChar w:fldCharType="separate"/>
      </w:r>
      <w:r>
        <w:rPr>
          <w:rStyle w:val="85"/>
          <w:rFonts w:ascii="宋体" w:hAnsi="宋体" w:cs="楷体"/>
        </w:rPr>
        <w:t>9.9现场测试与验收</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_Toc106883769 \h </w:instrText>
      </w:r>
      <w:r>
        <w:rPr>
          <w:rStyle w:val="85"/>
          <w:rFonts w:ascii="宋体" w:hAnsi="宋体" w:cs="楷体"/>
        </w:rPr>
        <w:fldChar w:fldCharType="separate"/>
      </w:r>
      <w:r>
        <w:rPr>
          <w:rStyle w:val="85"/>
          <w:rFonts w:ascii="宋体" w:hAnsi="宋体" w:cs="楷体"/>
        </w:rPr>
        <w:t>497</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"_Toc106883770" </w:instrText>
      </w:r>
      <w:r>
        <w:fldChar w:fldCharType="separate"/>
      </w:r>
      <w:r>
        <w:rPr>
          <w:rStyle w:val="85"/>
          <w:rFonts w:ascii="宋体" w:hAnsi="宋体" w:cs="楷体"/>
        </w:rPr>
        <w:t>9.10技术资料的提交</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_Toc106883770 \h </w:instrText>
      </w:r>
      <w:r>
        <w:rPr>
          <w:rStyle w:val="85"/>
          <w:rFonts w:ascii="宋体" w:hAnsi="宋体" w:cs="楷体"/>
        </w:rPr>
        <w:fldChar w:fldCharType="separate"/>
      </w:r>
      <w:r>
        <w:rPr>
          <w:rStyle w:val="85"/>
          <w:rFonts w:ascii="宋体" w:hAnsi="宋体" w:cs="楷体"/>
        </w:rPr>
        <w:t>497</w:t>
      </w:r>
      <w:r>
        <w:rPr>
          <w:rStyle w:val="85"/>
          <w:rFonts w:ascii="宋体" w:hAnsi="宋体" w:cs="楷体"/>
        </w:rPr>
        <w:fldChar w:fldCharType="end"/>
      </w:r>
      <w:r>
        <w:rPr>
          <w:rStyle w:val="85"/>
          <w:rFonts w:ascii="宋体" w:hAnsi="宋体" w:cs="楷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"_Toc106883771" </w:instrText>
      </w:r>
      <w:r>
        <w:fldChar w:fldCharType="separate"/>
      </w:r>
      <w:r>
        <w:rPr>
          <w:rStyle w:val="85"/>
          <w:rFonts w:ascii="宋体" w:hAnsi="宋体"/>
        </w:rPr>
        <w:t>9.10.2.1 资料提交时间及程序</w:t>
      </w:r>
      <w:r>
        <w:rPr>
          <w:rFonts w:ascii="宋体" w:hAnsi="宋体"/>
        </w:rPr>
        <w:tab/>
      </w:r>
      <w:r>
        <w:rPr>
          <w:rFonts w:ascii="宋体" w:hAnsi="宋体"/>
        </w:rPr>
        <w:fldChar w:fldCharType="begin"/>
      </w:r>
      <w:r>
        <w:rPr>
          <w:rFonts w:ascii="宋体" w:hAnsi="宋体"/>
        </w:rPr>
        <w:instrText xml:space="preserve"> PAGEREF _Toc106883771 \h </w:instrText>
      </w:r>
      <w:r>
        <w:rPr>
          <w:rFonts w:ascii="宋体" w:hAnsi="宋体"/>
        </w:rPr>
        <w:fldChar w:fldCharType="separate"/>
      </w:r>
      <w:r>
        <w:rPr>
          <w:rFonts w:ascii="宋体" w:hAnsi="宋体"/>
        </w:rPr>
        <w:t>499</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"_Toc106883772" </w:instrText>
      </w:r>
      <w:r>
        <w:fldChar w:fldCharType="separate"/>
      </w:r>
      <w:r>
        <w:rPr>
          <w:rStyle w:val="85"/>
          <w:rFonts w:ascii="宋体" w:hAnsi="宋体"/>
        </w:rPr>
        <w:t>10自动化</w:t>
      </w:r>
      <w:r>
        <w:rPr>
          <w:rStyle w:val="85"/>
          <w:rFonts w:hint="eastAsia" w:ascii="宋体" w:hAnsi="宋体"/>
        </w:rPr>
        <w:t>、监控及仪表</w:t>
      </w:r>
      <w:r>
        <w:rPr>
          <w:rStyle w:val="85"/>
          <w:rFonts w:ascii="宋体" w:hAnsi="宋体"/>
        </w:rPr>
        <w:t>系统详细技术要求</w:t>
      </w:r>
      <w:r>
        <w:rPr>
          <w:rFonts w:ascii="宋体" w:hAnsi="宋体"/>
        </w:rPr>
        <w:tab/>
      </w:r>
      <w:r>
        <w:rPr>
          <w:rFonts w:ascii="宋体" w:hAnsi="宋体"/>
        </w:rPr>
        <w:fldChar w:fldCharType="begin"/>
      </w:r>
      <w:r>
        <w:rPr>
          <w:rFonts w:ascii="宋体" w:hAnsi="宋体"/>
        </w:rPr>
        <w:instrText xml:space="preserve"> PAGEREF _Toc106883772 \h </w:instrText>
      </w:r>
      <w:r>
        <w:rPr>
          <w:rFonts w:ascii="宋体" w:hAnsi="宋体"/>
        </w:rPr>
        <w:fldChar w:fldCharType="separate"/>
      </w:r>
      <w:r>
        <w:rPr>
          <w:rFonts w:ascii="宋体" w:hAnsi="宋体"/>
        </w:rPr>
        <w:t>500</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"_Toc106883783" </w:instrText>
      </w:r>
      <w:r>
        <w:fldChar w:fldCharType="separate"/>
      </w:r>
      <w:r>
        <w:rPr>
          <w:rStyle w:val="85"/>
          <w:rFonts w:ascii="宋体" w:hAnsi="宋体" w:cs="楷体"/>
        </w:rPr>
        <w:t>10.1要求</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_Toc106883783 \h </w:instrText>
      </w:r>
      <w:r>
        <w:rPr>
          <w:rStyle w:val="85"/>
          <w:rFonts w:ascii="宋体" w:hAnsi="宋体" w:cs="楷体"/>
        </w:rPr>
        <w:fldChar w:fldCharType="separate"/>
      </w:r>
      <w:r>
        <w:rPr>
          <w:rStyle w:val="85"/>
          <w:rFonts w:ascii="宋体" w:hAnsi="宋体" w:cs="楷体"/>
        </w:rPr>
        <w:t>500</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"_Toc106883784" </w:instrText>
      </w:r>
      <w:r>
        <w:fldChar w:fldCharType="separate"/>
      </w:r>
      <w:r>
        <w:rPr>
          <w:rStyle w:val="85"/>
          <w:rFonts w:ascii="宋体" w:hAnsi="宋体"/>
        </w:rPr>
        <w:t>10.1.1特别说明</w:t>
      </w:r>
      <w:r>
        <w:rPr>
          <w:rStyle w:val="85"/>
          <w:rFonts w:ascii="宋体" w:hAnsi="宋体"/>
        </w:rPr>
        <w:tab/>
      </w:r>
      <w:r>
        <w:rPr>
          <w:rStyle w:val="85"/>
          <w:rFonts w:ascii="宋体" w:hAnsi="宋体"/>
        </w:rPr>
        <w:fldChar w:fldCharType="begin"/>
      </w:r>
      <w:r>
        <w:rPr>
          <w:rStyle w:val="85"/>
          <w:rFonts w:ascii="宋体" w:hAnsi="宋体"/>
        </w:rPr>
        <w:instrText xml:space="preserve"> PAGEREF _Toc106883784 \h </w:instrText>
      </w:r>
      <w:r>
        <w:rPr>
          <w:rStyle w:val="85"/>
          <w:rFonts w:ascii="宋体" w:hAnsi="宋体"/>
        </w:rPr>
        <w:fldChar w:fldCharType="separate"/>
      </w:r>
      <w:r>
        <w:rPr>
          <w:rStyle w:val="85"/>
          <w:rFonts w:ascii="宋体" w:hAnsi="宋体"/>
        </w:rPr>
        <w:t>500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"_Toc106883785" </w:instrText>
      </w:r>
      <w:r>
        <w:fldChar w:fldCharType="separate"/>
      </w:r>
      <w:r>
        <w:rPr>
          <w:rStyle w:val="85"/>
          <w:rFonts w:ascii="宋体" w:hAnsi="宋体"/>
        </w:rPr>
        <w:t>10.1.2供货范围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_Toc106883785 \h </w:instrText>
      </w:r>
      <w:r>
        <w:rPr>
          <w:rStyle w:val="85"/>
          <w:rFonts w:ascii="宋体" w:hAnsi="宋体"/>
        </w:rPr>
        <w:fldChar w:fldCharType="separate"/>
      </w:r>
      <w:r>
        <w:rPr>
          <w:rStyle w:val="85"/>
          <w:rFonts w:ascii="宋体" w:hAnsi="宋体"/>
        </w:rPr>
        <w:t>500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"_Toc106883786" </w:instrText>
      </w:r>
      <w:r>
        <w:fldChar w:fldCharType="separate"/>
      </w:r>
      <w:r>
        <w:rPr>
          <w:rStyle w:val="85"/>
          <w:rFonts w:ascii="宋体" w:hAnsi="宋体"/>
        </w:rPr>
        <w:t>10.1.3技术说明</w:t>
      </w:r>
      <w:r>
        <w:rPr>
          <w:rStyle w:val="85"/>
          <w:rFonts w:ascii="宋体" w:hAnsi="宋体"/>
        </w:rPr>
        <w:tab/>
      </w:r>
      <w:r>
        <w:rPr>
          <w:rStyle w:val="85"/>
          <w:rFonts w:ascii="宋体" w:hAnsi="宋体"/>
        </w:rPr>
        <w:fldChar w:fldCharType="begin"/>
      </w:r>
      <w:r>
        <w:rPr>
          <w:rStyle w:val="85"/>
          <w:rFonts w:ascii="宋体" w:hAnsi="宋体"/>
        </w:rPr>
        <w:instrText xml:space="preserve"> PAGEREF _Toc106883786 \h </w:instrText>
      </w:r>
      <w:r>
        <w:rPr>
          <w:rStyle w:val="85"/>
          <w:rFonts w:ascii="宋体" w:hAnsi="宋体"/>
        </w:rPr>
        <w:fldChar w:fldCharType="separate"/>
      </w:r>
      <w:r>
        <w:rPr>
          <w:rStyle w:val="85"/>
          <w:rFonts w:ascii="宋体" w:hAnsi="宋体"/>
        </w:rPr>
        <w:t>505</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"_Toc106883787" </w:instrText>
      </w:r>
      <w:r>
        <w:fldChar w:fldCharType="separate"/>
      </w:r>
      <w:r>
        <w:rPr>
          <w:rStyle w:val="85"/>
          <w:rFonts w:ascii="宋体" w:hAnsi="宋体"/>
        </w:rPr>
        <w:t>10.1.4作范围及要求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_Toc106883787 \h </w:instrText>
      </w:r>
      <w:r>
        <w:rPr>
          <w:rStyle w:val="85"/>
          <w:rFonts w:ascii="宋体" w:hAnsi="宋体"/>
        </w:rPr>
        <w:fldChar w:fldCharType="separate"/>
      </w:r>
      <w:r>
        <w:rPr>
          <w:rStyle w:val="85"/>
          <w:rFonts w:ascii="宋体" w:hAnsi="宋体"/>
        </w:rPr>
        <w:t>506</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"_Toc106883789" </w:instrText>
      </w:r>
      <w:r>
        <w:fldChar w:fldCharType="separate"/>
      </w:r>
      <w:r>
        <w:rPr>
          <w:rStyle w:val="85"/>
          <w:rFonts w:ascii="宋体" w:hAnsi="宋体" w:cs="楷体"/>
        </w:rPr>
        <w:t>10.2自动化控制系统</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_Toc106883789 \h </w:instrText>
      </w:r>
      <w:r>
        <w:rPr>
          <w:rStyle w:val="85"/>
          <w:rFonts w:ascii="宋体" w:hAnsi="宋体" w:cs="楷体"/>
        </w:rPr>
        <w:fldChar w:fldCharType="separate"/>
      </w:r>
      <w:r>
        <w:rPr>
          <w:rStyle w:val="85"/>
          <w:rFonts w:ascii="宋体" w:hAnsi="宋体" w:cs="楷体"/>
        </w:rPr>
        <w:t>508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"_Toc106883790" </w:instrText>
      </w:r>
      <w:r>
        <w:fldChar w:fldCharType="separate"/>
      </w:r>
      <w:r>
        <w:rPr>
          <w:rStyle w:val="85"/>
          <w:rFonts w:ascii="宋体" w:hAnsi="宋体"/>
        </w:rPr>
        <w:t>10.2.1概述</w:t>
      </w:r>
      <w:r>
        <w:rPr>
          <w:rStyle w:val="85"/>
          <w:rFonts w:ascii="宋体" w:hAnsi="宋体"/>
        </w:rPr>
        <w:tab/>
      </w:r>
      <w:r>
        <w:rPr>
          <w:rStyle w:val="85"/>
          <w:rFonts w:ascii="宋体" w:hAnsi="宋体"/>
        </w:rPr>
        <w:fldChar w:fldCharType="begin"/>
      </w:r>
      <w:r>
        <w:rPr>
          <w:rStyle w:val="85"/>
          <w:rFonts w:ascii="宋体" w:hAnsi="宋体"/>
        </w:rPr>
        <w:instrText xml:space="preserve"> PAGEREF _Toc106883790 \h </w:instrText>
      </w:r>
      <w:r>
        <w:rPr>
          <w:rStyle w:val="85"/>
          <w:rFonts w:ascii="宋体" w:hAnsi="宋体"/>
        </w:rPr>
        <w:fldChar w:fldCharType="separate"/>
      </w:r>
      <w:r>
        <w:rPr>
          <w:rStyle w:val="85"/>
          <w:rFonts w:ascii="宋体" w:hAnsi="宋体"/>
        </w:rPr>
        <w:t>508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"_Toc106883791" </w:instrText>
      </w:r>
      <w:r>
        <w:fldChar w:fldCharType="separate"/>
      </w:r>
      <w:r>
        <w:rPr>
          <w:rStyle w:val="85"/>
          <w:rFonts w:ascii="宋体" w:hAnsi="宋体"/>
        </w:rPr>
        <w:t>10.2.2自控系统组成</w:t>
      </w:r>
      <w:r>
        <w:rPr>
          <w:rStyle w:val="85"/>
          <w:rFonts w:ascii="宋体" w:hAnsi="宋体"/>
        </w:rPr>
        <w:tab/>
      </w:r>
      <w:r>
        <w:rPr>
          <w:rStyle w:val="85"/>
          <w:rFonts w:ascii="宋体" w:hAnsi="宋体"/>
        </w:rPr>
        <w:fldChar w:fldCharType="begin"/>
      </w:r>
      <w:r>
        <w:rPr>
          <w:rStyle w:val="85"/>
          <w:rFonts w:ascii="宋体" w:hAnsi="宋体"/>
        </w:rPr>
        <w:instrText xml:space="preserve"> PAGEREF _Toc106883791 \h </w:instrText>
      </w:r>
      <w:r>
        <w:rPr>
          <w:rStyle w:val="85"/>
          <w:rFonts w:ascii="宋体" w:hAnsi="宋体"/>
        </w:rPr>
        <w:fldChar w:fldCharType="separate"/>
      </w:r>
      <w:r>
        <w:rPr>
          <w:rStyle w:val="85"/>
          <w:rFonts w:ascii="宋体" w:hAnsi="宋体"/>
        </w:rPr>
        <w:t>509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"_Toc106883792" </w:instrText>
      </w:r>
      <w:r>
        <w:fldChar w:fldCharType="separate"/>
      </w:r>
      <w:r>
        <w:rPr>
          <w:rStyle w:val="85"/>
          <w:rFonts w:ascii="宋体" w:hAnsi="宋体"/>
        </w:rPr>
        <w:t>10.2.3主要中控室设备技术要求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_Toc106883792 \h </w:instrText>
      </w:r>
      <w:r>
        <w:rPr>
          <w:rStyle w:val="85"/>
          <w:rFonts w:ascii="宋体" w:hAnsi="宋体"/>
        </w:rPr>
        <w:fldChar w:fldCharType="separate"/>
      </w:r>
      <w:r>
        <w:rPr>
          <w:rStyle w:val="85"/>
          <w:rFonts w:ascii="宋体" w:hAnsi="宋体"/>
        </w:rPr>
        <w:t>514</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"_Toc106883793" </w:instrText>
      </w:r>
      <w:r>
        <w:fldChar w:fldCharType="separate"/>
      </w:r>
      <w:r>
        <w:rPr>
          <w:rStyle w:val="85"/>
          <w:rFonts w:ascii="宋体" w:hAnsi="宋体"/>
        </w:rPr>
        <w:t>10.2.4现场控制设备技术要求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_Toc106883793 \h </w:instrText>
      </w:r>
      <w:r>
        <w:rPr>
          <w:rStyle w:val="85"/>
          <w:rFonts w:ascii="宋体" w:hAnsi="宋体"/>
        </w:rPr>
        <w:fldChar w:fldCharType="separate"/>
      </w:r>
      <w:r>
        <w:rPr>
          <w:rStyle w:val="85"/>
          <w:rFonts w:ascii="宋体" w:hAnsi="宋体"/>
        </w:rPr>
        <w:t>522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"_Toc106883794" </w:instrText>
      </w:r>
      <w:r>
        <w:fldChar w:fldCharType="separate"/>
      </w:r>
      <w:r>
        <w:rPr>
          <w:rStyle w:val="85"/>
          <w:rFonts w:ascii="宋体" w:hAnsi="宋体"/>
        </w:rPr>
        <w:t>10.2.5上位机组态技术要求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_Toc106883794 \h </w:instrText>
      </w:r>
      <w:r>
        <w:rPr>
          <w:rStyle w:val="85"/>
          <w:rFonts w:ascii="宋体" w:hAnsi="宋体"/>
        </w:rPr>
        <w:fldChar w:fldCharType="separate"/>
      </w:r>
      <w:r>
        <w:rPr>
          <w:rStyle w:val="85"/>
          <w:rFonts w:ascii="宋体" w:hAnsi="宋体"/>
        </w:rPr>
        <w:t>536</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"_Toc106883795" </w:instrText>
      </w:r>
      <w:r>
        <w:fldChar w:fldCharType="separate"/>
      </w:r>
      <w:r>
        <w:rPr>
          <w:rStyle w:val="85"/>
          <w:rFonts w:ascii="宋体" w:hAnsi="宋体" w:cs="楷体"/>
        </w:rPr>
        <w:t>10.3在线检测仪表</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_Toc106883795 \h </w:instrText>
      </w:r>
      <w:r>
        <w:rPr>
          <w:rStyle w:val="85"/>
          <w:rFonts w:ascii="宋体" w:hAnsi="宋体" w:cs="楷体"/>
        </w:rPr>
        <w:fldChar w:fldCharType="separate"/>
      </w:r>
      <w:r>
        <w:rPr>
          <w:rStyle w:val="85"/>
          <w:rFonts w:ascii="宋体" w:hAnsi="宋体" w:cs="楷体"/>
        </w:rPr>
        <w:t>541</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"_Toc106883796" </w:instrText>
      </w:r>
      <w:r>
        <w:fldChar w:fldCharType="separate"/>
      </w:r>
      <w:r>
        <w:rPr>
          <w:rStyle w:val="85"/>
          <w:rFonts w:ascii="宋体" w:hAnsi="宋体"/>
        </w:rPr>
        <w:t>10.3.1总体要求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_Toc106883796 \h </w:instrText>
      </w:r>
      <w:r>
        <w:rPr>
          <w:rStyle w:val="85"/>
          <w:rFonts w:ascii="宋体" w:hAnsi="宋体"/>
        </w:rPr>
        <w:fldChar w:fldCharType="separate"/>
      </w:r>
      <w:r>
        <w:rPr>
          <w:rStyle w:val="85"/>
          <w:rFonts w:ascii="宋体" w:hAnsi="宋体"/>
        </w:rPr>
        <w:t>541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"_Toc106883797" </w:instrText>
      </w:r>
      <w:r>
        <w:fldChar w:fldCharType="separate"/>
      </w:r>
      <w:r>
        <w:rPr>
          <w:rStyle w:val="85"/>
          <w:rFonts w:ascii="宋体" w:hAnsi="宋体"/>
        </w:rPr>
        <w:t>10.3.2材质</w:t>
      </w:r>
      <w:r>
        <w:rPr>
          <w:rStyle w:val="85"/>
          <w:rFonts w:ascii="宋体" w:hAnsi="宋体"/>
        </w:rPr>
        <w:tab/>
      </w:r>
      <w:r>
        <w:rPr>
          <w:rStyle w:val="85"/>
          <w:rFonts w:ascii="宋体" w:hAnsi="宋体"/>
        </w:rPr>
        <w:fldChar w:fldCharType="begin"/>
      </w:r>
      <w:r>
        <w:rPr>
          <w:rStyle w:val="85"/>
          <w:rFonts w:ascii="宋体" w:hAnsi="宋体"/>
        </w:rPr>
        <w:instrText xml:space="preserve"> PAGEREF _Toc106883797 \h </w:instrText>
      </w:r>
      <w:r>
        <w:rPr>
          <w:rStyle w:val="85"/>
          <w:rFonts w:ascii="宋体" w:hAnsi="宋体"/>
        </w:rPr>
        <w:fldChar w:fldCharType="separate"/>
      </w:r>
      <w:r>
        <w:rPr>
          <w:rStyle w:val="85"/>
          <w:rFonts w:ascii="宋体" w:hAnsi="宋体"/>
        </w:rPr>
        <w:t>542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"_Toc106883798" </w:instrText>
      </w:r>
      <w:r>
        <w:fldChar w:fldCharType="separate"/>
      </w:r>
      <w:r>
        <w:rPr>
          <w:rStyle w:val="85"/>
          <w:rFonts w:ascii="宋体" w:hAnsi="宋体"/>
        </w:rPr>
        <w:t>10.3.3环境</w:t>
      </w:r>
      <w:r>
        <w:rPr>
          <w:rStyle w:val="85"/>
          <w:rFonts w:ascii="宋体" w:hAnsi="宋体"/>
        </w:rPr>
        <w:tab/>
      </w:r>
      <w:r>
        <w:rPr>
          <w:rStyle w:val="85"/>
          <w:rFonts w:ascii="宋体" w:hAnsi="宋体"/>
        </w:rPr>
        <w:fldChar w:fldCharType="begin"/>
      </w:r>
      <w:r>
        <w:rPr>
          <w:rStyle w:val="85"/>
          <w:rFonts w:ascii="宋体" w:hAnsi="宋体"/>
        </w:rPr>
        <w:instrText xml:space="preserve"> PAGEREF _Toc106883798 \h </w:instrText>
      </w:r>
      <w:r>
        <w:rPr>
          <w:rStyle w:val="85"/>
          <w:rFonts w:ascii="宋体" w:hAnsi="宋体"/>
        </w:rPr>
        <w:fldChar w:fldCharType="separate"/>
      </w:r>
      <w:r>
        <w:rPr>
          <w:rStyle w:val="85"/>
          <w:rFonts w:ascii="宋体" w:hAnsi="宋体"/>
        </w:rPr>
        <w:t>542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"_Toc106883799" </w:instrText>
      </w:r>
      <w:r>
        <w:fldChar w:fldCharType="separate"/>
      </w:r>
      <w:r>
        <w:rPr>
          <w:rStyle w:val="85"/>
          <w:rFonts w:ascii="宋体" w:hAnsi="宋体"/>
        </w:rPr>
        <w:t>10.3.4供货及安装</w:t>
      </w:r>
      <w:r>
        <w:rPr>
          <w:rStyle w:val="85"/>
          <w:rFonts w:ascii="宋体" w:hAnsi="宋体"/>
        </w:rPr>
        <w:tab/>
      </w:r>
      <w:r>
        <w:rPr>
          <w:rStyle w:val="85"/>
          <w:rFonts w:ascii="宋体" w:hAnsi="宋体"/>
        </w:rPr>
        <w:fldChar w:fldCharType="begin"/>
      </w:r>
      <w:r>
        <w:rPr>
          <w:rStyle w:val="85"/>
          <w:rFonts w:ascii="宋体" w:hAnsi="宋体"/>
        </w:rPr>
        <w:instrText xml:space="preserve"> PAGEREF _Toc106883799 \h </w:instrText>
      </w:r>
      <w:r>
        <w:rPr>
          <w:rStyle w:val="85"/>
          <w:rFonts w:ascii="宋体" w:hAnsi="宋体"/>
        </w:rPr>
        <w:fldChar w:fldCharType="separate"/>
      </w:r>
      <w:r>
        <w:rPr>
          <w:rStyle w:val="85"/>
          <w:rFonts w:ascii="宋体" w:hAnsi="宋体"/>
        </w:rPr>
        <w:t>542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"_Toc106883800" </w:instrText>
      </w:r>
      <w:r>
        <w:fldChar w:fldCharType="separate"/>
      </w:r>
      <w:r>
        <w:rPr>
          <w:rStyle w:val="85"/>
          <w:rFonts w:ascii="宋体" w:hAnsi="宋体"/>
        </w:rPr>
        <w:t>10.3.5仪表设备技术要求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_Toc106883800 \h </w:instrText>
      </w:r>
      <w:r>
        <w:rPr>
          <w:rStyle w:val="85"/>
          <w:rFonts w:ascii="宋体" w:hAnsi="宋体"/>
        </w:rPr>
        <w:fldChar w:fldCharType="separate"/>
      </w:r>
      <w:r>
        <w:rPr>
          <w:rStyle w:val="85"/>
          <w:rFonts w:ascii="宋体" w:hAnsi="宋体"/>
        </w:rPr>
        <w:t>542</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"_Toc106883801" </w:instrText>
      </w:r>
      <w:r>
        <w:fldChar w:fldCharType="separate"/>
      </w:r>
      <w:r>
        <w:rPr>
          <w:rStyle w:val="85"/>
          <w:rFonts w:ascii="宋体" w:hAnsi="宋体" w:cs="楷体"/>
        </w:rPr>
        <w:t>10.4视频监控及安防系统</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_Toc106883801 \h </w:instrText>
      </w:r>
      <w:r>
        <w:rPr>
          <w:rStyle w:val="85"/>
          <w:rFonts w:ascii="宋体" w:hAnsi="宋体" w:cs="楷体"/>
        </w:rPr>
        <w:fldChar w:fldCharType="separate"/>
      </w:r>
      <w:r>
        <w:rPr>
          <w:rStyle w:val="85"/>
          <w:rFonts w:ascii="宋体" w:hAnsi="宋体" w:cs="楷体"/>
        </w:rPr>
        <w:t>551</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"_Toc106883802" </w:instrText>
      </w:r>
      <w:r>
        <w:fldChar w:fldCharType="separate"/>
      </w:r>
      <w:r>
        <w:rPr>
          <w:rStyle w:val="85"/>
          <w:rFonts w:ascii="宋体" w:hAnsi="宋体"/>
        </w:rPr>
        <w:t>10.4.1工作范围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_Toc106883802 \h </w:instrText>
      </w:r>
      <w:r>
        <w:rPr>
          <w:rStyle w:val="85"/>
          <w:rFonts w:ascii="宋体" w:hAnsi="宋体"/>
        </w:rPr>
        <w:fldChar w:fldCharType="separate"/>
      </w:r>
      <w:r>
        <w:rPr>
          <w:rStyle w:val="85"/>
          <w:rFonts w:ascii="宋体" w:hAnsi="宋体"/>
        </w:rPr>
        <w:t>551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"_Toc106883803" </w:instrText>
      </w:r>
      <w:r>
        <w:fldChar w:fldCharType="separate"/>
      </w:r>
      <w:r>
        <w:rPr>
          <w:rStyle w:val="85"/>
          <w:rFonts w:ascii="宋体" w:hAnsi="宋体"/>
        </w:rPr>
        <w:t>10.4.2系统架构及功能描述</w:t>
      </w:r>
      <w:r>
        <w:rPr>
          <w:rStyle w:val="85"/>
          <w:rFonts w:ascii="宋体" w:hAnsi="宋体"/>
        </w:rPr>
        <w:tab/>
      </w:r>
      <w:r>
        <w:rPr>
          <w:rStyle w:val="85"/>
          <w:rFonts w:ascii="宋体" w:hAnsi="宋体"/>
        </w:rPr>
        <w:fldChar w:fldCharType="begin"/>
      </w:r>
      <w:r>
        <w:rPr>
          <w:rStyle w:val="85"/>
          <w:rFonts w:ascii="宋体" w:hAnsi="宋体"/>
        </w:rPr>
        <w:instrText xml:space="preserve"> PAGEREF _Toc106883803 \h </w:instrText>
      </w:r>
      <w:r>
        <w:rPr>
          <w:rStyle w:val="85"/>
          <w:rFonts w:ascii="宋体" w:hAnsi="宋体"/>
        </w:rPr>
        <w:fldChar w:fldCharType="separate"/>
      </w:r>
      <w:r>
        <w:rPr>
          <w:rStyle w:val="85"/>
          <w:rFonts w:ascii="宋体" w:hAnsi="宋体"/>
        </w:rPr>
        <w:t>551</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"_Toc106883804" </w:instrText>
      </w:r>
      <w:r>
        <w:fldChar w:fldCharType="separate"/>
      </w:r>
      <w:r>
        <w:rPr>
          <w:rStyle w:val="85"/>
          <w:rFonts w:ascii="宋体" w:hAnsi="宋体"/>
        </w:rPr>
        <w:t>10.4.3总体要求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_Toc106883804 \h </w:instrText>
      </w:r>
      <w:r>
        <w:rPr>
          <w:rStyle w:val="85"/>
          <w:rFonts w:ascii="宋体" w:hAnsi="宋体"/>
        </w:rPr>
        <w:fldChar w:fldCharType="separate"/>
      </w:r>
      <w:r>
        <w:rPr>
          <w:rStyle w:val="85"/>
          <w:rFonts w:ascii="宋体" w:hAnsi="宋体"/>
        </w:rPr>
        <w:t>552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"_Toc106883805" </w:instrText>
      </w:r>
      <w:r>
        <w:fldChar w:fldCharType="separate"/>
      </w:r>
      <w:r>
        <w:rPr>
          <w:rStyle w:val="85"/>
          <w:rFonts w:ascii="宋体" w:hAnsi="宋体"/>
        </w:rPr>
        <w:t>10.4.4系统范围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_Toc106883805 \h </w:instrText>
      </w:r>
      <w:r>
        <w:rPr>
          <w:rStyle w:val="85"/>
          <w:rFonts w:ascii="宋体" w:hAnsi="宋体"/>
        </w:rPr>
        <w:fldChar w:fldCharType="separate"/>
      </w:r>
      <w:r>
        <w:rPr>
          <w:rStyle w:val="85"/>
          <w:rFonts w:ascii="宋体" w:hAnsi="宋体"/>
        </w:rPr>
        <w:t>552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"_Toc106883806" </w:instrText>
      </w:r>
      <w:r>
        <w:fldChar w:fldCharType="separate"/>
      </w:r>
      <w:r>
        <w:rPr>
          <w:rStyle w:val="85"/>
          <w:rFonts w:ascii="宋体" w:hAnsi="宋体"/>
        </w:rPr>
        <w:t>10.4.5设备性能指标</w:t>
      </w:r>
      <w:r>
        <w:rPr>
          <w:rStyle w:val="85"/>
          <w:rFonts w:ascii="宋体" w:hAnsi="宋体"/>
        </w:rPr>
        <w:tab/>
      </w:r>
      <w:r>
        <w:rPr>
          <w:rStyle w:val="85"/>
          <w:rFonts w:ascii="宋体" w:hAnsi="宋体"/>
        </w:rPr>
        <w:fldChar w:fldCharType="begin"/>
      </w:r>
      <w:r>
        <w:rPr>
          <w:rStyle w:val="85"/>
          <w:rFonts w:ascii="宋体" w:hAnsi="宋体"/>
        </w:rPr>
        <w:instrText xml:space="preserve"> PAGEREF _Toc106883806 \h </w:instrText>
      </w:r>
      <w:r>
        <w:rPr>
          <w:rStyle w:val="85"/>
          <w:rFonts w:ascii="宋体" w:hAnsi="宋体"/>
        </w:rPr>
        <w:fldChar w:fldCharType="separate"/>
      </w:r>
      <w:r>
        <w:rPr>
          <w:rStyle w:val="85"/>
          <w:rFonts w:ascii="宋体" w:hAnsi="宋体"/>
        </w:rPr>
        <w:t>553</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"_Toc106883807" </w:instrText>
      </w:r>
      <w:r>
        <w:fldChar w:fldCharType="separate"/>
      </w:r>
      <w:r>
        <w:rPr>
          <w:rStyle w:val="85"/>
          <w:rFonts w:ascii="宋体" w:hAnsi="宋体" w:cs="楷体"/>
        </w:rPr>
        <w:t>10.5安装技术规定</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_Toc106883807 \h </w:instrText>
      </w:r>
      <w:r>
        <w:rPr>
          <w:rStyle w:val="85"/>
          <w:rFonts w:ascii="宋体" w:hAnsi="宋体" w:cs="楷体"/>
        </w:rPr>
        <w:fldChar w:fldCharType="separate"/>
      </w:r>
      <w:r>
        <w:rPr>
          <w:rStyle w:val="85"/>
          <w:rFonts w:ascii="宋体" w:hAnsi="宋体" w:cs="楷体"/>
        </w:rPr>
        <w:t>558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"_Toc106883808" </w:instrText>
      </w:r>
      <w:r>
        <w:fldChar w:fldCharType="separate"/>
      </w:r>
      <w:r>
        <w:rPr>
          <w:rStyle w:val="85"/>
          <w:rFonts w:ascii="宋体" w:hAnsi="宋体"/>
        </w:rPr>
        <w:t>10.5.1安装范围</w:t>
      </w:r>
      <w:r>
        <w:rPr>
          <w:rStyle w:val="85"/>
          <w:rFonts w:ascii="宋体" w:hAnsi="宋体"/>
        </w:rPr>
        <w:tab/>
      </w:r>
      <w:r>
        <w:rPr>
          <w:rStyle w:val="85"/>
          <w:rFonts w:ascii="宋体" w:hAnsi="宋体"/>
        </w:rPr>
        <w:fldChar w:fldCharType="begin"/>
      </w:r>
      <w:r>
        <w:rPr>
          <w:rStyle w:val="85"/>
          <w:rFonts w:ascii="宋体" w:hAnsi="宋体"/>
        </w:rPr>
        <w:instrText xml:space="preserve"> PAGEREF _Toc106883808 \h </w:instrText>
      </w:r>
      <w:r>
        <w:rPr>
          <w:rStyle w:val="85"/>
          <w:rFonts w:ascii="宋体" w:hAnsi="宋体"/>
        </w:rPr>
        <w:fldChar w:fldCharType="separate"/>
      </w:r>
      <w:r>
        <w:rPr>
          <w:rStyle w:val="85"/>
          <w:rFonts w:ascii="宋体" w:hAnsi="宋体"/>
        </w:rPr>
        <w:t>558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"_Toc106883809" </w:instrText>
      </w:r>
      <w:r>
        <w:fldChar w:fldCharType="separate"/>
      </w:r>
      <w:r>
        <w:rPr>
          <w:rStyle w:val="85"/>
          <w:rFonts w:ascii="宋体" w:hAnsi="宋体"/>
        </w:rPr>
        <w:t>10.5.2安装标准和规范</w:t>
      </w:r>
      <w:r>
        <w:rPr>
          <w:rStyle w:val="85"/>
          <w:rFonts w:ascii="宋体" w:hAnsi="宋体"/>
        </w:rPr>
        <w:tab/>
      </w:r>
      <w:r>
        <w:rPr>
          <w:rStyle w:val="85"/>
          <w:rFonts w:ascii="宋体" w:hAnsi="宋体"/>
        </w:rPr>
        <w:fldChar w:fldCharType="begin"/>
      </w:r>
      <w:r>
        <w:rPr>
          <w:rStyle w:val="85"/>
          <w:rFonts w:ascii="宋体" w:hAnsi="宋体"/>
        </w:rPr>
        <w:instrText xml:space="preserve"> PAGEREF _Toc106883809 \h </w:instrText>
      </w:r>
      <w:r>
        <w:rPr>
          <w:rStyle w:val="85"/>
          <w:rFonts w:ascii="宋体" w:hAnsi="宋体"/>
        </w:rPr>
        <w:fldChar w:fldCharType="separate"/>
      </w:r>
      <w:r>
        <w:rPr>
          <w:rStyle w:val="85"/>
          <w:rFonts w:ascii="宋体" w:hAnsi="宋体"/>
        </w:rPr>
        <w:t>559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"_Toc106883810" </w:instrText>
      </w:r>
      <w:r>
        <w:fldChar w:fldCharType="separate"/>
      </w:r>
      <w:r>
        <w:rPr>
          <w:rStyle w:val="85"/>
          <w:rFonts w:ascii="宋体" w:hAnsi="宋体"/>
        </w:rPr>
        <w:t>10.5.3安装要求</w:t>
      </w:r>
      <w:r>
        <w:rPr>
          <w:rStyle w:val="85"/>
          <w:rFonts w:ascii="宋体" w:hAnsi="宋体"/>
        </w:rPr>
        <w:tab/>
      </w:r>
      <w:r>
        <w:rPr>
          <w:rStyle w:val="85"/>
          <w:rFonts w:ascii="宋体" w:hAnsi="宋体"/>
        </w:rPr>
        <w:fldChar w:fldCharType="begin"/>
      </w:r>
      <w:r>
        <w:rPr>
          <w:rStyle w:val="85"/>
          <w:rFonts w:ascii="宋体" w:hAnsi="宋体"/>
        </w:rPr>
        <w:instrText xml:space="preserve"> PAGEREF _Toc106883810 \h </w:instrText>
      </w:r>
      <w:r>
        <w:rPr>
          <w:rStyle w:val="85"/>
          <w:rFonts w:ascii="宋体" w:hAnsi="宋体"/>
        </w:rPr>
        <w:fldChar w:fldCharType="separate"/>
      </w:r>
      <w:r>
        <w:rPr>
          <w:rStyle w:val="85"/>
          <w:rFonts w:ascii="宋体" w:hAnsi="宋体"/>
        </w:rPr>
        <w:t>560</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"_Toc106883811" </w:instrText>
      </w:r>
      <w:r>
        <w:fldChar w:fldCharType="separate"/>
      </w:r>
      <w:r>
        <w:rPr>
          <w:rStyle w:val="85"/>
          <w:rFonts w:ascii="宋体" w:hAnsi="宋体"/>
        </w:rPr>
        <w:t>10.5.4安装管理</w:t>
      </w:r>
      <w:r>
        <w:rPr>
          <w:rStyle w:val="85"/>
          <w:rFonts w:ascii="宋体" w:hAnsi="宋体"/>
        </w:rPr>
        <w:tab/>
      </w:r>
      <w:r>
        <w:rPr>
          <w:rStyle w:val="85"/>
          <w:rFonts w:ascii="宋体" w:hAnsi="宋体"/>
        </w:rPr>
        <w:fldChar w:fldCharType="begin"/>
      </w:r>
      <w:r>
        <w:rPr>
          <w:rStyle w:val="85"/>
          <w:rFonts w:ascii="宋体" w:hAnsi="宋体"/>
        </w:rPr>
        <w:instrText xml:space="preserve"> PAGEREF _Toc106883811 \h </w:instrText>
      </w:r>
      <w:r>
        <w:rPr>
          <w:rStyle w:val="85"/>
          <w:rFonts w:ascii="宋体" w:hAnsi="宋体"/>
        </w:rPr>
        <w:fldChar w:fldCharType="separate"/>
      </w:r>
      <w:r>
        <w:rPr>
          <w:rStyle w:val="85"/>
          <w:rFonts w:ascii="宋体" w:hAnsi="宋体"/>
        </w:rPr>
        <w:t>563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"_Toc106883812" </w:instrText>
      </w:r>
      <w:r>
        <w:fldChar w:fldCharType="separate"/>
      </w:r>
      <w:r>
        <w:rPr>
          <w:rStyle w:val="85"/>
          <w:rFonts w:ascii="宋体" w:hAnsi="宋体"/>
        </w:rPr>
        <w:t>10.5.5验收规定</w:t>
      </w:r>
      <w:r>
        <w:rPr>
          <w:rStyle w:val="85"/>
          <w:rFonts w:ascii="宋体" w:hAnsi="宋体"/>
        </w:rPr>
        <w:tab/>
      </w:r>
      <w:r>
        <w:rPr>
          <w:rStyle w:val="85"/>
          <w:rFonts w:ascii="宋体" w:hAnsi="宋体"/>
        </w:rPr>
        <w:fldChar w:fldCharType="begin"/>
      </w:r>
      <w:r>
        <w:rPr>
          <w:rStyle w:val="85"/>
          <w:rFonts w:ascii="宋体" w:hAnsi="宋体"/>
        </w:rPr>
        <w:instrText xml:space="preserve"> PAGEREF _Toc106883812 \h </w:instrText>
      </w:r>
      <w:r>
        <w:rPr>
          <w:rStyle w:val="85"/>
          <w:rFonts w:ascii="宋体" w:hAnsi="宋体"/>
        </w:rPr>
        <w:fldChar w:fldCharType="separate"/>
      </w:r>
      <w:r>
        <w:rPr>
          <w:rStyle w:val="85"/>
          <w:rFonts w:ascii="宋体" w:hAnsi="宋体"/>
        </w:rPr>
        <w:t>564</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"_Toc106883813" </w:instrText>
      </w:r>
      <w:r>
        <w:fldChar w:fldCharType="separate"/>
      </w:r>
      <w:r>
        <w:rPr>
          <w:rStyle w:val="85"/>
          <w:rFonts w:ascii="宋体" w:hAnsi="宋体"/>
        </w:rPr>
        <w:t>10.5.6安装工作技术资料的提交</w:t>
      </w:r>
      <w:r>
        <w:rPr>
          <w:rStyle w:val="85"/>
          <w:rFonts w:ascii="宋体" w:hAnsi="宋体"/>
        </w:rPr>
        <w:tab/>
      </w:r>
      <w:r>
        <w:rPr>
          <w:rStyle w:val="85"/>
          <w:rFonts w:ascii="宋体" w:hAnsi="宋体"/>
        </w:rPr>
        <w:fldChar w:fldCharType="begin"/>
      </w:r>
      <w:r>
        <w:rPr>
          <w:rStyle w:val="85"/>
          <w:rFonts w:ascii="宋体" w:hAnsi="宋体"/>
        </w:rPr>
        <w:instrText xml:space="preserve"> PAGEREF _Toc106883813 \h </w:instrText>
      </w:r>
      <w:r>
        <w:rPr>
          <w:rStyle w:val="85"/>
          <w:rFonts w:ascii="宋体" w:hAnsi="宋体"/>
        </w:rPr>
        <w:fldChar w:fldCharType="separate"/>
      </w:r>
      <w:r>
        <w:rPr>
          <w:rStyle w:val="85"/>
          <w:rFonts w:ascii="宋体" w:hAnsi="宋体"/>
        </w:rPr>
        <w:t>564</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"_Toc106883814" </w:instrText>
      </w:r>
      <w:r>
        <w:fldChar w:fldCharType="separate"/>
      </w:r>
      <w:r>
        <w:rPr>
          <w:rStyle w:val="85"/>
          <w:rFonts w:ascii="宋体" w:hAnsi="宋体" w:cs="楷体"/>
        </w:rPr>
        <w:t>10.6安装材料技术规定</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_Toc106883814 \h </w:instrText>
      </w:r>
      <w:r>
        <w:rPr>
          <w:rStyle w:val="85"/>
          <w:rFonts w:ascii="宋体" w:hAnsi="宋体" w:cs="楷体"/>
        </w:rPr>
        <w:fldChar w:fldCharType="separate"/>
      </w:r>
      <w:r>
        <w:rPr>
          <w:rStyle w:val="85"/>
          <w:rFonts w:ascii="宋体" w:hAnsi="宋体" w:cs="楷体"/>
        </w:rPr>
        <w:t>565</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"_Toc106883815" </w:instrText>
      </w:r>
      <w:r>
        <w:fldChar w:fldCharType="separate"/>
      </w:r>
      <w:r>
        <w:rPr>
          <w:rStyle w:val="85"/>
          <w:rFonts w:ascii="宋体" w:hAnsi="宋体"/>
        </w:rPr>
        <w:t>10.6.1控制电缆</w:t>
      </w:r>
      <w:r>
        <w:rPr>
          <w:rStyle w:val="85"/>
          <w:rFonts w:ascii="宋体" w:hAnsi="宋体"/>
        </w:rPr>
        <w:tab/>
      </w:r>
      <w:r>
        <w:rPr>
          <w:rStyle w:val="85"/>
          <w:rFonts w:ascii="宋体" w:hAnsi="宋体"/>
        </w:rPr>
        <w:fldChar w:fldCharType="begin"/>
      </w:r>
      <w:r>
        <w:rPr>
          <w:rStyle w:val="85"/>
          <w:rFonts w:ascii="宋体" w:hAnsi="宋体"/>
        </w:rPr>
        <w:instrText xml:space="preserve"> PAGEREF _Toc106883815 \h </w:instrText>
      </w:r>
      <w:r>
        <w:rPr>
          <w:rStyle w:val="85"/>
          <w:rFonts w:ascii="宋体" w:hAnsi="宋体"/>
        </w:rPr>
        <w:fldChar w:fldCharType="separate"/>
      </w:r>
      <w:r>
        <w:rPr>
          <w:rStyle w:val="85"/>
          <w:rFonts w:ascii="宋体" w:hAnsi="宋体"/>
        </w:rPr>
        <w:t>565</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"_Toc106883816" </w:instrText>
      </w:r>
      <w:r>
        <w:fldChar w:fldCharType="separate"/>
      </w:r>
      <w:r>
        <w:rPr>
          <w:rStyle w:val="85"/>
          <w:rFonts w:ascii="宋体" w:hAnsi="宋体"/>
        </w:rPr>
        <w:t>10.6.2光缆</w:t>
      </w:r>
      <w:r>
        <w:rPr>
          <w:rStyle w:val="85"/>
          <w:rFonts w:ascii="宋体" w:hAnsi="宋体"/>
        </w:rPr>
        <w:tab/>
      </w:r>
      <w:r>
        <w:rPr>
          <w:rStyle w:val="85"/>
          <w:rFonts w:ascii="宋体" w:hAnsi="宋体"/>
        </w:rPr>
        <w:fldChar w:fldCharType="begin"/>
      </w:r>
      <w:r>
        <w:rPr>
          <w:rStyle w:val="85"/>
          <w:rFonts w:ascii="宋体" w:hAnsi="宋体"/>
        </w:rPr>
        <w:instrText xml:space="preserve"> PAGEREF _Toc106883816 \h </w:instrText>
      </w:r>
      <w:r>
        <w:rPr>
          <w:rStyle w:val="85"/>
          <w:rFonts w:ascii="宋体" w:hAnsi="宋体"/>
        </w:rPr>
        <w:fldChar w:fldCharType="separate"/>
      </w:r>
      <w:r>
        <w:rPr>
          <w:rStyle w:val="85"/>
          <w:rFonts w:ascii="宋体" w:hAnsi="宋体"/>
        </w:rPr>
        <w:t>567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"_Toc106883817" </w:instrText>
      </w:r>
      <w:r>
        <w:fldChar w:fldCharType="separate"/>
      </w:r>
      <w:r>
        <w:rPr>
          <w:rStyle w:val="85"/>
          <w:rFonts w:ascii="宋体" w:hAnsi="宋体"/>
        </w:rPr>
        <w:t>10.6.3电力电缆</w:t>
      </w:r>
      <w:r>
        <w:rPr>
          <w:rStyle w:val="85"/>
          <w:rFonts w:ascii="宋体" w:hAnsi="宋体"/>
        </w:rPr>
        <w:tab/>
      </w:r>
      <w:r>
        <w:rPr>
          <w:rStyle w:val="85"/>
          <w:rFonts w:ascii="宋体" w:hAnsi="宋体"/>
        </w:rPr>
        <w:fldChar w:fldCharType="begin"/>
      </w:r>
      <w:r>
        <w:rPr>
          <w:rStyle w:val="85"/>
          <w:rFonts w:ascii="宋体" w:hAnsi="宋体"/>
        </w:rPr>
        <w:instrText xml:space="preserve"> PAGEREF _Toc106883817 \h </w:instrText>
      </w:r>
      <w:r>
        <w:rPr>
          <w:rStyle w:val="85"/>
          <w:rFonts w:ascii="宋体" w:hAnsi="宋体"/>
        </w:rPr>
        <w:fldChar w:fldCharType="separate"/>
      </w:r>
      <w:r>
        <w:rPr>
          <w:rStyle w:val="85"/>
          <w:rFonts w:ascii="宋体" w:hAnsi="宋体"/>
        </w:rPr>
        <w:t>569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"_Toc106883818" </w:instrText>
      </w:r>
      <w:r>
        <w:fldChar w:fldCharType="separate"/>
      </w:r>
      <w:r>
        <w:rPr>
          <w:rStyle w:val="85"/>
          <w:rFonts w:ascii="宋体" w:hAnsi="宋体"/>
        </w:rPr>
        <w:t>10.6.4电缆桥架</w:t>
      </w:r>
      <w:r>
        <w:rPr>
          <w:rStyle w:val="85"/>
          <w:rFonts w:ascii="宋体" w:hAnsi="宋体"/>
        </w:rPr>
        <w:tab/>
      </w:r>
      <w:r>
        <w:rPr>
          <w:rStyle w:val="85"/>
          <w:rFonts w:ascii="宋体" w:hAnsi="宋体"/>
        </w:rPr>
        <w:fldChar w:fldCharType="begin"/>
      </w:r>
      <w:r>
        <w:rPr>
          <w:rStyle w:val="85"/>
          <w:rFonts w:ascii="宋体" w:hAnsi="宋体"/>
        </w:rPr>
        <w:instrText xml:space="preserve"> PAGEREF _Toc106883818 \h </w:instrText>
      </w:r>
      <w:r>
        <w:rPr>
          <w:rStyle w:val="85"/>
          <w:rFonts w:ascii="宋体" w:hAnsi="宋体"/>
        </w:rPr>
        <w:fldChar w:fldCharType="separate"/>
      </w:r>
      <w:r>
        <w:rPr>
          <w:rStyle w:val="85"/>
          <w:rFonts w:ascii="宋体" w:hAnsi="宋体"/>
        </w:rPr>
        <w:t>573</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"_Toc106883819" </w:instrText>
      </w:r>
      <w:r>
        <w:fldChar w:fldCharType="separate"/>
      </w:r>
      <w:r>
        <w:rPr>
          <w:rStyle w:val="85"/>
          <w:rFonts w:ascii="宋体" w:hAnsi="宋体" w:cs="楷体"/>
        </w:rPr>
        <w:t>10.7实施要求</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_Toc106883819 \h </w:instrText>
      </w:r>
      <w:r>
        <w:rPr>
          <w:rStyle w:val="85"/>
          <w:rFonts w:ascii="宋体" w:hAnsi="宋体" w:cs="楷体"/>
        </w:rPr>
        <w:fldChar w:fldCharType="separate"/>
      </w:r>
      <w:r>
        <w:rPr>
          <w:rStyle w:val="85"/>
          <w:rFonts w:ascii="宋体" w:hAnsi="宋体" w:cs="楷体"/>
        </w:rPr>
        <w:t>576</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Style w:val="85"/>
          <w:rFonts w:ascii="宋体" w:hAnsi="宋体"/>
        </w:rPr>
      </w:pPr>
      <w:r>
        <w:fldChar w:fldCharType="begin"/>
      </w:r>
      <w:r>
        <w:instrText xml:space="preserve"> HYPERLINK \l "_Toc106883820" </w:instrText>
      </w:r>
      <w:r>
        <w:fldChar w:fldCharType="separate"/>
      </w:r>
      <w:r>
        <w:rPr>
          <w:rStyle w:val="85"/>
          <w:rFonts w:ascii="宋体" w:hAnsi="宋体"/>
        </w:rPr>
        <w:t>10.7.1质量保证</w:t>
      </w:r>
      <w:r>
        <w:rPr>
          <w:rStyle w:val="85"/>
          <w:rFonts w:ascii="宋体" w:hAnsi="宋体"/>
        </w:rPr>
        <w:tab/>
      </w:r>
      <w:r>
        <w:rPr>
          <w:rStyle w:val="85"/>
          <w:rFonts w:ascii="宋体" w:hAnsi="宋体"/>
        </w:rPr>
        <w:fldChar w:fldCharType="begin"/>
      </w:r>
      <w:r>
        <w:rPr>
          <w:rStyle w:val="85"/>
          <w:rFonts w:ascii="宋体" w:hAnsi="宋体"/>
        </w:rPr>
        <w:instrText xml:space="preserve"> PAGEREF _Toc106883820 \h </w:instrText>
      </w:r>
      <w:r>
        <w:rPr>
          <w:rStyle w:val="85"/>
          <w:rFonts w:ascii="宋体" w:hAnsi="宋体"/>
        </w:rPr>
        <w:fldChar w:fldCharType="separate"/>
      </w:r>
      <w:r>
        <w:rPr>
          <w:rStyle w:val="85"/>
          <w:rFonts w:ascii="宋体" w:hAnsi="宋体"/>
        </w:rPr>
        <w:t>576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"_Toc106883821" </w:instrText>
      </w:r>
      <w:r>
        <w:fldChar w:fldCharType="separate"/>
      </w:r>
      <w:r>
        <w:rPr>
          <w:rStyle w:val="85"/>
          <w:rFonts w:ascii="宋体" w:hAnsi="宋体"/>
        </w:rPr>
        <w:t>10.7.2工程安装</w:t>
      </w:r>
      <w:r>
        <w:rPr>
          <w:rStyle w:val="85"/>
          <w:rFonts w:ascii="宋体" w:hAnsi="宋体"/>
        </w:rPr>
        <w:tab/>
      </w:r>
      <w:r>
        <w:rPr>
          <w:rStyle w:val="85"/>
          <w:rFonts w:ascii="宋体" w:hAnsi="宋体"/>
        </w:rPr>
        <w:fldChar w:fldCharType="begin"/>
      </w:r>
      <w:r>
        <w:rPr>
          <w:rStyle w:val="85"/>
          <w:rFonts w:ascii="宋体" w:hAnsi="宋体"/>
        </w:rPr>
        <w:instrText xml:space="preserve"> PAGEREF _Toc106883821 \h </w:instrText>
      </w:r>
      <w:r>
        <w:rPr>
          <w:rStyle w:val="85"/>
          <w:rFonts w:ascii="宋体" w:hAnsi="宋体"/>
        </w:rPr>
        <w:fldChar w:fldCharType="separate"/>
      </w:r>
      <w:r>
        <w:rPr>
          <w:rStyle w:val="85"/>
          <w:rFonts w:ascii="宋体" w:hAnsi="宋体"/>
        </w:rPr>
        <w:t>576</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"_Toc106883822" </w:instrText>
      </w:r>
      <w:r>
        <w:fldChar w:fldCharType="separate"/>
      </w:r>
      <w:r>
        <w:rPr>
          <w:rStyle w:val="85"/>
          <w:rFonts w:ascii="宋体" w:hAnsi="宋体"/>
        </w:rPr>
        <w:t>10.7.3变更</w:t>
      </w:r>
      <w:r>
        <w:rPr>
          <w:rStyle w:val="85"/>
          <w:rFonts w:ascii="宋体" w:hAnsi="宋体"/>
        </w:rPr>
        <w:tab/>
      </w:r>
      <w:r>
        <w:rPr>
          <w:rStyle w:val="85"/>
          <w:rFonts w:ascii="宋体" w:hAnsi="宋体"/>
        </w:rPr>
        <w:fldChar w:fldCharType="begin"/>
      </w:r>
      <w:r>
        <w:rPr>
          <w:rStyle w:val="85"/>
          <w:rFonts w:ascii="宋体" w:hAnsi="宋体"/>
        </w:rPr>
        <w:instrText xml:space="preserve"> PAGEREF _Toc106883822 \h </w:instrText>
      </w:r>
      <w:r>
        <w:rPr>
          <w:rStyle w:val="85"/>
          <w:rFonts w:ascii="宋体" w:hAnsi="宋体"/>
        </w:rPr>
        <w:fldChar w:fldCharType="separate"/>
      </w:r>
      <w:r>
        <w:rPr>
          <w:rStyle w:val="85"/>
          <w:rFonts w:ascii="宋体" w:hAnsi="宋体"/>
        </w:rPr>
        <w:t>577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"_Toc106883823" </w:instrText>
      </w:r>
      <w:r>
        <w:fldChar w:fldCharType="separate"/>
      </w:r>
      <w:r>
        <w:rPr>
          <w:rStyle w:val="85"/>
          <w:rFonts w:ascii="宋体" w:hAnsi="宋体"/>
        </w:rPr>
        <w:t>10.7.4现场成品保护</w:t>
      </w:r>
      <w:r>
        <w:rPr>
          <w:rStyle w:val="85"/>
          <w:rFonts w:ascii="宋体" w:hAnsi="宋体"/>
        </w:rPr>
        <w:tab/>
      </w:r>
      <w:r>
        <w:rPr>
          <w:rStyle w:val="85"/>
          <w:rFonts w:ascii="宋体" w:hAnsi="宋体"/>
        </w:rPr>
        <w:fldChar w:fldCharType="begin"/>
      </w:r>
      <w:r>
        <w:rPr>
          <w:rStyle w:val="85"/>
          <w:rFonts w:ascii="宋体" w:hAnsi="宋体"/>
        </w:rPr>
        <w:instrText xml:space="preserve"> PAGEREF _Toc106883823 \h </w:instrText>
      </w:r>
      <w:r>
        <w:rPr>
          <w:rStyle w:val="85"/>
          <w:rFonts w:ascii="宋体" w:hAnsi="宋体"/>
        </w:rPr>
        <w:fldChar w:fldCharType="separate"/>
      </w:r>
      <w:r>
        <w:rPr>
          <w:rStyle w:val="85"/>
          <w:rFonts w:ascii="宋体" w:hAnsi="宋体"/>
        </w:rPr>
        <w:t>577</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"_Toc106883824" </w:instrText>
      </w:r>
      <w:r>
        <w:fldChar w:fldCharType="separate"/>
      </w:r>
      <w:r>
        <w:rPr>
          <w:rStyle w:val="85"/>
          <w:rFonts w:ascii="宋体" w:hAnsi="宋体"/>
        </w:rPr>
        <w:t>10.7.5测试与调试</w:t>
      </w:r>
      <w:r>
        <w:rPr>
          <w:rStyle w:val="85"/>
          <w:rFonts w:ascii="宋体" w:hAnsi="宋体"/>
        </w:rPr>
        <w:tab/>
      </w:r>
      <w:r>
        <w:rPr>
          <w:rStyle w:val="85"/>
          <w:rFonts w:ascii="宋体" w:hAnsi="宋体"/>
        </w:rPr>
        <w:fldChar w:fldCharType="begin"/>
      </w:r>
      <w:r>
        <w:rPr>
          <w:rStyle w:val="85"/>
          <w:rFonts w:ascii="宋体" w:hAnsi="宋体"/>
        </w:rPr>
        <w:instrText xml:space="preserve"> PAGEREF _Toc106883824 \h </w:instrText>
      </w:r>
      <w:r>
        <w:rPr>
          <w:rStyle w:val="85"/>
          <w:rFonts w:ascii="宋体" w:hAnsi="宋体"/>
        </w:rPr>
        <w:fldChar w:fldCharType="separate"/>
      </w:r>
      <w:r>
        <w:rPr>
          <w:rStyle w:val="85"/>
          <w:rFonts w:ascii="宋体" w:hAnsi="宋体"/>
        </w:rPr>
        <w:t>578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"_Toc106883825" </w:instrText>
      </w:r>
      <w:r>
        <w:fldChar w:fldCharType="separate"/>
      </w:r>
      <w:r>
        <w:rPr>
          <w:rStyle w:val="85"/>
          <w:rFonts w:ascii="宋体" w:hAnsi="宋体"/>
        </w:rPr>
        <w:t>10.7.6试运行</w:t>
      </w:r>
      <w:r>
        <w:rPr>
          <w:rStyle w:val="85"/>
          <w:rFonts w:ascii="宋体" w:hAnsi="宋体"/>
        </w:rPr>
        <w:tab/>
      </w:r>
      <w:r>
        <w:rPr>
          <w:rStyle w:val="85"/>
          <w:rFonts w:ascii="宋体" w:hAnsi="宋体"/>
        </w:rPr>
        <w:fldChar w:fldCharType="begin"/>
      </w:r>
      <w:r>
        <w:rPr>
          <w:rStyle w:val="85"/>
          <w:rFonts w:ascii="宋体" w:hAnsi="宋体"/>
        </w:rPr>
        <w:instrText xml:space="preserve"> PAGEREF _Toc106883825 \h </w:instrText>
      </w:r>
      <w:r>
        <w:rPr>
          <w:rStyle w:val="85"/>
          <w:rFonts w:ascii="宋体" w:hAnsi="宋体"/>
        </w:rPr>
        <w:fldChar w:fldCharType="separate"/>
      </w:r>
      <w:r>
        <w:rPr>
          <w:rStyle w:val="85"/>
          <w:rFonts w:ascii="宋体" w:hAnsi="宋体"/>
        </w:rPr>
        <w:t>578</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"_Toc106883826" </w:instrText>
      </w:r>
      <w:r>
        <w:fldChar w:fldCharType="separate"/>
      </w:r>
      <w:r>
        <w:rPr>
          <w:rStyle w:val="85"/>
          <w:rFonts w:ascii="宋体" w:hAnsi="宋体"/>
        </w:rPr>
        <w:t>10.7.7工程质量保证</w:t>
      </w:r>
      <w:r>
        <w:rPr>
          <w:rStyle w:val="85"/>
          <w:rFonts w:ascii="宋体" w:hAnsi="宋体"/>
        </w:rPr>
        <w:tab/>
      </w:r>
      <w:r>
        <w:rPr>
          <w:rStyle w:val="85"/>
          <w:rFonts w:ascii="宋体" w:hAnsi="宋体"/>
        </w:rPr>
        <w:fldChar w:fldCharType="begin"/>
      </w:r>
      <w:r>
        <w:rPr>
          <w:rStyle w:val="85"/>
          <w:rFonts w:ascii="宋体" w:hAnsi="宋体"/>
        </w:rPr>
        <w:instrText xml:space="preserve"> PAGEREF _Toc106883826 \h </w:instrText>
      </w:r>
      <w:r>
        <w:rPr>
          <w:rStyle w:val="85"/>
          <w:rFonts w:ascii="宋体" w:hAnsi="宋体"/>
        </w:rPr>
        <w:fldChar w:fldCharType="separate"/>
      </w:r>
      <w:r>
        <w:rPr>
          <w:rStyle w:val="85"/>
          <w:rFonts w:ascii="宋体" w:hAnsi="宋体"/>
        </w:rPr>
        <w:t>579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"_Toc106883827" </w:instrText>
      </w:r>
      <w:r>
        <w:fldChar w:fldCharType="separate"/>
      </w:r>
      <w:r>
        <w:rPr>
          <w:rStyle w:val="85"/>
          <w:rFonts w:ascii="宋体" w:hAnsi="宋体"/>
        </w:rPr>
        <w:t>10.7.8工程竣工验收</w:t>
      </w:r>
      <w:r>
        <w:rPr>
          <w:rStyle w:val="85"/>
          <w:rFonts w:ascii="宋体" w:hAnsi="宋体"/>
        </w:rPr>
        <w:tab/>
      </w:r>
      <w:r>
        <w:rPr>
          <w:rStyle w:val="85"/>
          <w:rFonts w:ascii="宋体" w:hAnsi="宋体"/>
        </w:rPr>
        <w:fldChar w:fldCharType="begin"/>
      </w:r>
      <w:r>
        <w:rPr>
          <w:rStyle w:val="85"/>
          <w:rFonts w:ascii="宋体" w:hAnsi="宋体"/>
        </w:rPr>
        <w:instrText xml:space="preserve"> PAGEREF _Toc106883827 \h </w:instrText>
      </w:r>
      <w:r>
        <w:rPr>
          <w:rStyle w:val="85"/>
          <w:rFonts w:ascii="宋体" w:hAnsi="宋体"/>
        </w:rPr>
        <w:fldChar w:fldCharType="separate"/>
      </w:r>
      <w:r>
        <w:rPr>
          <w:rStyle w:val="85"/>
          <w:rFonts w:ascii="宋体" w:hAnsi="宋体"/>
        </w:rPr>
        <w:t>579</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"_Toc106883828" </w:instrText>
      </w:r>
      <w:r>
        <w:fldChar w:fldCharType="separate"/>
      </w:r>
      <w:r>
        <w:rPr>
          <w:rStyle w:val="85"/>
          <w:rFonts w:ascii="宋体" w:hAnsi="宋体"/>
        </w:rPr>
        <w:t>10.7.9工程保修</w:t>
      </w:r>
      <w:r>
        <w:rPr>
          <w:rStyle w:val="85"/>
          <w:rFonts w:ascii="宋体" w:hAnsi="宋体"/>
        </w:rPr>
        <w:tab/>
      </w:r>
      <w:r>
        <w:rPr>
          <w:rStyle w:val="85"/>
          <w:rFonts w:ascii="宋体" w:hAnsi="宋体"/>
        </w:rPr>
        <w:fldChar w:fldCharType="begin"/>
      </w:r>
      <w:r>
        <w:rPr>
          <w:rStyle w:val="85"/>
          <w:rFonts w:ascii="宋体" w:hAnsi="宋体"/>
        </w:rPr>
        <w:instrText xml:space="preserve"> PAGEREF _Toc106883828 \h </w:instrText>
      </w:r>
      <w:r>
        <w:rPr>
          <w:rStyle w:val="85"/>
          <w:rFonts w:ascii="宋体" w:hAnsi="宋体"/>
        </w:rPr>
        <w:fldChar w:fldCharType="separate"/>
      </w:r>
      <w:r>
        <w:rPr>
          <w:rStyle w:val="85"/>
          <w:rFonts w:ascii="宋体" w:hAnsi="宋体"/>
        </w:rPr>
        <w:t>582</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"_Toc106883829" </w:instrText>
      </w:r>
      <w:r>
        <w:fldChar w:fldCharType="separate"/>
      </w:r>
      <w:r>
        <w:rPr>
          <w:rStyle w:val="85"/>
          <w:rFonts w:ascii="宋体" w:hAnsi="宋体"/>
        </w:rPr>
        <w:t>10.7.10培训</w:t>
      </w:r>
      <w:r>
        <w:rPr>
          <w:rStyle w:val="85"/>
          <w:rFonts w:ascii="宋体" w:hAnsi="宋体"/>
        </w:rPr>
        <w:tab/>
      </w:r>
      <w:r>
        <w:rPr>
          <w:rStyle w:val="85"/>
          <w:rFonts w:ascii="宋体" w:hAnsi="宋体"/>
        </w:rPr>
        <w:fldChar w:fldCharType="begin"/>
      </w:r>
      <w:r>
        <w:rPr>
          <w:rStyle w:val="85"/>
          <w:rFonts w:ascii="宋体" w:hAnsi="宋体"/>
        </w:rPr>
        <w:instrText xml:space="preserve"> PAGEREF _Toc106883829 \h </w:instrText>
      </w:r>
      <w:r>
        <w:rPr>
          <w:rStyle w:val="85"/>
          <w:rFonts w:ascii="宋体" w:hAnsi="宋体"/>
        </w:rPr>
        <w:fldChar w:fldCharType="separate"/>
      </w:r>
      <w:r>
        <w:rPr>
          <w:rStyle w:val="85"/>
          <w:rFonts w:ascii="宋体" w:hAnsi="宋体"/>
        </w:rPr>
        <w:t>583</w:t>
      </w:r>
      <w:r>
        <w:rPr>
          <w:rStyle w:val="85"/>
          <w:rFonts w:ascii="宋体" w:hAnsi="宋体"/>
        </w:rPr>
        <w:fldChar w:fldCharType="end"/>
      </w:r>
      <w:r>
        <w:rPr>
          <w:rStyle w:val="85"/>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"_Toc106883830" </w:instrText>
      </w:r>
      <w:r>
        <w:fldChar w:fldCharType="separate"/>
      </w:r>
      <w:r>
        <w:rPr>
          <w:rStyle w:val="85"/>
          <w:rFonts w:ascii="宋体" w:hAnsi="宋体"/>
        </w:rPr>
        <w:t>10.7.11工具、备件和附件</w:t>
      </w:r>
      <w:r>
        <w:rPr>
          <w:rStyle w:val="85"/>
          <w:rFonts w:ascii="宋体" w:hAnsi="宋体"/>
        </w:rPr>
        <w:tab/>
      </w:r>
      <w:r>
        <w:rPr>
          <w:rStyle w:val="85"/>
          <w:rFonts w:ascii="宋体" w:hAnsi="宋体"/>
        </w:rPr>
        <w:fldChar w:fldCharType="begin"/>
      </w:r>
      <w:r>
        <w:rPr>
          <w:rStyle w:val="85"/>
          <w:rFonts w:ascii="宋体" w:hAnsi="宋体"/>
        </w:rPr>
        <w:instrText xml:space="preserve"> PAGEREF _Toc106883830 \h </w:instrText>
      </w:r>
      <w:r>
        <w:rPr>
          <w:rStyle w:val="85"/>
          <w:rFonts w:ascii="宋体" w:hAnsi="宋体"/>
        </w:rPr>
        <w:fldChar w:fldCharType="separate"/>
      </w:r>
      <w:r>
        <w:rPr>
          <w:rStyle w:val="85"/>
          <w:rFonts w:ascii="宋体" w:hAnsi="宋体"/>
        </w:rPr>
        <w:t>583</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"_Toc106883831" </w:instrText>
      </w:r>
      <w:r>
        <w:fldChar w:fldCharType="separate"/>
      </w:r>
      <w:r>
        <w:rPr>
          <w:rStyle w:val="85"/>
          <w:rFonts w:ascii="宋体" w:hAnsi="宋体" w:cs="楷体"/>
        </w:rPr>
        <w:t>10.8厂区设备推荐一览表</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_Toc106883831 \h </w:instrText>
      </w:r>
      <w:r>
        <w:rPr>
          <w:rStyle w:val="85"/>
          <w:rFonts w:ascii="宋体" w:hAnsi="宋体" w:cs="楷体"/>
        </w:rPr>
        <w:fldChar w:fldCharType="separate"/>
      </w:r>
      <w:r>
        <w:rPr>
          <w:rStyle w:val="85"/>
          <w:rFonts w:ascii="宋体" w:hAnsi="宋体" w:cs="楷体"/>
        </w:rPr>
        <w:t>585</w:t>
      </w:r>
      <w:r>
        <w:rPr>
          <w:rStyle w:val="85"/>
          <w:rFonts w:ascii="宋体" w:hAnsi="宋体" w:cs="楷体"/>
        </w:rPr>
        <w:fldChar w:fldCharType="end"/>
      </w:r>
      <w:r>
        <w:rPr>
          <w:rStyle w:val="85"/>
          <w:rFonts w:ascii="宋体" w:hAnsi="宋体" w:cs="楷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"_Toc106883832" </w:instrText>
      </w:r>
      <w:r>
        <w:fldChar w:fldCharType="separate"/>
      </w:r>
      <w:r>
        <w:rPr>
          <w:rStyle w:val="85"/>
          <w:rFonts w:ascii="宋体" w:hAnsi="宋体"/>
        </w:rPr>
        <w:t>11主要设备技术参数响应表</w:t>
      </w:r>
      <w:r>
        <w:rPr>
          <w:rFonts w:ascii="宋体" w:hAnsi="宋体"/>
        </w:rPr>
        <w:tab/>
      </w:r>
      <w:r>
        <w:rPr>
          <w:rFonts w:ascii="宋体" w:hAnsi="宋体"/>
        </w:rPr>
        <w:fldChar w:fldCharType="begin"/>
      </w:r>
      <w:r>
        <w:rPr>
          <w:rFonts w:ascii="宋体" w:hAnsi="宋体"/>
        </w:rPr>
        <w:instrText xml:space="preserve"> PAGEREF _Toc106883832 \h </w:instrText>
      </w:r>
      <w:r>
        <w:rPr>
          <w:rFonts w:ascii="宋体" w:hAnsi="宋体"/>
        </w:rPr>
        <w:fldChar w:fldCharType="separate"/>
      </w:r>
      <w:r>
        <w:rPr>
          <w:rFonts w:ascii="宋体" w:hAnsi="宋体"/>
        </w:rPr>
        <w:t>588</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"_Toc106883833" </w:instrText>
      </w:r>
      <w:r>
        <w:fldChar w:fldCharType="separate"/>
      </w:r>
      <w:r>
        <w:rPr>
          <w:rStyle w:val="85"/>
          <w:rFonts w:ascii="宋体" w:hAnsi="宋体" w:cs="楷体"/>
        </w:rPr>
        <w:t>11.1机械和工艺设备</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_Toc106883833 \h </w:instrText>
      </w:r>
      <w:r>
        <w:rPr>
          <w:rStyle w:val="85"/>
          <w:rFonts w:ascii="宋体" w:hAnsi="宋体" w:cs="楷体"/>
        </w:rPr>
        <w:fldChar w:fldCharType="separate"/>
      </w:r>
      <w:r>
        <w:rPr>
          <w:rStyle w:val="85"/>
          <w:rFonts w:ascii="宋体" w:hAnsi="宋体" w:cs="楷体"/>
        </w:rPr>
        <w:t>588</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"_Toc106883834" </w:instrText>
      </w:r>
      <w:r>
        <w:fldChar w:fldCharType="separate"/>
      </w:r>
      <w:r>
        <w:rPr>
          <w:rStyle w:val="85"/>
          <w:rFonts w:ascii="宋体" w:hAnsi="宋体"/>
        </w:rPr>
        <w:t>11.1.1蝶阀</w:t>
      </w:r>
      <w:r>
        <w:rPr>
          <w:rFonts w:ascii="宋体" w:hAnsi="宋体"/>
        </w:rPr>
        <w:tab/>
      </w:r>
      <w:r>
        <w:rPr>
          <w:rFonts w:ascii="宋体" w:hAnsi="宋体"/>
        </w:rPr>
        <w:fldChar w:fldCharType="begin"/>
      </w:r>
      <w:r>
        <w:rPr>
          <w:rFonts w:ascii="宋体" w:hAnsi="宋体"/>
        </w:rPr>
        <w:instrText xml:space="preserve"> PAGEREF _Toc106883834 \h </w:instrText>
      </w:r>
      <w:r>
        <w:rPr>
          <w:rFonts w:ascii="宋体" w:hAnsi="宋体"/>
        </w:rPr>
        <w:fldChar w:fldCharType="separate"/>
      </w:r>
      <w:r>
        <w:rPr>
          <w:rFonts w:ascii="宋体" w:hAnsi="宋体"/>
        </w:rPr>
        <w:t>588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"_Toc106883835" </w:instrText>
      </w:r>
      <w:r>
        <w:fldChar w:fldCharType="separate"/>
      </w:r>
      <w:r>
        <w:rPr>
          <w:rStyle w:val="85"/>
          <w:rFonts w:ascii="宋体" w:hAnsi="宋体"/>
        </w:rPr>
        <w:t>11.1.2手动闸阀</w:t>
      </w:r>
      <w:r>
        <w:rPr>
          <w:rFonts w:ascii="宋体" w:hAnsi="宋体"/>
        </w:rPr>
        <w:tab/>
      </w:r>
      <w:r>
        <w:rPr>
          <w:rFonts w:ascii="宋体" w:hAnsi="宋体"/>
        </w:rPr>
        <w:fldChar w:fldCharType="begin"/>
      </w:r>
      <w:r>
        <w:rPr>
          <w:rFonts w:ascii="宋体" w:hAnsi="宋体"/>
        </w:rPr>
        <w:instrText xml:space="preserve"> PAGEREF _Toc106883835 \h </w:instrText>
      </w:r>
      <w:r>
        <w:rPr>
          <w:rFonts w:ascii="宋体" w:hAnsi="宋体"/>
        </w:rPr>
        <w:fldChar w:fldCharType="separate"/>
      </w:r>
      <w:r>
        <w:rPr>
          <w:rFonts w:ascii="宋体" w:hAnsi="宋体"/>
        </w:rPr>
        <w:t>591</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"_Toc106883836" </w:instrText>
      </w:r>
      <w:r>
        <w:fldChar w:fldCharType="separate"/>
      </w:r>
      <w:r>
        <w:rPr>
          <w:rStyle w:val="85"/>
          <w:rFonts w:ascii="宋体" w:hAnsi="宋体"/>
        </w:rPr>
        <w:t>11.1.3止回阀</w:t>
      </w:r>
      <w:r>
        <w:rPr>
          <w:rFonts w:ascii="宋体" w:hAnsi="宋体"/>
        </w:rPr>
        <w:tab/>
      </w:r>
      <w:r>
        <w:rPr>
          <w:rFonts w:ascii="宋体" w:hAnsi="宋体"/>
        </w:rPr>
        <w:fldChar w:fldCharType="begin"/>
      </w:r>
      <w:r>
        <w:rPr>
          <w:rFonts w:ascii="宋体" w:hAnsi="宋体"/>
        </w:rPr>
        <w:instrText xml:space="preserve"> PAGEREF _Toc106883836 \h </w:instrText>
      </w:r>
      <w:r>
        <w:rPr>
          <w:rFonts w:ascii="宋体" w:hAnsi="宋体"/>
        </w:rPr>
        <w:fldChar w:fldCharType="separate"/>
      </w:r>
      <w:r>
        <w:rPr>
          <w:rFonts w:ascii="宋体" w:hAnsi="宋体"/>
        </w:rPr>
        <w:t>591</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"_Toc106883837" </w:instrText>
      </w:r>
      <w:r>
        <w:fldChar w:fldCharType="separate"/>
      </w:r>
      <w:r>
        <w:rPr>
          <w:rStyle w:val="85"/>
          <w:rFonts w:ascii="宋体" w:hAnsi="宋体"/>
        </w:rPr>
        <w:t>11.1.4角型隔膜排泥阀</w:t>
      </w:r>
      <w:r>
        <w:rPr>
          <w:rFonts w:ascii="宋体" w:hAnsi="宋体"/>
        </w:rPr>
        <w:tab/>
      </w:r>
      <w:r>
        <w:rPr>
          <w:rFonts w:ascii="宋体" w:hAnsi="宋体"/>
        </w:rPr>
        <w:fldChar w:fldCharType="begin"/>
      </w:r>
      <w:r>
        <w:rPr>
          <w:rFonts w:ascii="宋体" w:hAnsi="宋体"/>
        </w:rPr>
        <w:instrText xml:space="preserve"> PAGEREF _Toc106883837 \h </w:instrText>
      </w:r>
      <w:r>
        <w:rPr>
          <w:rFonts w:ascii="宋体" w:hAnsi="宋体"/>
        </w:rPr>
        <w:fldChar w:fldCharType="separate"/>
      </w:r>
      <w:r>
        <w:rPr>
          <w:rFonts w:ascii="宋体" w:hAnsi="宋体"/>
        </w:rPr>
        <w:t>592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"_Toc106883838" </w:instrText>
      </w:r>
      <w:r>
        <w:fldChar w:fldCharType="separate"/>
      </w:r>
      <w:r>
        <w:rPr>
          <w:rStyle w:val="85"/>
          <w:rFonts w:ascii="宋体" w:hAnsi="宋体"/>
        </w:rPr>
        <w:t>11.1.5多功能阀</w:t>
      </w:r>
      <w:r>
        <w:rPr>
          <w:rFonts w:ascii="宋体" w:hAnsi="宋体"/>
        </w:rPr>
        <w:tab/>
      </w:r>
      <w:r>
        <w:rPr>
          <w:rFonts w:ascii="宋体" w:hAnsi="宋体"/>
        </w:rPr>
        <w:fldChar w:fldCharType="begin"/>
      </w:r>
      <w:r>
        <w:rPr>
          <w:rFonts w:ascii="宋体" w:hAnsi="宋体"/>
        </w:rPr>
        <w:instrText xml:space="preserve"> PAGEREF _Toc106883838 \h </w:instrText>
      </w:r>
      <w:r>
        <w:rPr>
          <w:rFonts w:ascii="宋体" w:hAnsi="宋体"/>
        </w:rPr>
        <w:fldChar w:fldCharType="separate"/>
      </w:r>
      <w:r>
        <w:rPr>
          <w:rFonts w:ascii="宋体" w:hAnsi="宋体"/>
        </w:rPr>
        <w:t>592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"_Toc106883839" </w:instrText>
      </w:r>
      <w:r>
        <w:fldChar w:fldCharType="separate"/>
      </w:r>
      <w:r>
        <w:rPr>
          <w:rStyle w:val="85"/>
          <w:rFonts w:ascii="宋体" w:hAnsi="宋体"/>
        </w:rPr>
        <w:t>11.1.6调流调压阀</w:t>
      </w:r>
      <w:r>
        <w:rPr>
          <w:rFonts w:ascii="宋体" w:hAnsi="宋体"/>
        </w:rPr>
        <w:tab/>
      </w:r>
      <w:r>
        <w:rPr>
          <w:rFonts w:ascii="宋体" w:hAnsi="宋体"/>
        </w:rPr>
        <w:fldChar w:fldCharType="begin"/>
      </w:r>
      <w:r>
        <w:rPr>
          <w:rFonts w:ascii="宋体" w:hAnsi="宋体"/>
        </w:rPr>
        <w:instrText xml:space="preserve"> PAGEREF _Toc106883839 \h </w:instrText>
      </w:r>
      <w:r>
        <w:rPr>
          <w:rFonts w:ascii="宋体" w:hAnsi="宋体"/>
        </w:rPr>
        <w:fldChar w:fldCharType="separate"/>
      </w:r>
      <w:r>
        <w:rPr>
          <w:rFonts w:ascii="宋体" w:hAnsi="宋体"/>
        </w:rPr>
        <w:t>593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"_Toc106883840" </w:instrText>
      </w:r>
      <w:r>
        <w:fldChar w:fldCharType="separate"/>
      </w:r>
      <w:r>
        <w:rPr>
          <w:rStyle w:val="85"/>
          <w:rFonts w:ascii="宋体" w:hAnsi="宋体"/>
        </w:rPr>
        <w:t>11.1.7伸缩节</w:t>
      </w:r>
      <w:r>
        <w:rPr>
          <w:rFonts w:ascii="宋体" w:hAnsi="宋体"/>
        </w:rPr>
        <w:tab/>
      </w:r>
      <w:r>
        <w:rPr>
          <w:rFonts w:ascii="宋体" w:hAnsi="宋体"/>
        </w:rPr>
        <w:fldChar w:fldCharType="begin"/>
      </w:r>
      <w:r>
        <w:rPr>
          <w:rFonts w:ascii="宋体" w:hAnsi="宋体"/>
        </w:rPr>
        <w:instrText xml:space="preserve"> PAGEREF _Toc106883840 \h </w:instrText>
      </w:r>
      <w:r>
        <w:rPr>
          <w:rFonts w:ascii="宋体" w:hAnsi="宋体"/>
        </w:rPr>
        <w:fldChar w:fldCharType="separate"/>
      </w:r>
      <w:r>
        <w:rPr>
          <w:rFonts w:ascii="宋体" w:hAnsi="宋体"/>
        </w:rPr>
        <w:t>593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"_Toc106883841" </w:instrText>
      </w:r>
      <w:r>
        <w:fldChar w:fldCharType="separate"/>
      </w:r>
      <w:r>
        <w:rPr>
          <w:rStyle w:val="85"/>
          <w:rFonts w:ascii="宋体" w:hAnsi="宋体"/>
        </w:rPr>
        <w:t>11.1.8潜水泵</w:t>
      </w:r>
      <w:r>
        <w:rPr>
          <w:rFonts w:ascii="宋体" w:hAnsi="宋体"/>
        </w:rPr>
        <w:tab/>
      </w:r>
      <w:r>
        <w:rPr>
          <w:rFonts w:ascii="宋体" w:hAnsi="宋体"/>
        </w:rPr>
        <w:fldChar w:fldCharType="begin"/>
      </w:r>
      <w:r>
        <w:rPr>
          <w:rFonts w:ascii="宋体" w:hAnsi="宋体"/>
        </w:rPr>
        <w:instrText xml:space="preserve"> PAGEREF _Toc106883841 \h </w:instrText>
      </w:r>
      <w:r>
        <w:rPr>
          <w:rFonts w:ascii="宋体" w:hAnsi="宋体"/>
        </w:rPr>
        <w:fldChar w:fldCharType="separate"/>
      </w:r>
      <w:r>
        <w:rPr>
          <w:rFonts w:ascii="宋体" w:hAnsi="宋体"/>
        </w:rPr>
        <w:t>594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"_Toc106883842" </w:instrText>
      </w:r>
      <w:r>
        <w:fldChar w:fldCharType="separate"/>
      </w:r>
      <w:r>
        <w:rPr>
          <w:rStyle w:val="85"/>
          <w:rFonts w:ascii="宋体" w:hAnsi="宋体"/>
        </w:rPr>
        <w:t>11.1.9离心泵</w:t>
      </w:r>
      <w:r>
        <w:rPr>
          <w:rFonts w:ascii="宋体" w:hAnsi="宋体"/>
        </w:rPr>
        <w:tab/>
      </w:r>
      <w:r>
        <w:rPr>
          <w:rFonts w:ascii="宋体" w:hAnsi="宋体"/>
        </w:rPr>
        <w:fldChar w:fldCharType="begin"/>
      </w:r>
      <w:r>
        <w:rPr>
          <w:rFonts w:ascii="宋体" w:hAnsi="宋体"/>
        </w:rPr>
        <w:instrText xml:space="preserve"> PAGEREF _Toc106883842 \h </w:instrText>
      </w:r>
      <w:r>
        <w:rPr>
          <w:rFonts w:ascii="宋体" w:hAnsi="宋体"/>
        </w:rPr>
        <w:fldChar w:fldCharType="separate"/>
      </w:r>
      <w:r>
        <w:rPr>
          <w:rFonts w:ascii="宋体" w:hAnsi="宋体"/>
        </w:rPr>
        <w:t>594</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"_Toc106883843" </w:instrText>
      </w:r>
      <w:r>
        <w:fldChar w:fldCharType="separate"/>
      </w:r>
      <w:r>
        <w:rPr>
          <w:rStyle w:val="85"/>
          <w:rFonts w:ascii="宋体" w:hAnsi="宋体"/>
        </w:rPr>
        <w:t>11.1.10排泥机</w:t>
      </w:r>
      <w:r>
        <w:rPr>
          <w:rFonts w:ascii="宋体" w:hAnsi="宋体"/>
        </w:rPr>
        <w:tab/>
      </w:r>
      <w:r>
        <w:rPr>
          <w:rFonts w:ascii="宋体" w:hAnsi="宋体"/>
        </w:rPr>
        <w:fldChar w:fldCharType="begin"/>
      </w:r>
      <w:r>
        <w:rPr>
          <w:rFonts w:ascii="宋体" w:hAnsi="宋体"/>
        </w:rPr>
        <w:instrText xml:space="preserve"> PAGEREF _Toc106883843 \h </w:instrText>
      </w:r>
      <w:r>
        <w:rPr>
          <w:rFonts w:ascii="宋体" w:hAnsi="宋体"/>
        </w:rPr>
        <w:fldChar w:fldCharType="separate"/>
      </w:r>
      <w:r>
        <w:rPr>
          <w:rFonts w:ascii="宋体" w:hAnsi="宋体"/>
        </w:rPr>
        <w:t>595</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"_Toc106883844" </w:instrText>
      </w:r>
      <w:r>
        <w:fldChar w:fldCharType="separate"/>
      </w:r>
      <w:r>
        <w:rPr>
          <w:rStyle w:val="85"/>
          <w:rFonts w:ascii="宋体" w:hAnsi="宋体"/>
        </w:rPr>
        <w:t>11.1.11不锈钢集折板</w:t>
      </w:r>
      <w:r>
        <w:rPr>
          <w:rFonts w:ascii="宋体" w:hAnsi="宋体"/>
        </w:rPr>
        <w:tab/>
      </w:r>
      <w:r>
        <w:rPr>
          <w:rFonts w:ascii="宋体" w:hAnsi="宋体"/>
        </w:rPr>
        <w:fldChar w:fldCharType="begin"/>
      </w:r>
      <w:r>
        <w:rPr>
          <w:rFonts w:ascii="宋体" w:hAnsi="宋体"/>
        </w:rPr>
        <w:instrText xml:space="preserve"> PAGEREF _Toc106883844 \h </w:instrText>
      </w:r>
      <w:r>
        <w:rPr>
          <w:rFonts w:ascii="宋体" w:hAnsi="宋体"/>
        </w:rPr>
        <w:fldChar w:fldCharType="separate"/>
      </w:r>
      <w:r>
        <w:rPr>
          <w:rFonts w:ascii="宋体" w:hAnsi="宋体"/>
        </w:rPr>
        <w:t>596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"_Toc106883845" </w:instrText>
      </w:r>
      <w:r>
        <w:fldChar w:fldCharType="separate"/>
      </w:r>
      <w:r>
        <w:rPr>
          <w:rStyle w:val="85"/>
          <w:rFonts w:ascii="宋体" w:hAnsi="宋体"/>
        </w:rPr>
        <w:t>11.1.13不锈钢集水槽</w:t>
      </w:r>
      <w:r>
        <w:rPr>
          <w:rFonts w:ascii="宋体" w:hAnsi="宋体"/>
        </w:rPr>
        <w:tab/>
      </w:r>
      <w:r>
        <w:rPr>
          <w:rFonts w:ascii="宋体" w:hAnsi="宋体"/>
        </w:rPr>
        <w:fldChar w:fldCharType="begin"/>
      </w:r>
      <w:r>
        <w:rPr>
          <w:rFonts w:ascii="宋体" w:hAnsi="宋体"/>
        </w:rPr>
        <w:instrText xml:space="preserve"> PAGEREF _Toc106883845 \h </w:instrText>
      </w:r>
      <w:r>
        <w:rPr>
          <w:rFonts w:ascii="宋体" w:hAnsi="宋体"/>
        </w:rPr>
        <w:fldChar w:fldCharType="separate"/>
      </w:r>
      <w:r>
        <w:rPr>
          <w:rFonts w:ascii="宋体" w:hAnsi="宋体"/>
        </w:rPr>
        <w:t>596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"_Toc106883846" </w:instrText>
      </w:r>
      <w:r>
        <w:fldChar w:fldCharType="separate"/>
      </w:r>
      <w:r>
        <w:rPr>
          <w:rStyle w:val="85"/>
          <w:rFonts w:ascii="宋体" w:hAnsi="宋体"/>
        </w:rPr>
        <w:t>11.1.14滤板、滤头及石英砂</w:t>
      </w:r>
      <w:r>
        <w:rPr>
          <w:rFonts w:ascii="宋体" w:hAnsi="宋体"/>
        </w:rPr>
        <w:tab/>
      </w:r>
      <w:r>
        <w:rPr>
          <w:rFonts w:ascii="宋体" w:hAnsi="宋体"/>
        </w:rPr>
        <w:fldChar w:fldCharType="begin"/>
      </w:r>
      <w:r>
        <w:rPr>
          <w:rFonts w:ascii="宋体" w:hAnsi="宋体"/>
        </w:rPr>
        <w:instrText xml:space="preserve"> PAGEREF _Toc106883846 \h </w:instrText>
      </w:r>
      <w:r>
        <w:rPr>
          <w:rFonts w:ascii="宋体" w:hAnsi="宋体"/>
        </w:rPr>
        <w:fldChar w:fldCharType="separate"/>
      </w:r>
      <w:r>
        <w:rPr>
          <w:rFonts w:ascii="宋体" w:hAnsi="宋体"/>
        </w:rPr>
        <w:t>596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"_Toc106883847" </w:instrText>
      </w:r>
      <w:r>
        <w:fldChar w:fldCharType="separate"/>
      </w:r>
      <w:r>
        <w:rPr>
          <w:rStyle w:val="85"/>
          <w:rFonts w:ascii="宋体" w:hAnsi="宋体"/>
        </w:rPr>
        <w:t>11.1.14罗茨鼓风机</w:t>
      </w:r>
      <w:r>
        <w:rPr>
          <w:rFonts w:ascii="宋体" w:hAnsi="宋体"/>
        </w:rPr>
        <w:tab/>
      </w:r>
      <w:r>
        <w:rPr>
          <w:rFonts w:ascii="宋体" w:hAnsi="宋体"/>
        </w:rPr>
        <w:fldChar w:fldCharType="begin"/>
      </w:r>
      <w:r>
        <w:rPr>
          <w:rFonts w:ascii="宋体" w:hAnsi="宋体"/>
        </w:rPr>
        <w:instrText xml:space="preserve"> PAGEREF _Toc106883847 \h </w:instrText>
      </w:r>
      <w:r>
        <w:rPr>
          <w:rFonts w:ascii="宋体" w:hAnsi="宋体"/>
        </w:rPr>
        <w:fldChar w:fldCharType="separate"/>
      </w:r>
      <w:r>
        <w:rPr>
          <w:rFonts w:ascii="宋体" w:hAnsi="宋体"/>
        </w:rPr>
        <w:t>597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"_Toc106883848" </w:instrText>
      </w:r>
      <w:r>
        <w:fldChar w:fldCharType="separate"/>
      </w:r>
      <w:r>
        <w:rPr>
          <w:rStyle w:val="85"/>
          <w:rFonts w:ascii="宋体" w:hAnsi="宋体"/>
        </w:rPr>
        <w:t>11.1.15空压机</w:t>
      </w:r>
      <w:r>
        <w:rPr>
          <w:rFonts w:ascii="宋体" w:hAnsi="宋体"/>
        </w:rPr>
        <w:tab/>
      </w:r>
      <w:r>
        <w:rPr>
          <w:rFonts w:ascii="宋体" w:hAnsi="宋体"/>
        </w:rPr>
        <w:fldChar w:fldCharType="begin"/>
      </w:r>
      <w:r>
        <w:rPr>
          <w:rFonts w:ascii="宋体" w:hAnsi="宋体"/>
        </w:rPr>
        <w:instrText xml:space="preserve"> PAGEREF _Toc106883848 \h </w:instrText>
      </w:r>
      <w:r>
        <w:rPr>
          <w:rFonts w:ascii="宋体" w:hAnsi="宋体"/>
        </w:rPr>
        <w:fldChar w:fldCharType="separate"/>
      </w:r>
      <w:r>
        <w:rPr>
          <w:rFonts w:ascii="宋体" w:hAnsi="宋体"/>
        </w:rPr>
        <w:t>598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"_Toc106883849" </w:instrText>
      </w:r>
      <w:r>
        <w:fldChar w:fldCharType="separate"/>
      </w:r>
      <w:r>
        <w:rPr>
          <w:rStyle w:val="85"/>
          <w:rFonts w:ascii="宋体" w:hAnsi="宋体"/>
        </w:rPr>
        <w:t>11.1.16气水分离装置</w:t>
      </w:r>
      <w:r>
        <w:rPr>
          <w:rFonts w:ascii="宋体" w:hAnsi="宋体"/>
        </w:rPr>
        <w:tab/>
      </w:r>
      <w:r>
        <w:rPr>
          <w:rFonts w:ascii="宋体" w:hAnsi="宋体"/>
        </w:rPr>
        <w:fldChar w:fldCharType="begin"/>
      </w:r>
      <w:r>
        <w:rPr>
          <w:rFonts w:ascii="宋体" w:hAnsi="宋体"/>
        </w:rPr>
        <w:instrText xml:space="preserve"> PAGEREF _Toc106883849 \h </w:instrText>
      </w:r>
      <w:r>
        <w:rPr>
          <w:rFonts w:ascii="宋体" w:hAnsi="宋体"/>
        </w:rPr>
        <w:fldChar w:fldCharType="separate"/>
      </w:r>
      <w:r>
        <w:rPr>
          <w:rFonts w:ascii="宋体" w:hAnsi="宋体"/>
        </w:rPr>
        <w:t>598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"_Toc106883850" </w:instrText>
      </w:r>
      <w:r>
        <w:fldChar w:fldCharType="separate"/>
      </w:r>
      <w:r>
        <w:rPr>
          <w:rStyle w:val="85"/>
          <w:rFonts w:ascii="宋体" w:hAnsi="宋体"/>
        </w:rPr>
        <w:t>11.1.17混合搅拌机</w:t>
      </w:r>
      <w:r>
        <w:rPr>
          <w:rFonts w:ascii="宋体" w:hAnsi="宋体"/>
        </w:rPr>
        <w:tab/>
      </w:r>
      <w:r>
        <w:rPr>
          <w:rFonts w:ascii="宋体" w:hAnsi="宋体"/>
        </w:rPr>
        <w:fldChar w:fldCharType="begin"/>
      </w:r>
      <w:r>
        <w:rPr>
          <w:rFonts w:ascii="宋体" w:hAnsi="宋体"/>
        </w:rPr>
        <w:instrText xml:space="preserve"> PAGEREF _Toc106883850 \h </w:instrText>
      </w:r>
      <w:r>
        <w:rPr>
          <w:rFonts w:ascii="宋体" w:hAnsi="宋体"/>
        </w:rPr>
        <w:fldChar w:fldCharType="separate"/>
      </w:r>
      <w:r>
        <w:rPr>
          <w:rFonts w:ascii="宋体" w:hAnsi="宋体"/>
        </w:rPr>
        <w:t>599</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"_Toc106883851" </w:instrText>
      </w:r>
      <w:r>
        <w:fldChar w:fldCharType="separate"/>
      </w:r>
      <w:r>
        <w:rPr>
          <w:rStyle w:val="85"/>
          <w:rFonts w:ascii="宋体" w:hAnsi="宋体"/>
        </w:rPr>
        <w:t>11.1.18浓缩系统类</w:t>
      </w:r>
      <w:r>
        <w:rPr>
          <w:rFonts w:ascii="宋体" w:hAnsi="宋体"/>
        </w:rPr>
        <w:tab/>
      </w:r>
      <w:r>
        <w:rPr>
          <w:rFonts w:ascii="宋体" w:hAnsi="宋体"/>
        </w:rPr>
        <w:fldChar w:fldCharType="begin"/>
      </w:r>
      <w:r>
        <w:rPr>
          <w:rFonts w:ascii="宋体" w:hAnsi="宋体"/>
        </w:rPr>
        <w:instrText xml:space="preserve"> PAGEREF _Toc106883851 \h </w:instrText>
      </w:r>
      <w:r>
        <w:rPr>
          <w:rFonts w:ascii="宋体" w:hAnsi="宋体"/>
        </w:rPr>
        <w:fldChar w:fldCharType="separate"/>
      </w:r>
      <w:r>
        <w:rPr>
          <w:rFonts w:ascii="宋体" w:hAnsi="宋体"/>
        </w:rPr>
        <w:t>599</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"_Toc106883852" </w:instrText>
      </w:r>
      <w:r>
        <w:fldChar w:fldCharType="separate"/>
      </w:r>
      <w:r>
        <w:rPr>
          <w:rStyle w:val="85"/>
          <w:rFonts w:ascii="宋体" w:hAnsi="宋体"/>
        </w:rPr>
        <w:t>11.1.19脱水系统</w:t>
      </w:r>
      <w:r>
        <w:rPr>
          <w:rFonts w:ascii="宋体" w:hAnsi="宋体"/>
        </w:rPr>
        <w:tab/>
      </w:r>
      <w:r>
        <w:rPr>
          <w:rFonts w:ascii="宋体" w:hAnsi="宋体"/>
        </w:rPr>
        <w:fldChar w:fldCharType="begin"/>
      </w:r>
      <w:r>
        <w:rPr>
          <w:rFonts w:ascii="宋体" w:hAnsi="宋体"/>
        </w:rPr>
        <w:instrText xml:space="preserve"> PAGEREF _Toc106883852 \h </w:instrText>
      </w:r>
      <w:r>
        <w:rPr>
          <w:rFonts w:ascii="宋体" w:hAnsi="宋体"/>
        </w:rPr>
        <w:fldChar w:fldCharType="separate"/>
      </w:r>
      <w:r>
        <w:rPr>
          <w:rFonts w:ascii="宋体" w:hAnsi="宋体"/>
        </w:rPr>
        <w:t>600</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"_Toc106883853" </w:instrText>
      </w:r>
      <w:r>
        <w:fldChar w:fldCharType="separate"/>
      </w:r>
      <w:r>
        <w:rPr>
          <w:rStyle w:val="85"/>
          <w:rFonts w:ascii="宋体" w:hAnsi="宋体"/>
        </w:rPr>
        <w:t>11.1.20加药系统类</w:t>
      </w:r>
      <w:r>
        <w:rPr>
          <w:rFonts w:ascii="宋体" w:hAnsi="宋体"/>
        </w:rPr>
        <w:tab/>
      </w:r>
      <w:r>
        <w:rPr>
          <w:rFonts w:ascii="宋体" w:hAnsi="宋体"/>
        </w:rPr>
        <w:fldChar w:fldCharType="begin"/>
      </w:r>
      <w:r>
        <w:rPr>
          <w:rFonts w:ascii="宋体" w:hAnsi="宋体"/>
        </w:rPr>
        <w:instrText xml:space="preserve"> PAGEREF _Toc106883853 \h </w:instrText>
      </w:r>
      <w:r>
        <w:rPr>
          <w:rFonts w:ascii="宋体" w:hAnsi="宋体"/>
        </w:rPr>
        <w:fldChar w:fldCharType="separate"/>
      </w:r>
      <w:r>
        <w:rPr>
          <w:rFonts w:ascii="宋体" w:hAnsi="宋体"/>
        </w:rPr>
        <w:t>601</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"_Toc106883854" </w:instrText>
      </w:r>
      <w:r>
        <w:fldChar w:fldCharType="separate"/>
      </w:r>
      <w:r>
        <w:rPr>
          <w:rStyle w:val="85"/>
          <w:rFonts w:ascii="宋体" w:hAnsi="宋体"/>
        </w:rPr>
        <w:t>11.1.21起重机</w:t>
      </w:r>
      <w:r>
        <w:rPr>
          <w:rFonts w:ascii="宋体" w:hAnsi="宋体"/>
        </w:rPr>
        <w:tab/>
      </w:r>
      <w:r>
        <w:rPr>
          <w:rFonts w:ascii="宋体" w:hAnsi="宋体"/>
        </w:rPr>
        <w:fldChar w:fldCharType="begin"/>
      </w:r>
      <w:r>
        <w:rPr>
          <w:rFonts w:ascii="宋体" w:hAnsi="宋体"/>
        </w:rPr>
        <w:instrText xml:space="preserve"> PAGEREF _Toc106883854 \h </w:instrText>
      </w:r>
      <w:r>
        <w:rPr>
          <w:rFonts w:ascii="宋体" w:hAnsi="宋体"/>
        </w:rPr>
        <w:fldChar w:fldCharType="separate"/>
      </w:r>
      <w:r>
        <w:rPr>
          <w:rFonts w:ascii="宋体" w:hAnsi="宋体"/>
        </w:rPr>
        <w:t>604</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"_Toc106883855" </w:instrText>
      </w:r>
      <w:r>
        <w:fldChar w:fldCharType="separate"/>
      </w:r>
      <w:r>
        <w:rPr>
          <w:rStyle w:val="85"/>
          <w:rFonts w:ascii="宋体" w:hAnsi="宋体" w:cs="楷体"/>
        </w:rPr>
        <w:t>11.2电气设备</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_Toc106883855 \h </w:instrText>
      </w:r>
      <w:r>
        <w:rPr>
          <w:rStyle w:val="85"/>
          <w:rFonts w:ascii="宋体" w:hAnsi="宋体" w:cs="楷体"/>
        </w:rPr>
        <w:fldChar w:fldCharType="separate"/>
      </w:r>
      <w:r>
        <w:rPr>
          <w:rStyle w:val="85"/>
          <w:rFonts w:ascii="宋体" w:hAnsi="宋体" w:cs="楷体"/>
        </w:rPr>
        <w:t>605</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"_Toc106883856" </w:instrText>
      </w:r>
      <w:r>
        <w:fldChar w:fldCharType="separate"/>
      </w:r>
      <w:r>
        <w:rPr>
          <w:rStyle w:val="85"/>
          <w:rFonts w:ascii="宋体" w:hAnsi="宋体"/>
        </w:rPr>
        <w:t>11.2.1 低压开关柜</w:t>
      </w:r>
      <w:r>
        <w:rPr>
          <w:rFonts w:ascii="宋体" w:hAnsi="宋体"/>
        </w:rPr>
        <w:tab/>
      </w:r>
      <w:r>
        <w:rPr>
          <w:rFonts w:ascii="宋体" w:hAnsi="宋体"/>
        </w:rPr>
        <w:fldChar w:fldCharType="begin"/>
      </w:r>
      <w:r>
        <w:rPr>
          <w:rFonts w:ascii="宋体" w:hAnsi="宋体"/>
        </w:rPr>
        <w:instrText xml:space="preserve"> PAGEREF _Toc106883856 \h </w:instrText>
      </w:r>
      <w:r>
        <w:rPr>
          <w:rFonts w:ascii="宋体" w:hAnsi="宋体"/>
        </w:rPr>
        <w:fldChar w:fldCharType="separate"/>
      </w:r>
      <w:r>
        <w:rPr>
          <w:rFonts w:ascii="宋体" w:hAnsi="宋体"/>
        </w:rPr>
        <w:t>605</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"_Toc106883857" </w:instrText>
      </w:r>
      <w:r>
        <w:fldChar w:fldCharType="separate"/>
      </w:r>
      <w:r>
        <w:rPr>
          <w:rStyle w:val="85"/>
          <w:rFonts w:ascii="宋体" w:hAnsi="宋体"/>
        </w:rPr>
        <w:t>11.2.2就地电控箱</w:t>
      </w:r>
      <w:r>
        <w:rPr>
          <w:rFonts w:ascii="宋体" w:hAnsi="宋体"/>
        </w:rPr>
        <w:tab/>
      </w:r>
      <w:r>
        <w:rPr>
          <w:rFonts w:ascii="宋体" w:hAnsi="宋体"/>
        </w:rPr>
        <w:fldChar w:fldCharType="begin"/>
      </w:r>
      <w:r>
        <w:rPr>
          <w:rFonts w:ascii="宋体" w:hAnsi="宋体"/>
        </w:rPr>
        <w:instrText xml:space="preserve"> PAGEREF _Toc106883857 \h </w:instrText>
      </w:r>
      <w:r>
        <w:rPr>
          <w:rFonts w:ascii="宋体" w:hAnsi="宋体"/>
        </w:rPr>
        <w:fldChar w:fldCharType="separate"/>
      </w:r>
      <w:r>
        <w:rPr>
          <w:rFonts w:ascii="宋体" w:hAnsi="宋体"/>
        </w:rPr>
        <w:t>605</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"_Toc106883858" </w:instrText>
      </w:r>
      <w:r>
        <w:fldChar w:fldCharType="separate"/>
      </w:r>
      <w:r>
        <w:rPr>
          <w:rStyle w:val="85"/>
          <w:rFonts w:ascii="宋体" w:hAnsi="宋体"/>
        </w:rPr>
        <w:t>11.2.3电缆</w:t>
      </w:r>
      <w:r>
        <w:rPr>
          <w:rFonts w:ascii="宋体" w:hAnsi="宋体"/>
        </w:rPr>
        <w:tab/>
      </w:r>
      <w:r>
        <w:rPr>
          <w:rFonts w:ascii="宋体" w:hAnsi="宋体"/>
        </w:rPr>
        <w:fldChar w:fldCharType="begin"/>
      </w:r>
      <w:r>
        <w:rPr>
          <w:rFonts w:ascii="宋体" w:hAnsi="宋体"/>
        </w:rPr>
        <w:instrText xml:space="preserve"> PAGEREF _Toc106883858 \h </w:instrText>
      </w:r>
      <w:r>
        <w:rPr>
          <w:rFonts w:ascii="宋体" w:hAnsi="宋体"/>
        </w:rPr>
        <w:fldChar w:fldCharType="separate"/>
      </w:r>
      <w:r>
        <w:rPr>
          <w:rFonts w:ascii="宋体" w:hAnsi="宋体"/>
        </w:rPr>
        <w:t>606</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"_Toc106883859" </w:instrText>
      </w:r>
      <w:r>
        <w:fldChar w:fldCharType="separate"/>
      </w:r>
      <w:r>
        <w:rPr>
          <w:rStyle w:val="85"/>
          <w:rFonts w:ascii="宋体" w:hAnsi="宋体" w:cs="楷体"/>
        </w:rPr>
        <w:t>11.3仪表和自动控制系统</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_Toc106883859 \h </w:instrText>
      </w:r>
      <w:r>
        <w:rPr>
          <w:rStyle w:val="85"/>
          <w:rFonts w:ascii="宋体" w:hAnsi="宋体" w:cs="楷体"/>
        </w:rPr>
        <w:fldChar w:fldCharType="separate"/>
      </w:r>
      <w:r>
        <w:rPr>
          <w:rStyle w:val="85"/>
          <w:rFonts w:ascii="宋体" w:hAnsi="宋体" w:cs="楷体"/>
        </w:rPr>
        <w:t>607</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"_Toc106883860" </w:instrText>
      </w:r>
      <w:r>
        <w:fldChar w:fldCharType="separate"/>
      </w:r>
      <w:r>
        <w:rPr>
          <w:rStyle w:val="85"/>
          <w:rFonts w:ascii="宋体" w:hAnsi="宋体"/>
        </w:rPr>
        <w:t>11.3.1仪表设备</w:t>
      </w:r>
      <w:r>
        <w:rPr>
          <w:rFonts w:ascii="宋体" w:hAnsi="宋体"/>
        </w:rPr>
        <w:tab/>
      </w:r>
      <w:r>
        <w:rPr>
          <w:rFonts w:ascii="宋体" w:hAnsi="宋体"/>
        </w:rPr>
        <w:fldChar w:fldCharType="begin"/>
      </w:r>
      <w:r>
        <w:rPr>
          <w:rFonts w:ascii="宋体" w:hAnsi="宋体"/>
        </w:rPr>
        <w:instrText xml:space="preserve"> PAGEREF _Toc106883860 \h </w:instrText>
      </w:r>
      <w:r>
        <w:rPr>
          <w:rFonts w:ascii="宋体" w:hAnsi="宋体"/>
        </w:rPr>
        <w:fldChar w:fldCharType="separate"/>
      </w:r>
      <w:r>
        <w:rPr>
          <w:rFonts w:ascii="宋体" w:hAnsi="宋体"/>
        </w:rPr>
        <w:t>607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"_Toc106883861" </w:instrText>
      </w:r>
      <w:r>
        <w:fldChar w:fldCharType="separate"/>
      </w:r>
      <w:r>
        <w:rPr>
          <w:rStyle w:val="85"/>
          <w:rFonts w:ascii="宋体" w:hAnsi="宋体"/>
        </w:rPr>
        <w:t>11.3.2中控室设备</w:t>
      </w:r>
      <w:r>
        <w:rPr>
          <w:rFonts w:ascii="宋体" w:hAnsi="宋体"/>
        </w:rPr>
        <w:tab/>
      </w:r>
      <w:r>
        <w:rPr>
          <w:rFonts w:ascii="宋体" w:hAnsi="宋体"/>
        </w:rPr>
        <w:fldChar w:fldCharType="begin"/>
      </w:r>
      <w:r>
        <w:rPr>
          <w:rFonts w:ascii="宋体" w:hAnsi="宋体"/>
        </w:rPr>
        <w:instrText xml:space="preserve"> PAGEREF _Toc106883861 \h </w:instrText>
      </w:r>
      <w:r>
        <w:rPr>
          <w:rFonts w:ascii="宋体" w:hAnsi="宋体"/>
        </w:rPr>
        <w:fldChar w:fldCharType="separate"/>
      </w:r>
      <w:r>
        <w:rPr>
          <w:rFonts w:ascii="宋体" w:hAnsi="宋体"/>
        </w:rPr>
        <w:t>614</w:t>
      </w:r>
      <w:r>
        <w:rPr>
          <w:rFonts w:ascii="宋体" w:hAnsi="宋体"/>
        </w:rPr>
        <w:fldChar w:fldCharType="end"/>
      </w:r>
      <w:r>
        <w:rPr>
          <w:rFonts w:ascii="宋体" w:hAnsi="宋体"/>
        </w:rPr>
        <w:fldChar w:fldCharType="end"/>
      </w:r>
    </w:p>
    <w:p>
      <w:pPr>
        <w:pStyle w:val="38"/>
        <w:tabs>
          <w:tab w:val="left" w:pos="1440"/>
          <w:tab w:val="right" w:leader="dot" w:pos="8494"/>
        </w:tabs>
        <w:rPr>
          <w:rFonts w:ascii="宋体" w:hAnsi="宋体" w:cstheme="minorBidi"/>
          <w:i w:val="0"/>
          <w:iCs w:val="0"/>
          <w:sz w:val="21"/>
          <w:szCs w:val="22"/>
        </w:rPr>
      </w:pPr>
      <w:r>
        <w:fldChar w:fldCharType="begin"/>
      </w:r>
      <w:r>
        <w:instrText xml:space="preserve"> HYPERLINK \l "_Toc106883862" </w:instrText>
      </w:r>
      <w:r>
        <w:fldChar w:fldCharType="separate"/>
      </w:r>
      <w:r>
        <w:rPr>
          <w:rStyle w:val="85"/>
          <w:rFonts w:ascii="宋体" w:hAnsi="宋体"/>
        </w:rPr>
        <w:t>11.3.3</w:t>
      </w:r>
      <w:r>
        <w:rPr>
          <w:rFonts w:ascii="宋体" w:hAnsi="宋体" w:cstheme="minorBidi"/>
          <w:i w:val="0"/>
          <w:iCs w:val="0"/>
          <w:sz w:val="21"/>
          <w:szCs w:val="22"/>
        </w:rPr>
        <w:tab/>
      </w:r>
      <w:r>
        <w:rPr>
          <w:rStyle w:val="85"/>
          <w:rFonts w:ascii="宋体" w:hAnsi="宋体"/>
        </w:rPr>
        <w:t>PLC设备</w:t>
      </w:r>
      <w:r>
        <w:rPr>
          <w:rFonts w:ascii="宋体" w:hAnsi="宋体"/>
        </w:rPr>
        <w:tab/>
      </w:r>
      <w:r>
        <w:rPr>
          <w:rFonts w:ascii="宋体" w:hAnsi="宋体"/>
        </w:rPr>
        <w:fldChar w:fldCharType="begin"/>
      </w:r>
      <w:r>
        <w:rPr>
          <w:rFonts w:ascii="宋体" w:hAnsi="宋体"/>
        </w:rPr>
        <w:instrText xml:space="preserve"> PAGEREF _Toc106883862 \h </w:instrText>
      </w:r>
      <w:r>
        <w:rPr>
          <w:rFonts w:ascii="宋体" w:hAnsi="宋体"/>
        </w:rPr>
        <w:fldChar w:fldCharType="separate"/>
      </w:r>
      <w:r>
        <w:rPr>
          <w:rFonts w:ascii="宋体" w:hAnsi="宋体"/>
        </w:rPr>
        <w:t>618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"_Toc106883863" </w:instrText>
      </w:r>
      <w:r>
        <w:fldChar w:fldCharType="separate"/>
      </w:r>
      <w:r>
        <w:rPr>
          <w:rStyle w:val="85"/>
          <w:rFonts w:ascii="宋体" w:hAnsi="宋体"/>
        </w:rPr>
        <w:t>11.3.4闭路电视监控系统</w:t>
      </w:r>
      <w:r>
        <w:rPr>
          <w:rFonts w:ascii="宋体" w:hAnsi="宋体"/>
        </w:rPr>
        <w:tab/>
      </w:r>
      <w:r>
        <w:rPr>
          <w:rFonts w:ascii="宋体" w:hAnsi="宋体"/>
        </w:rPr>
        <w:fldChar w:fldCharType="begin"/>
      </w:r>
      <w:r>
        <w:rPr>
          <w:rFonts w:ascii="宋体" w:hAnsi="宋体"/>
        </w:rPr>
        <w:instrText xml:space="preserve"> PAGEREF _Toc106883863 \h </w:instrText>
      </w:r>
      <w:r>
        <w:rPr>
          <w:rFonts w:ascii="宋体" w:hAnsi="宋体"/>
        </w:rPr>
        <w:fldChar w:fldCharType="separate"/>
      </w:r>
      <w:r>
        <w:rPr>
          <w:rFonts w:ascii="宋体" w:hAnsi="宋体"/>
        </w:rPr>
        <w:t>625</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"_Toc106883864" </w:instrText>
      </w:r>
      <w:r>
        <w:fldChar w:fldCharType="separate"/>
      </w:r>
      <w:r>
        <w:rPr>
          <w:rStyle w:val="85"/>
          <w:rFonts w:ascii="宋体" w:hAnsi="宋体" w:cs="楷体"/>
        </w:rPr>
        <w:t>11.4管网材料</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_Toc106883864 \h </w:instrText>
      </w:r>
      <w:r>
        <w:rPr>
          <w:rStyle w:val="85"/>
          <w:rFonts w:ascii="宋体" w:hAnsi="宋体" w:cs="楷体"/>
        </w:rPr>
        <w:fldChar w:fldCharType="separate"/>
      </w:r>
      <w:r>
        <w:rPr>
          <w:rStyle w:val="85"/>
          <w:rFonts w:ascii="宋体" w:hAnsi="宋体" w:cs="楷体"/>
        </w:rPr>
        <w:t>630</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"_Toc106883865" </w:instrText>
      </w:r>
      <w:r>
        <w:fldChar w:fldCharType="separate"/>
      </w:r>
      <w:r>
        <w:rPr>
          <w:rStyle w:val="85"/>
          <w:rFonts w:ascii="宋体" w:hAnsi="宋体"/>
        </w:rPr>
        <w:t>11.4.1钢管及钢制管件</w:t>
      </w:r>
      <w:r>
        <w:rPr>
          <w:rFonts w:ascii="宋体" w:hAnsi="宋体"/>
        </w:rPr>
        <w:tab/>
      </w:r>
      <w:r>
        <w:rPr>
          <w:rFonts w:ascii="宋体" w:hAnsi="宋体"/>
        </w:rPr>
        <w:fldChar w:fldCharType="begin"/>
      </w:r>
      <w:r>
        <w:rPr>
          <w:rFonts w:ascii="宋体" w:hAnsi="宋体"/>
        </w:rPr>
        <w:instrText xml:space="preserve"> PAGEREF _Toc106883865 \h </w:instrText>
      </w:r>
      <w:r>
        <w:rPr>
          <w:rFonts w:ascii="宋体" w:hAnsi="宋体"/>
        </w:rPr>
        <w:fldChar w:fldCharType="separate"/>
      </w:r>
      <w:r>
        <w:rPr>
          <w:rFonts w:ascii="宋体" w:hAnsi="宋体"/>
        </w:rPr>
        <w:t>630</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"_Toc106883866" </w:instrText>
      </w:r>
      <w:r>
        <w:fldChar w:fldCharType="separate"/>
      </w:r>
      <w:r>
        <w:rPr>
          <w:rStyle w:val="85"/>
          <w:rFonts w:ascii="宋体" w:hAnsi="宋体"/>
        </w:rPr>
        <w:t>11.4.2钢管、钢制管件防腐材料</w:t>
      </w:r>
      <w:r>
        <w:rPr>
          <w:rFonts w:ascii="宋体" w:hAnsi="宋体"/>
        </w:rPr>
        <w:tab/>
      </w:r>
      <w:r>
        <w:rPr>
          <w:rFonts w:ascii="宋体" w:hAnsi="宋体"/>
        </w:rPr>
        <w:fldChar w:fldCharType="begin"/>
      </w:r>
      <w:r>
        <w:rPr>
          <w:rFonts w:ascii="宋体" w:hAnsi="宋体"/>
        </w:rPr>
        <w:instrText xml:space="preserve"> PAGEREF _Toc106883866 \h </w:instrText>
      </w:r>
      <w:r>
        <w:rPr>
          <w:rFonts w:ascii="宋体" w:hAnsi="宋体"/>
        </w:rPr>
        <w:fldChar w:fldCharType="separate"/>
      </w:r>
      <w:r>
        <w:rPr>
          <w:rFonts w:ascii="宋体" w:hAnsi="宋体"/>
        </w:rPr>
        <w:t>631</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"_Toc106883867" </w:instrText>
      </w:r>
      <w:r>
        <w:fldChar w:fldCharType="separate"/>
      </w:r>
      <w:r>
        <w:rPr>
          <w:rStyle w:val="85"/>
          <w:rFonts w:ascii="宋体" w:hAnsi="宋体"/>
        </w:rPr>
        <w:t>11.4.3球墨铸铁管</w:t>
      </w:r>
      <w:r>
        <w:rPr>
          <w:rFonts w:ascii="宋体" w:hAnsi="宋体"/>
        </w:rPr>
        <w:tab/>
      </w:r>
      <w:r>
        <w:rPr>
          <w:rFonts w:ascii="宋体" w:hAnsi="宋体"/>
        </w:rPr>
        <w:fldChar w:fldCharType="begin"/>
      </w:r>
      <w:r>
        <w:rPr>
          <w:rFonts w:ascii="宋体" w:hAnsi="宋体"/>
        </w:rPr>
        <w:instrText xml:space="preserve"> PAGEREF _Toc106883867 \h </w:instrText>
      </w:r>
      <w:r>
        <w:rPr>
          <w:rFonts w:ascii="宋体" w:hAnsi="宋体"/>
        </w:rPr>
        <w:fldChar w:fldCharType="separate"/>
      </w:r>
      <w:r>
        <w:rPr>
          <w:rFonts w:ascii="宋体" w:hAnsi="宋体"/>
        </w:rPr>
        <w:t>632</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"_Toc106883868" </w:instrText>
      </w:r>
      <w:r>
        <w:fldChar w:fldCharType="separate"/>
      </w:r>
      <w:r>
        <w:rPr>
          <w:rStyle w:val="85"/>
          <w:rFonts w:ascii="宋体" w:hAnsi="宋体"/>
        </w:rPr>
        <w:t>11.4.4球墨铸铁管配件</w:t>
      </w:r>
      <w:r>
        <w:rPr>
          <w:rFonts w:ascii="宋体" w:hAnsi="宋体"/>
        </w:rPr>
        <w:tab/>
      </w:r>
      <w:r>
        <w:rPr>
          <w:rFonts w:ascii="宋体" w:hAnsi="宋体"/>
        </w:rPr>
        <w:fldChar w:fldCharType="begin"/>
      </w:r>
      <w:r>
        <w:rPr>
          <w:rFonts w:ascii="宋体" w:hAnsi="宋体"/>
        </w:rPr>
        <w:instrText xml:space="preserve"> PAGEREF _Toc106883868 \h </w:instrText>
      </w:r>
      <w:r>
        <w:rPr>
          <w:rFonts w:ascii="宋体" w:hAnsi="宋体"/>
        </w:rPr>
        <w:fldChar w:fldCharType="separate"/>
      </w:r>
      <w:r>
        <w:rPr>
          <w:rFonts w:ascii="宋体" w:hAnsi="宋体"/>
        </w:rPr>
        <w:t>633</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"_Toc106883869" </w:instrText>
      </w:r>
      <w:r>
        <w:fldChar w:fldCharType="separate"/>
      </w:r>
      <w:r>
        <w:rPr>
          <w:rStyle w:val="85"/>
          <w:rFonts w:ascii="宋体" w:hAnsi="宋体"/>
        </w:rPr>
        <w:t>11.4.5橡胶密封圈</w:t>
      </w:r>
      <w:r>
        <w:rPr>
          <w:rFonts w:ascii="宋体" w:hAnsi="宋体"/>
        </w:rPr>
        <w:tab/>
      </w:r>
      <w:r>
        <w:rPr>
          <w:rFonts w:ascii="宋体" w:hAnsi="宋体"/>
        </w:rPr>
        <w:fldChar w:fldCharType="begin"/>
      </w:r>
      <w:r>
        <w:rPr>
          <w:rFonts w:ascii="宋体" w:hAnsi="宋体"/>
        </w:rPr>
        <w:instrText xml:space="preserve"> PAGEREF _Toc106883869 \h </w:instrText>
      </w:r>
      <w:r>
        <w:rPr>
          <w:rFonts w:ascii="宋体" w:hAnsi="宋体"/>
        </w:rPr>
        <w:fldChar w:fldCharType="separate"/>
      </w:r>
      <w:r>
        <w:rPr>
          <w:rFonts w:ascii="宋体" w:hAnsi="宋体"/>
        </w:rPr>
        <w:t>634</w:t>
      </w:r>
      <w:r>
        <w:rPr>
          <w:rFonts w:ascii="宋体" w:hAnsi="宋体"/>
        </w:rPr>
        <w:fldChar w:fldCharType="end"/>
      </w:r>
      <w:r>
        <w:rPr>
          <w:rFonts w:ascii="宋体" w:hAnsi="宋体"/>
        </w:rPr>
        <w:fldChar w:fldCharType="end"/>
      </w:r>
    </w:p>
    <w:p>
      <w:pPr>
        <w:pStyle w:val="50"/>
        <w:tabs>
          <w:tab w:val="right" w:leader="dot" w:pos="8494"/>
        </w:tabs>
        <w:rPr>
          <w:rFonts w:ascii="宋体" w:hAnsi="宋体" w:cstheme="minorBidi"/>
          <w:b w:val="0"/>
          <w:bCs w:val="0"/>
          <w:caps w:val="0"/>
          <w:sz w:val="21"/>
          <w:szCs w:val="22"/>
        </w:rPr>
      </w:pPr>
      <w:r>
        <w:fldChar w:fldCharType="begin"/>
      </w:r>
      <w:r>
        <w:instrText xml:space="preserve"> HYPERLINK \l "_Toc106883870" </w:instrText>
      </w:r>
      <w:r>
        <w:fldChar w:fldCharType="separate"/>
      </w:r>
      <w:r>
        <w:rPr>
          <w:rStyle w:val="85"/>
          <w:rFonts w:ascii="宋体" w:hAnsi="宋体"/>
        </w:rPr>
        <w:t>12 环境保护</w:t>
      </w:r>
      <w:r>
        <w:rPr>
          <w:rFonts w:ascii="宋体" w:hAnsi="宋体"/>
        </w:rPr>
        <w:tab/>
      </w:r>
      <w:r>
        <w:rPr>
          <w:rFonts w:ascii="宋体" w:hAnsi="宋体"/>
        </w:rPr>
        <w:fldChar w:fldCharType="begin"/>
      </w:r>
      <w:r>
        <w:rPr>
          <w:rFonts w:ascii="宋体" w:hAnsi="宋体"/>
        </w:rPr>
        <w:instrText xml:space="preserve"> PAGEREF _Toc106883870 \h </w:instrText>
      </w:r>
      <w:r>
        <w:rPr>
          <w:rFonts w:ascii="宋体" w:hAnsi="宋体"/>
        </w:rPr>
        <w:fldChar w:fldCharType="separate"/>
      </w:r>
      <w:r>
        <w:rPr>
          <w:rFonts w:ascii="宋体" w:hAnsi="宋体"/>
        </w:rPr>
        <w:t>635</w:t>
      </w:r>
      <w:r>
        <w:rPr>
          <w:rFonts w:ascii="宋体" w:hAnsi="宋体"/>
        </w:rPr>
        <w:fldChar w:fldCharType="end"/>
      </w:r>
      <w:r>
        <w:rPr>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"_Toc106883871" </w:instrText>
      </w:r>
      <w:r>
        <w:fldChar w:fldCharType="separate"/>
      </w:r>
      <w:r>
        <w:rPr>
          <w:rStyle w:val="85"/>
          <w:rFonts w:ascii="宋体" w:hAnsi="宋体" w:cs="楷体"/>
        </w:rPr>
        <w:t>12.1 范围</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_Toc106883871 \h </w:instrText>
      </w:r>
      <w:r>
        <w:rPr>
          <w:rStyle w:val="85"/>
          <w:rFonts w:ascii="宋体" w:hAnsi="宋体" w:cs="楷体"/>
        </w:rPr>
        <w:fldChar w:fldCharType="separate"/>
      </w:r>
      <w:r>
        <w:rPr>
          <w:rStyle w:val="85"/>
          <w:rFonts w:ascii="宋体" w:hAnsi="宋体" w:cs="楷体"/>
        </w:rPr>
        <w:t>635</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"_Toc106883872" </w:instrText>
      </w:r>
      <w:r>
        <w:fldChar w:fldCharType="separate"/>
      </w:r>
      <w:r>
        <w:rPr>
          <w:rStyle w:val="85"/>
          <w:rFonts w:ascii="宋体" w:hAnsi="宋体" w:cs="楷体"/>
        </w:rPr>
        <w:t>12.2 一般规定</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_Toc106883872 \h </w:instrText>
      </w:r>
      <w:r>
        <w:rPr>
          <w:rStyle w:val="85"/>
          <w:rFonts w:ascii="宋体" w:hAnsi="宋体" w:cs="楷体"/>
        </w:rPr>
        <w:fldChar w:fldCharType="separate"/>
      </w:r>
      <w:r>
        <w:rPr>
          <w:rStyle w:val="85"/>
          <w:rFonts w:ascii="宋体" w:hAnsi="宋体" w:cs="楷体"/>
        </w:rPr>
        <w:t>635</w:t>
      </w:r>
      <w:r>
        <w:rPr>
          <w:rStyle w:val="85"/>
          <w:rFonts w:ascii="宋体" w:hAnsi="宋体" w:cs="楷体"/>
        </w:rPr>
        <w:fldChar w:fldCharType="end"/>
      </w:r>
      <w:r>
        <w:rPr>
          <w:rStyle w:val="85"/>
          <w:rFonts w:ascii="宋体" w:hAnsi="宋体" w:cs="楷体"/>
        </w:rPr>
        <w:fldChar w:fldCharType="end"/>
      </w:r>
    </w:p>
    <w:p>
      <w:pPr>
        <w:pStyle w:val="64"/>
        <w:tabs>
          <w:tab w:val="right" w:leader="dot" w:pos="8494"/>
        </w:tabs>
        <w:rPr>
          <w:rStyle w:val="85"/>
          <w:rFonts w:ascii="宋体" w:hAnsi="宋体" w:cs="楷体"/>
        </w:rPr>
      </w:pPr>
      <w:r>
        <w:fldChar w:fldCharType="begin"/>
      </w:r>
      <w:r>
        <w:instrText xml:space="preserve"> HYPERLINK \l "_Toc106883873" </w:instrText>
      </w:r>
      <w:r>
        <w:fldChar w:fldCharType="separate"/>
      </w:r>
      <w:r>
        <w:rPr>
          <w:rStyle w:val="85"/>
          <w:rFonts w:ascii="宋体" w:hAnsi="宋体" w:cs="楷体"/>
        </w:rPr>
        <w:t>12.3 环境保护</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_Toc106883873 \h </w:instrText>
      </w:r>
      <w:r>
        <w:rPr>
          <w:rStyle w:val="85"/>
          <w:rFonts w:ascii="宋体" w:hAnsi="宋体" w:cs="楷体"/>
        </w:rPr>
        <w:fldChar w:fldCharType="separate"/>
      </w:r>
      <w:r>
        <w:rPr>
          <w:rStyle w:val="85"/>
          <w:rFonts w:ascii="宋体" w:hAnsi="宋体" w:cs="楷体"/>
        </w:rPr>
        <w:t>635</w:t>
      </w:r>
      <w:r>
        <w:rPr>
          <w:rStyle w:val="85"/>
          <w:rFonts w:ascii="宋体" w:hAnsi="宋体" w:cs="楷体"/>
        </w:rPr>
        <w:fldChar w:fldCharType="end"/>
      </w:r>
      <w:r>
        <w:rPr>
          <w:rStyle w:val="85"/>
          <w:rFonts w:ascii="宋体" w:hAnsi="宋体" w:cs="楷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"_Toc106883874" </w:instrText>
      </w:r>
      <w:r>
        <w:fldChar w:fldCharType="separate"/>
      </w:r>
      <w:r>
        <w:rPr>
          <w:rStyle w:val="85"/>
          <w:rFonts w:ascii="宋体" w:hAnsi="宋体"/>
        </w:rPr>
        <w:t>12.3.1 工作内容</w:t>
      </w:r>
      <w:r>
        <w:rPr>
          <w:rFonts w:ascii="宋体" w:hAnsi="宋体"/>
        </w:rPr>
        <w:tab/>
      </w:r>
      <w:r>
        <w:rPr>
          <w:rFonts w:ascii="宋体" w:hAnsi="宋体"/>
        </w:rPr>
        <w:fldChar w:fldCharType="begin"/>
      </w:r>
      <w:r>
        <w:rPr>
          <w:rFonts w:ascii="宋体" w:hAnsi="宋体"/>
        </w:rPr>
        <w:instrText xml:space="preserve"> PAGEREF _Toc106883874 \h </w:instrText>
      </w:r>
      <w:r>
        <w:rPr>
          <w:rFonts w:ascii="宋体" w:hAnsi="宋体"/>
        </w:rPr>
        <w:fldChar w:fldCharType="separate"/>
      </w:r>
      <w:r>
        <w:rPr>
          <w:rFonts w:ascii="宋体" w:hAnsi="宋体"/>
        </w:rPr>
        <w:t>635</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"_Toc106883875" </w:instrText>
      </w:r>
      <w:r>
        <w:fldChar w:fldCharType="separate"/>
      </w:r>
      <w:r>
        <w:rPr>
          <w:rStyle w:val="85"/>
          <w:rFonts w:ascii="宋体" w:hAnsi="宋体"/>
        </w:rPr>
        <w:t>12.3.2 文物保护</w:t>
      </w:r>
      <w:r>
        <w:rPr>
          <w:rFonts w:ascii="宋体" w:hAnsi="宋体"/>
        </w:rPr>
        <w:tab/>
      </w:r>
      <w:r>
        <w:rPr>
          <w:rFonts w:ascii="宋体" w:hAnsi="宋体"/>
        </w:rPr>
        <w:fldChar w:fldCharType="begin"/>
      </w:r>
      <w:r>
        <w:rPr>
          <w:rFonts w:ascii="宋体" w:hAnsi="宋体"/>
        </w:rPr>
        <w:instrText xml:space="preserve"> PAGEREF _Toc106883875 \h </w:instrText>
      </w:r>
      <w:r>
        <w:rPr>
          <w:rFonts w:ascii="宋体" w:hAnsi="宋体"/>
        </w:rPr>
        <w:fldChar w:fldCharType="separate"/>
      </w:r>
      <w:r>
        <w:rPr>
          <w:rFonts w:ascii="宋体" w:hAnsi="宋体"/>
        </w:rPr>
        <w:t>636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"_Toc106883876" </w:instrText>
      </w:r>
      <w:r>
        <w:fldChar w:fldCharType="separate"/>
      </w:r>
      <w:r>
        <w:rPr>
          <w:rStyle w:val="85"/>
          <w:rFonts w:ascii="宋体" w:hAnsi="宋体"/>
        </w:rPr>
        <w:t>12.3.3 防止水土流失和废料废方处理</w:t>
      </w:r>
      <w:r>
        <w:rPr>
          <w:rFonts w:ascii="宋体" w:hAnsi="宋体"/>
        </w:rPr>
        <w:tab/>
      </w:r>
      <w:r>
        <w:rPr>
          <w:rFonts w:ascii="宋体" w:hAnsi="宋体"/>
        </w:rPr>
        <w:fldChar w:fldCharType="begin"/>
      </w:r>
      <w:r>
        <w:rPr>
          <w:rFonts w:ascii="宋体" w:hAnsi="宋体"/>
        </w:rPr>
        <w:instrText xml:space="preserve"> PAGEREF _Toc106883876 \h </w:instrText>
      </w:r>
      <w:r>
        <w:rPr>
          <w:rFonts w:ascii="宋体" w:hAnsi="宋体"/>
        </w:rPr>
        <w:fldChar w:fldCharType="separate"/>
      </w:r>
      <w:r>
        <w:rPr>
          <w:rFonts w:ascii="宋体" w:hAnsi="宋体"/>
        </w:rPr>
        <w:t>636</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"_Toc106883877" </w:instrText>
      </w:r>
      <w:r>
        <w:fldChar w:fldCharType="separate"/>
      </w:r>
      <w:r>
        <w:rPr>
          <w:rStyle w:val="85"/>
          <w:rFonts w:ascii="宋体" w:hAnsi="宋体"/>
        </w:rPr>
        <w:t>12.3.4 防止和减轻水、大气受污染</w:t>
      </w:r>
      <w:r>
        <w:rPr>
          <w:rFonts w:ascii="宋体" w:hAnsi="宋体"/>
        </w:rPr>
        <w:tab/>
      </w:r>
      <w:r>
        <w:rPr>
          <w:rFonts w:ascii="宋体" w:hAnsi="宋体"/>
        </w:rPr>
        <w:fldChar w:fldCharType="begin"/>
      </w:r>
      <w:r>
        <w:rPr>
          <w:rFonts w:ascii="宋体" w:hAnsi="宋体"/>
        </w:rPr>
        <w:instrText xml:space="preserve"> PAGEREF _Toc106883877 \h </w:instrText>
      </w:r>
      <w:r>
        <w:rPr>
          <w:rFonts w:ascii="宋体" w:hAnsi="宋体"/>
        </w:rPr>
        <w:fldChar w:fldCharType="separate"/>
      </w:r>
      <w:r>
        <w:rPr>
          <w:rFonts w:ascii="宋体" w:hAnsi="宋体"/>
        </w:rPr>
        <w:t>637</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"_Toc106883878" </w:instrText>
      </w:r>
      <w:r>
        <w:fldChar w:fldCharType="separate"/>
      </w:r>
      <w:r>
        <w:rPr>
          <w:rStyle w:val="85"/>
          <w:rFonts w:ascii="宋体" w:hAnsi="宋体"/>
        </w:rPr>
        <w:t>12.3.5 保护绿色植被</w:t>
      </w:r>
      <w:r>
        <w:rPr>
          <w:rFonts w:ascii="宋体" w:hAnsi="宋体"/>
        </w:rPr>
        <w:tab/>
      </w:r>
      <w:r>
        <w:rPr>
          <w:rFonts w:ascii="宋体" w:hAnsi="宋体"/>
        </w:rPr>
        <w:fldChar w:fldCharType="begin"/>
      </w:r>
      <w:r>
        <w:rPr>
          <w:rFonts w:ascii="宋体" w:hAnsi="宋体"/>
        </w:rPr>
        <w:instrText xml:space="preserve"> PAGEREF _Toc106883878 \h </w:instrText>
      </w:r>
      <w:r>
        <w:rPr>
          <w:rFonts w:ascii="宋体" w:hAnsi="宋体"/>
        </w:rPr>
        <w:fldChar w:fldCharType="separate"/>
      </w:r>
      <w:r>
        <w:rPr>
          <w:rFonts w:ascii="宋体" w:hAnsi="宋体"/>
        </w:rPr>
        <w:t>638</w:t>
      </w:r>
      <w:r>
        <w:rPr>
          <w:rFonts w:ascii="宋体" w:hAnsi="宋体"/>
        </w:rPr>
        <w:fldChar w:fldCharType="end"/>
      </w:r>
      <w:r>
        <w:rPr>
          <w:rFonts w:ascii="宋体" w:hAnsi="宋体"/>
        </w:rPr>
        <w:fldChar w:fldCharType="end"/>
      </w:r>
    </w:p>
    <w:p>
      <w:pPr>
        <w:pStyle w:val="38"/>
        <w:tabs>
          <w:tab w:val="right" w:leader="dot" w:pos="8494"/>
        </w:tabs>
        <w:rPr>
          <w:rFonts w:ascii="宋体" w:hAnsi="宋体" w:cstheme="minorBidi"/>
          <w:i w:val="0"/>
          <w:iCs w:val="0"/>
          <w:sz w:val="21"/>
          <w:szCs w:val="22"/>
        </w:rPr>
      </w:pPr>
      <w:r>
        <w:fldChar w:fldCharType="begin"/>
      </w:r>
      <w:r>
        <w:instrText xml:space="preserve"> HYPERLINK \l "_Toc106883879" </w:instrText>
      </w:r>
      <w:r>
        <w:fldChar w:fldCharType="separate"/>
      </w:r>
      <w:r>
        <w:rPr>
          <w:rStyle w:val="85"/>
          <w:rFonts w:ascii="宋体" w:hAnsi="宋体"/>
        </w:rPr>
        <w:t>12.3.6 土地资源的保护</w:t>
      </w:r>
      <w:r>
        <w:rPr>
          <w:rFonts w:ascii="宋体" w:hAnsi="宋体"/>
        </w:rPr>
        <w:tab/>
      </w:r>
      <w:r>
        <w:rPr>
          <w:rFonts w:ascii="宋体" w:hAnsi="宋体"/>
        </w:rPr>
        <w:fldChar w:fldCharType="begin"/>
      </w:r>
      <w:r>
        <w:rPr>
          <w:rFonts w:ascii="宋体" w:hAnsi="宋体"/>
        </w:rPr>
        <w:instrText xml:space="preserve"> PAGEREF _Toc106883879 \h </w:instrText>
      </w:r>
      <w:r>
        <w:rPr>
          <w:rFonts w:ascii="宋体" w:hAnsi="宋体"/>
        </w:rPr>
        <w:fldChar w:fldCharType="separate"/>
      </w:r>
      <w:r>
        <w:rPr>
          <w:rFonts w:ascii="宋体" w:hAnsi="宋体"/>
        </w:rPr>
        <w:t>638</w:t>
      </w:r>
      <w:r>
        <w:rPr>
          <w:rFonts w:ascii="宋体" w:hAnsi="宋体"/>
        </w:rPr>
        <w:fldChar w:fldCharType="end"/>
      </w:r>
      <w:r>
        <w:rPr>
          <w:rFonts w:ascii="宋体" w:hAnsi="宋体"/>
        </w:rPr>
        <w:fldChar w:fldCharType="end"/>
      </w:r>
    </w:p>
    <w:p>
      <w:pPr>
        <w:pStyle w:val="38"/>
        <w:tabs>
          <w:tab w:val="right" w:leader="dot" w:pos="8494"/>
        </w:tabs>
        <w:rPr>
          <w:rStyle w:val="85"/>
          <w:rFonts w:ascii="宋体" w:hAnsi="宋体"/>
        </w:rPr>
      </w:pPr>
      <w:r>
        <w:fldChar w:fldCharType="begin"/>
      </w:r>
      <w:r>
        <w:instrText xml:space="preserve"> HYPERLINK \l "_Toc106883880" </w:instrText>
      </w:r>
      <w:r>
        <w:fldChar w:fldCharType="separate"/>
      </w:r>
      <w:r>
        <w:rPr>
          <w:rStyle w:val="85"/>
          <w:rFonts w:ascii="宋体" w:hAnsi="宋体"/>
        </w:rPr>
        <w:t>12.3.7 现有公用设施的保护</w:t>
      </w:r>
      <w:r>
        <w:rPr>
          <w:rStyle w:val="85"/>
          <w:rFonts w:ascii="宋体" w:hAnsi="宋体"/>
        </w:rPr>
        <w:tab/>
      </w:r>
      <w:r>
        <w:rPr>
          <w:rStyle w:val="85"/>
          <w:rFonts w:ascii="宋体" w:hAnsi="宋体"/>
        </w:rPr>
        <w:fldChar w:fldCharType="begin"/>
      </w:r>
      <w:r>
        <w:rPr>
          <w:rStyle w:val="85"/>
          <w:rFonts w:ascii="宋体" w:hAnsi="宋体"/>
        </w:rPr>
        <w:instrText xml:space="preserve"> PAGEREF _Toc106883880 \h </w:instrText>
      </w:r>
      <w:r>
        <w:rPr>
          <w:rStyle w:val="85"/>
          <w:rFonts w:ascii="宋体" w:hAnsi="宋体"/>
        </w:rPr>
        <w:fldChar w:fldCharType="separate"/>
      </w:r>
      <w:r>
        <w:rPr>
          <w:rStyle w:val="85"/>
          <w:rFonts w:ascii="宋体" w:hAnsi="宋体"/>
        </w:rPr>
        <w:t>638</w:t>
      </w:r>
      <w:r>
        <w:rPr>
          <w:rStyle w:val="85"/>
          <w:rFonts w:ascii="宋体" w:hAnsi="宋体"/>
        </w:rPr>
        <w:fldChar w:fldCharType="end"/>
      </w:r>
      <w:r>
        <w:rPr>
          <w:rStyle w:val="85"/>
          <w:rFonts w:ascii="宋体" w:hAnsi="宋体"/>
        </w:rPr>
        <w:fldChar w:fldCharType="end"/>
      </w:r>
    </w:p>
    <w:p>
      <w:pPr>
        <w:pStyle w:val="64"/>
        <w:tabs>
          <w:tab w:val="right" w:leader="dot" w:pos="8494"/>
        </w:tabs>
        <w:rPr>
          <w:rStyle w:val="85"/>
          <w:rFonts w:ascii="宋体" w:hAnsi="宋体" w:cs="楷体"/>
        </w:rPr>
      </w:pPr>
      <w:r>
        <w:fldChar w:fldCharType="begin"/>
      </w:r>
      <w:r>
        <w:instrText xml:space="preserve"> HYPERLINK \l "_Toc106883881" </w:instrText>
      </w:r>
      <w:r>
        <w:fldChar w:fldCharType="separate"/>
      </w:r>
      <w:r>
        <w:rPr>
          <w:rStyle w:val="85"/>
          <w:rFonts w:ascii="宋体" w:hAnsi="宋体" w:cs="楷体"/>
        </w:rPr>
        <w:t>12.4 计量与支付</w:t>
      </w:r>
      <w:r>
        <w:rPr>
          <w:rStyle w:val="85"/>
          <w:rFonts w:ascii="宋体" w:hAnsi="宋体" w:cs="楷体"/>
        </w:rPr>
        <w:tab/>
      </w:r>
      <w:r>
        <w:rPr>
          <w:rStyle w:val="85"/>
          <w:rFonts w:ascii="宋体" w:hAnsi="宋体" w:cs="楷体"/>
        </w:rPr>
        <w:fldChar w:fldCharType="begin"/>
      </w:r>
      <w:r>
        <w:rPr>
          <w:rStyle w:val="85"/>
          <w:rFonts w:ascii="宋体" w:hAnsi="宋体" w:cs="楷体"/>
        </w:rPr>
        <w:instrText xml:space="preserve"> PAGEREF _Toc106883881 \h </w:instrText>
      </w:r>
      <w:r>
        <w:rPr>
          <w:rStyle w:val="85"/>
          <w:rFonts w:ascii="宋体" w:hAnsi="宋体" w:cs="楷体"/>
        </w:rPr>
        <w:fldChar w:fldCharType="separate"/>
      </w:r>
      <w:r>
        <w:rPr>
          <w:rStyle w:val="85"/>
          <w:rFonts w:ascii="宋体" w:hAnsi="宋体" w:cs="楷体"/>
        </w:rPr>
        <w:t>639</w:t>
      </w:r>
      <w:r>
        <w:rPr>
          <w:rStyle w:val="85"/>
          <w:rFonts w:ascii="宋体" w:hAnsi="宋体" w:cs="楷体"/>
        </w:rPr>
        <w:fldChar w:fldCharType="end"/>
      </w:r>
      <w:r>
        <w:rPr>
          <w:rStyle w:val="85"/>
          <w:rFonts w:ascii="宋体" w:hAnsi="宋体" w:cs="楷体"/>
        </w:rPr>
        <w:fldChar w:fldCharType="end"/>
      </w:r>
    </w:p>
    <w:p>
      <w:pPr>
        <w:adjustRightInd w:val="0"/>
        <w:snapToGrid w:val="0"/>
        <w:spacing w:before="81" w:beforeLines="20"/>
        <w:ind w:firstLine="500" w:firstLineChars="200"/>
        <w:rPr>
          <w:rFonts w:ascii="宋体" w:hAnsi="宋体"/>
        </w:rPr>
      </w:pPr>
      <w:r>
        <w:rPr>
          <w:rFonts w:ascii="宋体" w:hAnsi="宋体"/>
          <w:caps/>
        </w:rPr>
        <w:fldChar w:fldCharType="end"/>
      </w:r>
      <w:bookmarkEnd w:id="17"/>
    </w:p>
    <w:bookmarkEnd w:id="16"/>
    <w:p>
      <w:pPr>
        <w:rPr>
          <w:rFonts w:ascii="宋体" w:hAnsi="宋体"/>
          <w:b/>
          <w:sz w:val="32"/>
        </w:rPr>
        <w:sectPr>
          <w:pgSz w:w="11906" w:h="16838"/>
          <w:pgMar w:top="1701" w:right="1701" w:bottom="1701" w:left="1701" w:header="1134" w:footer="1134" w:gutter="0"/>
          <w:pgNumType w:fmt="lowerRoman" w:start="1"/>
          <w:cols w:space="425" w:num="1"/>
          <w:docGrid w:type="linesAndChars" w:linePitch="407" w:charSpace="2072"/>
        </w:sectPr>
      </w:pPr>
      <w:bookmarkStart w:id="18" w:name="_Toc328396117"/>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8"/>
    <w:p>
      <w:pPr>
        <w:pStyle w:val="1328"/>
        <w:rPr>
          <w:rFonts w:ascii="宋体" w:hAnsi="宋体"/>
        </w:rPr>
      </w:pPr>
      <w:bookmarkStart w:id="19" w:name="_Toc164501969"/>
      <w:bookmarkStart w:id="20" w:name="_Toc517382395"/>
      <w:bookmarkStart w:id="21" w:name="_Toc518376439"/>
      <w:bookmarkStart w:id="22" w:name="_Toc521491764"/>
      <w:bookmarkStart w:id="23" w:name="_Toc521492621"/>
      <w:bookmarkStart w:id="24" w:name="_Toc521493295"/>
      <w:bookmarkStart w:id="25" w:name="_Toc106882943"/>
      <w:r>
        <w:rPr>
          <w:rFonts w:ascii="宋体" w:hAnsi="宋体"/>
        </w:rPr>
        <w:t>1 一般要求</w:t>
      </w:r>
      <w:bookmarkEnd w:id="19"/>
      <w:bookmarkEnd w:id="20"/>
      <w:bookmarkEnd w:id="21"/>
      <w:bookmarkEnd w:id="22"/>
      <w:bookmarkEnd w:id="23"/>
      <w:bookmarkEnd w:id="24"/>
      <w:bookmarkEnd w:id="25"/>
      <w:bookmarkStart w:id="26" w:name="_Toc385012515"/>
      <w:bookmarkStart w:id="27" w:name="_Toc395412651"/>
      <w:bookmarkStart w:id="28" w:name="_Toc398083658"/>
      <w:bookmarkStart w:id="29" w:name="_Toc398450436"/>
      <w:bookmarkStart w:id="30" w:name="_Toc398450645"/>
      <w:bookmarkStart w:id="31" w:name="_Toc398453456"/>
      <w:bookmarkStart w:id="32" w:name="_Toc398523256"/>
      <w:bookmarkStart w:id="33" w:name="_Toc16242231"/>
      <w:bookmarkStart w:id="34" w:name="_Toc43107429"/>
      <w:bookmarkStart w:id="35" w:name="_Toc384758355"/>
      <w:bookmarkStart w:id="36" w:name="_Toc384758476"/>
      <w:bookmarkStart w:id="37" w:name="_Toc385007557"/>
      <w:bookmarkStart w:id="38" w:name="_Toc385008353"/>
    </w:p>
    <w:p>
      <w:pPr>
        <w:pStyle w:val="1281"/>
        <w:outlineLvl w:val="0"/>
        <w:rPr>
          <w:rFonts w:ascii="宋体" w:hAnsi="宋体"/>
          <w:color w:val="auto"/>
        </w:rPr>
      </w:pPr>
      <w:bookmarkStart w:id="39" w:name="_Toc164501970"/>
      <w:bookmarkStart w:id="40" w:name="_Toc517382396"/>
      <w:bookmarkStart w:id="41" w:name="_Toc518376440"/>
      <w:bookmarkStart w:id="42" w:name="_Toc521491765"/>
      <w:bookmarkStart w:id="43" w:name="_Toc521492622"/>
      <w:bookmarkStart w:id="44" w:name="_Toc521493296"/>
      <w:bookmarkStart w:id="45" w:name="_Toc106882944"/>
      <w:r>
        <w:rPr>
          <w:rFonts w:ascii="宋体" w:hAnsi="宋体"/>
          <w:color w:val="auto"/>
        </w:rPr>
        <w:t>1.1 合同</w:t>
      </w:r>
      <w:bookmarkEnd w:id="26"/>
      <w:bookmarkEnd w:id="27"/>
      <w:bookmarkEnd w:id="28"/>
      <w:bookmarkEnd w:id="29"/>
      <w:bookmarkEnd w:id="30"/>
      <w:bookmarkEnd w:id="31"/>
      <w:bookmarkEnd w:id="32"/>
      <w:bookmarkEnd w:id="33"/>
      <w:bookmarkEnd w:id="34"/>
      <w:bookmarkEnd w:id="35"/>
      <w:bookmarkEnd w:id="36"/>
      <w:bookmarkEnd w:id="37"/>
      <w:bookmarkEnd w:id="38"/>
      <w:bookmarkEnd w:id="39"/>
      <w:r>
        <w:rPr>
          <w:rFonts w:ascii="宋体" w:hAnsi="宋体"/>
          <w:color w:val="auto"/>
        </w:rPr>
        <w:t>中所提供服务的内容</w:t>
      </w:r>
      <w:bookmarkEnd w:id="40"/>
      <w:bookmarkEnd w:id="41"/>
      <w:bookmarkEnd w:id="42"/>
      <w:bookmarkEnd w:id="43"/>
      <w:bookmarkEnd w:id="44"/>
      <w:bookmarkEnd w:id="45"/>
    </w:p>
    <w:p>
      <w:pPr>
        <w:pStyle w:val="1280"/>
        <w:rPr>
          <w:rFonts w:ascii="宋体"/>
        </w:rPr>
      </w:pPr>
      <w:bookmarkStart w:id="46" w:name="_Toc384758151"/>
      <w:bookmarkStart w:id="47" w:name="_Toc384758356"/>
      <w:bookmarkStart w:id="48" w:name="_Toc384758477"/>
      <w:bookmarkStart w:id="49" w:name="_Toc385007558"/>
      <w:bookmarkStart w:id="50" w:name="_Toc385008354"/>
      <w:bookmarkStart w:id="51" w:name="_Toc385012516"/>
      <w:bookmarkStart w:id="52" w:name="_Toc395412652"/>
      <w:bookmarkStart w:id="53" w:name="_Toc398083659"/>
      <w:bookmarkStart w:id="54" w:name="_Toc398450646"/>
      <w:bookmarkStart w:id="55" w:name="_Toc398453457"/>
      <w:bookmarkStart w:id="56" w:name="_Toc398523257"/>
      <w:bookmarkStart w:id="57" w:name="_Toc16242232"/>
      <w:bookmarkStart w:id="58" w:name="_Toc43107430"/>
      <w:bookmarkStart w:id="59" w:name="_Toc164501971"/>
      <w:r>
        <w:rPr>
          <w:rFonts w:ascii="宋体"/>
        </w:rPr>
        <w:t>本规范是</w:t>
      </w:r>
      <w:r>
        <w:rPr>
          <w:rFonts w:hint="eastAsia" w:ascii="宋体"/>
        </w:rPr>
        <w:t>新开发银行贷款浙江省绿色城镇项目—嵊州城乡供排水一体化工程（二期）—富西水厂及配套管线工程施工、设备供货与安装调试</w:t>
      </w:r>
      <w:r>
        <w:rPr>
          <w:rFonts w:ascii="宋体"/>
        </w:rPr>
        <w:t>的业主对</w:t>
      </w:r>
      <w:r>
        <w:rPr>
          <w:rFonts w:hint="eastAsia" w:ascii="宋体"/>
        </w:rPr>
        <w:t>SZ-CW-3</w:t>
      </w:r>
      <w:r>
        <w:rPr>
          <w:rFonts w:ascii="宋体"/>
        </w:rPr>
        <w:t>合同包建造、试验及交付使用</w:t>
      </w:r>
      <w:r>
        <w:rPr>
          <w:rFonts w:hint="eastAsia" w:ascii="宋体"/>
        </w:rPr>
        <w:t>的</w:t>
      </w:r>
      <w:r>
        <w:rPr>
          <w:rFonts w:ascii="宋体"/>
        </w:rPr>
        <w:t>承包商在全面执行项目合同时提出的技术规范，规定了承包商在承包实施过程中应承担的责任和享有的义务，同时阐述了业主在合同实施中所提供服务的内容。</w:t>
      </w:r>
    </w:p>
    <w:p>
      <w:pPr>
        <w:pStyle w:val="1280"/>
        <w:rPr>
          <w:rFonts w:ascii="宋体"/>
        </w:rPr>
      </w:pPr>
      <w:r>
        <w:rPr>
          <w:rFonts w:ascii="宋体"/>
        </w:rPr>
        <w:t>承包商应提供工程实施过程中所需的全部劳动力、材料、施工设备、工程设备和其它服务，按照规定的工作程序来完成本合同项下所有工程的建设。包括但不限于，进场和退场、施工准备及各项临时工程、材料供货、运输、装卸和存放、场地清理、图纸中标注和未标注的本合同描述的所有工程项目的的建设，以及竣工验收、移交、缺陷修复等建设全过程。所有工程应符合本技术规范要求，并达到项目监理满意的标准。</w:t>
      </w:r>
    </w:p>
    <w:p>
      <w:pPr>
        <w:pStyle w:val="1281"/>
        <w:outlineLvl w:val="0"/>
        <w:rPr>
          <w:rFonts w:ascii="宋体" w:hAnsi="宋体"/>
          <w:color w:val="auto"/>
        </w:rPr>
      </w:pPr>
      <w:bookmarkStart w:id="60" w:name="_Toc521491766"/>
      <w:bookmarkStart w:id="61" w:name="_Toc521492623"/>
      <w:bookmarkStart w:id="62" w:name="_Toc521493297"/>
      <w:bookmarkStart w:id="63" w:name="_Toc517382397"/>
      <w:bookmarkStart w:id="64" w:name="_Toc518376441"/>
      <w:bookmarkStart w:id="65" w:name="_Toc106882945"/>
      <w:r>
        <w:rPr>
          <w:rFonts w:ascii="宋体" w:hAnsi="宋体"/>
          <w:color w:val="auto"/>
        </w:rPr>
        <w:t>1.2 项目合同描述</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1280"/>
        <w:rPr>
          <w:rFonts w:ascii="宋体"/>
        </w:rPr>
      </w:pPr>
      <w:bookmarkStart w:id="66" w:name="_Toc164501973"/>
      <w:bookmarkStart w:id="67" w:name="_Toc517382398"/>
      <w:r>
        <w:rPr>
          <w:rFonts w:hint="eastAsia" w:ascii="宋体"/>
        </w:rPr>
        <w:t>新开发银行贷款浙江省绿色城镇项目—嵊州城乡供排水一体化工程（二期）—富西水厂及配套管线工程施工、设备供货与安装调试包括</w:t>
      </w:r>
      <w:r>
        <w:rPr>
          <w:rFonts w:hint="eastAsia" w:ascii="宋体"/>
          <w:bCs/>
        </w:rPr>
        <w:t>：水厂全部土建及设备的供货、安装、调试、试运行、培训，以及验收和交接等工程内容。水厂</w:t>
      </w:r>
      <w:r>
        <w:rPr>
          <w:rFonts w:ascii="宋体"/>
          <w:bCs/>
        </w:rPr>
        <w:t>工程</w:t>
      </w:r>
      <w:r>
        <w:rPr>
          <w:rFonts w:hint="eastAsia" w:ascii="宋体"/>
          <w:bCs/>
        </w:rPr>
        <w:t>包括，但不限于水厂内的全部</w:t>
      </w:r>
      <w:r>
        <w:rPr>
          <w:rFonts w:ascii="宋体"/>
          <w:bCs/>
        </w:rPr>
        <w:t>工艺、电气、</w:t>
      </w:r>
      <w:r>
        <w:rPr>
          <w:rFonts w:hint="eastAsia" w:ascii="宋体"/>
          <w:bCs/>
        </w:rPr>
        <w:t>仪器</w:t>
      </w:r>
      <w:r>
        <w:rPr>
          <w:rFonts w:ascii="宋体"/>
          <w:bCs/>
        </w:rPr>
        <w:t>仪表自控设备</w:t>
      </w:r>
      <w:r>
        <w:rPr>
          <w:rFonts w:hint="eastAsia" w:ascii="宋体"/>
          <w:bCs/>
        </w:rPr>
        <w:t>以及</w:t>
      </w:r>
      <w:r>
        <w:rPr>
          <w:rFonts w:ascii="宋体"/>
          <w:bCs/>
        </w:rPr>
        <w:t>其他附属工程。</w:t>
      </w:r>
    </w:p>
    <w:p>
      <w:pPr>
        <w:pStyle w:val="1281"/>
        <w:outlineLvl w:val="0"/>
        <w:rPr>
          <w:rFonts w:ascii="宋体" w:hAnsi="宋体"/>
          <w:color w:val="auto"/>
        </w:rPr>
      </w:pPr>
      <w:bookmarkStart w:id="68" w:name="_Toc521491767"/>
      <w:bookmarkStart w:id="69" w:name="_Toc521492624"/>
      <w:bookmarkStart w:id="70" w:name="_Toc521493298"/>
      <w:bookmarkStart w:id="71" w:name="_Toc106882946"/>
      <w:r>
        <w:rPr>
          <w:rFonts w:ascii="宋体" w:hAnsi="宋体"/>
          <w:color w:val="auto"/>
        </w:rPr>
        <w:t>1.3 现场</w:t>
      </w:r>
      <w:bookmarkEnd w:id="66"/>
      <w:bookmarkEnd w:id="67"/>
      <w:bookmarkEnd w:id="68"/>
      <w:bookmarkEnd w:id="69"/>
      <w:bookmarkEnd w:id="70"/>
      <w:bookmarkEnd w:id="71"/>
    </w:p>
    <w:p>
      <w:pPr>
        <w:pStyle w:val="1280"/>
        <w:rPr>
          <w:rFonts w:ascii="宋体"/>
        </w:rPr>
      </w:pPr>
      <w:r>
        <w:rPr>
          <w:rFonts w:ascii="宋体"/>
        </w:rPr>
        <w:t>本项目的施工现场范围见本合同一般合同条款第1.1（29）条的定义。承包商不可将施工现场用于本合同以外的目的。</w:t>
      </w:r>
    </w:p>
    <w:p>
      <w:pPr>
        <w:pStyle w:val="1280"/>
        <w:rPr>
          <w:rFonts w:ascii="宋体"/>
        </w:rPr>
      </w:pPr>
      <w:r>
        <w:rPr>
          <w:rFonts w:ascii="宋体"/>
        </w:rPr>
        <w:t>本合同下施工现场临时设施的位置由承包商根据设计确定的建筑物自行考虑。</w:t>
      </w:r>
    </w:p>
    <w:p>
      <w:pPr>
        <w:pStyle w:val="1280"/>
        <w:rPr>
          <w:rFonts w:ascii="宋体"/>
        </w:rPr>
      </w:pPr>
      <w:r>
        <w:rPr>
          <w:rFonts w:ascii="宋体"/>
        </w:rPr>
        <w:t>在施工准备工作开始前，承包商应向项目监理和业主提交一份工地布局详图以供审批。在该图上应清楚地标明构筑物、材料储放场和现场道路的位置。</w:t>
      </w:r>
    </w:p>
    <w:p>
      <w:pPr>
        <w:pStyle w:val="1280"/>
        <w:rPr>
          <w:rFonts w:ascii="宋体"/>
        </w:rPr>
      </w:pPr>
      <w:r>
        <w:rPr>
          <w:rFonts w:ascii="宋体"/>
        </w:rPr>
        <w:t>未经项目监理和业主批准，承包商不得使用任何其它公共或私人场所来存放机械或材料。承包商在进行施工和材料储放时应遵守交通管理部门的所有有关规则，并应使受工程影响的街道保持清洁。任何由于施工污染而导致的罚款应由承包商承担。</w:t>
      </w:r>
    </w:p>
    <w:p>
      <w:pPr>
        <w:pStyle w:val="1280"/>
        <w:rPr>
          <w:rFonts w:ascii="宋体"/>
        </w:rPr>
      </w:pPr>
      <w:r>
        <w:rPr>
          <w:rFonts w:ascii="宋体"/>
        </w:rPr>
        <w:t>基于承包商制定的施工计划和进度，施工现场的各个部分将根据施工实际进度对承包商开放。如果承包商要求超前获得施工现场的某些部分，只有在没有外在因素来阻止批准该土地占用申请时，业主才有可能批准承包商的用地申请。在上述情况下承包商将不会得到额外的支付。</w:t>
      </w:r>
    </w:p>
    <w:p>
      <w:pPr>
        <w:pStyle w:val="1280"/>
        <w:rPr>
          <w:rFonts w:ascii="宋体"/>
        </w:rPr>
      </w:pPr>
      <w:r>
        <w:rPr>
          <w:rFonts w:ascii="宋体"/>
        </w:rPr>
        <w:t>除非本合同特别规定或项目监理发出了书面通知，承包商在施工的全过程中只能在施工图纸所指定的场地上，且在施工现场边界内进行施工活动。</w:t>
      </w:r>
    </w:p>
    <w:p>
      <w:pPr>
        <w:pStyle w:val="1280"/>
        <w:rPr>
          <w:rFonts w:ascii="宋体"/>
        </w:rPr>
      </w:pPr>
      <w:r>
        <w:rPr>
          <w:rFonts w:ascii="宋体"/>
        </w:rPr>
        <w:t>承包商使用施工现场边界内的土地应遵循本章有关条款的要求。在施工现场边界外开展的工程同样也应受上述条款的约束，并应受本技术规范有关条款的约束。</w:t>
      </w:r>
    </w:p>
    <w:p>
      <w:pPr>
        <w:pStyle w:val="1281"/>
        <w:outlineLvl w:val="0"/>
        <w:rPr>
          <w:rFonts w:ascii="宋体" w:hAnsi="宋体"/>
          <w:color w:val="auto"/>
        </w:rPr>
      </w:pPr>
      <w:bookmarkStart w:id="72" w:name="_Toc164501975"/>
      <w:bookmarkStart w:id="73" w:name="_Toc517382399"/>
      <w:bookmarkStart w:id="74" w:name="_Toc518376446"/>
      <w:bookmarkStart w:id="75" w:name="_Toc521491768"/>
      <w:bookmarkStart w:id="76" w:name="_Toc521492625"/>
      <w:bookmarkStart w:id="77" w:name="_Toc521493299"/>
      <w:bookmarkStart w:id="78" w:name="_Toc106882947"/>
      <w:r>
        <w:rPr>
          <w:rFonts w:ascii="宋体" w:hAnsi="宋体"/>
          <w:color w:val="auto"/>
        </w:rPr>
        <w:t>1.4 标准和定义</w:t>
      </w:r>
      <w:bookmarkEnd w:id="72"/>
      <w:bookmarkEnd w:id="73"/>
      <w:bookmarkEnd w:id="74"/>
      <w:bookmarkEnd w:id="75"/>
      <w:bookmarkEnd w:id="76"/>
      <w:bookmarkEnd w:id="77"/>
      <w:bookmarkEnd w:id="78"/>
    </w:p>
    <w:p>
      <w:pPr>
        <w:pStyle w:val="1284"/>
        <w:outlineLvl w:val="0"/>
        <w:rPr>
          <w:rFonts w:ascii="宋体" w:hAnsi="宋体"/>
        </w:rPr>
      </w:pPr>
      <w:bookmarkStart w:id="79" w:name="_Toc164501976"/>
      <w:bookmarkStart w:id="80" w:name="_Toc517382400"/>
      <w:bookmarkStart w:id="81" w:name="_Toc518376447"/>
      <w:bookmarkStart w:id="82" w:name="_Toc521491769"/>
      <w:bookmarkStart w:id="83" w:name="_Toc521492626"/>
      <w:bookmarkStart w:id="84" w:name="_Toc521493300"/>
      <w:bookmarkStart w:id="85" w:name="_Toc106882948"/>
      <w:r>
        <w:rPr>
          <w:rFonts w:ascii="宋体" w:hAnsi="宋体"/>
        </w:rPr>
        <w:t>1.4.1 标准缩写</w:t>
      </w:r>
      <w:bookmarkEnd w:id="79"/>
      <w:bookmarkEnd w:id="80"/>
      <w:bookmarkEnd w:id="81"/>
      <w:bookmarkEnd w:id="82"/>
      <w:bookmarkEnd w:id="83"/>
      <w:bookmarkEnd w:id="84"/>
      <w:bookmarkEnd w:id="85"/>
    </w:p>
    <w:p>
      <w:pPr>
        <w:pStyle w:val="1280"/>
        <w:rPr>
          <w:rFonts w:ascii="宋体"/>
        </w:rPr>
      </w:pPr>
      <w:r>
        <w:rPr>
          <w:rFonts w:ascii="宋体"/>
        </w:rPr>
        <w:t>在使用下列缩写的地方，它们代表由指定机构发布的标准和规则：</w:t>
      </w:r>
    </w:p>
    <w:p>
      <w:pPr>
        <w:pStyle w:val="1280"/>
        <w:rPr>
          <w:rFonts w:ascii="宋体"/>
        </w:rPr>
      </w:pPr>
      <w:r>
        <w:rPr>
          <w:rFonts w:ascii="宋体"/>
        </w:rPr>
        <w:t>ISO</w:t>
      </w:r>
      <w:r>
        <w:rPr>
          <w:rFonts w:ascii="宋体"/>
        </w:rPr>
        <w:tab/>
      </w:r>
      <w:r>
        <w:rPr>
          <w:rFonts w:ascii="宋体"/>
        </w:rPr>
        <w:t xml:space="preserve">    国际标准化组织</w:t>
      </w:r>
    </w:p>
    <w:p>
      <w:pPr>
        <w:pStyle w:val="1280"/>
        <w:rPr>
          <w:rFonts w:ascii="宋体"/>
        </w:rPr>
      </w:pPr>
      <w:r>
        <w:rPr>
          <w:rFonts w:ascii="宋体"/>
        </w:rPr>
        <w:t>JC</w:t>
      </w:r>
      <w:r>
        <w:rPr>
          <w:rFonts w:ascii="宋体"/>
        </w:rPr>
        <w:tab/>
      </w:r>
      <w:r>
        <w:rPr>
          <w:rFonts w:ascii="宋体"/>
        </w:rPr>
        <w:tab/>
      </w:r>
      <w:r>
        <w:rPr>
          <w:rFonts w:ascii="宋体"/>
        </w:rPr>
        <w:t>中国建材局标准</w:t>
      </w:r>
    </w:p>
    <w:p>
      <w:pPr>
        <w:pStyle w:val="1280"/>
        <w:rPr>
          <w:rFonts w:ascii="宋体"/>
        </w:rPr>
      </w:pPr>
      <w:r>
        <w:rPr>
          <w:rFonts w:ascii="宋体"/>
        </w:rPr>
        <w:t>GB/GBJ</w:t>
      </w:r>
      <w:r>
        <w:rPr>
          <w:rFonts w:ascii="宋体"/>
        </w:rPr>
        <w:tab/>
      </w:r>
      <w:r>
        <w:rPr>
          <w:rFonts w:ascii="宋体"/>
        </w:rPr>
        <w:tab/>
      </w:r>
      <w:r>
        <w:rPr>
          <w:rFonts w:ascii="宋体"/>
        </w:rPr>
        <w:t>中华人民共和国标准</w:t>
      </w:r>
    </w:p>
    <w:p>
      <w:pPr>
        <w:pStyle w:val="1280"/>
        <w:rPr>
          <w:rFonts w:ascii="宋体"/>
        </w:rPr>
      </w:pPr>
      <w:r>
        <w:rPr>
          <w:rFonts w:ascii="宋体"/>
        </w:rPr>
        <w:t>CJJ</w:t>
      </w:r>
      <w:r>
        <w:rPr>
          <w:rFonts w:ascii="宋体"/>
        </w:rPr>
        <w:tab/>
      </w:r>
      <w:r>
        <w:rPr>
          <w:rFonts w:ascii="宋体"/>
        </w:rPr>
        <w:tab/>
      </w:r>
      <w:r>
        <w:rPr>
          <w:rFonts w:ascii="宋体"/>
        </w:rPr>
        <w:t>中华人民共和国建设部标准</w:t>
      </w:r>
    </w:p>
    <w:p>
      <w:pPr>
        <w:pStyle w:val="1280"/>
        <w:rPr>
          <w:rFonts w:ascii="宋体"/>
        </w:rPr>
      </w:pPr>
      <w:r>
        <w:rPr>
          <w:rFonts w:ascii="宋体"/>
        </w:rPr>
        <w:t>SI</w:t>
      </w:r>
      <w:r>
        <w:rPr>
          <w:rFonts w:ascii="宋体"/>
        </w:rPr>
        <w:tab/>
      </w:r>
      <w:r>
        <w:rPr>
          <w:rFonts w:ascii="宋体"/>
        </w:rPr>
        <w:tab/>
      </w:r>
      <w:r>
        <w:rPr>
          <w:rFonts w:ascii="宋体"/>
        </w:rPr>
        <w:t>国际制单位</w:t>
      </w:r>
    </w:p>
    <w:p>
      <w:pPr>
        <w:pStyle w:val="1280"/>
        <w:rPr>
          <w:rFonts w:ascii="宋体"/>
        </w:rPr>
      </w:pPr>
      <w:r>
        <w:rPr>
          <w:rFonts w:ascii="宋体"/>
        </w:rPr>
        <w:t>SY</w:t>
      </w:r>
      <w:r>
        <w:rPr>
          <w:rFonts w:ascii="宋体"/>
        </w:rPr>
        <w:tab/>
      </w:r>
      <w:r>
        <w:rPr>
          <w:rFonts w:ascii="宋体"/>
        </w:rPr>
        <w:tab/>
      </w:r>
      <w:r>
        <w:rPr>
          <w:rFonts w:ascii="宋体"/>
        </w:rPr>
        <w:t>中华人民共和国石油部标准</w:t>
      </w:r>
    </w:p>
    <w:p>
      <w:pPr>
        <w:pStyle w:val="1280"/>
        <w:rPr>
          <w:rFonts w:ascii="宋体"/>
        </w:rPr>
      </w:pPr>
      <w:r>
        <w:rPr>
          <w:rFonts w:ascii="宋体"/>
        </w:rPr>
        <w:t>JGJ</w:t>
      </w:r>
      <w:r>
        <w:rPr>
          <w:rFonts w:ascii="宋体"/>
        </w:rPr>
        <w:tab/>
      </w:r>
      <w:r>
        <w:rPr>
          <w:rFonts w:ascii="宋体"/>
        </w:rPr>
        <w:tab/>
      </w:r>
      <w:r>
        <w:rPr>
          <w:rFonts w:ascii="宋体"/>
        </w:rPr>
        <w:t>中华人民共和国建设部标准</w:t>
      </w:r>
    </w:p>
    <w:p>
      <w:pPr>
        <w:pStyle w:val="1280"/>
        <w:rPr>
          <w:rFonts w:ascii="宋体"/>
        </w:rPr>
      </w:pPr>
      <w:r>
        <w:rPr>
          <w:rFonts w:ascii="宋体"/>
        </w:rPr>
        <w:t>CB</w:t>
      </w:r>
      <w:r>
        <w:rPr>
          <w:rFonts w:ascii="宋体"/>
        </w:rPr>
        <w:tab/>
      </w:r>
      <w:r>
        <w:rPr>
          <w:rFonts w:ascii="宋体"/>
        </w:rPr>
        <w:tab/>
      </w:r>
      <w:r>
        <w:rPr>
          <w:rFonts w:ascii="宋体"/>
        </w:rPr>
        <w:t>中华人民共和国船运业标准</w:t>
      </w:r>
    </w:p>
    <w:p>
      <w:pPr>
        <w:pStyle w:val="1280"/>
        <w:rPr>
          <w:rFonts w:ascii="宋体"/>
        </w:rPr>
      </w:pPr>
      <w:r>
        <w:rPr>
          <w:rFonts w:ascii="宋体"/>
        </w:rPr>
        <w:t>TBJ</w:t>
      </w:r>
      <w:r>
        <w:rPr>
          <w:rFonts w:ascii="宋体"/>
        </w:rPr>
        <w:tab/>
      </w:r>
      <w:r>
        <w:rPr>
          <w:rFonts w:ascii="宋体"/>
        </w:rPr>
        <w:tab/>
      </w:r>
      <w:r>
        <w:rPr>
          <w:rFonts w:ascii="宋体"/>
        </w:rPr>
        <w:t>中华人民共和国铁道部标准</w:t>
      </w:r>
    </w:p>
    <w:p>
      <w:pPr>
        <w:pStyle w:val="1280"/>
        <w:rPr>
          <w:rFonts w:ascii="宋体"/>
        </w:rPr>
      </w:pPr>
      <w:r>
        <w:rPr>
          <w:rFonts w:ascii="宋体"/>
        </w:rPr>
        <w:t>TJ</w:t>
      </w:r>
      <w:r>
        <w:rPr>
          <w:rFonts w:ascii="宋体"/>
        </w:rPr>
        <w:tab/>
      </w:r>
      <w:r>
        <w:rPr>
          <w:rFonts w:ascii="宋体"/>
        </w:rPr>
        <w:tab/>
      </w:r>
      <w:r>
        <w:rPr>
          <w:rFonts w:ascii="宋体"/>
        </w:rPr>
        <w:t>中国国家建设部标准</w:t>
      </w:r>
    </w:p>
    <w:p>
      <w:pPr>
        <w:pStyle w:val="1280"/>
        <w:rPr>
          <w:rFonts w:ascii="宋体"/>
        </w:rPr>
      </w:pPr>
      <w:r>
        <w:rPr>
          <w:rFonts w:ascii="宋体"/>
        </w:rPr>
        <w:t>YB</w:t>
      </w:r>
      <w:r>
        <w:rPr>
          <w:rFonts w:ascii="宋体"/>
        </w:rPr>
        <w:tab/>
      </w:r>
      <w:r>
        <w:rPr>
          <w:rFonts w:ascii="宋体"/>
        </w:rPr>
        <w:tab/>
      </w:r>
      <w:r>
        <w:rPr>
          <w:rFonts w:ascii="宋体"/>
        </w:rPr>
        <w:t>中华人民共和国冶金部标准</w:t>
      </w:r>
    </w:p>
    <w:p>
      <w:pPr>
        <w:pStyle w:val="1280"/>
        <w:rPr>
          <w:rFonts w:ascii="宋体"/>
        </w:rPr>
      </w:pPr>
      <w:r>
        <w:rPr>
          <w:rFonts w:ascii="宋体"/>
        </w:rPr>
        <w:t>JTJ     中华人民共和国交通部标准</w:t>
      </w:r>
    </w:p>
    <w:p>
      <w:pPr>
        <w:pStyle w:val="1280"/>
        <w:rPr>
          <w:rFonts w:ascii="宋体"/>
        </w:rPr>
      </w:pPr>
      <w:r>
        <w:rPr>
          <w:rFonts w:ascii="宋体"/>
        </w:rPr>
        <w:t>SL      中华人民共和国水利部标准</w:t>
      </w:r>
    </w:p>
    <w:p>
      <w:pPr>
        <w:pStyle w:val="1280"/>
        <w:rPr>
          <w:rFonts w:ascii="宋体"/>
        </w:rPr>
      </w:pPr>
      <w:r>
        <w:rPr>
          <w:rFonts w:ascii="宋体"/>
        </w:rPr>
        <w:t>DL      中华人民共和国电力行业标准</w:t>
      </w:r>
    </w:p>
    <w:p>
      <w:pPr>
        <w:pStyle w:val="1284"/>
        <w:outlineLvl w:val="0"/>
        <w:rPr>
          <w:rFonts w:ascii="宋体" w:hAnsi="宋体"/>
        </w:rPr>
      </w:pPr>
      <w:bookmarkStart w:id="86" w:name="_Toc164501977"/>
      <w:bookmarkStart w:id="87" w:name="_Toc517382401"/>
      <w:bookmarkStart w:id="88" w:name="_Toc518376448"/>
      <w:bookmarkStart w:id="89" w:name="_Toc521491770"/>
      <w:bookmarkStart w:id="90" w:name="_Toc521492627"/>
      <w:bookmarkStart w:id="91" w:name="_Toc521493301"/>
      <w:bookmarkStart w:id="92" w:name="_Toc106882949"/>
      <w:r>
        <w:rPr>
          <w:rFonts w:ascii="宋体" w:hAnsi="宋体"/>
        </w:rPr>
        <w:t>1.4.2 使用标准</w:t>
      </w:r>
      <w:bookmarkEnd w:id="86"/>
      <w:bookmarkEnd w:id="87"/>
      <w:bookmarkEnd w:id="88"/>
      <w:bookmarkEnd w:id="89"/>
      <w:bookmarkEnd w:id="90"/>
      <w:bookmarkEnd w:id="91"/>
      <w:bookmarkEnd w:id="92"/>
    </w:p>
    <w:p>
      <w:pPr>
        <w:pStyle w:val="1280"/>
        <w:rPr>
          <w:rFonts w:ascii="宋体"/>
        </w:rPr>
      </w:pPr>
      <w:r>
        <w:rPr>
          <w:rFonts w:ascii="宋体"/>
        </w:rPr>
        <w:t>在标准规定和合同文件之间有明显冲突的地方，以合同文件为准。</w:t>
      </w:r>
    </w:p>
    <w:p>
      <w:pPr>
        <w:pStyle w:val="1280"/>
        <w:rPr>
          <w:rFonts w:ascii="宋体"/>
          <w:kern w:val="2"/>
        </w:rPr>
      </w:pPr>
      <w:r>
        <w:rPr>
          <w:rFonts w:ascii="宋体"/>
          <w:kern w:val="2"/>
        </w:rPr>
        <w:t>在标准规定和合同文件的任何条款之间有语义模糊的地方，项目监理须立即对合同的意图作出解释。</w:t>
      </w:r>
    </w:p>
    <w:p>
      <w:pPr>
        <w:pStyle w:val="1280"/>
        <w:rPr>
          <w:rFonts w:ascii="宋体"/>
          <w:kern w:val="2"/>
        </w:rPr>
      </w:pPr>
      <w:r>
        <w:rPr>
          <w:rFonts w:ascii="宋体"/>
        </w:rPr>
        <w:t>所有本合同规定的工程必须遵循这些技术规范的相关章节中有关施工的质量标准、测试步骤和技术规范，这些标准被定义为“可适用标准”。承包商必须熟悉这些标准，除非另有规定，应该使用中华人民共和国标准。</w:t>
      </w:r>
    </w:p>
    <w:p>
      <w:pPr>
        <w:pStyle w:val="1284"/>
        <w:outlineLvl w:val="0"/>
        <w:rPr>
          <w:rFonts w:ascii="宋体" w:hAnsi="宋体"/>
        </w:rPr>
      </w:pPr>
      <w:bookmarkStart w:id="93" w:name="_Toc164501978"/>
      <w:bookmarkStart w:id="94" w:name="_Toc517382402"/>
      <w:bookmarkStart w:id="95" w:name="_Toc518376449"/>
      <w:bookmarkStart w:id="96" w:name="_Toc521491771"/>
      <w:bookmarkStart w:id="97" w:name="_Toc521492628"/>
      <w:bookmarkStart w:id="98" w:name="_Toc521493302"/>
      <w:bookmarkStart w:id="99" w:name="_Toc106882950"/>
      <w:r>
        <w:rPr>
          <w:rFonts w:ascii="宋体" w:hAnsi="宋体"/>
        </w:rPr>
        <w:t>1.4.3 替代标准</w:t>
      </w:r>
      <w:bookmarkEnd w:id="93"/>
      <w:bookmarkEnd w:id="94"/>
      <w:bookmarkEnd w:id="95"/>
      <w:bookmarkEnd w:id="96"/>
      <w:bookmarkEnd w:id="97"/>
      <w:bookmarkEnd w:id="98"/>
      <w:bookmarkEnd w:id="99"/>
    </w:p>
    <w:p>
      <w:pPr>
        <w:pStyle w:val="1280"/>
        <w:rPr>
          <w:rFonts w:ascii="宋体"/>
        </w:rPr>
      </w:pPr>
      <w:r>
        <w:rPr>
          <w:rFonts w:ascii="宋体"/>
        </w:rPr>
        <w:t>承包商可以建议使用其它相似的正式的和国际通用标准，只要这类标准不低于技术规范中相关适用标准。承包商须给项目监理和业主提供适当的证据以证明替代标准是适合的，并且给项目监理提供承包商在以前的类似工程施工中成功运用此类标准的证明。替代标准只有经项目监理和业主书面同意以后才能被认为是适用于本合同的。承包商必须在他希望项目监理和业主批准的日期之前至少二十八天就提出使用替代标准的建议。</w:t>
      </w:r>
    </w:p>
    <w:p>
      <w:pPr>
        <w:pStyle w:val="1284"/>
        <w:outlineLvl w:val="0"/>
        <w:rPr>
          <w:rFonts w:ascii="宋体" w:hAnsi="宋体"/>
        </w:rPr>
      </w:pPr>
      <w:bookmarkStart w:id="100" w:name="_Toc518376450"/>
      <w:bookmarkStart w:id="101" w:name="_Toc521491772"/>
      <w:bookmarkStart w:id="102" w:name="_Toc521492629"/>
      <w:bookmarkStart w:id="103" w:name="_Toc521493303"/>
      <w:bookmarkStart w:id="104" w:name="_Toc164501979"/>
      <w:bookmarkStart w:id="105" w:name="_Toc517382403"/>
      <w:bookmarkStart w:id="106" w:name="_Toc106882951"/>
      <w:r>
        <w:rPr>
          <w:rFonts w:ascii="宋体" w:hAnsi="宋体"/>
        </w:rPr>
        <w:t>1.4.4 可适用的版本</w:t>
      </w:r>
      <w:bookmarkEnd w:id="100"/>
      <w:bookmarkEnd w:id="101"/>
      <w:bookmarkEnd w:id="102"/>
      <w:bookmarkEnd w:id="103"/>
      <w:bookmarkEnd w:id="104"/>
      <w:bookmarkEnd w:id="105"/>
      <w:bookmarkEnd w:id="106"/>
    </w:p>
    <w:p>
      <w:pPr>
        <w:pStyle w:val="1280"/>
        <w:rPr>
          <w:rFonts w:ascii="宋体"/>
        </w:rPr>
      </w:pPr>
      <w:r>
        <w:rPr>
          <w:rFonts w:ascii="宋体"/>
        </w:rPr>
        <w:t>除非在技术规范和图纸中另有说明，可适用标准的版本必须是在合同招标截止日期28天前由中华人民共和国有关授权单位出版发行的最后版本。</w:t>
      </w:r>
      <w:bookmarkStart w:id="107" w:name="_Toc164501980"/>
      <w:bookmarkStart w:id="108" w:name="_Toc384758359"/>
      <w:bookmarkStart w:id="109" w:name="_Toc384758480"/>
      <w:bookmarkStart w:id="110" w:name="_Toc385007561"/>
      <w:bookmarkStart w:id="111" w:name="_Toc385008357"/>
      <w:bookmarkStart w:id="112" w:name="_Toc385012519"/>
      <w:bookmarkStart w:id="113" w:name="_Toc395412655"/>
      <w:bookmarkStart w:id="114" w:name="_Toc398083662"/>
      <w:bookmarkStart w:id="115" w:name="_Toc398450649"/>
      <w:bookmarkStart w:id="116" w:name="_Toc398453460"/>
      <w:bookmarkStart w:id="117" w:name="_Toc398523260"/>
      <w:bookmarkStart w:id="118" w:name="_Toc16242235"/>
      <w:bookmarkStart w:id="119" w:name="_Toc43107433"/>
      <w:bookmarkStart w:id="120" w:name="_Toc384758154"/>
    </w:p>
    <w:p>
      <w:pPr>
        <w:pStyle w:val="1281"/>
        <w:outlineLvl w:val="0"/>
        <w:rPr>
          <w:rFonts w:ascii="宋体" w:hAnsi="宋体"/>
          <w:color w:val="auto"/>
        </w:rPr>
      </w:pPr>
      <w:bookmarkStart w:id="121" w:name="_Toc517382404"/>
      <w:bookmarkStart w:id="122" w:name="_Toc518376451"/>
      <w:bookmarkStart w:id="123" w:name="_Toc521491773"/>
      <w:bookmarkStart w:id="124" w:name="_Toc521492630"/>
      <w:bookmarkStart w:id="125" w:name="_Toc521493304"/>
      <w:bookmarkStart w:id="126" w:name="_Toc106882952"/>
      <w:r>
        <w:rPr>
          <w:rFonts w:ascii="宋体" w:hAnsi="宋体"/>
          <w:color w:val="auto"/>
        </w:rPr>
        <w:t>1.5 地点和自然条件</w:t>
      </w:r>
      <w:bookmarkEnd w:id="107"/>
      <w:bookmarkEnd w:id="121"/>
      <w:bookmarkEnd w:id="122"/>
      <w:bookmarkEnd w:id="123"/>
      <w:bookmarkEnd w:id="124"/>
      <w:bookmarkEnd w:id="125"/>
      <w:bookmarkEnd w:id="126"/>
    </w:p>
    <w:p>
      <w:pPr>
        <w:pStyle w:val="1284"/>
        <w:outlineLvl w:val="0"/>
        <w:rPr>
          <w:rFonts w:ascii="宋体" w:hAnsi="宋体"/>
        </w:rPr>
      </w:pPr>
      <w:bookmarkStart w:id="127" w:name="_Toc164501981"/>
      <w:bookmarkStart w:id="128" w:name="_Toc517382405"/>
      <w:bookmarkStart w:id="129" w:name="_Toc518376452"/>
      <w:bookmarkStart w:id="130" w:name="_Toc521491774"/>
      <w:bookmarkStart w:id="131" w:name="_Toc521492631"/>
      <w:bookmarkStart w:id="132" w:name="_Toc521493305"/>
      <w:bookmarkStart w:id="133" w:name="_Toc106882953"/>
      <w:r>
        <w:rPr>
          <w:rFonts w:ascii="宋体" w:hAnsi="宋体"/>
        </w:rPr>
        <w:t>1.5.1 地点</w:t>
      </w:r>
      <w:bookmarkEnd w:id="127"/>
      <w:bookmarkEnd w:id="128"/>
      <w:bookmarkEnd w:id="129"/>
      <w:bookmarkEnd w:id="130"/>
      <w:bookmarkEnd w:id="131"/>
      <w:bookmarkEnd w:id="132"/>
      <w:bookmarkEnd w:id="133"/>
    </w:p>
    <w:p>
      <w:pPr>
        <w:pStyle w:val="1280"/>
        <w:rPr>
          <w:rFonts w:ascii="宋体"/>
        </w:rPr>
      </w:pPr>
      <w:bookmarkStart w:id="134" w:name="_Toc517382406"/>
      <w:bookmarkStart w:id="135" w:name="_Toc164501982"/>
      <w:r>
        <w:rPr>
          <w:rFonts w:hint="eastAsia" w:ascii="宋体"/>
        </w:rPr>
        <w:t>嵊州市地处</w:t>
      </w:r>
      <w:r>
        <w:rPr>
          <w:rFonts w:ascii="宋体"/>
        </w:rPr>
        <w:t>浙东沿海的绍兴地区，东</w:t>
      </w:r>
      <w:r>
        <w:rPr>
          <w:rFonts w:hint="eastAsia" w:ascii="宋体"/>
        </w:rPr>
        <w:t>邻</w:t>
      </w:r>
      <w:r>
        <w:rPr>
          <w:rFonts w:ascii="宋体"/>
        </w:rPr>
        <w:t>宁波地区的余姚和奉化，南与新昌县相接，西接诸暨及金华地区的东阳，北部与柯桥区、上虞区相邻。嵊州市</w:t>
      </w:r>
      <w:r>
        <w:rPr>
          <w:rFonts w:hint="eastAsia" w:ascii="宋体"/>
        </w:rPr>
        <w:t>市区</w:t>
      </w:r>
      <w:r>
        <w:rPr>
          <w:rFonts w:ascii="宋体"/>
        </w:rPr>
        <w:t>位于嵊州市中部偏南，</w:t>
      </w:r>
      <w:r>
        <w:rPr>
          <w:rFonts w:hint="eastAsia" w:ascii="宋体"/>
        </w:rPr>
        <w:t>嵊新盆地</w:t>
      </w:r>
      <w:r>
        <w:rPr>
          <w:rFonts w:ascii="宋体"/>
        </w:rPr>
        <w:t>中心，东经</w:t>
      </w:r>
      <w:r>
        <w:rPr>
          <w:rFonts w:hint="eastAsia" w:ascii="宋体"/>
        </w:rPr>
        <w:t>120°29</w:t>
      </w:r>
      <w:r>
        <w:rPr>
          <w:rFonts w:ascii="宋体"/>
        </w:rPr>
        <w:t>’</w:t>
      </w:r>
      <w:r>
        <w:rPr>
          <w:rFonts w:hint="eastAsia" w:ascii="宋体"/>
        </w:rPr>
        <w:t>，</w:t>
      </w:r>
      <w:r>
        <w:rPr>
          <w:rFonts w:ascii="宋体"/>
        </w:rPr>
        <w:t>北纬</w:t>
      </w:r>
      <w:r>
        <w:rPr>
          <w:rFonts w:hint="eastAsia" w:ascii="宋体"/>
        </w:rPr>
        <w:t>29°36</w:t>
      </w:r>
      <w:r>
        <w:rPr>
          <w:rFonts w:ascii="宋体"/>
        </w:rPr>
        <w:t>’</w:t>
      </w:r>
      <w:r>
        <w:rPr>
          <w:rFonts w:hint="eastAsia" w:ascii="宋体"/>
        </w:rPr>
        <w:t>。</w:t>
      </w:r>
    </w:p>
    <w:p>
      <w:pPr>
        <w:pStyle w:val="1284"/>
        <w:outlineLvl w:val="0"/>
        <w:rPr>
          <w:rFonts w:ascii="宋体" w:hAnsi="宋体"/>
        </w:rPr>
      </w:pPr>
      <w:bookmarkStart w:id="136" w:name="_Toc521491775"/>
      <w:bookmarkStart w:id="137" w:name="_Toc521492632"/>
      <w:bookmarkStart w:id="138" w:name="_Toc521493306"/>
      <w:bookmarkStart w:id="139" w:name="_Toc106882954"/>
      <w:bookmarkStart w:id="140" w:name="_Toc518376454"/>
      <w:r>
        <w:rPr>
          <w:rFonts w:ascii="宋体" w:hAnsi="宋体"/>
        </w:rPr>
        <w:t>1.5.2 地形地貌</w:t>
      </w:r>
      <w:bookmarkEnd w:id="134"/>
      <w:bookmarkEnd w:id="135"/>
      <w:bookmarkEnd w:id="136"/>
      <w:bookmarkEnd w:id="137"/>
      <w:bookmarkEnd w:id="138"/>
      <w:bookmarkEnd w:id="139"/>
      <w:bookmarkEnd w:id="140"/>
    </w:p>
    <w:p>
      <w:pPr>
        <w:pStyle w:val="1280"/>
        <w:rPr>
          <w:rFonts w:ascii="宋体"/>
        </w:rPr>
      </w:pPr>
      <w:bookmarkStart w:id="141" w:name="_Toc164501983"/>
      <w:bookmarkStart w:id="142" w:name="_Toc164501984"/>
      <w:r>
        <w:rPr>
          <w:rFonts w:hint="eastAsia" w:ascii="宋体"/>
        </w:rPr>
        <w:t>嵊州市</w:t>
      </w:r>
      <w:r>
        <w:rPr>
          <w:rFonts w:ascii="宋体"/>
        </w:rPr>
        <w:t>地处曹娥江上游、四明山麓，四面环山，中为盆地。西北部</w:t>
      </w:r>
      <w:r>
        <w:rPr>
          <w:rFonts w:hint="eastAsia" w:ascii="宋体"/>
        </w:rPr>
        <w:t>系</w:t>
      </w:r>
      <w:r>
        <w:rPr>
          <w:rFonts w:ascii="宋体"/>
        </w:rPr>
        <w:t>会稽山脉，</w:t>
      </w:r>
      <w:r>
        <w:rPr>
          <w:rFonts w:hint="eastAsia" w:ascii="宋体"/>
        </w:rPr>
        <w:t>东部</w:t>
      </w:r>
      <w:r>
        <w:rPr>
          <w:rFonts w:ascii="宋体"/>
        </w:rPr>
        <w:t>为四明山脉，南部为天台山余脉。中部为</w:t>
      </w:r>
      <w:r>
        <w:rPr>
          <w:rFonts w:hint="eastAsia" w:ascii="宋体"/>
        </w:rPr>
        <w:t>以</w:t>
      </w:r>
      <w:r>
        <w:rPr>
          <w:rFonts w:ascii="宋体"/>
        </w:rPr>
        <w:t>新嵊、章三两盆地为主所构成的河谷盆地。</w:t>
      </w:r>
      <w:r>
        <w:rPr>
          <w:rFonts w:hint="eastAsia" w:ascii="宋体"/>
        </w:rPr>
        <w:t>丘间</w:t>
      </w:r>
      <w:r>
        <w:rPr>
          <w:rFonts w:ascii="宋体"/>
        </w:rPr>
        <w:t>谷地分布在各溪河</w:t>
      </w:r>
      <w:r>
        <w:rPr>
          <w:rFonts w:hint="eastAsia" w:ascii="宋体"/>
        </w:rPr>
        <w:t>两岸</w:t>
      </w:r>
      <w:r>
        <w:rPr>
          <w:rFonts w:ascii="宋体"/>
        </w:rPr>
        <w:t>峡谷地带，低丘山地介于盆地和山区之间。</w:t>
      </w:r>
      <w:r>
        <w:rPr>
          <w:rFonts w:hint="eastAsia" w:ascii="宋体"/>
        </w:rPr>
        <w:t>地势</w:t>
      </w:r>
      <w:r>
        <w:rPr>
          <w:rFonts w:ascii="宋体"/>
        </w:rPr>
        <w:t>西南高、东北低，曹娥江水系上游四条支流在城区附近汇合，地貌总体格局为“</w:t>
      </w:r>
      <w:r>
        <w:rPr>
          <w:rFonts w:hint="eastAsia" w:ascii="宋体"/>
        </w:rPr>
        <w:t>七山一水二分田</w:t>
      </w:r>
      <w:r>
        <w:rPr>
          <w:rFonts w:ascii="宋体"/>
        </w:rPr>
        <w:t>”</w:t>
      </w:r>
      <w:r>
        <w:rPr>
          <w:rFonts w:hint="eastAsia" w:ascii="宋体"/>
        </w:rPr>
        <w:t>。</w:t>
      </w:r>
    </w:p>
    <w:p>
      <w:pPr>
        <w:pStyle w:val="1280"/>
        <w:rPr>
          <w:rFonts w:ascii="宋体"/>
        </w:rPr>
      </w:pPr>
      <w:r>
        <w:rPr>
          <w:rFonts w:hint="eastAsia" w:ascii="宋体"/>
        </w:rPr>
        <w:t>市区</w:t>
      </w:r>
      <w:r>
        <w:rPr>
          <w:rFonts w:ascii="宋体"/>
        </w:rPr>
        <w:t>西北靠鹿台山，东南有</w:t>
      </w:r>
      <w:r>
        <w:rPr>
          <w:rFonts w:hint="eastAsia" w:ascii="宋体"/>
        </w:rPr>
        <w:t>剡溪。</w:t>
      </w:r>
      <w:r>
        <w:rPr>
          <w:rFonts w:ascii="宋体"/>
        </w:rPr>
        <w:t>地势</w:t>
      </w:r>
      <w:r>
        <w:rPr>
          <w:rFonts w:hint="eastAsia" w:ascii="宋体"/>
        </w:rPr>
        <w:t>自西北</w:t>
      </w:r>
      <w:r>
        <w:rPr>
          <w:rFonts w:ascii="宋体"/>
        </w:rPr>
        <w:t>向东南倾斜，地形起伏不规。</w:t>
      </w:r>
      <w:r>
        <w:rPr>
          <w:rFonts w:hint="eastAsia" w:ascii="宋体"/>
        </w:rPr>
        <w:t>长乐江</w:t>
      </w:r>
      <w:r>
        <w:rPr>
          <w:rFonts w:ascii="宋体"/>
        </w:rPr>
        <w:t>、澄潭江、剡溪、曹娥江、黄泽江及城隍山把市区划分并围合为四块，每块地域均略向江边倾斜。剡溪</w:t>
      </w:r>
      <w:r>
        <w:rPr>
          <w:rFonts w:hint="eastAsia" w:ascii="宋体"/>
        </w:rPr>
        <w:t>西北岸</w:t>
      </w:r>
      <w:r>
        <w:rPr>
          <w:rFonts w:ascii="宋体"/>
        </w:rPr>
        <w:t>老城区地面高程在</w:t>
      </w:r>
      <w:r>
        <w:rPr>
          <w:rFonts w:hint="eastAsia" w:ascii="宋体"/>
        </w:rPr>
        <w:t>18</w:t>
      </w:r>
      <w:r>
        <w:rPr>
          <w:rFonts w:ascii="宋体"/>
        </w:rPr>
        <w:t>～19m（</w:t>
      </w:r>
      <w:r>
        <w:rPr>
          <w:rFonts w:hint="eastAsia" w:ascii="宋体"/>
        </w:rPr>
        <w:t>黄海高程系统</w:t>
      </w:r>
      <w:r>
        <w:rPr>
          <w:rFonts w:ascii="宋体"/>
        </w:rPr>
        <w:t>，下同）</w:t>
      </w:r>
      <w:r>
        <w:rPr>
          <w:rFonts w:hint="eastAsia" w:ascii="宋体"/>
        </w:rPr>
        <w:t>之间</w:t>
      </w:r>
      <w:r>
        <w:rPr>
          <w:rFonts w:ascii="宋体"/>
        </w:rPr>
        <w:t>。河漫滩</w:t>
      </w:r>
      <w:r>
        <w:rPr>
          <w:rFonts w:hint="eastAsia" w:ascii="宋体"/>
        </w:rPr>
        <w:t>高程</w:t>
      </w:r>
      <w:r>
        <w:rPr>
          <w:rFonts w:ascii="宋体"/>
        </w:rPr>
        <w:t>为</w:t>
      </w:r>
      <w:r>
        <w:rPr>
          <w:rFonts w:hint="eastAsia" w:ascii="宋体"/>
        </w:rPr>
        <w:t>13</w:t>
      </w:r>
      <w:r>
        <w:rPr>
          <w:rFonts w:ascii="宋体"/>
        </w:rPr>
        <w:t>m左右，</w:t>
      </w:r>
      <w:r>
        <w:rPr>
          <w:rFonts w:hint="eastAsia" w:ascii="宋体"/>
        </w:rPr>
        <w:t>制高点</w:t>
      </w:r>
      <w:r>
        <w:rPr>
          <w:rFonts w:ascii="宋体"/>
        </w:rPr>
        <w:t>星子峰高程</w:t>
      </w:r>
      <w:r>
        <w:rPr>
          <w:rFonts w:hint="eastAsia" w:ascii="宋体"/>
        </w:rPr>
        <w:t>146.42</w:t>
      </w:r>
      <w:r>
        <w:rPr>
          <w:rFonts w:ascii="宋体"/>
        </w:rPr>
        <w:t>m。</w:t>
      </w:r>
    </w:p>
    <w:p>
      <w:pPr>
        <w:pStyle w:val="1280"/>
        <w:rPr>
          <w:rFonts w:ascii="宋体"/>
        </w:rPr>
      </w:pPr>
      <w:r>
        <w:rPr>
          <w:rFonts w:ascii="宋体"/>
        </w:rPr>
        <w:t>上述情况，仅作为承包商编制投标文件时的参考，不能免除承包商按招标合同条件，满足施工质量验收标准所必须承担的义务及应负有的责任。实际情况，承包商在投标时必须自行现场踏勘，并对所收集使用的相关资料承担责任。</w:t>
      </w:r>
    </w:p>
    <w:p>
      <w:pPr>
        <w:pStyle w:val="1280"/>
        <w:rPr>
          <w:rFonts w:ascii="宋体"/>
        </w:rPr>
      </w:pPr>
      <w:r>
        <w:rPr>
          <w:rFonts w:ascii="宋体"/>
        </w:rPr>
        <w:t>上述情况，仅作为承包商实施本合同的参考，不能免除承包商按合同条件，满足施工质量验收标准所必须承担的义务及应负有的责任。实际情况，承包商必须自行现场踏勘，并对所收集使用的相关资料承担责任。</w:t>
      </w:r>
    </w:p>
    <w:p>
      <w:pPr>
        <w:pStyle w:val="1284"/>
        <w:outlineLvl w:val="0"/>
        <w:rPr>
          <w:rFonts w:ascii="宋体" w:hAnsi="宋体"/>
        </w:rPr>
      </w:pPr>
      <w:bookmarkStart w:id="143" w:name="_Toc517382407"/>
      <w:bookmarkStart w:id="144" w:name="_Toc518376455"/>
      <w:bookmarkStart w:id="145" w:name="_Toc521491776"/>
      <w:bookmarkStart w:id="146" w:name="_Toc521492633"/>
      <w:bookmarkStart w:id="147" w:name="_Toc521493307"/>
      <w:bookmarkStart w:id="148" w:name="_Toc106882955"/>
      <w:r>
        <w:rPr>
          <w:rFonts w:ascii="宋体" w:hAnsi="宋体"/>
        </w:rPr>
        <w:t xml:space="preserve">1.5.3 </w:t>
      </w:r>
      <w:bookmarkEnd w:id="141"/>
      <w:r>
        <w:rPr>
          <w:rFonts w:ascii="宋体" w:hAnsi="宋体"/>
        </w:rPr>
        <w:t>气候</w:t>
      </w:r>
      <w:bookmarkEnd w:id="143"/>
      <w:bookmarkEnd w:id="144"/>
      <w:bookmarkEnd w:id="145"/>
      <w:bookmarkEnd w:id="146"/>
      <w:bookmarkEnd w:id="147"/>
      <w:bookmarkEnd w:id="148"/>
    </w:p>
    <w:p>
      <w:pPr>
        <w:pStyle w:val="1280"/>
        <w:rPr>
          <w:rFonts w:ascii="宋体"/>
        </w:rPr>
      </w:pPr>
      <w:r>
        <w:rPr>
          <w:rFonts w:ascii="宋体"/>
        </w:rPr>
        <w:t>下列提供的资料仅作为承包商在设计、施工范围内可能遇到的气候条件的介绍，这将不免除承包商按合同条件应负有的责任。详细的气象资料可到当地的气象部门了解。</w:t>
      </w:r>
    </w:p>
    <w:p>
      <w:pPr>
        <w:pStyle w:val="1280"/>
        <w:rPr>
          <w:rFonts w:ascii="宋体"/>
        </w:rPr>
      </w:pPr>
      <w:bookmarkStart w:id="149" w:name="_Toc517382408"/>
      <w:r>
        <w:rPr>
          <w:rFonts w:hint="eastAsia" w:ascii="宋体"/>
        </w:rPr>
        <w:t>嵊州市</w:t>
      </w:r>
      <w:r>
        <w:rPr>
          <w:rFonts w:ascii="宋体"/>
        </w:rPr>
        <w:t>地处浙江省南北交界地带，属亚热带湿润季风气候，雨量充沛，日照丰富，温和湿润。年日照时数</w:t>
      </w:r>
      <w:r>
        <w:rPr>
          <w:rFonts w:hint="eastAsia" w:ascii="宋体"/>
        </w:rPr>
        <w:t>2018小时，</w:t>
      </w:r>
      <w:r>
        <w:rPr>
          <w:rFonts w:ascii="宋体"/>
        </w:rPr>
        <w:t>全年平均气温</w:t>
      </w:r>
      <w:r>
        <w:rPr>
          <w:rFonts w:hint="eastAsia" w:ascii="宋体"/>
        </w:rPr>
        <w:t>16.4℃，</w:t>
      </w:r>
      <w:r>
        <w:rPr>
          <w:rFonts w:ascii="宋体"/>
        </w:rPr>
        <w:t>年最高气温平均值</w:t>
      </w:r>
      <w:r>
        <w:rPr>
          <w:rFonts w:hint="eastAsia" w:ascii="宋体"/>
        </w:rPr>
        <w:t>21.4℃，年最低气温平均值8.6℃</w:t>
      </w:r>
      <w:r>
        <w:rPr>
          <w:rFonts w:ascii="宋体"/>
        </w:rPr>
        <w:t>，历年极端最高值为</w:t>
      </w:r>
      <w:r>
        <w:rPr>
          <w:rFonts w:hint="eastAsia" w:ascii="宋体"/>
        </w:rPr>
        <w:t>1967年8月23日</w:t>
      </w:r>
      <w:r>
        <w:rPr>
          <w:rFonts w:ascii="宋体"/>
        </w:rPr>
        <w:t>的</w:t>
      </w:r>
      <w:r>
        <w:rPr>
          <w:rFonts w:hint="eastAsia" w:ascii="宋体"/>
        </w:rPr>
        <w:t>40.7℃，</w:t>
      </w:r>
      <w:r>
        <w:rPr>
          <w:rFonts w:ascii="宋体"/>
        </w:rPr>
        <w:t>理念极端最低值为</w:t>
      </w:r>
      <w:r>
        <w:rPr>
          <w:rFonts w:hint="eastAsia" w:ascii="宋体"/>
        </w:rPr>
        <w:t>1969年2月6日</w:t>
      </w:r>
      <w:r>
        <w:rPr>
          <w:rFonts w:ascii="宋体"/>
        </w:rPr>
        <w:t>的</w:t>
      </w:r>
      <w:r>
        <w:rPr>
          <w:rFonts w:hint="eastAsia" w:ascii="宋体"/>
        </w:rPr>
        <w:t>-10.1℃；</w:t>
      </w:r>
      <w:r>
        <w:rPr>
          <w:rFonts w:ascii="宋体"/>
        </w:rPr>
        <w:t>无霜期</w:t>
      </w:r>
      <w:r>
        <w:rPr>
          <w:rFonts w:hint="eastAsia" w:ascii="宋体"/>
        </w:rPr>
        <w:t>235天</w:t>
      </w:r>
      <w:r>
        <w:rPr>
          <w:rFonts w:ascii="宋体"/>
        </w:rPr>
        <w:t>，常年</w:t>
      </w:r>
      <w:r>
        <w:rPr>
          <w:rFonts w:hint="eastAsia" w:ascii="宋体"/>
        </w:rPr>
        <w:t>降雨量1200</w:t>
      </w:r>
      <w:r>
        <w:rPr>
          <w:rFonts w:ascii="宋体"/>
        </w:rPr>
        <w:t>～1700</w:t>
      </w:r>
      <w:r>
        <w:rPr>
          <w:rFonts w:hint="eastAsia" w:ascii="宋体"/>
        </w:rPr>
        <w:t>毫米</w:t>
      </w:r>
      <w:r>
        <w:rPr>
          <w:rFonts w:ascii="宋体"/>
        </w:rPr>
        <w:t>，理念平均降水量为</w:t>
      </w:r>
      <w:r>
        <w:rPr>
          <w:rFonts w:hint="eastAsia" w:ascii="宋体"/>
        </w:rPr>
        <w:t>1447毫米</w:t>
      </w:r>
      <w:r>
        <w:rPr>
          <w:rFonts w:ascii="宋体"/>
        </w:rPr>
        <w:t>，</w:t>
      </w:r>
      <w:r>
        <w:rPr>
          <w:rFonts w:hint="eastAsia" w:ascii="宋体"/>
        </w:rPr>
        <w:t>历年</w:t>
      </w:r>
      <w:r>
        <w:rPr>
          <w:rFonts w:ascii="宋体"/>
        </w:rPr>
        <w:t>最大降雨量为</w:t>
      </w:r>
      <w:r>
        <w:rPr>
          <w:rFonts w:hint="eastAsia" w:ascii="宋体"/>
        </w:rPr>
        <w:t>1954年</w:t>
      </w:r>
      <w:r>
        <w:rPr>
          <w:rFonts w:ascii="宋体"/>
        </w:rPr>
        <w:t>的</w:t>
      </w:r>
      <w:r>
        <w:rPr>
          <w:rFonts w:hint="eastAsia" w:ascii="宋体"/>
        </w:rPr>
        <w:t>1717.2毫米</w:t>
      </w:r>
      <w:r>
        <w:rPr>
          <w:rFonts w:ascii="宋体"/>
        </w:rPr>
        <w:t>，历年最大</w:t>
      </w:r>
      <w:r>
        <w:rPr>
          <w:rFonts w:hint="eastAsia" w:ascii="宋体"/>
        </w:rPr>
        <w:t>1小时</w:t>
      </w:r>
      <w:r>
        <w:rPr>
          <w:rFonts w:ascii="宋体"/>
        </w:rPr>
        <w:t>降雨量为</w:t>
      </w:r>
      <w:r>
        <w:rPr>
          <w:rFonts w:hint="eastAsia" w:ascii="宋体"/>
        </w:rPr>
        <w:t>1988年7月30日</w:t>
      </w:r>
      <w:r>
        <w:rPr>
          <w:rFonts w:ascii="宋体"/>
        </w:rPr>
        <w:t>的</w:t>
      </w:r>
      <w:r>
        <w:rPr>
          <w:rFonts w:hint="eastAsia" w:ascii="宋体"/>
        </w:rPr>
        <w:t>71.3毫米</w:t>
      </w:r>
      <w:r>
        <w:rPr>
          <w:rFonts w:ascii="宋体"/>
        </w:rPr>
        <w:t>。</w:t>
      </w:r>
    </w:p>
    <w:p>
      <w:pPr>
        <w:pStyle w:val="1284"/>
        <w:outlineLvl w:val="0"/>
        <w:rPr>
          <w:rFonts w:ascii="宋体" w:hAnsi="宋体"/>
        </w:rPr>
      </w:pPr>
      <w:bookmarkStart w:id="150" w:name="_Toc518376456"/>
      <w:bookmarkStart w:id="151" w:name="_Toc521491777"/>
      <w:bookmarkStart w:id="152" w:name="_Toc521492634"/>
      <w:bookmarkStart w:id="153" w:name="_Toc521493308"/>
      <w:bookmarkStart w:id="154" w:name="_Toc106882956"/>
      <w:r>
        <w:rPr>
          <w:rFonts w:ascii="宋体" w:hAnsi="宋体"/>
        </w:rPr>
        <w:t>1.5.4 坐标系及高程系</w:t>
      </w:r>
      <w:bookmarkEnd w:id="142"/>
      <w:bookmarkEnd w:id="149"/>
      <w:bookmarkEnd w:id="150"/>
      <w:bookmarkEnd w:id="151"/>
      <w:bookmarkEnd w:id="152"/>
      <w:bookmarkEnd w:id="153"/>
      <w:bookmarkEnd w:id="154"/>
    </w:p>
    <w:p>
      <w:pPr>
        <w:pStyle w:val="1280"/>
        <w:rPr>
          <w:rFonts w:ascii="宋体"/>
        </w:rPr>
      </w:pPr>
      <w:bookmarkStart w:id="155" w:name="_Toc164501985"/>
      <w:r>
        <w:rPr>
          <w:rFonts w:ascii="宋体"/>
        </w:rPr>
        <w:t>本合同高程为“</w:t>
      </w:r>
      <w:r>
        <w:rPr>
          <w:rFonts w:hint="eastAsia" w:ascii="宋体"/>
        </w:rPr>
        <w:t>绍兴坐标系</w:t>
      </w:r>
      <w:r>
        <w:rPr>
          <w:rFonts w:ascii="宋体"/>
        </w:rPr>
        <w:t>，</w:t>
      </w:r>
      <w:r>
        <w:rPr>
          <w:rFonts w:hint="eastAsia" w:ascii="宋体"/>
        </w:rPr>
        <w:t>198</w:t>
      </w:r>
      <w:r>
        <w:rPr>
          <w:rFonts w:ascii="宋体"/>
        </w:rPr>
        <w:t>5</w:t>
      </w:r>
      <w:r>
        <w:rPr>
          <w:rFonts w:hint="eastAsia" w:ascii="宋体"/>
        </w:rPr>
        <w:t>国家高程系统绝对标高</w:t>
      </w:r>
      <w:r>
        <w:rPr>
          <w:rFonts w:ascii="宋体"/>
        </w:rPr>
        <w:t>”，图纸上标明的所有高程均以此高程为基础。承包商须在施工现场或附近建立与此高程相关的水准点，并在施工纪录图上标明这些水准点的位置。承包商须一式两份地给项目监理和业主提供能说明承包商建立的每一个水准点或临时水准点的位置和高程详情的图纸和记录。</w:t>
      </w:r>
    </w:p>
    <w:p>
      <w:pPr>
        <w:pStyle w:val="1284"/>
        <w:outlineLvl w:val="0"/>
        <w:rPr>
          <w:rFonts w:ascii="宋体" w:hAnsi="宋体"/>
        </w:rPr>
      </w:pPr>
      <w:bookmarkStart w:id="156" w:name="_Toc517382409"/>
      <w:bookmarkStart w:id="157" w:name="_Toc518376457"/>
      <w:bookmarkStart w:id="158" w:name="_Toc521491778"/>
      <w:bookmarkStart w:id="159" w:name="_Toc521492635"/>
      <w:bookmarkStart w:id="160" w:name="_Toc521493309"/>
      <w:bookmarkStart w:id="161" w:name="_Toc106882957"/>
      <w:r>
        <w:rPr>
          <w:rFonts w:ascii="宋体" w:hAnsi="宋体"/>
        </w:rPr>
        <w:t>1.5.5 工程地质和水文地质</w:t>
      </w:r>
      <w:bookmarkEnd w:id="155"/>
      <w:bookmarkEnd w:id="156"/>
      <w:bookmarkEnd w:id="157"/>
      <w:bookmarkEnd w:id="158"/>
      <w:bookmarkEnd w:id="159"/>
      <w:bookmarkEnd w:id="160"/>
      <w:bookmarkEnd w:id="161"/>
    </w:p>
    <w:bookmarkEnd w:id="108"/>
    <w:bookmarkEnd w:id="109"/>
    <w:bookmarkEnd w:id="110"/>
    <w:bookmarkEnd w:id="111"/>
    <w:bookmarkEnd w:id="112"/>
    <w:bookmarkEnd w:id="113"/>
    <w:bookmarkEnd w:id="114"/>
    <w:bookmarkEnd w:id="115"/>
    <w:bookmarkEnd w:id="116"/>
    <w:bookmarkEnd w:id="117"/>
    <w:bookmarkEnd w:id="118"/>
    <w:bookmarkEnd w:id="119"/>
    <w:bookmarkEnd w:id="120"/>
    <w:p>
      <w:pPr>
        <w:pStyle w:val="1280"/>
        <w:rPr>
          <w:rFonts w:ascii="宋体"/>
        </w:rPr>
      </w:pPr>
      <w:bookmarkStart w:id="162" w:name="_Toc395693174"/>
      <w:bookmarkStart w:id="163" w:name="_Toc396282805"/>
      <w:bookmarkStart w:id="164" w:name="_Toc397138344"/>
      <w:bookmarkStart w:id="165" w:name="_Toc395412667"/>
      <w:bookmarkStart w:id="166" w:name="_Toc385012531"/>
      <w:bookmarkStart w:id="167" w:name="_Toc397761336"/>
      <w:bookmarkStart w:id="168" w:name="_Toc385007573"/>
      <w:bookmarkStart w:id="169" w:name="_Toc164502008"/>
      <w:bookmarkStart w:id="170" w:name="_Toc385008369"/>
      <w:bookmarkStart w:id="171" w:name="_Toc43107451"/>
      <w:bookmarkStart w:id="172" w:name="_Toc16242255"/>
      <w:bookmarkStart w:id="173" w:name="_Toc398453480"/>
      <w:bookmarkStart w:id="174" w:name="_Toc398523280"/>
      <w:bookmarkStart w:id="175" w:name="_Toc396006244"/>
      <w:bookmarkStart w:id="176" w:name="_Toc396284760"/>
      <w:bookmarkStart w:id="177" w:name="_Toc395592614"/>
      <w:bookmarkStart w:id="178" w:name="_Toc395692970"/>
      <w:bookmarkStart w:id="179" w:name="_Toc396110372"/>
      <w:bookmarkStart w:id="180" w:name="_Toc398083675"/>
      <w:bookmarkStart w:id="181" w:name="_Toc395421312"/>
      <w:bookmarkStart w:id="182" w:name="_Toc395403902"/>
      <w:bookmarkStart w:id="183" w:name="_Toc395512313"/>
      <w:bookmarkStart w:id="184" w:name="_Toc385007622"/>
      <w:bookmarkStart w:id="185" w:name="_Toc395412719"/>
      <w:bookmarkStart w:id="186" w:name="_Toc385012580"/>
      <w:bookmarkStart w:id="187" w:name="_Toc385008418"/>
      <w:bookmarkStart w:id="188" w:name="_Toc398083723"/>
      <w:r>
        <w:rPr>
          <w:rFonts w:ascii="宋体"/>
        </w:rPr>
        <w:t>本合同下的</w:t>
      </w:r>
      <w:r>
        <w:rPr>
          <w:rFonts w:hint="eastAsia" w:ascii="宋体"/>
        </w:rPr>
        <w:t>详细勘察工程地质勘察报告</w:t>
      </w:r>
      <w:r>
        <w:rPr>
          <w:rFonts w:ascii="宋体"/>
        </w:rPr>
        <w:t>可在业主处查阅。承包商应对这些资料的自行解释负责。如果在工程施工过程中，实际地质条件与业主提供的地质资料不符时，承包商应及时向项目监理反映，并做好地质情况的记录。当地质资料不完全时，承包商可向项目监理反映征得项目监理同意后进行实际地质勘测，以补充地质、水文资料，由于业主提供的地质水文资料的不准确或不完全</w:t>
      </w:r>
      <w:r>
        <w:rPr>
          <w:rFonts w:hint="eastAsia" w:ascii="宋体"/>
        </w:rPr>
        <w:t>增加</w:t>
      </w:r>
      <w:r>
        <w:rPr>
          <w:rFonts w:ascii="宋体"/>
        </w:rPr>
        <w:t>的有关施工费用按合同的补偿事件处理。</w:t>
      </w:r>
    </w:p>
    <w:p>
      <w:pPr>
        <w:pStyle w:val="1281"/>
        <w:outlineLvl w:val="0"/>
        <w:rPr>
          <w:rFonts w:ascii="宋体" w:hAnsi="宋体"/>
          <w:color w:val="auto"/>
        </w:rPr>
      </w:pPr>
      <w:bookmarkStart w:id="189" w:name="_Toc517382410"/>
      <w:bookmarkStart w:id="190" w:name="_Toc518376458"/>
      <w:bookmarkStart w:id="191" w:name="_Toc521491779"/>
      <w:bookmarkStart w:id="192" w:name="_Toc521492636"/>
      <w:bookmarkStart w:id="193" w:name="_Toc521493310"/>
      <w:bookmarkStart w:id="194" w:name="_Toc106882958"/>
      <w:r>
        <w:rPr>
          <w:rFonts w:ascii="宋体" w:hAnsi="宋体"/>
          <w:color w:val="auto"/>
        </w:rPr>
        <w:t>1.6</w:t>
      </w:r>
      <w:bookmarkStart w:id="195" w:name="_Toc395692961"/>
      <w:bookmarkStart w:id="196" w:name="_Toc395693165"/>
      <w:bookmarkStart w:id="197" w:name="_Toc396006235"/>
      <w:bookmarkStart w:id="198" w:name="_Toc396282796"/>
      <w:bookmarkStart w:id="199" w:name="_Toc396284751"/>
      <w:bookmarkStart w:id="200" w:name="_Toc396110363"/>
      <w:bookmarkStart w:id="201" w:name="_Toc397138335"/>
      <w:bookmarkStart w:id="202" w:name="_Toc397761327"/>
      <w:bookmarkStart w:id="203" w:name="_Toc398453472"/>
      <w:bookmarkStart w:id="204" w:name="_Toc398523272"/>
      <w:bookmarkStart w:id="205" w:name="_Toc16242247"/>
      <w:bookmarkStart w:id="206" w:name="_Toc43107445"/>
      <w:bookmarkStart w:id="207" w:name="_Toc395403896"/>
      <w:bookmarkStart w:id="208" w:name="_Toc395421303"/>
      <w:bookmarkStart w:id="209" w:name="_Toc395512304"/>
      <w:bookmarkStart w:id="210" w:name="_Toc395592605"/>
      <w:bookmarkStart w:id="211" w:name="_Toc385007571"/>
      <w:bookmarkStart w:id="212" w:name="_Toc385008367"/>
      <w:bookmarkStart w:id="213" w:name="_Toc385012529"/>
      <w:bookmarkStart w:id="214" w:name="_Toc395412665"/>
      <w:bookmarkStart w:id="215" w:name="_Toc398083673"/>
      <w:r>
        <w:rPr>
          <w:rFonts w:hint="eastAsia" w:ascii="宋体" w:hAnsi="宋体"/>
          <w:color w:val="auto"/>
        </w:rPr>
        <w:t xml:space="preserve"> </w:t>
      </w:r>
      <w:r>
        <w:rPr>
          <w:rFonts w:ascii="宋体" w:hAnsi="宋体"/>
          <w:color w:val="auto"/>
        </w:rPr>
        <w:t>现场施工</w:t>
      </w:r>
      <w:bookmarkEnd w:id="189"/>
      <w:bookmarkEnd w:id="190"/>
      <w:bookmarkEnd w:id="191"/>
      <w:bookmarkEnd w:id="192"/>
      <w:bookmarkEnd w:id="193"/>
      <w:bookmarkEnd w:id="194"/>
    </w:p>
    <w:p>
      <w:pPr>
        <w:pStyle w:val="1284"/>
        <w:outlineLvl w:val="0"/>
        <w:rPr>
          <w:rFonts w:ascii="宋体" w:hAnsi="宋体"/>
        </w:rPr>
      </w:pPr>
      <w:bookmarkStart w:id="216" w:name="_Toc517382411"/>
      <w:bookmarkStart w:id="217" w:name="_Toc518376459"/>
      <w:bookmarkStart w:id="218" w:name="_Toc521491780"/>
      <w:bookmarkStart w:id="219" w:name="_Toc521492637"/>
      <w:bookmarkStart w:id="220" w:name="_Toc521493311"/>
      <w:bookmarkStart w:id="221" w:name="_Toc106882959"/>
      <w:r>
        <w:rPr>
          <w:rFonts w:ascii="宋体" w:hAnsi="宋体"/>
        </w:rPr>
        <w:t>1.6.1</w:t>
      </w:r>
      <w:r>
        <w:rPr>
          <w:rFonts w:hint="eastAsia" w:ascii="宋体" w:hAnsi="宋体"/>
        </w:rPr>
        <w:t xml:space="preserve"> </w:t>
      </w:r>
      <w:r>
        <w:rPr>
          <w:rFonts w:ascii="宋体" w:hAnsi="宋体"/>
        </w:rPr>
        <w:t>现场、现场道路和通道</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6"/>
      <w:bookmarkEnd w:id="217"/>
      <w:bookmarkEnd w:id="218"/>
      <w:bookmarkEnd w:id="219"/>
      <w:bookmarkEnd w:id="220"/>
      <w:bookmarkEnd w:id="221"/>
    </w:p>
    <w:p>
      <w:pPr>
        <w:pStyle w:val="1280"/>
        <w:rPr>
          <w:rFonts w:ascii="宋体"/>
        </w:rPr>
      </w:pPr>
      <w:r>
        <w:rPr>
          <w:rFonts w:ascii="宋体"/>
        </w:rPr>
        <w:t>承包商应按</w:t>
      </w:r>
      <w:r>
        <w:rPr>
          <w:rFonts w:hint="eastAsia" w:ascii="宋体"/>
        </w:rPr>
        <w:t>浙江</w:t>
      </w:r>
      <w:r>
        <w:rPr>
          <w:rFonts w:ascii="宋体"/>
        </w:rPr>
        <w:t>省的规定办理工程项目报建、登记等所有手续，并支付必要的费用。对于建委核发给承包商的所有证件应向业主提供一份复印件，以便业主办理必要的手续。</w:t>
      </w:r>
    </w:p>
    <w:p>
      <w:pPr>
        <w:pStyle w:val="1280"/>
        <w:rPr>
          <w:rFonts w:ascii="宋体"/>
        </w:rPr>
      </w:pPr>
      <w:r>
        <w:rPr>
          <w:rFonts w:ascii="宋体"/>
        </w:rPr>
        <w:t>施工场地的平整、恢复原状的费用项目应含在工程量清单内。</w:t>
      </w:r>
    </w:p>
    <w:p>
      <w:pPr>
        <w:pStyle w:val="1280"/>
        <w:rPr>
          <w:rFonts w:ascii="宋体"/>
        </w:rPr>
      </w:pPr>
      <w:r>
        <w:rPr>
          <w:rFonts w:ascii="宋体"/>
        </w:rPr>
        <w:t>除非本合同其它部分另有要求，承包商应负责安排工程实施所要求的或与工程实施有关的临时性现场道路和通道的修筑、维护、清除和复原。复原工作应至少将临时性现场道路和通道用地恢复到安全、稳定和美观的程度，承包商还应恢复在施工开始前的已有排水设施。</w:t>
      </w:r>
    </w:p>
    <w:p>
      <w:pPr>
        <w:pStyle w:val="1280"/>
        <w:rPr>
          <w:rFonts w:ascii="宋体"/>
        </w:rPr>
      </w:pPr>
      <w:r>
        <w:rPr>
          <w:rFonts w:ascii="宋体"/>
        </w:rPr>
        <w:t>承包商应负责维护所有施工所使用的现有道路（不论是否铺设了路面），并在施工结束时将这些道路复原至施工开始前的状况。</w:t>
      </w:r>
    </w:p>
    <w:p>
      <w:pPr>
        <w:pStyle w:val="1280"/>
        <w:rPr>
          <w:rFonts w:ascii="宋体"/>
        </w:rPr>
      </w:pPr>
      <w:r>
        <w:rPr>
          <w:rFonts w:ascii="宋体"/>
        </w:rPr>
        <w:t>本工程的任何一部分开始前，承包商应修建临时性通道（包括临时性岔道和道桥），通达进度计划所要求的施工现场各个部分，这些工作应事先得到项目监理和业主的同意。承包商应对上述临时性通道的维护负完全责任，其维护工作应达到一定的程度以使项目监理和业主认为这些通道可以保证本合同下的设备、车辆和行人能够安全方便地通过并保证现有用户的使用。进行现场通道维护时，承包商应对业主的人员及车辆在现场的通行作出安排。</w:t>
      </w:r>
    </w:p>
    <w:p>
      <w:pPr>
        <w:pStyle w:val="1280"/>
        <w:rPr>
          <w:rFonts w:ascii="宋体"/>
        </w:rPr>
      </w:pPr>
      <w:r>
        <w:rPr>
          <w:rFonts w:ascii="宋体"/>
        </w:rPr>
        <w:t>如果进入现场的通道将通过私人土地、公共耕地或公共土地，承包商应在实际利用前记录这些土地的表面状况并就该记录得到项目监理和业主的批准。承包商应使这些土地适合于用作进入现场的道路，并在本工程施工过程中保持这些通道是清洁的和维护得当的。在结束使用这些进入现场的通道时，承包商应至少将这些通道恢复到第一次进入时的状况。</w:t>
      </w:r>
    </w:p>
    <w:p>
      <w:pPr>
        <w:pStyle w:val="1280"/>
        <w:rPr>
          <w:rFonts w:ascii="宋体"/>
        </w:rPr>
      </w:pPr>
      <w:r>
        <w:rPr>
          <w:rFonts w:ascii="宋体"/>
        </w:rPr>
        <w:t>承包商应在业主的协助下负责办理使用城市道路的正式手续，并遵守由公共安全和交通管理机构及本地相关管理部门所颁布的有关沿道路工程施工的交通管理安全规则。承包商还应遵守城市设施管理部门所颁布的有关要求和建议。</w:t>
      </w:r>
    </w:p>
    <w:p>
      <w:pPr>
        <w:pStyle w:val="1280"/>
        <w:rPr>
          <w:rFonts w:ascii="宋体"/>
        </w:rPr>
      </w:pPr>
      <w:r>
        <w:rPr>
          <w:rFonts w:ascii="宋体"/>
        </w:rPr>
        <w:t>承包商应负责规划其施工过程中的交通，并应使施工对公共交通所产生的影响保持在最小。提供诸如护拦、警告牌、护墙等的费用应由承包商承担。</w:t>
      </w:r>
    </w:p>
    <w:p>
      <w:pPr>
        <w:pStyle w:val="1284"/>
        <w:outlineLvl w:val="0"/>
        <w:rPr>
          <w:rFonts w:ascii="宋体" w:hAnsi="宋体"/>
        </w:rPr>
      </w:pPr>
      <w:bookmarkStart w:id="222" w:name="_Toc398453473"/>
      <w:bookmarkStart w:id="223" w:name="_Toc398523273"/>
      <w:bookmarkStart w:id="224" w:name="_Toc16242248"/>
      <w:bookmarkStart w:id="225" w:name="_Toc43107446"/>
      <w:bookmarkStart w:id="226" w:name="_Toc517382412"/>
      <w:bookmarkStart w:id="227" w:name="_Toc518376460"/>
      <w:bookmarkStart w:id="228" w:name="_Toc521491781"/>
      <w:bookmarkStart w:id="229" w:name="_Toc521492638"/>
      <w:bookmarkStart w:id="230" w:name="_Toc521493312"/>
      <w:bookmarkStart w:id="231" w:name="_Toc106882960"/>
      <w:bookmarkStart w:id="232" w:name="_Toc395403897"/>
      <w:bookmarkStart w:id="233" w:name="_Toc395421304"/>
      <w:bookmarkStart w:id="234" w:name="_Toc395512305"/>
      <w:bookmarkStart w:id="235" w:name="_Toc395592606"/>
      <w:bookmarkStart w:id="236" w:name="_Toc395692962"/>
      <w:bookmarkStart w:id="237" w:name="_Toc395693166"/>
      <w:bookmarkStart w:id="238" w:name="_Toc396006236"/>
      <w:bookmarkStart w:id="239" w:name="_Toc396110364"/>
      <w:bookmarkStart w:id="240" w:name="_Toc396282797"/>
      <w:bookmarkStart w:id="241" w:name="_Toc396284752"/>
      <w:bookmarkStart w:id="242" w:name="_Toc397138336"/>
      <w:bookmarkStart w:id="243" w:name="_Toc397761328"/>
      <w:r>
        <w:rPr>
          <w:rFonts w:ascii="宋体" w:hAnsi="宋体"/>
        </w:rPr>
        <w:t>1.6.2</w:t>
      </w:r>
      <w:r>
        <w:rPr>
          <w:rFonts w:hint="eastAsia" w:ascii="宋体" w:hAnsi="宋体"/>
        </w:rPr>
        <w:t xml:space="preserve"> </w:t>
      </w:r>
      <w:r>
        <w:rPr>
          <w:rFonts w:ascii="宋体" w:hAnsi="宋体"/>
        </w:rPr>
        <w:t>现场外的场地</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1280"/>
        <w:rPr>
          <w:rFonts w:ascii="宋体"/>
        </w:rPr>
      </w:pPr>
      <w:r>
        <w:rPr>
          <w:rFonts w:ascii="宋体"/>
        </w:rPr>
        <w:t>如果需要获得某些特殊性的或临时性的它属土地、另外的专用场所或私有土地以用来处置多余的施工材料，或需要获得某些取土坑或采石场的使用权，承包商应得到这些场地的拥有者或占有者和当地土地管理部门的书面同意。对于上述场地，承包商还应记录首次进入时的土地表面状况，并就该记录得到这些场地的拥有者或占有者和当地土地管理部门的批准。</w:t>
      </w:r>
    </w:p>
    <w:p>
      <w:pPr>
        <w:pStyle w:val="1280"/>
        <w:rPr>
          <w:rFonts w:ascii="宋体"/>
        </w:rPr>
      </w:pPr>
      <w:r>
        <w:rPr>
          <w:rFonts w:ascii="宋体"/>
        </w:rPr>
        <w:t>承包商应允许业主、项目监理及他们所授权的人员有权为了本合同的目的而进入上述特殊性的或临时性的它属土地或另外的专用场所。</w:t>
      </w:r>
    </w:p>
    <w:p>
      <w:pPr>
        <w:pStyle w:val="1280"/>
        <w:rPr>
          <w:rFonts w:ascii="宋体"/>
        </w:rPr>
      </w:pPr>
      <w:r>
        <w:rPr>
          <w:rFonts w:ascii="宋体"/>
        </w:rPr>
        <w:t>如果上述特殊性的或临时性的它属土地或另外的专用场所是由业主以本合同的目的而提供给承包商的，这些土地或场所应被视为按本技术规范所定义的现场的一部分。</w:t>
      </w:r>
    </w:p>
    <w:p>
      <w:pPr>
        <w:pStyle w:val="1280"/>
        <w:rPr>
          <w:rFonts w:ascii="宋体"/>
        </w:rPr>
      </w:pPr>
      <w:r>
        <w:rPr>
          <w:rFonts w:ascii="宋体"/>
        </w:rPr>
        <w:t>在上述情况下，承包商应将所获得的项目占有土地或场所四周外延5m以形成一个工作区域，并将其所有的活动限制在该区域内。当在该场地内的活动结束时，承包商应将这些场地恢复到原来的状况并符合项目监理的要求。</w:t>
      </w:r>
    </w:p>
    <w:p>
      <w:pPr>
        <w:pStyle w:val="1280"/>
        <w:rPr>
          <w:rFonts w:ascii="宋体"/>
        </w:rPr>
      </w:pPr>
      <w:r>
        <w:rPr>
          <w:rFonts w:ascii="宋体"/>
        </w:rPr>
        <w:t>在本条款中，“专用场所”应被认为是包括房屋、办公室、车间、仓库和储放场地等。</w:t>
      </w:r>
    </w:p>
    <w:bookmarkEnd w:id="211"/>
    <w:bookmarkEnd w:id="212"/>
    <w:bookmarkEnd w:id="213"/>
    <w:bookmarkEnd w:id="214"/>
    <w:bookmarkEnd w:id="215"/>
    <w:p>
      <w:pPr>
        <w:pStyle w:val="1284"/>
        <w:outlineLvl w:val="0"/>
        <w:rPr>
          <w:rFonts w:ascii="宋体" w:hAnsi="宋体"/>
        </w:rPr>
      </w:pPr>
      <w:bookmarkStart w:id="244" w:name="_Toc521493313"/>
      <w:bookmarkStart w:id="245" w:name="_Toc106882961"/>
      <w:bookmarkStart w:id="246" w:name="_Toc395403898"/>
      <w:bookmarkStart w:id="247" w:name="_Toc395421306"/>
      <w:bookmarkStart w:id="248" w:name="_Toc395512307"/>
      <w:bookmarkStart w:id="249" w:name="_Toc395592608"/>
      <w:bookmarkStart w:id="250" w:name="_Toc395692964"/>
      <w:bookmarkStart w:id="251" w:name="_Toc395693168"/>
      <w:bookmarkStart w:id="252" w:name="_Toc396006238"/>
      <w:bookmarkStart w:id="253" w:name="_Toc396110366"/>
      <w:bookmarkStart w:id="254" w:name="_Toc396282799"/>
      <w:bookmarkStart w:id="255" w:name="_Toc396284754"/>
      <w:bookmarkStart w:id="256" w:name="_Toc397138338"/>
      <w:bookmarkStart w:id="257" w:name="_Toc397761330"/>
      <w:bookmarkStart w:id="258" w:name="_Toc398453474"/>
      <w:bookmarkStart w:id="259" w:name="_Toc398523274"/>
      <w:bookmarkStart w:id="260" w:name="_Toc16242249"/>
      <w:bookmarkStart w:id="261" w:name="_Toc43107447"/>
      <w:bookmarkStart w:id="262" w:name="_Toc517382413"/>
      <w:bookmarkStart w:id="263" w:name="_Toc518376461"/>
      <w:bookmarkStart w:id="264" w:name="_Toc521491782"/>
      <w:bookmarkStart w:id="265" w:name="_Toc521492639"/>
      <w:r>
        <w:rPr>
          <w:rFonts w:ascii="宋体" w:hAnsi="宋体"/>
        </w:rPr>
        <w:t>1.6.3</w:t>
      </w:r>
      <w:r>
        <w:rPr>
          <w:rFonts w:hint="eastAsia" w:ascii="宋体" w:hAnsi="宋体"/>
        </w:rPr>
        <w:t xml:space="preserve"> </w:t>
      </w:r>
      <w:r>
        <w:rPr>
          <w:rFonts w:ascii="宋体" w:hAnsi="宋体"/>
        </w:rPr>
        <w:t>现场外的工程</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1280"/>
        <w:rPr>
          <w:rFonts w:ascii="宋体"/>
        </w:rPr>
      </w:pPr>
      <w:r>
        <w:rPr>
          <w:rFonts w:ascii="宋体"/>
        </w:rPr>
        <w:t>不论是在施工现场边界内部或外部，对于所有涉及到河流、隧道和道路的工程，承包商应在开始施工前得到所有要求的批准文件，并且，承包商应与有关管理部门进行联系以确定这些施工的时间和实施安排。</w:t>
      </w:r>
    </w:p>
    <w:p>
      <w:pPr>
        <w:pStyle w:val="1280"/>
        <w:rPr>
          <w:rFonts w:ascii="宋体"/>
        </w:rPr>
      </w:pPr>
      <w:r>
        <w:rPr>
          <w:rFonts w:ascii="宋体"/>
        </w:rPr>
        <w:t>如果认为有必要在施工现场外开展某项工程，承包商应事先将其计划提交给项目监理和业主。并且，在项目监理和业主批准前，承包商不得开始这样的工程。</w:t>
      </w:r>
    </w:p>
    <w:p>
      <w:pPr>
        <w:pStyle w:val="1284"/>
        <w:outlineLvl w:val="0"/>
        <w:rPr>
          <w:rFonts w:ascii="宋体" w:hAnsi="宋体"/>
        </w:rPr>
      </w:pPr>
      <w:bookmarkStart w:id="266" w:name="_Toc396006239"/>
      <w:bookmarkStart w:id="267" w:name="_Toc396110367"/>
      <w:bookmarkStart w:id="268" w:name="_Toc396282800"/>
      <w:bookmarkStart w:id="269" w:name="_Toc396284755"/>
      <w:bookmarkStart w:id="270" w:name="_Toc397138339"/>
      <w:bookmarkStart w:id="271" w:name="_Toc397761331"/>
      <w:bookmarkStart w:id="272" w:name="_Toc398453475"/>
      <w:bookmarkStart w:id="273" w:name="_Toc398523275"/>
      <w:bookmarkStart w:id="274" w:name="_Toc16242250"/>
      <w:bookmarkStart w:id="275" w:name="_Toc517382414"/>
      <w:bookmarkStart w:id="276" w:name="_Toc518376462"/>
      <w:bookmarkStart w:id="277" w:name="_Toc521491783"/>
      <w:bookmarkStart w:id="278" w:name="_Toc521492640"/>
      <w:bookmarkStart w:id="279" w:name="_Toc521493314"/>
      <w:bookmarkStart w:id="280" w:name="_Toc106882962"/>
      <w:bookmarkStart w:id="281" w:name="_Toc395421307"/>
      <w:bookmarkStart w:id="282" w:name="_Toc395512308"/>
      <w:bookmarkStart w:id="283" w:name="_Toc395592609"/>
      <w:bookmarkStart w:id="284" w:name="_Toc395692965"/>
      <w:bookmarkStart w:id="285" w:name="_Toc395693169"/>
      <w:r>
        <w:rPr>
          <w:rFonts w:ascii="宋体" w:hAnsi="宋体"/>
        </w:rPr>
        <w:t>1.6.4</w:t>
      </w:r>
      <w:r>
        <w:rPr>
          <w:rFonts w:hint="eastAsia" w:ascii="宋体" w:hAnsi="宋体"/>
        </w:rPr>
        <w:t xml:space="preserve"> </w:t>
      </w:r>
      <w:r>
        <w:rPr>
          <w:rFonts w:ascii="宋体" w:hAnsi="宋体"/>
        </w:rPr>
        <w:t>公用道路上的工程</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1280"/>
        <w:rPr>
          <w:rFonts w:ascii="宋体"/>
        </w:rPr>
      </w:pPr>
      <w:r>
        <w:rPr>
          <w:rFonts w:ascii="宋体"/>
        </w:rPr>
        <w:t>当需要在公用道路（“公用道路”在本技术规范中是指街道、市政道路、公路或小道等用公共费用进行维护的设施）上或邻近进行某一项工程时，承包商在道路工程的交通安全管理及其它方面应遵循公安局或有关管理部门的要求和建议。</w:t>
      </w:r>
    </w:p>
    <w:p>
      <w:pPr>
        <w:pStyle w:val="1280"/>
        <w:rPr>
          <w:rFonts w:ascii="宋体"/>
        </w:rPr>
      </w:pPr>
      <w:r>
        <w:rPr>
          <w:rFonts w:ascii="宋体"/>
        </w:rPr>
        <w:t>如果因为工程施工，需要有一列施工车辆行驶或停放在公用道路上，承包商应按交通管理部门的规定提供并保持最小通过车道宽度，在道路转弯及交叉处提供并保持较宽的通过车道宽度，并且提供、使用和保持足够的、合适的交通信号标志。当在施工地段需要安排来往车辆进行单向交替通过时，承包商应提供人员以保证车流平稳通过并达到项目监理和业主的要求。</w:t>
      </w:r>
    </w:p>
    <w:p>
      <w:pPr>
        <w:pStyle w:val="1280"/>
        <w:rPr>
          <w:rFonts w:ascii="宋体"/>
        </w:rPr>
      </w:pPr>
      <w:r>
        <w:rPr>
          <w:rFonts w:ascii="宋体"/>
        </w:rPr>
        <w:t>如果工程施工需要关闭某一条道路，承包商应与有关的人员和管理部门进行交涉并将所有事宜安排妥当。当关闭道路的申请得到批准后，承包商应对该道路承担所有责任并且不使业主产生额外费用。如果由此而产生了任何索赔要求，承包商应就此对业主进行赔偿。如果关闭道路的申请被拒绝了，承包商无权要求业主支付由此而产生的额外费用。</w:t>
      </w:r>
    </w:p>
    <w:p>
      <w:pPr>
        <w:pStyle w:val="1284"/>
        <w:outlineLvl w:val="0"/>
        <w:rPr>
          <w:rFonts w:ascii="宋体" w:hAnsi="宋体"/>
        </w:rPr>
      </w:pPr>
      <w:bookmarkStart w:id="286" w:name="_Toc395403899"/>
      <w:bookmarkStart w:id="287" w:name="_Toc395421309"/>
      <w:bookmarkStart w:id="288" w:name="_Toc395512310"/>
      <w:bookmarkStart w:id="289" w:name="_Toc395592611"/>
      <w:bookmarkStart w:id="290" w:name="_Toc395692967"/>
      <w:bookmarkStart w:id="291" w:name="_Toc395693171"/>
      <w:bookmarkStart w:id="292" w:name="_Toc396006241"/>
      <w:bookmarkStart w:id="293" w:name="_Toc396110369"/>
      <w:bookmarkStart w:id="294" w:name="_Toc396282802"/>
      <w:bookmarkStart w:id="295" w:name="_Toc396284757"/>
      <w:bookmarkStart w:id="296" w:name="_Toc397138341"/>
      <w:bookmarkStart w:id="297" w:name="_Toc397761333"/>
      <w:bookmarkStart w:id="298" w:name="_Toc398453477"/>
      <w:bookmarkStart w:id="299" w:name="_Toc398523277"/>
      <w:bookmarkStart w:id="300" w:name="_Toc16242252"/>
      <w:bookmarkStart w:id="301" w:name="_Toc43107448"/>
      <w:bookmarkStart w:id="302" w:name="_Toc517382415"/>
      <w:bookmarkStart w:id="303" w:name="_Toc518376463"/>
      <w:bookmarkStart w:id="304" w:name="_Toc521491784"/>
      <w:bookmarkStart w:id="305" w:name="_Toc521492641"/>
      <w:bookmarkStart w:id="306" w:name="_Toc521493315"/>
      <w:bookmarkStart w:id="307" w:name="_Toc106882963"/>
      <w:r>
        <w:rPr>
          <w:rFonts w:ascii="宋体" w:hAnsi="宋体"/>
        </w:rPr>
        <w:t>1.6.</w:t>
      </w:r>
      <w:r>
        <w:rPr>
          <w:rFonts w:hint="eastAsia" w:ascii="宋体" w:hAnsi="宋体"/>
        </w:rPr>
        <w:t xml:space="preserve">5 </w:t>
      </w:r>
      <w:r>
        <w:rPr>
          <w:rFonts w:ascii="宋体" w:hAnsi="宋体"/>
        </w:rPr>
        <w:t>环境保护</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1280"/>
        <w:rPr>
          <w:rFonts w:ascii="宋体"/>
        </w:rPr>
      </w:pPr>
      <w:r>
        <w:rPr>
          <w:rFonts w:ascii="宋体"/>
        </w:rPr>
        <w:t>承包商应将工程施工对环境所造成的影响控制在最小。如果没有有关部门（如园林等）或项目业主、监理代表的批准，承包商不得砍倒、移动或损坏任何树木。承包商应该根据有关部门（交通管理部门和市容管理部门）的要求在工地现场四周设置必要的围墙和保护栅栏。</w:t>
      </w:r>
    </w:p>
    <w:p>
      <w:pPr>
        <w:pStyle w:val="1280"/>
        <w:rPr>
          <w:rFonts w:ascii="宋体"/>
        </w:rPr>
      </w:pPr>
      <w:r>
        <w:rPr>
          <w:rFonts w:ascii="宋体"/>
        </w:rPr>
        <w:t>如果工程施工将靠近相邻的社会单位进行且不可避免地将对他们产生影响，承包商应至少在工程开工前七天以书面形式通知这些单位的代表，并且为他们的车辆及行人提供临时通道。</w:t>
      </w:r>
    </w:p>
    <w:p>
      <w:pPr>
        <w:pStyle w:val="1280"/>
        <w:rPr>
          <w:rFonts w:ascii="宋体"/>
        </w:rPr>
      </w:pPr>
      <w:r>
        <w:rPr>
          <w:rFonts w:ascii="宋体"/>
        </w:rPr>
        <w:t>在施工中，承包商应该保护任何在施工现场所发现的有价值物品、古董和构筑物。一旦发现了这样的物品，承包商应立即暂停施工并通知项目监理。</w:t>
      </w:r>
    </w:p>
    <w:p>
      <w:pPr>
        <w:pStyle w:val="1280"/>
        <w:rPr>
          <w:rFonts w:ascii="宋体"/>
        </w:rPr>
      </w:pPr>
      <w:r>
        <w:rPr>
          <w:rFonts w:ascii="宋体"/>
        </w:rPr>
        <w:t>承包商在施工中应该遵守有关大气污染和水污染控制的现行法律和法规。考虑到在城区进行施工的工程，承包商还应对城区沿江环境加以保护，遵守地方的有关规定。</w:t>
      </w:r>
    </w:p>
    <w:p>
      <w:pPr>
        <w:pStyle w:val="1284"/>
        <w:outlineLvl w:val="0"/>
        <w:rPr>
          <w:rFonts w:ascii="宋体" w:hAnsi="宋体"/>
        </w:rPr>
      </w:pPr>
      <w:bookmarkStart w:id="308" w:name="_Toc43107449"/>
      <w:bookmarkStart w:id="309" w:name="_Toc517382416"/>
      <w:bookmarkStart w:id="310" w:name="_Toc518376464"/>
      <w:bookmarkStart w:id="311" w:name="_Toc521491785"/>
      <w:bookmarkStart w:id="312" w:name="_Toc521492642"/>
      <w:bookmarkStart w:id="313" w:name="_Toc521493316"/>
      <w:bookmarkStart w:id="314" w:name="_Toc106882964"/>
      <w:bookmarkStart w:id="315" w:name="_Toc395403900"/>
      <w:bookmarkStart w:id="316" w:name="_Toc395421310"/>
      <w:bookmarkStart w:id="317" w:name="_Toc395512311"/>
      <w:bookmarkStart w:id="318" w:name="_Toc395592612"/>
      <w:bookmarkStart w:id="319" w:name="_Toc395692968"/>
      <w:bookmarkStart w:id="320" w:name="_Toc395693172"/>
      <w:bookmarkStart w:id="321" w:name="_Toc396006242"/>
      <w:bookmarkStart w:id="322" w:name="_Toc396110370"/>
      <w:bookmarkStart w:id="323" w:name="_Toc396282803"/>
      <w:bookmarkStart w:id="324" w:name="_Toc396284758"/>
      <w:bookmarkStart w:id="325" w:name="_Toc397138342"/>
      <w:bookmarkStart w:id="326" w:name="_Toc397761334"/>
      <w:bookmarkStart w:id="327" w:name="_Toc398453478"/>
      <w:bookmarkStart w:id="328" w:name="_Toc398523278"/>
      <w:bookmarkStart w:id="329" w:name="_Toc16242253"/>
      <w:r>
        <w:rPr>
          <w:rFonts w:ascii="宋体" w:hAnsi="宋体"/>
        </w:rPr>
        <w:t>1.6.</w:t>
      </w:r>
      <w:r>
        <w:rPr>
          <w:rFonts w:hint="eastAsia" w:ascii="宋体" w:hAnsi="宋体"/>
        </w:rPr>
        <w:t xml:space="preserve">6 </w:t>
      </w:r>
      <w:r>
        <w:rPr>
          <w:rFonts w:ascii="宋体" w:hAnsi="宋体"/>
        </w:rPr>
        <w:t>邻近社会单位的通道</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1280"/>
        <w:rPr>
          <w:rFonts w:ascii="宋体"/>
        </w:rPr>
      </w:pPr>
      <w:r>
        <w:rPr>
          <w:rFonts w:ascii="宋体"/>
        </w:rPr>
        <w:t>如果工程施工将不可避免地影响邻近社会单位的通道及道路，承包商应至少提前7天向这些财产的拥有者发出书面通知，并且应为其车辆、动物和行人提供临时性的通道。</w:t>
      </w:r>
    </w:p>
    <w:p>
      <w:pPr>
        <w:pStyle w:val="1280"/>
        <w:rPr>
          <w:rFonts w:ascii="宋体"/>
        </w:rPr>
      </w:pPr>
      <w:r>
        <w:rPr>
          <w:rFonts w:ascii="宋体"/>
        </w:rPr>
        <w:t>如果工程施工将不可避免地影响邻近社会单位的通道或道路，承包商在施工前应接受邻近财产拥有者和项目监理和业主所提出的复原标准。一般情况下，复原工作应至少达到施工开始前的标准。</w:t>
      </w:r>
    </w:p>
    <w:p>
      <w:pPr>
        <w:pStyle w:val="1284"/>
        <w:outlineLvl w:val="0"/>
        <w:rPr>
          <w:rFonts w:ascii="宋体" w:hAnsi="宋体"/>
        </w:rPr>
      </w:pPr>
      <w:bookmarkStart w:id="330" w:name="_Toc395403901"/>
      <w:bookmarkStart w:id="331" w:name="_Toc395421311"/>
      <w:bookmarkStart w:id="332" w:name="_Toc395512312"/>
      <w:bookmarkStart w:id="333" w:name="_Toc395592613"/>
      <w:bookmarkStart w:id="334" w:name="_Toc395692969"/>
      <w:bookmarkStart w:id="335" w:name="_Toc395693173"/>
      <w:bookmarkStart w:id="336" w:name="_Toc396006243"/>
      <w:bookmarkStart w:id="337" w:name="_Toc396110371"/>
      <w:bookmarkStart w:id="338" w:name="_Toc396282804"/>
      <w:bookmarkStart w:id="339" w:name="_Toc396284759"/>
      <w:bookmarkStart w:id="340" w:name="_Toc397138343"/>
      <w:bookmarkStart w:id="341" w:name="_Toc397761335"/>
      <w:bookmarkStart w:id="342" w:name="_Toc398453479"/>
      <w:bookmarkStart w:id="343" w:name="_Toc398523279"/>
      <w:bookmarkStart w:id="344" w:name="_Toc16242254"/>
      <w:bookmarkStart w:id="345" w:name="_Toc43107450"/>
      <w:bookmarkStart w:id="346" w:name="_Toc517382417"/>
      <w:bookmarkStart w:id="347" w:name="_Toc518376465"/>
      <w:bookmarkStart w:id="348" w:name="_Toc521491786"/>
      <w:bookmarkStart w:id="349" w:name="_Toc521492643"/>
      <w:bookmarkStart w:id="350" w:name="_Toc521493317"/>
      <w:bookmarkStart w:id="351" w:name="_Toc106882965"/>
      <w:r>
        <w:rPr>
          <w:rFonts w:ascii="宋体" w:hAnsi="宋体"/>
        </w:rPr>
        <w:t>1.6.</w:t>
      </w:r>
      <w:r>
        <w:rPr>
          <w:rFonts w:hint="eastAsia" w:ascii="宋体" w:hAnsi="宋体"/>
        </w:rPr>
        <w:t xml:space="preserve">7 </w:t>
      </w:r>
      <w:r>
        <w:rPr>
          <w:rFonts w:ascii="宋体" w:hAnsi="宋体"/>
        </w:rPr>
        <w:t>现场的复原</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1280"/>
        <w:rPr>
          <w:rFonts w:ascii="宋体"/>
        </w:rPr>
      </w:pPr>
      <w:r>
        <w:rPr>
          <w:rFonts w:ascii="宋体"/>
        </w:rPr>
        <w:t>当项目监理和业主已经批准一项工程或工程的一部分时，承包商应按照本合同通用条款的有关要求来清理所有的临时性工程场地和临时通道，将这些场地恢复到原有状况，并达到令项目监理满意的程度。</w:t>
      </w:r>
    </w:p>
    <w:p>
      <w:pPr>
        <w:pStyle w:val="1280"/>
        <w:rPr>
          <w:rFonts w:ascii="宋体"/>
        </w:rPr>
      </w:pPr>
      <w:r>
        <w:rPr>
          <w:rFonts w:ascii="宋体"/>
        </w:rPr>
        <w:t>在任何一项工程开始时，承包商应书面同意项目监理和业主所提出的复原和修复标准。一般情况下，复原工作应至少达到施工开始前的标准。</w:t>
      </w:r>
    </w:p>
    <w:p>
      <w:pPr>
        <w:pStyle w:val="1284"/>
        <w:outlineLvl w:val="0"/>
        <w:rPr>
          <w:rFonts w:ascii="宋体" w:hAnsi="宋体"/>
        </w:rPr>
      </w:pPr>
      <w:bookmarkStart w:id="352" w:name="_Toc517382418"/>
      <w:bookmarkStart w:id="353" w:name="_Toc518376466"/>
      <w:bookmarkStart w:id="354" w:name="_Toc521491787"/>
      <w:bookmarkStart w:id="355" w:name="_Toc521492644"/>
      <w:bookmarkStart w:id="356" w:name="_Toc521493318"/>
      <w:bookmarkStart w:id="357" w:name="_Toc106882966"/>
      <w:r>
        <w:rPr>
          <w:rFonts w:ascii="宋体" w:hAnsi="宋体"/>
        </w:rPr>
        <w:t>1.6.</w:t>
      </w:r>
      <w:r>
        <w:rPr>
          <w:rFonts w:hint="eastAsia" w:ascii="宋体" w:hAnsi="宋体"/>
        </w:rPr>
        <w:t xml:space="preserve">8 </w:t>
      </w:r>
      <w:r>
        <w:rPr>
          <w:rFonts w:ascii="宋体" w:hAnsi="宋体"/>
        </w:rPr>
        <w:t>施工设施和临时性设施</w:t>
      </w:r>
      <w:bookmarkEnd w:id="352"/>
      <w:bookmarkEnd w:id="353"/>
      <w:bookmarkEnd w:id="354"/>
      <w:bookmarkEnd w:id="355"/>
      <w:bookmarkEnd w:id="356"/>
      <w:bookmarkEnd w:id="357"/>
    </w:p>
    <w:p>
      <w:pPr>
        <w:pStyle w:val="1280"/>
        <w:rPr>
          <w:rFonts w:ascii="宋体"/>
        </w:rPr>
      </w:pPr>
      <w:r>
        <w:rPr>
          <w:rFonts w:ascii="宋体"/>
        </w:rPr>
        <w:t>承包商应负责将工地现场维护在良好的状态直到项目监理发出完工证书为止，或者直到项目监理</w:t>
      </w:r>
      <w:r>
        <w:rPr>
          <w:rFonts w:hint="eastAsia" w:ascii="宋体"/>
        </w:rPr>
        <w:t>（</w:t>
      </w:r>
      <w:r>
        <w:rPr>
          <w:rFonts w:ascii="宋体"/>
        </w:rPr>
        <w:t>据项目监理的判断</w:t>
      </w:r>
      <w:r>
        <w:rPr>
          <w:rFonts w:hint="eastAsia" w:ascii="宋体"/>
        </w:rPr>
        <w:t>）</w:t>
      </w:r>
      <w:r>
        <w:rPr>
          <w:rFonts w:ascii="宋体"/>
        </w:rPr>
        <w:t>提前发出有关该事项的书面通知为止。</w:t>
      </w:r>
    </w:p>
    <w:p>
      <w:pPr>
        <w:pStyle w:val="1280"/>
        <w:rPr>
          <w:rFonts w:ascii="宋体"/>
        </w:rPr>
      </w:pPr>
      <w:r>
        <w:rPr>
          <w:rFonts w:ascii="宋体"/>
        </w:rPr>
        <w:t>承包商须提供所需劳动力、工程材料、附属设备、必要的配套设施、施工设备以及合同规定的各项服务，完成所有必要的临时工程的设计、建设、运行、维护及工程全部完成后的拆除与地面恢复。包括但不限于，合同规定的现场范围内的承包商办公室、驻地、仓库、工棚、供水、供电、通讯、排水、施工标志、临时围挡、施工便道、施工便桥及其它临时设施施工、设备供应、安装、调试，设施的管理和维护，工程完工验收后的清场、撤退人员和拆除、场地恢复平整及环境恢复等工作，并达到技术规范的要求以及项目监理满意的标准。</w:t>
      </w:r>
    </w:p>
    <w:p>
      <w:pPr>
        <w:pStyle w:val="1284"/>
        <w:outlineLvl w:val="0"/>
        <w:rPr>
          <w:rFonts w:ascii="宋体" w:hAnsi="宋体"/>
        </w:rPr>
      </w:pPr>
      <w:bookmarkStart w:id="358" w:name="_Toc517382419"/>
      <w:bookmarkStart w:id="359" w:name="_Toc518376467"/>
      <w:bookmarkStart w:id="360" w:name="_Toc521491788"/>
      <w:bookmarkStart w:id="361" w:name="_Toc521492645"/>
      <w:bookmarkStart w:id="362" w:name="_Toc521493319"/>
      <w:bookmarkStart w:id="363" w:name="_Toc106882967"/>
      <w:r>
        <w:rPr>
          <w:rFonts w:ascii="宋体" w:hAnsi="宋体"/>
        </w:rPr>
        <w:t>1.6.</w:t>
      </w:r>
      <w:r>
        <w:rPr>
          <w:rFonts w:hint="eastAsia" w:ascii="宋体" w:hAnsi="宋体"/>
        </w:rPr>
        <w:t xml:space="preserve">9 </w:t>
      </w:r>
      <w:r>
        <w:rPr>
          <w:rFonts w:ascii="宋体" w:hAnsi="宋体"/>
        </w:rPr>
        <w:t>现有设施和构筑物</w:t>
      </w:r>
      <w:bookmarkEnd w:id="358"/>
      <w:bookmarkEnd w:id="359"/>
      <w:bookmarkEnd w:id="360"/>
      <w:bookmarkEnd w:id="361"/>
      <w:bookmarkEnd w:id="362"/>
      <w:bookmarkEnd w:id="363"/>
    </w:p>
    <w:p>
      <w:pPr>
        <w:pStyle w:val="1280"/>
        <w:rPr>
          <w:rFonts w:ascii="宋体"/>
        </w:rPr>
      </w:pPr>
      <w:r>
        <w:rPr>
          <w:rFonts w:ascii="宋体"/>
        </w:rPr>
        <w:t>承包商应负责修复或赔偿其施工对现有设施或环境所造成的破坏。承包商应将所有受到损坏的设施和受到破坏的环境修复到令项目监理和所有者满意的程度。</w:t>
      </w:r>
    </w:p>
    <w:p>
      <w:pPr>
        <w:pStyle w:val="1284"/>
        <w:outlineLvl w:val="0"/>
        <w:rPr>
          <w:rFonts w:ascii="宋体" w:hAnsi="宋体"/>
        </w:rPr>
      </w:pPr>
      <w:bookmarkStart w:id="364" w:name="_Toc106882968"/>
      <w:bookmarkStart w:id="365" w:name="_Toc521493320"/>
      <w:bookmarkStart w:id="366" w:name="_Toc521492646"/>
      <w:bookmarkStart w:id="367" w:name="_Toc521491789"/>
      <w:bookmarkStart w:id="368" w:name="_Toc518376468"/>
      <w:bookmarkStart w:id="369" w:name="_Toc517382420"/>
      <w:r>
        <w:rPr>
          <w:rFonts w:ascii="宋体" w:hAnsi="宋体"/>
        </w:rPr>
        <w:t>1.6.1</w:t>
      </w:r>
      <w:r>
        <w:rPr>
          <w:rFonts w:hint="eastAsia" w:ascii="宋体" w:hAnsi="宋体"/>
        </w:rPr>
        <w:t xml:space="preserve">0 </w:t>
      </w:r>
      <w:r>
        <w:rPr>
          <w:rFonts w:ascii="宋体" w:hAnsi="宋体"/>
        </w:rPr>
        <w:t>现有状况的测量</w:t>
      </w:r>
      <w:bookmarkEnd w:id="364"/>
      <w:bookmarkEnd w:id="365"/>
      <w:bookmarkEnd w:id="366"/>
      <w:bookmarkEnd w:id="367"/>
      <w:bookmarkEnd w:id="368"/>
      <w:bookmarkEnd w:id="369"/>
    </w:p>
    <w:p>
      <w:pPr>
        <w:pStyle w:val="1280"/>
        <w:rPr>
          <w:rFonts w:ascii="宋体"/>
        </w:rPr>
      </w:pPr>
      <w:r>
        <w:rPr>
          <w:rFonts w:ascii="宋体"/>
        </w:rPr>
        <w:t>承包商应按下述要求进行现场测量工作。所有的标高应参照设置在施工影响区域外的初始参照点来测定，且应达到</w:t>
      </w:r>
      <w:r>
        <w:rPr>
          <w:rFonts w:ascii="宋体"/>
        </w:rPr>
        <w:sym w:font="Symbol" w:char="F0B1"/>
      </w:r>
      <w:r>
        <w:rPr>
          <w:rFonts w:ascii="宋体"/>
        </w:rPr>
        <w:t>0.3mm的精确度。所有的测量结果应当天提交给项目监理一份。</w:t>
      </w:r>
    </w:p>
    <w:p>
      <w:pPr>
        <w:pStyle w:val="1280"/>
        <w:rPr>
          <w:rFonts w:ascii="宋体"/>
        </w:rPr>
      </w:pPr>
      <w:r>
        <w:rPr>
          <w:rFonts w:ascii="宋体"/>
        </w:rPr>
        <w:t>沉降测量</w:t>
      </w:r>
    </w:p>
    <w:p>
      <w:pPr>
        <w:pStyle w:val="1280"/>
        <w:rPr>
          <w:rFonts w:ascii="宋体"/>
        </w:rPr>
      </w:pPr>
      <w:r>
        <w:rPr>
          <w:rFonts w:ascii="宋体"/>
        </w:rPr>
        <w:t>沿项目监理指定的路线每隔100m左右应设立一个的沉降测量参照交叉点，在每个交叉处应设置三个点：在道路中线处设置一点，在中线左右5m处各设置一点。</w:t>
      </w:r>
    </w:p>
    <w:p>
      <w:pPr>
        <w:pStyle w:val="1280"/>
        <w:rPr>
          <w:rFonts w:ascii="宋体"/>
        </w:rPr>
      </w:pPr>
      <w:r>
        <w:rPr>
          <w:rFonts w:ascii="宋体"/>
        </w:rPr>
        <w:t>在下述情况下，应对每个参照交叉点进行测量：</w:t>
      </w:r>
    </w:p>
    <w:p>
      <w:pPr>
        <w:pStyle w:val="1280"/>
        <w:rPr>
          <w:rFonts w:ascii="宋体"/>
        </w:rPr>
      </w:pPr>
      <w:r>
        <w:rPr>
          <w:rFonts w:ascii="宋体"/>
        </w:rPr>
        <w:t>当道路位于交叉点的25m范围内；</w:t>
      </w:r>
    </w:p>
    <w:p>
      <w:pPr>
        <w:pStyle w:val="1280"/>
        <w:rPr>
          <w:rFonts w:ascii="宋体"/>
        </w:rPr>
      </w:pPr>
      <w:r>
        <w:rPr>
          <w:rFonts w:ascii="宋体"/>
        </w:rPr>
        <w:t>当道路正好在交叉点下经过；</w:t>
      </w:r>
    </w:p>
    <w:p>
      <w:pPr>
        <w:pStyle w:val="1280"/>
        <w:rPr>
          <w:rFonts w:ascii="宋体"/>
        </w:rPr>
      </w:pPr>
      <w:r>
        <w:rPr>
          <w:rFonts w:ascii="宋体"/>
        </w:rPr>
        <w:t>当道路位于交叉点处已完成灌浆或回填并已作临时性恢复；</w:t>
      </w:r>
    </w:p>
    <w:p>
      <w:pPr>
        <w:pStyle w:val="1280"/>
        <w:rPr>
          <w:rFonts w:ascii="宋体"/>
        </w:rPr>
      </w:pPr>
      <w:r>
        <w:rPr>
          <w:rFonts w:ascii="宋体"/>
        </w:rPr>
        <w:t>道路已完成灌浆或回填并已作临时性恢复2周后；</w:t>
      </w:r>
    </w:p>
    <w:p>
      <w:pPr>
        <w:pStyle w:val="1280"/>
        <w:rPr>
          <w:rFonts w:ascii="宋体"/>
        </w:rPr>
      </w:pPr>
      <w:r>
        <w:rPr>
          <w:rFonts w:ascii="宋体"/>
        </w:rPr>
        <w:t>道路已完成灌浆或回填并已作临时性恢复8周后。</w:t>
      </w:r>
    </w:p>
    <w:p>
      <w:pPr>
        <w:pStyle w:val="1280"/>
        <w:rPr>
          <w:rFonts w:ascii="宋体"/>
        </w:rPr>
      </w:pPr>
      <w:r>
        <w:rPr>
          <w:rFonts w:ascii="宋体"/>
        </w:rPr>
        <w:t>监测测量</w:t>
      </w:r>
    </w:p>
    <w:p>
      <w:pPr>
        <w:pStyle w:val="1280"/>
        <w:rPr>
          <w:rFonts w:ascii="宋体"/>
        </w:rPr>
      </w:pPr>
      <w:r>
        <w:rPr>
          <w:rFonts w:ascii="宋体"/>
        </w:rPr>
        <w:t>现场由于道路的施工对附近建筑物与构筑物有一定的影响，需要对建筑物与构筑物进行监测调查或沉降观测等，承包商应该在由项目监理指定的地点进行一系列的观测，沉降观测应根据《建筑地基基础设计规范》</w:t>
      </w:r>
      <w:r>
        <w:rPr>
          <w:rFonts w:hint="eastAsia" w:ascii="宋体"/>
        </w:rPr>
        <w:t>（</w:t>
      </w:r>
      <w:r>
        <w:rPr>
          <w:rFonts w:ascii="宋体"/>
        </w:rPr>
        <w:t>GB</w:t>
      </w:r>
      <w:r>
        <w:rPr>
          <w:rFonts w:hint="eastAsia" w:ascii="宋体"/>
        </w:rPr>
        <w:t xml:space="preserve"> </w:t>
      </w:r>
      <w:r>
        <w:rPr>
          <w:rFonts w:ascii="宋体"/>
        </w:rPr>
        <w:t>50007-2011</w:t>
      </w:r>
      <w:r>
        <w:rPr>
          <w:rFonts w:hint="eastAsia" w:ascii="宋体"/>
        </w:rPr>
        <w:t>）</w:t>
      </w:r>
      <w:r>
        <w:rPr>
          <w:rFonts w:ascii="宋体"/>
        </w:rPr>
        <w:t>中的有关要求进行，监测调查包括</w:t>
      </w:r>
      <w:r>
        <w:rPr>
          <w:rFonts w:hint="eastAsia" w:ascii="宋体"/>
        </w:rPr>
        <w:t>（</w:t>
      </w:r>
      <w:r>
        <w:rPr>
          <w:rFonts w:ascii="宋体"/>
        </w:rPr>
        <w:t>但不仅仅限于</w:t>
      </w:r>
      <w:r>
        <w:rPr>
          <w:rFonts w:hint="eastAsia" w:ascii="宋体"/>
        </w:rPr>
        <w:t>）</w:t>
      </w:r>
      <w:r>
        <w:rPr>
          <w:rFonts w:ascii="宋体"/>
        </w:rPr>
        <w:t>下列内容：</w:t>
      </w:r>
    </w:p>
    <w:p>
      <w:pPr>
        <w:pStyle w:val="1280"/>
        <w:rPr>
          <w:rFonts w:ascii="宋体"/>
        </w:rPr>
      </w:pPr>
      <w:r>
        <w:rPr>
          <w:rFonts w:ascii="宋体"/>
        </w:rPr>
        <w:t>设置定位标记。</w:t>
      </w:r>
    </w:p>
    <w:p>
      <w:pPr>
        <w:pStyle w:val="1280"/>
        <w:rPr>
          <w:rFonts w:ascii="宋体"/>
        </w:rPr>
      </w:pPr>
      <w:r>
        <w:rPr>
          <w:rFonts w:ascii="宋体"/>
        </w:rPr>
        <w:t>参照点的设置和后续监测。</w:t>
      </w:r>
    </w:p>
    <w:p>
      <w:pPr>
        <w:pStyle w:val="1280"/>
        <w:rPr>
          <w:rFonts w:ascii="宋体"/>
        </w:rPr>
      </w:pPr>
      <w:r>
        <w:rPr>
          <w:rFonts w:ascii="宋体"/>
        </w:rPr>
        <w:t>水准基点的设置；</w:t>
      </w:r>
    </w:p>
    <w:p>
      <w:pPr>
        <w:pStyle w:val="1280"/>
        <w:rPr>
          <w:rFonts w:ascii="宋体"/>
        </w:rPr>
      </w:pPr>
      <w:r>
        <w:rPr>
          <w:rFonts w:ascii="宋体"/>
        </w:rPr>
        <w:t>观测点的设置；</w:t>
      </w:r>
    </w:p>
    <w:p>
      <w:pPr>
        <w:pStyle w:val="1280"/>
        <w:rPr>
          <w:rFonts w:ascii="宋体"/>
        </w:rPr>
      </w:pPr>
      <w:r>
        <w:rPr>
          <w:rFonts w:ascii="宋体"/>
        </w:rPr>
        <w:t>水准测量。</w:t>
      </w:r>
    </w:p>
    <w:p>
      <w:pPr>
        <w:pStyle w:val="1280"/>
        <w:rPr>
          <w:rFonts w:ascii="宋体"/>
        </w:rPr>
      </w:pPr>
      <w:r>
        <w:rPr>
          <w:rFonts w:ascii="宋体"/>
        </w:rPr>
        <w:t>定位标记应为：</w:t>
      </w:r>
    </w:p>
    <w:p>
      <w:pPr>
        <w:pStyle w:val="1280"/>
        <w:rPr>
          <w:rFonts w:ascii="宋体"/>
        </w:rPr>
      </w:pPr>
      <w:r>
        <w:rPr>
          <w:rFonts w:ascii="宋体"/>
        </w:rPr>
        <w:t>用耐久的丙烯酸类塑料制成的标准定位标记，用于监测横缝移动。</w:t>
      </w:r>
    </w:p>
    <w:p>
      <w:pPr>
        <w:pStyle w:val="1280"/>
        <w:rPr>
          <w:rFonts w:ascii="宋体"/>
        </w:rPr>
      </w:pPr>
      <w:r>
        <w:rPr>
          <w:rFonts w:ascii="宋体"/>
        </w:rPr>
        <w:t>黄铜监测螺旋止动器(与卡钳一起使用)。</w:t>
      </w:r>
    </w:p>
    <w:p>
      <w:pPr>
        <w:pStyle w:val="1280"/>
        <w:rPr>
          <w:rFonts w:ascii="宋体"/>
        </w:rPr>
      </w:pPr>
      <w:r>
        <w:rPr>
          <w:rFonts w:ascii="宋体"/>
        </w:rPr>
        <w:t>除非另有规定，承包商应该使用可拆换的参照点。这些参照点由不锈钢吊环螺栓组成</w:t>
      </w:r>
      <w:r>
        <w:rPr>
          <w:rFonts w:hint="eastAsia" w:ascii="宋体"/>
        </w:rPr>
        <w:t>（</w:t>
      </w:r>
      <w:r>
        <w:rPr>
          <w:rFonts w:ascii="宋体"/>
        </w:rPr>
        <w:t>内部有螺纹可以套住锚柄</w:t>
      </w:r>
      <w:r>
        <w:rPr>
          <w:rFonts w:hint="eastAsia" w:ascii="宋体"/>
        </w:rPr>
        <w:t>）</w:t>
      </w:r>
      <w:r>
        <w:rPr>
          <w:rFonts w:ascii="宋体"/>
        </w:rPr>
        <w:t>，其总体尺寸为长60mm，直径30mm。用于把天然树脂灌入砖砌体、岩石或混凝土结构的锚柄应由一个直径为20mm镀镉钢制地脚螺栓构成，其尾端上应有外螺纹以用于安装可拆换参照点，并且应带有配套的塑料保护帽和完整的保持环。</w:t>
      </w:r>
    </w:p>
    <w:p>
      <w:pPr>
        <w:pStyle w:val="1284"/>
        <w:outlineLvl w:val="0"/>
        <w:rPr>
          <w:rFonts w:ascii="宋体" w:hAnsi="宋体"/>
        </w:rPr>
      </w:pPr>
      <w:bookmarkStart w:id="370" w:name="_Toc517382421"/>
      <w:bookmarkStart w:id="371" w:name="_Toc518376469"/>
      <w:bookmarkStart w:id="372" w:name="_Toc521491790"/>
      <w:bookmarkStart w:id="373" w:name="_Toc521492647"/>
      <w:bookmarkStart w:id="374" w:name="_Toc521493321"/>
      <w:bookmarkStart w:id="375" w:name="_Toc106882969"/>
      <w:r>
        <w:rPr>
          <w:rFonts w:ascii="宋体" w:hAnsi="宋体"/>
        </w:rPr>
        <w:t>1.6.1</w:t>
      </w:r>
      <w:r>
        <w:rPr>
          <w:rFonts w:hint="eastAsia" w:ascii="宋体" w:hAnsi="宋体"/>
        </w:rPr>
        <w:t xml:space="preserve">1 </w:t>
      </w:r>
      <w:r>
        <w:rPr>
          <w:rFonts w:ascii="宋体" w:hAnsi="宋体"/>
        </w:rPr>
        <w:t>现有设施的保护</w:t>
      </w:r>
      <w:bookmarkEnd w:id="370"/>
      <w:bookmarkEnd w:id="371"/>
      <w:bookmarkEnd w:id="372"/>
      <w:bookmarkEnd w:id="373"/>
      <w:bookmarkEnd w:id="374"/>
      <w:bookmarkEnd w:id="375"/>
    </w:p>
    <w:p>
      <w:pPr>
        <w:pStyle w:val="1280"/>
        <w:rPr>
          <w:rFonts w:ascii="宋体"/>
        </w:rPr>
      </w:pPr>
      <w:r>
        <w:rPr>
          <w:rFonts w:ascii="宋体"/>
        </w:rPr>
        <w:t>承包商应使用电子定位设备来进行一次调查，以确定所有通过永久性工程用地的现有设施的位置。</w:t>
      </w:r>
    </w:p>
    <w:p>
      <w:pPr>
        <w:pStyle w:val="1280"/>
        <w:rPr>
          <w:rFonts w:ascii="宋体"/>
        </w:rPr>
      </w:pPr>
      <w:r>
        <w:rPr>
          <w:rFonts w:ascii="宋体"/>
        </w:rPr>
        <w:t>在此，“设施”应被认为是包括所有的管道、电缆、导管、排水管或用于输送液体、气体、电力、遥测信号、电话信号等的主干管及道路、排水渠道、建（构）物等，不论它们是位于地上还是位于地下。</w:t>
      </w:r>
    </w:p>
    <w:p>
      <w:pPr>
        <w:pStyle w:val="1280"/>
        <w:rPr>
          <w:rFonts w:ascii="宋体"/>
        </w:rPr>
      </w:pPr>
      <w:r>
        <w:rPr>
          <w:rFonts w:ascii="宋体"/>
        </w:rPr>
        <w:t>承包商应很好地规划施工，将对现有设施的影响降低到最小。承包商应进行以下工作但不仅限于以下工作：</w:t>
      </w:r>
    </w:p>
    <w:p>
      <w:pPr>
        <w:pStyle w:val="1280"/>
        <w:rPr>
          <w:rFonts w:ascii="宋体"/>
        </w:rPr>
      </w:pPr>
      <w:r>
        <w:rPr>
          <w:rFonts w:ascii="宋体"/>
        </w:rPr>
        <w:t>在开挖和安装时对现有设施进行临时性支撑；</w:t>
      </w:r>
    </w:p>
    <w:p>
      <w:pPr>
        <w:pStyle w:val="1280"/>
        <w:rPr>
          <w:rFonts w:ascii="宋体"/>
        </w:rPr>
      </w:pPr>
      <w:r>
        <w:rPr>
          <w:rFonts w:ascii="宋体"/>
        </w:rPr>
        <w:t>与有关管理部门或机构以及私立组织或团体进行联系；</w:t>
      </w:r>
    </w:p>
    <w:p>
      <w:pPr>
        <w:pStyle w:val="1280"/>
        <w:rPr>
          <w:rFonts w:ascii="宋体"/>
        </w:rPr>
      </w:pPr>
      <w:r>
        <w:rPr>
          <w:rFonts w:ascii="宋体"/>
        </w:rPr>
        <w:t>临时性改道；</w:t>
      </w:r>
    </w:p>
    <w:p>
      <w:pPr>
        <w:pStyle w:val="1280"/>
        <w:rPr>
          <w:rFonts w:ascii="宋体"/>
        </w:rPr>
      </w:pPr>
      <w:r>
        <w:rPr>
          <w:rFonts w:ascii="宋体"/>
        </w:rPr>
        <w:t>永久性改道（如果需要）；</w:t>
      </w:r>
    </w:p>
    <w:p>
      <w:pPr>
        <w:pStyle w:val="1280"/>
        <w:rPr>
          <w:rFonts w:ascii="宋体"/>
        </w:rPr>
      </w:pPr>
      <w:r>
        <w:rPr>
          <w:rFonts w:ascii="宋体"/>
        </w:rPr>
        <w:t>申请得到所有的许可证、执照和许可；</w:t>
      </w:r>
    </w:p>
    <w:p>
      <w:pPr>
        <w:pStyle w:val="1280"/>
        <w:rPr>
          <w:rFonts w:ascii="宋体"/>
        </w:rPr>
      </w:pPr>
      <w:r>
        <w:rPr>
          <w:rFonts w:ascii="宋体"/>
        </w:rPr>
        <w:t>合适的保护；</w:t>
      </w:r>
    </w:p>
    <w:p>
      <w:pPr>
        <w:pStyle w:val="1280"/>
        <w:rPr>
          <w:rFonts w:ascii="宋体"/>
        </w:rPr>
      </w:pPr>
      <w:r>
        <w:rPr>
          <w:rFonts w:ascii="宋体"/>
        </w:rPr>
        <w:t>合适地复原。</w:t>
      </w:r>
    </w:p>
    <w:p>
      <w:pPr>
        <w:pStyle w:val="1280"/>
        <w:rPr>
          <w:rFonts w:ascii="宋体"/>
        </w:rPr>
      </w:pPr>
      <w:r>
        <w:rPr>
          <w:rFonts w:ascii="宋体"/>
        </w:rPr>
        <w:t>即使已进行了上述工作，承包商仍应对所有因其施工而造成的现有设施损坏负责。承包商应以其自己的费用来修复因其施工而受到损坏的现有设施，并达到令项目监理和这些设施的所有者满意的程度。</w:t>
      </w:r>
    </w:p>
    <w:p>
      <w:pPr>
        <w:pStyle w:val="1280"/>
        <w:rPr>
          <w:rFonts w:ascii="宋体"/>
        </w:rPr>
      </w:pPr>
      <w:r>
        <w:rPr>
          <w:rFonts w:ascii="宋体"/>
        </w:rPr>
        <w:t>在架空输电线邻近进行施工时，承包商应采取必要的回避、保护和安全措施。所有有关上述工作的费用应计入承包商的报价。</w:t>
      </w:r>
    </w:p>
    <w:p>
      <w:pPr>
        <w:pStyle w:val="1284"/>
        <w:outlineLvl w:val="0"/>
        <w:rPr>
          <w:rFonts w:ascii="宋体" w:hAnsi="宋体"/>
        </w:rPr>
      </w:pPr>
      <w:bookmarkStart w:id="376" w:name="_Toc517382422"/>
      <w:bookmarkStart w:id="377" w:name="_Toc518376470"/>
      <w:bookmarkStart w:id="378" w:name="_Toc521491791"/>
      <w:bookmarkStart w:id="379" w:name="_Toc521492648"/>
      <w:bookmarkStart w:id="380" w:name="_Toc521493322"/>
      <w:bookmarkStart w:id="381" w:name="_Toc106882970"/>
      <w:r>
        <w:rPr>
          <w:rFonts w:ascii="宋体" w:hAnsi="宋体"/>
        </w:rPr>
        <w:t>1.6.1</w:t>
      </w:r>
      <w:r>
        <w:rPr>
          <w:rFonts w:hint="eastAsia" w:ascii="宋体" w:hAnsi="宋体"/>
        </w:rPr>
        <w:t xml:space="preserve">2 </w:t>
      </w:r>
      <w:r>
        <w:rPr>
          <w:rFonts w:ascii="宋体" w:hAnsi="宋体"/>
        </w:rPr>
        <w:t>现有设施的继续工作</w:t>
      </w:r>
      <w:bookmarkEnd w:id="376"/>
      <w:bookmarkEnd w:id="377"/>
      <w:bookmarkEnd w:id="378"/>
      <w:bookmarkEnd w:id="379"/>
      <w:bookmarkEnd w:id="380"/>
      <w:bookmarkEnd w:id="381"/>
    </w:p>
    <w:p>
      <w:pPr>
        <w:pStyle w:val="1280"/>
        <w:rPr>
          <w:rFonts w:ascii="宋体"/>
        </w:rPr>
      </w:pPr>
      <w:r>
        <w:rPr>
          <w:rFonts w:ascii="宋体"/>
        </w:rPr>
        <w:t>在整个施工过程期间，承包商应保持原有排水系统的通畅。如果承包商没有保持原有设施继续工作，则应赔偿业主由此而产生的或与此有关的所有索赔、诉讼、损坏、费用、罚款和花费。为了防止这种情况的出现，承包商应采取必要的措施，包括修建临时性工程或安装附加的排水设施等。</w:t>
      </w:r>
    </w:p>
    <w:p>
      <w:pPr>
        <w:pStyle w:val="1280"/>
        <w:rPr>
          <w:rFonts w:ascii="宋体"/>
        </w:rPr>
      </w:pPr>
      <w:r>
        <w:rPr>
          <w:rFonts w:ascii="宋体"/>
        </w:rPr>
        <w:t>承包商应尽可能地安排好对临时性工程场地的占用，以使日常施工工作和现有设施及泵站的维护工作之间的相互影响保持在最小。</w:t>
      </w:r>
    </w:p>
    <w:p>
      <w:pPr>
        <w:pStyle w:val="1280"/>
        <w:rPr>
          <w:rFonts w:ascii="宋体"/>
        </w:rPr>
      </w:pPr>
      <w:r>
        <w:rPr>
          <w:rFonts w:ascii="宋体"/>
        </w:rPr>
        <w:t>承包商在提交关闭现有设施的申请时应同时提交一份工作方法说明。现有设施的关闭时间应尽可能地保持在最小。如果承包商计划将某一水流改道，则应至少提前6周通知项目监理。</w:t>
      </w:r>
    </w:p>
    <w:p>
      <w:pPr>
        <w:pStyle w:val="1284"/>
        <w:outlineLvl w:val="0"/>
        <w:rPr>
          <w:rFonts w:ascii="宋体" w:hAnsi="宋体"/>
        </w:rPr>
      </w:pPr>
      <w:bookmarkStart w:id="382" w:name="_Toc517382423"/>
      <w:bookmarkStart w:id="383" w:name="_Toc518376471"/>
      <w:bookmarkStart w:id="384" w:name="_Toc521491792"/>
      <w:bookmarkStart w:id="385" w:name="_Toc521492649"/>
      <w:bookmarkStart w:id="386" w:name="_Toc521493323"/>
      <w:bookmarkStart w:id="387" w:name="_Toc106882971"/>
      <w:r>
        <w:rPr>
          <w:rFonts w:ascii="宋体" w:hAnsi="宋体"/>
        </w:rPr>
        <w:t>1.6.1</w:t>
      </w:r>
      <w:r>
        <w:rPr>
          <w:rFonts w:hint="eastAsia" w:ascii="宋体" w:hAnsi="宋体"/>
        </w:rPr>
        <w:t xml:space="preserve">3 </w:t>
      </w:r>
      <w:r>
        <w:rPr>
          <w:rFonts w:ascii="宋体" w:hAnsi="宋体"/>
        </w:rPr>
        <w:t>临时性设施用地</w:t>
      </w:r>
      <w:bookmarkEnd w:id="382"/>
      <w:bookmarkEnd w:id="383"/>
      <w:bookmarkEnd w:id="384"/>
      <w:bookmarkEnd w:id="385"/>
      <w:bookmarkEnd w:id="386"/>
      <w:bookmarkEnd w:id="387"/>
    </w:p>
    <w:p>
      <w:pPr>
        <w:pStyle w:val="1280"/>
        <w:rPr>
          <w:rFonts w:ascii="宋体"/>
        </w:rPr>
      </w:pPr>
      <w:r>
        <w:rPr>
          <w:rFonts w:ascii="宋体"/>
        </w:rPr>
        <w:t>一般情况下，在图纸和合同中规定的临时性设施用地将无偿地提供给承包商。如承包商需要额外的临时场地应遵守本技术规范1.6.2条的有关规定。临时性设施用地由承包商在提交投标文件的同时提交所要求的临时性设施用地的图纸和细节</w:t>
      </w:r>
      <w:r>
        <w:rPr>
          <w:rFonts w:hint="eastAsia" w:ascii="宋体"/>
        </w:rPr>
        <w:t>（</w:t>
      </w:r>
      <w:r>
        <w:rPr>
          <w:rFonts w:ascii="宋体"/>
        </w:rPr>
        <w:t>作为标书文件的一部分</w:t>
      </w:r>
      <w:r>
        <w:rPr>
          <w:rFonts w:hint="eastAsia" w:ascii="宋体"/>
        </w:rPr>
        <w:t>）</w:t>
      </w:r>
      <w:r>
        <w:rPr>
          <w:rFonts w:ascii="宋体"/>
        </w:rPr>
        <w:t>。并将所应发生费用充分测算，列入工程量清单报价，包干使用。临时性设施用地包括但不限于以下内容：</w:t>
      </w:r>
    </w:p>
    <w:p>
      <w:pPr>
        <w:pStyle w:val="1280"/>
        <w:rPr>
          <w:rFonts w:ascii="宋体"/>
        </w:rPr>
      </w:pPr>
      <w:r>
        <w:rPr>
          <w:rFonts w:ascii="宋体"/>
        </w:rPr>
        <w:t>项目监理办公室；</w:t>
      </w:r>
    </w:p>
    <w:p>
      <w:pPr>
        <w:pStyle w:val="1280"/>
        <w:rPr>
          <w:rFonts w:ascii="宋体"/>
        </w:rPr>
      </w:pPr>
      <w:r>
        <w:rPr>
          <w:rFonts w:ascii="宋体"/>
        </w:rPr>
        <w:t>承包商办公室；</w:t>
      </w:r>
    </w:p>
    <w:p>
      <w:pPr>
        <w:pStyle w:val="1280"/>
        <w:rPr>
          <w:rFonts w:ascii="宋体"/>
        </w:rPr>
      </w:pPr>
      <w:r>
        <w:rPr>
          <w:rFonts w:ascii="宋体"/>
        </w:rPr>
        <w:t>停车设施；</w:t>
      </w:r>
    </w:p>
    <w:p>
      <w:pPr>
        <w:pStyle w:val="1280"/>
        <w:rPr>
          <w:rFonts w:ascii="宋体"/>
        </w:rPr>
      </w:pPr>
      <w:r>
        <w:rPr>
          <w:rFonts w:ascii="宋体"/>
        </w:rPr>
        <w:t>材料储放场地；</w:t>
      </w:r>
    </w:p>
    <w:p>
      <w:pPr>
        <w:pStyle w:val="1280"/>
        <w:rPr>
          <w:rFonts w:ascii="宋体"/>
        </w:rPr>
      </w:pPr>
      <w:r>
        <w:rPr>
          <w:rFonts w:ascii="宋体"/>
        </w:rPr>
        <w:t>施工通道用地；</w:t>
      </w:r>
    </w:p>
    <w:p>
      <w:pPr>
        <w:pStyle w:val="1280"/>
        <w:rPr>
          <w:rFonts w:ascii="宋体"/>
        </w:rPr>
      </w:pPr>
      <w:r>
        <w:rPr>
          <w:rFonts w:ascii="宋体"/>
        </w:rPr>
        <w:t>设备或设施用地；</w:t>
      </w:r>
    </w:p>
    <w:p>
      <w:pPr>
        <w:pStyle w:val="1280"/>
        <w:rPr>
          <w:rFonts w:ascii="宋体"/>
        </w:rPr>
      </w:pPr>
      <w:r>
        <w:rPr>
          <w:rFonts w:ascii="宋体"/>
        </w:rPr>
        <w:t>工人宿舍；</w:t>
      </w:r>
    </w:p>
    <w:p>
      <w:pPr>
        <w:pStyle w:val="1280"/>
        <w:rPr>
          <w:rFonts w:ascii="宋体"/>
        </w:rPr>
      </w:pPr>
      <w:r>
        <w:rPr>
          <w:rFonts w:ascii="宋体"/>
        </w:rPr>
        <w:t>其它施工场地等。</w:t>
      </w:r>
    </w:p>
    <w:p>
      <w:pPr>
        <w:pStyle w:val="1284"/>
        <w:outlineLvl w:val="0"/>
        <w:rPr>
          <w:rFonts w:ascii="宋体" w:hAnsi="宋体"/>
        </w:rPr>
      </w:pPr>
      <w:bookmarkStart w:id="388" w:name="_Toc517382424"/>
      <w:bookmarkStart w:id="389" w:name="_Toc518376472"/>
      <w:bookmarkStart w:id="390" w:name="_Toc521491793"/>
      <w:bookmarkStart w:id="391" w:name="_Toc521492650"/>
      <w:bookmarkStart w:id="392" w:name="_Toc521493324"/>
      <w:bookmarkStart w:id="393" w:name="_Toc106882972"/>
      <w:r>
        <w:rPr>
          <w:rFonts w:ascii="宋体" w:hAnsi="宋体"/>
        </w:rPr>
        <w:t>1.6.1</w:t>
      </w:r>
      <w:r>
        <w:rPr>
          <w:rFonts w:hint="eastAsia" w:ascii="宋体" w:hAnsi="宋体"/>
        </w:rPr>
        <w:t xml:space="preserve">4 </w:t>
      </w:r>
      <w:r>
        <w:rPr>
          <w:rFonts w:ascii="宋体" w:hAnsi="宋体"/>
        </w:rPr>
        <w:t>临时性设施用地的恢复</w:t>
      </w:r>
      <w:bookmarkEnd w:id="388"/>
      <w:bookmarkEnd w:id="389"/>
      <w:bookmarkEnd w:id="390"/>
      <w:bookmarkEnd w:id="391"/>
      <w:bookmarkEnd w:id="392"/>
      <w:bookmarkEnd w:id="393"/>
    </w:p>
    <w:p>
      <w:pPr>
        <w:pStyle w:val="1280"/>
        <w:rPr>
          <w:rFonts w:ascii="宋体"/>
        </w:rPr>
      </w:pPr>
      <w:r>
        <w:rPr>
          <w:rFonts w:ascii="宋体"/>
        </w:rPr>
        <w:t>在临时性工程用地上或其它指定区域上的工作完成时，承包商应尽快将这些区域复原到本合同中所规定的标准，以使对这些区域的占用时间控制在最小。如果本合同中没有具体指定复原的标准，承包商在所有情况下都应将这些区域复原到施工开始前的状况。如果业主提出要求，承包商则应按要求进行额外的复原工作。额外的复原工作将得到额外的支付，只要业主证实这些额外工作的报价是合理的。</w:t>
      </w:r>
    </w:p>
    <w:p>
      <w:pPr>
        <w:pStyle w:val="1284"/>
        <w:outlineLvl w:val="0"/>
        <w:rPr>
          <w:rFonts w:ascii="宋体" w:hAnsi="宋体"/>
        </w:rPr>
      </w:pPr>
      <w:bookmarkStart w:id="394" w:name="_Toc517382425"/>
      <w:bookmarkStart w:id="395" w:name="_Toc518376473"/>
      <w:bookmarkStart w:id="396" w:name="_Toc521491794"/>
      <w:bookmarkStart w:id="397" w:name="_Toc521492651"/>
      <w:bookmarkStart w:id="398" w:name="_Toc521493325"/>
      <w:bookmarkStart w:id="399" w:name="_Toc106882973"/>
      <w:r>
        <w:rPr>
          <w:rFonts w:ascii="宋体" w:hAnsi="宋体"/>
        </w:rPr>
        <w:t>1.6.1</w:t>
      </w:r>
      <w:r>
        <w:rPr>
          <w:rFonts w:hint="eastAsia" w:ascii="宋体" w:hAnsi="宋体"/>
        </w:rPr>
        <w:t xml:space="preserve">5 </w:t>
      </w:r>
      <w:r>
        <w:rPr>
          <w:rFonts w:ascii="宋体" w:hAnsi="宋体"/>
        </w:rPr>
        <w:t>临时性围栏</w:t>
      </w:r>
      <w:bookmarkEnd w:id="394"/>
      <w:bookmarkEnd w:id="395"/>
      <w:bookmarkEnd w:id="396"/>
      <w:bookmarkEnd w:id="397"/>
      <w:bookmarkEnd w:id="398"/>
      <w:bookmarkEnd w:id="399"/>
    </w:p>
    <w:p>
      <w:pPr>
        <w:pStyle w:val="1280"/>
        <w:rPr>
          <w:rFonts w:ascii="宋体"/>
        </w:rPr>
      </w:pPr>
      <w:r>
        <w:rPr>
          <w:rFonts w:ascii="宋体"/>
        </w:rPr>
        <w:t>在施工工地周围设置一道分界围墙，以明确地标识工地边界。除了</w:t>
      </w:r>
      <w:r>
        <w:rPr>
          <w:rFonts w:hint="eastAsia" w:ascii="宋体"/>
        </w:rPr>
        <w:t>嵊州市</w:t>
      </w:r>
      <w:r>
        <w:rPr>
          <w:rFonts w:ascii="宋体"/>
        </w:rPr>
        <w:t>对施工临时围栏的专门要求以外（如有），围墙的设置应至少满足：木质的墙柱牢固地埋设在地上，木质墙柱间的间隔应合适，墙柱间用鲜艳的塑料布或彩色钢板铺满，塑料布至少为2m宽且其下沿接地。</w:t>
      </w:r>
    </w:p>
    <w:p>
      <w:pPr>
        <w:pStyle w:val="1280"/>
        <w:rPr>
          <w:rFonts w:ascii="宋体"/>
        </w:rPr>
      </w:pPr>
      <w:r>
        <w:rPr>
          <w:rFonts w:ascii="宋体"/>
        </w:rPr>
        <w:t>临时性围栏所保护的工程或其一部分在进行施工期间，临时性围栏应得到妥善的维护，并令项目监理满意。</w:t>
      </w:r>
    </w:p>
    <w:p>
      <w:pPr>
        <w:pStyle w:val="1284"/>
        <w:outlineLvl w:val="0"/>
        <w:rPr>
          <w:rFonts w:ascii="宋体" w:hAnsi="宋体"/>
        </w:rPr>
      </w:pPr>
      <w:bookmarkStart w:id="400" w:name="_Toc517382426"/>
      <w:bookmarkStart w:id="401" w:name="_Toc518376474"/>
      <w:bookmarkStart w:id="402" w:name="_Toc521491795"/>
      <w:bookmarkStart w:id="403" w:name="_Toc521492652"/>
      <w:bookmarkStart w:id="404" w:name="_Toc521493326"/>
      <w:bookmarkStart w:id="405" w:name="_Toc106882974"/>
      <w:r>
        <w:rPr>
          <w:rFonts w:ascii="宋体" w:hAnsi="宋体"/>
        </w:rPr>
        <w:t>1.6.1</w:t>
      </w:r>
      <w:r>
        <w:rPr>
          <w:rFonts w:hint="eastAsia" w:ascii="宋体" w:hAnsi="宋体"/>
        </w:rPr>
        <w:t xml:space="preserve">6 </w:t>
      </w:r>
      <w:r>
        <w:rPr>
          <w:rFonts w:ascii="宋体" w:hAnsi="宋体"/>
        </w:rPr>
        <w:t>施工所使用的临时性设施</w:t>
      </w:r>
      <w:bookmarkEnd w:id="400"/>
      <w:bookmarkEnd w:id="401"/>
      <w:bookmarkEnd w:id="402"/>
      <w:bookmarkEnd w:id="403"/>
      <w:bookmarkEnd w:id="404"/>
      <w:bookmarkEnd w:id="405"/>
    </w:p>
    <w:p>
      <w:pPr>
        <w:pStyle w:val="1280"/>
        <w:rPr>
          <w:rFonts w:ascii="宋体"/>
        </w:rPr>
      </w:pPr>
      <w:r>
        <w:rPr>
          <w:rFonts w:ascii="宋体"/>
        </w:rPr>
        <w:t>承包商除了在投标报价中考虑临时性供水供电设施费用，并包干使用以外，如果承包商还需要另外的电话、电力、水、排污和其它服务设施，则应自行作出安排并支付费用。</w:t>
      </w:r>
    </w:p>
    <w:p>
      <w:pPr>
        <w:pStyle w:val="1280"/>
        <w:rPr>
          <w:rFonts w:ascii="宋体"/>
        </w:rPr>
      </w:pPr>
      <w:r>
        <w:rPr>
          <w:rFonts w:ascii="宋体"/>
        </w:rPr>
        <w:t>承包商应负责支付所有其使用的水电费和电话费。</w:t>
      </w:r>
    </w:p>
    <w:p>
      <w:pPr>
        <w:pStyle w:val="1284"/>
        <w:outlineLvl w:val="0"/>
        <w:rPr>
          <w:rFonts w:ascii="宋体" w:hAnsi="宋体"/>
        </w:rPr>
      </w:pPr>
      <w:bookmarkStart w:id="406" w:name="_Toc517382427"/>
      <w:bookmarkStart w:id="407" w:name="_Toc518376475"/>
      <w:bookmarkStart w:id="408" w:name="_Toc521491796"/>
      <w:bookmarkStart w:id="409" w:name="_Toc521492653"/>
      <w:bookmarkStart w:id="410" w:name="_Toc521493327"/>
      <w:bookmarkStart w:id="411" w:name="_Toc106882975"/>
      <w:r>
        <w:rPr>
          <w:rFonts w:ascii="宋体" w:hAnsi="宋体"/>
        </w:rPr>
        <w:t>1.6.1</w:t>
      </w:r>
      <w:r>
        <w:rPr>
          <w:rFonts w:hint="eastAsia" w:ascii="宋体" w:hAnsi="宋体"/>
        </w:rPr>
        <w:t xml:space="preserve">7 </w:t>
      </w:r>
      <w:r>
        <w:rPr>
          <w:rFonts w:ascii="宋体" w:hAnsi="宋体"/>
        </w:rPr>
        <w:t>供水</w:t>
      </w:r>
      <w:bookmarkEnd w:id="406"/>
      <w:bookmarkEnd w:id="407"/>
      <w:bookmarkEnd w:id="408"/>
      <w:bookmarkEnd w:id="409"/>
      <w:bookmarkEnd w:id="410"/>
      <w:bookmarkEnd w:id="411"/>
    </w:p>
    <w:p>
      <w:pPr>
        <w:pStyle w:val="1280"/>
        <w:rPr>
          <w:rFonts w:ascii="宋体"/>
        </w:rPr>
      </w:pPr>
      <w:r>
        <w:rPr>
          <w:rFonts w:ascii="宋体"/>
        </w:rPr>
        <w:t>为了进行施工的目的，承包商应与有关部门协商安排供水事宜，并在工程量清单相关项目的总价中包括与供水有关的设施、成本及费用，如：申请费、服务费和设施费等。</w:t>
      </w:r>
    </w:p>
    <w:p>
      <w:pPr>
        <w:pStyle w:val="1280"/>
        <w:rPr>
          <w:rFonts w:ascii="宋体"/>
        </w:rPr>
      </w:pPr>
      <w:r>
        <w:rPr>
          <w:rFonts w:ascii="宋体"/>
        </w:rPr>
        <w:t>承包商应按项目监理和业主的指示和有关部门的规定，对供水设施采取适当的保护措施，并在通水之前安装计量装置。承包商应在工程量清单相关项目的报价中包括供水设施和计量装置费用及有关收费和费用。</w:t>
      </w:r>
    </w:p>
    <w:p>
      <w:pPr>
        <w:pStyle w:val="1280"/>
        <w:rPr>
          <w:rFonts w:ascii="宋体"/>
        </w:rPr>
      </w:pPr>
      <w:r>
        <w:rPr>
          <w:rFonts w:ascii="宋体"/>
        </w:rPr>
        <w:t>如果某个工作人员将进行一项可能污染饮用水的工作，或该项工作被项目监理和业主认为是可能污染饮用水时，该工作人员应经过检查以确定他不是伤寒或其它通过水源传播的疾病的患者，并且应将可能受到传染的危险告知该工作人员。当任何工作人员经医生检查被查出患有通过粪便传播的疾病时，承包商应立即通知项目监理和业主。任何患有这样疾病的雇员不得从事与饮用水接触的工作，直到业主的医药顾问认为该人从事这些工作是安全的为止。</w:t>
      </w:r>
    </w:p>
    <w:p>
      <w:pPr>
        <w:pStyle w:val="1280"/>
        <w:rPr>
          <w:rFonts w:ascii="宋体"/>
        </w:rPr>
      </w:pPr>
      <w:r>
        <w:rPr>
          <w:rFonts w:ascii="宋体"/>
        </w:rPr>
        <w:t>在进行供水工程时，承包商还应遵守当地市政供水公司的要求和相关的现行法规法律的要求。</w:t>
      </w:r>
    </w:p>
    <w:p>
      <w:pPr>
        <w:pStyle w:val="1280"/>
        <w:rPr>
          <w:rFonts w:ascii="宋体"/>
        </w:rPr>
      </w:pPr>
      <w:r>
        <w:rPr>
          <w:rFonts w:ascii="宋体"/>
        </w:rPr>
        <w:t>临时消防措施要求（不限于）：施工现场的消防工作，应遵照国家有关法律、法规开展消防安全工作；施工单位的负责人应全面负责施工现场的防火安全工作，履行</w:t>
      </w:r>
      <w:r>
        <w:fldChar w:fldCharType="begin"/>
      </w:r>
      <w:r>
        <w:instrText xml:space="preserve"> HYPERLINK "https://www.baidu.com/s?wd=%E3%80%8A%E4%B8%AD%E5%8D%8E%E4%BA%BA%E6%B0%91%E5%85%B1%E5%92%8C%E5%9B%BD%E6%B6%88%E9%98%B2%E6%9D%A1%E4%BE%8B%E5%AE%9E%E6%96%BD%E7%BB%86%E5%88%99%E3%80%8B&amp;tn=44039180_cpr&amp;fenlei=mv6quAkxTZn0IZRqIHckPjm4nH00T1Y4nvRzn1FhPj6LnA7buWR10ZwV5Hcvrjm3rH6sPfKWUMw85HfYnjn4nH6sgvPsT6KdThsqpZwYTjCEQLGCpyw9Uz4Bmy-bIi4WUvYETgN-TLwGUv3En1nvPW0srjf1" \t "_blank" </w:instrText>
      </w:r>
      <w:r>
        <w:fldChar w:fldCharType="separate"/>
      </w:r>
      <w:r>
        <w:rPr>
          <w:rFonts w:ascii="宋体"/>
        </w:rPr>
        <w:t>《中华人民共和国消防条例实施细则》</w:t>
      </w:r>
      <w:r>
        <w:rPr>
          <w:rFonts w:ascii="宋体"/>
        </w:rPr>
        <w:fldChar w:fldCharType="end"/>
      </w:r>
      <w:r>
        <w:rPr>
          <w:rFonts w:ascii="宋体"/>
        </w:rPr>
        <w:t>第十九条规定的九项主要职责；施工现场都要建立、健全防火检查制度，发现火险隐患，必须立即消除；一时难以消除的隐患，要定人员、定项目、定措施限期整改；施工现场要有明显的防火宣传标志。施工现场的义务消防人员，要定期组织</w:t>
      </w:r>
      <w:r>
        <w:fldChar w:fldCharType="begin"/>
      </w:r>
      <w:r>
        <w:instrText xml:space="preserve"> HYPERLINK "https://www.baidu.com/s?wd=%E6%95%99%E8%82%B2%E5%9F%B9%E8%AE%AD&amp;tn=44039180_cpr&amp;fenlei=mv6quAkxTZn0IZRqIHckPjm4nH00T1Y4nvRzn1FhPj6LnA7buWR10ZwV5Hcvrjm3rH6sPfKWUMw85HfYnjn4nH6sgvPsT6KdThsqpZwYTjCEQLGCpyw9Uz4Bmy-bIi4WUvYETgN-TLwGUv3En1nvPW0srjf1" \t "_blank" </w:instrText>
      </w:r>
      <w:r>
        <w:fldChar w:fldCharType="separate"/>
      </w:r>
      <w:r>
        <w:rPr>
          <w:rFonts w:ascii="宋体"/>
        </w:rPr>
        <w:t>教育培训</w:t>
      </w:r>
      <w:r>
        <w:rPr>
          <w:rFonts w:ascii="宋体"/>
        </w:rPr>
        <w:fldChar w:fldCharType="end"/>
      </w:r>
      <w:r>
        <w:rPr>
          <w:rFonts w:ascii="宋体"/>
        </w:rPr>
        <w:t>，并将培训资料存人内业档案中；施工现场发生火警或火灾，应立即报告公安消防部门，并组织力量扑救；根据“</w:t>
      </w:r>
      <w:r>
        <w:fldChar w:fldCharType="begin"/>
      </w:r>
      <w:r>
        <w:instrText xml:space="preserve"> HYPERLINK "https://www.baidu.com/s?wd=%E5%9B%9B%E4%B8%8D%E6%94%BE%E8%BF%87&amp;tn=44039180_cpr&amp;fenlei=mv6quAkxTZn0IZRqIHckPjm4nH00T1Y4nvRzn1FhPj6LnA7buWR10ZwV5Hcvrjm3rH6sPfKWUMw85HfYnjn4nH6sgvPsT6KdThsqpZwYTjCEQLGCpyw9Uz4Bmy-bIi4WUvYETgN-TLwGUv3En1nvPW0srjf1" \t "_blank" </w:instrText>
      </w:r>
      <w:r>
        <w:fldChar w:fldCharType="separate"/>
      </w:r>
      <w:r>
        <w:rPr>
          <w:rFonts w:ascii="宋体"/>
        </w:rPr>
        <w:t>四不放过</w:t>
      </w:r>
      <w:r>
        <w:rPr>
          <w:rFonts w:ascii="宋体"/>
        </w:rPr>
        <w:fldChar w:fldCharType="end"/>
      </w:r>
      <w:r>
        <w:rPr>
          <w:rFonts w:ascii="宋体"/>
        </w:rPr>
        <w:t>”的原则，在火灾事故发生后，施工单位和建设单位应共同做好现场保护和会同消防部门进行现场勘察的工作。对火灾事故的处理提出建议，并积极落实防范措施；施工单位在承建工程项目签订的“工程合同”中，必须有防火安全的内容，会同建设单位搞好防火工作；各单位在</w:t>
      </w:r>
      <w:r>
        <w:fldChar w:fldCharType="begin"/>
      </w:r>
      <w:r>
        <w:instrText xml:space="preserve"> HYPERLINK "https://www.baidu.com/s?wd=%E7%BC%96%E5%88%B6%E6%96%BD%E5%B7%A5%E7%BB%84%E7%BB%87%E8%AE%BE%E8%AE%A1&amp;tn=44039180_cpr&amp;fenlei=mv6quAkxTZn0IZRqIHckPjm4nH00T1Y4nvRzn1FhPj6LnA7buWR10ZwV5Hcvrjm3rH6sPfKWUMw85HfYnjn4nH6sgvPsT6KdThsqpZwYTjCEQLGCpyw9Uz4Bmy-bIi4WUvYETgN-TLwGUv3En1nvPW0srjf1" \t "_blank" </w:instrText>
      </w:r>
      <w:r>
        <w:fldChar w:fldCharType="separate"/>
      </w:r>
      <w:r>
        <w:rPr>
          <w:rFonts w:ascii="宋体"/>
        </w:rPr>
        <w:t>编制施工组织设计</w:t>
      </w:r>
      <w:r>
        <w:rPr>
          <w:rFonts w:ascii="宋体"/>
        </w:rPr>
        <w:fldChar w:fldCharType="end"/>
      </w:r>
      <w:r>
        <w:rPr>
          <w:rFonts w:ascii="宋体"/>
        </w:rPr>
        <w:t>时，</w:t>
      </w:r>
      <w:r>
        <w:fldChar w:fldCharType="begin"/>
      </w:r>
      <w:r>
        <w:instrText xml:space="preserve"> HYPERLINK "https://www.baidu.com/s?wd=%E6%96%BD%E5%B7%A5%E6%80%BB%E5%B9%B3%E9%9D%A2%E5%9B%BE&amp;tn=44039180_cpr&amp;fenlei=mv6quAkxTZn0IZRqIHckPjm4nH00T1Y4nvRzn1FhPj6LnA7buWR10ZwV5Hcvrjm3rH6sPfKWUMw85HfYnjn4nH6sgvPsT6KdThsqpZwYTjCEQLGCpyw9Uz4Bmy-bIi4WUvYETgN-TLwGUv3En1nvPW0srjf1" \t "_blank" </w:instrText>
      </w:r>
      <w:r>
        <w:fldChar w:fldCharType="separate"/>
      </w:r>
      <w:r>
        <w:rPr>
          <w:rFonts w:ascii="宋体"/>
        </w:rPr>
        <w:t>施工总平面图</w:t>
      </w:r>
      <w:r>
        <w:rPr>
          <w:rFonts w:ascii="宋体"/>
        </w:rPr>
        <w:fldChar w:fldCharType="end"/>
      </w:r>
      <w:r>
        <w:rPr>
          <w:rFonts w:ascii="宋体"/>
        </w:rPr>
        <w:t>，施工方法和施工技术均要符合消防安全要求；施工现场必须配备足够的消防器材，做到布局合理。要害部位应配备不少于4具的灭火器，要有明显的防火标志，指定专人经常检查、维护、保养、定期更新，保证灭火器材灵敏有效；施工现场夜间应有照明设备，并要安排力量加强值班巡逻；施工现场必须设置临时</w:t>
      </w:r>
      <w:r>
        <w:fldChar w:fldCharType="begin"/>
      </w:r>
      <w:r>
        <w:instrText xml:space="preserve"> HYPERLINK "https://www.baidu.com/s?wd=%E6%B6%88%E9%98%B2%E8%BD%A6%E9%81%93&amp;tn=44039180_cpr&amp;fenlei=mv6quAkxTZn0IZRqIHckPjm4nH00T1Y4nvRzn1FhPj6LnA7buWR10ZwV5Hcvrjm3rH6sPfKWUMw85HfYnjn4nH6sgvPsT6KdThsqpZwYTjCEQLGCpyw9Uz4Bmy-bIi4WUvYETgN-TLwGUv3En1nvPW0srjf1" \t "_blank" </w:instrText>
      </w:r>
      <w:r>
        <w:fldChar w:fldCharType="separate"/>
      </w:r>
      <w:r>
        <w:rPr>
          <w:rFonts w:ascii="宋体"/>
        </w:rPr>
        <w:t>消防车道</w:t>
      </w:r>
      <w:r>
        <w:rPr>
          <w:rFonts w:ascii="宋体"/>
        </w:rPr>
        <w:fldChar w:fldCharType="end"/>
      </w:r>
      <w:r>
        <w:rPr>
          <w:rFonts w:ascii="宋体"/>
        </w:rPr>
        <w:t>。其宽度不得小于3</w:t>
      </w:r>
      <w:r>
        <w:rPr>
          <w:rFonts w:hint="eastAsia" w:ascii="宋体"/>
        </w:rPr>
        <w:t>.</w:t>
      </w:r>
      <w:r>
        <w:rPr>
          <w:rFonts w:ascii="宋体"/>
        </w:rPr>
        <w:t>5m，并保证临时</w:t>
      </w:r>
      <w:r>
        <w:fldChar w:fldCharType="begin"/>
      </w:r>
      <w:r>
        <w:instrText xml:space="preserve"> HYPERLINK "https://www.baidu.com/s?wd=%E6%B6%88%E9%98%B2%E8%BD%A6%E9%81%93&amp;tn=44039180_cpr&amp;fenlei=mv6quAkxTZn0IZRqIHckPjm4nH00T1Y4nvRzn1FhPj6LnA7buWR10ZwV5Hcvrjm3rH6sPfKWUMw85HfYnjn4nH6sgvPsT6KdThsqpZwYTjCEQLGCpyw9Uz4Bmy-bIi4WUvYETgN-TLwGUv3En1nvPW0srjf1" \t "_blank" </w:instrText>
      </w:r>
      <w:r>
        <w:fldChar w:fldCharType="separate"/>
      </w:r>
      <w:r>
        <w:rPr>
          <w:rFonts w:ascii="宋体"/>
        </w:rPr>
        <w:t>消防车道</w:t>
      </w:r>
      <w:r>
        <w:rPr>
          <w:rFonts w:ascii="宋体"/>
        </w:rPr>
        <w:fldChar w:fldCharType="end"/>
      </w:r>
      <w:r>
        <w:rPr>
          <w:rFonts w:ascii="宋体"/>
        </w:rPr>
        <w:t>的畅通，禁止在临时</w:t>
      </w:r>
      <w:r>
        <w:fldChar w:fldCharType="begin"/>
      </w:r>
      <w:r>
        <w:instrText xml:space="preserve"> HYPERLINK "https://www.baidu.com/s?wd=%E6%B6%88%E9%98%B2%E8%BD%A6%E9%81%93&amp;tn=44039180_cpr&amp;fenlei=mv6quAkxTZn0IZRqIHckPjm4nH00T1Y4nvRzn1FhPj6LnA7buWR10ZwV5Hcvrjm3rH6sPfKWUMw85HfYnjn4nH6sgvPsT6KdThsqpZwYTjCEQLGCpyw9Uz4Bmy-bIi4WUvYETgN-TLwGUv3En1nvPW0srjf1" \t "_blank" </w:instrText>
      </w:r>
      <w:r>
        <w:fldChar w:fldCharType="separate"/>
      </w:r>
      <w:r>
        <w:rPr>
          <w:rFonts w:ascii="宋体"/>
        </w:rPr>
        <w:t>消防车道</w:t>
      </w:r>
      <w:r>
        <w:rPr>
          <w:rFonts w:ascii="宋体"/>
        </w:rPr>
        <w:fldChar w:fldCharType="end"/>
      </w:r>
      <w:r>
        <w:rPr>
          <w:rFonts w:ascii="宋体"/>
        </w:rPr>
        <w:t>上堆物、堆料或挤占临时消防车道；开工前应先将消防器材和设施配备好，有条件的，并应敷设好室外消防水管、消防栓砂箱等；施工现场用电，应严格执行有关“施工现场</w:t>
      </w:r>
      <w:r>
        <w:fldChar w:fldCharType="begin"/>
      </w:r>
      <w:r>
        <w:instrText xml:space="preserve"> HYPERLINK "https://www.baidu.com/s?wd=%E7%94%B5%E6%B0%94%E5%AE%89%E5%85%A8&amp;tn=44039180_cpr&amp;fenlei=mv6quAkxTZn0IZRqIHckPjm4nH00T1Y4nvRzn1FhPj6LnA7buWR10ZwV5Hcvrjm3rH6sPfKWUMw85HfYnjn4nH6sgvPsT6KdThsqpZwYTjCEQLGCpyw9Uz4Bmy-bIi4WUvYETgN-TLwGUv3En1nvPW0srjf1" \t "_blank" </w:instrText>
      </w:r>
      <w:r>
        <w:fldChar w:fldCharType="separate"/>
      </w:r>
      <w:r>
        <w:rPr>
          <w:rFonts w:ascii="宋体"/>
        </w:rPr>
        <w:t>电气安全</w:t>
      </w:r>
      <w:r>
        <w:rPr>
          <w:rFonts w:ascii="宋体"/>
        </w:rPr>
        <w:fldChar w:fldCharType="end"/>
      </w:r>
      <w:r>
        <w:rPr>
          <w:rFonts w:ascii="宋体"/>
        </w:rPr>
        <w:t>管理规定”，加强</w:t>
      </w:r>
      <w:r>
        <w:fldChar w:fldCharType="begin"/>
      </w:r>
      <w:r>
        <w:instrText xml:space="preserve"> HYPERLINK "https://www.baidu.com/s?wd=%E7%94%B5%E6%BA%90%E7%AE%A1%E7%90%86&amp;tn=44039180_cpr&amp;fenlei=mv6quAkxTZn0IZRqIHckPjm4nH00T1Y4nvRzn1FhPj6LnA7buWR10ZwV5Hcvrjm3rH6sPfKWUMw85HfYnjn4nH6sgvPsT6KdThsqpZwYTjCEQLGCpyw9Uz4Bmy-bIi4WUvYETgN-TLwGUv3En1nvPW0srjf1" \t "_blank" </w:instrText>
      </w:r>
      <w:r>
        <w:fldChar w:fldCharType="separate"/>
      </w:r>
      <w:r>
        <w:rPr>
          <w:rFonts w:ascii="宋体"/>
        </w:rPr>
        <w:t>电源管理</w:t>
      </w:r>
      <w:r>
        <w:rPr>
          <w:rFonts w:ascii="宋体"/>
        </w:rPr>
        <w:fldChar w:fldCharType="end"/>
      </w:r>
      <w:r>
        <w:rPr>
          <w:rFonts w:ascii="宋体"/>
        </w:rPr>
        <w:t>，防止发生</w:t>
      </w:r>
      <w:r>
        <w:fldChar w:fldCharType="begin"/>
      </w:r>
      <w:r>
        <w:instrText xml:space="preserve"> HYPERLINK "https://www.baidu.com/s?wd=%E7%94%B5%E6%B0%94%E7%81%AB%E7%81%BE&amp;tn=44039180_cpr&amp;fenlei=mv6quAkxTZn0IZRqIHckPjm4nH00T1Y4nvRzn1FhPj6LnA7buWR10ZwV5Hcvrjm3rH6sPfKWUMw85HfYnjn4nH6sgvPsT6KdThsqpZwYTjCEQLGCpyw9Uz4Bmy-bIi4WUvYETgN-TLwGUv3En1nvPW0srjf1" \t "_blank" </w:instrText>
      </w:r>
      <w:r>
        <w:fldChar w:fldCharType="separate"/>
      </w:r>
      <w:r>
        <w:rPr>
          <w:rFonts w:ascii="宋体"/>
        </w:rPr>
        <w:t>电气火灾</w:t>
      </w:r>
      <w:r>
        <w:rPr>
          <w:rFonts w:ascii="宋体"/>
        </w:rPr>
        <w:fldChar w:fldCharType="end"/>
      </w:r>
      <w:r>
        <w:rPr>
          <w:rFonts w:ascii="宋体"/>
        </w:rPr>
        <w:t>。施工现场存放易燃、可燃材料的库房、木工加工场所、油漆配料房及防水作业场所不得使用明露高热强光源灯具；电焊工、气焊工从事电气设备安装和电、气焊切割作业，要有操作证和用火证。用火前，要对易燃、可燃物清除，采取隔离等措施，配备看火人员和灭火器具，作业后必须确认无火源隐患后方可离去。用火证当日有效，用火地点变换，要重新办理用火证手续。</w:t>
      </w:r>
    </w:p>
    <w:p>
      <w:pPr>
        <w:pStyle w:val="1284"/>
        <w:outlineLvl w:val="0"/>
        <w:rPr>
          <w:rFonts w:ascii="宋体" w:hAnsi="宋体"/>
        </w:rPr>
      </w:pPr>
      <w:bookmarkStart w:id="412" w:name="_Toc518376476"/>
      <w:bookmarkStart w:id="413" w:name="_Toc517382428"/>
      <w:bookmarkStart w:id="414" w:name="_Toc521491797"/>
      <w:bookmarkStart w:id="415" w:name="_Toc521492654"/>
      <w:bookmarkStart w:id="416" w:name="_Toc521493328"/>
      <w:bookmarkStart w:id="417" w:name="_Toc106882976"/>
      <w:r>
        <w:rPr>
          <w:rFonts w:ascii="宋体" w:hAnsi="宋体"/>
        </w:rPr>
        <w:t>1.6.1</w:t>
      </w:r>
      <w:r>
        <w:rPr>
          <w:rFonts w:hint="eastAsia" w:ascii="宋体" w:hAnsi="宋体"/>
        </w:rPr>
        <w:t xml:space="preserve">8 </w:t>
      </w:r>
      <w:r>
        <w:rPr>
          <w:rFonts w:ascii="宋体" w:hAnsi="宋体"/>
        </w:rPr>
        <w:t>供电</w:t>
      </w:r>
      <w:bookmarkEnd w:id="412"/>
      <w:bookmarkEnd w:id="413"/>
      <w:bookmarkEnd w:id="414"/>
      <w:bookmarkEnd w:id="415"/>
      <w:bookmarkEnd w:id="416"/>
      <w:bookmarkEnd w:id="417"/>
    </w:p>
    <w:p>
      <w:pPr>
        <w:pStyle w:val="1280"/>
        <w:rPr>
          <w:rFonts w:ascii="宋体"/>
        </w:rPr>
      </w:pPr>
      <w:r>
        <w:rPr>
          <w:rFonts w:ascii="宋体"/>
        </w:rPr>
        <w:t>为了进行施工的目的，承包商应与有关部门协商安排供电事宜包括设置临时变压器，并在工程量清单相关项目的总价中包括与供电有关的成本及费用，如：申请费、服务费、设施费等。</w:t>
      </w:r>
    </w:p>
    <w:p>
      <w:pPr>
        <w:pStyle w:val="1280"/>
        <w:rPr>
          <w:rFonts w:ascii="宋体"/>
        </w:rPr>
      </w:pPr>
      <w:r>
        <w:rPr>
          <w:rFonts w:ascii="宋体"/>
        </w:rPr>
        <w:t>在连通城市电网前，承包商应按项目监理和业主的指示和有关地方部门的规定，在电气设备周围设置适当的保护。任何在电气设备邻近进行的施工均须经过项目监理代表和业主的批准。电费或其它供电费用应已包括在工程量清单有关项目的报价中，业主将不为此单独支付。承包商应考虑自备发电机，以便在缺电或断电的时候，投入发电机的使用以确保正常的施工。</w:t>
      </w:r>
    </w:p>
    <w:p>
      <w:pPr>
        <w:pStyle w:val="1284"/>
        <w:outlineLvl w:val="0"/>
        <w:rPr>
          <w:rFonts w:ascii="宋体" w:hAnsi="宋体"/>
        </w:rPr>
      </w:pPr>
      <w:bookmarkStart w:id="418" w:name="_Toc517382429"/>
      <w:bookmarkStart w:id="419" w:name="_Toc518376477"/>
      <w:bookmarkStart w:id="420" w:name="_Toc521491798"/>
      <w:bookmarkStart w:id="421" w:name="_Toc521492655"/>
      <w:bookmarkStart w:id="422" w:name="_Toc521493329"/>
      <w:bookmarkStart w:id="423" w:name="_Toc106882977"/>
      <w:r>
        <w:rPr>
          <w:rFonts w:ascii="宋体" w:hAnsi="宋体"/>
        </w:rPr>
        <w:t>1.6.</w:t>
      </w:r>
      <w:r>
        <w:rPr>
          <w:rFonts w:hint="eastAsia" w:ascii="宋体" w:hAnsi="宋体"/>
        </w:rPr>
        <w:t xml:space="preserve">19 </w:t>
      </w:r>
      <w:r>
        <w:rPr>
          <w:rFonts w:ascii="宋体" w:hAnsi="宋体"/>
        </w:rPr>
        <w:t>卫生设施</w:t>
      </w:r>
      <w:bookmarkEnd w:id="418"/>
      <w:bookmarkEnd w:id="419"/>
      <w:bookmarkEnd w:id="420"/>
      <w:bookmarkEnd w:id="421"/>
      <w:bookmarkEnd w:id="422"/>
      <w:bookmarkEnd w:id="423"/>
    </w:p>
    <w:p>
      <w:pPr>
        <w:pStyle w:val="1280"/>
        <w:rPr>
          <w:rFonts w:ascii="宋体"/>
        </w:rPr>
      </w:pPr>
      <w:r>
        <w:rPr>
          <w:rFonts w:ascii="宋体"/>
        </w:rPr>
        <w:t>在整个工程施工期间，承包商应为其雇员提供清洁的、足够的、合适的厕所。承包商应保证其雇员合适地使用这些厕所而不使工地受到污染。</w:t>
      </w:r>
    </w:p>
    <w:p>
      <w:pPr>
        <w:pStyle w:val="1280"/>
        <w:rPr>
          <w:rFonts w:ascii="宋体"/>
        </w:rPr>
      </w:pPr>
      <w:r>
        <w:rPr>
          <w:rFonts w:ascii="宋体"/>
        </w:rPr>
        <w:t>如果可行，所有的厕所应连接到最近的排污管道，当这种连接不可行时，承包商应设置一个尺寸足够大的化粪池。</w:t>
      </w:r>
    </w:p>
    <w:p>
      <w:pPr>
        <w:pStyle w:val="1284"/>
        <w:outlineLvl w:val="0"/>
        <w:rPr>
          <w:rFonts w:ascii="宋体" w:hAnsi="宋体"/>
        </w:rPr>
      </w:pPr>
      <w:bookmarkStart w:id="424" w:name="_Toc518376478"/>
      <w:bookmarkStart w:id="425" w:name="_Toc517382430"/>
      <w:bookmarkStart w:id="426" w:name="_Toc521491799"/>
      <w:bookmarkStart w:id="427" w:name="_Toc521493330"/>
      <w:bookmarkStart w:id="428" w:name="_Toc521492656"/>
      <w:bookmarkStart w:id="429" w:name="_Toc106882978"/>
      <w:r>
        <w:rPr>
          <w:rFonts w:ascii="宋体" w:hAnsi="宋体"/>
        </w:rPr>
        <w:t>1.6.2</w:t>
      </w:r>
      <w:r>
        <w:rPr>
          <w:rFonts w:hint="eastAsia" w:ascii="宋体" w:hAnsi="宋体"/>
        </w:rPr>
        <w:t xml:space="preserve">0 </w:t>
      </w:r>
      <w:r>
        <w:rPr>
          <w:rFonts w:ascii="宋体" w:hAnsi="宋体"/>
        </w:rPr>
        <w:t>工人宿舍</w:t>
      </w:r>
      <w:bookmarkEnd w:id="424"/>
      <w:bookmarkEnd w:id="425"/>
      <w:bookmarkEnd w:id="426"/>
      <w:bookmarkEnd w:id="427"/>
      <w:bookmarkEnd w:id="428"/>
      <w:bookmarkEnd w:id="429"/>
    </w:p>
    <w:p>
      <w:pPr>
        <w:pStyle w:val="1280"/>
        <w:rPr>
          <w:rFonts w:ascii="宋体"/>
        </w:rPr>
      </w:pPr>
      <w:r>
        <w:rPr>
          <w:rFonts w:ascii="宋体"/>
        </w:rPr>
        <w:t>承包商应修建并维护其工作人员和工人的临时住所。承包商修建临时住所的位置应得到项目监理的批准。</w:t>
      </w:r>
    </w:p>
    <w:p>
      <w:pPr>
        <w:pStyle w:val="1280"/>
        <w:rPr>
          <w:rFonts w:ascii="宋体"/>
        </w:rPr>
      </w:pPr>
      <w:r>
        <w:rPr>
          <w:rFonts w:ascii="宋体"/>
        </w:rPr>
        <w:t>承包商应提供生活区域的服务设施并对其负责，这些设施应符合卫生法规和当地其它的有关现行法规和规定。承包商应提供并负责上述区域内所有必要的安全防护。</w:t>
      </w:r>
    </w:p>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Pr>
        <w:pStyle w:val="1281"/>
        <w:outlineLvl w:val="0"/>
        <w:rPr>
          <w:rFonts w:ascii="宋体" w:hAnsi="宋体"/>
          <w:color w:val="auto"/>
        </w:rPr>
      </w:pPr>
      <w:bookmarkStart w:id="430" w:name="_Toc517382431"/>
      <w:bookmarkStart w:id="431" w:name="_Toc518376479"/>
      <w:bookmarkStart w:id="432" w:name="_Toc521491800"/>
      <w:bookmarkStart w:id="433" w:name="_Toc521492657"/>
      <w:bookmarkStart w:id="434" w:name="_Toc521493331"/>
      <w:bookmarkStart w:id="435" w:name="_Toc106882979"/>
      <w:bookmarkStart w:id="436" w:name="_Toc164502013"/>
      <w:bookmarkStart w:id="437" w:name="_Toc385007580"/>
      <w:bookmarkStart w:id="438" w:name="_Toc385008376"/>
      <w:bookmarkStart w:id="439" w:name="_Toc385012538"/>
      <w:bookmarkStart w:id="440" w:name="_Toc395412674"/>
      <w:bookmarkStart w:id="441" w:name="_Toc398083682"/>
      <w:bookmarkStart w:id="442" w:name="_Toc398453497"/>
      <w:bookmarkStart w:id="443" w:name="_Toc398523297"/>
      <w:bookmarkStart w:id="444" w:name="_Toc16242272"/>
      <w:bookmarkStart w:id="445" w:name="_Toc43107461"/>
      <w:r>
        <w:rPr>
          <w:rFonts w:ascii="宋体" w:hAnsi="宋体"/>
          <w:color w:val="auto"/>
        </w:rPr>
        <w:t>1.7</w:t>
      </w:r>
      <w:r>
        <w:rPr>
          <w:rFonts w:hint="eastAsia" w:ascii="宋体" w:hAnsi="宋体"/>
          <w:color w:val="auto"/>
        </w:rPr>
        <w:t xml:space="preserve"> </w:t>
      </w:r>
      <w:r>
        <w:rPr>
          <w:rFonts w:ascii="宋体" w:hAnsi="宋体"/>
          <w:color w:val="auto"/>
        </w:rPr>
        <w:t>现场管理</w:t>
      </w:r>
      <w:bookmarkEnd w:id="430"/>
      <w:bookmarkEnd w:id="431"/>
      <w:bookmarkEnd w:id="432"/>
      <w:bookmarkEnd w:id="433"/>
      <w:bookmarkEnd w:id="434"/>
      <w:bookmarkEnd w:id="435"/>
    </w:p>
    <w:p>
      <w:pPr>
        <w:pStyle w:val="1284"/>
        <w:outlineLvl w:val="0"/>
        <w:rPr>
          <w:rFonts w:ascii="宋体" w:hAnsi="宋体"/>
        </w:rPr>
      </w:pPr>
      <w:bookmarkStart w:id="446" w:name="_Toc517382432"/>
      <w:bookmarkStart w:id="447" w:name="_Toc518376480"/>
      <w:bookmarkStart w:id="448" w:name="_Toc521491801"/>
      <w:bookmarkStart w:id="449" w:name="_Toc521492658"/>
      <w:bookmarkStart w:id="450" w:name="_Toc521493332"/>
      <w:bookmarkStart w:id="451" w:name="_Toc106882980"/>
      <w:r>
        <w:rPr>
          <w:rFonts w:ascii="宋体" w:hAnsi="宋体"/>
        </w:rPr>
        <w:t>1.7.1</w:t>
      </w:r>
      <w:r>
        <w:rPr>
          <w:rFonts w:hint="eastAsia" w:ascii="宋体" w:hAnsi="宋体"/>
        </w:rPr>
        <w:t xml:space="preserve"> </w:t>
      </w:r>
      <w:r>
        <w:rPr>
          <w:rFonts w:ascii="宋体" w:hAnsi="宋体"/>
        </w:rPr>
        <w:t>现场记录</w:t>
      </w:r>
      <w:bookmarkEnd w:id="446"/>
      <w:bookmarkEnd w:id="447"/>
      <w:bookmarkEnd w:id="448"/>
      <w:bookmarkEnd w:id="449"/>
      <w:bookmarkEnd w:id="450"/>
      <w:bookmarkEnd w:id="451"/>
    </w:p>
    <w:p>
      <w:pPr>
        <w:pStyle w:val="1280"/>
        <w:rPr>
          <w:rFonts w:ascii="宋体"/>
        </w:rPr>
      </w:pPr>
      <w:r>
        <w:rPr>
          <w:rFonts w:ascii="宋体"/>
        </w:rPr>
        <w:t>承包商应对各类开挖工作的地点和范围进行现场记录，记录内容包括地层和施工中遇到的障碍。</w:t>
      </w:r>
    </w:p>
    <w:p>
      <w:pPr>
        <w:pStyle w:val="1280"/>
        <w:rPr>
          <w:rFonts w:ascii="宋体"/>
        </w:rPr>
      </w:pPr>
      <w:r>
        <w:rPr>
          <w:rFonts w:ascii="宋体"/>
        </w:rPr>
        <w:t>现场记录应每周提交给项目监理和业主并应注明开挖地点和开挖面高程。</w:t>
      </w:r>
    </w:p>
    <w:p>
      <w:pPr>
        <w:pStyle w:val="1284"/>
        <w:outlineLvl w:val="0"/>
        <w:rPr>
          <w:rFonts w:ascii="宋体" w:hAnsi="宋体"/>
        </w:rPr>
      </w:pPr>
      <w:bookmarkStart w:id="452" w:name="_Toc16242256"/>
      <w:bookmarkStart w:id="453" w:name="_Toc398523281"/>
      <w:bookmarkStart w:id="454" w:name="_Toc106882981"/>
      <w:bookmarkStart w:id="455" w:name="_Toc521493333"/>
      <w:bookmarkStart w:id="456" w:name="_Toc521492659"/>
      <w:bookmarkStart w:id="457" w:name="_Toc398453481"/>
      <w:bookmarkStart w:id="458" w:name="_Toc521491802"/>
      <w:bookmarkStart w:id="459" w:name="_Toc518376481"/>
      <w:bookmarkStart w:id="460" w:name="_Toc517382433"/>
      <w:bookmarkStart w:id="461" w:name="_Toc43107452"/>
      <w:bookmarkStart w:id="462" w:name="_Toc397761337"/>
      <w:bookmarkStart w:id="463" w:name="_Toc397138345"/>
      <w:bookmarkStart w:id="464" w:name="_Toc396284761"/>
      <w:bookmarkStart w:id="465" w:name="_Toc396282806"/>
      <w:bookmarkStart w:id="466" w:name="_Toc396006245"/>
      <w:bookmarkStart w:id="467" w:name="_Toc396110373"/>
      <w:bookmarkStart w:id="468" w:name="_Toc395693175"/>
      <w:bookmarkStart w:id="469" w:name="_Toc395692971"/>
      <w:bookmarkStart w:id="470" w:name="_Toc395592615"/>
      <w:bookmarkStart w:id="471" w:name="_Toc395512314"/>
      <w:bookmarkStart w:id="472" w:name="_Toc395421313"/>
      <w:bookmarkStart w:id="473" w:name="_Toc395403903"/>
      <w:r>
        <w:rPr>
          <w:rFonts w:ascii="宋体" w:hAnsi="宋体"/>
        </w:rPr>
        <w:t>1.7.2</w:t>
      </w:r>
      <w:r>
        <w:rPr>
          <w:rFonts w:hint="eastAsia" w:ascii="宋体" w:hAnsi="宋体"/>
        </w:rPr>
        <w:t xml:space="preserve"> </w:t>
      </w:r>
      <w:r>
        <w:rPr>
          <w:rFonts w:ascii="宋体" w:hAnsi="宋体"/>
        </w:rPr>
        <w:t>现场勘察记录</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1280"/>
        <w:rPr>
          <w:rFonts w:ascii="宋体"/>
        </w:rPr>
      </w:pPr>
      <w:r>
        <w:rPr>
          <w:rFonts w:ascii="宋体"/>
        </w:rPr>
        <w:t>业主对现场已进行过勘察，勘察的内容包括：</w:t>
      </w:r>
    </w:p>
    <w:p>
      <w:pPr>
        <w:pStyle w:val="1280"/>
        <w:rPr>
          <w:rFonts w:ascii="宋体"/>
        </w:rPr>
      </w:pPr>
      <w:r>
        <w:rPr>
          <w:rFonts w:ascii="宋体"/>
        </w:rPr>
        <w:t>钻孔报告；</w:t>
      </w:r>
    </w:p>
    <w:p>
      <w:pPr>
        <w:pStyle w:val="1280"/>
        <w:rPr>
          <w:rFonts w:ascii="宋体"/>
        </w:rPr>
      </w:pPr>
      <w:r>
        <w:rPr>
          <w:rFonts w:ascii="宋体"/>
        </w:rPr>
        <w:t>检验钻孔报告；</w:t>
      </w:r>
    </w:p>
    <w:p>
      <w:pPr>
        <w:pStyle w:val="1280"/>
        <w:rPr>
          <w:rFonts w:ascii="宋体"/>
        </w:rPr>
      </w:pPr>
      <w:r>
        <w:rPr>
          <w:rFonts w:ascii="宋体"/>
        </w:rPr>
        <w:t>实验室测试报告。</w:t>
      </w:r>
    </w:p>
    <w:p>
      <w:pPr>
        <w:pStyle w:val="1280"/>
        <w:rPr>
          <w:rFonts w:ascii="宋体"/>
        </w:rPr>
      </w:pPr>
      <w:r>
        <w:rPr>
          <w:rFonts w:ascii="宋体"/>
        </w:rPr>
        <w:t>承包商将被认为是已查阅了上述勘察报告并已评估了施工现场的土地状况及其对永久性工程和临时性工程的影响。如果承包商认为上述勘察报告的数据不充分，经项目监理和业主的批准，承包商可聘用专业分包商来获得更多的勘察数据。</w:t>
      </w:r>
    </w:p>
    <w:p>
      <w:pPr>
        <w:pStyle w:val="1280"/>
        <w:rPr>
          <w:rFonts w:ascii="宋体"/>
        </w:rPr>
      </w:pPr>
      <w:r>
        <w:rPr>
          <w:rFonts w:ascii="宋体"/>
        </w:rPr>
        <w:t>承包商应将专业分包商开始现场勘察工作的日期书面通知项目监理。该通知应至少提前3周发出并包括所有即将开展的勘察工作的细节。</w:t>
      </w:r>
    </w:p>
    <w:p>
      <w:pPr>
        <w:pStyle w:val="1280"/>
        <w:rPr>
          <w:rFonts w:ascii="宋体"/>
        </w:rPr>
      </w:pPr>
      <w:r>
        <w:rPr>
          <w:rFonts w:ascii="宋体"/>
        </w:rPr>
        <w:t>在勘察工作结束时，承包商应将所有的报告一式四份提交给项目监理，这些报告应包括所有的勘察工作的详细成果。</w:t>
      </w:r>
    </w:p>
    <w:p>
      <w:pPr>
        <w:pStyle w:val="1284"/>
        <w:outlineLvl w:val="0"/>
        <w:rPr>
          <w:rFonts w:ascii="宋体" w:hAnsi="宋体"/>
        </w:rPr>
      </w:pPr>
      <w:bookmarkStart w:id="474" w:name="_Toc106882982"/>
      <w:bookmarkStart w:id="475" w:name="_Toc518376482"/>
      <w:bookmarkStart w:id="476" w:name="_Toc517382434"/>
      <w:bookmarkStart w:id="477" w:name="_Toc43107453"/>
      <w:bookmarkStart w:id="478" w:name="_Toc16242257"/>
      <w:bookmarkStart w:id="479" w:name="_Toc398523282"/>
      <w:bookmarkStart w:id="480" w:name="_Toc397761338"/>
      <w:bookmarkStart w:id="481" w:name="_Toc398453482"/>
      <w:bookmarkStart w:id="482" w:name="_Toc397138346"/>
      <w:bookmarkStart w:id="483" w:name="_Toc396284762"/>
      <w:bookmarkStart w:id="484" w:name="_Toc396110374"/>
      <w:bookmarkStart w:id="485" w:name="_Toc396282807"/>
      <w:bookmarkStart w:id="486" w:name="_Toc396006246"/>
      <w:bookmarkStart w:id="487" w:name="_Toc395693176"/>
      <w:bookmarkStart w:id="488" w:name="_Toc395592616"/>
      <w:bookmarkStart w:id="489" w:name="_Toc395692972"/>
      <w:bookmarkStart w:id="490" w:name="_Toc395421314"/>
      <w:bookmarkStart w:id="491" w:name="_Toc395512315"/>
      <w:bookmarkStart w:id="492" w:name="_Toc395403904"/>
      <w:bookmarkStart w:id="493" w:name="_Toc521493334"/>
      <w:bookmarkStart w:id="494" w:name="_Toc521492660"/>
      <w:bookmarkStart w:id="495" w:name="_Toc521491803"/>
      <w:r>
        <w:rPr>
          <w:rFonts w:ascii="宋体" w:hAnsi="宋体"/>
        </w:rPr>
        <w:t>1.7.3</w:t>
      </w:r>
      <w:r>
        <w:rPr>
          <w:rFonts w:hint="eastAsia" w:ascii="宋体" w:hAnsi="宋体"/>
        </w:rPr>
        <w:t xml:space="preserve"> </w:t>
      </w:r>
      <w:r>
        <w:rPr>
          <w:rFonts w:ascii="宋体" w:hAnsi="宋体"/>
        </w:rPr>
        <w:t>业主和项目监理的进入</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1280"/>
        <w:rPr>
          <w:rFonts w:ascii="宋体"/>
        </w:rPr>
      </w:pPr>
      <w:r>
        <w:rPr>
          <w:rFonts w:ascii="宋体"/>
        </w:rPr>
        <w:t>在本合同期间，承包商应允许业主和项目监理以及经过他们授权的人员，包括业主的工作人员、其它承包商或专业队伍，能够为了本合同的目的而到达工地现场的任何位置，包括另外的专用场所或临时性私有土地。</w:t>
      </w:r>
    </w:p>
    <w:p>
      <w:pPr>
        <w:pStyle w:val="1284"/>
        <w:outlineLvl w:val="0"/>
        <w:rPr>
          <w:rFonts w:ascii="宋体" w:hAnsi="宋体"/>
        </w:rPr>
      </w:pPr>
      <w:bookmarkStart w:id="496" w:name="_Toc396110375"/>
      <w:bookmarkStart w:id="497" w:name="_Toc395592617"/>
      <w:bookmarkStart w:id="498" w:name="_Toc395421315"/>
      <w:bookmarkStart w:id="499" w:name="_Toc395512316"/>
      <w:bookmarkStart w:id="500" w:name="_Toc106882983"/>
      <w:bookmarkStart w:id="501" w:name="_Toc395403905"/>
      <w:bookmarkStart w:id="502" w:name="_Toc521492661"/>
      <w:bookmarkStart w:id="503" w:name="_Toc521493335"/>
      <w:bookmarkStart w:id="504" w:name="_Toc521491804"/>
      <w:bookmarkStart w:id="505" w:name="_Toc517382435"/>
      <w:bookmarkStart w:id="506" w:name="_Toc518376483"/>
      <w:bookmarkStart w:id="507" w:name="_Toc396284763"/>
      <w:bookmarkStart w:id="508" w:name="_Toc16242258"/>
      <w:bookmarkStart w:id="509" w:name="_Toc43107454"/>
      <w:bookmarkStart w:id="510" w:name="_Toc398453483"/>
      <w:bookmarkStart w:id="511" w:name="_Toc398523283"/>
      <w:bookmarkStart w:id="512" w:name="_Toc397761339"/>
      <w:bookmarkStart w:id="513" w:name="_Toc397138347"/>
      <w:bookmarkStart w:id="514" w:name="_Toc396282808"/>
      <w:bookmarkStart w:id="515" w:name="_Toc395693177"/>
      <w:bookmarkStart w:id="516" w:name="_Toc396006247"/>
      <w:bookmarkStart w:id="517" w:name="_Toc395692973"/>
      <w:r>
        <w:rPr>
          <w:rFonts w:ascii="宋体" w:hAnsi="宋体"/>
        </w:rPr>
        <w:t>1.7.4</w:t>
      </w:r>
      <w:r>
        <w:rPr>
          <w:rFonts w:hint="eastAsia" w:ascii="宋体" w:hAnsi="宋体"/>
        </w:rPr>
        <w:t xml:space="preserve"> </w:t>
      </w:r>
      <w:r>
        <w:rPr>
          <w:rFonts w:ascii="宋体" w:hAnsi="宋体"/>
        </w:rPr>
        <w:t>工地变更</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1280"/>
        <w:rPr>
          <w:rFonts w:ascii="宋体"/>
        </w:rPr>
      </w:pPr>
      <w:r>
        <w:rPr>
          <w:rFonts w:ascii="宋体"/>
        </w:rPr>
        <w:t>如果必须改变工地位置，且这种转移需要经过土地所有者和土地管理部门的批准，那么业主应协助承包商办理工地变更的各项手续。</w:t>
      </w:r>
    </w:p>
    <w:p>
      <w:pPr>
        <w:pStyle w:val="1280"/>
        <w:rPr>
          <w:rFonts w:ascii="宋体"/>
        </w:rPr>
      </w:pPr>
      <w:r>
        <w:rPr>
          <w:rFonts w:ascii="宋体"/>
        </w:rPr>
        <w:t>如果承包商认为指定的区域不足以用于施工或临时性工程，则可直接与土地所有者和土地管理部门联系扩大施工用地面积事宜。承包商应承担由此而产生的任何风险和费用。</w:t>
      </w:r>
    </w:p>
    <w:p>
      <w:pPr>
        <w:pStyle w:val="1280"/>
        <w:rPr>
          <w:rFonts w:ascii="宋体"/>
        </w:rPr>
      </w:pPr>
      <w:r>
        <w:rPr>
          <w:rFonts w:ascii="宋体"/>
        </w:rPr>
        <w:t>除非本合同另有规定，承包商占用业主所提供的工程或临时性工程工地的时间应与项目监理所批准的工程进度相一致。承包商必须承担由于超时占用工地而产生的费用。</w:t>
      </w:r>
    </w:p>
    <w:p>
      <w:pPr>
        <w:pStyle w:val="1281"/>
        <w:outlineLvl w:val="0"/>
        <w:rPr>
          <w:rFonts w:ascii="宋体" w:hAnsi="宋体"/>
          <w:color w:val="auto"/>
        </w:rPr>
      </w:pPr>
      <w:bookmarkStart w:id="518" w:name="_Toc106882984"/>
      <w:bookmarkStart w:id="519" w:name="_Toc521492662"/>
      <w:bookmarkStart w:id="520" w:name="_Toc521493336"/>
      <w:bookmarkStart w:id="521" w:name="_Toc518376484"/>
      <w:bookmarkStart w:id="522" w:name="_Toc521491805"/>
      <w:bookmarkStart w:id="523" w:name="_Toc517382436"/>
      <w:r>
        <w:rPr>
          <w:rFonts w:ascii="宋体" w:hAnsi="宋体"/>
          <w:color w:val="auto"/>
        </w:rPr>
        <w:t>1.8 临时工程和施工的主要措施</w:t>
      </w:r>
      <w:bookmarkEnd w:id="436"/>
      <w:bookmarkEnd w:id="518"/>
      <w:bookmarkEnd w:id="519"/>
      <w:bookmarkEnd w:id="520"/>
      <w:bookmarkEnd w:id="521"/>
      <w:bookmarkEnd w:id="522"/>
      <w:bookmarkEnd w:id="523"/>
    </w:p>
    <w:p>
      <w:pPr>
        <w:pStyle w:val="1280"/>
        <w:rPr>
          <w:rFonts w:ascii="宋体"/>
        </w:rPr>
      </w:pPr>
      <w:r>
        <w:rPr>
          <w:rFonts w:ascii="宋体"/>
        </w:rPr>
        <w:t>承包商必须在临时工程预期开工前28天，把临时工程任何一部分的全部细节包括图纸等，提交业主和项目监理请求批准。如果项目监理要求，承包商还应提供临时工程设计施工图的计算书。即使承包商的临时工程图纸或计算书获得项目监理认可，仍不能免除承包商履行合同义务应负的任何责任。</w:t>
      </w:r>
    </w:p>
    <w:bookmarkEnd w:id="437"/>
    <w:bookmarkEnd w:id="438"/>
    <w:bookmarkEnd w:id="439"/>
    <w:bookmarkEnd w:id="440"/>
    <w:bookmarkEnd w:id="441"/>
    <w:bookmarkEnd w:id="442"/>
    <w:bookmarkEnd w:id="443"/>
    <w:bookmarkEnd w:id="444"/>
    <w:bookmarkEnd w:id="445"/>
    <w:p>
      <w:pPr>
        <w:pStyle w:val="1284"/>
        <w:outlineLvl w:val="0"/>
        <w:rPr>
          <w:rFonts w:ascii="宋体" w:hAnsi="宋体"/>
        </w:rPr>
      </w:pPr>
      <w:bookmarkStart w:id="524" w:name="_Toc385007581"/>
      <w:bookmarkStart w:id="525" w:name="_Toc385008377"/>
      <w:bookmarkStart w:id="526" w:name="_Toc518376485"/>
      <w:bookmarkStart w:id="527" w:name="_Toc106882985"/>
      <w:bookmarkStart w:id="528" w:name="_Toc517382437"/>
      <w:bookmarkStart w:id="529" w:name="_Toc43107462"/>
      <w:bookmarkStart w:id="530" w:name="_Toc164502014"/>
      <w:bookmarkStart w:id="531" w:name="_Toc16242273"/>
      <w:bookmarkStart w:id="532" w:name="_Toc398523298"/>
      <w:bookmarkStart w:id="533" w:name="_Toc398453498"/>
      <w:bookmarkStart w:id="534" w:name="_Toc398083683"/>
      <w:bookmarkStart w:id="535" w:name="_Toc395412675"/>
      <w:bookmarkStart w:id="536" w:name="_Toc385012539"/>
      <w:bookmarkStart w:id="537" w:name="_Toc521492663"/>
      <w:bookmarkStart w:id="538" w:name="_Toc521491806"/>
      <w:bookmarkStart w:id="539" w:name="_Toc521493337"/>
      <w:r>
        <w:rPr>
          <w:rFonts w:ascii="宋体" w:hAnsi="宋体"/>
        </w:rPr>
        <w:t>1.8.1 边坡保护</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1280"/>
        <w:rPr>
          <w:rFonts w:ascii="宋体"/>
        </w:rPr>
      </w:pPr>
      <w:r>
        <w:rPr>
          <w:rFonts w:ascii="宋体"/>
        </w:rPr>
        <w:t>承包商除按业主提供的施工图设计上已标明的土壁和岩壁实施永久性护坡外，还应该按项目监理和业主的批准在图纸上标明的或根据工程地质情况在必要的地点使用适当的施工边坡保护措施。</w:t>
      </w:r>
    </w:p>
    <w:p>
      <w:pPr>
        <w:pStyle w:val="1280"/>
        <w:rPr>
          <w:rFonts w:ascii="宋体"/>
        </w:rPr>
      </w:pPr>
      <w:r>
        <w:rPr>
          <w:rFonts w:ascii="宋体"/>
        </w:rPr>
        <w:t>承包商应根据现场的实际情况和自己的经验，采用安全、可靠的技术方案进行临时开挖边坡的保护，防护的类型必须适合本特定场合使用。临时开挖边坡的坡度由承包商根据现场条件自行确定，对承包商自行确定边坡坡度、且时间保留较长的临时边坡，经项目监理检查认为存在不安全因素时，承包商须进行补充开挖和采取保护措施，但承包商不得因此要求增加额外费用。</w:t>
      </w:r>
    </w:p>
    <w:p>
      <w:pPr>
        <w:pStyle w:val="1280"/>
        <w:rPr>
          <w:rFonts w:ascii="宋体"/>
        </w:rPr>
      </w:pPr>
      <w:r>
        <w:rPr>
          <w:rFonts w:ascii="宋体"/>
        </w:rPr>
        <w:t>除非项目监理或业主许可，承包商必须在工程完工后拆除一切临时防护。</w:t>
      </w:r>
    </w:p>
    <w:p>
      <w:pPr>
        <w:pStyle w:val="1284"/>
        <w:outlineLvl w:val="0"/>
        <w:rPr>
          <w:rFonts w:ascii="宋体" w:hAnsi="宋体"/>
        </w:rPr>
      </w:pPr>
      <w:bookmarkStart w:id="540" w:name="_Toc385007582"/>
      <w:bookmarkStart w:id="541" w:name="_Toc395412676"/>
      <w:bookmarkStart w:id="542" w:name="_Toc385008378"/>
      <w:bookmarkStart w:id="543" w:name="_Toc385012540"/>
      <w:bookmarkStart w:id="544" w:name="_Toc398523299"/>
      <w:bookmarkStart w:id="545" w:name="_Toc398083684"/>
      <w:bookmarkStart w:id="546" w:name="_Toc521491807"/>
      <w:bookmarkStart w:id="547" w:name="_Toc16242274"/>
      <w:bookmarkStart w:id="548" w:name="_Toc398453499"/>
      <w:bookmarkStart w:id="549" w:name="_Toc43107463"/>
      <w:bookmarkStart w:id="550" w:name="_Toc517382438"/>
      <w:bookmarkStart w:id="551" w:name="_Toc164502015"/>
      <w:bookmarkStart w:id="552" w:name="_Toc521492664"/>
      <w:bookmarkStart w:id="553" w:name="_Toc518376486"/>
      <w:bookmarkStart w:id="554" w:name="_Toc106882986"/>
      <w:bookmarkStart w:id="555" w:name="_Toc521493338"/>
      <w:r>
        <w:rPr>
          <w:rFonts w:ascii="宋体" w:hAnsi="宋体"/>
        </w:rPr>
        <w:t>1.8.2 脚手架和工作平台</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1280"/>
        <w:rPr>
          <w:rFonts w:ascii="宋体"/>
        </w:rPr>
      </w:pPr>
      <w:r>
        <w:rPr>
          <w:rFonts w:ascii="宋体"/>
        </w:rPr>
        <w:t>脚手架和工作平台的强度必须足够安全地承受最大静荷载和动荷载的合力。</w:t>
      </w:r>
    </w:p>
    <w:p>
      <w:pPr>
        <w:pStyle w:val="1280"/>
        <w:rPr>
          <w:rFonts w:ascii="宋体"/>
        </w:rPr>
      </w:pPr>
      <w:r>
        <w:rPr>
          <w:rFonts w:ascii="宋体"/>
        </w:rPr>
        <w:t>脚手架的材料须经项目监理和业主批准。扶手和踏板必须是安装牢固和确保安全，并符合国家有关规范的要求。</w:t>
      </w:r>
    </w:p>
    <w:p>
      <w:pPr>
        <w:pStyle w:val="1280"/>
        <w:ind w:firstLine="0" w:firstLineChars="0"/>
        <w:rPr>
          <w:rFonts w:ascii="宋体"/>
        </w:rPr>
      </w:pPr>
      <w:bookmarkStart w:id="556" w:name="_Toc470670965"/>
      <w:bookmarkStart w:id="557" w:name="_Toc399988457"/>
      <w:bookmarkStart w:id="558" w:name="_Toc164502016"/>
      <w:bookmarkStart w:id="559" w:name="_Toc399982985"/>
      <w:r>
        <w:rPr>
          <w:rFonts w:ascii="宋体"/>
        </w:rPr>
        <w:t>1.8.2.1 使用要求</w:t>
      </w:r>
      <w:bookmarkEnd w:id="556"/>
      <w:bookmarkEnd w:id="557"/>
      <w:bookmarkEnd w:id="558"/>
      <w:bookmarkEnd w:id="559"/>
    </w:p>
    <w:p>
      <w:pPr>
        <w:pStyle w:val="1280"/>
        <w:rPr>
          <w:rFonts w:ascii="宋体"/>
        </w:rPr>
      </w:pPr>
      <w:r>
        <w:rPr>
          <w:rFonts w:ascii="宋体"/>
        </w:rPr>
        <w:t>1、有适当的宽度（或面积）、步架高度、离墙距离，参照《建筑施工手册》</w:t>
      </w:r>
    </w:p>
    <w:p>
      <w:pPr>
        <w:pStyle w:val="1280"/>
        <w:rPr>
          <w:rFonts w:ascii="宋体"/>
          <w:kern w:val="2"/>
        </w:rPr>
      </w:pPr>
      <w:r>
        <w:rPr>
          <w:rFonts w:ascii="宋体"/>
          <w:kern w:val="2"/>
        </w:rPr>
        <w:t>中有关规定，能满足工人操作、材料堆置和运输的需要。</w:t>
      </w:r>
    </w:p>
    <w:p>
      <w:pPr>
        <w:pStyle w:val="1280"/>
        <w:rPr>
          <w:rFonts w:ascii="宋体"/>
        </w:rPr>
      </w:pPr>
      <w:r>
        <w:rPr>
          <w:rFonts w:ascii="宋体"/>
        </w:rPr>
        <w:t>2、具有稳定的结构和足够的承载能力，能保证施工期间可能出现的使用荷载（规定限值），并在荷载的作用下不变形、不摇晃、不倾斜。</w:t>
      </w:r>
    </w:p>
    <w:p>
      <w:pPr>
        <w:pStyle w:val="1280"/>
        <w:rPr>
          <w:rFonts w:ascii="宋体"/>
        </w:rPr>
      </w:pPr>
      <w:r>
        <w:rPr>
          <w:rFonts w:ascii="宋体"/>
        </w:rPr>
        <w:t>3、与垂直运输设施（电梯、井字架、升降架等）和楼层作业面高度相互适应，</w:t>
      </w:r>
    </w:p>
    <w:p>
      <w:pPr>
        <w:pStyle w:val="1280"/>
        <w:rPr>
          <w:rFonts w:ascii="宋体"/>
        </w:rPr>
      </w:pPr>
      <w:r>
        <w:rPr>
          <w:rFonts w:ascii="宋体"/>
        </w:rPr>
        <w:t>以确保材料垂直运输转入水平运输的需要。</w:t>
      </w:r>
    </w:p>
    <w:p>
      <w:pPr>
        <w:pStyle w:val="1280"/>
        <w:rPr>
          <w:rFonts w:ascii="宋体"/>
        </w:rPr>
      </w:pPr>
      <w:r>
        <w:rPr>
          <w:rFonts w:ascii="宋体"/>
        </w:rPr>
        <w:t>4、搭设、拆除和搬运方便，能长期周转使用，搭拆进度能满足施工安排的需要。</w:t>
      </w:r>
    </w:p>
    <w:p>
      <w:pPr>
        <w:pStyle w:val="1280"/>
        <w:rPr>
          <w:rFonts w:ascii="宋体"/>
        </w:rPr>
      </w:pPr>
      <w:r>
        <w:rPr>
          <w:rFonts w:ascii="宋体"/>
        </w:rPr>
        <w:t>5、应考虑多层作业，交叉流水作业和多工种作业的要求，减少多次搭拆。</w:t>
      </w:r>
    </w:p>
    <w:p>
      <w:pPr>
        <w:pStyle w:val="1280"/>
        <w:ind w:firstLine="0" w:firstLineChars="0"/>
        <w:rPr>
          <w:rFonts w:ascii="宋体"/>
        </w:rPr>
      </w:pPr>
      <w:bookmarkStart w:id="560" w:name="_Toc399982986"/>
      <w:bookmarkStart w:id="561" w:name="_Toc399988458"/>
      <w:bookmarkStart w:id="562" w:name="_Toc470670966"/>
      <w:bookmarkStart w:id="563" w:name="_Toc164502017"/>
      <w:r>
        <w:rPr>
          <w:rFonts w:ascii="宋体"/>
        </w:rPr>
        <w:t>1.8.2.2 安全要求</w:t>
      </w:r>
      <w:bookmarkEnd w:id="560"/>
      <w:bookmarkEnd w:id="561"/>
      <w:bookmarkEnd w:id="562"/>
      <w:bookmarkEnd w:id="563"/>
    </w:p>
    <w:p>
      <w:pPr>
        <w:pStyle w:val="1280"/>
        <w:rPr>
          <w:rFonts w:ascii="宋体"/>
        </w:rPr>
      </w:pPr>
      <w:r>
        <w:rPr>
          <w:rFonts w:ascii="宋体"/>
        </w:rPr>
        <w:t>确保使用安全是脚手架工程中的首要问题，承包商须严格按照施工安全规程进行脚手架工程的设计和架设，脚手架的施工设计应在实施前的28天以前交项目监理审核，项目监理同意后方可实施。项目监理的批准不免除承包商的责任。对于不符合施工安全规程施工，业主和项目监理有权要求承包商（1）停止脚手架的使用；（2）承包商自费对不合格的工程进行整改、加固、更换和修补；并（3）得到业主和项目监理同意后方可继续使用。承包商通常应考虑以下几个环节并派合格的安全员负责安全管理：</w:t>
      </w:r>
    </w:p>
    <w:p>
      <w:pPr>
        <w:pStyle w:val="1280"/>
        <w:rPr>
          <w:rFonts w:ascii="宋体"/>
        </w:rPr>
      </w:pPr>
      <w:r>
        <w:rPr>
          <w:rFonts w:ascii="宋体"/>
        </w:rPr>
        <w:t>1、把好材料、加工和产品质量关，加强对架设工具的管理和维修保养工作，避免使用质量不合格的架设工具和材料，主要要求为：</w:t>
      </w:r>
    </w:p>
    <w:p>
      <w:pPr>
        <w:pStyle w:val="1280"/>
        <w:rPr>
          <w:rFonts w:ascii="宋体"/>
        </w:rPr>
      </w:pPr>
      <w:r>
        <w:rPr>
          <w:rFonts w:hint="eastAsia" w:ascii="宋体"/>
        </w:rPr>
        <w:t>（</w:t>
      </w:r>
      <w:r>
        <w:rPr>
          <w:rFonts w:ascii="宋体"/>
        </w:rPr>
        <w:t>1</w:t>
      </w:r>
      <w:r>
        <w:rPr>
          <w:rFonts w:hint="eastAsia" w:ascii="宋体"/>
        </w:rPr>
        <w:t>）</w:t>
      </w:r>
      <w:r>
        <w:rPr>
          <w:rFonts w:ascii="宋体"/>
        </w:rPr>
        <w:t>架设工具材料的规格和质量必须符合有关技术规定的要求，自行加工的架设工具必须符合设计要求，并经试验检验合格后才能使用。</w:t>
      </w:r>
    </w:p>
    <w:p>
      <w:pPr>
        <w:pStyle w:val="1280"/>
        <w:rPr>
          <w:rFonts w:ascii="宋体"/>
        </w:rPr>
      </w:pPr>
      <w:r>
        <w:rPr>
          <w:rFonts w:hint="eastAsia" w:ascii="宋体"/>
        </w:rPr>
        <w:t>（2）</w:t>
      </w:r>
      <w:r>
        <w:rPr>
          <w:rFonts w:ascii="宋体"/>
        </w:rPr>
        <w:t>加强对架设工具材料的统一管理，严格执行发放和入库制度。避免或减少在搭拆、运输和存放过程中造成的损坏。及时进行维修保养，剔除不合格和不能保证安全使用品。</w:t>
      </w:r>
    </w:p>
    <w:p>
      <w:pPr>
        <w:pStyle w:val="1280"/>
        <w:rPr>
          <w:rFonts w:ascii="宋体"/>
        </w:rPr>
      </w:pPr>
      <w:r>
        <w:rPr>
          <w:rFonts w:ascii="宋体"/>
        </w:rPr>
        <w:t>2、确保脚手架具有稳定的结构和足够的承载力。</w:t>
      </w:r>
    </w:p>
    <w:p>
      <w:pPr>
        <w:pStyle w:val="1280"/>
        <w:rPr>
          <w:rFonts w:ascii="宋体"/>
        </w:rPr>
      </w:pPr>
      <w:r>
        <w:rPr>
          <w:rFonts w:ascii="宋体"/>
        </w:rPr>
        <w:t>3、认真处理脚手架地基，确保地基具有足够的承载能力，避免脚手架发生整体或局部沉降；脚手架应设置足够多的牢固的连墙点或施工场地永久性设施固定点，依靠建筑结构的整体刚度或施工场地永久性设施来加强和确保整片脚手架的稳定性。</w:t>
      </w:r>
    </w:p>
    <w:p>
      <w:pPr>
        <w:pStyle w:val="1280"/>
        <w:rPr>
          <w:rFonts w:ascii="宋体"/>
        </w:rPr>
      </w:pPr>
      <w:r>
        <w:rPr>
          <w:rFonts w:ascii="宋体"/>
        </w:rPr>
        <w:t>4、确保脚手架的搭设。</w:t>
      </w:r>
    </w:p>
    <w:p>
      <w:pPr>
        <w:pStyle w:val="1280"/>
        <w:rPr>
          <w:rFonts w:ascii="宋体"/>
        </w:rPr>
      </w:pPr>
      <w:r>
        <w:rPr>
          <w:rFonts w:ascii="宋体"/>
        </w:rPr>
        <w:t>搭设完毕后应进行检查验收，检查合格才能使用。特种工程脚手架在使用前更应进行严格检查。</w:t>
      </w:r>
    </w:p>
    <w:p>
      <w:pPr>
        <w:pStyle w:val="1280"/>
        <w:rPr>
          <w:rFonts w:ascii="宋体"/>
        </w:rPr>
      </w:pPr>
      <w:r>
        <w:rPr>
          <w:rFonts w:ascii="宋体"/>
        </w:rPr>
        <w:t>5、严格控制使用荷载，确保有较大的安全储备。</w:t>
      </w:r>
    </w:p>
    <w:p>
      <w:pPr>
        <w:pStyle w:val="1280"/>
        <w:rPr>
          <w:rFonts w:ascii="宋体"/>
        </w:rPr>
      </w:pPr>
      <w:r>
        <w:rPr>
          <w:rFonts w:ascii="宋体"/>
        </w:rPr>
        <w:t>由于脚手架的搭设不像建筑结构那样严格，且使用荷载的变动性也较大，因此，需要留有适当的安全储备，一般取安全系数3.0。</w:t>
      </w:r>
    </w:p>
    <w:p>
      <w:pPr>
        <w:pStyle w:val="1280"/>
        <w:rPr>
          <w:rFonts w:ascii="宋体"/>
        </w:rPr>
      </w:pPr>
      <w:r>
        <w:rPr>
          <w:rFonts w:ascii="宋体"/>
        </w:rPr>
        <w:t>6、要有可靠的安全防护措施，其中包括：</w:t>
      </w:r>
    </w:p>
    <w:p>
      <w:pPr>
        <w:pStyle w:val="1280"/>
        <w:rPr>
          <w:rFonts w:ascii="宋体"/>
        </w:rPr>
      </w:pPr>
      <w:r>
        <w:rPr>
          <w:rFonts w:hint="eastAsia" w:ascii="宋体"/>
        </w:rPr>
        <w:t>（1）</w:t>
      </w:r>
      <w:r>
        <w:rPr>
          <w:rFonts w:ascii="宋体"/>
        </w:rPr>
        <w:t>作业层的外侧面应设档板，围栅或安全网；</w:t>
      </w:r>
    </w:p>
    <w:p>
      <w:pPr>
        <w:pStyle w:val="1280"/>
        <w:rPr>
          <w:rFonts w:ascii="宋体"/>
        </w:rPr>
      </w:pPr>
      <w:r>
        <w:rPr>
          <w:rFonts w:hint="eastAsia" w:ascii="宋体"/>
        </w:rPr>
        <w:t>（2）</w:t>
      </w:r>
      <w:r>
        <w:rPr>
          <w:rFonts w:ascii="宋体"/>
        </w:rPr>
        <w:t>在架高方向按规定设置多层挑出式安全网；</w:t>
      </w:r>
    </w:p>
    <w:p>
      <w:pPr>
        <w:pStyle w:val="1280"/>
        <w:rPr>
          <w:rFonts w:ascii="宋体"/>
        </w:rPr>
      </w:pPr>
      <w:r>
        <w:rPr>
          <w:rFonts w:hint="eastAsia" w:ascii="宋体"/>
        </w:rPr>
        <w:t>（3）</w:t>
      </w:r>
      <w:r>
        <w:rPr>
          <w:rFonts w:ascii="宋体"/>
        </w:rPr>
        <w:t>设置供人员上下使用（包括携带工具和少量材料）的安全扶梯，爬梯或斜道，梯道上应有可靠的防滑措施；</w:t>
      </w:r>
    </w:p>
    <w:p>
      <w:pPr>
        <w:pStyle w:val="1280"/>
        <w:rPr>
          <w:rFonts w:ascii="宋体"/>
        </w:rPr>
      </w:pPr>
      <w:r>
        <w:rPr>
          <w:rFonts w:hint="eastAsia" w:ascii="宋体"/>
        </w:rPr>
        <w:t>（4）</w:t>
      </w:r>
      <w:r>
        <w:rPr>
          <w:rFonts w:ascii="宋体"/>
        </w:rPr>
        <w:t>在脚手架上同时进行多层作业的情况下，各作业层之间设置可靠的防护棚挡(在作业层下挂棚布、竹笆或小孔绳网等)，以防止上层坠物伤及下层作业人员；</w:t>
      </w:r>
    </w:p>
    <w:p>
      <w:pPr>
        <w:pStyle w:val="1280"/>
        <w:rPr>
          <w:rFonts w:ascii="宋体"/>
        </w:rPr>
      </w:pPr>
      <w:r>
        <w:rPr>
          <w:rFonts w:hint="eastAsia" w:ascii="宋体"/>
        </w:rPr>
        <w:t>（5）</w:t>
      </w:r>
      <w:r>
        <w:rPr>
          <w:rFonts w:ascii="宋体"/>
        </w:rPr>
        <w:t>吊、挂式脚手架使用的挑架、桁架、吊蓝、钢丝绳和其他绳索，使用前要作荷载检验，均必须满足规定的安全系数，升降设备必须有可靠的制动装置；</w:t>
      </w:r>
    </w:p>
    <w:p>
      <w:pPr>
        <w:pStyle w:val="1280"/>
        <w:rPr>
          <w:rFonts w:ascii="宋体"/>
        </w:rPr>
      </w:pPr>
      <w:r>
        <w:rPr>
          <w:rFonts w:hint="eastAsia" w:ascii="宋体"/>
        </w:rPr>
        <w:t>（6）</w:t>
      </w:r>
      <w:r>
        <w:rPr>
          <w:rFonts w:ascii="宋体"/>
        </w:rPr>
        <w:t>必须有良好的防电、避雷装置，钢脚手架、钢垂直运输架均应有可靠接地，雷雨季节高于四周建筑物的脚手架和垂直运输架应设避雷装置。</w:t>
      </w:r>
    </w:p>
    <w:p>
      <w:pPr>
        <w:pStyle w:val="1280"/>
        <w:rPr>
          <w:rFonts w:ascii="宋体"/>
        </w:rPr>
      </w:pPr>
      <w:r>
        <w:rPr>
          <w:rFonts w:ascii="宋体"/>
        </w:rPr>
        <w:t>7、严格避免以下违章作业：</w:t>
      </w:r>
    </w:p>
    <w:p>
      <w:pPr>
        <w:pStyle w:val="1280"/>
        <w:rPr>
          <w:rFonts w:ascii="宋体"/>
        </w:rPr>
      </w:pPr>
      <w:r>
        <w:rPr>
          <w:rFonts w:hint="eastAsia" w:ascii="宋体"/>
        </w:rPr>
        <w:t>（1）</w:t>
      </w:r>
      <w:r>
        <w:rPr>
          <w:rFonts w:ascii="宋体"/>
        </w:rPr>
        <w:t>利用脚手架吊运重物；</w:t>
      </w:r>
    </w:p>
    <w:p>
      <w:pPr>
        <w:pStyle w:val="1280"/>
        <w:rPr>
          <w:rFonts w:ascii="宋体"/>
        </w:rPr>
      </w:pPr>
      <w:r>
        <w:rPr>
          <w:rFonts w:hint="eastAsia" w:ascii="宋体"/>
        </w:rPr>
        <w:t>（2）</w:t>
      </w:r>
      <w:r>
        <w:rPr>
          <w:rFonts w:ascii="宋体"/>
        </w:rPr>
        <w:t>作业人员攀登架子上下；</w:t>
      </w:r>
    </w:p>
    <w:p>
      <w:pPr>
        <w:pStyle w:val="1280"/>
        <w:rPr>
          <w:rFonts w:ascii="宋体"/>
        </w:rPr>
      </w:pPr>
      <w:r>
        <w:rPr>
          <w:rFonts w:hint="eastAsia" w:ascii="宋体"/>
        </w:rPr>
        <w:t>（3）</w:t>
      </w:r>
      <w:r>
        <w:rPr>
          <w:rFonts w:ascii="宋体"/>
        </w:rPr>
        <w:t>推车在架子上跑动；</w:t>
      </w:r>
    </w:p>
    <w:p>
      <w:pPr>
        <w:pStyle w:val="1280"/>
        <w:rPr>
          <w:rFonts w:ascii="宋体"/>
        </w:rPr>
      </w:pPr>
      <w:r>
        <w:rPr>
          <w:rFonts w:hint="eastAsia" w:ascii="宋体"/>
        </w:rPr>
        <w:t>（4）</w:t>
      </w:r>
      <w:r>
        <w:rPr>
          <w:rFonts w:ascii="宋体"/>
        </w:rPr>
        <w:t>在脚手架上拉结吊装缆绳；</w:t>
      </w:r>
    </w:p>
    <w:p>
      <w:pPr>
        <w:pStyle w:val="1280"/>
        <w:rPr>
          <w:rFonts w:ascii="宋体"/>
        </w:rPr>
      </w:pPr>
      <w:r>
        <w:rPr>
          <w:rFonts w:hint="eastAsia" w:ascii="宋体"/>
        </w:rPr>
        <w:t>（5）</w:t>
      </w:r>
      <w:r>
        <w:rPr>
          <w:rFonts w:ascii="宋体"/>
        </w:rPr>
        <w:t>任意拆除脚手架部件和连墙杆件；</w:t>
      </w:r>
    </w:p>
    <w:p>
      <w:pPr>
        <w:pStyle w:val="1280"/>
        <w:rPr>
          <w:rFonts w:ascii="宋体"/>
        </w:rPr>
      </w:pPr>
      <w:r>
        <w:rPr>
          <w:rFonts w:hint="eastAsia" w:ascii="宋体"/>
        </w:rPr>
        <w:t>（6）</w:t>
      </w:r>
      <w:r>
        <w:rPr>
          <w:rFonts w:ascii="宋体"/>
        </w:rPr>
        <w:t>在脚手架底部或近旁进行开挖沟槽等影响脚手架地基稳定的施工作业；</w:t>
      </w:r>
    </w:p>
    <w:p>
      <w:pPr>
        <w:pStyle w:val="1280"/>
        <w:rPr>
          <w:rFonts w:ascii="宋体"/>
        </w:rPr>
      </w:pPr>
      <w:r>
        <w:rPr>
          <w:rFonts w:hint="eastAsia" w:ascii="宋体"/>
        </w:rPr>
        <w:t>（7）</w:t>
      </w:r>
      <w:r>
        <w:rPr>
          <w:rFonts w:ascii="宋体"/>
        </w:rPr>
        <w:t>起吊构件和器材时碰撞或扯动脚手架；</w:t>
      </w:r>
    </w:p>
    <w:p>
      <w:pPr>
        <w:pStyle w:val="1280"/>
        <w:rPr>
          <w:rFonts w:ascii="宋体"/>
        </w:rPr>
      </w:pPr>
      <w:r>
        <w:rPr>
          <w:rFonts w:hint="eastAsia" w:ascii="宋体"/>
        </w:rPr>
        <w:t>（8）</w:t>
      </w:r>
      <w:r>
        <w:rPr>
          <w:rFonts w:ascii="宋体"/>
        </w:rPr>
        <w:t>立杆沉陷或悬空，连接松动，架子歪斜，杆件变形，脚手板上结冰等。在上述问题解决以前应暂停使用脚手架。</w:t>
      </w:r>
    </w:p>
    <w:p>
      <w:pPr>
        <w:pStyle w:val="1280"/>
        <w:rPr>
          <w:rFonts w:ascii="宋体"/>
        </w:rPr>
      </w:pPr>
      <w:r>
        <w:rPr>
          <w:rFonts w:ascii="宋体"/>
        </w:rPr>
        <w:t>8、大雾、大雨和大雪天气下应暂停在脚手架作业，雨雪后上架操作要有防滑措施。</w:t>
      </w:r>
    </w:p>
    <w:p>
      <w:pPr>
        <w:pStyle w:val="1280"/>
        <w:rPr>
          <w:rFonts w:ascii="宋体"/>
        </w:rPr>
      </w:pPr>
      <w:r>
        <w:rPr>
          <w:rFonts w:ascii="宋体"/>
        </w:rPr>
        <w:t>9、加强使用过程中的检查，发现问题应及时解决。</w:t>
      </w:r>
    </w:p>
    <w:p>
      <w:pPr>
        <w:pStyle w:val="1284"/>
        <w:outlineLvl w:val="0"/>
        <w:rPr>
          <w:rFonts w:ascii="宋体" w:hAnsi="宋体"/>
        </w:rPr>
      </w:pPr>
      <w:bookmarkStart w:id="564" w:name="_Toc399988459"/>
      <w:bookmarkStart w:id="565" w:name="_Toc399982987"/>
      <w:bookmarkStart w:id="566" w:name="_Toc106882987"/>
      <w:bookmarkStart w:id="567" w:name="_Toc521493339"/>
      <w:bookmarkStart w:id="568" w:name="_Toc470670967"/>
      <w:bookmarkStart w:id="569" w:name="_Toc164502018"/>
      <w:bookmarkStart w:id="570" w:name="_Toc518376487"/>
      <w:bookmarkStart w:id="571" w:name="_Toc517382439"/>
      <w:bookmarkStart w:id="572" w:name="_Toc521491808"/>
      <w:bookmarkStart w:id="573" w:name="_Toc521492665"/>
      <w:r>
        <w:rPr>
          <w:rFonts w:ascii="宋体" w:hAnsi="宋体"/>
        </w:rPr>
        <w:t>1.8.3 兼作模板支撑的脚手架</w:t>
      </w:r>
      <w:bookmarkEnd w:id="564"/>
      <w:bookmarkEnd w:id="565"/>
      <w:bookmarkEnd w:id="566"/>
      <w:bookmarkEnd w:id="567"/>
      <w:bookmarkEnd w:id="568"/>
      <w:bookmarkEnd w:id="569"/>
      <w:bookmarkEnd w:id="570"/>
      <w:bookmarkEnd w:id="571"/>
      <w:bookmarkEnd w:id="572"/>
      <w:bookmarkEnd w:id="573"/>
    </w:p>
    <w:p>
      <w:pPr>
        <w:pStyle w:val="1280"/>
        <w:rPr>
          <w:rFonts w:ascii="宋体"/>
        </w:rPr>
      </w:pPr>
      <w:r>
        <w:rPr>
          <w:rFonts w:ascii="宋体"/>
        </w:rPr>
        <w:t>脚手架兼作模板支撑，应有足够的刚度，以防捣实混凝土时模板产生较大侧移，影响构件浇筑质量。</w:t>
      </w:r>
    </w:p>
    <w:p>
      <w:pPr>
        <w:pStyle w:val="1284"/>
        <w:outlineLvl w:val="0"/>
        <w:rPr>
          <w:rFonts w:ascii="宋体" w:hAnsi="宋体"/>
        </w:rPr>
      </w:pPr>
      <w:bookmarkStart w:id="574" w:name="_Toc385008379"/>
      <w:bookmarkStart w:id="575" w:name="_Toc385007583"/>
      <w:bookmarkStart w:id="576" w:name="_Toc517382440"/>
      <w:bookmarkStart w:id="577" w:name="_Toc385012541"/>
      <w:bookmarkStart w:id="578" w:name="_Toc395412677"/>
      <w:bookmarkStart w:id="579" w:name="_Toc398083685"/>
      <w:bookmarkStart w:id="580" w:name="_Toc398453500"/>
      <w:bookmarkStart w:id="581" w:name="_Toc16242275"/>
      <w:bookmarkStart w:id="582" w:name="_Toc398523300"/>
      <w:bookmarkStart w:id="583" w:name="_Toc43107464"/>
      <w:bookmarkStart w:id="584" w:name="_Toc164502019"/>
      <w:bookmarkStart w:id="585" w:name="_Toc521492666"/>
      <w:bookmarkStart w:id="586" w:name="_Toc518376488"/>
      <w:bookmarkStart w:id="587" w:name="_Toc521491809"/>
      <w:bookmarkStart w:id="588" w:name="_Toc521493340"/>
      <w:bookmarkStart w:id="589" w:name="_Toc106882988"/>
      <w:r>
        <w:rPr>
          <w:rFonts w:ascii="宋体" w:hAnsi="宋体"/>
        </w:rPr>
        <w:t>1.8.4 降低水位</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1280"/>
        <w:rPr>
          <w:rFonts w:ascii="宋体"/>
        </w:rPr>
      </w:pPr>
      <w:r>
        <w:rPr>
          <w:rFonts w:ascii="宋体"/>
        </w:rPr>
        <w:t>承包商应该提供一份详细的基坑降、排水和施工场地排水技术方案，使得一旦遇到这样的问题可以令项目监理和业主满意地实施这个方案。</w:t>
      </w:r>
    </w:p>
    <w:p>
      <w:pPr>
        <w:pStyle w:val="1280"/>
        <w:rPr>
          <w:rFonts w:ascii="宋体"/>
        </w:rPr>
      </w:pPr>
      <w:r>
        <w:rPr>
          <w:rFonts w:ascii="宋体"/>
        </w:rPr>
        <w:t>在施工挖掘工程时应该使水位降至施工工程下底面以下至少50cm。排水系统应该能够连续工作。承包商应该确保工地现场的任何时候有足够的备用设备以保证连续排水。</w:t>
      </w:r>
    </w:p>
    <w:p>
      <w:pPr>
        <w:pStyle w:val="1280"/>
        <w:rPr>
          <w:rFonts w:ascii="宋体"/>
        </w:rPr>
      </w:pPr>
      <w:r>
        <w:rPr>
          <w:rFonts w:ascii="宋体"/>
        </w:rPr>
        <w:t>承包商应该考虑对降水系统排出的水按项目监理和业主的指示进行处理。</w:t>
      </w:r>
    </w:p>
    <w:p>
      <w:pPr>
        <w:pStyle w:val="1280"/>
        <w:rPr>
          <w:rFonts w:ascii="宋体"/>
        </w:rPr>
      </w:pPr>
      <w:r>
        <w:rPr>
          <w:rFonts w:ascii="宋体"/>
        </w:rPr>
        <w:t>承包商的投标报价中应包含由于等待湿地变干，或挖掘工作遭破坏，或雨水或水管破裂流出的污水、废水导致塌方等可能发生的费用，相应承担由此而产生的工期延长和必要的地基处理的费用要求。</w:t>
      </w:r>
    </w:p>
    <w:p>
      <w:pPr>
        <w:pStyle w:val="1280"/>
        <w:rPr>
          <w:rFonts w:ascii="宋体"/>
        </w:rPr>
      </w:pPr>
      <w:r>
        <w:rPr>
          <w:rFonts w:ascii="宋体"/>
        </w:rPr>
        <w:t>承包商须确保降低地下水位而不影响任何相邻的施工、现有设施或构筑物。</w:t>
      </w:r>
    </w:p>
    <w:p>
      <w:pPr>
        <w:pStyle w:val="1280"/>
        <w:rPr>
          <w:rFonts w:ascii="宋体"/>
        </w:rPr>
      </w:pPr>
      <w:r>
        <w:rPr>
          <w:rFonts w:ascii="宋体"/>
        </w:rPr>
        <w:t>采用人工降低地下水位的措施可包括下列主要内容（但不限于以下内容）：</w:t>
      </w:r>
    </w:p>
    <w:p>
      <w:pPr>
        <w:pStyle w:val="1280"/>
        <w:rPr>
          <w:rFonts w:ascii="宋体"/>
        </w:rPr>
      </w:pPr>
      <w:r>
        <w:rPr>
          <w:rFonts w:ascii="宋体"/>
        </w:rPr>
        <w:t>平面布置图：基坑或沟槽的位置和尺寸，降水系统总体布置，道路及排水线路、挡土墙防排水措施布置位置和尺寸等；</w:t>
      </w:r>
    </w:p>
    <w:p>
      <w:pPr>
        <w:pStyle w:val="1280"/>
        <w:rPr>
          <w:rFonts w:ascii="宋体"/>
        </w:rPr>
      </w:pPr>
      <w:r>
        <w:rPr>
          <w:rFonts w:ascii="宋体"/>
        </w:rPr>
        <w:t>剖面图：地下管线、总管、滤管、观测井的高程及降水曲线等；</w:t>
      </w:r>
    </w:p>
    <w:p>
      <w:pPr>
        <w:pStyle w:val="1280"/>
        <w:rPr>
          <w:rFonts w:ascii="宋体"/>
        </w:rPr>
      </w:pPr>
      <w:r>
        <w:rPr>
          <w:rFonts w:ascii="宋体"/>
        </w:rPr>
        <w:t>文字说明：包括施工程序、施工方法、机具设备和动力配套的型号以及排水沟管的设置，排水地点的选择，防止地面水、雨水流入基坑或沟槽的措施等。</w:t>
      </w:r>
    </w:p>
    <w:p>
      <w:pPr>
        <w:pStyle w:val="1280"/>
        <w:rPr>
          <w:rFonts w:ascii="宋体"/>
        </w:rPr>
      </w:pPr>
      <w:bookmarkStart w:id="590" w:name="_Toc385008381"/>
      <w:bookmarkStart w:id="591" w:name="_Toc395412679"/>
      <w:bookmarkStart w:id="592" w:name="_Toc385012543"/>
      <w:bookmarkStart w:id="593" w:name="_Toc385007585"/>
      <w:r>
        <w:rPr>
          <w:rFonts w:ascii="宋体"/>
        </w:rPr>
        <w:t>若采用井点降水，则井点降水的一般规定</w:t>
      </w:r>
      <w:bookmarkEnd w:id="590"/>
      <w:bookmarkEnd w:id="591"/>
      <w:bookmarkEnd w:id="592"/>
      <w:bookmarkEnd w:id="593"/>
      <w:r>
        <w:rPr>
          <w:rFonts w:ascii="宋体"/>
        </w:rPr>
        <w:t>应为：</w:t>
      </w:r>
    </w:p>
    <w:p>
      <w:pPr>
        <w:pStyle w:val="1280"/>
        <w:rPr>
          <w:rFonts w:ascii="宋体"/>
        </w:rPr>
      </w:pPr>
      <w:r>
        <w:rPr>
          <w:rFonts w:ascii="宋体"/>
        </w:rPr>
        <w:t>井点设备应根据土层的性质，要求降低地下水位的深度及工程特点选用，选用时应考虑能源消耗是最小的；</w:t>
      </w:r>
    </w:p>
    <w:p>
      <w:pPr>
        <w:pStyle w:val="1280"/>
        <w:rPr>
          <w:rFonts w:ascii="宋体"/>
        </w:rPr>
      </w:pPr>
      <w:r>
        <w:rPr>
          <w:rFonts w:ascii="宋体"/>
        </w:rPr>
        <w:t>井点可单排、双排或环形布置，井点施工前应做现场抽水试验，确定降水曲线，并将其结果送交项目监理，如果项目监理认为降水曲线表明的降水效果及由于降水引起土体的差异沉降不能满足工程上的要求，承包商应对井点施工的设计进行调整；</w:t>
      </w:r>
    </w:p>
    <w:p>
      <w:pPr>
        <w:pStyle w:val="1280"/>
        <w:rPr>
          <w:rFonts w:ascii="宋体"/>
        </w:rPr>
      </w:pPr>
      <w:r>
        <w:rPr>
          <w:rFonts w:ascii="宋体"/>
        </w:rPr>
        <w:t>基坑或沟槽开挖深度必须控制在降水水位0.5m以上，环形和双排井点的控制点在基坑或沟槽中心，单排井点控制在基坑或沟槽对侧的底边线；</w:t>
      </w:r>
    </w:p>
    <w:p>
      <w:pPr>
        <w:pStyle w:val="1280"/>
        <w:rPr>
          <w:rFonts w:ascii="宋体"/>
        </w:rPr>
      </w:pPr>
      <w:r>
        <w:rPr>
          <w:rFonts w:ascii="宋体"/>
        </w:rPr>
        <w:t>若井点的吸水总管穿越交通道口，应采取措施防止压坏，以确保井点系统的正常运行，同时应满足交通要求；</w:t>
      </w:r>
    </w:p>
    <w:p>
      <w:pPr>
        <w:pStyle w:val="1280"/>
        <w:rPr>
          <w:rFonts w:ascii="宋体"/>
        </w:rPr>
      </w:pPr>
      <w:r>
        <w:rPr>
          <w:rFonts w:ascii="宋体"/>
        </w:rPr>
        <w:t>泵体位置布置应考虑交通方便、吊装搬移、检修、排水和操作安全；</w:t>
      </w:r>
    </w:p>
    <w:p>
      <w:pPr>
        <w:pStyle w:val="1280"/>
        <w:rPr>
          <w:rFonts w:ascii="宋体"/>
        </w:rPr>
      </w:pPr>
      <w:r>
        <w:rPr>
          <w:rFonts w:ascii="宋体"/>
        </w:rPr>
        <w:t>井点系统布置，还应考虑井点降水对邻近建筑物和管道的影响，承包商必须注意合同的相关条款和技术规范的规定采取措施，并做好沉降观测，井点出水必须遵守本技术规范相关条款的规定，严禁随地流淌或渗入土层，在降水范围内应设置观测井，其数量和位置应包括在井点施工设计送项目监理认可；</w:t>
      </w:r>
    </w:p>
    <w:p>
      <w:pPr>
        <w:pStyle w:val="1280"/>
        <w:rPr>
          <w:rFonts w:ascii="宋体"/>
        </w:rPr>
      </w:pPr>
      <w:r>
        <w:rPr>
          <w:rFonts w:ascii="宋体"/>
        </w:rPr>
        <w:t>观测井井管宜安装在与井点井管同一含水层内和同一深度上，并应经过检验</w:t>
      </w:r>
      <w:r>
        <w:rPr>
          <w:rFonts w:hint="eastAsia" w:ascii="宋体"/>
        </w:rPr>
        <w:t>（</w:t>
      </w:r>
      <w:r>
        <w:rPr>
          <w:rFonts w:ascii="宋体"/>
        </w:rPr>
        <w:t>如灌水后试抽等</w:t>
      </w:r>
      <w:r>
        <w:rPr>
          <w:rFonts w:hint="eastAsia" w:ascii="宋体"/>
        </w:rPr>
        <w:t>）</w:t>
      </w:r>
      <w:r>
        <w:rPr>
          <w:rFonts w:ascii="宋体"/>
        </w:rPr>
        <w:t>使观测结果可靠。</w:t>
      </w:r>
    </w:p>
    <w:p>
      <w:pPr>
        <w:pStyle w:val="1280"/>
        <w:rPr>
          <w:rFonts w:ascii="宋体"/>
        </w:rPr>
      </w:pPr>
      <w:bookmarkStart w:id="594" w:name="_Toc385008382"/>
      <w:bookmarkStart w:id="595" w:name="_Toc395412680"/>
      <w:bookmarkStart w:id="596" w:name="_Toc385007586"/>
      <w:bookmarkStart w:id="597" w:name="_Toc385012544"/>
      <w:r>
        <w:rPr>
          <w:rFonts w:ascii="宋体"/>
        </w:rPr>
        <w:t>井点降水的质量标准</w:t>
      </w:r>
      <w:bookmarkEnd w:id="594"/>
      <w:bookmarkEnd w:id="595"/>
      <w:bookmarkEnd w:id="596"/>
      <w:bookmarkEnd w:id="597"/>
      <w:r>
        <w:rPr>
          <w:rFonts w:ascii="宋体"/>
        </w:rPr>
        <w:t>：</w:t>
      </w:r>
    </w:p>
    <w:p>
      <w:pPr>
        <w:pStyle w:val="1280"/>
        <w:rPr>
          <w:rFonts w:ascii="宋体"/>
        </w:rPr>
      </w:pPr>
      <w:r>
        <w:rPr>
          <w:rFonts w:ascii="宋体"/>
        </w:rPr>
        <w:t>井孔应垂直，孔径、孔深应符合规范要求，轻型井点冲孔孔径不得小于30cm，喷射井点冲孔深度应比滤管底深100cm以上；</w:t>
      </w:r>
    </w:p>
    <w:p>
      <w:pPr>
        <w:pStyle w:val="1280"/>
        <w:rPr>
          <w:rFonts w:ascii="宋体"/>
        </w:rPr>
      </w:pPr>
      <w:r>
        <w:rPr>
          <w:rFonts w:ascii="宋体"/>
        </w:rPr>
        <w:t>井管连接后应成直线，连接处应密封、牢固，井管平面位置偏差不大于20cm，滤管应存放在井孔中间，不得碰到井孔壁，井管管顶高程偏差不大于10cm；</w:t>
      </w:r>
    </w:p>
    <w:p>
      <w:pPr>
        <w:pStyle w:val="1280"/>
        <w:rPr>
          <w:rFonts w:ascii="宋体"/>
        </w:rPr>
      </w:pPr>
      <w:r>
        <w:rPr>
          <w:rFonts w:ascii="宋体"/>
        </w:rPr>
        <w:t>井管灌砂应符合规范要求，实际灌砂量不得少于计算灌砂量的95%，应使砂完全包住滤网，距地面0.5～1.0m深度处，井孔应用粘土封堵；</w:t>
      </w:r>
    </w:p>
    <w:p>
      <w:pPr>
        <w:pStyle w:val="1280"/>
        <w:rPr>
          <w:rFonts w:ascii="宋体"/>
        </w:rPr>
      </w:pPr>
      <w:r>
        <w:rPr>
          <w:rFonts w:ascii="宋体"/>
        </w:rPr>
        <w:t>管路系统的连接部分应无渗水、漏水现象；</w:t>
      </w:r>
    </w:p>
    <w:p>
      <w:pPr>
        <w:pStyle w:val="1280"/>
        <w:rPr>
          <w:rFonts w:ascii="宋体"/>
        </w:rPr>
      </w:pPr>
      <w:r>
        <w:rPr>
          <w:rFonts w:ascii="宋体"/>
        </w:rPr>
        <w:t>施工期间的井管有效率在95%以上，且连续五根井管中的失效井管不得超过二根，相邻的二根井管不得同时失效。</w:t>
      </w:r>
    </w:p>
    <w:p>
      <w:pPr>
        <w:pStyle w:val="1280"/>
        <w:rPr>
          <w:rFonts w:ascii="宋体"/>
        </w:rPr>
      </w:pPr>
      <w:bookmarkStart w:id="598" w:name="_Toc385007587"/>
      <w:bookmarkStart w:id="599" w:name="_Toc385008383"/>
      <w:bookmarkStart w:id="600" w:name="_Toc385012545"/>
      <w:bookmarkStart w:id="601" w:name="_Toc395412681"/>
      <w:r>
        <w:rPr>
          <w:rFonts w:ascii="宋体"/>
        </w:rPr>
        <w:t>井点降水的安全技术</w:t>
      </w:r>
      <w:bookmarkEnd w:id="598"/>
      <w:bookmarkEnd w:id="599"/>
      <w:bookmarkEnd w:id="600"/>
      <w:bookmarkEnd w:id="601"/>
      <w:r>
        <w:rPr>
          <w:rFonts w:ascii="宋体"/>
        </w:rPr>
        <w:t>规定：</w:t>
      </w:r>
    </w:p>
    <w:p>
      <w:pPr>
        <w:pStyle w:val="1280"/>
        <w:rPr>
          <w:rFonts w:ascii="宋体"/>
        </w:rPr>
      </w:pPr>
      <w:r>
        <w:rPr>
          <w:rFonts w:ascii="宋体"/>
        </w:rPr>
        <w:t>操作人员应熟悉并严格遵守施工安全操作的要求；</w:t>
      </w:r>
    </w:p>
    <w:p>
      <w:pPr>
        <w:pStyle w:val="1280"/>
        <w:rPr>
          <w:rFonts w:ascii="宋体"/>
        </w:rPr>
      </w:pPr>
      <w:r>
        <w:rPr>
          <w:rFonts w:ascii="宋体"/>
        </w:rPr>
        <w:t>冲水管(冲枪)、井管在起吊前，必须检查接头是否牢固，防止起吊前倒下伤人；</w:t>
      </w:r>
    </w:p>
    <w:p>
      <w:pPr>
        <w:pStyle w:val="1280"/>
        <w:rPr>
          <w:rFonts w:ascii="宋体"/>
        </w:rPr>
      </w:pPr>
      <w:r>
        <w:rPr>
          <w:rFonts w:ascii="宋体"/>
        </w:rPr>
        <w:t>起重、起吊设备须事先检查，机具使用应符合起重安全技术要求，操作时应摸清地下管线，不得碰架空电线，在架空电线附近工作时，应按照供电部门规定根据电压等级保持一定安全距离。</w:t>
      </w:r>
    </w:p>
    <w:p>
      <w:pPr>
        <w:pStyle w:val="1281"/>
        <w:outlineLvl w:val="0"/>
        <w:rPr>
          <w:rFonts w:ascii="宋体" w:hAnsi="宋体"/>
          <w:color w:val="auto"/>
        </w:rPr>
      </w:pPr>
      <w:bookmarkStart w:id="602" w:name="_Toc398523301"/>
      <w:bookmarkStart w:id="603" w:name="_Toc16242276"/>
      <w:bookmarkStart w:id="604" w:name="_Toc43107465"/>
      <w:bookmarkStart w:id="605" w:name="_Toc164502020"/>
      <w:bookmarkStart w:id="606" w:name="_Toc517382441"/>
      <w:bookmarkStart w:id="607" w:name="_Toc518376489"/>
      <w:bookmarkStart w:id="608" w:name="_Toc521491810"/>
      <w:bookmarkStart w:id="609" w:name="_Toc521492667"/>
      <w:bookmarkStart w:id="610" w:name="_Toc521493341"/>
      <w:bookmarkStart w:id="611" w:name="_Toc106882989"/>
      <w:bookmarkStart w:id="612" w:name="_Toc385007589"/>
      <w:bookmarkStart w:id="613" w:name="_Toc385008385"/>
      <w:bookmarkStart w:id="614" w:name="_Toc385012547"/>
      <w:bookmarkStart w:id="615" w:name="_Toc395412683"/>
      <w:bookmarkStart w:id="616" w:name="_Toc398083687"/>
      <w:bookmarkStart w:id="617" w:name="_Toc398453501"/>
      <w:r>
        <w:rPr>
          <w:rFonts w:ascii="宋体" w:hAnsi="宋体"/>
          <w:color w:val="auto"/>
        </w:rPr>
        <w:t>1.9 材料和设备</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1280"/>
        <w:rPr>
          <w:rFonts w:ascii="宋体"/>
        </w:rPr>
      </w:pPr>
      <w:r>
        <w:rPr>
          <w:rFonts w:ascii="宋体"/>
        </w:rPr>
        <w:t>“材料”的含义是指所有将由承包商提供并将应用于工程中的材料、货物、各种物品</w:t>
      </w:r>
      <w:r>
        <w:rPr>
          <w:rFonts w:hint="eastAsia" w:ascii="宋体"/>
        </w:rPr>
        <w:t>（</w:t>
      </w:r>
      <w:r>
        <w:rPr>
          <w:rFonts w:ascii="宋体"/>
        </w:rPr>
        <w:t>不论是天然产生的，还是经过处理加工的</w:t>
      </w:r>
      <w:r>
        <w:rPr>
          <w:rFonts w:hint="eastAsia" w:ascii="宋体"/>
        </w:rPr>
        <w:t>）</w:t>
      </w:r>
      <w:r>
        <w:rPr>
          <w:rFonts w:ascii="宋体"/>
        </w:rPr>
        <w:t>以及各种设备和装置。</w:t>
      </w:r>
    </w:p>
    <w:p>
      <w:pPr>
        <w:pStyle w:val="1280"/>
        <w:rPr>
          <w:rFonts w:ascii="宋体"/>
        </w:rPr>
      </w:pPr>
      <w:r>
        <w:rPr>
          <w:rFonts w:ascii="宋体"/>
        </w:rPr>
        <w:t>除非对本工程的某一特殊部分另有规定，本技术规范中有关材料和工艺的条款应适用于本工程中任何部分的材料和工艺。</w:t>
      </w:r>
    </w:p>
    <w:p>
      <w:pPr>
        <w:pStyle w:val="1284"/>
        <w:outlineLvl w:val="0"/>
        <w:rPr>
          <w:rFonts w:ascii="宋体" w:hAnsi="宋体"/>
        </w:rPr>
      </w:pPr>
      <w:bookmarkStart w:id="618" w:name="_Toc521491811"/>
      <w:bookmarkStart w:id="619" w:name="_Toc521493342"/>
      <w:bookmarkStart w:id="620" w:name="_Toc397138369"/>
      <w:bookmarkStart w:id="621" w:name="_Toc396284785"/>
      <w:bookmarkStart w:id="622" w:name="_Toc395403919"/>
      <w:bookmarkStart w:id="623" w:name="_Toc395421337"/>
      <w:bookmarkStart w:id="624" w:name="_Toc395692995"/>
      <w:bookmarkStart w:id="625" w:name="_Toc395512338"/>
      <w:bookmarkStart w:id="626" w:name="_Toc395592639"/>
      <w:bookmarkStart w:id="627" w:name="_Toc517382442"/>
      <w:bookmarkStart w:id="628" w:name="_Toc16242277"/>
      <w:bookmarkStart w:id="629" w:name="_Toc395693199"/>
      <w:bookmarkStart w:id="630" w:name="_Toc518376490"/>
      <w:bookmarkStart w:id="631" w:name="_Toc43107466"/>
      <w:bookmarkStart w:id="632" w:name="_Toc398523302"/>
      <w:bookmarkStart w:id="633" w:name="_Toc397761361"/>
      <w:bookmarkStart w:id="634" w:name="_Toc398453502"/>
      <w:bookmarkStart w:id="635" w:name="_Toc106882990"/>
      <w:bookmarkStart w:id="636" w:name="_Toc396282830"/>
      <w:bookmarkStart w:id="637" w:name="_Toc396110397"/>
      <w:bookmarkStart w:id="638" w:name="_Toc396006269"/>
      <w:bookmarkStart w:id="639" w:name="_Toc521492668"/>
      <w:bookmarkStart w:id="640" w:name="_Toc398453514"/>
      <w:bookmarkStart w:id="641" w:name="_Toc396110409"/>
      <w:bookmarkStart w:id="642" w:name="_Toc396282842"/>
      <w:bookmarkStart w:id="643" w:name="_Toc398523314"/>
      <w:bookmarkStart w:id="644" w:name="_Toc396006281"/>
      <w:bookmarkStart w:id="645" w:name="_Toc395403924"/>
      <w:bookmarkStart w:id="646" w:name="_Toc164502033"/>
      <w:bookmarkStart w:id="647" w:name="_Toc395421349"/>
      <w:bookmarkStart w:id="648" w:name="_Toc395512350"/>
      <w:bookmarkStart w:id="649" w:name="_Toc16242289"/>
      <w:bookmarkStart w:id="650" w:name="_Toc395693211"/>
      <w:bookmarkStart w:id="651" w:name="_Toc397138381"/>
      <w:bookmarkStart w:id="652" w:name="_Toc396284797"/>
      <w:bookmarkStart w:id="653" w:name="_Toc395592651"/>
      <w:bookmarkStart w:id="654" w:name="_Toc395693007"/>
      <w:bookmarkStart w:id="655" w:name="_Toc397761373"/>
      <w:bookmarkStart w:id="656" w:name="_Toc43107472"/>
      <w:r>
        <w:rPr>
          <w:rFonts w:ascii="宋体" w:hAnsi="宋体"/>
        </w:rPr>
        <w:t>1.9.1</w:t>
      </w:r>
      <w:r>
        <w:rPr>
          <w:rFonts w:hint="eastAsia" w:ascii="宋体" w:hAnsi="宋体"/>
        </w:rPr>
        <w:t xml:space="preserve"> </w:t>
      </w:r>
      <w:r>
        <w:rPr>
          <w:rFonts w:ascii="宋体" w:hAnsi="宋体"/>
        </w:rPr>
        <w:t>采购</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1288"/>
        <w:outlineLvl w:val="0"/>
        <w:rPr>
          <w:rFonts w:ascii="宋体" w:hAnsi="宋体"/>
          <w:b w:val="0"/>
          <w:color w:val="auto"/>
        </w:rPr>
      </w:pPr>
      <w:bookmarkStart w:id="657" w:name="_Toc398453503"/>
      <w:bookmarkStart w:id="658" w:name="_Toc398523303"/>
      <w:bookmarkStart w:id="659" w:name="_Toc396284786"/>
      <w:bookmarkStart w:id="660" w:name="_Toc395421338"/>
      <w:bookmarkStart w:id="661" w:name="_Toc106882991"/>
      <w:bookmarkStart w:id="662" w:name="_Toc396110398"/>
      <w:bookmarkStart w:id="663" w:name="_Toc396006270"/>
      <w:bookmarkStart w:id="664" w:name="_Toc395512339"/>
      <w:bookmarkStart w:id="665" w:name="_Toc395693200"/>
      <w:bookmarkStart w:id="666" w:name="_Toc395592640"/>
      <w:bookmarkStart w:id="667" w:name="_Toc106049728"/>
      <w:bookmarkStart w:id="668" w:name="_Toc16242278"/>
      <w:bookmarkStart w:id="669" w:name="_Toc397761362"/>
      <w:bookmarkStart w:id="670" w:name="_Toc395692996"/>
      <w:bookmarkStart w:id="671" w:name="_Toc396282831"/>
      <w:bookmarkStart w:id="672" w:name="_Toc397138370"/>
      <w:r>
        <w:rPr>
          <w:rFonts w:ascii="宋体" w:hAnsi="宋体"/>
          <w:b w:val="0"/>
          <w:color w:val="auto"/>
        </w:rPr>
        <w:t>1.9.1.1 材料供货商</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1280"/>
        <w:rPr>
          <w:rFonts w:ascii="宋体"/>
        </w:rPr>
      </w:pPr>
      <w:r>
        <w:rPr>
          <w:rFonts w:ascii="宋体"/>
        </w:rPr>
        <w:t>在订购永久性工程所用的任何类型的材料前，承包商应事先提供工程材料的采购计划，内容包括拟议的制造厂或供货商的名称、材料的技术规格、材料原产地或制造地的细节。如果项目监理或业主提出保存订货单的要求，承包商应将所有的材料订货单提交给项目监理和业主各一份。</w:t>
      </w:r>
    </w:p>
    <w:p>
      <w:pPr>
        <w:pStyle w:val="1280"/>
        <w:rPr>
          <w:rFonts w:ascii="宋体"/>
        </w:rPr>
      </w:pPr>
      <w:r>
        <w:rPr>
          <w:rFonts w:ascii="宋体"/>
        </w:rPr>
        <w:t>所有用于永久性工程的材料必须是新的，除非本技术规范另外规定或项目监理和业主另外批准，承包商不得采用旧的或回收的材料。</w:t>
      </w:r>
    </w:p>
    <w:p>
      <w:pPr>
        <w:pStyle w:val="1280"/>
        <w:rPr>
          <w:rFonts w:ascii="宋体"/>
        </w:rPr>
      </w:pPr>
      <w:r>
        <w:rPr>
          <w:rFonts w:ascii="宋体"/>
        </w:rPr>
        <w:t>如果工程中的某些部分将接触或可能接触到未处理过或处理过的水，这些部分所采用的材料禁止含有任何有可能产生味道、气味、毒性的物质，其它有害于健康的物质，或其它对所输送的水产生不利影响的物质。一般情况下，在上述工程部分中采用中国卫生部和/或雅安市工业卫生和职业病防止研究所认可的材料将被认为是合适的。</w:t>
      </w:r>
    </w:p>
    <w:p>
      <w:pPr>
        <w:pStyle w:val="1280"/>
        <w:rPr>
          <w:rFonts w:ascii="宋体"/>
        </w:rPr>
      </w:pPr>
      <w:r>
        <w:rPr>
          <w:rFonts w:ascii="宋体"/>
        </w:rPr>
        <w:t>承包商应保证材料是符合合同要求的，项目监理的任何批准不会减轻承包商对合同的责任。</w:t>
      </w:r>
    </w:p>
    <w:p>
      <w:pPr>
        <w:pStyle w:val="1288"/>
        <w:outlineLvl w:val="0"/>
        <w:rPr>
          <w:rFonts w:ascii="宋体" w:hAnsi="宋体"/>
          <w:b w:val="0"/>
          <w:color w:val="auto"/>
        </w:rPr>
      </w:pPr>
      <w:bookmarkStart w:id="673" w:name="_Toc397761363"/>
      <w:bookmarkStart w:id="674" w:name="_Toc396282832"/>
      <w:bookmarkStart w:id="675" w:name="_Toc397138371"/>
      <w:bookmarkStart w:id="676" w:name="_Toc395512340"/>
      <w:bookmarkStart w:id="677" w:name="_Toc106049729"/>
      <w:bookmarkStart w:id="678" w:name="_Toc396284787"/>
      <w:bookmarkStart w:id="679" w:name="_Toc396006271"/>
      <w:bookmarkStart w:id="680" w:name="_Toc395592641"/>
      <w:bookmarkStart w:id="681" w:name="_Toc395692997"/>
      <w:bookmarkStart w:id="682" w:name="_Toc395693201"/>
      <w:bookmarkStart w:id="683" w:name="_Toc106882992"/>
      <w:bookmarkStart w:id="684" w:name="_Toc398453504"/>
      <w:bookmarkStart w:id="685" w:name="_Toc395421339"/>
      <w:bookmarkStart w:id="686" w:name="_Toc16242279"/>
      <w:bookmarkStart w:id="687" w:name="_Toc396110399"/>
      <w:bookmarkStart w:id="688" w:name="_Toc398523304"/>
      <w:r>
        <w:rPr>
          <w:rFonts w:ascii="宋体" w:hAnsi="宋体"/>
          <w:b w:val="0"/>
          <w:color w:val="auto"/>
        </w:rPr>
        <w:t>1.9.1.2 天然材料</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1280"/>
        <w:rPr>
          <w:rFonts w:ascii="宋体"/>
        </w:rPr>
      </w:pPr>
      <w:r>
        <w:rPr>
          <w:rFonts w:ascii="宋体"/>
        </w:rPr>
        <w:t>在有关天然材料的工作开始前，承包商应按照本技术规范的要求对所有天然材料的放置、选择和处理进行安排，并将这些材料的拟定放置位置的情况提交给项目监理和业主审批。对某一放置位置的批准并不表明在此位置所放置的所有材料都将得到批准。</w:t>
      </w:r>
    </w:p>
    <w:p>
      <w:pPr>
        <w:pStyle w:val="1288"/>
        <w:outlineLvl w:val="0"/>
        <w:rPr>
          <w:rFonts w:ascii="宋体" w:hAnsi="宋体"/>
          <w:b w:val="0"/>
          <w:color w:val="auto"/>
        </w:rPr>
      </w:pPr>
      <w:bookmarkStart w:id="689" w:name="_Toc398523305"/>
      <w:bookmarkStart w:id="690" w:name="_Toc398453505"/>
      <w:bookmarkStart w:id="691" w:name="_Toc106049730"/>
      <w:bookmarkStart w:id="692" w:name="_Toc106882993"/>
      <w:bookmarkStart w:id="693" w:name="_Toc16242280"/>
      <w:bookmarkStart w:id="694" w:name="_Toc397761364"/>
      <w:bookmarkStart w:id="695" w:name="_Toc397138372"/>
      <w:bookmarkStart w:id="696" w:name="_Toc395512341"/>
      <w:bookmarkStart w:id="697" w:name="_Toc395421340"/>
      <w:bookmarkStart w:id="698" w:name="_Toc395592642"/>
      <w:bookmarkStart w:id="699" w:name="_Toc396282833"/>
      <w:bookmarkStart w:id="700" w:name="_Toc395693202"/>
      <w:bookmarkStart w:id="701" w:name="_Toc395692998"/>
      <w:bookmarkStart w:id="702" w:name="_Toc396006272"/>
      <w:bookmarkStart w:id="703" w:name="_Toc396284788"/>
      <w:bookmarkStart w:id="704" w:name="_Toc396110400"/>
      <w:r>
        <w:rPr>
          <w:rFonts w:ascii="宋体" w:hAnsi="宋体"/>
          <w:b w:val="0"/>
          <w:color w:val="auto"/>
        </w:rPr>
        <w:t>1.9.1.3 样品</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1280"/>
        <w:rPr>
          <w:rFonts w:ascii="宋体"/>
        </w:rPr>
      </w:pPr>
      <w:r>
        <w:rPr>
          <w:rFonts w:ascii="宋体"/>
        </w:rPr>
        <w:t>按照项目监理和业主的要求，承包商应向项目监理和业主提供将使用于工程中的材料的样品。除非本合同中明确地对此不作要求，承包商还应向项目监理和业主提供所有将用于永久性工程的制造产品的样品。如果在某些情况下提供产品样品是不可行的，经项目监理和业主判断并同意后，承包商可仅提供这些产品的说明材料。所有受到项目监理和业主否决的产品样品必须清除出工地现场。在本合同期间，所有审批合格的产品样品应由承包商保存在工地现场，以后陆续运送到工地现场的任何一种材料或制造产品至少应具有与合格样品相同的质量。</w:t>
      </w:r>
    </w:p>
    <w:p>
      <w:pPr>
        <w:pStyle w:val="1284"/>
        <w:outlineLvl w:val="0"/>
        <w:rPr>
          <w:rFonts w:ascii="宋体" w:hAnsi="宋体"/>
        </w:rPr>
      </w:pPr>
      <w:bookmarkStart w:id="705" w:name="_Toc43107467"/>
      <w:bookmarkStart w:id="706" w:name="_Toc16242281"/>
      <w:bookmarkStart w:id="707" w:name="_Toc518376491"/>
      <w:bookmarkStart w:id="708" w:name="_Toc397761365"/>
      <w:bookmarkStart w:id="709" w:name="_Toc517382443"/>
      <w:bookmarkStart w:id="710" w:name="_Toc521493343"/>
      <w:bookmarkStart w:id="711" w:name="_Toc521492669"/>
      <w:bookmarkStart w:id="712" w:name="_Toc521491812"/>
      <w:bookmarkStart w:id="713" w:name="_Toc395403920"/>
      <w:bookmarkStart w:id="714" w:name="_Toc106882994"/>
      <w:bookmarkStart w:id="715" w:name="_Toc395512342"/>
      <w:bookmarkStart w:id="716" w:name="_Toc395421341"/>
      <w:bookmarkStart w:id="717" w:name="_Toc395592643"/>
      <w:bookmarkStart w:id="718" w:name="_Toc395692999"/>
      <w:bookmarkStart w:id="719" w:name="_Toc397138373"/>
      <w:bookmarkStart w:id="720" w:name="_Toc396006273"/>
      <w:bookmarkStart w:id="721" w:name="_Toc395693203"/>
      <w:bookmarkStart w:id="722" w:name="_Toc396110401"/>
      <w:bookmarkStart w:id="723" w:name="_Toc396284789"/>
      <w:bookmarkStart w:id="724" w:name="_Toc396282834"/>
      <w:bookmarkStart w:id="725" w:name="_Toc398453506"/>
      <w:bookmarkStart w:id="726" w:name="_Toc398523306"/>
      <w:r>
        <w:rPr>
          <w:rFonts w:ascii="宋体" w:hAnsi="宋体"/>
        </w:rPr>
        <w:t>1.9.2 运输和储存</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1280"/>
        <w:rPr>
          <w:rFonts w:ascii="宋体"/>
        </w:rPr>
      </w:pPr>
      <w:r>
        <w:rPr>
          <w:rFonts w:ascii="宋体"/>
        </w:rPr>
        <w:t>材料的运输、装卸和储存应按照制造厂家的说明来很好地进行，以防止材料的损坏、损伤和污染。</w:t>
      </w:r>
    </w:p>
    <w:p>
      <w:pPr>
        <w:pStyle w:val="1280"/>
        <w:rPr>
          <w:rFonts w:ascii="宋体"/>
        </w:rPr>
      </w:pPr>
      <w:r>
        <w:rPr>
          <w:rFonts w:ascii="宋体"/>
        </w:rPr>
        <w:t>承包商应对其所购买的材料和设备负责运输和储存。</w:t>
      </w:r>
    </w:p>
    <w:p>
      <w:pPr>
        <w:pStyle w:val="1284"/>
        <w:outlineLvl w:val="0"/>
        <w:rPr>
          <w:rFonts w:ascii="宋体" w:hAnsi="宋体"/>
        </w:rPr>
      </w:pPr>
      <w:bookmarkStart w:id="727" w:name="_Toc395693204"/>
      <w:bookmarkStart w:id="728" w:name="_Toc396006274"/>
      <w:bookmarkStart w:id="729" w:name="_Toc396110402"/>
      <w:bookmarkStart w:id="730" w:name="_Toc396284790"/>
      <w:bookmarkStart w:id="731" w:name="_Toc396282835"/>
      <w:bookmarkStart w:id="732" w:name="_Toc398453507"/>
      <w:bookmarkStart w:id="733" w:name="_Toc397138374"/>
      <w:bookmarkStart w:id="734" w:name="_Toc397761366"/>
      <w:bookmarkStart w:id="735" w:name="_Toc398523307"/>
      <w:bookmarkStart w:id="736" w:name="_Toc16242282"/>
      <w:bookmarkStart w:id="737" w:name="_Toc518376492"/>
      <w:bookmarkStart w:id="738" w:name="_Toc43107468"/>
      <w:bookmarkStart w:id="739" w:name="_Toc521491813"/>
      <w:bookmarkStart w:id="740" w:name="_Toc521492670"/>
      <w:bookmarkStart w:id="741" w:name="_Toc517382444"/>
      <w:bookmarkStart w:id="742" w:name="_Toc395512343"/>
      <w:bookmarkStart w:id="743" w:name="_Toc521493344"/>
      <w:bookmarkStart w:id="744" w:name="_Toc395592644"/>
      <w:bookmarkStart w:id="745" w:name="_Toc395421342"/>
      <w:bookmarkStart w:id="746" w:name="_Toc395693000"/>
      <w:bookmarkStart w:id="747" w:name="_Toc106882995"/>
      <w:r>
        <w:rPr>
          <w:rFonts w:ascii="宋体" w:hAnsi="宋体"/>
        </w:rPr>
        <w:t>1.9.3</w:t>
      </w:r>
      <w:r>
        <w:rPr>
          <w:rFonts w:hint="eastAsia" w:ascii="宋体" w:hAnsi="宋体"/>
        </w:rPr>
        <w:t xml:space="preserve"> </w:t>
      </w:r>
      <w:r>
        <w:rPr>
          <w:rFonts w:ascii="宋体" w:hAnsi="宋体"/>
        </w:rPr>
        <w:t>爆炸物和危险品</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1280"/>
        <w:rPr>
          <w:rFonts w:ascii="宋体"/>
        </w:rPr>
      </w:pPr>
      <w:r>
        <w:rPr>
          <w:rFonts w:ascii="宋体"/>
        </w:rPr>
        <w:t>除非事先得到了项目监理和业主的书面批准，承包商不得将任何爆炸物或其它危险品带进工地现场或用于其它目的。</w:t>
      </w:r>
    </w:p>
    <w:p>
      <w:pPr>
        <w:pStyle w:val="1280"/>
        <w:rPr>
          <w:rFonts w:ascii="宋体"/>
        </w:rPr>
      </w:pPr>
      <w:r>
        <w:rPr>
          <w:rFonts w:ascii="宋体"/>
        </w:rPr>
        <w:t>工地现场的爆炸物和危险品仓库位置必须事先得到项目监理和业主的书面批准。</w:t>
      </w:r>
    </w:p>
    <w:p>
      <w:pPr>
        <w:pStyle w:val="1280"/>
        <w:rPr>
          <w:rFonts w:ascii="宋体"/>
        </w:rPr>
      </w:pPr>
      <w:r>
        <w:rPr>
          <w:rFonts w:ascii="宋体"/>
        </w:rPr>
        <w:t>炸药的存放应按照有关的中国标准和规范来进行。</w:t>
      </w:r>
    </w:p>
    <w:p>
      <w:pPr>
        <w:pStyle w:val="1284"/>
        <w:outlineLvl w:val="0"/>
        <w:rPr>
          <w:rFonts w:ascii="宋体" w:hAnsi="宋体"/>
        </w:rPr>
      </w:pPr>
      <w:bookmarkStart w:id="748" w:name="_Toc395592645"/>
      <w:bookmarkStart w:id="749" w:name="_Toc395693001"/>
      <w:bookmarkStart w:id="750" w:name="_Toc395512344"/>
      <w:bookmarkStart w:id="751" w:name="_Toc106882996"/>
      <w:bookmarkStart w:id="752" w:name="_Toc396006275"/>
      <w:bookmarkStart w:id="753" w:name="_Toc395693205"/>
      <w:bookmarkStart w:id="754" w:name="_Toc521492671"/>
      <w:bookmarkStart w:id="755" w:name="_Toc396110403"/>
      <w:bookmarkStart w:id="756" w:name="_Toc521491814"/>
      <w:bookmarkStart w:id="757" w:name="_Toc521493345"/>
      <w:bookmarkStart w:id="758" w:name="_Toc518376493"/>
      <w:bookmarkStart w:id="759" w:name="_Toc43107469"/>
      <w:bookmarkStart w:id="760" w:name="_Toc517382445"/>
      <w:bookmarkStart w:id="761" w:name="_Toc398453508"/>
      <w:bookmarkStart w:id="762" w:name="_Toc16242283"/>
      <w:bookmarkStart w:id="763" w:name="_Toc397138375"/>
      <w:bookmarkStart w:id="764" w:name="_Toc398523308"/>
      <w:bookmarkStart w:id="765" w:name="_Toc396284791"/>
      <w:bookmarkStart w:id="766" w:name="_Toc397761367"/>
      <w:bookmarkStart w:id="767" w:name="_Toc396282836"/>
      <w:bookmarkStart w:id="768" w:name="_Toc395403921"/>
      <w:bookmarkStart w:id="769" w:name="_Toc395421343"/>
      <w:r>
        <w:rPr>
          <w:rFonts w:ascii="宋体" w:hAnsi="宋体"/>
        </w:rPr>
        <w:t>1.9.4</w:t>
      </w:r>
      <w:r>
        <w:rPr>
          <w:rFonts w:hint="eastAsia" w:ascii="宋体" w:hAnsi="宋体"/>
        </w:rPr>
        <w:t xml:space="preserve"> </w:t>
      </w:r>
      <w:r>
        <w:rPr>
          <w:rFonts w:ascii="宋体" w:hAnsi="宋体"/>
        </w:rPr>
        <w:t>质量</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1280"/>
        <w:rPr>
          <w:rFonts w:ascii="宋体"/>
        </w:rPr>
      </w:pPr>
      <w:r>
        <w:rPr>
          <w:rFonts w:ascii="宋体"/>
        </w:rPr>
        <w:t>所有的材料应符合本合同文件所规定的规格和要求。承包商在收到中标通知书后的35天内向项目监理和业主提交实施本合同的质量计划。质量计划的内容应包括本节和1.10节的有关要求。</w:t>
      </w:r>
    </w:p>
    <w:p>
      <w:pPr>
        <w:pStyle w:val="1288"/>
        <w:outlineLvl w:val="0"/>
        <w:rPr>
          <w:rFonts w:ascii="宋体" w:hAnsi="宋体"/>
          <w:b w:val="0"/>
          <w:color w:val="auto"/>
        </w:rPr>
      </w:pPr>
      <w:bookmarkStart w:id="770" w:name="_Toc106882997"/>
      <w:bookmarkStart w:id="771" w:name="_Toc395421344"/>
      <w:bookmarkStart w:id="772" w:name="_Toc395512345"/>
      <w:bookmarkStart w:id="773" w:name="_Toc106049734"/>
      <w:bookmarkStart w:id="774" w:name="_Toc396282837"/>
      <w:bookmarkStart w:id="775" w:name="_Toc395693206"/>
      <w:bookmarkStart w:id="776" w:name="_Toc397138376"/>
      <w:bookmarkStart w:id="777" w:name="_Toc398453509"/>
      <w:bookmarkStart w:id="778" w:name="_Toc16242284"/>
      <w:bookmarkStart w:id="779" w:name="_Toc395592646"/>
      <w:bookmarkStart w:id="780" w:name="_Toc397761368"/>
      <w:bookmarkStart w:id="781" w:name="_Toc396110404"/>
      <w:bookmarkStart w:id="782" w:name="_Toc396284792"/>
      <w:bookmarkStart w:id="783" w:name="_Toc398523309"/>
      <w:bookmarkStart w:id="784" w:name="_Toc396006276"/>
      <w:bookmarkStart w:id="785" w:name="_Toc395693002"/>
      <w:r>
        <w:rPr>
          <w:rFonts w:ascii="宋体" w:hAnsi="宋体"/>
          <w:b w:val="0"/>
          <w:color w:val="auto"/>
        </w:rPr>
        <w:t>1.9.4.1 制造厂家和供货商的测试证书</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1280"/>
        <w:rPr>
          <w:rFonts w:ascii="宋体"/>
        </w:rPr>
      </w:pPr>
      <w:r>
        <w:rPr>
          <w:rFonts w:ascii="宋体"/>
        </w:rPr>
        <w:t>对于本技术规范或有关参考标准要求提供的产品测试证书，承包商应向项目监理和业主提供测试证书的一份原件和一份复印件。</w:t>
      </w:r>
    </w:p>
    <w:p>
      <w:pPr>
        <w:pStyle w:val="1280"/>
        <w:rPr>
          <w:rFonts w:ascii="宋体"/>
        </w:rPr>
      </w:pPr>
      <w:r>
        <w:rPr>
          <w:rFonts w:ascii="宋体"/>
        </w:rPr>
        <w:t>测试证书上应清晰地载明材料测试的序列编号或参考编号以及有关技术规范或参考标准所要求的数据。</w:t>
      </w:r>
    </w:p>
    <w:p>
      <w:pPr>
        <w:pStyle w:val="1280"/>
        <w:rPr>
          <w:rFonts w:ascii="宋体"/>
        </w:rPr>
      </w:pPr>
      <w:r>
        <w:rPr>
          <w:rFonts w:ascii="宋体"/>
        </w:rPr>
        <w:t>提交测试证书的时间如下：</w:t>
      </w:r>
    </w:p>
    <w:p>
      <w:pPr>
        <w:pStyle w:val="1280"/>
        <w:rPr>
          <w:rFonts w:ascii="宋体"/>
        </w:rPr>
      </w:pPr>
      <w:r>
        <w:rPr>
          <w:rFonts w:ascii="宋体"/>
        </w:rPr>
        <w:t>制造厂家和供货商的测试证书应在这些测试完成后立即提交，在任何情况下，当某一材料将被用于永久性工程时，该产品的测试证书必须至少提前14天提交给项目监理和业主。</w:t>
      </w:r>
    </w:p>
    <w:p>
      <w:pPr>
        <w:pStyle w:val="1280"/>
        <w:rPr>
          <w:rFonts w:ascii="宋体"/>
        </w:rPr>
      </w:pPr>
      <w:r>
        <w:rPr>
          <w:rFonts w:ascii="宋体"/>
        </w:rPr>
        <w:t>对于在施工过程中或永久性工程部分完工时进行测试，测试证书应在这些测试完成后7天内提交给项目监理和业主。</w:t>
      </w:r>
    </w:p>
    <w:p>
      <w:pPr>
        <w:pStyle w:val="1288"/>
        <w:outlineLvl w:val="0"/>
        <w:rPr>
          <w:rFonts w:ascii="宋体" w:hAnsi="宋体"/>
          <w:color w:val="auto"/>
        </w:rPr>
      </w:pPr>
      <w:bookmarkStart w:id="786" w:name="_Toc106049735"/>
      <w:bookmarkStart w:id="787" w:name="_Toc397138377"/>
      <w:bookmarkStart w:id="788" w:name="_Toc398523310"/>
      <w:bookmarkStart w:id="789" w:name="_Toc16242285"/>
      <w:bookmarkStart w:id="790" w:name="_Toc398453510"/>
      <w:bookmarkStart w:id="791" w:name="_Toc397761369"/>
      <w:bookmarkStart w:id="792" w:name="_Toc395421345"/>
      <w:bookmarkStart w:id="793" w:name="_Toc395512346"/>
      <w:bookmarkStart w:id="794" w:name="_Toc395592647"/>
      <w:bookmarkStart w:id="795" w:name="_Toc395693003"/>
      <w:bookmarkStart w:id="796" w:name="_Toc395693207"/>
      <w:bookmarkStart w:id="797" w:name="_Toc396282838"/>
      <w:bookmarkStart w:id="798" w:name="_Toc396006277"/>
      <w:bookmarkStart w:id="799" w:name="_Toc396110405"/>
      <w:bookmarkStart w:id="800" w:name="_Toc396284793"/>
      <w:bookmarkStart w:id="801" w:name="_Toc106882998"/>
      <w:r>
        <w:rPr>
          <w:rFonts w:ascii="宋体" w:hAnsi="宋体"/>
          <w:color w:val="auto"/>
        </w:rPr>
        <w:t>1.9.4.2 测试设施</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1280"/>
        <w:rPr>
          <w:rFonts w:ascii="宋体"/>
        </w:rPr>
      </w:pPr>
      <w:r>
        <w:rPr>
          <w:rFonts w:ascii="宋体"/>
        </w:rPr>
        <w:t>在本合同期间，承包商应提供、维护、操作材料采样、测试材料准备和材料测试所需的必要器械。或者承包商可以使用一个有资质的材料试验所，进行所有规定的材料测试，在此情况下，该试验所选定及其测试项目都应事先得到项目监理和业主的批准。如果所选用的试验所，在提供测试结果时出现明显的、不合理的延迟，或该试验所的测试结果不可信，项目监理或业主将拒绝批准使用该试验所。承包商应作出必要的安排并提供所有必要的运输工具及人力以将测试样品送交到所批准的试验所。承包商还应保证所有测试结果能够及时地提交给项目监理和业主。如果有事实证明材料试验所的服务在某一方面是令人不满意的，项目监理和业主将取消对其的批准。</w:t>
      </w:r>
    </w:p>
    <w:p>
      <w:pPr>
        <w:pStyle w:val="1280"/>
        <w:rPr>
          <w:rFonts w:ascii="宋体"/>
        </w:rPr>
      </w:pPr>
      <w:r>
        <w:rPr>
          <w:rFonts w:ascii="宋体"/>
        </w:rPr>
        <w:t>承包商应保存所有与本技术规范有关的、本技术规范中所提到的或要求的测试的记录，并在每一项测试完成时将测试结果尽可能快地提交给项目监理和业主各一份。</w:t>
      </w:r>
    </w:p>
    <w:p>
      <w:pPr>
        <w:pStyle w:val="1288"/>
        <w:outlineLvl w:val="0"/>
        <w:rPr>
          <w:rFonts w:ascii="宋体" w:hAnsi="宋体"/>
          <w:color w:val="auto"/>
        </w:rPr>
      </w:pPr>
      <w:bookmarkStart w:id="802" w:name="_Toc106882999"/>
      <w:bookmarkStart w:id="803" w:name="_Toc396282839"/>
      <w:bookmarkStart w:id="804" w:name="_Toc16242286"/>
      <w:bookmarkStart w:id="805" w:name="_Toc395512347"/>
      <w:bookmarkStart w:id="806" w:name="_Toc106049736"/>
      <w:bookmarkStart w:id="807" w:name="_Toc397138378"/>
      <w:bookmarkStart w:id="808" w:name="_Toc396284794"/>
      <w:bookmarkStart w:id="809" w:name="_Toc398453511"/>
      <w:bookmarkStart w:id="810" w:name="_Toc395421346"/>
      <w:bookmarkStart w:id="811" w:name="_Toc395592648"/>
      <w:bookmarkStart w:id="812" w:name="_Toc398523311"/>
      <w:bookmarkStart w:id="813" w:name="_Toc395693208"/>
      <w:bookmarkStart w:id="814" w:name="_Toc396006278"/>
      <w:bookmarkStart w:id="815" w:name="_Toc397761370"/>
      <w:bookmarkStart w:id="816" w:name="_Toc395693004"/>
      <w:bookmarkStart w:id="817" w:name="_Toc396110406"/>
      <w:r>
        <w:rPr>
          <w:rFonts w:ascii="宋体" w:hAnsi="宋体"/>
          <w:color w:val="auto"/>
        </w:rPr>
        <w:t>1.9.4.3 承包商负责的测试</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1280"/>
        <w:rPr>
          <w:rFonts w:ascii="宋体"/>
        </w:rPr>
      </w:pPr>
      <w:r>
        <w:rPr>
          <w:rFonts w:ascii="宋体"/>
        </w:rPr>
        <w:t>除了有上述明确列出的采样和测试义务外，承包商还应负责对所有材料、工艺、设备和测量装置进行检查、取样、校准和测试以控制工程质量并保证这些测试内容与本技术规范的要求和所批准了的样品相符。</w:t>
      </w:r>
    </w:p>
    <w:p>
      <w:pPr>
        <w:pStyle w:val="1284"/>
        <w:outlineLvl w:val="0"/>
        <w:rPr>
          <w:rFonts w:ascii="宋体" w:hAnsi="宋体"/>
        </w:rPr>
      </w:pPr>
      <w:bookmarkStart w:id="818" w:name="_Toc398453512"/>
      <w:bookmarkStart w:id="819" w:name="_Toc397138379"/>
      <w:bookmarkStart w:id="820" w:name="_Toc398523312"/>
      <w:bookmarkStart w:id="821" w:name="_Toc396284795"/>
      <w:bookmarkStart w:id="822" w:name="_Toc396282840"/>
      <w:bookmarkStart w:id="823" w:name="_Toc397761371"/>
      <w:bookmarkStart w:id="824" w:name="_Toc395512348"/>
      <w:bookmarkStart w:id="825" w:name="_Toc395693209"/>
      <w:bookmarkStart w:id="826" w:name="_Toc396110407"/>
      <w:bookmarkStart w:id="827" w:name="_Toc396006279"/>
      <w:bookmarkStart w:id="828" w:name="_Toc395403922"/>
      <w:bookmarkStart w:id="829" w:name="_Toc395693005"/>
      <w:bookmarkStart w:id="830" w:name="_Toc106883000"/>
      <w:bookmarkStart w:id="831" w:name="_Toc395592649"/>
      <w:bookmarkStart w:id="832" w:name="_Toc43107470"/>
      <w:bookmarkStart w:id="833" w:name="_Toc16242287"/>
      <w:bookmarkStart w:id="834" w:name="_Toc517382446"/>
      <w:bookmarkStart w:id="835" w:name="_Toc518376494"/>
      <w:bookmarkStart w:id="836" w:name="_Toc521493346"/>
      <w:bookmarkStart w:id="837" w:name="_Toc521491815"/>
      <w:bookmarkStart w:id="838" w:name="_Toc521492672"/>
      <w:bookmarkStart w:id="839" w:name="_Toc395421347"/>
      <w:r>
        <w:rPr>
          <w:rFonts w:ascii="宋体" w:hAnsi="宋体"/>
        </w:rPr>
        <w:t>1.9.5</w:t>
      </w:r>
      <w:r>
        <w:rPr>
          <w:rFonts w:hint="eastAsia" w:ascii="宋体" w:hAnsi="宋体"/>
        </w:rPr>
        <w:t xml:space="preserve"> </w:t>
      </w:r>
      <w:r>
        <w:rPr>
          <w:rFonts w:ascii="宋体" w:hAnsi="宋体"/>
        </w:rPr>
        <w:t>价格和成本</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1280"/>
        <w:rPr>
          <w:rFonts w:ascii="宋体"/>
        </w:rPr>
      </w:pPr>
      <w:r>
        <w:rPr>
          <w:rFonts w:ascii="宋体"/>
        </w:rPr>
        <w:t>在承包商进行采购、运输、储存和测试中所产生的所有费用应计入工程量清单相应项目的单价，承包商将不会就此得到额外的支付。</w:t>
      </w:r>
    </w:p>
    <w:p>
      <w:pPr>
        <w:pStyle w:val="1284"/>
        <w:outlineLvl w:val="0"/>
        <w:rPr>
          <w:rFonts w:ascii="宋体" w:hAnsi="宋体"/>
        </w:rPr>
      </w:pPr>
      <w:bookmarkStart w:id="840" w:name="_Toc521492673"/>
      <w:bookmarkStart w:id="841" w:name="_Toc16242288"/>
      <w:bookmarkStart w:id="842" w:name="_Toc397761372"/>
      <w:bookmarkStart w:id="843" w:name="_Toc398523313"/>
      <w:bookmarkStart w:id="844" w:name="_Toc43107471"/>
      <w:bookmarkStart w:id="845" w:name="_Toc395421348"/>
      <w:bookmarkStart w:id="846" w:name="_Toc521491816"/>
      <w:bookmarkStart w:id="847" w:name="_Toc396110408"/>
      <w:bookmarkStart w:id="848" w:name="_Toc397138380"/>
      <w:bookmarkStart w:id="849" w:name="_Toc398453513"/>
      <w:bookmarkStart w:id="850" w:name="_Toc396006280"/>
      <w:bookmarkStart w:id="851" w:name="_Toc395512349"/>
      <w:bookmarkStart w:id="852" w:name="_Toc395592650"/>
      <w:bookmarkStart w:id="853" w:name="_Toc395693006"/>
      <w:bookmarkStart w:id="854" w:name="_Toc396282841"/>
      <w:bookmarkStart w:id="855" w:name="_Toc395403923"/>
      <w:bookmarkStart w:id="856" w:name="_Toc106883001"/>
      <w:bookmarkStart w:id="857" w:name="_Toc396284796"/>
      <w:bookmarkStart w:id="858" w:name="_Toc395693210"/>
      <w:bookmarkStart w:id="859" w:name="_Toc521493347"/>
      <w:bookmarkStart w:id="860" w:name="_Toc518376495"/>
      <w:bookmarkStart w:id="861" w:name="_Toc517382447"/>
      <w:r>
        <w:rPr>
          <w:rFonts w:ascii="宋体" w:hAnsi="宋体"/>
        </w:rPr>
        <w:t>1.9.6</w:t>
      </w:r>
      <w:r>
        <w:rPr>
          <w:rFonts w:hint="eastAsia" w:ascii="宋体" w:hAnsi="宋体"/>
        </w:rPr>
        <w:t xml:space="preserve"> </w:t>
      </w:r>
      <w:r>
        <w:rPr>
          <w:rFonts w:ascii="宋体" w:hAnsi="宋体"/>
        </w:rPr>
        <w:t>材料储放场所的管理</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1280"/>
        <w:rPr>
          <w:rFonts w:ascii="宋体"/>
        </w:rPr>
      </w:pPr>
      <w:r>
        <w:rPr>
          <w:rFonts w:ascii="宋体"/>
        </w:rPr>
        <w:t>除了商业性的材料储放场所外，在材料储放场所的操作应符合下列要求：</w:t>
      </w:r>
    </w:p>
    <w:p>
      <w:pPr>
        <w:pStyle w:val="1280"/>
        <w:rPr>
          <w:rFonts w:ascii="宋体"/>
        </w:rPr>
      </w:pPr>
      <w:r>
        <w:rPr>
          <w:rFonts w:ascii="宋体"/>
        </w:rPr>
        <w:t>承包商应遵守由</w:t>
      </w:r>
      <w:r>
        <w:rPr>
          <w:rFonts w:hint="eastAsia" w:ascii="宋体"/>
        </w:rPr>
        <w:t>浙江</w:t>
      </w:r>
      <w:r>
        <w:rPr>
          <w:rFonts w:ascii="宋体"/>
        </w:rPr>
        <w:t>省政府、</w:t>
      </w:r>
      <w:r>
        <w:rPr>
          <w:rFonts w:hint="eastAsia" w:ascii="宋体"/>
        </w:rPr>
        <w:t>绍兴</w:t>
      </w:r>
      <w:r>
        <w:rPr>
          <w:rFonts w:ascii="宋体"/>
        </w:rPr>
        <w:t>市政府或当地有关部门所颁布的有关环境污染控制的法律、法规，并且应采取必要的措施来防止灰尘和废气对大气的污染。</w:t>
      </w:r>
    </w:p>
    <w:p>
      <w:pPr>
        <w:pStyle w:val="1280"/>
        <w:rPr>
          <w:rFonts w:ascii="宋体"/>
        </w:rPr>
      </w:pPr>
      <w:r>
        <w:rPr>
          <w:rFonts w:ascii="宋体"/>
        </w:rPr>
        <w:t>冲洗沉淀或其它可能产生沉淀的工艺过程中所产生的尾水应采用过滤方法或用其它有效方法进行处理，使废水在排入市政排水系统之前减少污染，以确保水中污染物不会超标。</w:t>
      </w:r>
    </w:p>
    <w:p>
      <w:pPr>
        <w:pStyle w:val="1281"/>
        <w:outlineLvl w:val="0"/>
        <w:rPr>
          <w:rFonts w:ascii="宋体" w:hAnsi="宋体"/>
          <w:color w:val="auto"/>
        </w:rPr>
      </w:pPr>
      <w:bookmarkStart w:id="862" w:name="_Toc517382448"/>
      <w:bookmarkStart w:id="863" w:name="_Toc518376496"/>
      <w:bookmarkStart w:id="864" w:name="_Toc521491817"/>
      <w:bookmarkStart w:id="865" w:name="_Toc106883002"/>
      <w:bookmarkStart w:id="866" w:name="_Toc521492674"/>
      <w:bookmarkStart w:id="867" w:name="_Toc521493348"/>
      <w:r>
        <w:rPr>
          <w:rFonts w:ascii="宋体" w:hAnsi="宋体"/>
          <w:color w:val="auto"/>
        </w:rPr>
        <w:t>1.10 过程控制</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862"/>
      <w:bookmarkEnd w:id="863"/>
      <w:bookmarkEnd w:id="864"/>
      <w:bookmarkEnd w:id="865"/>
      <w:bookmarkEnd w:id="866"/>
      <w:bookmarkEnd w:id="867"/>
    </w:p>
    <w:p>
      <w:pPr>
        <w:pStyle w:val="1280"/>
        <w:rPr>
          <w:rFonts w:ascii="宋体"/>
        </w:rPr>
      </w:pPr>
      <w:r>
        <w:rPr>
          <w:rFonts w:ascii="宋体"/>
        </w:rPr>
        <w:t>承包商应负责定期进行所有的过程控制和测试以保证实际施工与技术规范的要求相符。然而，在项目监理和业主进行工程验收时，承包商的测试数据并不具备有约束效力。</w:t>
      </w:r>
    </w:p>
    <w:p>
      <w:pPr>
        <w:pStyle w:val="1280"/>
        <w:rPr>
          <w:rFonts w:ascii="宋体"/>
        </w:rPr>
      </w:pPr>
      <w:r>
        <w:rPr>
          <w:rFonts w:ascii="宋体"/>
        </w:rPr>
        <w:t>如果承包商自建合格的工地试验室，则须得到相关质量监督主管部门的批准，并实验室并得到当地质检部门的确认，或在当地利用有资质的工程实验室。任何合同中规定的工程测试的采样应在项目监理的见证下进行。如果承包商在现场自建本工程实验室，其实验室内的设备应保持清洁、良好的状态。承包商应保证项目监理和业主能够对其实验室设备进行检查和复查。如果在检查中发现实验室设备、器械、物品和测试工艺有任何缺陷，项目监理和业主将书面通知承包商。合格的工地试验室须（不限于）具备如下设备：</w:t>
      </w:r>
    </w:p>
    <w:tbl>
      <w:tblPr>
        <w:tblStyle w:val="77"/>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3757"/>
        <w:gridCol w:w="3903"/>
        <w:gridCol w:w="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blHeader/>
          <w:jc w:val="center"/>
        </w:trPr>
        <w:tc>
          <w:tcPr>
            <w:tcW w:w="4143" w:type="dxa"/>
            <w:gridSpan w:val="2"/>
            <w:vAlign w:val="center"/>
          </w:tcPr>
          <w:p>
            <w:pPr>
              <w:pStyle w:val="1286"/>
              <w:rPr>
                <w:rFonts w:ascii="宋体" w:hAnsi="宋体"/>
                <w:color w:val="auto"/>
              </w:rPr>
            </w:pPr>
            <w:r>
              <w:rPr>
                <w:rFonts w:ascii="宋体" w:hAnsi="宋体"/>
                <w:color w:val="auto"/>
              </w:rPr>
              <w:t>试验检测项目（参数）</w:t>
            </w:r>
          </w:p>
        </w:tc>
        <w:tc>
          <w:tcPr>
            <w:tcW w:w="3903" w:type="dxa"/>
            <w:vAlign w:val="center"/>
          </w:tcPr>
          <w:p>
            <w:pPr>
              <w:pStyle w:val="1286"/>
              <w:rPr>
                <w:rFonts w:ascii="宋体" w:hAnsi="宋体"/>
                <w:color w:val="auto"/>
              </w:rPr>
            </w:pPr>
            <w:r>
              <w:rPr>
                <w:rFonts w:ascii="宋体" w:hAnsi="宋体"/>
                <w:color w:val="auto"/>
              </w:rPr>
              <w:t>必备的仪器设备</w:t>
            </w:r>
          </w:p>
        </w:tc>
        <w:tc>
          <w:tcPr>
            <w:tcW w:w="674" w:type="dxa"/>
            <w:vAlign w:val="center"/>
          </w:tcPr>
          <w:p>
            <w:pPr>
              <w:pStyle w:val="1286"/>
              <w:rPr>
                <w:rFonts w:ascii="宋体" w:hAnsi="宋体"/>
                <w:color w:val="auto"/>
              </w:rPr>
            </w:pPr>
            <w:r>
              <w:rPr>
                <w:rFonts w:ascii="宋体" w:hAnsi="宋体"/>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9" w:hRule="atLeast"/>
          <w:jc w:val="center"/>
        </w:trPr>
        <w:tc>
          <w:tcPr>
            <w:tcW w:w="386" w:type="dxa"/>
            <w:vAlign w:val="center"/>
          </w:tcPr>
          <w:p>
            <w:pPr>
              <w:pStyle w:val="1286"/>
              <w:rPr>
                <w:rFonts w:ascii="宋体" w:hAnsi="宋体"/>
                <w:color w:val="auto"/>
              </w:rPr>
            </w:pPr>
            <w:r>
              <w:rPr>
                <w:rFonts w:ascii="宋体" w:hAnsi="宋体"/>
                <w:color w:val="auto"/>
              </w:rPr>
              <w:t>通用</w:t>
            </w:r>
          </w:p>
        </w:tc>
        <w:tc>
          <w:tcPr>
            <w:tcW w:w="3757" w:type="dxa"/>
            <w:vAlign w:val="center"/>
          </w:tcPr>
          <w:p>
            <w:pPr>
              <w:pStyle w:val="1286"/>
              <w:rPr>
                <w:rFonts w:ascii="宋体" w:hAnsi="宋体"/>
                <w:color w:val="auto"/>
              </w:rPr>
            </w:pPr>
            <w:r>
              <w:rPr>
                <w:rFonts w:ascii="宋体" w:hAnsi="宋体"/>
                <w:color w:val="auto"/>
              </w:rPr>
              <w:t>1、含水量（土、集料、混合料）</w:t>
            </w:r>
          </w:p>
          <w:p>
            <w:pPr>
              <w:pStyle w:val="1286"/>
              <w:rPr>
                <w:rFonts w:ascii="宋体" w:hAnsi="宋体"/>
                <w:color w:val="auto"/>
              </w:rPr>
            </w:pPr>
            <w:r>
              <w:rPr>
                <w:rFonts w:ascii="宋体" w:hAnsi="宋体"/>
                <w:color w:val="auto"/>
              </w:rPr>
              <w:t>2、粗细集料筛分</w:t>
            </w:r>
          </w:p>
          <w:p>
            <w:pPr>
              <w:pStyle w:val="1286"/>
              <w:rPr>
                <w:rFonts w:ascii="宋体" w:hAnsi="宋体"/>
                <w:color w:val="auto"/>
              </w:rPr>
            </w:pPr>
            <w:r>
              <w:rPr>
                <w:rFonts w:ascii="宋体" w:hAnsi="宋体"/>
                <w:color w:val="auto"/>
              </w:rPr>
              <w:t>3、混凝土、砂浆试件制作</w:t>
            </w:r>
          </w:p>
          <w:p>
            <w:pPr>
              <w:pStyle w:val="1286"/>
              <w:rPr>
                <w:rFonts w:ascii="宋体" w:hAnsi="宋体"/>
                <w:color w:val="auto"/>
              </w:rPr>
            </w:pPr>
            <w:r>
              <w:rPr>
                <w:rFonts w:ascii="宋体" w:hAnsi="宋体"/>
                <w:color w:val="auto"/>
              </w:rPr>
              <w:t>4、集料含泥量、泥块含量、针片状含量、密度，细集料云母含量</w:t>
            </w:r>
          </w:p>
          <w:p>
            <w:pPr>
              <w:pStyle w:val="1286"/>
              <w:rPr>
                <w:rFonts w:ascii="宋体" w:hAnsi="宋体"/>
                <w:color w:val="auto"/>
              </w:rPr>
            </w:pPr>
            <w:r>
              <w:rPr>
                <w:rFonts w:ascii="宋体" w:hAnsi="宋体"/>
                <w:color w:val="auto"/>
              </w:rPr>
              <w:t>5、结构、构件外形尺寸</w:t>
            </w:r>
          </w:p>
          <w:p>
            <w:pPr>
              <w:pStyle w:val="1286"/>
              <w:rPr>
                <w:rFonts w:ascii="宋体" w:hAnsi="宋体"/>
                <w:color w:val="auto"/>
              </w:rPr>
            </w:pPr>
            <w:r>
              <w:rPr>
                <w:rFonts w:ascii="宋体" w:hAnsi="宋体"/>
                <w:color w:val="auto"/>
              </w:rPr>
              <w:t>6、工程产品外观及外形尺寸（锚具、支座、伸缩缝、标志、护弦等）</w:t>
            </w:r>
          </w:p>
        </w:tc>
        <w:tc>
          <w:tcPr>
            <w:tcW w:w="3903" w:type="dxa"/>
            <w:vAlign w:val="center"/>
          </w:tcPr>
          <w:p>
            <w:pPr>
              <w:pStyle w:val="1286"/>
              <w:rPr>
                <w:rFonts w:ascii="宋体" w:hAnsi="宋体"/>
                <w:color w:val="auto"/>
              </w:rPr>
            </w:pPr>
            <w:r>
              <w:rPr>
                <w:rFonts w:ascii="宋体" w:hAnsi="宋体"/>
                <w:color w:val="auto"/>
              </w:rPr>
              <w:t>1、标准筛</w:t>
            </w:r>
          </w:p>
          <w:p>
            <w:pPr>
              <w:pStyle w:val="1286"/>
              <w:rPr>
                <w:rFonts w:ascii="宋体" w:hAnsi="宋体"/>
                <w:color w:val="auto"/>
              </w:rPr>
            </w:pPr>
            <w:r>
              <w:rPr>
                <w:rFonts w:ascii="宋体" w:hAnsi="宋体"/>
                <w:color w:val="auto"/>
              </w:rPr>
              <w:t>2、天平（感量0.01、0.1、1.0克各1台）</w:t>
            </w:r>
          </w:p>
          <w:p>
            <w:pPr>
              <w:pStyle w:val="1286"/>
              <w:rPr>
                <w:rFonts w:ascii="宋体" w:hAnsi="宋体"/>
                <w:color w:val="auto"/>
              </w:rPr>
            </w:pPr>
            <w:r>
              <w:rPr>
                <w:rFonts w:ascii="宋体" w:hAnsi="宋体"/>
                <w:color w:val="auto"/>
              </w:rPr>
              <w:t>3、浸水天平</w:t>
            </w:r>
            <w:r>
              <w:rPr>
                <w:rFonts w:ascii="宋体" w:hAnsi="宋体"/>
                <w:color w:val="auto"/>
                <w:vertAlign w:val="superscript"/>
              </w:rPr>
              <w:t>※</w:t>
            </w:r>
            <w:r>
              <w:rPr>
                <w:rFonts w:ascii="宋体" w:hAnsi="宋体"/>
                <w:color w:val="auto"/>
              </w:rPr>
              <w:t>（感量1g）</w:t>
            </w:r>
          </w:p>
          <w:p>
            <w:pPr>
              <w:pStyle w:val="1286"/>
              <w:rPr>
                <w:rFonts w:ascii="宋体" w:hAnsi="宋体"/>
                <w:color w:val="auto"/>
              </w:rPr>
            </w:pPr>
            <w:r>
              <w:rPr>
                <w:rFonts w:ascii="宋体" w:hAnsi="宋体"/>
                <w:color w:val="auto"/>
              </w:rPr>
              <w:t>4、案称或电子称1台（感量1g）</w:t>
            </w:r>
          </w:p>
          <w:p>
            <w:pPr>
              <w:pStyle w:val="1286"/>
              <w:rPr>
                <w:rFonts w:ascii="宋体" w:hAnsi="宋体"/>
                <w:color w:val="auto"/>
              </w:rPr>
            </w:pPr>
            <w:r>
              <w:rPr>
                <w:rFonts w:ascii="宋体" w:hAnsi="宋体"/>
                <w:color w:val="auto"/>
              </w:rPr>
              <w:t>5、恒温干燥箱</w:t>
            </w:r>
            <w:r>
              <w:rPr>
                <w:rFonts w:ascii="宋体" w:hAnsi="宋体"/>
                <w:color w:val="auto"/>
                <w:vertAlign w:val="superscript"/>
              </w:rPr>
              <w:t>※</w:t>
            </w:r>
          </w:p>
          <w:p>
            <w:pPr>
              <w:pStyle w:val="1286"/>
              <w:rPr>
                <w:rFonts w:ascii="宋体" w:hAnsi="宋体"/>
                <w:color w:val="auto"/>
              </w:rPr>
            </w:pPr>
            <w:r>
              <w:rPr>
                <w:rFonts w:ascii="宋体" w:hAnsi="宋体"/>
                <w:color w:val="auto"/>
              </w:rPr>
              <w:t>6、游标卡尺</w:t>
            </w:r>
          </w:p>
          <w:p>
            <w:pPr>
              <w:pStyle w:val="1286"/>
              <w:rPr>
                <w:rFonts w:ascii="宋体" w:hAnsi="宋体"/>
                <w:color w:val="auto"/>
              </w:rPr>
            </w:pPr>
            <w:r>
              <w:rPr>
                <w:rFonts w:ascii="宋体" w:hAnsi="宋体"/>
                <w:color w:val="auto"/>
              </w:rPr>
              <w:t>7、针片状规（水泥混凝土工程）</w:t>
            </w:r>
          </w:p>
          <w:p>
            <w:pPr>
              <w:pStyle w:val="1286"/>
              <w:rPr>
                <w:rFonts w:ascii="宋体" w:hAnsi="宋体"/>
                <w:color w:val="auto"/>
              </w:rPr>
            </w:pPr>
            <w:r>
              <w:rPr>
                <w:rFonts w:ascii="宋体" w:hAnsi="宋体"/>
                <w:color w:val="auto"/>
              </w:rPr>
              <w:t>8、钢卷尺、钢直尺</w:t>
            </w:r>
          </w:p>
          <w:p>
            <w:pPr>
              <w:pStyle w:val="1286"/>
              <w:rPr>
                <w:rFonts w:ascii="宋体" w:hAnsi="宋体"/>
                <w:color w:val="auto"/>
              </w:rPr>
            </w:pPr>
            <w:r>
              <w:rPr>
                <w:rFonts w:ascii="宋体" w:hAnsi="宋体"/>
                <w:color w:val="auto"/>
              </w:rPr>
              <w:t>9、容量瓶、烧杯、瓷盘、容积筒、铝盒等若干</w:t>
            </w:r>
          </w:p>
          <w:p>
            <w:pPr>
              <w:pStyle w:val="1286"/>
              <w:rPr>
                <w:rFonts w:ascii="宋体" w:hAnsi="宋体"/>
                <w:color w:val="auto"/>
              </w:rPr>
            </w:pPr>
            <w:r>
              <w:rPr>
                <w:rFonts w:ascii="宋体" w:hAnsi="宋体"/>
                <w:color w:val="auto"/>
              </w:rPr>
              <w:t>10、混凝土、砂浆试模若干</w:t>
            </w:r>
          </w:p>
        </w:tc>
        <w:tc>
          <w:tcPr>
            <w:tcW w:w="674" w:type="dxa"/>
            <w:vAlign w:val="center"/>
          </w:tcPr>
          <w:p>
            <w:pPr>
              <w:pStyle w:val="1286"/>
              <w:rPr>
                <w:rFonts w:ascii="宋体" w:hAnsi="宋体"/>
                <w:color w:val="auto"/>
              </w:rPr>
            </w:pPr>
          </w:p>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5" w:hRule="atLeast"/>
          <w:jc w:val="center"/>
        </w:trPr>
        <w:tc>
          <w:tcPr>
            <w:tcW w:w="386" w:type="dxa"/>
            <w:vAlign w:val="center"/>
          </w:tcPr>
          <w:p>
            <w:pPr>
              <w:pStyle w:val="1286"/>
              <w:rPr>
                <w:rFonts w:ascii="宋体" w:hAnsi="宋体"/>
                <w:color w:val="auto"/>
              </w:rPr>
            </w:pPr>
            <w:r>
              <w:rPr>
                <w:rFonts w:ascii="宋体" w:hAnsi="宋体"/>
                <w:color w:val="auto"/>
              </w:rPr>
              <w:t>道路及堆场</w:t>
            </w:r>
          </w:p>
        </w:tc>
        <w:tc>
          <w:tcPr>
            <w:tcW w:w="3757" w:type="dxa"/>
            <w:vAlign w:val="center"/>
          </w:tcPr>
          <w:p>
            <w:pPr>
              <w:pStyle w:val="1286"/>
              <w:rPr>
                <w:rFonts w:ascii="宋体" w:hAnsi="宋体"/>
                <w:color w:val="auto"/>
              </w:rPr>
            </w:pPr>
            <w:r>
              <w:rPr>
                <w:rFonts w:ascii="宋体" w:hAnsi="宋体"/>
                <w:color w:val="auto"/>
              </w:rPr>
              <w:t>1、粗集料粘附性；细集料砂当量</w:t>
            </w:r>
            <w:r>
              <w:rPr>
                <w:rFonts w:ascii="宋体" w:hAnsi="宋体"/>
                <w:color w:val="auto"/>
                <w:vertAlign w:val="superscript"/>
              </w:rPr>
              <w:t>※</w:t>
            </w:r>
            <w:r>
              <w:rPr>
                <w:rFonts w:ascii="宋体" w:hAnsi="宋体"/>
                <w:color w:val="auto"/>
              </w:rPr>
              <w:t>、棱角性</w:t>
            </w:r>
            <w:r>
              <w:rPr>
                <w:rFonts w:ascii="宋体" w:hAnsi="宋体"/>
                <w:color w:val="auto"/>
                <w:vertAlign w:val="superscript"/>
              </w:rPr>
              <w:t>※</w:t>
            </w:r>
            <w:r>
              <w:rPr>
                <w:rFonts w:ascii="宋体" w:hAnsi="宋体"/>
                <w:color w:val="auto"/>
              </w:rPr>
              <w:t>、亚甲蓝试验</w:t>
            </w:r>
            <w:r>
              <w:rPr>
                <w:rFonts w:ascii="宋体" w:hAnsi="宋体"/>
                <w:color w:val="auto"/>
                <w:vertAlign w:val="superscript"/>
              </w:rPr>
              <w:t>※</w:t>
            </w:r>
          </w:p>
          <w:p>
            <w:pPr>
              <w:pStyle w:val="1286"/>
              <w:rPr>
                <w:rFonts w:ascii="宋体" w:hAnsi="宋体"/>
                <w:color w:val="auto"/>
              </w:rPr>
            </w:pPr>
            <w:r>
              <w:rPr>
                <w:rFonts w:ascii="宋体" w:hAnsi="宋体"/>
                <w:color w:val="auto"/>
              </w:rPr>
              <w:t>2、沥青三大指标</w:t>
            </w:r>
            <w:r>
              <w:rPr>
                <w:rFonts w:ascii="宋体" w:hAnsi="宋体"/>
                <w:color w:val="auto"/>
                <w:vertAlign w:val="superscript"/>
              </w:rPr>
              <w:t>※</w:t>
            </w:r>
          </w:p>
          <w:p>
            <w:pPr>
              <w:pStyle w:val="1286"/>
              <w:rPr>
                <w:rFonts w:ascii="宋体" w:hAnsi="宋体"/>
                <w:color w:val="auto"/>
              </w:rPr>
            </w:pPr>
            <w:r>
              <w:rPr>
                <w:rFonts w:ascii="宋体" w:hAnsi="宋体"/>
                <w:color w:val="auto"/>
              </w:rPr>
              <w:t>3、洒布法沥青用量</w:t>
            </w:r>
          </w:p>
          <w:p>
            <w:pPr>
              <w:pStyle w:val="1286"/>
              <w:rPr>
                <w:rFonts w:ascii="宋体" w:hAnsi="宋体"/>
                <w:color w:val="auto"/>
              </w:rPr>
            </w:pPr>
            <w:r>
              <w:rPr>
                <w:rFonts w:ascii="宋体" w:hAnsi="宋体"/>
                <w:color w:val="auto"/>
              </w:rPr>
              <w:t>4、沥青混合料油石比</w:t>
            </w:r>
            <w:r>
              <w:rPr>
                <w:rFonts w:ascii="宋体" w:hAnsi="宋体"/>
                <w:color w:val="auto"/>
                <w:vertAlign w:val="superscript"/>
              </w:rPr>
              <w:t>※</w:t>
            </w:r>
            <w:r>
              <w:rPr>
                <w:rFonts w:ascii="宋体" w:hAnsi="宋体"/>
                <w:color w:val="auto"/>
              </w:rPr>
              <w:t>、稳定度</w:t>
            </w:r>
            <w:r>
              <w:rPr>
                <w:rFonts w:ascii="宋体" w:hAnsi="宋体"/>
                <w:color w:val="auto"/>
                <w:vertAlign w:val="superscript"/>
              </w:rPr>
              <w:t>※</w:t>
            </w:r>
            <w:r>
              <w:rPr>
                <w:rFonts w:ascii="宋体" w:hAnsi="宋体"/>
                <w:color w:val="auto"/>
              </w:rPr>
              <w:t>、流值</w:t>
            </w:r>
            <w:r>
              <w:rPr>
                <w:rFonts w:ascii="宋体" w:hAnsi="宋体"/>
                <w:color w:val="auto"/>
                <w:vertAlign w:val="superscript"/>
              </w:rPr>
              <w:t>※</w:t>
            </w:r>
            <w:r>
              <w:rPr>
                <w:rFonts w:ascii="宋体" w:hAnsi="宋体"/>
                <w:color w:val="auto"/>
              </w:rPr>
              <w:t>、级配</w:t>
            </w:r>
          </w:p>
          <w:p>
            <w:pPr>
              <w:pStyle w:val="1286"/>
              <w:rPr>
                <w:rFonts w:ascii="宋体" w:hAnsi="宋体"/>
                <w:color w:val="auto"/>
              </w:rPr>
            </w:pPr>
            <w:r>
              <w:rPr>
                <w:rFonts w:ascii="宋体" w:hAnsi="宋体"/>
                <w:color w:val="auto"/>
              </w:rPr>
              <w:t>5、路面取芯</w:t>
            </w:r>
            <w:r>
              <w:rPr>
                <w:rFonts w:ascii="宋体" w:hAnsi="宋体"/>
                <w:color w:val="auto"/>
                <w:vertAlign w:val="superscript"/>
              </w:rPr>
              <w:t>※</w:t>
            </w:r>
          </w:p>
          <w:p>
            <w:pPr>
              <w:pStyle w:val="1286"/>
              <w:rPr>
                <w:rFonts w:ascii="宋体" w:hAnsi="宋体"/>
                <w:color w:val="auto"/>
              </w:rPr>
            </w:pPr>
            <w:r>
              <w:rPr>
                <w:rFonts w:ascii="宋体" w:hAnsi="宋体"/>
                <w:color w:val="auto"/>
              </w:rPr>
              <w:t>6、厚度、宽度、平整度、压实度</w:t>
            </w:r>
            <w:r>
              <w:rPr>
                <w:rFonts w:ascii="宋体" w:hAnsi="宋体"/>
                <w:color w:val="auto"/>
                <w:vertAlign w:val="superscript"/>
              </w:rPr>
              <w:t>※</w:t>
            </w:r>
            <w:r>
              <w:rPr>
                <w:rFonts w:ascii="宋体" w:hAnsi="宋体"/>
                <w:color w:val="auto"/>
              </w:rPr>
              <w:t>、弯沉</w:t>
            </w:r>
            <w:r>
              <w:rPr>
                <w:rFonts w:ascii="宋体" w:hAnsi="宋体"/>
                <w:color w:val="auto"/>
                <w:vertAlign w:val="superscript"/>
              </w:rPr>
              <w:t>※</w:t>
            </w:r>
          </w:p>
        </w:tc>
        <w:tc>
          <w:tcPr>
            <w:tcW w:w="3903" w:type="dxa"/>
            <w:vAlign w:val="center"/>
          </w:tcPr>
          <w:p>
            <w:pPr>
              <w:pStyle w:val="1286"/>
              <w:rPr>
                <w:rFonts w:ascii="宋体" w:hAnsi="宋体"/>
                <w:color w:val="auto"/>
              </w:rPr>
            </w:pPr>
            <w:r>
              <w:rPr>
                <w:rFonts w:ascii="宋体" w:hAnsi="宋体"/>
                <w:color w:val="auto"/>
              </w:rPr>
              <w:t>1、砂当量仪</w:t>
            </w:r>
            <w:r>
              <w:rPr>
                <w:rFonts w:ascii="宋体" w:hAnsi="宋体"/>
                <w:color w:val="auto"/>
                <w:vertAlign w:val="superscript"/>
              </w:rPr>
              <w:t>※</w:t>
            </w:r>
            <w:r>
              <w:rPr>
                <w:rFonts w:ascii="宋体" w:hAnsi="宋体"/>
                <w:color w:val="auto"/>
              </w:rPr>
              <w:t>、棱角性仪</w:t>
            </w:r>
            <w:r>
              <w:rPr>
                <w:rFonts w:ascii="宋体" w:hAnsi="宋体"/>
                <w:color w:val="auto"/>
                <w:vertAlign w:val="superscript"/>
              </w:rPr>
              <w:t>※</w:t>
            </w:r>
          </w:p>
          <w:p>
            <w:pPr>
              <w:pStyle w:val="1286"/>
              <w:rPr>
                <w:rFonts w:ascii="宋体" w:hAnsi="宋体"/>
                <w:color w:val="auto"/>
              </w:rPr>
            </w:pPr>
            <w:r>
              <w:rPr>
                <w:rFonts w:ascii="宋体" w:hAnsi="宋体"/>
                <w:color w:val="auto"/>
              </w:rPr>
              <w:t>2、沥青针入度仪</w:t>
            </w:r>
            <w:r>
              <w:rPr>
                <w:rFonts w:ascii="宋体" w:hAnsi="宋体"/>
                <w:color w:val="auto"/>
                <w:vertAlign w:val="superscript"/>
              </w:rPr>
              <w:t>※</w:t>
            </w:r>
            <w:r>
              <w:rPr>
                <w:rFonts w:ascii="宋体" w:hAnsi="宋体"/>
                <w:color w:val="auto"/>
              </w:rPr>
              <w:t>、延度仪</w:t>
            </w:r>
            <w:r>
              <w:rPr>
                <w:rFonts w:ascii="宋体" w:hAnsi="宋体"/>
                <w:color w:val="auto"/>
                <w:vertAlign w:val="superscript"/>
              </w:rPr>
              <w:t>※</w:t>
            </w:r>
            <w:r>
              <w:rPr>
                <w:rFonts w:ascii="宋体" w:hAnsi="宋体"/>
                <w:color w:val="auto"/>
              </w:rPr>
              <w:t>、软化点仪</w:t>
            </w:r>
            <w:r>
              <w:rPr>
                <w:rFonts w:ascii="宋体" w:hAnsi="宋体"/>
                <w:color w:val="auto"/>
                <w:vertAlign w:val="superscript"/>
              </w:rPr>
              <w:t>※</w:t>
            </w:r>
          </w:p>
          <w:p>
            <w:pPr>
              <w:pStyle w:val="1286"/>
              <w:rPr>
                <w:rFonts w:ascii="宋体" w:hAnsi="宋体"/>
                <w:color w:val="auto"/>
              </w:rPr>
            </w:pPr>
            <w:r>
              <w:rPr>
                <w:rFonts w:ascii="宋体" w:hAnsi="宋体"/>
                <w:color w:val="auto"/>
              </w:rPr>
              <w:t>3、马歇尔试验仪</w:t>
            </w:r>
            <w:r>
              <w:rPr>
                <w:rFonts w:ascii="宋体" w:hAnsi="宋体"/>
                <w:color w:val="auto"/>
                <w:vertAlign w:val="superscript"/>
              </w:rPr>
              <w:t>※</w:t>
            </w:r>
          </w:p>
          <w:p>
            <w:pPr>
              <w:pStyle w:val="1286"/>
              <w:rPr>
                <w:rFonts w:ascii="宋体" w:hAnsi="宋体"/>
                <w:color w:val="auto"/>
              </w:rPr>
            </w:pPr>
            <w:r>
              <w:rPr>
                <w:rFonts w:ascii="宋体" w:hAnsi="宋体"/>
                <w:color w:val="auto"/>
              </w:rPr>
              <w:t>4、沥青抽提仪</w:t>
            </w:r>
            <w:r>
              <w:rPr>
                <w:rFonts w:ascii="宋体" w:hAnsi="宋体"/>
                <w:color w:val="auto"/>
                <w:vertAlign w:val="superscript"/>
              </w:rPr>
              <w:t>※</w:t>
            </w:r>
          </w:p>
          <w:p>
            <w:pPr>
              <w:pStyle w:val="1286"/>
              <w:rPr>
                <w:rFonts w:ascii="宋体" w:hAnsi="宋体"/>
                <w:color w:val="auto"/>
              </w:rPr>
            </w:pPr>
            <w:r>
              <w:rPr>
                <w:rFonts w:ascii="宋体" w:hAnsi="宋体"/>
                <w:color w:val="auto"/>
              </w:rPr>
              <w:t>5、恒温水浴，电炉</w:t>
            </w:r>
          </w:p>
          <w:p>
            <w:pPr>
              <w:pStyle w:val="1286"/>
              <w:rPr>
                <w:rFonts w:ascii="宋体" w:hAnsi="宋体"/>
                <w:color w:val="auto"/>
              </w:rPr>
            </w:pPr>
            <w:r>
              <w:rPr>
                <w:rFonts w:ascii="宋体" w:hAnsi="宋体"/>
                <w:color w:val="auto"/>
              </w:rPr>
              <w:t>7、沥青温度计、红外线温度测定仪</w:t>
            </w:r>
          </w:p>
          <w:p>
            <w:pPr>
              <w:pStyle w:val="1286"/>
              <w:rPr>
                <w:rFonts w:ascii="宋体" w:hAnsi="宋体"/>
                <w:color w:val="auto"/>
              </w:rPr>
            </w:pPr>
            <w:r>
              <w:rPr>
                <w:rFonts w:ascii="宋体" w:hAnsi="宋体"/>
                <w:color w:val="auto"/>
              </w:rPr>
              <w:t>8、取芯机</w:t>
            </w:r>
            <w:r>
              <w:rPr>
                <w:rFonts w:ascii="宋体" w:hAnsi="宋体"/>
                <w:color w:val="auto"/>
                <w:vertAlign w:val="superscript"/>
              </w:rPr>
              <w:t>※</w:t>
            </w:r>
          </w:p>
          <w:p>
            <w:pPr>
              <w:pStyle w:val="1286"/>
              <w:rPr>
                <w:rFonts w:ascii="宋体" w:hAnsi="宋体"/>
                <w:color w:val="auto"/>
              </w:rPr>
            </w:pPr>
            <w:r>
              <w:rPr>
                <w:rFonts w:ascii="宋体" w:hAnsi="宋体"/>
                <w:color w:val="auto"/>
              </w:rPr>
              <w:t>9、三米直尺</w:t>
            </w:r>
          </w:p>
          <w:p>
            <w:pPr>
              <w:pStyle w:val="1286"/>
              <w:rPr>
                <w:rFonts w:ascii="宋体" w:hAnsi="宋体"/>
                <w:color w:val="auto"/>
              </w:rPr>
            </w:pPr>
            <w:r>
              <w:rPr>
                <w:rFonts w:ascii="宋体" w:hAnsi="宋体"/>
                <w:color w:val="auto"/>
              </w:rPr>
              <w:t>10、贝克曼梁2支（含百分表）</w:t>
            </w:r>
            <w:r>
              <w:rPr>
                <w:rFonts w:ascii="宋体" w:hAnsi="宋体"/>
                <w:color w:val="auto"/>
                <w:vertAlign w:val="superscript"/>
              </w:rPr>
              <w:t>※</w:t>
            </w:r>
          </w:p>
        </w:tc>
        <w:tc>
          <w:tcPr>
            <w:tcW w:w="674" w:type="dxa"/>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5" w:hRule="atLeast"/>
          <w:jc w:val="center"/>
        </w:trPr>
        <w:tc>
          <w:tcPr>
            <w:tcW w:w="386" w:type="dxa"/>
            <w:vAlign w:val="center"/>
          </w:tcPr>
          <w:p>
            <w:pPr>
              <w:pStyle w:val="1286"/>
              <w:rPr>
                <w:rFonts w:ascii="宋体" w:hAnsi="宋体"/>
                <w:color w:val="auto"/>
              </w:rPr>
            </w:pPr>
            <w:r>
              <w:rPr>
                <w:rFonts w:hint="eastAsia" w:ascii="宋体" w:hAnsi="宋体"/>
                <w:color w:val="auto"/>
                <w:szCs w:val="21"/>
              </w:rPr>
              <w:t>护岸工程</w:t>
            </w:r>
          </w:p>
        </w:tc>
        <w:tc>
          <w:tcPr>
            <w:tcW w:w="3757" w:type="dxa"/>
            <w:vAlign w:val="center"/>
          </w:tcPr>
          <w:p>
            <w:pPr>
              <w:pStyle w:val="1286"/>
              <w:rPr>
                <w:rFonts w:ascii="宋体" w:hAnsi="宋体"/>
                <w:color w:val="auto"/>
                <w:szCs w:val="21"/>
              </w:rPr>
            </w:pPr>
            <w:r>
              <w:rPr>
                <w:rFonts w:hint="eastAsia" w:ascii="宋体" w:hAnsi="宋体"/>
                <w:color w:val="auto"/>
                <w:szCs w:val="21"/>
              </w:rPr>
              <w:t>1、环刀法密实度</w:t>
            </w:r>
          </w:p>
          <w:p>
            <w:pPr>
              <w:pStyle w:val="1286"/>
              <w:rPr>
                <w:rFonts w:ascii="宋体" w:hAnsi="宋体"/>
                <w:color w:val="auto"/>
                <w:szCs w:val="21"/>
              </w:rPr>
            </w:pPr>
            <w:r>
              <w:rPr>
                <w:rFonts w:hint="eastAsia" w:ascii="宋体" w:hAnsi="宋体"/>
                <w:color w:val="auto"/>
                <w:szCs w:val="21"/>
              </w:rPr>
              <w:t>2、重型击实</w:t>
            </w:r>
            <w:r>
              <w:rPr>
                <w:rFonts w:hint="eastAsia" w:ascii="宋体" w:hAnsi="宋体"/>
                <w:color w:val="auto"/>
                <w:szCs w:val="21"/>
                <w:vertAlign w:val="superscript"/>
              </w:rPr>
              <w:t>※</w:t>
            </w:r>
          </w:p>
          <w:p>
            <w:pPr>
              <w:pStyle w:val="1286"/>
              <w:rPr>
                <w:rFonts w:ascii="宋体" w:hAnsi="宋体"/>
                <w:color w:val="auto"/>
                <w:szCs w:val="21"/>
              </w:rPr>
            </w:pPr>
            <w:r>
              <w:rPr>
                <w:rFonts w:hint="eastAsia" w:ascii="宋体" w:hAnsi="宋体"/>
                <w:color w:val="auto"/>
                <w:szCs w:val="21"/>
              </w:rPr>
              <w:t>3、护岸表明平整度、垂直度或坡度</w:t>
            </w:r>
          </w:p>
          <w:p>
            <w:pPr>
              <w:pStyle w:val="1286"/>
              <w:rPr>
                <w:rFonts w:ascii="宋体" w:hAnsi="宋体"/>
                <w:color w:val="auto"/>
              </w:rPr>
            </w:pPr>
            <w:r>
              <w:rPr>
                <w:rFonts w:hint="eastAsia" w:ascii="宋体" w:hAnsi="宋体"/>
                <w:color w:val="auto"/>
                <w:szCs w:val="21"/>
              </w:rPr>
              <w:t>4、护岸结构尺寸</w:t>
            </w:r>
          </w:p>
        </w:tc>
        <w:tc>
          <w:tcPr>
            <w:tcW w:w="3903" w:type="dxa"/>
            <w:vAlign w:val="center"/>
          </w:tcPr>
          <w:p>
            <w:pPr>
              <w:pStyle w:val="1286"/>
              <w:rPr>
                <w:rFonts w:ascii="宋体" w:hAnsi="宋体"/>
                <w:color w:val="auto"/>
                <w:szCs w:val="21"/>
              </w:rPr>
            </w:pPr>
            <w:r>
              <w:rPr>
                <w:rFonts w:hint="eastAsia" w:ascii="宋体" w:hAnsi="宋体"/>
                <w:color w:val="auto"/>
                <w:szCs w:val="21"/>
              </w:rPr>
              <w:t>1、环刀若干（含取土器）</w:t>
            </w:r>
          </w:p>
          <w:p>
            <w:pPr>
              <w:pStyle w:val="1286"/>
              <w:rPr>
                <w:rFonts w:ascii="宋体" w:hAnsi="宋体"/>
                <w:color w:val="auto"/>
                <w:szCs w:val="21"/>
              </w:rPr>
            </w:pPr>
            <w:r>
              <w:rPr>
                <w:rFonts w:hint="eastAsia" w:ascii="宋体" w:hAnsi="宋体"/>
                <w:color w:val="auto"/>
                <w:szCs w:val="21"/>
              </w:rPr>
              <w:t>2、重型击实仪</w:t>
            </w:r>
            <w:r>
              <w:rPr>
                <w:rFonts w:hint="eastAsia" w:ascii="宋体" w:hAnsi="宋体"/>
                <w:color w:val="auto"/>
                <w:szCs w:val="21"/>
                <w:vertAlign w:val="superscript"/>
              </w:rPr>
              <w:t>※</w:t>
            </w:r>
          </w:p>
          <w:p>
            <w:pPr>
              <w:pStyle w:val="1286"/>
              <w:rPr>
                <w:rFonts w:ascii="宋体" w:hAnsi="宋体"/>
                <w:color w:val="auto"/>
                <w:szCs w:val="21"/>
              </w:rPr>
            </w:pPr>
            <w:r>
              <w:rPr>
                <w:rFonts w:hint="eastAsia" w:ascii="宋体" w:hAnsi="宋体"/>
                <w:color w:val="auto"/>
                <w:szCs w:val="21"/>
              </w:rPr>
              <w:t>3、脱模器</w:t>
            </w:r>
            <w:r>
              <w:rPr>
                <w:rFonts w:hint="eastAsia" w:ascii="宋体" w:hAnsi="宋体"/>
                <w:color w:val="auto"/>
                <w:szCs w:val="21"/>
                <w:vertAlign w:val="superscript"/>
              </w:rPr>
              <w:t>※</w:t>
            </w:r>
          </w:p>
          <w:p>
            <w:pPr>
              <w:pStyle w:val="1286"/>
              <w:rPr>
                <w:rFonts w:ascii="宋体" w:hAnsi="宋体"/>
                <w:color w:val="auto"/>
                <w:szCs w:val="21"/>
              </w:rPr>
            </w:pPr>
            <w:r>
              <w:rPr>
                <w:rFonts w:hint="eastAsia" w:ascii="宋体" w:hAnsi="宋体"/>
                <w:color w:val="auto"/>
                <w:szCs w:val="21"/>
              </w:rPr>
              <w:t>4、二米直尺、垂球、坡度尺</w:t>
            </w:r>
          </w:p>
          <w:p>
            <w:pPr>
              <w:pStyle w:val="1286"/>
              <w:rPr>
                <w:rFonts w:ascii="宋体" w:hAnsi="宋体"/>
                <w:color w:val="auto"/>
              </w:rPr>
            </w:pPr>
            <w:r>
              <w:rPr>
                <w:rFonts w:hint="eastAsia" w:ascii="宋体" w:hAnsi="宋体"/>
                <w:color w:val="auto"/>
                <w:szCs w:val="21"/>
              </w:rPr>
              <w:t>5、取芯机</w:t>
            </w:r>
          </w:p>
        </w:tc>
        <w:tc>
          <w:tcPr>
            <w:tcW w:w="674" w:type="dxa"/>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1" w:hRule="atLeast"/>
          <w:jc w:val="center"/>
        </w:trPr>
        <w:tc>
          <w:tcPr>
            <w:tcW w:w="386" w:type="dxa"/>
            <w:vAlign w:val="center"/>
          </w:tcPr>
          <w:p>
            <w:pPr>
              <w:pStyle w:val="1286"/>
              <w:rPr>
                <w:rFonts w:ascii="宋体" w:hAnsi="宋体"/>
                <w:color w:val="auto"/>
              </w:rPr>
            </w:pPr>
            <w:r>
              <w:rPr>
                <w:rFonts w:ascii="宋体" w:hAnsi="宋体"/>
                <w:color w:val="auto"/>
              </w:rPr>
              <w:t>混凝土工程</w:t>
            </w:r>
          </w:p>
        </w:tc>
        <w:tc>
          <w:tcPr>
            <w:tcW w:w="3757" w:type="dxa"/>
            <w:vAlign w:val="center"/>
          </w:tcPr>
          <w:p>
            <w:pPr>
              <w:pStyle w:val="1286"/>
              <w:rPr>
                <w:rFonts w:ascii="宋体" w:hAnsi="宋体"/>
                <w:color w:val="auto"/>
              </w:rPr>
            </w:pPr>
            <w:r>
              <w:rPr>
                <w:rFonts w:ascii="宋体" w:hAnsi="宋体"/>
                <w:color w:val="auto"/>
              </w:rPr>
              <w:t>1、水泥标准稠度用水量、凝结时间、安定性</w:t>
            </w:r>
            <w:r>
              <w:rPr>
                <w:rFonts w:ascii="宋体" w:hAnsi="宋体"/>
                <w:color w:val="auto"/>
                <w:vertAlign w:val="superscript"/>
              </w:rPr>
              <w:t>※</w:t>
            </w:r>
          </w:p>
          <w:p>
            <w:pPr>
              <w:pStyle w:val="1286"/>
              <w:rPr>
                <w:rFonts w:ascii="宋体" w:hAnsi="宋体"/>
                <w:color w:val="auto"/>
              </w:rPr>
            </w:pPr>
            <w:r>
              <w:rPr>
                <w:rFonts w:ascii="宋体" w:hAnsi="宋体"/>
                <w:color w:val="auto"/>
              </w:rPr>
              <w:t>2、泥浆比重</w:t>
            </w:r>
          </w:p>
          <w:p>
            <w:pPr>
              <w:pStyle w:val="1286"/>
              <w:rPr>
                <w:rFonts w:ascii="宋体" w:hAnsi="宋体"/>
                <w:color w:val="auto"/>
              </w:rPr>
            </w:pPr>
            <w:r>
              <w:rPr>
                <w:rFonts w:ascii="宋体" w:hAnsi="宋体"/>
                <w:color w:val="auto"/>
              </w:rPr>
              <w:t>3、混凝土塌落度、凝结时间</w:t>
            </w:r>
          </w:p>
          <w:p>
            <w:pPr>
              <w:pStyle w:val="1286"/>
              <w:rPr>
                <w:rFonts w:ascii="宋体" w:hAnsi="宋体"/>
                <w:color w:val="auto"/>
              </w:rPr>
            </w:pPr>
            <w:r>
              <w:rPr>
                <w:rFonts w:ascii="宋体" w:hAnsi="宋体"/>
                <w:color w:val="auto"/>
              </w:rPr>
              <w:t>4、水泥浆性能指标（预应力工程）</w:t>
            </w:r>
          </w:p>
          <w:p>
            <w:pPr>
              <w:pStyle w:val="1286"/>
              <w:rPr>
                <w:rFonts w:ascii="宋体" w:hAnsi="宋体"/>
                <w:color w:val="auto"/>
              </w:rPr>
            </w:pPr>
            <w:r>
              <w:rPr>
                <w:rFonts w:ascii="宋体" w:hAnsi="宋体"/>
                <w:color w:val="auto"/>
              </w:rPr>
              <w:t>5、回弹法测强</w:t>
            </w:r>
          </w:p>
          <w:p>
            <w:pPr>
              <w:pStyle w:val="1286"/>
              <w:rPr>
                <w:rFonts w:ascii="宋体" w:hAnsi="宋体"/>
                <w:color w:val="auto"/>
              </w:rPr>
            </w:pPr>
            <w:r>
              <w:rPr>
                <w:rFonts w:ascii="宋体" w:hAnsi="宋体"/>
                <w:color w:val="auto"/>
              </w:rPr>
              <w:t>6、钢筋保护层厚度</w:t>
            </w:r>
            <w:r>
              <w:rPr>
                <w:rFonts w:ascii="宋体" w:hAnsi="宋体"/>
                <w:color w:val="auto"/>
                <w:vertAlign w:val="superscript"/>
              </w:rPr>
              <w:t>※</w:t>
            </w:r>
          </w:p>
        </w:tc>
        <w:tc>
          <w:tcPr>
            <w:tcW w:w="3903" w:type="dxa"/>
            <w:vAlign w:val="center"/>
          </w:tcPr>
          <w:p>
            <w:pPr>
              <w:pStyle w:val="1286"/>
              <w:rPr>
                <w:rFonts w:ascii="宋体" w:hAnsi="宋体"/>
                <w:color w:val="auto"/>
              </w:rPr>
            </w:pPr>
            <w:r>
              <w:rPr>
                <w:rFonts w:ascii="宋体" w:hAnsi="宋体"/>
                <w:color w:val="auto"/>
              </w:rPr>
              <w:t>1、净浆搅拌机</w:t>
            </w:r>
            <w:r>
              <w:rPr>
                <w:rFonts w:ascii="宋体" w:hAnsi="宋体"/>
                <w:color w:val="auto"/>
                <w:vertAlign w:val="superscript"/>
              </w:rPr>
              <w:t>※</w:t>
            </w:r>
            <w:r>
              <w:rPr>
                <w:rFonts w:ascii="宋体" w:hAnsi="宋体"/>
                <w:color w:val="auto"/>
              </w:rPr>
              <w:t>、维卡仪</w:t>
            </w:r>
            <w:r>
              <w:rPr>
                <w:rFonts w:ascii="宋体" w:hAnsi="宋体"/>
                <w:color w:val="auto"/>
                <w:vertAlign w:val="superscript"/>
              </w:rPr>
              <w:t>※</w:t>
            </w:r>
            <w:r>
              <w:rPr>
                <w:rFonts w:ascii="宋体" w:hAnsi="宋体"/>
                <w:color w:val="auto"/>
              </w:rPr>
              <w:t>、雷氏夹膨胀仪</w:t>
            </w:r>
            <w:r>
              <w:rPr>
                <w:rFonts w:ascii="宋体" w:hAnsi="宋体"/>
                <w:color w:val="auto"/>
                <w:vertAlign w:val="superscript"/>
              </w:rPr>
              <w:t>※</w:t>
            </w:r>
            <w:r>
              <w:rPr>
                <w:rFonts w:ascii="宋体" w:hAnsi="宋体"/>
                <w:color w:val="auto"/>
              </w:rPr>
              <w:t>、沸煮箱</w:t>
            </w:r>
            <w:r>
              <w:rPr>
                <w:rFonts w:ascii="宋体" w:hAnsi="宋体"/>
                <w:color w:val="auto"/>
                <w:vertAlign w:val="superscript"/>
              </w:rPr>
              <w:t>※</w:t>
            </w:r>
          </w:p>
          <w:p>
            <w:pPr>
              <w:pStyle w:val="1286"/>
              <w:rPr>
                <w:rFonts w:ascii="宋体" w:hAnsi="宋体"/>
                <w:color w:val="auto"/>
              </w:rPr>
            </w:pPr>
            <w:r>
              <w:rPr>
                <w:rFonts w:ascii="宋体" w:hAnsi="宋体"/>
                <w:color w:val="auto"/>
              </w:rPr>
              <w:t>2、泥浆比值计</w:t>
            </w:r>
          </w:p>
          <w:p>
            <w:pPr>
              <w:pStyle w:val="1286"/>
              <w:rPr>
                <w:rFonts w:ascii="宋体" w:hAnsi="宋体"/>
                <w:color w:val="auto"/>
              </w:rPr>
            </w:pPr>
            <w:r>
              <w:rPr>
                <w:rFonts w:ascii="宋体" w:hAnsi="宋体"/>
                <w:color w:val="auto"/>
              </w:rPr>
              <w:t>3、砼塌落度筒、贯入阻力仪</w:t>
            </w:r>
          </w:p>
          <w:p>
            <w:pPr>
              <w:pStyle w:val="1286"/>
              <w:rPr>
                <w:rFonts w:ascii="宋体" w:hAnsi="宋体"/>
                <w:color w:val="auto"/>
              </w:rPr>
            </w:pPr>
            <w:r>
              <w:rPr>
                <w:rFonts w:ascii="宋体" w:hAnsi="宋体"/>
                <w:color w:val="auto"/>
              </w:rPr>
              <w:t>4、水泥浆泌水率仪、稠度仪（预应力工程）</w:t>
            </w:r>
          </w:p>
          <w:p>
            <w:pPr>
              <w:pStyle w:val="1286"/>
              <w:rPr>
                <w:rFonts w:ascii="宋体" w:hAnsi="宋体"/>
                <w:color w:val="auto"/>
              </w:rPr>
            </w:pPr>
            <w:r>
              <w:rPr>
                <w:rFonts w:ascii="宋体" w:hAnsi="宋体"/>
                <w:color w:val="auto"/>
              </w:rPr>
              <w:t>5、混凝土回弹仪</w:t>
            </w:r>
          </w:p>
          <w:p>
            <w:pPr>
              <w:pStyle w:val="1286"/>
              <w:rPr>
                <w:rFonts w:ascii="宋体" w:hAnsi="宋体"/>
                <w:color w:val="auto"/>
              </w:rPr>
            </w:pPr>
            <w:r>
              <w:rPr>
                <w:rFonts w:ascii="宋体" w:hAnsi="宋体"/>
                <w:color w:val="auto"/>
              </w:rPr>
              <w:t>6、钢筋保护层厚度仪</w:t>
            </w:r>
            <w:r>
              <w:rPr>
                <w:rFonts w:ascii="宋体" w:hAnsi="宋体"/>
                <w:color w:val="auto"/>
                <w:vertAlign w:val="superscript"/>
              </w:rPr>
              <w:t>※</w:t>
            </w:r>
          </w:p>
          <w:p>
            <w:pPr>
              <w:pStyle w:val="1286"/>
              <w:rPr>
                <w:rFonts w:ascii="宋体" w:hAnsi="宋体"/>
                <w:color w:val="auto"/>
              </w:rPr>
            </w:pPr>
            <w:r>
              <w:rPr>
                <w:rFonts w:ascii="宋体" w:hAnsi="宋体"/>
                <w:color w:val="auto"/>
              </w:rPr>
              <w:t>7、标准养护（箱）室</w:t>
            </w:r>
          </w:p>
        </w:tc>
        <w:tc>
          <w:tcPr>
            <w:tcW w:w="674" w:type="dxa"/>
            <w:vAlign w:val="center"/>
          </w:tcPr>
          <w:p>
            <w:pPr>
              <w:pStyle w:val="1286"/>
              <w:rPr>
                <w:rFonts w:ascii="宋体" w:hAnsi="宋体"/>
                <w:color w:val="auto"/>
              </w:rPr>
            </w:pPr>
          </w:p>
        </w:tc>
      </w:tr>
    </w:tbl>
    <w:p>
      <w:pPr>
        <w:adjustRightInd w:val="0"/>
        <w:snapToGrid w:val="0"/>
        <w:spacing w:before="156" w:beforeLines="50" w:line="360" w:lineRule="auto"/>
        <w:rPr>
          <w:rFonts w:ascii="宋体" w:hAnsi="宋体"/>
          <w:bCs/>
          <w:sz w:val="18"/>
          <w:szCs w:val="18"/>
        </w:rPr>
      </w:pPr>
      <w:r>
        <w:rPr>
          <w:rFonts w:ascii="宋体" w:hAnsi="宋体"/>
          <w:bCs/>
          <w:sz w:val="18"/>
          <w:szCs w:val="18"/>
        </w:rPr>
        <w:t>注：1、本表所列以外的试验检测项目（或参数），应委托符合条件的试验检测机构进行检测。</w:t>
      </w:r>
    </w:p>
    <w:p>
      <w:pPr>
        <w:adjustRightInd w:val="0"/>
        <w:snapToGrid w:val="0"/>
        <w:spacing w:line="360" w:lineRule="auto"/>
        <w:ind w:firstLine="360" w:firstLineChars="200"/>
        <w:rPr>
          <w:rFonts w:ascii="宋体" w:hAnsi="宋体"/>
          <w:bCs/>
          <w:sz w:val="18"/>
          <w:szCs w:val="18"/>
        </w:rPr>
      </w:pPr>
      <w:r>
        <w:rPr>
          <w:rFonts w:ascii="宋体" w:hAnsi="宋体"/>
          <w:sz w:val="18"/>
          <w:szCs w:val="18"/>
        </w:rPr>
        <w:t>2、</w:t>
      </w:r>
      <w:r>
        <w:rPr>
          <w:rFonts w:ascii="宋体" w:hAnsi="宋体"/>
          <w:bCs/>
          <w:sz w:val="18"/>
          <w:szCs w:val="18"/>
        </w:rPr>
        <w:t>简易工地试验可将</w:t>
      </w:r>
      <w:r>
        <w:rPr>
          <w:rFonts w:ascii="宋体" w:hAnsi="宋体"/>
          <w:sz w:val="18"/>
          <w:szCs w:val="18"/>
        </w:rPr>
        <w:t>表中带</w:t>
      </w:r>
      <w:r>
        <w:rPr>
          <w:rFonts w:hint="eastAsia" w:ascii="宋体" w:hAnsi="宋体" w:cs="宋体"/>
          <w:sz w:val="18"/>
          <w:szCs w:val="18"/>
          <w:vertAlign w:val="superscript"/>
        </w:rPr>
        <w:t>※</w:t>
      </w:r>
      <w:r>
        <w:rPr>
          <w:rFonts w:ascii="宋体" w:hAnsi="宋体"/>
          <w:bCs/>
          <w:sz w:val="18"/>
          <w:szCs w:val="18"/>
        </w:rPr>
        <w:t>的试验检测项目（或参数）委托符合条件的试验检测机构检测，相应</w:t>
      </w:r>
      <w:r>
        <w:rPr>
          <w:rFonts w:ascii="宋体" w:hAnsi="宋体"/>
          <w:sz w:val="18"/>
          <w:szCs w:val="18"/>
        </w:rPr>
        <w:t>带</w:t>
      </w:r>
      <w:r>
        <w:rPr>
          <w:rFonts w:hint="eastAsia" w:ascii="宋体" w:hAnsi="宋体" w:cs="宋体"/>
          <w:sz w:val="18"/>
          <w:szCs w:val="18"/>
          <w:vertAlign w:val="superscript"/>
        </w:rPr>
        <w:t>※</w:t>
      </w:r>
      <w:r>
        <w:rPr>
          <w:rFonts w:ascii="宋体" w:hAnsi="宋体"/>
          <w:sz w:val="18"/>
          <w:szCs w:val="18"/>
        </w:rPr>
        <w:t>的仪器设备可以不配置</w:t>
      </w:r>
      <w:r>
        <w:rPr>
          <w:rFonts w:ascii="宋体" w:hAnsi="宋体"/>
          <w:bCs/>
          <w:sz w:val="18"/>
          <w:szCs w:val="18"/>
        </w:rPr>
        <w:t>。</w:t>
      </w:r>
    </w:p>
    <w:p>
      <w:pPr>
        <w:pStyle w:val="1280"/>
        <w:rPr>
          <w:rFonts w:ascii="宋体"/>
        </w:rPr>
      </w:pPr>
      <w:r>
        <w:rPr>
          <w:rFonts w:ascii="宋体"/>
        </w:rPr>
        <w:t>如果承包商委托当地有资质的当地市政工程试验室完成过程控制中各项试验，须得到项目监理和业主的事前审查和批准。</w:t>
      </w:r>
    </w:p>
    <w:p>
      <w:pPr>
        <w:pStyle w:val="1280"/>
        <w:rPr>
          <w:rFonts w:ascii="宋体"/>
        </w:rPr>
      </w:pPr>
      <w:r>
        <w:rPr>
          <w:rFonts w:ascii="宋体"/>
        </w:rPr>
        <w:t>取样和测试应包括但不限于以下内容：</w:t>
      </w:r>
    </w:p>
    <w:p>
      <w:pPr>
        <w:pStyle w:val="1280"/>
        <w:rPr>
          <w:rFonts w:ascii="宋体"/>
        </w:rPr>
      </w:pPr>
      <w:r>
        <w:rPr>
          <w:rFonts w:ascii="宋体"/>
        </w:rPr>
        <w:t>筛分工程所使用的砂和骨料；</w:t>
      </w:r>
    </w:p>
    <w:p>
      <w:pPr>
        <w:pStyle w:val="1280"/>
        <w:rPr>
          <w:rFonts w:ascii="宋体"/>
        </w:rPr>
      </w:pPr>
      <w:r>
        <w:rPr>
          <w:rFonts w:ascii="宋体"/>
        </w:rPr>
        <w:t>硅酸盐水泥混凝土的骨料和配合比；</w:t>
      </w:r>
    </w:p>
    <w:p>
      <w:pPr>
        <w:pStyle w:val="1280"/>
        <w:rPr>
          <w:rFonts w:ascii="宋体"/>
        </w:rPr>
      </w:pPr>
      <w:r>
        <w:rPr>
          <w:rFonts w:ascii="宋体"/>
        </w:rPr>
        <w:t>回填材料的标准密实度曲线；</w:t>
      </w:r>
    </w:p>
    <w:p>
      <w:pPr>
        <w:pStyle w:val="1280"/>
        <w:rPr>
          <w:rFonts w:ascii="宋体"/>
        </w:rPr>
      </w:pPr>
      <w:r>
        <w:rPr>
          <w:rFonts w:ascii="宋体"/>
        </w:rPr>
        <w:t>借土(是否借土和借土点应经过项目监理和业主的批准)的标准密实度曲线；</w:t>
      </w:r>
    </w:p>
    <w:p>
      <w:pPr>
        <w:pStyle w:val="1280"/>
        <w:rPr>
          <w:rFonts w:ascii="宋体"/>
        </w:rPr>
      </w:pPr>
      <w:r>
        <w:rPr>
          <w:rFonts w:ascii="宋体"/>
        </w:rPr>
        <w:t>回填材料和填方材料的压实度测试；</w:t>
      </w:r>
    </w:p>
    <w:p>
      <w:pPr>
        <w:pStyle w:val="1280"/>
        <w:rPr>
          <w:rFonts w:ascii="宋体"/>
        </w:rPr>
      </w:pPr>
      <w:r>
        <w:rPr>
          <w:rFonts w:ascii="宋体"/>
        </w:rPr>
        <w:t>管道的闭水试验和满水实验；</w:t>
      </w:r>
    </w:p>
    <w:p>
      <w:pPr>
        <w:pStyle w:val="1280"/>
        <w:rPr>
          <w:rFonts w:ascii="宋体"/>
        </w:rPr>
      </w:pPr>
      <w:r>
        <w:rPr>
          <w:rFonts w:ascii="宋体"/>
        </w:rPr>
        <w:t>所有本合同文件所要求和规定进行的产品测试。</w:t>
      </w:r>
    </w:p>
    <w:p>
      <w:pPr>
        <w:pStyle w:val="1280"/>
        <w:rPr>
          <w:rFonts w:ascii="宋体"/>
        </w:rPr>
      </w:pPr>
      <w:r>
        <w:rPr>
          <w:rFonts w:ascii="宋体"/>
        </w:rPr>
        <w:t>承包商应应按照合同技术规范的约定经常进行采样和测试以控制工程质量，工程还应按照国家的有关规定由项目监理或业主进行见证取样送检试验，这些工作的费用应视为已经包含在合同价中。</w:t>
      </w:r>
    </w:p>
    <w:p>
      <w:pPr>
        <w:pStyle w:val="1281"/>
        <w:outlineLvl w:val="0"/>
        <w:rPr>
          <w:rFonts w:ascii="宋体" w:hAnsi="宋体"/>
          <w:color w:val="auto"/>
        </w:rPr>
      </w:pPr>
      <w:bookmarkStart w:id="868" w:name="_Toc397761374"/>
      <w:bookmarkStart w:id="869" w:name="_Toc395403925"/>
      <w:bookmarkStart w:id="870" w:name="_Toc395421350"/>
      <w:bookmarkStart w:id="871" w:name="_Toc395512351"/>
      <w:bookmarkStart w:id="872" w:name="_Toc395592652"/>
      <w:bookmarkStart w:id="873" w:name="_Toc395693008"/>
      <w:bookmarkStart w:id="874" w:name="_Toc395693212"/>
      <w:bookmarkStart w:id="875" w:name="_Toc396006282"/>
      <w:bookmarkStart w:id="876" w:name="_Toc396110410"/>
      <w:bookmarkStart w:id="877" w:name="_Toc396282843"/>
      <w:bookmarkStart w:id="878" w:name="_Toc396284798"/>
      <w:bookmarkStart w:id="879" w:name="_Toc397138382"/>
      <w:bookmarkStart w:id="880" w:name="_Toc43107473"/>
      <w:bookmarkStart w:id="881" w:name="_Toc164502034"/>
      <w:bookmarkStart w:id="882" w:name="_Toc398523315"/>
      <w:bookmarkStart w:id="883" w:name="_Toc518376497"/>
      <w:bookmarkStart w:id="884" w:name="_Toc398453515"/>
      <w:bookmarkStart w:id="885" w:name="_Toc517382449"/>
      <w:bookmarkStart w:id="886" w:name="_Toc16242290"/>
      <w:bookmarkStart w:id="887" w:name="_Toc165179454"/>
      <w:bookmarkStart w:id="888" w:name="_Toc521492675"/>
      <w:bookmarkStart w:id="889" w:name="_Toc521493349"/>
      <w:bookmarkStart w:id="890" w:name="_Toc521491818"/>
      <w:bookmarkStart w:id="891" w:name="_Toc106883003"/>
      <w:bookmarkStart w:id="892" w:name="_Toc397138391"/>
      <w:bookmarkStart w:id="893" w:name="_Toc395403934"/>
      <w:bookmarkStart w:id="894" w:name="_Toc397761383"/>
      <w:bookmarkStart w:id="895" w:name="_Toc164502042"/>
      <w:bookmarkStart w:id="896" w:name="_Toc398453524"/>
      <w:bookmarkStart w:id="897" w:name="_Toc395693017"/>
      <w:bookmarkStart w:id="898" w:name="_Toc395512360"/>
      <w:bookmarkStart w:id="899" w:name="_Toc43107482"/>
      <w:bookmarkStart w:id="900" w:name="_Toc396284807"/>
      <w:bookmarkStart w:id="901" w:name="_Toc398523324"/>
      <w:bookmarkStart w:id="902" w:name="_Toc16242299"/>
      <w:bookmarkStart w:id="903" w:name="_Toc395421359"/>
      <w:bookmarkStart w:id="904" w:name="_Toc395693221"/>
      <w:bookmarkStart w:id="905" w:name="_Toc396006291"/>
      <w:bookmarkStart w:id="906" w:name="_Toc396110419"/>
      <w:bookmarkStart w:id="907" w:name="_Toc395592661"/>
      <w:bookmarkStart w:id="908" w:name="_Toc396282852"/>
      <w:r>
        <w:rPr>
          <w:rFonts w:ascii="宋体" w:hAnsi="宋体"/>
          <w:color w:val="auto"/>
        </w:rPr>
        <w:t>1.11 图纸</w:t>
      </w:r>
      <w:bookmarkEnd w:id="868"/>
      <w:bookmarkEnd w:id="869"/>
      <w:bookmarkEnd w:id="870"/>
      <w:bookmarkEnd w:id="871"/>
      <w:bookmarkEnd w:id="872"/>
      <w:bookmarkEnd w:id="873"/>
      <w:bookmarkEnd w:id="874"/>
      <w:bookmarkEnd w:id="875"/>
      <w:bookmarkEnd w:id="876"/>
      <w:bookmarkEnd w:id="877"/>
      <w:bookmarkEnd w:id="878"/>
      <w:bookmarkEnd w:id="879"/>
      <w:r>
        <w:rPr>
          <w:rFonts w:ascii="宋体" w:hAnsi="宋体"/>
          <w:color w:val="auto"/>
        </w:rPr>
        <w:t>呈交</w:t>
      </w:r>
      <w:bookmarkEnd w:id="880"/>
      <w:bookmarkEnd w:id="881"/>
      <w:bookmarkEnd w:id="882"/>
      <w:bookmarkEnd w:id="883"/>
      <w:bookmarkEnd w:id="884"/>
      <w:bookmarkEnd w:id="885"/>
      <w:bookmarkEnd w:id="886"/>
      <w:bookmarkEnd w:id="887"/>
      <w:bookmarkEnd w:id="888"/>
      <w:bookmarkEnd w:id="889"/>
      <w:bookmarkEnd w:id="890"/>
      <w:bookmarkEnd w:id="891"/>
    </w:p>
    <w:p>
      <w:pPr>
        <w:pStyle w:val="1284"/>
        <w:outlineLvl w:val="0"/>
        <w:rPr>
          <w:rFonts w:ascii="宋体" w:hAnsi="宋体"/>
        </w:rPr>
      </w:pPr>
      <w:bookmarkStart w:id="909" w:name="_Toc43107474"/>
      <w:bookmarkStart w:id="910" w:name="_Toc164502035"/>
      <w:bookmarkStart w:id="911" w:name="_Toc521493350"/>
      <w:bookmarkStart w:id="912" w:name="_Toc521491819"/>
      <w:bookmarkStart w:id="913" w:name="_Toc521492676"/>
      <w:bookmarkStart w:id="914" w:name="_Toc395592653"/>
      <w:bookmarkStart w:id="915" w:name="_Toc16242291"/>
      <w:bookmarkStart w:id="916" w:name="_Toc518376498"/>
      <w:bookmarkStart w:id="917" w:name="_Toc396110411"/>
      <w:bookmarkStart w:id="918" w:name="_Toc395693213"/>
      <w:bookmarkStart w:id="919" w:name="_Toc395421351"/>
      <w:bookmarkStart w:id="920" w:name="_Toc395403926"/>
      <w:bookmarkStart w:id="921" w:name="_Toc165179455"/>
      <w:bookmarkStart w:id="922" w:name="_Toc517382450"/>
      <w:bookmarkStart w:id="923" w:name="_Toc395512352"/>
      <w:bookmarkStart w:id="924" w:name="_Toc398523316"/>
      <w:bookmarkStart w:id="925" w:name="_Toc398453516"/>
      <w:bookmarkStart w:id="926" w:name="_Toc397761375"/>
      <w:bookmarkStart w:id="927" w:name="_Toc397138383"/>
      <w:bookmarkStart w:id="928" w:name="_Toc396282844"/>
      <w:bookmarkStart w:id="929" w:name="_Toc396284799"/>
      <w:bookmarkStart w:id="930" w:name="_Toc396006283"/>
      <w:bookmarkStart w:id="931" w:name="_Toc395693009"/>
      <w:bookmarkStart w:id="932" w:name="_Toc106883004"/>
      <w:r>
        <w:rPr>
          <w:rFonts w:ascii="宋体" w:hAnsi="宋体"/>
        </w:rPr>
        <w:t>1.11.1</w:t>
      </w:r>
      <w:r>
        <w:rPr>
          <w:rFonts w:hint="eastAsia" w:ascii="宋体" w:hAnsi="宋体"/>
        </w:rPr>
        <w:t xml:space="preserve"> </w:t>
      </w:r>
      <w:r>
        <w:rPr>
          <w:rFonts w:ascii="宋体" w:hAnsi="宋体"/>
        </w:rPr>
        <w:t>图纸一般标准</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1280"/>
        <w:rPr>
          <w:rFonts w:ascii="宋体"/>
        </w:rPr>
      </w:pPr>
      <w:r>
        <w:rPr>
          <w:rFonts w:ascii="宋体"/>
        </w:rPr>
        <w:t>承包商所提供的图纸应该符合以下标准：</w:t>
      </w:r>
    </w:p>
    <w:p>
      <w:pPr>
        <w:pStyle w:val="1280"/>
        <w:rPr>
          <w:rFonts w:ascii="宋体"/>
        </w:rPr>
      </w:pPr>
      <w:r>
        <w:rPr>
          <w:rFonts w:ascii="宋体"/>
        </w:rPr>
        <w:t>建筑制图标准</w:t>
      </w:r>
      <w:r>
        <w:rPr>
          <w:rFonts w:ascii="宋体"/>
        </w:rPr>
        <w:tab/>
      </w:r>
      <w:r>
        <w:rPr>
          <w:rFonts w:ascii="宋体"/>
        </w:rPr>
        <w:tab/>
      </w:r>
      <w:r>
        <w:rPr>
          <w:rFonts w:ascii="宋体"/>
        </w:rPr>
        <w:tab/>
      </w:r>
      <w:r>
        <w:rPr>
          <w:rFonts w:ascii="宋体"/>
        </w:rPr>
        <w:t xml:space="preserve">    GB/T</w:t>
      </w:r>
      <w:r>
        <w:rPr>
          <w:rFonts w:hint="eastAsia" w:ascii="宋体"/>
        </w:rPr>
        <w:t xml:space="preserve"> </w:t>
      </w:r>
      <w:r>
        <w:rPr>
          <w:rFonts w:ascii="宋体"/>
        </w:rPr>
        <w:t>50104-2010</w:t>
      </w:r>
    </w:p>
    <w:p>
      <w:pPr>
        <w:pStyle w:val="1280"/>
        <w:rPr>
          <w:rFonts w:ascii="宋体"/>
        </w:rPr>
      </w:pPr>
      <w:r>
        <w:rPr>
          <w:rFonts w:ascii="宋体"/>
        </w:rPr>
        <w:t>建筑结构制图标准</w:t>
      </w:r>
      <w:r>
        <w:rPr>
          <w:rFonts w:ascii="宋体"/>
        </w:rPr>
        <w:tab/>
      </w:r>
      <w:r>
        <w:rPr>
          <w:rFonts w:ascii="宋体"/>
        </w:rPr>
        <w:tab/>
      </w:r>
      <w:r>
        <w:rPr>
          <w:rFonts w:ascii="宋体"/>
        </w:rPr>
        <w:tab/>
      </w:r>
      <w:r>
        <w:rPr>
          <w:rFonts w:ascii="宋体"/>
        </w:rPr>
        <w:t>GB/T</w:t>
      </w:r>
      <w:r>
        <w:rPr>
          <w:rFonts w:hint="eastAsia" w:ascii="宋体"/>
        </w:rPr>
        <w:t xml:space="preserve"> </w:t>
      </w:r>
      <w:r>
        <w:rPr>
          <w:rFonts w:ascii="宋体"/>
        </w:rPr>
        <w:t>50105-2010</w:t>
      </w:r>
    </w:p>
    <w:p>
      <w:pPr>
        <w:pStyle w:val="1280"/>
        <w:rPr>
          <w:rFonts w:ascii="宋体"/>
        </w:rPr>
      </w:pPr>
      <w:r>
        <w:rPr>
          <w:rFonts w:ascii="宋体"/>
        </w:rPr>
        <w:t>建筑给水排水制图标准</w:t>
      </w:r>
      <w:r>
        <w:rPr>
          <w:rFonts w:ascii="宋体"/>
        </w:rPr>
        <w:tab/>
      </w:r>
      <w:r>
        <w:rPr>
          <w:rFonts w:ascii="宋体"/>
        </w:rPr>
        <w:t xml:space="preserve">    GB/T</w:t>
      </w:r>
      <w:r>
        <w:rPr>
          <w:rFonts w:hint="eastAsia" w:ascii="宋体"/>
        </w:rPr>
        <w:t xml:space="preserve"> </w:t>
      </w:r>
      <w:r>
        <w:rPr>
          <w:rFonts w:ascii="宋体"/>
        </w:rPr>
        <w:t>50106-2010</w:t>
      </w:r>
    </w:p>
    <w:p>
      <w:pPr>
        <w:pStyle w:val="1280"/>
        <w:rPr>
          <w:rFonts w:ascii="宋体"/>
        </w:rPr>
      </w:pPr>
      <w:r>
        <w:rPr>
          <w:rFonts w:ascii="宋体"/>
        </w:rPr>
        <w:t>道路工程制图标准            GB 50162-1992</w:t>
      </w:r>
    </w:p>
    <w:p>
      <w:pPr>
        <w:pStyle w:val="1280"/>
        <w:rPr>
          <w:rFonts w:ascii="宋体"/>
        </w:rPr>
      </w:pPr>
      <w:r>
        <w:rPr>
          <w:rFonts w:ascii="宋体"/>
        </w:rPr>
        <w:t>除非项目监理和业主事先同意，图纸的尺寸不应小于</w:t>
      </w:r>
      <w:r>
        <w:rPr>
          <w:rFonts w:hint="eastAsia" w:ascii="宋体"/>
        </w:rPr>
        <w:t>A4</w:t>
      </w:r>
      <w:r>
        <w:rPr>
          <w:rFonts w:ascii="宋体"/>
        </w:rPr>
        <w:t>，也不应大于</w:t>
      </w:r>
      <w:r>
        <w:rPr>
          <w:rFonts w:hint="eastAsia" w:ascii="宋体"/>
        </w:rPr>
        <w:t>A1</w:t>
      </w:r>
      <w:r>
        <w:rPr>
          <w:rFonts w:ascii="宋体"/>
        </w:rPr>
        <w:t>。</w:t>
      </w:r>
    </w:p>
    <w:p>
      <w:pPr>
        <w:pStyle w:val="1280"/>
        <w:rPr>
          <w:rFonts w:ascii="宋体"/>
        </w:rPr>
      </w:pPr>
      <w:r>
        <w:rPr>
          <w:rFonts w:ascii="宋体"/>
        </w:rPr>
        <w:t>图签应位于图纸的右下角并有足够的空间以供填入承包商名称、业主名称、项目名称、合同号、制图日期、比例、比例图示、图纸编号和图纸名称。</w:t>
      </w:r>
    </w:p>
    <w:p>
      <w:pPr>
        <w:pStyle w:val="1280"/>
        <w:rPr>
          <w:rFonts w:ascii="宋体"/>
        </w:rPr>
      </w:pPr>
      <w:r>
        <w:rPr>
          <w:rFonts w:ascii="宋体"/>
        </w:rPr>
        <w:t>在图签正上方应留150×80mm的空白以供项目监理书写说明和评语。</w:t>
      </w:r>
    </w:p>
    <w:p>
      <w:pPr>
        <w:pStyle w:val="1280"/>
        <w:rPr>
          <w:rFonts w:ascii="宋体"/>
        </w:rPr>
      </w:pPr>
      <w:r>
        <w:rPr>
          <w:rFonts w:ascii="宋体"/>
        </w:rPr>
        <w:t>在修改过的图纸上，修正的数字或字母及修改日期应一起填入图签，图中的修改部分应用小三角形清楚地标明，并在修改部分的旁边标明修正数字或字母。</w:t>
      </w:r>
    </w:p>
    <w:p>
      <w:pPr>
        <w:pStyle w:val="1280"/>
        <w:rPr>
          <w:rFonts w:ascii="宋体"/>
        </w:rPr>
      </w:pPr>
      <w:r>
        <w:rPr>
          <w:rFonts w:ascii="宋体"/>
        </w:rPr>
        <w:t>图纸上所有的尺寸应为国际米制单位。</w:t>
      </w:r>
    </w:p>
    <w:p>
      <w:pPr>
        <w:pStyle w:val="1284"/>
        <w:outlineLvl w:val="0"/>
        <w:rPr>
          <w:rFonts w:ascii="宋体" w:hAnsi="宋体"/>
        </w:rPr>
      </w:pPr>
      <w:bookmarkStart w:id="933" w:name="_Toc395421353"/>
      <w:bookmarkStart w:id="934" w:name="_Toc395512354"/>
      <w:bookmarkStart w:id="935" w:name="_Toc395403928"/>
      <w:bookmarkStart w:id="936" w:name="_Toc395592655"/>
      <w:bookmarkStart w:id="937" w:name="_Toc395693011"/>
      <w:bookmarkStart w:id="938" w:name="_Toc395693215"/>
      <w:bookmarkStart w:id="939" w:name="_Toc396006285"/>
      <w:bookmarkStart w:id="940" w:name="_Toc396110413"/>
      <w:bookmarkStart w:id="941" w:name="_Toc396282846"/>
      <w:bookmarkStart w:id="942" w:name="_Toc396284801"/>
      <w:bookmarkStart w:id="943" w:name="_Toc397138385"/>
      <w:bookmarkStart w:id="944" w:name="_Toc397761377"/>
      <w:bookmarkStart w:id="945" w:name="_Toc398453518"/>
      <w:bookmarkStart w:id="946" w:name="_Toc398523318"/>
      <w:bookmarkStart w:id="947" w:name="_Toc16242293"/>
      <w:bookmarkStart w:id="948" w:name="_Toc43107476"/>
      <w:bookmarkStart w:id="949" w:name="_Toc164502036"/>
      <w:bookmarkStart w:id="950" w:name="_Toc165179456"/>
      <w:bookmarkStart w:id="951" w:name="_Toc517382451"/>
      <w:bookmarkStart w:id="952" w:name="_Toc518376499"/>
      <w:bookmarkStart w:id="953" w:name="_Toc521491820"/>
      <w:bookmarkStart w:id="954" w:name="_Toc521492677"/>
      <w:bookmarkStart w:id="955" w:name="_Toc521493351"/>
      <w:bookmarkStart w:id="956" w:name="_Toc106883005"/>
      <w:r>
        <w:rPr>
          <w:rFonts w:ascii="宋体" w:hAnsi="宋体"/>
        </w:rPr>
        <w:t>1.11.2 投标图纸</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1280"/>
        <w:rPr>
          <w:rFonts w:ascii="宋体"/>
        </w:rPr>
      </w:pPr>
      <w:r>
        <w:rPr>
          <w:rFonts w:ascii="宋体"/>
        </w:rPr>
        <w:t>投标图纸即为承包商为说明其投标而在投标文件中补充提供的图纸。</w:t>
      </w:r>
    </w:p>
    <w:p>
      <w:pPr>
        <w:pStyle w:val="1284"/>
        <w:outlineLvl w:val="0"/>
        <w:rPr>
          <w:rFonts w:ascii="宋体" w:hAnsi="宋体"/>
        </w:rPr>
      </w:pPr>
      <w:bookmarkStart w:id="957" w:name="_Toc395403929"/>
      <w:bookmarkStart w:id="958" w:name="_Toc395421354"/>
      <w:bookmarkStart w:id="959" w:name="_Toc395512355"/>
      <w:bookmarkStart w:id="960" w:name="_Toc395592656"/>
      <w:bookmarkStart w:id="961" w:name="_Toc395693012"/>
      <w:bookmarkStart w:id="962" w:name="_Toc395693216"/>
      <w:bookmarkStart w:id="963" w:name="_Toc396006286"/>
      <w:bookmarkStart w:id="964" w:name="_Toc396110414"/>
      <w:bookmarkStart w:id="965" w:name="_Toc396282847"/>
      <w:bookmarkStart w:id="966" w:name="_Toc396284802"/>
      <w:bookmarkStart w:id="967" w:name="_Toc397138386"/>
      <w:bookmarkStart w:id="968" w:name="_Toc397761378"/>
      <w:bookmarkStart w:id="969" w:name="_Toc398453519"/>
      <w:bookmarkStart w:id="970" w:name="_Toc398523319"/>
      <w:bookmarkStart w:id="971" w:name="_Toc16242294"/>
      <w:bookmarkStart w:id="972" w:name="_Toc43107477"/>
      <w:bookmarkStart w:id="973" w:name="_Toc164502037"/>
      <w:bookmarkStart w:id="974" w:name="_Toc165179457"/>
      <w:bookmarkStart w:id="975" w:name="_Toc517382452"/>
      <w:bookmarkStart w:id="976" w:name="_Toc518376500"/>
      <w:bookmarkStart w:id="977" w:name="_Toc521491821"/>
      <w:bookmarkStart w:id="978" w:name="_Toc521492678"/>
      <w:bookmarkStart w:id="979" w:name="_Toc521493352"/>
      <w:bookmarkStart w:id="980" w:name="_Toc106883006"/>
      <w:r>
        <w:rPr>
          <w:rFonts w:ascii="宋体" w:hAnsi="宋体"/>
        </w:rPr>
        <w:t>1.11.3 合同图纸</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1280"/>
        <w:rPr>
          <w:rFonts w:ascii="宋体"/>
        </w:rPr>
      </w:pPr>
      <w:r>
        <w:rPr>
          <w:rFonts w:ascii="宋体"/>
        </w:rPr>
        <w:t>合同图纸将成为合同文件的一部分，其组成为：招、投标图纸，招标过程中由投标人提出并经业主或业主委派的工程项目监理同意后的设计或设计修改，并被纳入合同文件的部分；承包商和业主在合同实施前进行谈判的结果。合同规定的本工程所使用的国家标准图集也为合同图纸的一部分，但不提供给承包商。</w:t>
      </w:r>
    </w:p>
    <w:p>
      <w:pPr>
        <w:pStyle w:val="1284"/>
        <w:outlineLvl w:val="0"/>
        <w:rPr>
          <w:rFonts w:ascii="宋体" w:hAnsi="宋体"/>
        </w:rPr>
      </w:pPr>
      <w:bookmarkStart w:id="981" w:name="_Toc395403930"/>
      <w:bookmarkStart w:id="982" w:name="_Toc395421355"/>
      <w:bookmarkStart w:id="983" w:name="_Toc395512356"/>
      <w:bookmarkStart w:id="984" w:name="_Toc395592657"/>
      <w:bookmarkStart w:id="985" w:name="_Toc395693013"/>
      <w:bookmarkStart w:id="986" w:name="_Toc395693217"/>
      <w:bookmarkStart w:id="987" w:name="_Toc396006287"/>
      <w:bookmarkStart w:id="988" w:name="_Toc396110415"/>
      <w:bookmarkStart w:id="989" w:name="_Toc396282848"/>
      <w:bookmarkStart w:id="990" w:name="_Toc396284803"/>
      <w:bookmarkStart w:id="991" w:name="_Toc397138387"/>
      <w:bookmarkStart w:id="992" w:name="_Toc397761379"/>
      <w:bookmarkStart w:id="993" w:name="_Toc398453520"/>
      <w:bookmarkStart w:id="994" w:name="_Toc398523320"/>
      <w:bookmarkStart w:id="995" w:name="_Toc16242295"/>
      <w:bookmarkStart w:id="996" w:name="_Toc43107478"/>
      <w:bookmarkStart w:id="997" w:name="_Toc164502038"/>
      <w:bookmarkStart w:id="998" w:name="_Toc165179458"/>
      <w:bookmarkStart w:id="999" w:name="_Toc517382453"/>
      <w:bookmarkStart w:id="1000" w:name="_Toc518376501"/>
      <w:bookmarkStart w:id="1001" w:name="_Toc521491822"/>
      <w:bookmarkStart w:id="1002" w:name="_Toc521492679"/>
      <w:bookmarkStart w:id="1003" w:name="_Toc521493353"/>
      <w:bookmarkStart w:id="1004" w:name="_Toc106883007"/>
      <w:r>
        <w:rPr>
          <w:rFonts w:ascii="宋体" w:hAnsi="宋体"/>
        </w:rPr>
        <w:t>1.11.4 承包商设计图纸</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1280"/>
        <w:rPr>
          <w:rFonts w:ascii="宋体"/>
          <w:snapToGrid w:val="0"/>
          <w:kern w:val="52"/>
        </w:rPr>
      </w:pPr>
      <w:r>
        <w:rPr>
          <w:rFonts w:ascii="宋体"/>
        </w:rPr>
        <w:t>业主要求本工程应严格按照合同图纸的设计来进行施工。然而，承包商可以在工程中进行现场详细设计的部分或对需要进行澄清的部分绘制成图并提交给项目监理和业主检查批准。这些图纸可能涉及场平、框架结构、护堤、埋管敷设、架管敷设、工地准备及其它方面，统称为“承包商设计图纸”。</w:t>
      </w:r>
    </w:p>
    <w:p>
      <w:pPr>
        <w:pStyle w:val="1280"/>
        <w:rPr>
          <w:rFonts w:ascii="宋体"/>
        </w:rPr>
      </w:pPr>
      <w:r>
        <w:rPr>
          <w:rFonts w:ascii="宋体"/>
        </w:rPr>
        <w:t>如果在施工过程中需要对已审批过的承包商设计图纸进行修改，承包商应按有关要求完成修改并及时地提交给项目监理和业主审查。承包商所有的图纸费用都应被认为已包括在了合同报价中。</w:t>
      </w:r>
    </w:p>
    <w:p>
      <w:pPr>
        <w:pStyle w:val="1280"/>
        <w:rPr>
          <w:rFonts w:ascii="宋体"/>
        </w:rPr>
      </w:pPr>
      <w:r>
        <w:rPr>
          <w:rFonts w:ascii="宋体"/>
        </w:rPr>
        <w:t>承包完善上述部分工作不能作为额外增加费用的依据。</w:t>
      </w:r>
    </w:p>
    <w:p>
      <w:pPr>
        <w:pStyle w:val="1284"/>
        <w:outlineLvl w:val="0"/>
        <w:rPr>
          <w:rFonts w:ascii="宋体" w:hAnsi="宋体"/>
        </w:rPr>
      </w:pPr>
      <w:bookmarkStart w:id="1005" w:name="_Toc395403931"/>
      <w:bookmarkStart w:id="1006" w:name="_Toc395421356"/>
      <w:bookmarkStart w:id="1007" w:name="_Toc395512357"/>
      <w:bookmarkStart w:id="1008" w:name="_Toc395592658"/>
      <w:bookmarkStart w:id="1009" w:name="_Toc395693014"/>
      <w:bookmarkStart w:id="1010" w:name="_Toc395693218"/>
      <w:bookmarkStart w:id="1011" w:name="_Toc396006288"/>
      <w:bookmarkStart w:id="1012" w:name="_Toc396110416"/>
      <w:bookmarkStart w:id="1013" w:name="_Toc396282849"/>
      <w:bookmarkStart w:id="1014" w:name="_Toc396284804"/>
      <w:bookmarkStart w:id="1015" w:name="_Toc397138388"/>
      <w:bookmarkStart w:id="1016" w:name="_Toc397761380"/>
      <w:bookmarkStart w:id="1017" w:name="_Toc398453521"/>
      <w:bookmarkStart w:id="1018" w:name="_Toc398523321"/>
      <w:bookmarkStart w:id="1019" w:name="_Toc16242296"/>
      <w:bookmarkStart w:id="1020" w:name="_Toc43107479"/>
      <w:bookmarkStart w:id="1021" w:name="_Toc164502039"/>
      <w:bookmarkStart w:id="1022" w:name="_Toc165179459"/>
      <w:bookmarkStart w:id="1023" w:name="_Toc517382454"/>
      <w:bookmarkStart w:id="1024" w:name="_Toc518376502"/>
      <w:bookmarkStart w:id="1025" w:name="_Toc521491823"/>
      <w:bookmarkStart w:id="1026" w:name="_Toc521492680"/>
      <w:bookmarkStart w:id="1027" w:name="_Toc521493354"/>
      <w:bookmarkStart w:id="1028" w:name="_Toc106883008"/>
      <w:r>
        <w:rPr>
          <w:rFonts w:ascii="宋体" w:hAnsi="宋体"/>
        </w:rPr>
        <w:t>1.11.5 图纸的批准</w:t>
      </w:r>
      <w:bookmarkEnd w:id="1005"/>
      <w:bookmarkEnd w:id="1006"/>
      <w:bookmarkEnd w:id="1007"/>
      <w:bookmarkEnd w:id="1008"/>
      <w:bookmarkEnd w:id="1009"/>
      <w:bookmarkEnd w:id="1010"/>
      <w:bookmarkEnd w:id="1011"/>
      <w:bookmarkEnd w:id="1012"/>
      <w:bookmarkEnd w:id="1013"/>
      <w:bookmarkEnd w:id="1014"/>
      <w:r>
        <w:rPr>
          <w:rFonts w:ascii="宋体" w:hAnsi="宋体"/>
        </w:rPr>
        <w:t>程序</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1280"/>
        <w:rPr>
          <w:rFonts w:ascii="宋体"/>
        </w:rPr>
      </w:pPr>
      <w:r>
        <w:rPr>
          <w:rFonts w:ascii="宋体"/>
        </w:rPr>
        <w:t>承包商应向项目监理和业主提供其投标文件中有关施工、材料和设备的承包商设计图纸以供审查，所提交的图纸应为1式6份。在此使用的“承包商设计图纸”应被理解为包括但不限于详细设计计算、施工详图、清单、图表和操作说明等，这些图纸应达到一定的详细程度，以使项目监理和业主能够判断它们是否满足本技术规范的要求。</w:t>
      </w:r>
    </w:p>
    <w:p>
      <w:pPr>
        <w:pStyle w:val="1280"/>
        <w:rPr>
          <w:rFonts w:ascii="宋体"/>
        </w:rPr>
      </w:pPr>
      <w:r>
        <w:rPr>
          <w:rFonts w:ascii="宋体"/>
        </w:rPr>
        <w:t>在其收到了授予合同的通知后，承包商可以选择提交承包商设计图纸的具体日期，但这些图纸必须在承包商正式开始执行本合同前28天提交。</w:t>
      </w:r>
    </w:p>
    <w:p>
      <w:pPr>
        <w:pStyle w:val="1280"/>
        <w:rPr>
          <w:rFonts w:ascii="宋体"/>
        </w:rPr>
      </w:pPr>
      <w:r>
        <w:rPr>
          <w:rFonts w:ascii="宋体"/>
        </w:rPr>
        <w:t>承包商可以委托一个材料或设备分包商就承包商设计图与项目监理和业主直接联系，但是，对于分包商所提供文件的准确性和完整性，承包商必须承担最终责任。</w:t>
      </w:r>
    </w:p>
    <w:p>
      <w:pPr>
        <w:pStyle w:val="1280"/>
        <w:rPr>
          <w:rFonts w:ascii="宋体"/>
        </w:rPr>
      </w:pPr>
      <w:r>
        <w:rPr>
          <w:rFonts w:ascii="宋体"/>
        </w:rPr>
        <w:t>在收到上述承包商设计图纸后28天内，项目监理将把一套带有项目监理和业主审查意见的完整图纸返回给承包商。</w:t>
      </w:r>
    </w:p>
    <w:p>
      <w:pPr>
        <w:pStyle w:val="1280"/>
        <w:rPr>
          <w:rFonts w:ascii="宋体"/>
        </w:rPr>
      </w:pPr>
      <w:r>
        <w:rPr>
          <w:rFonts w:ascii="宋体"/>
        </w:rPr>
        <w:t>如果返回给承包商的图纸上标有“同意”或“修改所标出的错误”，则此图纸不需要进行正式修改。</w:t>
      </w:r>
    </w:p>
    <w:p>
      <w:pPr>
        <w:pStyle w:val="1280"/>
        <w:rPr>
          <w:rFonts w:ascii="宋体"/>
        </w:rPr>
      </w:pPr>
      <w:r>
        <w:rPr>
          <w:rFonts w:ascii="宋体"/>
        </w:rPr>
        <w:t>如果返回给承包商的图纸上标有“修改并重交”或“被拒绝－请重交”，则承包商须修改上述图纸并重新提交1式6份上述图纸的修改稿以供项目监理和业主进一步审查。</w:t>
      </w:r>
    </w:p>
    <w:p>
      <w:pPr>
        <w:pStyle w:val="1280"/>
        <w:rPr>
          <w:rFonts w:ascii="宋体"/>
        </w:rPr>
      </w:pPr>
      <w:r>
        <w:rPr>
          <w:rFonts w:ascii="宋体"/>
        </w:rPr>
        <w:t>在项目监理和业主审查完承包商设计图纸并将标有“同意”或“修改所标出的错误”的图纸返回给承包商之前，承包商不得开始任何施工工作，由此导致的工期延长及损失由承包商承担责任。</w:t>
      </w:r>
    </w:p>
    <w:p>
      <w:pPr>
        <w:pStyle w:val="1280"/>
        <w:rPr>
          <w:rFonts w:ascii="宋体"/>
        </w:rPr>
      </w:pPr>
      <w:r>
        <w:rPr>
          <w:rFonts w:ascii="宋体"/>
        </w:rPr>
        <w:t>项目监理和业主在承包商设计图纸上标出的修改意见应被认为是为达到本技术规范要求而需进行的必要修改，承包商不得将此作为额外工作处理。如果由于对承包商设计图纸进行所要求的修改而导致了某种损失或误期，承包商不得由此提出索赔要求。</w:t>
      </w:r>
    </w:p>
    <w:p>
      <w:pPr>
        <w:pStyle w:val="1280"/>
        <w:rPr>
          <w:rFonts w:ascii="宋体"/>
        </w:rPr>
      </w:pPr>
      <w:r>
        <w:rPr>
          <w:rFonts w:ascii="宋体"/>
        </w:rPr>
        <w:t>项目监理和业主对上述图纸的审查仅限于一般设计，并不因此而免除承包商对图纸中所包含的错误或疏漏应负的责任，也不因此而放弃或修改本合同和本技术规范中的条件或要求。</w:t>
      </w:r>
    </w:p>
    <w:p>
      <w:pPr>
        <w:pStyle w:val="1284"/>
        <w:outlineLvl w:val="0"/>
        <w:rPr>
          <w:rFonts w:ascii="宋体" w:hAnsi="宋体"/>
        </w:rPr>
      </w:pPr>
      <w:bookmarkStart w:id="1029" w:name="_Toc395403932"/>
      <w:bookmarkStart w:id="1030" w:name="_Toc395421357"/>
      <w:bookmarkStart w:id="1031" w:name="_Toc395512358"/>
      <w:bookmarkStart w:id="1032" w:name="_Toc395592659"/>
      <w:bookmarkStart w:id="1033" w:name="_Toc395693015"/>
      <w:bookmarkStart w:id="1034" w:name="_Toc395693219"/>
      <w:bookmarkStart w:id="1035" w:name="_Toc396006289"/>
      <w:bookmarkStart w:id="1036" w:name="_Toc396110417"/>
      <w:bookmarkStart w:id="1037" w:name="_Toc396282850"/>
      <w:bookmarkStart w:id="1038" w:name="_Toc396284805"/>
      <w:bookmarkStart w:id="1039" w:name="_Toc397138389"/>
      <w:bookmarkStart w:id="1040" w:name="_Toc397761381"/>
      <w:bookmarkStart w:id="1041" w:name="_Toc398453522"/>
      <w:bookmarkStart w:id="1042" w:name="_Toc398523322"/>
      <w:bookmarkStart w:id="1043" w:name="_Toc16242297"/>
      <w:bookmarkStart w:id="1044" w:name="_Toc43107480"/>
      <w:bookmarkStart w:id="1045" w:name="_Toc164502040"/>
      <w:bookmarkStart w:id="1046" w:name="_Toc165179460"/>
      <w:bookmarkStart w:id="1047" w:name="_Toc517382455"/>
      <w:bookmarkStart w:id="1048" w:name="_Toc518376503"/>
      <w:bookmarkStart w:id="1049" w:name="_Toc521491824"/>
      <w:bookmarkStart w:id="1050" w:name="_Toc521492681"/>
      <w:bookmarkStart w:id="1051" w:name="_Toc521493355"/>
      <w:bookmarkStart w:id="1052" w:name="_Toc106883009"/>
      <w:r>
        <w:rPr>
          <w:rFonts w:ascii="宋体" w:hAnsi="宋体"/>
        </w:rPr>
        <w:t>1.11.6 竣工图纸</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1280"/>
        <w:rPr>
          <w:rFonts w:ascii="宋体"/>
        </w:rPr>
      </w:pPr>
      <w:r>
        <w:rPr>
          <w:rFonts w:ascii="宋体"/>
        </w:rPr>
        <w:t>在项目监理和业主发出完工证书前，承包商应向项目监理和业主提交包括了施工过程各个方面的竣工图纸。在本工程的施工期间，承包商应在原图纸上记录所有的修改和更正以及实际细节的尺寸、大小和图示，并应提供一套完整、精确的永久性工程记录。上述图纸称为竣工图纸。</w:t>
      </w:r>
    </w:p>
    <w:p>
      <w:pPr>
        <w:pStyle w:val="1280"/>
        <w:rPr>
          <w:rFonts w:ascii="宋体"/>
        </w:rPr>
      </w:pPr>
      <w:r>
        <w:rPr>
          <w:rFonts w:ascii="宋体"/>
        </w:rPr>
        <w:t>在工程完工前14天内，承包商应向项目监理和业主提交一套完整的竣工图纸，这些图纸应按项目监理和业主所批准的方法进行编号，图纸上的细节应带有精确的施工记录。经项目监理和业主批准后，承包商应提交1式6份竣工图纸。这些图纸包括工程布置总图：其上应按建成后的实际情况记录；工程总体布局：每一主要结构(包括附属结构和基础)的细节，所有工程细节；项目监理所要求的其它图纸。</w:t>
      </w:r>
    </w:p>
    <w:p>
      <w:pPr>
        <w:pStyle w:val="1284"/>
        <w:outlineLvl w:val="0"/>
        <w:rPr>
          <w:rFonts w:ascii="宋体" w:hAnsi="宋体"/>
        </w:rPr>
      </w:pPr>
      <w:bookmarkStart w:id="1053" w:name="_Toc395403933"/>
      <w:bookmarkStart w:id="1054" w:name="_Toc395421358"/>
      <w:bookmarkStart w:id="1055" w:name="_Toc395512359"/>
      <w:bookmarkStart w:id="1056" w:name="_Toc395592660"/>
      <w:bookmarkStart w:id="1057" w:name="_Toc395693016"/>
      <w:bookmarkStart w:id="1058" w:name="_Toc395693220"/>
      <w:bookmarkStart w:id="1059" w:name="_Toc396006290"/>
      <w:bookmarkStart w:id="1060" w:name="_Toc396110418"/>
      <w:bookmarkStart w:id="1061" w:name="_Toc396282851"/>
      <w:bookmarkStart w:id="1062" w:name="_Toc396284806"/>
      <w:bookmarkStart w:id="1063" w:name="_Toc397138390"/>
      <w:bookmarkStart w:id="1064" w:name="_Toc397761382"/>
      <w:bookmarkStart w:id="1065" w:name="_Toc398453523"/>
      <w:bookmarkStart w:id="1066" w:name="_Toc398523323"/>
      <w:bookmarkStart w:id="1067" w:name="_Toc16242298"/>
      <w:bookmarkStart w:id="1068" w:name="_Toc43107481"/>
      <w:bookmarkStart w:id="1069" w:name="_Toc164502041"/>
      <w:bookmarkStart w:id="1070" w:name="_Toc165179461"/>
      <w:bookmarkStart w:id="1071" w:name="_Toc517382456"/>
      <w:bookmarkStart w:id="1072" w:name="_Toc518376504"/>
      <w:bookmarkStart w:id="1073" w:name="_Toc521491825"/>
      <w:bookmarkStart w:id="1074" w:name="_Toc521492682"/>
      <w:bookmarkStart w:id="1075" w:name="_Toc521493356"/>
      <w:bookmarkStart w:id="1076" w:name="_Toc106883010"/>
      <w:r>
        <w:rPr>
          <w:rFonts w:ascii="宋体" w:hAnsi="宋体"/>
        </w:rPr>
        <w:t>1.11.7 承包商提交的图纸和其它文件</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1280"/>
        <w:rPr>
          <w:rFonts w:ascii="宋体"/>
        </w:rPr>
      </w:pPr>
      <w:r>
        <w:rPr>
          <w:rFonts w:ascii="宋体"/>
        </w:rPr>
        <w:t>除非项目监理或业主另有要求，承包商应向业主和项目监理代表提供下列图纸和文件：</w:t>
      </w:r>
    </w:p>
    <w:p>
      <w:pPr>
        <w:pStyle w:val="1280"/>
        <w:rPr>
          <w:rFonts w:ascii="宋体"/>
        </w:rPr>
      </w:pPr>
      <w:r>
        <w:rPr>
          <w:rFonts w:ascii="宋体"/>
        </w:rPr>
        <w:t>详细施工</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hint="eastAsia" w:ascii="宋体"/>
        </w:rPr>
        <w:tab/>
      </w:r>
      <w:r>
        <w:rPr>
          <w:rFonts w:hint="eastAsia" w:ascii="宋体"/>
        </w:rPr>
        <w:tab/>
      </w:r>
      <w:r>
        <w:rPr>
          <w:rFonts w:ascii="宋体"/>
        </w:rPr>
        <w:t>6份</w:t>
      </w:r>
    </w:p>
    <w:p>
      <w:pPr>
        <w:pStyle w:val="1280"/>
        <w:rPr>
          <w:rFonts w:ascii="宋体"/>
        </w:rPr>
      </w:pPr>
      <w:r>
        <w:rPr>
          <w:rFonts w:ascii="宋体"/>
        </w:rPr>
        <w:t>工程施工计划</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hint="eastAsia" w:ascii="宋体"/>
        </w:rPr>
        <w:tab/>
      </w:r>
      <w:r>
        <w:rPr>
          <w:rFonts w:hint="eastAsia" w:ascii="宋体"/>
        </w:rPr>
        <w:tab/>
      </w:r>
      <w:r>
        <w:rPr>
          <w:rFonts w:ascii="宋体"/>
        </w:rPr>
        <w:t>6份</w:t>
      </w:r>
    </w:p>
    <w:p>
      <w:pPr>
        <w:pStyle w:val="1280"/>
        <w:rPr>
          <w:rFonts w:ascii="宋体"/>
        </w:rPr>
      </w:pPr>
      <w:r>
        <w:rPr>
          <w:rFonts w:ascii="宋体"/>
        </w:rPr>
        <w:t>临时性工程设计</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hint="eastAsia" w:ascii="宋体"/>
        </w:rPr>
        <w:tab/>
      </w:r>
      <w:r>
        <w:rPr>
          <w:rFonts w:hint="eastAsia" w:ascii="宋体"/>
        </w:rPr>
        <w:tab/>
      </w:r>
      <w:r>
        <w:rPr>
          <w:rFonts w:ascii="宋体"/>
        </w:rPr>
        <w:t>6份</w:t>
      </w:r>
    </w:p>
    <w:p>
      <w:pPr>
        <w:pStyle w:val="1280"/>
        <w:rPr>
          <w:rFonts w:ascii="宋体"/>
        </w:rPr>
      </w:pPr>
      <w:r>
        <w:rPr>
          <w:rFonts w:ascii="宋体"/>
        </w:rPr>
        <w:t>工程质量自检记录及项目监理的评价</w:t>
      </w:r>
      <w:r>
        <w:rPr>
          <w:rFonts w:ascii="宋体"/>
        </w:rPr>
        <w:tab/>
      </w:r>
      <w:r>
        <w:rPr>
          <w:rFonts w:ascii="宋体"/>
        </w:rPr>
        <w:tab/>
      </w:r>
      <w:r>
        <w:rPr>
          <w:rFonts w:ascii="宋体"/>
        </w:rPr>
        <w:tab/>
      </w:r>
      <w:r>
        <w:rPr>
          <w:rFonts w:ascii="宋体"/>
        </w:rPr>
        <w:t xml:space="preserve">                6份</w:t>
      </w:r>
    </w:p>
    <w:p>
      <w:pPr>
        <w:pStyle w:val="1280"/>
        <w:rPr>
          <w:rFonts w:ascii="宋体"/>
        </w:rPr>
      </w:pPr>
      <w:r>
        <w:rPr>
          <w:rFonts w:ascii="宋体"/>
        </w:rPr>
        <w:t>材料质量证书和测试报告</w:t>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hint="eastAsia" w:ascii="宋体"/>
        </w:rPr>
        <w:tab/>
      </w:r>
      <w:r>
        <w:rPr>
          <w:rFonts w:ascii="宋体"/>
        </w:rPr>
        <w:t>6份</w:t>
      </w:r>
    </w:p>
    <w:p>
      <w:pPr>
        <w:pStyle w:val="1280"/>
        <w:rPr>
          <w:rFonts w:ascii="宋体"/>
        </w:rPr>
      </w:pPr>
      <w:r>
        <w:rPr>
          <w:rFonts w:ascii="宋体"/>
        </w:rPr>
        <w:t>竣工测量报告</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hint="eastAsia" w:ascii="宋体"/>
        </w:rPr>
        <w:tab/>
      </w:r>
      <w:r>
        <w:rPr>
          <w:rFonts w:ascii="宋体"/>
        </w:rPr>
        <w:t>6份</w:t>
      </w:r>
    </w:p>
    <w:p>
      <w:pPr>
        <w:pStyle w:val="1280"/>
        <w:rPr>
          <w:rFonts w:ascii="宋体"/>
        </w:rPr>
      </w:pPr>
      <w:r>
        <w:rPr>
          <w:rFonts w:ascii="宋体"/>
        </w:rPr>
        <w:t>竣工图纸</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hint="eastAsia" w:ascii="宋体"/>
        </w:rPr>
        <w:tab/>
      </w:r>
      <w:r>
        <w:rPr>
          <w:rFonts w:ascii="宋体"/>
        </w:rPr>
        <w:t>6份</w:t>
      </w:r>
    </w:p>
    <w:p>
      <w:pPr>
        <w:pStyle w:val="1280"/>
        <w:rPr>
          <w:rFonts w:ascii="宋体"/>
        </w:rPr>
      </w:pPr>
      <w:r>
        <w:rPr>
          <w:rFonts w:ascii="宋体"/>
        </w:rPr>
        <w:t>工程验收时承包商所填写的文件和记录的移交清单</w:t>
      </w:r>
      <w:r>
        <w:rPr>
          <w:rFonts w:ascii="宋体"/>
        </w:rPr>
        <w:tab/>
      </w:r>
      <w:r>
        <w:rPr>
          <w:rFonts w:ascii="宋体"/>
        </w:rPr>
        <w:tab/>
      </w:r>
      <w:r>
        <w:rPr>
          <w:rFonts w:ascii="宋体"/>
        </w:rPr>
        <w:t>6份</w:t>
      </w:r>
    </w:p>
    <w:p>
      <w:pPr>
        <w:pStyle w:val="1280"/>
        <w:rPr>
          <w:rFonts w:ascii="宋体"/>
        </w:rPr>
      </w:pPr>
      <w:r>
        <w:rPr>
          <w:rFonts w:ascii="宋体"/>
        </w:rPr>
        <w:t>其它可能需要提供的文件</w:t>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hint="eastAsia" w:ascii="宋体"/>
        </w:rPr>
        <w:tab/>
      </w:r>
      <w:r>
        <w:rPr>
          <w:rFonts w:ascii="宋体"/>
        </w:rPr>
        <w:t>6份</w:t>
      </w:r>
    </w:p>
    <w:p>
      <w:pPr>
        <w:pStyle w:val="1280"/>
        <w:rPr>
          <w:rFonts w:ascii="宋体"/>
        </w:rPr>
      </w:pPr>
      <w:r>
        <w:rPr>
          <w:rFonts w:ascii="宋体"/>
        </w:rPr>
        <w:t>承包商提交的所有文件必须符合本技术规范的要求，并得到项目监理和业主的同意。与上述图纸和文件相关的费用应分别计入与图纸内容相关的各个项目中。建设工程文件归档整理应符合国家标准《城市建设档案著录规范》</w:t>
      </w:r>
      <w:r>
        <w:rPr>
          <w:rFonts w:hint="eastAsia" w:ascii="宋体"/>
        </w:rPr>
        <w:t>（</w:t>
      </w:r>
      <w:r>
        <w:rPr>
          <w:rFonts w:ascii="宋体"/>
        </w:rPr>
        <w:t>GB/T 50323-2001</w:t>
      </w:r>
      <w:r>
        <w:rPr>
          <w:rFonts w:hint="eastAsia" w:ascii="宋体"/>
        </w:rPr>
        <w:t>）</w:t>
      </w:r>
      <w:r>
        <w:rPr>
          <w:rFonts w:ascii="宋体"/>
        </w:rPr>
        <w:t>的要求以及当地档案馆的规定。业主将不另外支付任何费用。</w:t>
      </w:r>
    </w:p>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Pr>
        <w:pStyle w:val="1281"/>
        <w:outlineLvl w:val="0"/>
        <w:rPr>
          <w:rFonts w:ascii="宋体" w:hAnsi="宋体"/>
          <w:color w:val="auto"/>
        </w:rPr>
      </w:pPr>
      <w:bookmarkStart w:id="1077" w:name="_Toc517382457"/>
      <w:bookmarkStart w:id="1078" w:name="_Toc518376505"/>
      <w:bookmarkStart w:id="1079" w:name="_Toc521491826"/>
      <w:bookmarkStart w:id="1080" w:name="_Toc521492683"/>
      <w:bookmarkStart w:id="1081" w:name="_Toc521493357"/>
      <w:bookmarkStart w:id="1082" w:name="_Toc106883011"/>
      <w:bookmarkStart w:id="1083" w:name="_Toc395403936"/>
      <w:bookmarkStart w:id="1084" w:name="_Toc395421361"/>
      <w:bookmarkStart w:id="1085" w:name="_Toc395512362"/>
      <w:bookmarkStart w:id="1086" w:name="_Toc395592663"/>
      <w:bookmarkStart w:id="1087" w:name="_Toc395693019"/>
      <w:bookmarkStart w:id="1088" w:name="_Toc395693223"/>
      <w:bookmarkStart w:id="1089" w:name="_Toc396006293"/>
      <w:bookmarkStart w:id="1090" w:name="_Toc396110421"/>
      <w:bookmarkStart w:id="1091" w:name="_Toc396282854"/>
      <w:bookmarkStart w:id="1092" w:name="_Toc396284809"/>
      <w:bookmarkStart w:id="1093" w:name="_Toc397138393"/>
      <w:bookmarkStart w:id="1094" w:name="_Toc397761385"/>
      <w:bookmarkStart w:id="1095" w:name="_Toc398453526"/>
      <w:bookmarkStart w:id="1096" w:name="_Toc398523326"/>
      <w:bookmarkStart w:id="1097" w:name="_Toc16242301"/>
      <w:bookmarkStart w:id="1098" w:name="_Toc43107484"/>
      <w:bookmarkStart w:id="1099" w:name="_Toc164502051"/>
      <w:r>
        <w:rPr>
          <w:rFonts w:ascii="宋体" w:hAnsi="宋体"/>
          <w:color w:val="auto"/>
        </w:rPr>
        <w:t>1.12</w:t>
      </w:r>
      <w:r>
        <w:rPr>
          <w:rFonts w:hint="eastAsia" w:ascii="宋体" w:hAnsi="宋体"/>
          <w:color w:val="auto"/>
        </w:rPr>
        <w:t xml:space="preserve"> </w:t>
      </w:r>
      <w:r>
        <w:rPr>
          <w:rFonts w:ascii="宋体" w:hAnsi="宋体"/>
          <w:color w:val="auto"/>
        </w:rPr>
        <w:t>进度计划</w:t>
      </w:r>
      <w:bookmarkEnd w:id="1077"/>
      <w:bookmarkEnd w:id="1078"/>
      <w:bookmarkEnd w:id="1079"/>
      <w:bookmarkEnd w:id="1080"/>
      <w:bookmarkEnd w:id="1081"/>
      <w:bookmarkEnd w:id="1082"/>
    </w:p>
    <w:p>
      <w:pPr>
        <w:pStyle w:val="1280"/>
        <w:rPr>
          <w:rFonts w:ascii="宋体"/>
        </w:rPr>
      </w:pPr>
      <w:r>
        <w:rPr>
          <w:rFonts w:ascii="宋体"/>
        </w:rPr>
        <w:t>业主将根据合同特殊合同条款第21.1条规定的时间提供合同的施工场地。承包商应科学、合理地安排合同整体的施工进度计划，确保在合同一般合同条款第1.1款（23）条规定竣工日期内完成合同规定的全部施工内容。</w:t>
      </w:r>
    </w:p>
    <w:p>
      <w:pPr>
        <w:pStyle w:val="1280"/>
        <w:rPr>
          <w:rFonts w:ascii="宋体"/>
        </w:rPr>
      </w:pPr>
      <w:r>
        <w:rPr>
          <w:rFonts w:ascii="宋体"/>
        </w:rPr>
        <w:t>在施工开始前，承包商应按照本合同条款的有关要求向项目监理和业主提交一份拟定的进度计划以供审查，批准后的该进度计划须作为本合同实施的基线。当承包商在按合同一般合同条款第26.3款的有关规定对项目的进度计划进行更新时，应基于批准后的进度计划基线进行更新。如果由于承包商自身的原因，造成承包商连续三个月实际的施工进度落后于批准后的进度计划，使得工程进度拖延了二十八天以上，业主将有权视为承包商严重违反合同，并根据合同一般合同条款第58条的规定终止承包商的合同。进度计划应用关键线路图（CMP）形式或项目监理和业主批准了的其它形式编制，并应清晰地说明以下内容：</w:t>
      </w:r>
    </w:p>
    <w:p>
      <w:pPr>
        <w:pStyle w:val="1280"/>
        <w:rPr>
          <w:rFonts w:ascii="宋体"/>
        </w:rPr>
      </w:pPr>
      <w:r>
        <w:rPr>
          <w:rFonts w:ascii="宋体"/>
        </w:rPr>
        <w:t>每一施工步骤的顺序、拟定的开始日期和完工日期、进度、每一月度计划完成的工作量及累计工作量占总工作量的百分比；</w:t>
      </w:r>
    </w:p>
    <w:p>
      <w:pPr>
        <w:pStyle w:val="1280"/>
        <w:rPr>
          <w:rFonts w:ascii="宋体"/>
        </w:rPr>
      </w:pPr>
      <w:r>
        <w:rPr>
          <w:rFonts w:ascii="宋体"/>
        </w:rPr>
        <w:t>最终完工日期和部分完工日期，如可以确定的话；</w:t>
      </w:r>
    </w:p>
    <w:p>
      <w:pPr>
        <w:pStyle w:val="1280"/>
        <w:rPr>
          <w:rFonts w:ascii="宋体"/>
        </w:rPr>
      </w:pPr>
      <w:r>
        <w:rPr>
          <w:rFonts w:ascii="宋体"/>
        </w:rPr>
        <w:t>需经项目监理和业主审查的主要图纸的提交期限</w:t>
      </w:r>
      <w:r>
        <w:rPr>
          <w:rFonts w:hint="eastAsia" w:ascii="宋体"/>
        </w:rPr>
        <w:t>（</w:t>
      </w:r>
      <w:r>
        <w:rPr>
          <w:rFonts w:ascii="宋体"/>
        </w:rPr>
        <w:t>在收到这些图纸后，项目监理将在14个工作日内完成审查</w:t>
      </w:r>
      <w:r>
        <w:rPr>
          <w:rFonts w:hint="eastAsia" w:ascii="宋体"/>
        </w:rPr>
        <w:t>）</w:t>
      </w:r>
      <w:r>
        <w:rPr>
          <w:rFonts w:ascii="宋体"/>
        </w:rPr>
        <w:t>。</w:t>
      </w:r>
    </w:p>
    <w:p>
      <w:pPr>
        <w:pStyle w:val="1280"/>
        <w:rPr>
          <w:rFonts w:ascii="宋体"/>
        </w:rPr>
      </w:pPr>
      <w:r>
        <w:rPr>
          <w:rFonts w:ascii="宋体"/>
        </w:rPr>
        <w:t>上述进度计划上应留有足够的空白以参照计划进度来记录每一施工步骤的实际进度。下列详细报告应与进度计划一起提交：</w:t>
      </w:r>
    </w:p>
    <w:p>
      <w:pPr>
        <w:pStyle w:val="1280"/>
        <w:rPr>
          <w:rFonts w:ascii="宋体"/>
        </w:rPr>
      </w:pPr>
      <w:r>
        <w:rPr>
          <w:rFonts w:ascii="宋体"/>
        </w:rPr>
        <w:t>一份施工人员说明，包括施工监察人员、技术人员、熟练工人和非熟练工人的人数和类别。</w:t>
      </w:r>
    </w:p>
    <w:p>
      <w:pPr>
        <w:pStyle w:val="1280"/>
        <w:rPr>
          <w:rFonts w:ascii="宋体"/>
        </w:rPr>
      </w:pPr>
      <w:r>
        <w:rPr>
          <w:rFonts w:ascii="宋体"/>
        </w:rPr>
        <w:t>一份打印的详细清单，说明施工将使用的主要设备</w:t>
      </w:r>
      <w:r>
        <w:rPr>
          <w:rFonts w:hint="eastAsia" w:ascii="宋体"/>
        </w:rPr>
        <w:t>（</w:t>
      </w:r>
      <w:r>
        <w:rPr>
          <w:rFonts w:ascii="宋体"/>
        </w:rPr>
        <w:t>包括车辆</w:t>
      </w:r>
      <w:r>
        <w:rPr>
          <w:rFonts w:hint="eastAsia" w:ascii="宋体"/>
        </w:rPr>
        <w:t>）</w:t>
      </w:r>
      <w:r>
        <w:rPr>
          <w:rFonts w:ascii="宋体"/>
        </w:rPr>
        <w:t>。</w:t>
      </w:r>
    </w:p>
    <w:p>
      <w:pPr>
        <w:pStyle w:val="1280"/>
        <w:rPr>
          <w:rFonts w:ascii="宋体"/>
        </w:rPr>
      </w:pPr>
      <w:r>
        <w:rPr>
          <w:rFonts w:ascii="宋体"/>
        </w:rPr>
        <w:t>承包商的所有施工方法细节。</w:t>
      </w:r>
    </w:p>
    <w:p>
      <w:pPr>
        <w:pStyle w:val="1280"/>
        <w:rPr>
          <w:rFonts w:ascii="宋体"/>
        </w:rPr>
      </w:pPr>
      <w:r>
        <w:rPr>
          <w:rFonts w:ascii="宋体"/>
        </w:rPr>
        <w:t>一份临时性用地计划，说明施工营地、宿舍、办公室、车间和储放场地的位置。</w:t>
      </w:r>
    </w:p>
    <w:p>
      <w:pPr>
        <w:pStyle w:val="1280"/>
        <w:rPr>
          <w:rFonts w:ascii="宋体"/>
        </w:rPr>
      </w:pPr>
      <w:r>
        <w:rPr>
          <w:rFonts w:ascii="宋体"/>
        </w:rPr>
        <w:t>一份详细的进度计划，该计划的起始点应为收到项目监理和业主发出开工指令的日期。该计划应包括一个完整的资源分配方案，以说明每一工程部分中的每一施工机械的台班数和材料及劳力的投入量。</w:t>
      </w:r>
    </w:p>
    <w:p>
      <w:pPr>
        <w:pStyle w:val="1280"/>
        <w:rPr>
          <w:rFonts w:ascii="宋体"/>
        </w:rPr>
      </w:pPr>
      <w:r>
        <w:rPr>
          <w:rFonts w:ascii="宋体"/>
        </w:rPr>
        <w:t>已发生和将要发生的变更和补偿事件（一般合同条款38.1和42.1条）。</w:t>
      </w:r>
    </w:p>
    <w:p>
      <w:pPr>
        <w:pStyle w:val="1280"/>
        <w:rPr>
          <w:rFonts w:ascii="宋体"/>
        </w:rPr>
      </w:pPr>
      <w:r>
        <w:rPr>
          <w:rFonts w:ascii="宋体"/>
        </w:rPr>
        <w:t>合同资金预测和现金需求估算（一般合同条款39.1条）。</w:t>
      </w:r>
    </w:p>
    <w:p>
      <w:pPr>
        <w:pStyle w:val="1280"/>
        <w:rPr>
          <w:rFonts w:ascii="宋体"/>
        </w:rPr>
      </w:pPr>
      <w:r>
        <w:rPr>
          <w:rFonts w:ascii="宋体"/>
        </w:rPr>
        <w:t>除本技术规范中另有规定外，承包商还应在本技术规范中规定的每一单项工程开工前14天，提供针对该单项工程制定的详细施工组织计划。该计划的内容应包含本技术规范中对每一单项工程提出的要求。</w:t>
      </w:r>
    </w:p>
    <w:p>
      <w:pPr>
        <w:pStyle w:val="1281"/>
        <w:outlineLvl w:val="0"/>
        <w:rPr>
          <w:rFonts w:ascii="宋体" w:hAnsi="宋体"/>
          <w:color w:val="auto"/>
        </w:rPr>
      </w:pPr>
      <w:bookmarkStart w:id="1100" w:name="_Toc395403935"/>
      <w:bookmarkStart w:id="1101" w:name="_Toc395421360"/>
      <w:bookmarkStart w:id="1102" w:name="_Toc395512361"/>
      <w:bookmarkStart w:id="1103" w:name="_Toc395592662"/>
      <w:bookmarkStart w:id="1104" w:name="_Toc395693018"/>
      <w:bookmarkStart w:id="1105" w:name="_Toc395693222"/>
      <w:bookmarkStart w:id="1106" w:name="_Toc396006292"/>
      <w:bookmarkStart w:id="1107" w:name="_Toc396110420"/>
      <w:bookmarkStart w:id="1108" w:name="_Toc396282853"/>
      <w:bookmarkStart w:id="1109" w:name="_Toc396284808"/>
      <w:bookmarkStart w:id="1110" w:name="_Toc397138392"/>
      <w:bookmarkStart w:id="1111" w:name="_Toc397761384"/>
      <w:bookmarkStart w:id="1112" w:name="_Toc398453525"/>
      <w:bookmarkStart w:id="1113" w:name="_Toc398523325"/>
      <w:bookmarkStart w:id="1114" w:name="_Toc16242300"/>
      <w:bookmarkStart w:id="1115" w:name="_Toc43107483"/>
      <w:bookmarkStart w:id="1116" w:name="_Toc517382458"/>
      <w:bookmarkStart w:id="1117" w:name="_Toc518376506"/>
      <w:bookmarkStart w:id="1118" w:name="_Toc521491827"/>
      <w:bookmarkStart w:id="1119" w:name="_Toc521492684"/>
      <w:bookmarkStart w:id="1120" w:name="_Toc521493358"/>
      <w:bookmarkStart w:id="1121" w:name="_Toc106883012"/>
      <w:r>
        <w:rPr>
          <w:rFonts w:ascii="宋体" w:hAnsi="宋体"/>
          <w:color w:val="auto"/>
        </w:rPr>
        <w:t>1.13</w:t>
      </w:r>
      <w:r>
        <w:rPr>
          <w:rFonts w:hint="eastAsia" w:ascii="宋体" w:hAnsi="宋体"/>
          <w:color w:val="auto"/>
        </w:rPr>
        <w:t xml:space="preserve"> </w:t>
      </w:r>
      <w:r>
        <w:rPr>
          <w:rFonts w:ascii="宋体" w:hAnsi="宋体"/>
          <w:color w:val="auto"/>
        </w:rPr>
        <w:t>施工时间</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1280"/>
        <w:rPr>
          <w:rFonts w:ascii="宋体"/>
        </w:rPr>
      </w:pPr>
      <w:r>
        <w:rPr>
          <w:rFonts w:ascii="宋体"/>
        </w:rPr>
        <w:t>一般条件下，所允许的施工时间为每天每班8小时，施工时间通常应（宜）在周一到周六上午8:00到下午8:00间安排。承包商（投标人）应充分注意国家法定节假日及某些特殊时段）对施工时间的限制和影响（包括但不限于：高考、夜间施工、安全度汛等，并应将这些因素包括在自己的施工安排和投标报价中。</w:t>
      </w:r>
    </w:p>
    <w:p>
      <w:pPr>
        <w:pStyle w:val="1280"/>
        <w:rPr>
          <w:rFonts w:ascii="宋体"/>
        </w:rPr>
      </w:pPr>
      <w:r>
        <w:rPr>
          <w:rFonts w:ascii="宋体"/>
        </w:rPr>
        <w:t>根据工程情况，承包商承包商若要延长施工时间须及时通告项目监理延长施工时间的要求，并获得批准。</w:t>
      </w:r>
    </w:p>
    <w:p>
      <w:pPr>
        <w:pStyle w:val="1281"/>
        <w:outlineLvl w:val="0"/>
        <w:rPr>
          <w:rFonts w:ascii="宋体" w:hAnsi="宋体"/>
          <w:color w:val="auto"/>
        </w:rPr>
      </w:pPr>
      <w:bookmarkStart w:id="1122" w:name="_Toc521491828"/>
      <w:bookmarkStart w:id="1123" w:name="_Toc518376507"/>
      <w:bookmarkStart w:id="1124" w:name="_Toc521492685"/>
      <w:bookmarkStart w:id="1125" w:name="_Toc517382459"/>
      <w:bookmarkStart w:id="1126" w:name="_Toc521493359"/>
      <w:bookmarkStart w:id="1127" w:name="_Toc106883013"/>
      <w:r>
        <w:rPr>
          <w:rFonts w:ascii="宋体" w:hAnsi="宋体"/>
          <w:color w:val="auto"/>
        </w:rPr>
        <w:t>1.14</w:t>
      </w:r>
      <w:r>
        <w:rPr>
          <w:rFonts w:hint="eastAsia" w:ascii="宋体" w:hAnsi="宋体"/>
          <w:color w:val="auto"/>
        </w:rPr>
        <w:t xml:space="preserve"> </w:t>
      </w:r>
      <w:r>
        <w:rPr>
          <w:rFonts w:ascii="宋体" w:hAnsi="宋体"/>
          <w:color w:val="auto"/>
        </w:rPr>
        <w:t>项目监理的需求</w:t>
      </w:r>
      <w:bookmarkEnd w:id="1122"/>
      <w:bookmarkEnd w:id="1123"/>
      <w:bookmarkEnd w:id="1124"/>
      <w:bookmarkEnd w:id="1125"/>
      <w:bookmarkEnd w:id="1126"/>
      <w:bookmarkEnd w:id="1127"/>
    </w:p>
    <w:p>
      <w:pPr>
        <w:pStyle w:val="1284"/>
        <w:outlineLvl w:val="0"/>
        <w:rPr>
          <w:rFonts w:ascii="宋体" w:hAnsi="宋体"/>
        </w:rPr>
      </w:pPr>
      <w:bookmarkStart w:id="1128" w:name="_Toc517382460"/>
      <w:bookmarkStart w:id="1129" w:name="_Toc518376508"/>
      <w:bookmarkStart w:id="1130" w:name="_Toc521491829"/>
      <w:bookmarkStart w:id="1131" w:name="_Toc521492686"/>
      <w:bookmarkStart w:id="1132" w:name="_Toc521493360"/>
      <w:bookmarkStart w:id="1133" w:name="_Toc106883014"/>
      <w:r>
        <w:rPr>
          <w:rFonts w:ascii="宋体" w:hAnsi="宋体"/>
        </w:rPr>
        <w:t>1.14.1</w:t>
      </w:r>
      <w:r>
        <w:rPr>
          <w:rFonts w:hint="eastAsia" w:ascii="宋体" w:hAnsi="宋体"/>
        </w:rPr>
        <w:t xml:space="preserve"> </w:t>
      </w:r>
      <w:r>
        <w:rPr>
          <w:rFonts w:ascii="宋体" w:hAnsi="宋体"/>
        </w:rPr>
        <w:t>项目监理办公室</w:t>
      </w:r>
      <w:bookmarkEnd w:id="1128"/>
      <w:bookmarkEnd w:id="1129"/>
      <w:bookmarkEnd w:id="1130"/>
      <w:bookmarkEnd w:id="1131"/>
      <w:bookmarkEnd w:id="1132"/>
      <w:bookmarkEnd w:id="1133"/>
    </w:p>
    <w:p>
      <w:pPr>
        <w:pStyle w:val="1280"/>
        <w:rPr>
          <w:rFonts w:ascii="宋体"/>
        </w:rPr>
      </w:pPr>
      <w:r>
        <w:rPr>
          <w:rFonts w:ascii="宋体"/>
        </w:rPr>
        <w:t>承包商应为项目监理及其工作人员提供完成使命的专用办公室和通用办公设备，办公室应配有必需的监理管理设施，有充足的电力和照明供应，并有专人打扫，方便到各施工点现场的通道，供项目监理及其工作人员使用。 办公室的配备应能满足项目监理进行现场管理的需要，办公室可以临时建设，亦可租赁工地附近现有建筑。</w:t>
      </w:r>
    </w:p>
    <w:p>
      <w:pPr>
        <w:pStyle w:val="1280"/>
        <w:rPr>
          <w:rFonts w:ascii="宋体"/>
        </w:rPr>
      </w:pPr>
      <w:r>
        <w:rPr>
          <w:rFonts w:ascii="宋体"/>
        </w:rPr>
        <w:t>办公室应该由至少30m</w:t>
      </w:r>
      <w:r>
        <w:rPr>
          <w:rFonts w:ascii="宋体"/>
          <w:vertAlign w:val="superscript"/>
        </w:rPr>
        <w:t>2</w:t>
      </w:r>
      <w:r>
        <w:rPr>
          <w:rFonts w:ascii="宋体"/>
        </w:rPr>
        <w:t>的一个房间构成，应配有通用的办公设备，包括荧光照明灯、风扇及取暖设备、书架2个、文件柜、档案柜，写字台、椅子、台灯若干套和灭火器1个，另设专用会议室，会议室的面积至少为40 m</w:t>
      </w:r>
      <w:r>
        <w:rPr>
          <w:rFonts w:ascii="宋体"/>
          <w:vertAlign w:val="superscript"/>
        </w:rPr>
        <w:t>2</w:t>
      </w:r>
      <w:r>
        <w:rPr>
          <w:rFonts w:ascii="宋体"/>
        </w:rPr>
        <w:t>，配有照明和会议用桌椅等一般办公家具。</w:t>
      </w:r>
    </w:p>
    <w:p>
      <w:pPr>
        <w:pStyle w:val="1280"/>
        <w:rPr>
          <w:rFonts w:ascii="宋体"/>
        </w:rPr>
      </w:pPr>
      <w:r>
        <w:rPr>
          <w:rFonts w:ascii="宋体"/>
        </w:rPr>
        <w:t>每个房间配备3个以上容量不少于15安培的三向插座。</w:t>
      </w:r>
    </w:p>
    <w:p>
      <w:pPr>
        <w:pStyle w:val="1280"/>
        <w:rPr>
          <w:rFonts w:ascii="宋体"/>
        </w:rPr>
      </w:pPr>
      <w:r>
        <w:rPr>
          <w:rFonts w:ascii="宋体"/>
        </w:rPr>
        <w:t>办公室门锁及其他室内桌柜各三把钥匙。为项目监理及其工作人员专用，其他人不能拥有上述钥匙。</w:t>
      </w:r>
    </w:p>
    <w:p>
      <w:pPr>
        <w:pStyle w:val="1280"/>
        <w:rPr>
          <w:rFonts w:ascii="宋体"/>
        </w:rPr>
      </w:pPr>
      <w:r>
        <w:rPr>
          <w:rFonts w:ascii="宋体"/>
        </w:rPr>
        <w:t>办公室内应备有以下设备：程控电话及传真机、台式计算机、打印机、复印机、数码照相机、扫描仪、其它办公用品，如纸张、公文格、废纸篓、打洞机和订书机供项目监理使用等，这些财产为承包商所有。</w:t>
      </w:r>
    </w:p>
    <w:p>
      <w:pPr>
        <w:pStyle w:val="1280"/>
        <w:rPr>
          <w:rFonts w:ascii="宋体"/>
        </w:rPr>
      </w:pPr>
      <w:r>
        <w:rPr>
          <w:rFonts w:ascii="宋体"/>
        </w:rPr>
        <w:t>承包商应为现场提供一个专用急救箱，并为项目监理及其工作人员所使用。合同期间日常办公消耗品和维护费用都由承包商承担，所有费用都应视为包含于投标报价中。</w:t>
      </w:r>
    </w:p>
    <w:p>
      <w:pPr>
        <w:pStyle w:val="1284"/>
        <w:outlineLvl w:val="0"/>
        <w:rPr>
          <w:rFonts w:ascii="宋体" w:hAnsi="宋体"/>
        </w:rPr>
      </w:pPr>
      <w:bookmarkStart w:id="1134" w:name="_Toc106883015"/>
      <w:bookmarkStart w:id="1135" w:name="_Toc518376509"/>
      <w:bookmarkStart w:id="1136" w:name="_Toc517382461"/>
      <w:bookmarkStart w:id="1137" w:name="_Toc521491830"/>
      <w:bookmarkStart w:id="1138" w:name="_Toc521492687"/>
      <w:bookmarkStart w:id="1139" w:name="_Toc521493361"/>
      <w:r>
        <w:rPr>
          <w:rFonts w:ascii="宋体" w:hAnsi="宋体"/>
        </w:rPr>
        <w:t>1.14.2</w:t>
      </w:r>
      <w:r>
        <w:rPr>
          <w:rFonts w:hint="eastAsia" w:ascii="宋体" w:hAnsi="宋体"/>
        </w:rPr>
        <w:t xml:space="preserve"> </w:t>
      </w:r>
      <w:r>
        <w:rPr>
          <w:rFonts w:ascii="宋体" w:hAnsi="宋体"/>
        </w:rPr>
        <w:t>监理办公室的服务</w:t>
      </w:r>
      <w:bookmarkEnd w:id="1134"/>
      <w:bookmarkEnd w:id="1135"/>
      <w:bookmarkEnd w:id="1136"/>
      <w:bookmarkEnd w:id="1137"/>
      <w:bookmarkEnd w:id="1138"/>
      <w:bookmarkEnd w:id="1139"/>
    </w:p>
    <w:p>
      <w:pPr>
        <w:pStyle w:val="1280"/>
        <w:rPr>
          <w:rFonts w:ascii="宋体"/>
        </w:rPr>
      </w:pPr>
      <w:r>
        <w:rPr>
          <w:rFonts w:ascii="宋体"/>
        </w:rPr>
        <w:t>在合同履行期间，承包商应该为监理及其人员提供下列服务：</w:t>
      </w:r>
    </w:p>
    <w:p>
      <w:pPr>
        <w:pStyle w:val="1280"/>
        <w:rPr>
          <w:rFonts w:ascii="宋体"/>
        </w:rPr>
      </w:pPr>
      <w:r>
        <w:rPr>
          <w:rFonts w:ascii="宋体"/>
        </w:rPr>
        <w:t>办公室的日常清洁工作。</w:t>
      </w:r>
    </w:p>
    <w:p>
      <w:pPr>
        <w:pStyle w:val="1280"/>
        <w:rPr>
          <w:rFonts w:ascii="宋体"/>
        </w:rPr>
      </w:pPr>
      <w:r>
        <w:rPr>
          <w:rFonts w:ascii="宋体"/>
        </w:rPr>
        <w:t>为现场项目监理和他们的来访者提供合格的饮用水。</w:t>
      </w:r>
    </w:p>
    <w:p>
      <w:pPr>
        <w:pStyle w:val="1280"/>
        <w:rPr>
          <w:rFonts w:ascii="宋体"/>
        </w:rPr>
      </w:pPr>
      <w:r>
        <w:rPr>
          <w:rFonts w:ascii="宋体"/>
        </w:rPr>
        <w:t>提供肥皀、厕所用卷筒纸和毛巾等。</w:t>
      </w:r>
    </w:p>
    <w:p>
      <w:pPr>
        <w:pStyle w:val="1280"/>
        <w:rPr>
          <w:rFonts w:ascii="宋体"/>
        </w:rPr>
      </w:pPr>
      <w:r>
        <w:rPr>
          <w:rFonts w:ascii="宋体"/>
        </w:rPr>
        <w:t>安排并支付电、水和电话服务费，包括装、拆费。</w:t>
      </w:r>
    </w:p>
    <w:p>
      <w:pPr>
        <w:pStyle w:val="1284"/>
        <w:outlineLvl w:val="0"/>
        <w:rPr>
          <w:rFonts w:ascii="宋体" w:hAnsi="宋体"/>
        </w:rPr>
      </w:pPr>
      <w:bookmarkStart w:id="1140" w:name="_Toc517382462"/>
      <w:bookmarkStart w:id="1141" w:name="_Toc518376510"/>
      <w:bookmarkStart w:id="1142" w:name="_Toc521491831"/>
      <w:bookmarkStart w:id="1143" w:name="_Toc521492688"/>
      <w:bookmarkStart w:id="1144" w:name="_Toc521493362"/>
      <w:bookmarkStart w:id="1145" w:name="_Toc106883016"/>
      <w:r>
        <w:rPr>
          <w:rFonts w:ascii="宋体" w:hAnsi="宋体"/>
        </w:rPr>
        <w:t>1.14.3</w:t>
      </w:r>
      <w:r>
        <w:rPr>
          <w:rFonts w:hint="eastAsia" w:ascii="宋体" w:hAnsi="宋体"/>
        </w:rPr>
        <w:t xml:space="preserve"> </w:t>
      </w:r>
      <w:r>
        <w:rPr>
          <w:rFonts w:ascii="宋体" w:hAnsi="宋体"/>
        </w:rPr>
        <w:t>用于检查及测量的仪器及设备</w:t>
      </w:r>
      <w:bookmarkEnd w:id="1140"/>
      <w:bookmarkEnd w:id="1141"/>
      <w:bookmarkEnd w:id="1142"/>
      <w:bookmarkEnd w:id="1143"/>
      <w:bookmarkEnd w:id="1144"/>
      <w:bookmarkEnd w:id="1145"/>
    </w:p>
    <w:p>
      <w:pPr>
        <w:pStyle w:val="1280"/>
        <w:rPr>
          <w:rFonts w:ascii="宋体"/>
        </w:rPr>
      </w:pPr>
      <w:r>
        <w:rPr>
          <w:rFonts w:ascii="宋体"/>
        </w:rPr>
        <w:t>承包商应提供给项目监理及其工作人员用来进行测量、检查承包商工程的有关仪器。这些仪器包括（并不限于）如下设备和仪器，确保本合同中项目监理的使用：</w:t>
      </w:r>
    </w:p>
    <w:tbl>
      <w:tblPr>
        <w:tblStyle w:val="77"/>
        <w:tblW w:w="50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3"/>
        <w:gridCol w:w="2798"/>
        <w:gridCol w:w="15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733" w:type="dxa"/>
            <w:shd w:val="clear" w:color="auto" w:fill="auto"/>
            <w:vAlign w:val="center"/>
          </w:tcPr>
          <w:p>
            <w:pPr>
              <w:jc w:val="center"/>
              <w:rPr>
                <w:rFonts w:ascii="宋体" w:hAnsi="宋体"/>
                <w:b/>
                <w:sz w:val="18"/>
                <w:szCs w:val="18"/>
              </w:rPr>
            </w:pPr>
            <w:r>
              <w:rPr>
                <w:rFonts w:ascii="宋体" w:hAnsi="宋体"/>
                <w:b/>
                <w:sz w:val="18"/>
                <w:szCs w:val="18"/>
              </w:rPr>
              <w:t>序号</w:t>
            </w:r>
          </w:p>
        </w:tc>
        <w:tc>
          <w:tcPr>
            <w:tcW w:w="2798" w:type="dxa"/>
            <w:shd w:val="clear" w:color="auto" w:fill="auto"/>
            <w:vAlign w:val="center"/>
          </w:tcPr>
          <w:p>
            <w:pPr>
              <w:jc w:val="center"/>
              <w:rPr>
                <w:rFonts w:ascii="宋体" w:hAnsi="宋体"/>
                <w:b/>
                <w:sz w:val="18"/>
                <w:szCs w:val="18"/>
              </w:rPr>
            </w:pPr>
            <w:r>
              <w:rPr>
                <w:rFonts w:ascii="宋体" w:hAnsi="宋体"/>
                <w:b/>
                <w:sz w:val="18"/>
                <w:szCs w:val="18"/>
              </w:rPr>
              <w:t>设备名称</w:t>
            </w:r>
          </w:p>
        </w:tc>
        <w:tc>
          <w:tcPr>
            <w:tcW w:w="1545" w:type="dxa"/>
            <w:shd w:val="clear" w:color="auto" w:fill="auto"/>
            <w:vAlign w:val="center"/>
          </w:tcPr>
          <w:p>
            <w:pPr>
              <w:jc w:val="center"/>
              <w:rPr>
                <w:rFonts w:ascii="宋体" w:hAnsi="宋体"/>
                <w:b/>
                <w:sz w:val="18"/>
                <w:szCs w:val="18"/>
              </w:rPr>
            </w:pPr>
            <w:r>
              <w:rPr>
                <w:rFonts w:ascii="宋体" w:hAnsi="宋体"/>
                <w:b/>
                <w:sz w:val="18"/>
                <w:szCs w:val="18"/>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733" w:type="dxa"/>
            <w:shd w:val="clear" w:color="auto" w:fill="auto"/>
            <w:vAlign w:val="center"/>
          </w:tcPr>
          <w:p>
            <w:pPr>
              <w:jc w:val="center"/>
              <w:rPr>
                <w:rFonts w:ascii="宋体" w:hAnsi="宋体"/>
                <w:sz w:val="18"/>
                <w:szCs w:val="18"/>
              </w:rPr>
            </w:pPr>
            <w:r>
              <w:rPr>
                <w:rFonts w:ascii="宋体" w:hAnsi="宋体"/>
                <w:sz w:val="18"/>
                <w:szCs w:val="18"/>
              </w:rPr>
              <w:t>1</w:t>
            </w:r>
          </w:p>
        </w:tc>
        <w:tc>
          <w:tcPr>
            <w:tcW w:w="2798" w:type="dxa"/>
            <w:shd w:val="clear" w:color="auto" w:fill="auto"/>
            <w:vAlign w:val="center"/>
          </w:tcPr>
          <w:p>
            <w:pPr>
              <w:ind w:left="94" w:leftChars="39" w:firstLine="81" w:firstLineChars="45"/>
              <w:jc w:val="center"/>
              <w:rPr>
                <w:rFonts w:ascii="宋体" w:hAnsi="宋体"/>
                <w:sz w:val="18"/>
                <w:szCs w:val="18"/>
              </w:rPr>
            </w:pPr>
            <w:r>
              <w:rPr>
                <w:rFonts w:ascii="宋体" w:hAnsi="宋体"/>
                <w:sz w:val="18"/>
                <w:szCs w:val="18"/>
              </w:rPr>
              <w:t>全站仪</w:t>
            </w:r>
          </w:p>
        </w:tc>
        <w:tc>
          <w:tcPr>
            <w:tcW w:w="1545" w:type="dxa"/>
            <w:shd w:val="clear" w:color="auto" w:fill="auto"/>
            <w:vAlign w:val="center"/>
          </w:tcPr>
          <w:p>
            <w:pPr>
              <w:jc w:val="center"/>
              <w:rPr>
                <w:rFonts w:ascii="宋体" w:hAnsi="宋体"/>
                <w:sz w:val="18"/>
                <w:szCs w:val="18"/>
              </w:rPr>
            </w:pPr>
            <w:r>
              <w:rPr>
                <w:rFonts w:ascii="宋体" w:hAnsi="宋体"/>
                <w:sz w:val="18"/>
                <w:szCs w:val="18"/>
              </w:rPr>
              <w:t>2台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733" w:type="dxa"/>
            <w:shd w:val="clear" w:color="auto" w:fill="auto"/>
            <w:vAlign w:val="center"/>
          </w:tcPr>
          <w:p>
            <w:pPr>
              <w:jc w:val="center"/>
              <w:rPr>
                <w:rFonts w:ascii="宋体" w:hAnsi="宋体"/>
                <w:sz w:val="18"/>
                <w:szCs w:val="18"/>
              </w:rPr>
            </w:pPr>
            <w:r>
              <w:rPr>
                <w:rFonts w:ascii="宋体" w:hAnsi="宋体"/>
                <w:sz w:val="18"/>
                <w:szCs w:val="18"/>
              </w:rPr>
              <w:t>2</w:t>
            </w:r>
          </w:p>
        </w:tc>
        <w:tc>
          <w:tcPr>
            <w:tcW w:w="2798" w:type="dxa"/>
            <w:shd w:val="clear" w:color="auto" w:fill="auto"/>
            <w:vAlign w:val="center"/>
          </w:tcPr>
          <w:p>
            <w:pPr>
              <w:ind w:left="94" w:leftChars="39" w:firstLine="81" w:firstLineChars="45"/>
              <w:jc w:val="center"/>
              <w:rPr>
                <w:rFonts w:ascii="宋体" w:hAnsi="宋体"/>
                <w:sz w:val="18"/>
                <w:szCs w:val="18"/>
              </w:rPr>
            </w:pPr>
            <w:r>
              <w:rPr>
                <w:rFonts w:ascii="宋体" w:hAnsi="宋体"/>
                <w:sz w:val="18"/>
                <w:szCs w:val="18"/>
              </w:rPr>
              <w:t>GPS测量系统</w:t>
            </w:r>
          </w:p>
        </w:tc>
        <w:tc>
          <w:tcPr>
            <w:tcW w:w="1545" w:type="dxa"/>
            <w:shd w:val="clear" w:color="auto" w:fill="auto"/>
            <w:vAlign w:val="center"/>
          </w:tcPr>
          <w:p>
            <w:pPr>
              <w:jc w:val="center"/>
              <w:rPr>
                <w:rFonts w:ascii="宋体" w:hAnsi="宋体"/>
                <w:sz w:val="18"/>
                <w:szCs w:val="18"/>
              </w:rPr>
            </w:pPr>
            <w:r>
              <w:rPr>
                <w:rFonts w:ascii="宋体" w:hAnsi="宋体"/>
                <w:sz w:val="18"/>
                <w:szCs w:val="18"/>
              </w:rPr>
              <w:t>1+2配置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733" w:type="dxa"/>
            <w:shd w:val="clear" w:color="auto" w:fill="auto"/>
            <w:vAlign w:val="center"/>
          </w:tcPr>
          <w:p>
            <w:pPr>
              <w:jc w:val="center"/>
              <w:rPr>
                <w:rFonts w:ascii="宋体" w:hAnsi="宋体"/>
                <w:sz w:val="18"/>
                <w:szCs w:val="18"/>
              </w:rPr>
            </w:pPr>
            <w:r>
              <w:rPr>
                <w:rFonts w:ascii="宋体" w:hAnsi="宋体"/>
                <w:sz w:val="18"/>
                <w:szCs w:val="18"/>
              </w:rPr>
              <w:t>3</w:t>
            </w:r>
          </w:p>
        </w:tc>
        <w:tc>
          <w:tcPr>
            <w:tcW w:w="2798" w:type="dxa"/>
            <w:shd w:val="clear" w:color="auto" w:fill="auto"/>
            <w:vAlign w:val="center"/>
          </w:tcPr>
          <w:p>
            <w:pPr>
              <w:ind w:left="122" w:leftChars="51" w:firstLine="54" w:firstLineChars="30"/>
              <w:jc w:val="center"/>
              <w:rPr>
                <w:rFonts w:ascii="宋体" w:hAnsi="宋体"/>
                <w:sz w:val="18"/>
                <w:szCs w:val="18"/>
              </w:rPr>
            </w:pPr>
            <w:r>
              <w:rPr>
                <w:rFonts w:ascii="宋体" w:hAnsi="宋体"/>
                <w:sz w:val="18"/>
                <w:szCs w:val="18"/>
              </w:rPr>
              <w:t>电子经纬仪</w:t>
            </w:r>
          </w:p>
        </w:tc>
        <w:tc>
          <w:tcPr>
            <w:tcW w:w="1545" w:type="dxa"/>
            <w:shd w:val="clear" w:color="auto" w:fill="auto"/>
            <w:vAlign w:val="center"/>
          </w:tcPr>
          <w:p>
            <w:pPr>
              <w:jc w:val="center"/>
              <w:rPr>
                <w:rFonts w:ascii="宋体" w:hAnsi="宋体"/>
                <w:sz w:val="18"/>
                <w:szCs w:val="18"/>
              </w:rPr>
            </w:pPr>
            <w:r>
              <w:rPr>
                <w:rFonts w:ascii="宋体" w:hAnsi="宋体"/>
                <w:sz w:val="18"/>
                <w:szCs w:val="18"/>
              </w:rPr>
              <w:t>1台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733" w:type="dxa"/>
            <w:shd w:val="clear" w:color="auto" w:fill="auto"/>
            <w:vAlign w:val="center"/>
          </w:tcPr>
          <w:p>
            <w:pPr>
              <w:jc w:val="center"/>
              <w:rPr>
                <w:rFonts w:ascii="宋体" w:hAnsi="宋体"/>
                <w:sz w:val="18"/>
                <w:szCs w:val="18"/>
              </w:rPr>
            </w:pPr>
            <w:r>
              <w:rPr>
                <w:rFonts w:ascii="宋体" w:hAnsi="宋体"/>
                <w:sz w:val="18"/>
                <w:szCs w:val="18"/>
              </w:rPr>
              <w:t>4</w:t>
            </w:r>
          </w:p>
        </w:tc>
        <w:tc>
          <w:tcPr>
            <w:tcW w:w="2798" w:type="dxa"/>
            <w:shd w:val="clear" w:color="auto" w:fill="auto"/>
            <w:vAlign w:val="center"/>
          </w:tcPr>
          <w:p>
            <w:pPr>
              <w:ind w:left="94" w:leftChars="39" w:firstLine="81" w:firstLineChars="45"/>
              <w:jc w:val="center"/>
              <w:rPr>
                <w:rFonts w:ascii="宋体" w:hAnsi="宋体"/>
                <w:sz w:val="18"/>
                <w:szCs w:val="18"/>
              </w:rPr>
            </w:pPr>
            <w:r>
              <w:rPr>
                <w:rFonts w:ascii="宋体" w:hAnsi="宋体"/>
                <w:sz w:val="18"/>
                <w:szCs w:val="18"/>
              </w:rPr>
              <w:t>水准仪</w:t>
            </w:r>
          </w:p>
        </w:tc>
        <w:tc>
          <w:tcPr>
            <w:tcW w:w="1545" w:type="dxa"/>
            <w:shd w:val="clear" w:color="auto" w:fill="auto"/>
            <w:vAlign w:val="center"/>
          </w:tcPr>
          <w:p>
            <w:pPr>
              <w:jc w:val="center"/>
              <w:rPr>
                <w:rFonts w:ascii="宋体" w:hAnsi="宋体"/>
                <w:sz w:val="18"/>
                <w:szCs w:val="18"/>
              </w:rPr>
            </w:pPr>
            <w:r>
              <w:rPr>
                <w:rFonts w:ascii="宋体" w:hAnsi="宋体"/>
                <w:sz w:val="18"/>
                <w:szCs w:val="18"/>
              </w:rPr>
              <w:t>1台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 w:hRule="atLeast"/>
          <w:jc w:val="center"/>
        </w:trPr>
        <w:tc>
          <w:tcPr>
            <w:tcW w:w="733" w:type="dxa"/>
            <w:shd w:val="clear" w:color="auto" w:fill="auto"/>
            <w:vAlign w:val="center"/>
          </w:tcPr>
          <w:p>
            <w:pPr>
              <w:jc w:val="center"/>
              <w:rPr>
                <w:rFonts w:ascii="宋体" w:hAnsi="宋体"/>
                <w:sz w:val="18"/>
                <w:szCs w:val="18"/>
              </w:rPr>
            </w:pPr>
            <w:r>
              <w:rPr>
                <w:rFonts w:ascii="宋体" w:hAnsi="宋体"/>
                <w:sz w:val="18"/>
                <w:szCs w:val="18"/>
              </w:rPr>
              <w:t>5</w:t>
            </w:r>
          </w:p>
        </w:tc>
        <w:tc>
          <w:tcPr>
            <w:tcW w:w="2798" w:type="dxa"/>
            <w:shd w:val="clear" w:color="auto" w:fill="auto"/>
            <w:vAlign w:val="center"/>
          </w:tcPr>
          <w:p>
            <w:pPr>
              <w:ind w:left="94" w:leftChars="39"/>
              <w:jc w:val="center"/>
              <w:rPr>
                <w:rFonts w:ascii="宋体" w:hAnsi="宋体"/>
                <w:sz w:val="18"/>
                <w:szCs w:val="18"/>
              </w:rPr>
            </w:pPr>
            <w:r>
              <w:rPr>
                <w:rFonts w:ascii="宋体" w:hAnsi="宋体"/>
                <w:sz w:val="18"/>
                <w:szCs w:val="18"/>
              </w:rPr>
              <w:t>花杆、塔尺、水准尺、尺垫、测伞、卷尺、对讲机等</w:t>
            </w:r>
          </w:p>
        </w:tc>
        <w:tc>
          <w:tcPr>
            <w:tcW w:w="1545" w:type="dxa"/>
            <w:shd w:val="clear" w:color="auto" w:fill="auto"/>
            <w:vAlign w:val="center"/>
          </w:tcPr>
          <w:p>
            <w:pPr>
              <w:jc w:val="center"/>
              <w:rPr>
                <w:rFonts w:ascii="宋体" w:hAnsi="宋体"/>
                <w:sz w:val="18"/>
                <w:szCs w:val="18"/>
              </w:rPr>
            </w:pPr>
            <w:r>
              <w:rPr>
                <w:rFonts w:ascii="宋体" w:hAnsi="宋体"/>
                <w:sz w:val="18"/>
                <w:szCs w:val="18"/>
              </w:rPr>
              <w:t>1 批</w:t>
            </w:r>
          </w:p>
        </w:tc>
      </w:tr>
    </w:tbl>
    <w:p>
      <w:pPr>
        <w:pStyle w:val="1280"/>
        <w:rPr>
          <w:rFonts w:ascii="宋体"/>
        </w:rPr>
      </w:pPr>
      <w:r>
        <w:rPr>
          <w:rFonts w:ascii="宋体"/>
        </w:rPr>
        <w:t>这些仪器应该满足下列要求：</w:t>
      </w:r>
    </w:p>
    <w:p>
      <w:pPr>
        <w:pStyle w:val="1280"/>
        <w:rPr>
          <w:rFonts w:ascii="宋体"/>
        </w:rPr>
      </w:pPr>
      <w:r>
        <w:rPr>
          <w:rFonts w:ascii="宋体"/>
        </w:rPr>
        <w:t xml:space="preserve"> 1、满足合同的技术要求，具有完整的测量精度和量程。</w:t>
      </w:r>
    </w:p>
    <w:p>
      <w:pPr>
        <w:pStyle w:val="1280"/>
        <w:rPr>
          <w:rFonts w:ascii="宋体"/>
        </w:rPr>
      </w:pPr>
      <w:r>
        <w:rPr>
          <w:rFonts w:ascii="宋体"/>
        </w:rPr>
        <w:t xml:space="preserve"> 2、所有仪器的型号、规格、测量精度和量程都应该与承包商所使用的相一致。</w:t>
      </w:r>
    </w:p>
    <w:p>
      <w:pPr>
        <w:pStyle w:val="1280"/>
        <w:rPr>
          <w:rFonts w:ascii="宋体"/>
        </w:rPr>
      </w:pPr>
      <w:r>
        <w:rPr>
          <w:rFonts w:ascii="宋体"/>
        </w:rPr>
        <w:t xml:space="preserve"> 3、这些仪器应由</w:t>
      </w:r>
      <w:r>
        <w:rPr>
          <w:rFonts w:hint="eastAsia" w:ascii="宋体"/>
        </w:rPr>
        <w:t>浙江</w:t>
      </w:r>
      <w:r>
        <w:rPr>
          <w:rFonts w:ascii="宋体"/>
        </w:rPr>
        <w:t>有关的权威机构根据中国标准进行鉴定，并要取得该权威机构颁发的技术数据鉴定书。</w:t>
      </w:r>
    </w:p>
    <w:p>
      <w:pPr>
        <w:pStyle w:val="1280"/>
        <w:rPr>
          <w:rFonts w:ascii="宋体"/>
        </w:rPr>
      </w:pPr>
      <w:r>
        <w:rPr>
          <w:rFonts w:ascii="宋体"/>
        </w:rPr>
        <w:t xml:space="preserve"> 4、承包商将维护这些仪器在良好的运行状态，并定期进行校准。对于精度不符合要求的仪器，承包商有责任负责维修和更换。这些仪器的所有费用，包括提供使用、维护和鉴定费都被认为已包含在价格一览表的有关项中。这些仪器应在工程完工后归还承包商。</w:t>
      </w:r>
    </w:p>
    <w:p>
      <w:pPr>
        <w:pStyle w:val="1284"/>
        <w:outlineLvl w:val="0"/>
        <w:rPr>
          <w:rFonts w:ascii="宋体" w:hAnsi="宋体"/>
        </w:rPr>
      </w:pPr>
      <w:bookmarkStart w:id="1146" w:name="_Toc521492689"/>
      <w:bookmarkStart w:id="1147" w:name="_Toc521491832"/>
      <w:bookmarkStart w:id="1148" w:name="_Toc518376511"/>
      <w:bookmarkStart w:id="1149" w:name="_Toc517382463"/>
      <w:bookmarkStart w:id="1150" w:name="_Toc521493363"/>
      <w:bookmarkStart w:id="1151" w:name="_Toc106883017"/>
      <w:r>
        <w:rPr>
          <w:rFonts w:ascii="宋体" w:hAnsi="宋体"/>
        </w:rPr>
        <w:t>1.14.4</w:t>
      </w:r>
      <w:r>
        <w:rPr>
          <w:rFonts w:hint="eastAsia" w:ascii="宋体" w:hAnsi="宋体"/>
        </w:rPr>
        <w:t xml:space="preserve"> </w:t>
      </w:r>
      <w:r>
        <w:rPr>
          <w:rFonts w:ascii="宋体" w:hAnsi="宋体"/>
        </w:rPr>
        <w:t>对项目监理及其职员提供的帮助</w:t>
      </w:r>
      <w:bookmarkEnd w:id="1146"/>
      <w:bookmarkEnd w:id="1147"/>
      <w:bookmarkEnd w:id="1148"/>
      <w:bookmarkEnd w:id="1149"/>
      <w:bookmarkEnd w:id="1150"/>
      <w:bookmarkEnd w:id="1151"/>
    </w:p>
    <w:p>
      <w:pPr>
        <w:pStyle w:val="1280"/>
        <w:rPr>
          <w:rFonts w:ascii="宋体"/>
        </w:rPr>
      </w:pPr>
      <w:r>
        <w:rPr>
          <w:rFonts w:ascii="宋体"/>
        </w:rPr>
        <w:t>承包商将为项目监理及其工作人员实施其职责时提供各项协助，提供充足的栓、钉、桩、标色水线、水准仪及其它材料和用于工程测量的核查和测定的一些小工具。</w:t>
      </w:r>
    </w:p>
    <w:p>
      <w:pPr>
        <w:pStyle w:val="1280"/>
        <w:rPr>
          <w:rFonts w:ascii="宋体"/>
        </w:rPr>
      </w:pPr>
      <w:r>
        <w:rPr>
          <w:rFonts w:ascii="宋体"/>
        </w:rPr>
        <w:t>承包商也将提供安全帽、安全服和鞋、手电筒及此类合理要求的物品。所有这些物品仍属于承包商所有，但在合理的使用情况下，还将由承包商修理或更换这些物品。</w:t>
      </w:r>
    </w:p>
    <w:p>
      <w:pPr>
        <w:pStyle w:val="1280"/>
        <w:rPr>
          <w:rFonts w:ascii="宋体"/>
        </w:rPr>
      </w:pPr>
      <w:r>
        <w:rPr>
          <w:rFonts w:ascii="宋体"/>
        </w:rPr>
        <w:t>以上帮助内容包括在价格明细表中。</w:t>
      </w:r>
    </w:p>
    <w:p>
      <w:pPr>
        <w:pStyle w:val="1284"/>
        <w:outlineLvl w:val="0"/>
        <w:rPr>
          <w:rFonts w:ascii="宋体" w:hAnsi="宋体"/>
        </w:rPr>
      </w:pPr>
      <w:bookmarkStart w:id="1152" w:name="_Toc517382464"/>
      <w:bookmarkStart w:id="1153" w:name="_Toc518376512"/>
      <w:bookmarkStart w:id="1154" w:name="_Toc521491833"/>
      <w:bookmarkStart w:id="1155" w:name="_Toc521492690"/>
      <w:bookmarkStart w:id="1156" w:name="_Toc521493364"/>
      <w:bookmarkStart w:id="1157" w:name="_Toc106883018"/>
      <w:r>
        <w:rPr>
          <w:rFonts w:ascii="宋体" w:hAnsi="宋体"/>
        </w:rPr>
        <w:t>1.14.5</w:t>
      </w:r>
      <w:r>
        <w:rPr>
          <w:rFonts w:hint="eastAsia" w:ascii="宋体" w:hAnsi="宋体"/>
        </w:rPr>
        <w:t xml:space="preserve"> </w:t>
      </w:r>
      <w:r>
        <w:rPr>
          <w:rFonts w:ascii="宋体" w:hAnsi="宋体"/>
        </w:rPr>
        <w:t>为项目监理提供的出版物</w:t>
      </w:r>
      <w:bookmarkEnd w:id="1152"/>
      <w:bookmarkEnd w:id="1153"/>
      <w:bookmarkEnd w:id="1154"/>
      <w:bookmarkEnd w:id="1155"/>
      <w:bookmarkEnd w:id="1156"/>
      <w:bookmarkEnd w:id="1157"/>
    </w:p>
    <w:p>
      <w:pPr>
        <w:pStyle w:val="1280"/>
        <w:rPr>
          <w:rFonts w:ascii="宋体"/>
        </w:rPr>
      </w:pPr>
      <w:r>
        <w:rPr>
          <w:rFonts w:ascii="宋体"/>
        </w:rPr>
        <w:t>在工程施工期间，如果项目监理要求提供与材料和工作质量有关的国际和国内标准，承包商应为他们提供最新版本，还有在工作中用于比较的已书面批准的其他标准或备选标准。这些为承包商财产，工程完工后归还承包商。</w:t>
      </w:r>
    </w:p>
    <w:p>
      <w:pPr>
        <w:pStyle w:val="1284"/>
        <w:outlineLvl w:val="0"/>
        <w:rPr>
          <w:rFonts w:ascii="宋体" w:hAnsi="宋体"/>
        </w:rPr>
      </w:pPr>
      <w:bookmarkStart w:id="1158" w:name="_Toc517382465"/>
      <w:bookmarkStart w:id="1159" w:name="_Toc518376513"/>
      <w:bookmarkStart w:id="1160" w:name="_Toc521491834"/>
      <w:bookmarkStart w:id="1161" w:name="_Toc521492691"/>
      <w:bookmarkStart w:id="1162" w:name="_Toc521493365"/>
      <w:bookmarkStart w:id="1163" w:name="_Toc106883019"/>
      <w:r>
        <w:rPr>
          <w:rFonts w:ascii="宋体" w:hAnsi="宋体"/>
        </w:rPr>
        <w:t>1.14.6</w:t>
      </w:r>
      <w:r>
        <w:rPr>
          <w:rFonts w:hint="eastAsia" w:ascii="宋体" w:hAnsi="宋体"/>
        </w:rPr>
        <w:t xml:space="preserve"> </w:t>
      </w:r>
      <w:r>
        <w:rPr>
          <w:rFonts w:ascii="宋体" w:hAnsi="宋体"/>
        </w:rPr>
        <w:t>项目监理交通</w:t>
      </w:r>
      <w:bookmarkEnd w:id="1158"/>
      <w:bookmarkEnd w:id="1159"/>
      <w:bookmarkEnd w:id="1160"/>
      <w:bookmarkEnd w:id="1161"/>
      <w:bookmarkEnd w:id="1162"/>
      <w:bookmarkEnd w:id="1163"/>
    </w:p>
    <w:p>
      <w:pPr>
        <w:pStyle w:val="1280"/>
        <w:rPr>
          <w:rFonts w:ascii="宋体"/>
        </w:rPr>
      </w:pPr>
      <w:r>
        <w:rPr>
          <w:rFonts w:ascii="宋体"/>
        </w:rPr>
        <w:t>在合同期间和缺陷责任期内，承包商为项目监理在施工现场和</w:t>
      </w:r>
      <w:r>
        <w:rPr>
          <w:rFonts w:hint="eastAsia" w:ascii="宋体"/>
        </w:rPr>
        <w:t>区县</w:t>
      </w:r>
      <w:r>
        <w:rPr>
          <w:rFonts w:ascii="宋体"/>
        </w:rPr>
        <w:t>内工作提供交通便利。现场应配备至少保证4人乘坐的工程越野车一辆，保证现场项目监理员的现场工作、材料检验监测等工作交通。 其所有相关的费用（含驾驶员）应包含在合同价中。</w:t>
      </w:r>
    </w:p>
    <w:bookmarkEnd w:id="184"/>
    <w:bookmarkEnd w:id="185"/>
    <w:bookmarkEnd w:id="186"/>
    <w:bookmarkEnd w:id="187"/>
    <w:bookmarkEnd w:id="188"/>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Pr>
        <w:pStyle w:val="1281"/>
        <w:outlineLvl w:val="0"/>
        <w:rPr>
          <w:rFonts w:ascii="宋体" w:hAnsi="宋体"/>
          <w:color w:val="auto"/>
        </w:rPr>
      </w:pPr>
      <w:bookmarkStart w:id="1164" w:name="_Toc517382466"/>
      <w:bookmarkStart w:id="1165" w:name="_Toc518376514"/>
      <w:bookmarkStart w:id="1166" w:name="_Toc521491835"/>
      <w:bookmarkStart w:id="1167" w:name="_Toc521492692"/>
      <w:bookmarkStart w:id="1168" w:name="_Toc521493366"/>
      <w:bookmarkStart w:id="1169" w:name="_Toc106883020"/>
      <w:bookmarkStart w:id="1170" w:name="_Toc124411344"/>
      <w:bookmarkStart w:id="1171" w:name="_Toc164502075"/>
      <w:bookmarkStart w:id="1172" w:name="_Toc395421305"/>
      <w:bookmarkStart w:id="1173" w:name="_Toc395512306"/>
      <w:bookmarkStart w:id="1174" w:name="_Toc395592607"/>
      <w:bookmarkStart w:id="1175" w:name="_Toc395692963"/>
      <w:bookmarkStart w:id="1176" w:name="_Toc395693167"/>
      <w:bookmarkStart w:id="1177" w:name="_Toc396006237"/>
      <w:bookmarkStart w:id="1178" w:name="_Toc396110365"/>
      <w:bookmarkStart w:id="1179" w:name="_Toc396282798"/>
      <w:bookmarkStart w:id="1180" w:name="_Toc396284753"/>
      <w:bookmarkStart w:id="1181" w:name="_Toc397138337"/>
      <w:bookmarkStart w:id="1182" w:name="_Toc397761329"/>
      <w:r>
        <w:rPr>
          <w:rFonts w:ascii="宋体" w:hAnsi="宋体"/>
          <w:color w:val="auto"/>
        </w:rPr>
        <w:t>1.15</w:t>
      </w:r>
      <w:r>
        <w:rPr>
          <w:rFonts w:hint="eastAsia" w:ascii="宋体" w:hAnsi="宋体"/>
          <w:color w:val="auto"/>
        </w:rPr>
        <w:t xml:space="preserve"> </w:t>
      </w:r>
      <w:r>
        <w:rPr>
          <w:rFonts w:ascii="宋体" w:hAnsi="宋体"/>
          <w:color w:val="auto"/>
        </w:rPr>
        <w:t>工程管理</w:t>
      </w:r>
      <w:bookmarkEnd w:id="1164"/>
      <w:bookmarkEnd w:id="1165"/>
      <w:bookmarkEnd w:id="1166"/>
      <w:bookmarkEnd w:id="1167"/>
      <w:bookmarkEnd w:id="1168"/>
      <w:bookmarkEnd w:id="1169"/>
    </w:p>
    <w:p>
      <w:pPr>
        <w:pStyle w:val="1284"/>
        <w:rPr>
          <w:rFonts w:ascii="宋体" w:hAnsi="宋体"/>
        </w:rPr>
      </w:pPr>
      <w:bookmarkStart w:id="1183" w:name="_Toc395403937"/>
      <w:bookmarkStart w:id="1184" w:name="_Toc395421362"/>
      <w:bookmarkStart w:id="1185" w:name="_Toc395512363"/>
      <w:bookmarkStart w:id="1186" w:name="_Toc395592664"/>
      <w:bookmarkStart w:id="1187" w:name="_Toc395693020"/>
      <w:bookmarkStart w:id="1188" w:name="_Toc395693224"/>
      <w:bookmarkStart w:id="1189" w:name="_Toc396006294"/>
      <w:bookmarkStart w:id="1190" w:name="_Toc396110422"/>
      <w:bookmarkStart w:id="1191" w:name="_Toc396282855"/>
      <w:bookmarkStart w:id="1192" w:name="_Toc396284810"/>
      <w:bookmarkStart w:id="1193" w:name="_Toc397138394"/>
      <w:bookmarkStart w:id="1194" w:name="_Toc397761386"/>
      <w:bookmarkStart w:id="1195" w:name="_Toc398453527"/>
      <w:bookmarkStart w:id="1196" w:name="_Toc398523327"/>
      <w:bookmarkStart w:id="1197" w:name="_Toc16242302"/>
      <w:bookmarkStart w:id="1198" w:name="_Toc43107485"/>
      <w:bookmarkStart w:id="1199" w:name="_Toc517382467"/>
      <w:bookmarkStart w:id="1200" w:name="_Toc518376515"/>
      <w:bookmarkStart w:id="1201" w:name="_Toc521491836"/>
      <w:bookmarkStart w:id="1202" w:name="_Toc521492693"/>
      <w:bookmarkStart w:id="1203" w:name="_Toc521493367"/>
      <w:bookmarkStart w:id="1204" w:name="_Toc106883021"/>
      <w:r>
        <w:rPr>
          <w:rFonts w:ascii="宋体" w:hAnsi="宋体"/>
        </w:rPr>
        <w:t>1.15.1</w:t>
      </w:r>
      <w:r>
        <w:rPr>
          <w:rFonts w:hint="eastAsia" w:ascii="宋体" w:hAnsi="宋体"/>
        </w:rPr>
        <w:t xml:space="preserve"> </w:t>
      </w:r>
      <w:r>
        <w:rPr>
          <w:rFonts w:ascii="宋体" w:hAnsi="宋体"/>
        </w:rPr>
        <w:t>放线和测量</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1280"/>
        <w:rPr>
          <w:rFonts w:ascii="宋体"/>
        </w:rPr>
      </w:pPr>
      <w:r>
        <w:rPr>
          <w:rFonts w:ascii="宋体"/>
        </w:rPr>
        <w:t>项目监理应为承包商的测量工作提供必要的资料和水准点。在收到这些资料和水准点后，承包商应进行实际测量以保证所提供的资料和水准点的准确性，并在测量工作完成后14天内向项目监理提交一份测量报告。</w:t>
      </w:r>
    </w:p>
    <w:p>
      <w:pPr>
        <w:pStyle w:val="1280"/>
        <w:rPr>
          <w:rFonts w:ascii="宋体"/>
        </w:rPr>
      </w:pPr>
      <w:r>
        <w:rPr>
          <w:rFonts w:ascii="宋体"/>
        </w:rPr>
        <w:t>如果承包商计划对本工程中某一部分进行放线或高程标定，则应至少提前24小时通知项目监理和业主以使项目监理和业主能够对承包商的工作进行检查并发出指示。</w:t>
      </w:r>
    </w:p>
    <w:p>
      <w:pPr>
        <w:pStyle w:val="1280"/>
        <w:rPr>
          <w:rFonts w:ascii="宋体"/>
        </w:rPr>
      </w:pPr>
      <w:r>
        <w:rPr>
          <w:rFonts w:ascii="宋体"/>
        </w:rPr>
        <w:t>承包商还应核实本合同所给出的地面高程的准确性。如果承包商对这些高程有不同意见，则应通知项目监理和业主，并说明该高程的地点及准确值。除非项目监理和业主给予确认，承包商不得改变原高程。</w:t>
      </w:r>
    </w:p>
    <w:p>
      <w:pPr>
        <w:pStyle w:val="1280"/>
        <w:rPr>
          <w:rFonts w:ascii="宋体"/>
        </w:rPr>
      </w:pPr>
      <w:r>
        <w:rPr>
          <w:rFonts w:ascii="宋体"/>
        </w:rPr>
        <w:t>承包商应保护好项目监理所提供的关键水准点以防损坏。如果由于承包商保护不善而导致这些水准点损坏，项目监理将重设这些水准点，由此而产生的费用由承包商承担。</w:t>
      </w:r>
    </w:p>
    <w:p>
      <w:pPr>
        <w:pStyle w:val="1280"/>
        <w:rPr>
          <w:rFonts w:ascii="宋体"/>
        </w:rPr>
      </w:pPr>
      <w:r>
        <w:rPr>
          <w:rFonts w:ascii="宋体"/>
        </w:rPr>
        <w:t>承包商应使用合格的专业人员来进行测量。</w:t>
      </w:r>
    </w:p>
    <w:p>
      <w:pPr>
        <w:pStyle w:val="1280"/>
        <w:rPr>
          <w:rFonts w:ascii="宋体"/>
        </w:rPr>
      </w:pPr>
      <w:r>
        <w:rPr>
          <w:rFonts w:ascii="宋体"/>
        </w:rPr>
        <w:t>承包商应及时地将所有测量点的最新数据提供给项目监理和业主，这些测量标识物应按照项目监理和业主的要求油漆成明亮的颜色并作标记。</w:t>
      </w:r>
    </w:p>
    <w:p>
      <w:pPr>
        <w:pStyle w:val="1280"/>
        <w:rPr>
          <w:rFonts w:ascii="宋体"/>
        </w:rPr>
      </w:pPr>
      <w:r>
        <w:rPr>
          <w:rFonts w:ascii="宋体"/>
        </w:rPr>
        <w:t>如项目监理和业主认为有必要，可要求承包商暂停施工，以检查测量和放线工作。</w:t>
      </w:r>
    </w:p>
    <w:p>
      <w:pPr>
        <w:pStyle w:val="1280"/>
        <w:rPr>
          <w:rFonts w:ascii="宋体"/>
        </w:rPr>
      </w:pPr>
      <w:r>
        <w:rPr>
          <w:rFonts w:ascii="宋体"/>
        </w:rPr>
        <w:t>承包商应为项目监理和业主提供所有必要的测量人员、助手和仪器设备，以便项目监理和业主能在本合同施工期间履行其合同范围内的职责。</w:t>
      </w:r>
    </w:p>
    <w:p>
      <w:pPr>
        <w:pStyle w:val="1284"/>
        <w:rPr>
          <w:rFonts w:ascii="宋体" w:hAnsi="宋体"/>
        </w:rPr>
      </w:pPr>
      <w:bookmarkStart w:id="1205" w:name="_Toc395403938"/>
      <w:bookmarkStart w:id="1206" w:name="_Toc395421363"/>
      <w:bookmarkStart w:id="1207" w:name="_Toc395512364"/>
      <w:bookmarkStart w:id="1208" w:name="_Toc395592665"/>
      <w:bookmarkStart w:id="1209" w:name="_Toc395693021"/>
      <w:bookmarkStart w:id="1210" w:name="_Toc395693225"/>
      <w:bookmarkStart w:id="1211" w:name="_Toc396006295"/>
      <w:bookmarkStart w:id="1212" w:name="_Toc396110423"/>
      <w:bookmarkStart w:id="1213" w:name="_Toc396282856"/>
      <w:bookmarkStart w:id="1214" w:name="_Toc396284811"/>
      <w:bookmarkStart w:id="1215" w:name="_Toc397138395"/>
      <w:bookmarkStart w:id="1216" w:name="_Toc397761387"/>
      <w:bookmarkStart w:id="1217" w:name="_Toc398453528"/>
      <w:bookmarkStart w:id="1218" w:name="_Toc398523328"/>
      <w:bookmarkStart w:id="1219" w:name="_Toc16242303"/>
      <w:bookmarkStart w:id="1220" w:name="_Toc43107486"/>
      <w:bookmarkStart w:id="1221" w:name="_Toc517382468"/>
      <w:bookmarkStart w:id="1222" w:name="_Toc518376516"/>
      <w:bookmarkStart w:id="1223" w:name="_Toc521491837"/>
      <w:bookmarkStart w:id="1224" w:name="_Toc521492694"/>
      <w:bookmarkStart w:id="1225" w:name="_Toc521493368"/>
      <w:bookmarkStart w:id="1226" w:name="_Toc106883022"/>
      <w:r>
        <w:rPr>
          <w:rFonts w:ascii="宋体" w:hAnsi="宋体"/>
        </w:rPr>
        <w:t>1.15.2</w:t>
      </w:r>
      <w:r>
        <w:rPr>
          <w:rFonts w:hint="eastAsia" w:ascii="宋体" w:hAnsi="宋体"/>
        </w:rPr>
        <w:t xml:space="preserve"> </w:t>
      </w:r>
      <w:r>
        <w:rPr>
          <w:rFonts w:ascii="宋体" w:hAnsi="宋体"/>
        </w:rPr>
        <w:t>承包商的月报表</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1280"/>
        <w:rPr>
          <w:rFonts w:ascii="宋体"/>
        </w:rPr>
      </w:pPr>
      <w:r>
        <w:rPr>
          <w:rFonts w:ascii="宋体"/>
        </w:rPr>
        <w:t>在整个施工过程中，承包商应每月25日向项目监理和业主提交一份其执行合同的月报表。该报表应包括但不限于以下内容：</w:t>
      </w:r>
    </w:p>
    <w:p>
      <w:pPr>
        <w:pStyle w:val="1280"/>
        <w:rPr>
          <w:rFonts w:ascii="宋体"/>
        </w:rPr>
      </w:pPr>
      <w:r>
        <w:rPr>
          <w:rFonts w:ascii="宋体"/>
        </w:rPr>
        <w:t>经过批准了的进度计划，其上应有每项工作的当前进展情况；</w:t>
      </w:r>
    </w:p>
    <w:p>
      <w:pPr>
        <w:pStyle w:val="1280"/>
        <w:rPr>
          <w:rFonts w:ascii="宋体"/>
        </w:rPr>
      </w:pPr>
      <w:r>
        <w:rPr>
          <w:rFonts w:ascii="宋体"/>
        </w:rPr>
        <w:t>施工人员详细清单，包括报告期间所有在工地上的承包商及分包商的员工的清单及他们的行业；</w:t>
      </w:r>
    </w:p>
    <w:p>
      <w:pPr>
        <w:pStyle w:val="1280"/>
        <w:rPr>
          <w:rFonts w:ascii="宋体"/>
        </w:rPr>
      </w:pPr>
      <w:r>
        <w:rPr>
          <w:rFonts w:ascii="宋体"/>
        </w:rPr>
        <w:t>报告期间工地现场上的主要施工设备的详细清单，包括这些设备到离工地现场的时间；</w:t>
      </w:r>
    </w:p>
    <w:p>
      <w:pPr>
        <w:pStyle w:val="1280"/>
        <w:rPr>
          <w:rFonts w:ascii="宋体"/>
        </w:rPr>
      </w:pPr>
      <w:r>
        <w:rPr>
          <w:rFonts w:ascii="宋体"/>
        </w:rPr>
        <w:t>报告期间施工使用材料的详细清单。</w:t>
      </w:r>
    </w:p>
    <w:p>
      <w:pPr>
        <w:pStyle w:val="1280"/>
        <w:rPr>
          <w:rFonts w:ascii="宋体"/>
        </w:rPr>
      </w:pPr>
      <w:r>
        <w:rPr>
          <w:rFonts w:ascii="宋体"/>
        </w:rPr>
        <w:t>月报表的格式应符合项目监理的要求。</w:t>
      </w:r>
    </w:p>
    <w:p>
      <w:pPr>
        <w:pStyle w:val="1284"/>
        <w:rPr>
          <w:rFonts w:ascii="宋体" w:hAnsi="宋体"/>
        </w:rPr>
      </w:pPr>
      <w:bookmarkStart w:id="1227" w:name="_Toc395403939"/>
      <w:bookmarkStart w:id="1228" w:name="_Toc395421364"/>
      <w:bookmarkStart w:id="1229" w:name="_Toc395512365"/>
      <w:bookmarkStart w:id="1230" w:name="_Toc395592666"/>
      <w:bookmarkStart w:id="1231" w:name="_Toc395693022"/>
      <w:bookmarkStart w:id="1232" w:name="_Toc395693226"/>
      <w:bookmarkStart w:id="1233" w:name="_Toc396006296"/>
      <w:bookmarkStart w:id="1234" w:name="_Toc396110424"/>
      <w:bookmarkStart w:id="1235" w:name="_Toc396282857"/>
      <w:bookmarkStart w:id="1236" w:name="_Toc396284812"/>
      <w:bookmarkStart w:id="1237" w:name="_Toc397138396"/>
      <w:bookmarkStart w:id="1238" w:name="_Toc397761388"/>
      <w:bookmarkStart w:id="1239" w:name="_Toc398453529"/>
      <w:bookmarkStart w:id="1240" w:name="_Toc398523329"/>
      <w:bookmarkStart w:id="1241" w:name="_Toc16242304"/>
      <w:bookmarkStart w:id="1242" w:name="_Toc43107487"/>
      <w:bookmarkStart w:id="1243" w:name="_Toc517382469"/>
      <w:bookmarkStart w:id="1244" w:name="_Toc518376517"/>
      <w:bookmarkStart w:id="1245" w:name="_Toc521491838"/>
      <w:bookmarkStart w:id="1246" w:name="_Toc521492695"/>
      <w:bookmarkStart w:id="1247" w:name="_Toc521493369"/>
      <w:bookmarkStart w:id="1248" w:name="_Toc106883023"/>
      <w:r>
        <w:rPr>
          <w:rFonts w:ascii="宋体" w:hAnsi="宋体"/>
        </w:rPr>
        <w:t>1.15.3</w:t>
      </w:r>
      <w:r>
        <w:rPr>
          <w:rFonts w:hint="eastAsia" w:ascii="宋体" w:hAnsi="宋体"/>
        </w:rPr>
        <w:t xml:space="preserve"> </w:t>
      </w:r>
      <w:r>
        <w:rPr>
          <w:rFonts w:ascii="宋体" w:hAnsi="宋体"/>
        </w:rPr>
        <w:t>照片</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1280"/>
        <w:rPr>
          <w:rFonts w:ascii="宋体"/>
        </w:rPr>
      </w:pPr>
      <w:r>
        <w:rPr>
          <w:rFonts w:ascii="宋体"/>
        </w:rPr>
        <w:t>在施工过程中和完工时，按照本技术规范和项目监理的要求，承包商应对所施工的工程部分进行拍照。每张照片的底片或电子文档资料都应视为业主的财产，并应和正片一起提交给项目监理和业主。未经项目监理和业主书面批准，承包商不得将这些底片或电子文档和正片提供给任何人。</w:t>
      </w:r>
    </w:p>
    <w:p>
      <w:pPr>
        <w:pStyle w:val="1280"/>
        <w:rPr>
          <w:rFonts w:ascii="宋体"/>
        </w:rPr>
      </w:pPr>
      <w:r>
        <w:rPr>
          <w:rFonts w:ascii="宋体"/>
        </w:rPr>
        <w:t>照片分为两类：进度照片；记录照片。</w:t>
      </w:r>
    </w:p>
    <w:p>
      <w:pPr>
        <w:pStyle w:val="1280"/>
        <w:rPr>
          <w:rFonts w:ascii="宋体"/>
        </w:rPr>
      </w:pPr>
      <w:r>
        <w:rPr>
          <w:rFonts w:ascii="宋体"/>
        </w:rPr>
        <w:t>两类照片都应符合项目监理和业主的要求。在每一正片的背面应记录拍照日期、拍照角度、对拍照主体和参照物的描述。</w:t>
      </w:r>
    </w:p>
    <w:p>
      <w:pPr>
        <w:pStyle w:val="1280"/>
        <w:rPr>
          <w:rFonts w:ascii="宋体"/>
        </w:rPr>
      </w:pPr>
      <w:r>
        <w:rPr>
          <w:rFonts w:ascii="宋体"/>
        </w:rPr>
        <w:t>按照项目监理或本技术规范的要求，承包商应向项目监理和业主提交一份记录照片的底片或电子文档和三份记录照片的正片。其中一份的反面应有承包商和项目监理或业主或其授权代表的签字以证实照片的真实性。如果需要，承包商可以准备两份签字照片以便自己保存一份，但是这多余一份的费用应由承包商承担。</w:t>
      </w:r>
    </w:p>
    <w:p>
      <w:pPr>
        <w:pStyle w:val="1280"/>
        <w:rPr>
          <w:rFonts w:ascii="宋体"/>
        </w:rPr>
      </w:pPr>
      <w:r>
        <w:rPr>
          <w:rFonts w:ascii="宋体"/>
        </w:rPr>
        <w:t>对于项目监理选定的照片，承包商还应再提供两张正片以供编入进度相册。承包商应向项目监理提供两套进度相册，这些相册上应按照项目监理的要求进行照片的装裱并在照片和相册上标上相应的名称。</w:t>
      </w:r>
    </w:p>
    <w:p>
      <w:pPr>
        <w:pStyle w:val="1280"/>
        <w:rPr>
          <w:rFonts w:ascii="宋体"/>
        </w:rPr>
      </w:pPr>
      <w:r>
        <w:rPr>
          <w:rFonts w:ascii="宋体"/>
        </w:rPr>
        <w:t>除非项目监理和业主书面同意，承包商不得以其它目的而对工程施工进行拍照，不论以后这些照片是在中国使用还是在国外使用。</w:t>
      </w:r>
    </w:p>
    <w:p>
      <w:pPr>
        <w:pStyle w:val="1284"/>
        <w:rPr>
          <w:rFonts w:ascii="宋体" w:hAnsi="宋体"/>
        </w:rPr>
      </w:pPr>
      <w:bookmarkStart w:id="1249" w:name="_Toc395403940"/>
      <w:bookmarkStart w:id="1250" w:name="_Toc395421365"/>
      <w:bookmarkStart w:id="1251" w:name="_Toc395512366"/>
      <w:bookmarkStart w:id="1252" w:name="_Toc395592667"/>
      <w:bookmarkStart w:id="1253" w:name="_Toc395693023"/>
      <w:bookmarkStart w:id="1254" w:name="_Toc395693227"/>
      <w:bookmarkStart w:id="1255" w:name="_Toc396006297"/>
      <w:bookmarkStart w:id="1256" w:name="_Toc396110425"/>
      <w:bookmarkStart w:id="1257" w:name="_Toc396282858"/>
      <w:bookmarkStart w:id="1258" w:name="_Toc396284813"/>
      <w:bookmarkStart w:id="1259" w:name="_Toc397138397"/>
      <w:bookmarkStart w:id="1260" w:name="_Toc397761389"/>
      <w:bookmarkStart w:id="1261" w:name="_Toc398453530"/>
      <w:bookmarkStart w:id="1262" w:name="_Toc398523330"/>
      <w:bookmarkStart w:id="1263" w:name="_Toc16242305"/>
      <w:bookmarkStart w:id="1264" w:name="_Toc43107488"/>
      <w:bookmarkStart w:id="1265" w:name="_Toc517382470"/>
      <w:bookmarkStart w:id="1266" w:name="_Toc518376518"/>
      <w:bookmarkStart w:id="1267" w:name="_Toc521491839"/>
      <w:bookmarkStart w:id="1268" w:name="_Toc521492696"/>
      <w:bookmarkStart w:id="1269" w:name="_Toc521493370"/>
      <w:bookmarkStart w:id="1270" w:name="_Toc106883024"/>
      <w:r>
        <w:rPr>
          <w:rFonts w:ascii="宋体" w:hAnsi="宋体"/>
        </w:rPr>
        <w:t>1.15.4</w:t>
      </w:r>
      <w:r>
        <w:rPr>
          <w:rFonts w:hint="eastAsia" w:ascii="宋体" w:hAnsi="宋体"/>
        </w:rPr>
        <w:t xml:space="preserve"> </w:t>
      </w:r>
      <w:r>
        <w:rPr>
          <w:rFonts w:ascii="宋体" w:hAnsi="宋体"/>
        </w:rPr>
        <w:t>工地现场的排水</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1280"/>
        <w:rPr>
          <w:rFonts w:ascii="宋体"/>
        </w:rPr>
      </w:pPr>
      <w:r>
        <w:rPr>
          <w:rFonts w:ascii="宋体"/>
        </w:rPr>
        <w:t>除非另外说明，承包商应保持工地现场排水状况良好并保证在干燥环境下进行工程施工。承包商应保持开挖地点排水状况良好，禁止在积水条件下进行施工。</w:t>
      </w:r>
    </w:p>
    <w:p>
      <w:pPr>
        <w:pStyle w:val="1280"/>
        <w:rPr>
          <w:rFonts w:ascii="宋体"/>
        </w:rPr>
      </w:pPr>
      <w:r>
        <w:rPr>
          <w:rFonts w:ascii="宋体"/>
        </w:rPr>
        <w:t>根据工程进度的需要，承包商应修建、管理和维护所有必要的临时性排水设施。除非业主和项目监理代表同意，承包商不得拆除或关闭这些设施。即使承包商的排水方案得到了业主和项目监理代表的批准，在实施这些方案时，尤其是在洪水季节，承包商应对排水方案的有效性和工程安全负责。除非本合同条款另有规定，承包商应修复普通风险所造成的损坏，并承担所有费用。</w:t>
      </w:r>
    </w:p>
    <w:p>
      <w:pPr>
        <w:pStyle w:val="1284"/>
        <w:rPr>
          <w:rFonts w:ascii="宋体" w:hAnsi="宋体"/>
        </w:rPr>
      </w:pPr>
      <w:bookmarkStart w:id="1271" w:name="_Toc395403941"/>
      <w:bookmarkStart w:id="1272" w:name="_Toc395421366"/>
      <w:bookmarkStart w:id="1273" w:name="_Toc395512367"/>
      <w:bookmarkStart w:id="1274" w:name="_Toc395592668"/>
      <w:bookmarkStart w:id="1275" w:name="_Toc395693024"/>
      <w:bookmarkStart w:id="1276" w:name="_Toc395693228"/>
      <w:bookmarkStart w:id="1277" w:name="_Toc396006298"/>
      <w:bookmarkStart w:id="1278" w:name="_Toc396110426"/>
      <w:bookmarkStart w:id="1279" w:name="_Toc396282859"/>
      <w:bookmarkStart w:id="1280" w:name="_Toc396284814"/>
      <w:bookmarkStart w:id="1281" w:name="_Toc397138398"/>
      <w:bookmarkStart w:id="1282" w:name="_Toc397761390"/>
      <w:bookmarkStart w:id="1283" w:name="_Toc398453531"/>
      <w:bookmarkStart w:id="1284" w:name="_Toc398523331"/>
      <w:bookmarkStart w:id="1285" w:name="_Toc16242306"/>
      <w:bookmarkStart w:id="1286" w:name="_Toc43107489"/>
      <w:bookmarkStart w:id="1287" w:name="_Toc517382471"/>
      <w:bookmarkStart w:id="1288" w:name="_Toc518376519"/>
      <w:bookmarkStart w:id="1289" w:name="_Toc521491840"/>
      <w:bookmarkStart w:id="1290" w:name="_Toc521492697"/>
      <w:bookmarkStart w:id="1291" w:name="_Toc521493371"/>
      <w:bookmarkStart w:id="1292" w:name="_Toc106883025"/>
      <w:r>
        <w:rPr>
          <w:rFonts w:ascii="宋体" w:hAnsi="宋体"/>
        </w:rPr>
        <w:t>1.15.5</w:t>
      </w:r>
      <w:r>
        <w:rPr>
          <w:rFonts w:hint="eastAsia" w:ascii="宋体" w:hAnsi="宋体"/>
        </w:rPr>
        <w:t xml:space="preserve"> </w:t>
      </w:r>
      <w:r>
        <w:rPr>
          <w:rFonts w:ascii="宋体" w:hAnsi="宋体"/>
        </w:rPr>
        <w:t>工地现场的清洁</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1280"/>
        <w:rPr>
          <w:rFonts w:ascii="宋体"/>
        </w:rPr>
      </w:pPr>
      <w:r>
        <w:rPr>
          <w:rFonts w:ascii="宋体"/>
        </w:rPr>
        <w:t>承包商应遵守有关部门制定的卫生和健康法规，保持工地现场和所有工程区域的清洁。</w:t>
      </w:r>
    </w:p>
    <w:p>
      <w:pPr>
        <w:pStyle w:val="1280"/>
        <w:rPr>
          <w:rFonts w:ascii="宋体"/>
        </w:rPr>
      </w:pPr>
      <w:r>
        <w:rPr>
          <w:rFonts w:ascii="宋体"/>
        </w:rPr>
        <w:t>垃圾、水泥袋、废弃模板和废弃金属材料在现场的停放时间不应超过一周，成堆的杂物应及时清除，原材料应堆放整齐。在本合同中执行期间，工地现场应保持清洁和整齐。</w:t>
      </w:r>
    </w:p>
    <w:p>
      <w:pPr>
        <w:pStyle w:val="1280"/>
        <w:rPr>
          <w:rFonts w:ascii="宋体"/>
        </w:rPr>
      </w:pPr>
      <w:r>
        <w:rPr>
          <w:rFonts w:ascii="宋体"/>
        </w:rPr>
        <w:t>承包商应采用合适的施工方法以防止产生大量灰尘。控制灰尘的费用应由承包商承担。</w:t>
      </w:r>
    </w:p>
    <w:p>
      <w:pPr>
        <w:pStyle w:val="1280"/>
        <w:rPr>
          <w:rFonts w:ascii="宋体"/>
        </w:rPr>
      </w:pPr>
      <w:r>
        <w:rPr>
          <w:rFonts w:ascii="宋体"/>
        </w:rPr>
        <w:t>在施工过程中，承包商应保证废物不会对公共和私人的土地或水体产生污染。承包商的车辆和设备在离开工地现场时应清洗干净。运输原材料的车辆应全封闭以防止运输过程中撒漏泥土或废料。</w:t>
      </w:r>
    </w:p>
    <w:p>
      <w:pPr>
        <w:pStyle w:val="1280"/>
        <w:rPr>
          <w:rFonts w:ascii="宋体"/>
        </w:rPr>
      </w:pPr>
      <w:r>
        <w:rPr>
          <w:rFonts w:ascii="宋体"/>
        </w:rPr>
        <w:t>承包商应提供工具、设备和劳动力来履行本条款中的有关要求。</w:t>
      </w:r>
    </w:p>
    <w:p>
      <w:pPr>
        <w:pStyle w:val="1284"/>
        <w:rPr>
          <w:rFonts w:ascii="宋体" w:hAnsi="宋体"/>
        </w:rPr>
      </w:pPr>
      <w:bookmarkStart w:id="1293" w:name="_Toc395512368"/>
      <w:bookmarkStart w:id="1294" w:name="_Toc395592669"/>
      <w:bookmarkStart w:id="1295" w:name="_Toc395693025"/>
      <w:bookmarkStart w:id="1296" w:name="_Toc395403942"/>
      <w:bookmarkStart w:id="1297" w:name="_Toc395421367"/>
      <w:bookmarkStart w:id="1298" w:name="_Toc395693229"/>
      <w:bookmarkStart w:id="1299" w:name="_Toc396006299"/>
      <w:bookmarkStart w:id="1300" w:name="_Toc396110427"/>
      <w:bookmarkStart w:id="1301" w:name="_Toc396282860"/>
      <w:bookmarkStart w:id="1302" w:name="_Toc396284815"/>
      <w:bookmarkStart w:id="1303" w:name="_Toc397138399"/>
      <w:bookmarkStart w:id="1304" w:name="_Toc397761391"/>
      <w:bookmarkStart w:id="1305" w:name="_Toc398453532"/>
      <w:bookmarkStart w:id="1306" w:name="_Toc398523332"/>
      <w:bookmarkStart w:id="1307" w:name="_Toc16242307"/>
      <w:bookmarkStart w:id="1308" w:name="_Toc43107490"/>
      <w:bookmarkStart w:id="1309" w:name="_Toc517382472"/>
      <w:bookmarkStart w:id="1310" w:name="_Toc518376520"/>
      <w:bookmarkStart w:id="1311" w:name="_Toc521491841"/>
      <w:bookmarkStart w:id="1312" w:name="_Toc521492698"/>
      <w:bookmarkStart w:id="1313" w:name="_Toc521493372"/>
      <w:bookmarkStart w:id="1314" w:name="_Toc106883026"/>
      <w:r>
        <w:rPr>
          <w:rFonts w:ascii="宋体" w:hAnsi="宋体"/>
        </w:rPr>
        <w:t>1.15.6</w:t>
      </w:r>
      <w:r>
        <w:rPr>
          <w:rFonts w:hint="eastAsia" w:ascii="宋体" w:hAnsi="宋体"/>
        </w:rPr>
        <w:t xml:space="preserve"> </w:t>
      </w:r>
      <w:r>
        <w:rPr>
          <w:rFonts w:ascii="宋体" w:hAnsi="宋体"/>
        </w:rPr>
        <w:t>噪音控制</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1280"/>
        <w:rPr>
          <w:rFonts w:ascii="宋体"/>
        </w:rPr>
      </w:pPr>
      <w:r>
        <w:rPr>
          <w:rFonts w:ascii="宋体"/>
        </w:rPr>
        <w:t>在确定施工设备、设施和施工方法时，承包商应考虑它们的噪音大小以及对施工工人和周围居民的影响。</w:t>
      </w:r>
    </w:p>
    <w:p>
      <w:pPr>
        <w:pStyle w:val="1280"/>
        <w:rPr>
          <w:rFonts w:ascii="宋体"/>
        </w:rPr>
      </w:pPr>
      <w:r>
        <w:rPr>
          <w:rFonts w:ascii="宋体"/>
        </w:rPr>
        <w:t>如果有关法规有规定或项目监理提出要求，承包商应为其施工工人提供听力保护装置并指导他们如何正确地使用这些装置。</w:t>
      </w:r>
    </w:p>
    <w:p>
      <w:pPr>
        <w:pStyle w:val="1280"/>
        <w:rPr>
          <w:rFonts w:ascii="宋体"/>
        </w:rPr>
      </w:pPr>
      <w:r>
        <w:rPr>
          <w:rFonts w:ascii="宋体"/>
        </w:rPr>
        <w:t>在工地边界上进行噪音测量时，工地的噪音值不得超过环境噪音15分贝以上。下表可作为环境噪音的参考：</w:t>
      </w:r>
    </w:p>
    <w:tbl>
      <w:tblPr>
        <w:tblStyle w:val="77"/>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78"/>
        <w:gridCol w:w="2541"/>
        <w:gridCol w:w="1842"/>
        <w:gridCol w:w="198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jc w:val="center"/>
        </w:trPr>
        <w:tc>
          <w:tcPr>
            <w:tcW w:w="3119" w:type="dxa"/>
            <w:gridSpan w:val="2"/>
            <w:vAlign w:val="center"/>
          </w:tcPr>
          <w:p>
            <w:pPr>
              <w:spacing w:line="360" w:lineRule="auto"/>
              <w:ind w:firstLine="360" w:firstLineChars="200"/>
              <w:jc w:val="center"/>
              <w:rPr>
                <w:rFonts w:ascii="宋体" w:hAnsi="宋体"/>
                <w:bCs/>
                <w:sz w:val="18"/>
                <w:szCs w:val="18"/>
              </w:rPr>
            </w:pPr>
            <w:r>
              <w:rPr>
                <w:rFonts w:ascii="宋体" w:hAnsi="宋体"/>
                <w:sz w:val="18"/>
                <w:szCs w:val="18"/>
              </w:rPr>
              <w:br w:type="page"/>
            </w:r>
            <w:r>
              <w:rPr>
                <w:rFonts w:ascii="宋体" w:hAnsi="宋体"/>
                <w:bCs/>
                <w:sz w:val="18"/>
                <w:szCs w:val="18"/>
              </w:rPr>
              <w:t>应      用</w:t>
            </w:r>
          </w:p>
        </w:tc>
        <w:tc>
          <w:tcPr>
            <w:tcW w:w="3827" w:type="dxa"/>
            <w:gridSpan w:val="2"/>
            <w:vAlign w:val="center"/>
          </w:tcPr>
          <w:p>
            <w:pPr>
              <w:spacing w:line="360" w:lineRule="auto"/>
              <w:ind w:firstLine="360" w:firstLineChars="200"/>
              <w:jc w:val="center"/>
              <w:rPr>
                <w:rFonts w:ascii="宋体" w:hAnsi="宋体"/>
                <w:bCs/>
                <w:sz w:val="18"/>
                <w:szCs w:val="18"/>
              </w:rPr>
            </w:pPr>
            <w:r>
              <w:rPr>
                <w:rFonts w:ascii="宋体" w:hAnsi="宋体"/>
                <w:bCs/>
                <w:sz w:val="18"/>
                <w:szCs w:val="18"/>
              </w:rPr>
              <w:t>等值声强</w:t>
            </w:r>
            <w:r>
              <w:rPr>
                <w:rFonts w:hint="eastAsia" w:ascii="宋体" w:hAnsi="宋体"/>
                <w:bCs/>
                <w:sz w:val="18"/>
                <w:szCs w:val="18"/>
              </w:rPr>
              <w:t>（dB）</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jc w:val="center"/>
        </w:trPr>
        <w:tc>
          <w:tcPr>
            <w:tcW w:w="3119" w:type="dxa"/>
            <w:gridSpan w:val="2"/>
            <w:vAlign w:val="center"/>
          </w:tcPr>
          <w:p>
            <w:pPr>
              <w:spacing w:line="360" w:lineRule="auto"/>
              <w:ind w:firstLine="360" w:firstLineChars="200"/>
              <w:jc w:val="center"/>
              <w:rPr>
                <w:rFonts w:ascii="宋体" w:hAnsi="宋体"/>
                <w:bCs/>
                <w:sz w:val="18"/>
                <w:szCs w:val="18"/>
              </w:rPr>
            </w:pPr>
            <w:r>
              <w:rPr>
                <w:rFonts w:ascii="宋体" w:hAnsi="宋体"/>
                <w:bCs/>
                <w:sz w:val="18"/>
                <w:szCs w:val="18"/>
              </w:rPr>
              <w:t>区      域</w:t>
            </w:r>
          </w:p>
        </w:tc>
        <w:tc>
          <w:tcPr>
            <w:tcW w:w="1842" w:type="dxa"/>
            <w:vAlign w:val="center"/>
          </w:tcPr>
          <w:p>
            <w:pPr>
              <w:spacing w:line="360" w:lineRule="auto"/>
              <w:jc w:val="center"/>
              <w:rPr>
                <w:rFonts w:ascii="宋体" w:hAnsi="宋体"/>
                <w:bCs/>
                <w:sz w:val="18"/>
                <w:szCs w:val="18"/>
              </w:rPr>
            </w:pPr>
            <w:r>
              <w:rPr>
                <w:rFonts w:ascii="宋体" w:hAnsi="宋体"/>
                <w:bCs/>
                <w:sz w:val="18"/>
                <w:szCs w:val="18"/>
              </w:rPr>
              <w:t>早6点到晚22点间</w:t>
            </w:r>
          </w:p>
        </w:tc>
        <w:tc>
          <w:tcPr>
            <w:tcW w:w="1985" w:type="dxa"/>
            <w:vAlign w:val="center"/>
          </w:tcPr>
          <w:p>
            <w:pPr>
              <w:spacing w:line="360" w:lineRule="auto"/>
              <w:jc w:val="center"/>
              <w:rPr>
                <w:rFonts w:ascii="宋体" w:hAnsi="宋体"/>
                <w:bCs/>
                <w:sz w:val="18"/>
                <w:szCs w:val="18"/>
              </w:rPr>
            </w:pPr>
            <w:r>
              <w:rPr>
                <w:rFonts w:ascii="宋体" w:hAnsi="宋体"/>
                <w:bCs/>
                <w:sz w:val="18"/>
                <w:szCs w:val="18"/>
              </w:rPr>
              <w:t>晚22点间到早6点间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jc w:val="center"/>
        </w:trPr>
        <w:tc>
          <w:tcPr>
            <w:tcW w:w="578" w:type="dxa"/>
            <w:vAlign w:val="center"/>
          </w:tcPr>
          <w:p>
            <w:pPr>
              <w:spacing w:line="360" w:lineRule="auto"/>
              <w:jc w:val="center"/>
              <w:rPr>
                <w:rFonts w:ascii="宋体" w:hAnsi="宋体"/>
                <w:sz w:val="18"/>
                <w:szCs w:val="18"/>
              </w:rPr>
            </w:pPr>
            <w:r>
              <w:rPr>
                <w:rFonts w:ascii="宋体" w:hAnsi="宋体"/>
                <w:sz w:val="18"/>
                <w:szCs w:val="18"/>
              </w:rPr>
              <w:t>1</w:t>
            </w:r>
          </w:p>
        </w:tc>
        <w:tc>
          <w:tcPr>
            <w:tcW w:w="2541" w:type="dxa"/>
            <w:vAlign w:val="center"/>
          </w:tcPr>
          <w:p>
            <w:pPr>
              <w:spacing w:line="360" w:lineRule="auto"/>
              <w:jc w:val="center"/>
              <w:rPr>
                <w:rFonts w:ascii="宋体" w:hAnsi="宋体"/>
                <w:sz w:val="18"/>
                <w:szCs w:val="18"/>
              </w:rPr>
            </w:pPr>
            <w:r>
              <w:rPr>
                <w:rFonts w:ascii="宋体" w:hAnsi="宋体"/>
                <w:sz w:val="18"/>
                <w:szCs w:val="18"/>
              </w:rPr>
              <w:t>医院、疗养院、旅馆、养殖厂</w:t>
            </w:r>
          </w:p>
        </w:tc>
        <w:tc>
          <w:tcPr>
            <w:tcW w:w="1842" w:type="dxa"/>
            <w:vAlign w:val="center"/>
          </w:tcPr>
          <w:p>
            <w:pPr>
              <w:spacing w:line="360" w:lineRule="auto"/>
              <w:jc w:val="center"/>
              <w:rPr>
                <w:rFonts w:ascii="宋体" w:hAnsi="宋体"/>
                <w:sz w:val="18"/>
                <w:szCs w:val="18"/>
              </w:rPr>
            </w:pPr>
            <w:r>
              <w:rPr>
                <w:rFonts w:ascii="宋体" w:hAnsi="宋体"/>
                <w:sz w:val="18"/>
                <w:szCs w:val="18"/>
              </w:rPr>
              <w:t>45</w:t>
            </w:r>
          </w:p>
        </w:tc>
        <w:tc>
          <w:tcPr>
            <w:tcW w:w="1985" w:type="dxa"/>
            <w:vAlign w:val="center"/>
          </w:tcPr>
          <w:p>
            <w:pPr>
              <w:spacing w:line="360" w:lineRule="auto"/>
              <w:jc w:val="center"/>
              <w:rPr>
                <w:rFonts w:ascii="宋体" w:hAnsi="宋体"/>
                <w:sz w:val="18"/>
                <w:szCs w:val="18"/>
              </w:rPr>
            </w:pPr>
            <w:r>
              <w:rPr>
                <w:rFonts w:ascii="宋体" w:hAnsi="宋体"/>
                <w:sz w:val="18"/>
                <w:szCs w:val="18"/>
              </w:rPr>
              <w:t>35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jc w:val="center"/>
        </w:trPr>
        <w:tc>
          <w:tcPr>
            <w:tcW w:w="578" w:type="dxa"/>
            <w:vAlign w:val="center"/>
          </w:tcPr>
          <w:p>
            <w:pPr>
              <w:spacing w:line="360" w:lineRule="auto"/>
              <w:jc w:val="center"/>
              <w:rPr>
                <w:rFonts w:ascii="宋体" w:hAnsi="宋体"/>
                <w:sz w:val="18"/>
                <w:szCs w:val="18"/>
              </w:rPr>
            </w:pPr>
            <w:r>
              <w:rPr>
                <w:rFonts w:ascii="宋体" w:hAnsi="宋体"/>
                <w:sz w:val="18"/>
                <w:szCs w:val="18"/>
              </w:rPr>
              <w:t>2</w:t>
            </w:r>
          </w:p>
        </w:tc>
        <w:tc>
          <w:tcPr>
            <w:tcW w:w="2541" w:type="dxa"/>
            <w:vAlign w:val="center"/>
          </w:tcPr>
          <w:p>
            <w:pPr>
              <w:spacing w:line="360" w:lineRule="auto"/>
              <w:jc w:val="center"/>
              <w:rPr>
                <w:rFonts w:ascii="宋体" w:hAnsi="宋体"/>
                <w:sz w:val="18"/>
                <w:szCs w:val="18"/>
              </w:rPr>
            </w:pPr>
            <w:r>
              <w:rPr>
                <w:rFonts w:ascii="宋体" w:hAnsi="宋体"/>
                <w:sz w:val="18"/>
                <w:szCs w:val="18"/>
              </w:rPr>
              <w:t>办公室、学校、居住区</w:t>
            </w:r>
          </w:p>
        </w:tc>
        <w:tc>
          <w:tcPr>
            <w:tcW w:w="1842" w:type="dxa"/>
            <w:vAlign w:val="center"/>
          </w:tcPr>
          <w:p>
            <w:pPr>
              <w:spacing w:line="360" w:lineRule="auto"/>
              <w:jc w:val="center"/>
              <w:rPr>
                <w:rFonts w:ascii="宋体" w:hAnsi="宋体"/>
                <w:sz w:val="18"/>
                <w:szCs w:val="18"/>
              </w:rPr>
            </w:pPr>
            <w:r>
              <w:rPr>
                <w:rFonts w:ascii="宋体" w:hAnsi="宋体"/>
                <w:sz w:val="18"/>
                <w:szCs w:val="18"/>
              </w:rPr>
              <w:t>50</w:t>
            </w:r>
          </w:p>
        </w:tc>
        <w:tc>
          <w:tcPr>
            <w:tcW w:w="1985" w:type="dxa"/>
            <w:vAlign w:val="center"/>
          </w:tcPr>
          <w:p>
            <w:pPr>
              <w:spacing w:line="360" w:lineRule="auto"/>
              <w:jc w:val="center"/>
              <w:rPr>
                <w:rFonts w:ascii="宋体" w:hAnsi="宋体"/>
                <w:sz w:val="18"/>
                <w:szCs w:val="18"/>
              </w:rPr>
            </w:pPr>
            <w:r>
              <w:rPr>
                <w:rFonts w:ascii="宋体" w:hAnsi="宋体"/>
                <w:sz w:val="18"/>
                <w:szCs w:val="18"/>
              </w:rPr>
              <w:t>40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jc w:val="center"/>
        </w:trPr>
        <w:tc>
          <w:tcPr>
            <w:tcW w:w="578" w:type="dxa"/>
            <w:vAlign w:val="center"/>
          </w:tcPr>
          <w:p>
            <w:pPr>
              <w:spacing w:line="360" w:lineRule="auto"/>
              <w:jc w:val="center"/>
              <w:rPr>
                <w:rFonts w:ascii="宋体" w:hAnsi="宋体"/>
                <w:sz w:val="18"/>
                <w:szCs w:val="18"/>
              </w:rPr>
            </w:pPr>
            <w:r>
              <w:rPr>
                <w:rFonts w:ascii="宋体" w:hAnsi="宋体"/>
                <w:sz w:val="18"/>
                <w:szCs w:val="18"/>
              </w:rPr>
              <w:t>3</w:t>
            </w:r>
          </w:p>
        </w:tc>
        <w:tc>
          <w:tcPr>
            <w:tcW w:w="2541" w:type="dxa"/>
            <w:vAlign w:val="center"/>
          </w:tcPr>
          <w:p>
            <w:pPr>
              <w:spacing w:line="360" w:lineRule="auto"/>
              <w:jc w:val="center"/>
              <w:rPr>
                <w:rFonts w:ascii="宋体" w:hAnsi="宋体"/>
                <w:sz w:val="18"/>
                <w:szCs w:val="18"/>
              </w:rPr>
            </w:pPr>
            <w:r>
              <w:rPr>
                <w:rFonts w:ascii="宋体" w:hAnsi="宋体"/>
                <w:sz w:val="18"/>
                <w:szCs w:val="18"/>
              </w:rPr>
              <w:t>小型商店、手工作坊</w:t>
            </w:r>
          </w:p>
        </w:tc>
        <w:tc>
          <w:tcPr>
            <w:tcW w:w="1842" w:type="dxa"/>
            <w:vAlign w:val="center"/>
          </w:tcPr>
          <w:p>
            <w:pPr>
              <w:spacing w:line="360" w:lineRule="auto"/>
              <w:jc w:val="center"/>
              <w:rPr>
                <w:rFonts w:ascii="宋体" w:hAnsi="宋体"/>
                <w:sz w:val="18"/>
                <w:szCs w:val="18"/>
              </w:rPr>
            </w:pPr>
            <w:r>
              <w:rPr>
                <w:rFonts w:ascii="宋体" w:hAnsi="宋体"/>
                <w:sz w:val="18"/>
                <w:szCs w:val="18"/>
              </w:rPr>
              <w:t>55</w:t>
            </w:r>
          </w:p>
        </w:tc>
        <w:tc>
          <w:tcPr>
            <w:tcW w:w="1985" w:type="dxa"/>
            <w:vAlign w:val="center"/>
          </w:tcPr>
          <w:p>
            <w:pPr>
              <w:spacing w:line="360" w:lineRule="auto"/>
              <w:jc w:val="center"/>
              <w:rPr>
                <w:rFonts w:ascii="宋体" w:hAnsi="宋体"/>
                <w:sz w:val="18"/>
                <w:szCs w:val="18"/>
              </w:rPr>
            </w:pPr>
            <w:r>
              <w:rPr>
                <w:rFonts w:ascii="宋体" w:hAnsi="宋体"/>
                <w:sz w:val="18"/>
                <w:szCs w:val="18"/>
              </w:rPr>
              <w:t>45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jc w:val="center"/>
        </w:trPr>
        <w:tc>
          <w:tcPr>
            <w:tcW w:w="578" w:type="dxa"/>
            <w:vAlign w:val="center"/>
          </w:tcPr>
          <w:p>
            <w:pPr>
              <w:spacing w:line="360" w:lineRule="auto"/>
              <w:jc w:val="center"/>
              <w:rPr>
                <w:rFonts w:ascii="宋体" w:hAnsi="宋体"/>
                <w:sz w:val="18"/>
                <w:szCs w:val="18"/>
              </w:rPr>
            </w:pPr>
            <w:r>
              <w:rPr>
                <w:rFonts w:ascii="宋体" w:hAnsi="宋体"/>
                <w:sz w:val="18"/>
                <w:szCs w:val="18"/>
              </w:rPr>
              <w:t>4</w:t>
            </w:r>
          </w:p>
        </w:tc>
        <w:tc>
          <w:tcPr>
            <w:tcW w:w="2541" w:type="dxa"/>
            <w:vAlign w:val="center"/>
          </w:tcPr>
          <w:p>
            <w:pPr>
              <w:spacing w:line="360" w:lineRule="auto"/>
              <w:jc w:val="center"/>
              <w:rPr>
                <w:rFonts w:ascii="宋体" w:hAnsi="宋体"/>
                <w:sz w:val="18"/>
                <w:szCs w:val="18"/>
              </w:rPr>
            </w:pPr>
            <w:r>
              <w:rPr>
                <w:rFonts w:ascii="宋体" w:hAnsi="宋体"/>
                <w:sz w:val="18"/>
                <w:szCs w:val="18"/>
              </w:rPr>
              <w:t>商场、小型工厂</w:t>
            </w:r>
          </w:p>
        </w:tc>
        <w:tc>
          <w:tcPr>
            <w:tcW w:w="1842" w:type="dxa"/>
            <w:vAlign w:val="center"/>
          </w:tcPr>
          <w:p>
            <w:pPr>
              <w:spacing w:line="360" w:lineRule="auto"/>
              <w:jc w:val="center"/>
              <w:rPr>
                <w:rFonts w:ascii="宋体" w:hAnsi="宋体"/>
                <w:sz w:val="18"/>
                <w:szCs w:val="18"/>
              </w:rPr>
            </w:pPr>
            <w:r>
              <w:rPr>
                <w:rFonts w:ascii="宋体" w:hAnsi="宋体"/>
                <w:sz w:val="18"/>
                <w:szCs w:val="18"/>
              </w:rPr>
              <w:t>60</w:t>
            </w:r>
          </w:p>
        </w:tc>
        <w:tc>
          <w:tcPr>
            <w:tcW w:w="1985" w:type="dxa"/>
            <w:vAlign w:val="center"/>
          </w:tcPr>
          <w:p>
            <w:pPr>
              <w:spacing w:line="360" w:lineRule="auto"/>
              <w:jc w:val="center"/>
              <w:rPr>
                <w:rFonts w:ascii="宋体" w:hAnsi="宋体"/>
                <w:sz w:val="18"/>
                <w:szCs w:val="18"/>
              </w:rPr>
            </w:pPr>
            <w:r>
              <w:rPr>
                <w:rFonts w:ascii="宋体" w:hAnsi="宋体"/>
                <w:sz w:val="18"/>
                <w:szCs w:val="18"/>
              </w:rPr>
              <w:t>50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jc w:val="center"/>
        </w:trPr>
        <w:tc>
          <w:tcPr>
            <w:tcW w:w="578" w:type="dxa"/>
            <w:vAlign w:val="center"/>
          </w:tcPr>
          <w:p>
            <w:pPr>
              <w:spacing w:line="360" w:lineRule="auto"/>
              <w:jc w:val="center"/>
              <w:rPr>
                <w:rFonts w:ascii="宋体" w:hAnsi="宋体"/>
                <w:sz w:val="18"/>
                <w:szCs w:val="18"/>
              </w:rPr>
            </w:pPr>
            <w:r>
              <w:rPr>
                <w:rFonts w:ascii="宋体" w:hAnsi="宋体"/>
                <w:sz w:val="18"/>
                <w:szCs w:val="18"/>
              </w:rPr>
              <w:t>5</w:t>
            </w:r>
          </w:p>
        </w:tc>
        <w:tc>
          <w:tcPr>
            <w:tcW w:w="2541" w:type="dxa"/>
            <w:vAlign w:val="center"/>
          </w:tcPr>
          <w:p>
            <w:pPr>
              <w:spacing w:line="360" w:lineRule="auto"/>
              <w:jc w:val="center"/>
              <w:rPr>
                <w:rFonts w:ascii="宋体" w:hAnsi="宋体"/>
                <w:sz w:val="18"/>
                <w:szCs w:val="18"/>
              </w:rPr>
            </w:pPr>
            <w:r>
              <w:rPr>
                <w:rFonts w:ascii="宋体" w:hAnsi="宋体"/>
                <w:sz w:val="18"/>
                <w:szCs w:val="18"/>
              </w:rPr>
              <w:t>工业区</w:t>
            </w:r>
          </w:p>
        </w:tc>
        <w:tc>
          <w:tcPr>
            <w:tcW w:w="1842" w:type="dxa"/>
            <w:vAlign w:val="center"/>
          </w:tcPr>
          <w:p>
            <w:pPr>
              <w:spacing w:line="360" w:lineRule="auto"/>
              <w:jc w:val="center"/>
              <w:rPr>
                <w:rFonts w:ascii="宋体" w:hAnsi="宋体"/>
                <w:sz w:val="18"/>
                <w:szCs w:val="18"/>
              </w:rPr>
            </w:pPr>
            <w:r>
              <w:rPr>
                <w:rFonts w:ascii="宋体" w:hAnsi="宋体"/>
                <w:sz w:val="18"/>
                <w:szCs w:val="18"/>
              </w:rPr>
              <w:t>65</w:t>
            </w:r>
          </w:p>
        </w:tc>
        <w:tc>
          <w:tcPr>
            <w:tcW w:w="1985" w:type="dxa"/>
            <w:vAlign w:val="center"/>
          </w:tcPr>
          <w:p>
            <w:pPr>
              <w:spacing w:line="360" w:lineRule="auto"/>
              <w:jc w:val="center"/>
              <w:rPr>
                <w:rFonts w:ascii="宋体" w:hAnsi="宋体"/>
                <w:sz w:val="18"/>
                <w:szCs w:val="18"/>
              </w:rPr>
            </w:pPr>
            <w:r>
              <w:rPr>
                <w:rFonts w:ascii="宋体" w:hAnsi="宋体"/>
                <w:sz w:val="18"/>
                <w:szCs w:val="18"/>
              </w:rPr>
              <w:t>55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jc w:val="center"/>
        </w:trPr>
        <w:tc>
          <w:tcPr>
            <w:tcW w:w="578" w:type="dxa"/>
            <w:vAlign w:val="center"/>
          </w:tcPr>
          <w:p>
            <w:pPr>
              <w:spacing w:line="360" w:lineRule="auto"/>
              <w:jc w:val="center"/>
              <w:rPr>
                <w:rFonts w:ascii="宋体" w:hAnsi="宋体"/>
                <w:sz w:val="18"/>
                <w:szCs w:val="18"/>
              </w:rPr>
            </w:pPr>
            <w:r>
              <w:rPr>
                <w:rFonts w:ascii="宋体" w:hAnsi="宋体"/>
                <w:sz w:val="18"/>
                <w:szCs w:val="18"/>
              </w:rPr>
              <w:t>6</w:t>
            </w:r>
          </w:p>
        </w:tc>
        <w:tc>
          <w:tcPr>
            <w:tcW w:w="2541" w:type="dxa"/>
            <w:vAlign w:val="center"/>
          </w:tcPr>
          <w:p>
            <w:pPr>
              <w:spacing w:line="360" w:lineRule="auto"/>
              <w:jc w:val="center"/>
              <w:rPr>
                <w:rFonts w:ascii="宋体" w:hAnsi="宋体"/>
                <w:sz w:val="18"/>
                <w:szCs w:val="18"/>
              </w:rPr>
            </w:pPr>
            <w:r>
              <w:rPr>
                <w:rFonts w:ascii="宋体" w:hAnsi="宋体"/>
                <w:sz w:val="18"/>
                <w:szCs w:val="18"/>
              </w:rPr>
              <w:t>交通主干道</w:t>
            </w:r>
          </w:p>
        </w:tc>
        <w:tc>
          <w:tcPr>
            <w:tcW w:w="1842" w:type="dxa"/>
            <w:vAlign w:val="center"/>
          </w:tcPr>
          <w:p>
            <w:pPr>
              <w:spacing w:line="360" w:lineRule="auto"/>
              <w:jc w:val="center"/>
              <w:rPr>
                <w:rFonts w:ascii="宋体" w:hAnsi="宋体"/>
                <w:sz w:val="18"/>
                <w:szCs w:val="18"/>
              </w:rPr>
            </w:pPr>
            <w:r>
              <w:rPr>
                <w:rFonts w:ascii="宋体" w:hAnsi="宋体"/>
                <w:sz w:val="18"/>
                <w:szCs w:val="18"/>
              </w:rPr>
              <w:t>70</w:t>
            </w:r>
          </w:p>
        </w:tc>
        <w:tc>
          <w:tcPr>
            <w:tcW w:w="1985" w:type="dxa"/>
            <w:vAlign w:val="center"/>
          </w:tcPr>
          <w:p>
            <w:pPr>
              <w:spacing w:line="360" w:lineRule="auto"/>
              <w:jc w:val="center"/>
              <w:rPr>
                <w:rFonts w:ascii="宋体" w:hAnsi="宋体"/>
                <w:sz w:val="18"/>
                <w:szCs w:val="18"/>
              </w:rPr>
            </w:pPr>
            <w:r>
              <w:rPr>
                <w:rFonts w:ascii="宋体" w:hAnsi="宋体"/>
                <w:sz w:val="18"/>
                <w:szCs w:val="18"/>
              </w:rPr>
              <w:t>55</w:t>
            </w:r>
          </w:p>
        </w:tc>
      </w:tr>
    </w:tbl>
    <w:p>
      <w:pPr>
        <w:pStyle w:val="1284"/>
        <w:rPr>
          <w:rFonts w:ascii="宋体" w:hAnsi="宋体"/>
        </w:rPr>
      </w:pPr>
      <w:bookmarkStart w:id="1315" w:name="_Toc397479486"/>
      <w:bookmarkStart w:id="1316" w:name="_Toc397479731"/>
      <w:bookmarkStart w:id="1317" w:name="_Toc397479813"/>
      <w:bookmarkStart w:id="1318" w:name="_Toc397481533"/>
      <w:bookmarkStart w:id="1319" w:name="_Toc397485602"/>
      <w:bookmarkStart w:id="1320" w:name="_Toc398083711"/>
      <w:bookmarkStart w:id="1321" w:name="_Toc398453533"/>
      <w:bookmarkStart w:id="1322" w:name="_Toc398523333"/>
      <w:bookmarkStart w:id="1323" w:name="_Toc16242308"/>
      <w:bookmarkStart w:id="1324" w:name="_Toc43107491"/>
      <w:bookmarkStart w:id="1325" w:name="_Toc517382473"/>
      <w:bookmarkStart w:id="1326" w:name="_Toc518376521"/>
      <w:bookmarkStart w:id="1327" w:name="_Toc521491842"/>
      <w:bookmarkStart w:id="1328" w:name="_Toc521492699"/>
      <w:bookmarkStart w:id="1329" w:name="_Toc521493373"/>
      <w:bookmarkStart w:id="1330" w:name="_Toc106883027"/>
      <w:bookmarkStart w:id="1331" w:name="_Toc385007612"/>
      <w:bookmarkStart w:id="1332" w:name="_Toc385008408"/>
      <w:bookmarkStart w:id="1333" w:name="_Toc385012570"/>
      <w:bookmarkStart w:id="1334" w:name="_Toc395412709"/>
      <w:bookmarkStart w:id="1335" w:name="_Toc389511123"/>
      <w:bookmarkStart w:id="1336" w:name="_Toc395403943"/>
      <w:bookmarkStart w:id="1337" w:name="_Toc395421368"/>
      <w:bookmarkStart w:id="1338" w:name="_Toc395512369"/>
      <w:bookmarkStart w:id="1339" w:name="_Toc395592670"/>
      <w:bookmarkStart w:id="1340" w:name="_Toc395693026"/>
      <w:bookmarkStart w:id="1341" w:name="_Toc395693230"/>
      <w:bookmarkStart w:id="1342" w:name="_Toc396006300"/>
      <w:bookmarkStart w:id="1343" w:name="_Toc396110428"/>
      <w:bookmarkStart w:id="1344" w:name="_Toc396282861"/>
      <w:bookmarkStart w:id="1345" w:name="_Toc396284816"/>
      <w:bookmarkStart w:id="1346" w:name="_Toc397138400"/>
      <w:bookmarkStart w:id="1347" w:name="_Toc397761392"/>
      <w:r>
        <w:rPr>
          <w:rFonts w:ascii="宋体" w:hAnsi="宋体"/>
        </w:rPr>
        <w:t>1.15.7</w:t>
      </w:r>
      <w:r>
        <w:rPr>
          <w:rFonts w:hint="eastAsia" w:ascii="宋体" w:hAnsi="宋体"/>
        </w:rPr>
        <w:t xml:space="preserve"> </w:t>
      </w:r>
      <w:r>
        <w:rPr>
          <w:rFonts w:ascii="宋体" w:hAnsi="宋体"/>
        </w:rPr>
        <w:t>公路地段、市政道路地段的工程施工</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1280"/>
        <w:rPr>
          <w:rFonts w:ascii="宋体"/>
        </w:rPr>
      </w:pPr>
      <w:r>
        <w:rPr>
          <w:rFonts w:ascii="宋体"/>
        </w:rPr>
        <w:t>在公路地段、市政道路地段施工，为了施工期间的交通安全，承包商必须征求当地交通管理部门的意见，遵守有关国家交通管理的有关法规和条例。</w:t>
      </w:r>
    </w:p>
    <w:p>
      <w:pPr>
        <w:pStyle w:val="1280"/>
        <w:rPr>
          <w:rFonts w:ascii="宋体"/>
        </w:rPr>
      </w:pPr>
      <w:r>
        <w:rPr>
          <w:rFonts w:ascii="宋体"/>
        </w:rPr>
        <w:t>当由于工程施工导致公路、市政道路路面减少时，承包商必须保证根据交通部或当地交通部门的意见提供至少一辆车的宽度的过车道。在交通弯道处则应更宽一些，并且还应放置足够的交通指示标牌，当公路或市政道路成为单行道后，还应派人对人流、交通进行疏导。</w:t>
      </w:r>
    </w:p>
    <w:p>
      <w:pPr>
        <w:pStyle w:val="1280"/>
        <w:rPr>
          <w:rFonts w:ascii="宋体"/>
        </w:rPr>
      </w:pPr>
      <w:r>
        <w:rPr>
          <w:rFonts w:ascii="宋体"/>
        </w:rPr>
        <w:t>如果因施工不得不使公路或市政道路中断时，承包商必须与有关方面联系并协调处理好有关工作，但不得以此为借口要求增加费用。</w:t>
      </w:r>
    </w:p>
    <w:bookmarkEnd w:id="1331"/>
    <w:bookmarkEnd w:id="1332"/>
    <w:bookmarkEnd w:id="1333"/>
    <w:bookmarkEnd w:id="1334"/>
    <w:bookmarkEnd w:id="1335"/>
    <w:p>
      <w:pPr>
        <w:pStyle w:val="1284"/>
        <w:rPr>
          <w:rFonts w:ascii="宋体" w:hAnsi="宋体"/>
        </w:rPr>
      </w:pPr>
      <w:bookmarkStart w:id="1348" w:name="_Toc517382474"/>
      <w:bookmarkStart w:id="1349" w:name="_Toc398523335"/>
      <w:bookmarkStart w:id="1350" w:name="_Toc43107493"/>
      <w:bookmarkStart w:id="1351" w:name="_Toc521491843"/>
      <w:bookmarkStart w:id="1352" w:name="_Toc16242310"/>
      <w:bookmarkStart w:id="1353" w:name="_Toc106883028"/>
      <w:bookmarkStart w:id="1354" w:name="_Toc518376522"/>
      <w:bookmarkStart w:id="1355" w:name="_Toc521493374"/>
      <w:bookmarkStart w:id="1356" w:name="_Toc398453535"/>
      <w:bookmarkStart w:id="1357" w:name="_Toc521492700"/>
      <w:r>
        <w:rPr>
          <w:rFonts w:ascii="宋体" w:hAnsi="宋体"/>
        </w:rPr>
        <w:t>1.15.</w:t>
      </w:r>
      <w:r>
        <w:rPr>
          <w:rFonts w:hint="eastAsia" w:ascii="宋体" w:hAnsi="宋体"/>
        </w:rPr>
        <w:t xml:space="preserve">8 </w:t>
      </w:r>
      <w:r>
        <w:rPr>
          <w:rFonts w:ascii="宋体" w:hAnsi="宋体"/>
        </w:rPr>
        <w:t>防火</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1280"/>
        <w:rPr>
          <w:rFonts w:ascii="宋体"/>
        </w:rPr>
      </w:pPr>
      <w:r>
        <w:rPr>
          <w:rFonts w:ascii="宋体"/>
        </w:rPr>
        <w:t>承包商应指定专职机构或人员来进行防火工作。除了露天场地外，未经业主和项目监理代表的书面许可，承包商不得在工地及其周围使用非灯光源。如果业主和项目监理代表认为使用非灯光源将会引起火灾，则承包商应采取必要的附加措施并提供所必要的防火设施以达到项目监理的要求，这些措施和设施的费用应由承包商承担，不得增加业主的花费。在此，“非灯光源”包括用于焊接或切割金属的电弧、氧炔焰及其它电火花。</w:t>
      </w:r>
    </w:p>
    <w:p>
      <w:pPr>
        <w:pStyle w:val="1280"/>
        <w:rPr>
          <w:rFonts w:ascii="宋体"/>
        </w:rPr>
      </w:pPr>
      <w:r>
        <w:rPr>
          <w:rFonts w:ascii="宋体"/>
        </w:rPr>
        <w:t>承包商应严格遵守国家政府部门颁布的所有法律、法规，并对由于违反这些规定而导致的火灾或人员及财产的损失承担全部法律责任和经济责任。在上述情况下，承包商应对所有由此而产生的索赔、诉讼、损失、成本、收费、费用进行赔偿并对业主由此而进行的赔偿作出补偿。虽然项目监理代表会对承包商的防火工作进行要求，但这并不免除承包商在本合同下所应承担的责任。</w:t>
      </w:r>
    </w:p>
    <w:p>
      <w:pPr>
        <w:pStyle w:val="1280"/>
        <w:rPr>
          <w:rFonts w:ascii="宋体"/>
        </w:rPr>
      </w:pPr>
      <w:r>
        <w:rPr>
          <w:rFonts w:ascii="宋体"/>
        </w:rPr>
        <w:t>照明系统的电压应为安全电压或其它经过项目监理和业主批准的电压，并且，照明系统线路应与其它设备和装置所用的高压线路分开。</w:t>
      </w:r>
    </w:p>
    <w:p>
      <w:pPr>
        <w:pStyle w:val="1280"/>
        <w:rPr>
          <w:rFonts w:ascii="宋体"/>
        </w:rPr>
      </w:pPr>
      <w:r>
        <w:rPr>
          <w:rFonts w:ascii="宋体"/>
        </w:rPr>
        <w:t>所有在沟道或导管内的裸露输电线应为防电火花型的，并且必须满足现行中国规范（电气设备安装工程和验收规范）的规定。</w:t>
      </w:r>
    </w:p>
    <w:p>
      <w:pPr>
        <w:pStyle w:val="1280"/>
        <w:rPr>
          <w:rFonts w:ascii="宋体"/>
        </w:rPr>
      </w:pPr>
      <w:r>
        <w:rPr>
          <w:rFonts w:ascii="宋体"/>
        </w:rPr>
        <w:t>承包商应准备足够的便携式应急灯以在紧急情况下和工程检查时使用。</w:t>
      </w:r>
    </w:p>
    <w:p>
      <w:pPr>
        <w:pStyle w:val="1284"/>
        <w:rPr>
          <w:rFonts w:ascii="宋体" w:hAnsi="宋体"/>
        </w:rPr>
      </w:pPr>
      <w:bookmarkStart w:id="1358" w:name="_Toc385007615"/>
      <w:bookmarkStart w:id="1359" w:name="_Toc385008411"/>
      <w:bookmarkStart w:id="1360" w:name="_Toc385012573"/>
      <w:bookmarkStart w:id="1361" w:name="_Toc395412712"/>
      <w:bookmarkStart w:id="1362" w:name="_Toc398083715"/>
      <w:bookmarkStart w:id="1363" w:name="_Toc398453536"/>
      <w:bookmarkStart w:id="1364" w:name="_Toc398523336"/>
      <w:bookmarkStart w:id="1365" w:name="_Toc16242311"/>
      <w:bookmarkStart w:id="1366" w:name="_Toc43107494"/>
      <w:bookmarkStart w:id="1367" w:name="_Toc517382475"/>
      <w:bookmarkStart w:id="1368" w:name="_Toc518376523"/>
      <w:bookmarkStart w:id="1369" w:name="_Toc521491844"/>
      <w:bookmarkStart w:id="1370" w:name="_Toc521492701"/>
      <w:bookmarkStart w:id="1371" w:name="_Toc521493375"/>
      <w:bookmarkStart w:id="1372" w:name="_Toc106883029"/>
      <w:r>
        <w:rPr>
          <w:rFonts w:ascii="宋体" w:hAnsi="宋体"/>
        </w:rPr>
        <w:t>1.15.</w:t>
      </w:r>
      <w:r>
        <w:rPr>
          <w:rFonts w:hint="eastAsia" w:ascii="宋体" w:hAnsi="宋体"/>
        </w:rPr>
        <w:t xml:space="preserve">9 </w:t>
      </w:r>
      <w:r>
        <w:rPr>
          <w:rFonts w:ascii="宋体" w:hAnsi="宋体"/>
        </w:rPr>
        <w:t>通风</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1280"/>
        <w:rPr>
          <w:rFonts w:ascii="宋体"/>
        </w:rPr>
      </w:pPr>
      <w:r>
        <w:rPr>
          <w:rFonts w:ascii="宋体"/>
        </w:rPr>
        <w:t>承包商在地下工程中，须提供并维护可行的通风冷却设备，工人和其他经许可入内的人员所吸入的空气中所含的氧气(O</w:t>
      </w:r>
      <w:r>
        <w:rPr>
          <w:rFonts w:ascii="宋体"/>
          <w:vertAlign w:val="subscript"/>
        </w:rPr>
        <w:t>2</w:t>
      </w:r>
      <w:r>
        <w:rPr>
          <w:rFonts w:ascii="宋体"/>
        </w:rPr>
        <w:t>)不能低于20%，而硫化氢(H</w:t>
      </w:r>
      <w:r>
        <w:rPr>
          <w:rFonts w:ascii="宋体"/>
          <w:vertAlign w:val="subscript"/>
        </w:rPr>
        <w:t>2</w:t>
      </w:r>
      <w:r>
        <w:rPr>
          <w:rFonts w:ascii="宋体"/>
        </w:rPr>
        <w:t>S)、甲烷(CH</w:t>
      </w:r>
      <w:r>
        <w:rPr>
          <w:rFonts w:ascii="宋体"/>
          <w:vertAlign w:val="subscript"/>
        </w:rPr>
        <w:t>4</w:t>
      </w:r>
      <w:r>
        <w:rPr>
          <w:rFonts w:ascii="宋体"/>
        </w:rPr>
        <w:t>)以及其它有害气体与灰尘等污染物的浓度，不能大于有害于身体健康的程度，并考虑时间、温度、湿度和几种地下污染物的综合作用的影响，易燃气体的浓度不得超过低爆炸下限(最小爆炸浓度)的10%，承包商须用经许可的装置进行大气检测，至少每天一次，如果上述两极限的任何一个超标的话，检测次数要增加，承包商必须改善通风，以确保管道内有新鲜的空气，用于通风的空气须清洁，在井下和管道里，新鲜空气量不低于每人每小时30立方米。</w:t>
      </w:r>
    </w:p>
    <w:p>
      <w:pPr>
        <w:pStyle w:val="1280"/>
        <w:rPr>
          <w:rFonts w:ascii="宋体"/>
        </w:rPr>
      </w:pPr>
      <w:r>
        <w:rPr>
          <w:rFonts w:ascii="宋体"/>
        </w:rPr>
        <w:t>用于管道通风设备中的通风管道均采用装配式，用非易燃材料制造，通风系统和烟雾处理系统须调试到项目监理满意为止。</w:t>
      </w:r>
    </w:p>
    <w:p>
      <w:pPr>
        <w:pStyle w:val="1280"/>
        <w:rPr>
          <w:rFonts w:ascii="宋体"/>
        </w:rPr>
      </w:pPr>
      <w:r>
        <w:rPr>
          <w:rFonts w:ascii="宋体"/>
        </w:rPr>
        <w:t>工作井及管道内的通风设备的噪音必须低于80分贝。</w:t>
      </w:r>
    </w:p>
    <w:p>
      <w:pPr>
        <w:pStyle w:val="1284"/>
        <w:rPr>
          <w:rFonts w:ascii="宋体" w:hAnsi="宋体"/>
        </w:rPr>
      </w:pPr>
      <w:bookmarkStart w:id="1373" w:name="_Toc385007616"/>
      <w:bookmarkStart w:id="1374" w:name="_Toc385008412"/>
      <w:bookmarkStart w:id="1375" w:name="_Toc385012574"/>
      <w:bookmarkStart w:id="1376" w:name="_Toc395412713"/>
      <w:bookmarkStart w:id="1377" w:name="_Toc398083716"/>
      <w:bookmarkStart w:id="1378" w:name="_Toc398453537"/>
      <w:bookmarkStart w:id="1379" w:name="_Toc398523337"/>
      <w:bookmarkStart w:id="1380" w:name="_Toc16242312"/>
      <w:bookmarkStart w:id="1381" w:name="_Toc43107495"/>
      <w:bookmarkStart w:id="1382" w:name="_Toc517382476"/>
      <w:bookmarkStart w:id="1383" w:name="_Toc518376524"/>
      <w:bookmarkStart w:id="1384" w:name="_Toc521491845"/>
      <w:bookmarkStart w:id="1385" w:name="_Toc521492702"/>
      <w:bookmarkStart w:id="1386" w:name="_Toc521493376"/>
      <w:bookmarkStart w:id="1387" w:name="_Toc106883030"/>
      <w:r>
        <w:rPr>
          <w:rFonts w:ascii="宋体" w:hAnsi="宋体"/>
        </w:rPr>
        <w:t>1.15.1</w:t>
      </w:r>
      <w:r>
        <w:rPr>
          <w:rFonts w:hint="eastAsia" w:ascii="宋体" w:hAnsi="宋体"/>
        </w:rPr>
        <w:t xml:space="preserve">0 </w:t>
      </w:r>
      <w:r>
        <w:rPr>
          <w:rFonts w:ascii="宋体" w:hAnsi="宋体"/>
        </w:rPr>
        <w:t>照明</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1280"/>
        <w:rPr>
          <w:rFonts w:ascii="宋体"/>
        </w:rPr>
      </w:pPr>
      <w:r>
        <w:rPr>
          <w:rFonts w:ascii="宋体"/>
        </w:rPr>
        <w:t>除了工程设施，试验和维修所需的设备外，承包商应安装、操作、维修并事后拆除承包商和项目监理及其工作人员所用的办公室、仓库、实验室及其它临时建筑内的照明、通风和电气等临时设备。</w:t>
      </w:r>
    </w:p>
    <w:p>
      <w:pPr>
        <w:pStyle w:val="1280"/>
        <w:rPr>
          <w:rFonts w:ascii="宋体"/>
        </w:rPr>
      </w:pPr>
      <w:r>
        <w:rPr>
          <w:rFonts w:ascii="宋体"/>
        </w:rPr>
        <w:t>照明系统须使用220伏电压，或其它经项目监理许可的电压，此电源与其它设备和装置的高压分开。</w:t>
      </w:r>
    </w:p>
    <w:p>
      <w:pPr>
        <w:pStyle w:val="1280"/>
        <w:rPr>
          <w:rFonts w:ascii="宋体"/>
        </w:rPr>
      </w:pPr>
      <w:r>
        <w:rPr>
          <w:rFonts w:ascii="宋体"/>
        </w:rPr>
        <w:t>管道、工作井和项目监理考虑到安全生产所需的地方与入口，每隔10米须安装、维护最弱照明度为100W的灯。</w:t>
      </w:r>
    </w:p>
    <w:p>
      <w:pPr>
        <w:pStyle w:val="1280"/>
        <w:rPr>
          <w:rFonts w:ascii="宋体"/>
        </w:rPr>
      </w:pPr>
      <w:r>
        <w:rPr>
          <w:rFonts w:ascii="宋体"/>
        </w:rPr>
        <w:t>在每个工作面及井底须提供两只电池供电的手提灯，以用来处理紧急事件和检查工作。</w:t>
      </w:r>
    </w:p>
    <w:p>
      <w:pPr>
        <w:pStyle w:val="1280"/>
        <w:rPr>
          <w:rFonts w:ascii="宋体"/>
        </w:rPr>
      </w:pPr>
      <w:r>
        <w:rPr>
          <w:rFonts w:ascii="宋体"/>
        </w:rPr>
        <w:t>所有线圈和零部件外露的电加热器，不允许在井下和管道中使用，用于井下和管道内所有明线，都须具有延时起火的性能并须符合现行的中国规范《电气装置安装工程施工及验收规范》的要求。</w:t>
      </w:r>
    </w:p>
    <w:p>
      <w:pPr>
        <w:pStyle w:val="1280"/>
        <w:rPr>
          <w:rFonts w:ascii="宋体"/>
        </w:rPr>
      </w:pPr>
      <w:r>
        <w:rPr>
          <w:rFonts w:ascii="宋体"/>
        </w:rPr>
        <w:t>通到工具管中的变压器的电缆和从变压器出来的电源线，都需是铠装软电缆，电力配电板和接线板须有密封柜罩住，并且输入输出插座须有密封套完全套住。</w:t>
      </w:r>
    </w:p>
    <w:p>
      <w:pPr>
        <w:pStyle w:val="1284"/>
        <w:rPr>
          <w:rFonts w:ascii="宋体" w:hAnsi="宋体"/>
        </w:rPr>
      </w:pPr>
      <w:bookmarkStart w:id="1388" w:name="_Toc385007617"/>
      <w:bookmarkStart w:id="1389" w:name="_Toc385008413"/>
      <w:bookmarkStart w:id="1390" w:name="_Toc385012575"/>
      <w:bookmarkStart w:id="1391" w:name="_Toc395412714"/>
      <w:bookmarkStart w:id="1392" w:name="_Toc398083717"/>
      <w:bookmarkStart w:id="1393" w:name="_Toc398453538"/>
      <w:bookmarkStart w:id="1394" w:name="_Toc398523338"/>
      <w:bookmarkStart w:id="1395" w:name="_Toc16242313"/>
      <w:bookmarkStart w:id="1396" w:name="_Toc43107496"/>
      <w:bookmarkStart w:id="1397" w:name="_Toc517382477"/>
      <w:bookmarkStart w:id="1398" w:name="_Toc518376525"/>
      <w:bookmarkStart w:id="1399" w:name="_Toc521491846"/>
      <w:bookmarkStart w:id="1400" w:name="_Toc521492703"/>
      <w:bookmarkStart w:id="1401" w:name="_Toc521493377"/>
      <w:bookmarkStart w:id="1402" w:name="_Toc106883031"/>
      <w:r>
        <w:rPr>
          <w:rFonts w:ascii="宋体" w:hAnsi="宋体"/>
        </w:rPr>
        <w:t>1.15.1</w:t>
      </w:r>
      <w:r>
        <w:rPr>
          <w:rFonts w:hint="eastAsia" w:ascii="宋体" w:hAnsi="宋体"/>
        </w:rPr>
        <w:t xml:space="preserve">1 </w:t>
      </w:r>
      <w:r>
        <w:rPr>
          <w:rFonts w:ascii="宋体" w:hAnsi="宋体"/>
        </w:rPr>
        <w:t>焊接</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1280"/>
        <w:rPr>
          <w:rFonts w:ascii="宋体"/>
        </w:rPr>
      </w:pPr>
      <w:r>
        <w:rPr>
          <w:rFonts w:ascii="宋体"/>
        </w:rPr>
        <w:t>焊接用的设备和仪器须得到项目监理和业主的认可，应符合现行中国规范《钢结构工程施工质量验收规范》</w:t>
      </w:r>
      <w:r>
        <w:rPr>
          <w:rFonts w:hint="eastAsia" w:ascii="宋体"/>
        </w:rPr>
        <w:t>（</w:t>
      </w:r>
      <w:r>
        <w:rPr>
          <w:rFonts w:ascii="宋体"/>
        </w:rPr>
        <w:t>GB</w:t>
      </w:r>
      <w:r>
        <w:rPr>
          <w:rFonts w:hint="eastAsia" w:ascii="宋体"/>
        </w:rPr>
        <w:t xml:space="preserve"> </w:t>
      </w:r>
      <w:r>
        <w:rPr>
          <w:rFonts w:ascii="宋体"/>
        </w:rPr>
        <w:t>50205-2001</w:t>
      </w:r>
      <w:r>
        <w:rPr>
          <w:rFonts w:hint="eastAsia" w:ascii="宋体"/>
        </w:rPr>
        <w:t>）</w:t>
      </w:r>
      <w:r>
        <w:rPr>
          <w:rFonts w:ascii="宋体"/>
        </w:rPr>
        <w:t>。</w:t>
      </w:r>
    </w:p>
    <w:p>
      <w:pPr>
        <w:pStyle w:val="1280"/>
        <w:rPr>
          <w:rFonts w:ascii="宋体"/>
        </w:rPr>
      </w:pPr>
      <w:r>
        <w:rPr>
          <w:rFonts w:ascii="宋体"/>
        </w:rPr>
        <w:t>承包商应提供焊工的上岗资格证书。</w:t>
      </w:r>
    </w:p>
    <w:p>
      <w:pPr>
        <w:pStyle w:val="1284"/>
        <w:rPr>
          <w:rFonts w:ascii="宋体" w:hAnsi="宋体"/>
        </w:rPr>
      </w:pPr>
      <w:bookmarkStart w:id="1403" w:name="_Toc521493378"/>
      <w:bookmarkStart w:id="1404" w:name="_Toc521492704"/>
      <w:bookmarkStart w:id="1405" w:name="_Toc521491847"/>
      <w:bookmarkStart w:id="1406" w:name="_Toc518376526"/>
      <w:bookmarkStart w:id="1407" w:name="_Toc398453539"/>
      <w:bookmarkStart w:id="1408" w:name="_Toc398523339"/>
      <w:bookmarkStart w:id="1409" w:name="_Toc16242314"/>
      <w:bookmarkStart w:id="1410" w:name="_Toc43107497"/>
      <w:bookmarkStart w:id="1411" w:name="_Toc517382478"/>
      <w:bookmarkStart w:id="1412" w:name="_Toc106883032"/>
      <w:r>
        <w:rPr>
          <w:rFonts w:ascii="宋体" w:hAnsi="宋体"/>
        </w:rPr>
        <w:t>1.15.12 工地现场的标识和标记</w:t>
      </w:r>
      <w:bookmarkEnd w:id="1403"/>
      <w:bookmarkEnd w:id="1404"/>
      <w:bookmarkEnd w:id="1405"/>
      <w:bookmarkEnd w:id="1406"/>
      <w:bookmarkEnd w:id="1407"/>
      <w:bookmarkEnd w:id="1408"/>
      <w:bookmarkEnd w:id="1409"/>
      <w:bookmarkEnd w:id="1410"/>
      <w:bookmarkEnd w:id="1411"/>
      <w:bookmarkEnd w:id="1412"/>
    </w:p>
    <w:p>
      <w:pPr>
        <w:pStyle w:val="1288"/>
        <w:outlineLvl w:val="0"/>
        <w:rPr>
          <w:rFonts w:ascii="宋体" w:hAnsi="宋体"/>
          <w:color w:val="auto"/>
        </w:rPr>
      </w:pPr>
      <w:bookmarkStart w:id="1413" w:name="_Toc395421370"/>
      <w:bookmarkStart w:id="1414" w:name="_Toc395512371"/>
      <w:bookmarkStart w:id="1415" w:name="_Toc395592672"/>
      <w:bookmarkStart w:id="1416" w:name="_Toc395693028"/>
      <w:bookmarkStart w:id="1417" w:name="_Toc395693232"/>
      <w:bookmarkStart w:id="1418" w:name="_Toc396006302"/>
      <w:bookmarkStart w:id="1419" w:name="_Toc396110430"/>
      <w:bookmarkStart w:id="1420" w:name="_Toc396282863"/>
      <w:bookmarkStart w:id="1421" w:name="_Toc396284818"/>
      <w:bookmarkStart w:id="1422" w:name="_Toc397138402"/>
      <w:bookmarkStart w:id="1423" w:name="_Toc397761394"/>
      <w:bookmarkStart w:id="1424" w:name="_Toc398453540"/>
      <w:bookmarkStart w:id="1425" w:name="_Toc398523340"/>
      <w:bookmarkStart w:id="1426" w:name="_Toc16242315"/>
      <w:bookmarkStart w:id="1427" w:name="_Toc106049770"/>
      <w:bookmarkStart w:id="1428" w:name="_Toc106883033"/>
      <w:r>
        <w:rPr>
          <w:rFonts w:ascii="宋体" w:hAnsi="宋体"/>
          <w:color w:val="auto"/>
        </w:rPr>
        <w:t>1.15.12.1 合同标牌</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1280"/>
        <w:rPr>
          <w:rFonts w:ascii="宋体"/>
        </w:rPr>
      </w:pPr>
      <w:r>
        <w:rPr>
          <w:rFonts w:ascii="宋体"/>
        </w:rPr>
        <w:t>按照有关部门的要求和项目监理的指示，承包商应负责识别标志的修建、安装、维护及完工后的拆除。</w:t>
      </w:r>
    </w:p>
    <w:p>
      <w:pPr>
        <w:pStyle w:val="1280"/>
        <w:rPr>
          <w:rFonts w:ascii="宋体"/>
        </w:rPr>
      </w:pPr>
      <w:r>
        <w:rPr>
          <w:rFonts w:ascii="宋体"/>
        </w:rPr>
        <w:t>工地现场识别标志的形式应符合如下要求：</w:t>
      </w:r>
    </w:p>
    <w:p>
      <w:pPr>
        <w:pStyle w:val="1280"/>
        <w:rPr>
          <w:rFonts w:ascii="宋体"/>
        </w:rPr>
      </w:pPr>
      <w:r>
        <w:rPr>
          <w:rFonts w:ascii="宋体"/>
        </w:rPr>
        <w:t>尺寸：1m宽，1.5m高；</w:t>
      </w:r>
    </w:p>
    <w:p>
      <w:pPr>
        <w:pStyle w:val="1280"/>
        <w:rPr>
          <w:rFonts w:ascii="宋体"/>
        </w:rPr>
      </w:pPr>
      <w:r>
        <w:rPr>
          <w:rFonts w:ascii="宋体"/>
        </w:rPr>
        <w:t>颜色：白底红字，红边框；</w:t>
      </w:r>
    </w:p>
    <w:p>
      <w:pPr>
        <w:pStyle w:val="1280"/>
        <w:rPr>
          <w:rFonts w:ascii="宋体"/>
        </w:rPr>
      </w:pPr>
      <w:r>
        <w:rPr>
          <w:rFonts w:ascii="宋体"/>
        </w:rPr>
        <w:t>材料：带金属边框的镀锌钢板；</w:t>
      </w:r>
    </w:p>
    <w:p>
      <w:pPr>
        <w:pStyle w:val="1280"/>
        <w:rPr>
          <w:rFonts w:ascii="宋体"/>
        </w:rPr>
      </w:pPr>
      <w:r>
        <w:rPr>
          <w:rFonts w:ascii="宋体"/>
        </w:rPr>
        <w:t>字体：汉字使用仿宋字；</w:t>
      </w:r>
    </w:p>
    <w:p>
      <w:pPr>
        <w:pStyle w:val="1280"/>
        <w:rPr>
          <w:rFonts w:ascii="宋体"/>
        </w:rPr>
      </w:pPr>
      <w:r>
        <w:rPr>
          <w:rFonts w:ascii="宋体"/>
        </w:rPr>
        <w:t>试样：应用汉字书写下列内容：</w:t>
      </w:r>
    </w:p>
    <w:p>
      <w:pPr>
        <w:pStyle w:val="1280"/>
        <w:rPr>
          <w:rFonts w:ascii="宋体"/>
        </w:rPr>
      </w:pPr>
      <w:r>
        <w:rPr>
          <w:rFonts w:ascii="宋体"/>
        </w:rPr>
        <w:t>项目名称和业主名称；</w:t>
      </w:r>
    </w:p>
    <w:p>
      <w:pPr>
        <w:pStyle w:val="1280"/>
        <w:rPr>
          <w:rFonts w:ascii="宋体"/>
        </w:rPr>
      </w:pPr>
      <w:r>
        <w:rPr>
          <w:rFonts w:ascii="宋体"/>
        </w:rPr>
        <w:t>承包商名称和地址；</w:t>
      </w:r>
    </w:p>
    <w:p>
      <w:pPr>
        <w:pStyle w:val="1280"/>
        <w:rPr>
          <w:rFonts w:ascii="宋体"/>
        </w:rPr>
      </w:pPr>
      <w:r>
        <w:rPr>
          <w:rFonts w:ascii="宋体"/>
        </w:rPr>
        <w:t>项目监理的名称和电话；</w:t>
      </w:r>
    </w:p>
    <w:p>
      <w:pPr>
        <w:pStyle w:val="1280"/>
        <w:rPr>
          <w:rFonts w:ascii="宋体"/>
        </w:rPr>
      </w:pPr>
      <w:r>
        <w:rPr>
          <w:rFonts w:ascii="宋体"/>
        </w:rPr>
        <w:t>工地现场保卫人员的姓名和电话。</w:t>
      </w:r>
    </w:p>
    <w:p>
      <w:pPr>
        <w:pStyle w:val="1280"/>
        <w:rPr>
          <w:rFonts w:ascii="宋体"/>
        </w:rPr>
      </w:pPr>
      <w:r>
        <w:rPr>
          <w:rFonts w:ascii="宋体"/>
        </w:rPr>
        <w:t>承包商应在施工期间负责维护这些标志。上述标志的提供并不免除承包商保证现场安全的责任。</w:t>
      </w:r>
    </w:p>
    <w:p>
      <w:pPr>
        <w:pStyle w:val="1280"/>
        <w:rPr>
          <w:rFonts w:ascii="宋体"/>
        </w:rPr>
      </w:pPr>
      <w:r>
        <w:rPr>
          <w:rFonts w:ascii="宋体"/>
        </w:rPr>
        <w:t>除非项目监理和业主另外书面批准，承包商不得设置任何广告牌或其它标志，也不得允许其他人设置这样的标志。如果项目监理和业主要求承包商拆除上述广告或其它标志，承包商应立即遵照执行。</w:t>
      </w:r>
    </w:p>
    <w:p>
      <w:pPr>
        <w:pStyle w:val="1280"/>
        <w:rPr>
          <w:rFonts w:ascii="宋体"/>
        </w:rPr>
      </w:pPr>
      <w:r>
        <w:rPr>
          <w:rFonts w:ascii="宋体"/>
        </w:rPr>
        <w:t>标志牌的费用应已被列在了工程量清单中。</w:t>
      </w:r>
    </w:p>
    <w:p>
      <w:pPr>
        <w:pStyle w:val="1288"/>
        <w:outlineLvl w:val="0"/>
        <w:rPr>
          <w:rFonts w:ascii="宋体" w:hAnsi="宋体"/>
          <w:color w:val="auto"/>
        </w:rPr>
      </w:pPr>
      <w:bookmarkStart w:id="1429" w:name="_Toc16242316"/>
      <w:bookmarkStart w:id="1430" w:name="_Toc275175224"/>
      <w:bookmarkStart w:id="1431" w:name="_Toc106883034"/>
      <w:bookmarkStart w:id="1432" w:name="_Toc106049771"/>
      <w:bookmarkStart w:id="1433" w:name="_Toc311124535"/>
      <w:bookmarkStart w:id="1434" w:name="_Toc395421371"/>
      <w:bookmarkStart w:id="1435" w:name="_Toc396006303"/>
      <w:bookmarkStart w:id="1436" w:name="_Toc395693233"/>
      <w:bookmarkStart w:id="1437" w:name="_Toc398453541"/>
      <w:bookmarkStart w:id="1438" w:name="_Toc398523341"/>
      <w:bookmarkStart w:id="1439" w:name="_Toc397761395"/>
      <w:bookmarkStart w:id="1440" w:name="_Toc396284819"/>
      <w:bookmarkStart w:id="1441" w:name="_Toc397138403"/>
      <w:bookmarkStart w:id="1442" w:name="_Toc395592673"/>
      <w:bookmarkStart w:id="1443" w:name="_Toc395693029"/>
      <w:bookmarkStart w:id="1444" w:name="_Toc396110431"/>
      <w:bookmarkStart w:id="1445" w:name="_Toc396282864"/>
      <w:bookmarkStart w:id="1446" w:name="_Toc395512372"/>
      <w:r>
        <w:rPr>
          <w:rFonts w:ascii="宋体" w:hAnsi="宋体"/>
          <w:color w:val="auto"/>
        </w:rPr>
        <w:t>1.15.12.2 警告标牌</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1280"/>
        <w:rPr>
          <w:rFonts w:ascii="宋体"/>
        </w:rPr>
      </w:pPr>
      <w:r>
        <w:rPr>
          <w:rFonts w:ascii="宋体"/>
        </w:rPr>
        <w:t>承包商应根据施工安全规范的要求设置安全警告标牌。如果项目监理或业主认为某项正在进行的工程施工可能对工作人员、参观者及公众的安全构成威胁，则项目监理或业主将要求承包商设置适当的警告标牌。承包商应在该项施工期间负责维护这些警告标牌。警告标牌的提供并不免除承包商保证施工现场安全的义务。这些标牌的费用应已包括在了各项相关工程的费用中，承包商将不会得到额外的支付。</w:t>
      </w:r>
    </w:p>
    <w:p>
      <w:pPr>
        <w:pStyle w:val="1284"/>
        <w:outlineLvl w:val="0"/>
        <w:rPr>
          <w:rFonts w:ascii="宋体" w:hAnsi="宋体"/>
        </w:rPr>
      </w:pPr>
      <w:bookmarkStart w:id="1447" w:name="_Toc395421372"/>
      <w:bookmarkStart w:id="1448" w:name="_Toc395512373"/>
      <w:bookmarkStart w:id="1449" w:name="_Toc395592674"/>
      <w:bookmarkStart w:id="1450" w:name="_Toc395693030"/>
      <w:bookmarkStart w:id="1451" w:name="_Toc395693234"/>
      <w:bookmarkStart w:id="1452" w:name="_Toc396006304"/>
      <w:bookmarkStart w:id="1453" w:name="_Toc396110432"/>
      <w:bookmarkStart w:id="1454" w:name="_Toc396282865"/>
      <w:bookmarkStart w:id="1455" w:name="_Toc396284820"/>
      <w:bookmarkStart w:id="1456" w:name="_Toc397138404"/>
      <w:bookmarkStart w:id="1457" w:name="_Toc397761396"/>
      <w:bookmarkStart w:id="1458" w:name="_Toc398453542"/>
      <w:bookmarkStart w:id="1459" w:name="_Toc398523342"/>
      <w:bookmarkStart w:id="1460" w:name="_Toc16242317"/>
      <w:bookmarkStart w:id="1461" w:name="_Toc275175225"/>
      <w:bookmarkStart w:id="1462" w:name="_Toc311124536"/>
      <w:bookmarkStart w:id="1463" w:name="_Toc106049772"/>
      <w:bookmarkStart w:id="1464" w:name="_Toc106883035"/>
      <w:r>
        <w:rPr>
          <w:rFonts w:ascii="宋体" w:hAnsi="宋体"/>
        </w:rPr>
        <w:t>1.15.12.3 语言</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1280"/>
        <w:rPr>
          <w:rFonts w:ascii="宋体"/>
        </w:rPr>
      </w:pPr>
      <w:r>
        <w:rPr>
          <w:rFonts w:ascii="宋体"/>
        </w:rPr>
        <w:t>所有用于运行和维护所建工程的图纸、说明、标识、通知、铭牌等应使用中文。</w:t>
      </w:r>
    </w:p>
    <w:p>
      <w:pPr>
        <w:pStyle w:val="1280"/>
        <w:rPr>
          <w:rFonts w:ascii="宋体"/>
        </w:rPr>
      </w:pPr>
      <w:r>
        <w:rPr>
          <w:rFonts w:ascii="宋体"/>
        </w:rPr>
        <w:t>警告标牌使用中文书写。</w:t>
      </w:r>
    </w:p>
    <w:p>
      <w:pPr>
        <w:pStyle w:val="1284"/>
        <w:rPr>
          <w:rFonts w:ascii="宋体" w:hAnsi="宋体"/>
        </w:rPr>
      </w:pPr>
      <w:bookmarkStart w:id="1465" w:name="_Toc397761397"/>
      <w:bookmarkStart w:id="1466" w:name="_Toc398453543"/>
      <w:bookmarkStart w:id="1467" w:name="_Toc395403945"/>
      <w:bookmarkStart w:id="1468" w:name="_Toc395421373"/>
      <w:bookmarkStart w:id="1469" w:name="_Toc395512374"/>
      <w:bookmarkStart w:id="1470" w:name="_Toc395592675"/>
      <w:bookmarkStart w:id="1471" w:name="_Toc395693031"/>
      <w:bookmarkStart w:id="1472" w:name="_Toc395693235"/>
      <w:bookmarkStart w:id="1473" w:name="_Toc396006305"/>
      <w:bookmarkStart w:id="1474" w:name="_Toc396110433"/>
      <w:bookmarkStart w:id="1475" w:name="_Toc396282866"/>
      <w:bookmarkStart w:id="1476" w:name="_Toc396284821"/>
      <w:bookmarkStart w:id="1477" w:name="_Toc397138405"/>
      <w:bookmarkStart w:id="1478" w:name="_Toc398523343"/>
      <w:bookmarkStart w:id="1479" w:name="_Toc16242318"/>
      <w:bookmarkStart w:id="1480" w:name="_Toc43107498"/>
      <w:bookmarkStart w:id="1481" w:name="_Toc517382479"/>
      <w:bookmarkStart w:id="1482" w:name="_Toc518376527"/>
      <w:bookmarkStart w:id="1483" w:name="_Toc521491848"/>
      <w:bookmarkStart w:id="1484" w:name="_Toc521492705"/>
      <w:bookmarkStart w:id="1485" w:name="_Toc521493379"/>
      <w:bookmarkStart w:id="1486" w:name="_Toc106883036"/>
      <w:r>
        <w:rPr>
          <w:rFonts w:ascii="宋体" w:hAnsi="宋体"/>
        </w:rPr>
        <w:t>1.15.1</w:t>
      </w:r>
      <w:r>
        <w:rPr>
          <w:rFonts w:hint="eastAsia" w:ascii="宋体" w:hAnsi="宋体"/>
        </w:rPr>
        <w:t xml:space="preserve">3 </w:t>
      </w:r>
      <w:r>
        <w:rPr>
          <w:rFonts w:ascii="宋体" w:hAnsi="宋体"/>
        </w:rPr>
        <w:t>施工协调</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1280"/>
        <w:rPr>
          <w:rFonts w:ascii="宋体"/>
        </w:rPr>
      </w:pPr>
      <w:r>
        <w:rPr>
          <w:rFonts w:ascii="宋体"/>
        </w:rPr>
        <w:t>在按照进度计划而开始某一项施工前，承包商应将该项施工的详细内容书面通知项目监理和业主，以使项目监理和业主在该项施工开始前有充分的时间就其认为必要的事宜作出安排。在收到项目监理和业主的书面批准前，承包商不得开始上述施工工作。</w:t>
      </w:r>
    </w:p>
    <w:p>
      <w:pPr>
        <w:pStyle w:val="1280"/>
        <w:rPr>
          <w:rFonts w:ascii="宋体"/>
        </w:rPr>
      </w:pPr>
      <w:r>
        <w:rPr>
          <w:rFonts w:ascii="宋体"/>
        </w:rPr>
        <w:t>在项目监理、业主和设计单位的参与下，承包商应进行一次全面调查和分析，以明确即将开始的某项施工对其它工程的影响范围和程度，并确定施工中将被毁坏、拆除或将需要进行加固的建筑物（构筑物），以及保证施工计划和方法的合理性和可行性的具体措施。</w:t>
      </w:r>
    </w:p>
    <w:p>
      <w:pPr>
        <w:pStyle w:val="1280"/>
        <w:rPr>
          <w:rFonts w:ascii="宋体"/>
        </w:rPr>
      </w:pPr>
      <w:r>
        <w:rPr>
          <w:rFonts w:ascii="宋体"/>
        </w:rPr>
        <w:t>当在施工过程中发现任何问题时，承包商应立即停止施工并通知项目监理和业主。如果项目监理和业主提出要求，则承包商应会同有关单位来找出问题的原因并采取必要的补救措施。</w:t>
      </w:r>
    </w:p>
    <w:p>
      <w:pPr>
        <w:pStyle w:val="1280"/>
        <w:rPr>
          <w:rFonts w:ascii="宋体"/>
        </w:rPr>
      </w:pPr>
      <w:r>
        <w:rPr>
          <w:rFonts w:ascii="宋体"/>
        </w:rPr>
        <w:t>承包商应将其施工所而造成的损坏修复到令项目监理和业主满意的程度，修复工作的费用由承包商承担。</w:t>
      </w:r>
    </w:p>
    <w:p>
      <w:pPr>
        <w:pStyle w:val="1284"/>
        <w:rPr>
          <w:rFonts w:ascii="宋体" w:hAnsi="宋体"/>
        </w:rPr>
      </w:pPr>
      <w:bookmarkStart w:id="1487" w:name="_Toc395403946"/>
      <w:bookmarkStart w:id="1488" w:name="_Toc395421374"/>
      <w:bookmarkStart w:id="1489" w:name="_Toc395512375"/>
      <w:bookmarkStart w:id="1490" w:name="_Toc395592676"/>
      <w:bookmarkStart w:id="1491" w:name="_Toc395693032"/>
      <w:bookmarkStart w:id="1492" w:name="_Toc395693236"/>
      <w:bookmarkStart w:id="1493" w:name="_Toc396006306"/>
      <w:bookmarkStart w:id="1494" w:name="_Toc396110434"/>
      <w:bookmarkStart w:id="1495" w:name="_Toc396282867"/>
      <w:bookmarkStart w:id="1496" w:name="_Toc396284822"/>
      <w:bookmarkStart w:id="1497" w:name="_Toc397138406"/>
      <w:bookmarkStart w:id="1498" w:name="_Toc397761398"/>
      <w:bookmarkStart w:id="1499" w:name="_Toc398453544"/>
      <w:bookmarkStart w:id="1500" w:name="_Toc398523344"/>
      <w:bookmarkStart w:id="1501" w:name="_Toc16242319"/>
      <w:bookmarkStart w:id="1502" w:name="_Toc43107499"/>
      <w:bookmarkStart w:id="1503" w:name="_Toc517382480"/>
      <w:bookmarkStart w:id="1504" w:name="_Toc518376528"/>
      <w:bookmarkStart w:id="1505" w:name="_Toc521491849"/>
      <w:bookmarkStart w:id="1506" w:name="_Toc521492706"/>
      <w:bookmarkStart w:id="1507" w:name="_Toc521493380"/>
      <w:bookmarkStart w:id="1508" w:name="_Toc106883037"/>
      <w:r>
        <w:rPr>
          <w:rFonts w:ascii="宋体" w:hAnsi="宋体"/>
        </w:rPr>
        <w:t>1.15.1</w:t>
      </w:r>
      <w:r>
        <w:rPr>
          <w:rFonts w:hint="eastAsia" w:ascii="宋体" w:hAnsi="宋体"/>
        </w:rPr>
        <w:t xml:space="preserve">4 </w:t>
      </w:r>
      <w:r>
        <w:rPr>
          <w:rFonts w:ascii="宋体" w:hAnsi="宋体"/>
        </w:rPr>
        <w:t>工程会议</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1280"/>
        <w:rPr>
          <w:rFonts w:ascii="宋体"/>
        </w:rPr>
      </w:pPr>
      <w:r>
        <w:rPr>
          <w:rFonts w:ascii="宋体"/>
        </w:rPr>
        <w:t>在本合同授予后，项目监理将组织工程准备会议。工程准备会议将在项目监理办公室或在工地现场的其它地点进行。</w:t>
      </w:r>
    </w:p>
    <w:p>
      <w:pPr>
        <w:pStyle w:val="1280"/>
        <w:rPr>
          <w:rFonts w:ascii="宋体"/>
        </w:rPr>
      </w:pPr>
      <w:r>
        <w:rPr>
          <w:rFonts w:ascii="宋体"/>
        </w:rPr>
        <w:t>工程进度会议在工程施工实施阶段将每周举行一次，或者应项目监理的要求而较频繁地进行。工程进度会议的场所由承包商提供，可在工地现场上或附近。</w:t>
      </w:r>
    </w:p>
    <w:p>
      <w:pPr>
        <w:pStyle w:val="1280"/>
        <w:rPr>
          <w:rFonts w:ascii="宋体"/>
        </w:rPr>
      </w:pPr>
      <w:r>
        <w:rPr>
          <w:rFonts w:ascii="宋体"/>
        </w:rPr>
        <w:t>如果项目监理或业主提出要求，承包商的施工监督、项目经理和分包商代表应出席工程会议。现场项目项目监理员也出席会议。业主方也派一名代表参加工程会议。</w:t>
      </w:r>
    </w:p>
    <w:p>
      <w:pPr>
        <w:pStyle w:val="1280"/>
        <w:rPr>
          <w:rFonts w:ascii="宋体"/>
        </w:rPr>
      </w:pPr>
      <w:r>
        <w:rPr>
          <w:rFonts w:ascii="宋体"/>
        </w:rPr>
        <w:t>项目监理将记录会议内容并将纪要分发给每位与会者。</w:t>
      </w:r>
    </w:p>
    <w:p>
      <w:pPr>
        <w:pStyle w:val="1284"/>
        <w:rPr>
          <w:rFonts w:ascii="宋体" w:hAnsi="宋体"/>
        </w:rPr>
      </w:pPr>
      <w:bookmarkStart w:id="1509" w:name="_Toc395403947"/>
      <w:bookmarkStart w:id="1510" w:name="_Toc395421375"/>
      <w:bookmarkStart w:id="1511" w:name="_Toc395512376"/>
      <w:bookmarkStart w:id="1512" w:name="_Toc395592677"/>
      <w:bookmarkStart w:id="1513" w:name="_Toc395693033"/>
      <w:bookmarkStart w:id="1514" w:name="_Toc395693237"/>
      <w:bookmarkStart w:id="1515" w:name="_Toc396006307"/>
      <w:bookmarkStart w:id="1516" w:name="_Toc396110435"/>
      <w:bookmarkStart w:id="1517" w:name="_Toc396282868"/>
      <w:bookmarkStart w:id="1518" w:name="_Toc396284823"/>
      <w:bookmarkStart w:id="1519" w:name="_Toc397138407"/>
      <w:bookmarkStart w:id="1520" w:name="_Toc397761399"/>
      <w:bookmarkStart w:id="1521" w:name="_Toc398453545"/>
      <w:bookmarkStart w:id="1522" w:name="_Toc398523345"/>
      <w:bookmarkStart w:id="1523" w:name="_Toc16242320"/>
      <w:bookmarkStart w:id="1524" w:name="_Toc43107500"/>
      <w:bookmarkStart w:id="1525" w:name="_Toc517382481"/>
      <w:bookmarkStart w:id="1526" w:name="_Toc518376529"/>
      <w:bookmarkStart w:id="1527" w:name="_Toc521491850"/>
      <w:bookmarkStart w:id="1528" w:name="_Toc521492707"/>
      <w:bookmarkStart w:id="1529" w:name="_Toc521493381"/>
      <w:bookmarkStart w:id="1530" w:name="_Toc106883038"/>
      <w:r>
        <w:rPr>
          <w:rFonts w:ascii="宋体" w:hAnsi="宋体"/>
        </w:rPr>
        <w:t>1.15.1</w:t>
      </w:r>
      <w:r>
        <w:rPr>
          <w:rFonts w:hint="eastAsia" w:ascii="宋体" w:hAnsi="宋体"/>
        </w:rPr>
        <w:t xml:space="preserve">5 </w:t>
      </w:r>
      <w:r>
        <w:rPr>
          <w:rFonts w:ascii="宋体" w:hAnsi="宋体"/>
        </w:rPr>
        <w:t>工地现场安全规范</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1280"/>
        <w:rPr>
          <w:rFonts w:ascii="宋体"/>
        </w:rPr>
      </w:pPr>
      <w:r>
        <w:rPr>
          <w:rFonts w:ascii="宋体"/>
        </w:rPr>
        <w:t>承包商在收到中标通知书后的35天内，向项目监理提交本合同工程的安全实施计划和方案以及施工安全应急预案和汛期防洪预案，并应在施工期间安排合格人员负责施工现场安全问题的管理工作。项目监理的审查不免除承包商在安全施工中所应承担的责任和义务。承包商应遵守有关工地现场安全的所有法律和法规，以保障承包商的现场施工人员、业主和项目监理的工作人员以及公众的安全。承包商应获得，并在工地现场保存所有上述规定的文本，以便项目监理和业主进行监督。</w:t>
      </w:r>
    </w:p>
    <w:p>
      <w:pPr>
        <w:pStyle w:val="1280"/>
        <w:rPr>
          <w:rFonts w:ascii="宋体"/>
        </w:rPr>
      </w:pPr>
      <w:r>
        <w:rPr>
          <w:rFonts w:ascii="宋体"/>
        </w:rPr>
        <w:t>需强调的是，承包商应保证所雇用的人员受过了合适的职业培训，并保证在施工中所采用的工具和工作程序是正确的，否则，承包商应承担由此而产生的索赔、诉讼、损失、惩罚等费用的赔偿。</w:t>
      </w:r>
    </w:p>
    <w:p>
      <w:pPr>
        <w:pStyle w:val="1280"/>
        <w:rPr>
          <w:rFonts w:ascii="宋体"/>
        </w:rPr>
      </w:pPr>
      <w:r>
        <w:rPr>
          <w:rFonts w:ascii="宋体"/>
        </w:rPr>
        <w:t>如果施工中的某些地点将有可能发生不可避免的危险，承包商应将这些地方用围栏隔开并设置醒目的警告标牌。</w:t>
      </w:r>
    </w:p>
    <w:p>
      <w:pPr>
        <w:pStyle w:val="1280"/>
        <w:rPr>
          <w:rFonts w:ascii="宋体"/>
        </w:rPr>
      </w:pPr>
      <w:r>
        <w:rPr>
          <w:rFonts w:ascii="宋体"/>
        </w:rPr>
        <w:t>只有在符合电气安全的条件下，才能进行有关电气设备和装置的施工。所有可能对电气安全产生不利影响的灰尘、潮湿、水、油和其它物质应严格清除。在所有的电气设备通电前，除了进行常规的绝缘测试外，还应检查是否有工具或其它异物遗忘在内。</w:t>
      </w:r>
    </w:p>
    <w:p>
      <w:pPr>
        <w:pStyle w:val="1280"/>
        <w:rPr>
          <w:rFonts w:ascii="宋体"/>
        </w:rPr>
      </w:pPr>
      <w:r>
        <w:rPr>
          <w:rFonts w:ascii="宋体"/>
        </w:rPr>
        <w:t>在实施污水管道工程时，承包商应注意有害气体对人体的危害。承包商应保证从事污水管道工作的人员在安全方面得到了良好的培训并装备有所有必需的设备。这些设备包括但不限于：</w:t>
      </w:r>
    </w:p>
    <w:p>
      <w:pPr>
        <w:pStyle w:val="1280"/>
        <w:rPr>
          <w:rFonts w:ascii="宋体"/>
        </w:rPr>
      </w:pPr>
      <w:r>
        <w:rPr>
          <w:rFonts w:ascii="宋体"/>
        </w:rPr>
        <w:t>瓦斯探测器；</w:t>
      </w:r>
    </w:p>
    <w:p>
      <w:pPr>
        <w:pStyle w:val="1280"/>
        <w:rPr>
          <w:rFonts w:ascii="宋体"/>
        </w:rPr>
      </w:pPr>
      <w:r>
        <w:rPr>
          <w:rFonts w:ascii="宋体"/>
        </w:rPr>
        <w:t>呼吸装备；</w:t>
      </w:r>
    </w:p>
    <w:p>
      <w:pPr>
        <w:pStyle w:val="1280"/>
        <w:rPr>
          <w:rFonts w:ascii="宋体"/>
        </w:rPr>
      </w:pPr>
      <w:r>
        <w:rPr>
          <w:rFonts w:ascii="宋体"/>
        </w:rPr>
        <w:t>安全器具；</w:t>
      </w:r>
    </w:p>
    <w:p>
      <w:pPr>
        <w:pStyle w:val="1280"/>
        <w:rPr>
          <w:rFonts w:ascii="宋体"/>
        </w:rPr>
      </w:pPr>
      <w:r>
        <w:rPr>
          <w:rFonts w:ascii="宋体"/>
        </w:rPr>
        <w:t>升降设施；</w:t>
      </w:r>
    </w:p>
    <w:p>
      <w:pPr>
        <w:pStyle w:val="1280"/>
        <w:rPr>
          <w:rFonts w:ascii="宋体"/>
        </w:rPr>
      </w:pPr>
      <w:r>
        <w:rPr>
          <w:rFonts w:ascii="宋体"/>
        </w:rPr>
        <w:t>防爆的灯源和设备；</w:t>
      </w:r>
    </w:p>
    <w:p>
      <w:pPr>
        <w:pStyle w:val="1280"/>
        <w:rPr>
          <w:rFonts w:ascii="宋体"/>
        </w:rPr>
      </w:pPr>
      <w:r>
        <w:rPr>
          <w:rFonts w:ascii="宋体"/>
        </w:rPr>
        <w:t>防护衣。</w:t>
      </w:r>
    </w:p>
    <w:p>
      <w:pPr>
        <w:pStyle w:val="1280"/>
        <w:rPr>
          <w:rFonts w:ascii="宋体"/>
        </w:rPr>
      </w:pPr>
      <w:r>
        <w:rPr>
          <w:rFonts w:ascii="宋体"/>
        </w:rPr>
        <w:t>与本条款主题内容有关的要求，不论是否写入了本技术规范，承包商都不能免于承担本条款中所规定的义务。项目监理有权对工程施工的各方面是否符合正常的安全规范进行监督，并有权随时提出增强设备及安装安全性的要求。</w:t>
      </w:r>
    </w:p>
    <w:p>
      <w:pPr>
        <w:pStyle w:val="1280"/>
        <w:rPr>
          <w:rFonts w:ascii="宋体"/>
        </w:rPr>
      </w:pPr>
      <w:r>
        <w:rPr>
          <w:rFonts w:ascii="宋体"/>
        </w:rPr>
        <w:t>如果施工中将使用压缩空气，承包商应遵守所有有关的中国或当地法规。</w:t>
      </w:r>
    </w:p>
    <w:p>
      <w:pPr>
        <w:pStyle w:val="1280"/>
        <w:rPr>
          <w:rFonts w:ascii="宋体"/>
        </w:rPr>
      </w:pPr>
      <w:r>
        <w:rPr>
          <w:rFonts w:ascii="宋体"/>
        </w:rPr>
        <w:t>严格遵守</w:t>
      </w:r>
      <w:r>
        <w:rPr>
          <w:rFonts w:hint="eastAsia" w:ascii="宋体"/>
        </w:rPr>
        <w:t>浙江省</w:t>
      </w:r>
      <w:r>
        <w:rPr>
          <w:rFonts w:ascii="宋体"/>
        </w:rPr>
        <w:t>及绍兴市相关政策法规，相关费用计入合同的报价中。</w:t>
      </w:r>
    </w:p>
    <w:p>
      <w:pPr>
        <w:pStyle w:val="1284"/>
        <w:rPr>
          <w:rFonts w:ascii="宋体" w:hAnsi="宋体"/>
        </w:rPr>
      </w:pPr>
      <w:bookmarkStart w:id="1531" w:name="_Toc106883039"/>
      <w:bookmarkStart w:id="1532" w:name="_Toc521492708"/>
      <w:bookmarkStart w:id="1533" w:name="_Toc521493382"/>
      <w:bookmarkStart w:id="1534" w:name="_Toc517382482"/>
      <w:bookmarkStart w:id="1535" w:name="_Toc16242321"/>
      <w:bookmarkStart w:id="1536" w:name="_Toc398523346"/>
      <w:bookmarkStart w:id="1537" w:name="_Toc43107501"/>
      <w:bookmarkStart w:id="1538" w:name="_Toc518376530"/>
      <w:bookmarkStart w:id="1539" w:name="_Toc521491851"/>
      <w:bookmarkStart w:id="1540" w:name="_Toc395421376"/>
      <w:bookmarkStart w:id="1541" w:name="_Toc395512377"/>
      <w:bookmarkStart w:id="1542" w:name="_Toc395592678"/>
      <w:bookmarkStart w:id="1543" w:name="_Toc395693034"/>
      <w:bookmarkStart w:id="1544" w:name="_Toc395693238"/>
      <w:bookmarkStart w:id="1545" w:name="_Toc396006308"/>
      <w:bookmarkStart w:id="1546" w:name="_Toc396110436"/>
      <w:bookmarkStart w:id="1547" w:name="_Toc396282869"/>
      <w:bookmarkStart w:id="1548" w:name="_Toc396284824"/>
      <w:bookmarkStart w:id="1549" w:name="_Toc397138408"/>
      <w:bookmarkStart w:id="1550" w:name="_Toc397761400"/>
      <w:bookmarkStart w:id="1551" w:name="_Toc398453546"/>
      <w:r>
        <w:rPr>
          <w:rFonts w:ascii="宋体" w:hAnsi="宋体"/>
        </w:rPr>
        <w:t>1.15.1</w:t>
      </w:r>
      <w:r>
        <w:rPr>
          <w:rFonts w:hint="eastAsia" w:ascii="宋体" w:hAnsi="宋体"/>
        </w:rPr>
        <w:t xml:space="preserve">6 </w:t>
      </w:r>
      <w:r>
        <w:rPr>
          <w:rFonts w:ascii="宋体" w:hAnsi="宋体"/>
        </w:rPr>
        <w:t>紧急救护</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1280"/>
        <w:rPr>
          <w:rFonts w:ascii="宋体"/>
        </w:rPr>
      </w:pPr>
      <w:r>
        <w:rPr>
          <w:rFonts w:ascii="宋体"/>
        </w:rPr>
        <w:t>承包商应在每个施工现场提供、装备并常设一个条件合格的急救室，并在施工期间在每个施工现场配备一个有经验的急救员。</w:t>
      </w:r>
    </w:p>
    <w:p>
      <w:pPr>
        <w:pStyle w:val="1280"/>
        <w:rPr>
          <w:rFonts w:ascii="宋体"/>
        </w:rPr>
      </w:pPr>
      <w:r>
        <w:rPr>
          <w:rFonts w:ascii="宋体"/>
        </w:rPr>
        <w:t>承包商须在施工前就与当地医院取得联系，并向项目监理汇报严重事故出现时的急救措施。</w:t>
      </w:r>
    </w:p>
    <w:p>
      <w:pPr>
        <w:pStyle w:val="1284"/>
        <w:rPr>
          <w:rFonts w:ascii="宋体" w:hAnsi="宋体"/>
        </w:rPr>
      </w:pPr>
      <w:bookmarkStart w:id="1552" w:name="_Toc395403948"/>
      <w:bookmarkStart w:id="1553" w:name="_Toc395421377"/>
      <w:bookmarkStart w:id="1554" w:name="_Toc395512378"/>
      <w:bookmarkStart w:id="1555" w:name="_Toc395592679"/>
      <w:bookmarkStart w:id="1556" w:name="_Toc395693035"/>
      <w:bookmarkStart w:id="1557" w:name="_Toc395693239"/>
      <w:bookmarkStart w:id="1558" w:name="_Toc396006309"/>
      <w:bookmarkStart w:id="1559" w:name="_Toc396110437"/>
      <w:bookmarkStart w:id="1560" w:name="_Toc396282870"/>
      <w:bookmarkStart w:id="1561" w:name="_Toc396284825"/>
      <w:bookmarkStart w:id="1562" w:name="_Toc397138409"/>
      <w:bookmarkStart w:id="1563" w:name="_Toc397761401"/>
      <w:bookmarkStart w:id="1564" w:name="_Toc398453547"/>
      <w:bookmarkStart w:id="1565" w:name="_Toc398523347"/>
      <w:bookmarkStart w:id="1566" w:name="_Toc16242322"/>
      <w:bookmarkStart w:id="1567" w:name="_Toc43107502"/>
      <w:bookmarkStart w:id="1568" w:name="_Toc517382483"/>
      <w:bookmarkStart w:id="1569" w:name="_Toc518376531"/>
      <w:bookmarkStart w:id="1570" w:name="_Toc521491852"/>
      <w:bookmarkStart w:id="1571" w:name="_Toc521492709"/>
      <w:bookmarkStart w:id="1572" w:name="_Toc521493383"/>
      <w:bookmarkStart w:id="1573" w:name="_Toc106883040"/>
      <w:r>
        <w:rPr>
          <w:rFonts w:ascii="宋体" w:hAnsi="宋体"/>
        </w:rPr>
        <w:t>1.15.1</w:t>
      </w:r>
      <w:r>
        <w:rPr>
          <w:rFonts w:hint="eastAsia" w:ascii="宋体" w:hAnsi="宋体"/>
        </w:rPr>
        <w:t xml:space="preserve">7 </w:t>
      </w:r>
      <w:r>
        <w:rPr>
          <w:rFonts w:ascii="宋体" w:hAnsi="宋体"/>
        </w:rPr>
        <w:t>宣传和参观者</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1280"/>
        <w:rPr>
          <w:rFonts w:ascii="宋体"/>
        </w:rPr>
      </w:pPr>
      <w:r>
        <w:rPr>
          <w:rFonts w:ascii="宋体"/>
        </w:rPr>
        <w:t>除非项目监理和业主书面同意，承包商不得将工地现场的任何部分用于任何形式的广告。</w:t>
      </w:r>
    </w:p>
    <w:p>
      <w:pPr>
        <w:pStyle w:val="1280"/>
        <w:rPr>
          <w:rFonts w:ascii="宋体"/>
        </w:rPr>
      </w:pPr>
      <w:r>
        <w:rPr>
          <w:rFonts w:ascii="宋体"/>
        </w:rPr>
        <w:t>除非项目监理和业主书面同意，承包商不得发表任何有关本工程的资料、刊物、文件、照片和文章。</w:t>
      </w:r>
    </w:p>
    <w:p>
      <w:pPr>
        <w:pStyle w:val="1280"/>
        <w:rPr>
          <w:rFonts w:ascii="宋体"/>
        </w:rPr>
      </w:pPr>
      <w:r>
        <w:rPr>
          <w:rFonts w:ascii="宋体"/>
        </w:rPr>
        <w:t>在本条款中，“参观者”是指在工程施工期间受业主邀请而参观工地现场的个人或团体，包括政治、专业、技术、新闻、广播和电视台方面的人员。</w:t>
      </w:r>
    </w:p>
    <w:p>
      <w:pPr>
        <w:pStyle w:val="1280"/>
        <w:rPr>
          <w:rFonts w:ascii="宋体"/>
        </w:rPr>
      </w:pPr>
      <w:r>
        <w:rPr>
          <w:rFonts w:ascii="宋体"/>
        </w:rPr>
        <w:t>参观的时间和地点应由项目监理、业主和承包商共同决定。承包商应负责为这些来访者提供必要的安全保护装备。</w:t>
      </w:r>
    </w:p>
    <w:p>
      <w:pPr>
        <w:pStyle w:val="1284"/>
        <w:rPr>
          <w:rFonts w:ascii="宋体" w:hAnsi="宋体"/>
        </w:rPr>
      </w:pPr>
      <w:bookmarkStart w:id="1574" w:name="_Toc395403949"/>
      <w:bookmarkStart w:id="1575" w:name="_Toc395421378"/>
      <w:bookmarkStart w:id="1576" w:name="_Toc395512379"/>
      <w:bookmarkStart w:id="1577" w:name="_Toc395592680"/>
      <w:bookmarkStart w:id="1578" w:name="_Toc395693036"/>
      <w:bookmarkStart w:id="1579" w:name="_Toc395693240"/>
      <w:bookmarkStart w:id="1580" w:name="_Toc396006310"/>
      <w:bookmarkStart w:id="1581" w:name="_Toc396110438"/>
      <w:bookmarkStart w:id="1582" w:name="_Toc396282871"/>
      <w:bookmarkStart w:id="1583" w:name="_Toc396284826"/>
      <w:bookmarkStart w:id="1584" w:name="_Toc397138410"/>
      <w:bookmarkStart w:id="1585" w:name="_Toc397761402"/>
      <w:bookmarkStart w:id="1586" w:name="_Toc398453548"/>
      <w:bookmarkStart w:id="1587" w:name="_Toc398523348"/>
      <w:bookmarkStart w:id="1588" w:name="_Toc16242323"/>
      <w:bookmarkStart w:id="1589" w:name="_Toc43107503"/>
      <w:bookmarkStart w:id="1590" w:name="_Toc517382484"/>
      <w:bookmarkStart w:id="1591" w:name="_Toc518376532"/>
      <w:bookmarkStart w:id="1592" w:name="_Toc521491853"/>
      <w:bookmarkStart w:id="1593" w:name="_Toc521492710"/>
      <w:bookmarkStart w:id="1594" w:name="_Toc521493384"/>
      <w:bookmarkStart w:id="1595" w:name="_Toc106883041"/>
      <w:r>
        <w:rPr>
          <w:rFonts w:ascii="宋体" w:hAnsi="宋体"/>
        </w:rPr>
        <w:t>1.15.1</w:t>
      </w:r>
      <w:r>
        <w:rPr>
          <w:rFonts w:hint="eastAsia" w:ascii="宋体" w:hAnsi="宋体"/>
        </w:rPr>
        <w:t xml:space="preserve">8 </w:t>
      </w:r>
      <w:r>
        <w:rPr>
          <w:rFonts w:ascii="宋体" w:hAnsi="宋体"/>
        </w:rPr>
        <w:t>许可证</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Fonts w:ascii="宋体" w:hAnsi="宋体"/>
        </w:rPr>
        <w:t>和操作保养手册</w:t>
      </w:r>
      <w:bookmarkEnd w:id="1588"/>
      <w:bookmarkEnd w:id="1589"/>
      <w:bookmarkEnd w:id="1590"/>
      <w:bookmarkEnd w:id="1591"/>
      <w:bookmarkEnd w:id="1592"/>
      <w:bookmarkEnd w:id="1593"/>
      <w:bookmarkEnd w:id="1594"/>
      <w:bookmarkEnd w:id="1595"/>
    </w:p>
    <w:p>
      <w:pPr>
        <w:pStyle w:val="1280"/>
        <w:rPr>
          <w:rFonts w:ascii="宋体"/>
        </w:rPr>
      </w:pPr>
      <w:r>
        <w:rPr>
          <w:rFonts w:ascii="宋体"/>
        </w:rPr>
        <w:t>在本工程施工开始前，承包商应完全负责得到所有进行本工程施工所必要的许可证、执照和准许。</w:t>
      </w:r>
    </w:p>
    <w:p>
      <w:pPr>
        <w:pStyle w:val="1280"/>
        <w:rPr>
          <w:rFonts w:ascii="宋体"/>
        </w:rPr>
      </w:pPr>
      <w:r>
        <w:rPr>
          <w:rFonts w:ascii="宋体"/>
        </w:rPr>
        <w:t>承包商应为所有的工程的维护提供维护说明，这些说明应是一套完整的手册。</w:t>
      </w:r>
    </w:p>
    <w:p>
      <w:pPr>
        <w:pStyle w:val="1280"/>
        <w:rPr>
          <w:rFonts w:ascii="宋体"/>
        </w:rPr>
      </w:pPr>
      <w:r>
        <w:rPr>
          <w:rFonts w:ascii="宋体"/>
        </w:rPr>
        <w:t>承包商应按合同专用条款所规定的时间提交维护手册。在提交维护手册时，承包商应先提交2份草案以供批准，然后再提交3份终稿。</w:t>
      </w:r>
    </w:p>
    <w:p>
      <w:pPr>
        <w:pStyle w:val="1280"/>
        <w:rPr>
          <w:rFonts w:ascii="宋体"/>
        </w:rPr>
      </w:pPr>
      <w:r>
        <w:rPr>
          <w:rFonts w:ascii="宋体"/>
        </w:rPr>
        <w:t>在承包商提交上述手册的终稿前，项目监理将不会发出本工程的验收证书。</w:t>
      </w:r>
    </w:p>
    <w:p>
      <w:pPr>
        <w:pStyle w:val="1280"/>
        <w:rPr>
          <w:rFonts w:ascii="宋体"/>
        </w:rPr>
      </w:pPr>
      <w:r>
        <w:rPr>
          <w:rFonts w:ascii="宋体"/>
        </w:rPr>
        <w:t>维护手册应使用硬壳打孔文件夹装订，并在封面上标明项目名称、承包商的名称、地址和电话。</w:t>
      </w:r>
    </w:p>
    <w:p>
      <w:pPr>
        <w:pStyle w:val="1280"/>
        <w:rPr>
          <w:rFonts w:ascii="宋体"/>
        </w:rPr>
      </w:pPr>
      <w:r>
        <w:rPr>
          <w:rFonts w:ascii="宋体"/>
        </w:rPr>
        <w:t>上述手册中应包括所有必要的数据和资料以使工人能够正确地进行维护，包括：</w:t>
      </w:r>
    </w:p>
    <w:p>
      <w:pPr>
        <w:pStyle w:val="1280"/>
        <w:rPr>
          <w:rFonts w:ascii="宋体"/>
        </w:rPr>
      </w:pPr>
      <w:r>
        <w:rPr>
          <w:rFonts w:ascii="宋体"/>
        </w:rPr>
        <w:t>目录；</w:t>
      </w:r>
    </w:p>
    <w:p>
      <w:pPr>
        <w:pStyle w:val="1280"/>
        <w:rPr>
          <w:rFonts w:ascii="宋体"/>
        </w:rPr>
      </w:pPr>
      <w:r>
        <w:rPr>
          <w:rFonts w:ascii="宋体"/>
        </w:rPr>
        <w:t>系统的总体描述；</w:t>
      </w:r>
    </w:p>
    <w:p>
      <w:pPr>
        <w:pStyle w:val="1280"/>
        <w:rPr>
          <w:rFonts w:ascii="宋体"/>
        </w:rPr>
      </w:pPr>
      <w:r>
        <w:rPr>
          <w:rFonts w:ascii="宋体"/>
        </w:rPr>
        <w:t>维护说明和工程各项数据，包括制造厂家的详细资料、产品顺序号、制造日期、产品型号、产品系列号、工作周期、性能参数等；</w:t>
      </w:r>
    </w:p>
    <w:p>
      <w:pPr>
        <w:pStyle w:val="1280"/>
        <w:rPr>
          <w:rFonts w:ascii="宋体"/>
        </w:rPr>
      </w:pPr>
      <w:r>
        <w:rPr>
          <w:rFonts w:ascii="宋体"/>
        </w:rPr>
        <w:t>整套设施的维护计划；</w:t>
      </w:r>
    </w:p>
    <w:p>
      <w:pPr>
        <w:pStyle w:val="1280"/>
        <w:rPr>
          <w:rFonts w:ascii="宋体"/>
        </w:rPr>
      </w:pPr>
      <w:r>
        <w:rPr>
          <w:rFonts w:ascii="宋体"/>
        </w:rPr>
        <w:t>所有工程在竣工图纸上的参考号；</w:t>
      </w:r>
    </w:p>
    <w:p>
      <w:pPr>
        <w:pStyle w:val="1280"/>
        <w:rPr>
          <w:rFonts w:ascii="宋体"/>
        </w:rPr>
      </w:pPr>
      <w:r>
        <w:rPr>
          <w:rFonts w:ascii="宋体"/>
        </w:rPr>
        <w:t>测试数据；</w:t>
      </w:r>
    </w:p>
    <w:p>
      <w:pPr>
        <w:pStyle w:val="1280"/>
        <w:rPr>
          <w:rFonts w:ascii="宋体"/>
        </w:rPr>
      </w:pPr>
      <w:r>
        <w:rPr>
          <w:rFonts w:ascii="宋体"/>
        </w:rPr>
        <w:t>测试证书；</w:t>
      </w:r>
    </w:p>
    <w:p>
      <w:pPr>
        <w:pStyle w:val="1280"/>
        <w:rPr>
          <w:rFonts w:ascii="宋体"/>
        </w:rPr>
      </w:pPr>
      <w:r>
        <w:rPr>
          <w:rFonts w:ascii="宋体"/>
        </w:rPr>
        <w:t>紧急处理程序表，包括名称、地址和电话；</w:t>
      </w:r>
    </w:p>
    <w:p>
      <w:pPr>
        <w:pStyle w:val="1284"/>
        <w:rPr>
          <w:rFonts w:ascii="宋体" w:hAnsi="宋体"/>
        </w:rPr>
      </w:pPr>
      <w:bookmarkStart w:id="1596" w:name="_Toc398453549"/>
      <w:bookmarkStart w:id="1597" w:name="_Toc106883042"/>
      <w:bookmarkStart w:id="1598" w:name="_Toc521491854"/>
      <w:bookmarkStart w:id="1599" w:name="_Toc43107504"/>
      <w:bookmarkStart w:id="1600" w:name="_Toc517382485"/>
      <w:bookmarkStart w:id="1601" w:name="_Toc518376533"/>
      <w:bookmarkStart w:id="1602" w:name="_Toc521492711"/>
      <w:bookmarkStart w:id="1603" w:name="_Toc16242324"/>
      <w:bookmarkStart w:id="1604" w:name="_Toc521493385"/>
      <w:bookmarkStart w:id="1605" w:name="_Toc398523349"/>
      <w:r>
        <w:rPr>
          <w:rFonts w:ascii="宋体" w:hAnsi="宋体"/>
        </w:rPr>
        <w:t>1.15.</w:t>
      </w:r>
      <w:r>
        <w:rPr>
          <w:rFonts w:hint="eastAsia" w:ascii="宋体" w:hAnsi="宋体"/>
        </w:rPr>
        <w:t xml:space="preserve">19 </w:t>
      </w:r>
      <w:r>
        <w:rPr>
          <w:rFonts w:ascii="宋体" w:hAnsi="宋体"/>
        </w:rPr>
        <w:t>人身伤害和财产损失的索赔程序</w:t>
      </w:r>
      <w:bookmarkEnd w:id="1596"/>
      <w:bookmarkEnd w:id="1597"/>
      <w:bookmarkEnd w:id="1598"/>
      <w:bookmarkEnd w:id="1599"/>
      <w:bookmarkEnd w:id="1600"/>
      <w:bookmarkEnd w:id="1601"/>
      <w:bookmarkEnd w:id="1602"/>
      <w:bookmarkEnd w:id="1603"/>
      <w:bookmarkEnd w:id="1604"/>
      <w:bookmarkEnd w:id="1605"/>
    </w:p>
    <w:p>
      <w:pPr>
        <w:pStyle w:val="1280"/>
        <w:rPr>
          <w:rFonts w:ascii="宋体"/>
        </w:rPr>
      </w:pPr>
      <w:r>
        <w:rPr>
          <w:rFonts w:ascii="宋体"/>
        </w:rPr>
        <w:t>任何由业主收到的有关其它承包商或单位、按本合同规定应对业主进行赔偿的索赔要求应转送给承包商，同样地，任何由索赔方直接提交给承包商的赔偿要求应转送给业主。在收到了索赔要求时，承包商应进行所有的必要活动，包括将所收到的索赔要求通知保险公司，以迅速地、恰当地解决这些索赔要求，并在此过程中随时将进展情况通知业主。如果承包商没有能够按上述方法解决索赔要求，业主有权直接对索赔者进行支付，并有权以自己的判断来单方面确定索赔者所应得到的赔偿金额。这种情况下，业主在对承包商进行支付时，有权对已到期或即将到期的支付总额作出调整，以保证自己不承担索赔所造成的损失。如果承包商收到了一个索赔要求，并认为业主为此应按本合同的规定进行补偿，承包商应立即将此索赔要求传送业主。上述过程中的所有联系应以书面形式进行并应抄送一份给项目监理。</w:t>
      </w:r>
    </w:p>
    <w:p>
      <w:pPr>
        <w:pStyle w:val="1281"/>
        <w:outlineLvl w:val="0"/>
        <w:rPr>
          <w:rFonts w:ascii="宋体" w:hAnsi="宋体"/>
          <w:color w:val="auto"/>
        </w:rPr>
      </w:pPr>
      <w:bookmarkStart w:id="1606" w:name="_Toc521492712"/>
      <w:bookmarkStart w:id="1607" w:name="_Toc521493386"/>
      <w:bookmarkStart w:id="1608" w:name="_Toc521491855"/>
      <w:bookmarkStart w:id="1609" w:name="_Toc518376534"/>
      <w:bookmarkStart w:id="1610" w:name="_Toc517382486"/>
      <w:bookmarkStart w:id="1611" w:name="_Toc106883043"/>
      <w:r>
        <w:rPr>
          <w:rFonts w:ascii="宋体" w:hAnsi="宋体"/>
          <w:color w:val="auto"/>
        </w:rPr>
        <w:t>1.16 工程量计量方法</w:t>
      </w:r>
      <w:bookmarkEnd w:id="1170"/>
      <w:bookmarkEnd w:id="1171"/>
      <w:bookmarkEnd w:id="1606"/>
      <w:bookmarkEnd w:id="1607"/>
      <w:bookmarkEnd w:id="1608"/>
      <w:bookmarkEnd w:id="1609"/>
      <w:bookmarkEnd w:id="1610"/>
      <w:bookmarkEnd w:id="1611"/>
      <w:r>
        <w:rPr>
          <w:rFonts w:hint="eastAsia" w:ascii="宋体" w:hAnsi="宋体"/>
          <w:color w:val="auto"/>
        </w:rPr>
        <w:t xml:space="preserve"> </w:t>
      </w:r>
      <w:r>
        <w:rPr>
          <w:rFonts w:ascii="宋体" w:hAnsi="宋体"/>
          <w:color w:val="auto"/>
        </w:rPr>
        <w:t xml:space="preserve"> </w:t>
      </w:r>
    </w:p>
    <w:p>
      <w:pPr>
        <w:pStyle w:val="1284"/>
        <w:outlineLvl w:val="0"/>
        <w:rPr>
          <w:rFonts w:ascii="宋体" w:hAnsi="宋体"/>
        </w:rPr>
      </w:pPr>
      <w:bookmarkStart w:id="1612" w:name="_Toc124411345"/>
      <w:bookmarkStart w:id="1613" w:name="_Toc164502076"/>
      <w:bookmarkStart w:id="1614" w:name="_Toc517382487"/>
      <w:bookmarkStart w:id="1615" w:name="_Toc518376535"/>
      <w:bookmarkStart w:id="1616" w:name="_Toc521491856"/>
      <w:bookmarkStart w:id="1617" w:name="_Toc521492713"/>
      <w:bookmarkStart w:id="1618" w:name="_Toc521493387"/>
      <w:bookmarkStart w:id="1619" w:name="_Toc106883044"/>
      <w:r>
        <w:rPr>
          <w:rFonts w:ascii="宋体" w:hAnsi="宋体"/>
        </w:rPr>
        <w:t>1.16.1 说明</w:t>
      </w:r>
      <w:bookmarkEnd w:id="1612"/>
      <w:bookmarkEnd w:id="1613"/>
      <w:bookmarkEnd w:id="1614"/>
      <w:bookmarkEnd w:id="1615"/>
      <w:bookmarkEnd w:id="1616"/>
      <w:bookmarkEnd w:id="1617"/>
      <w:bookmarkEnd w:id="1618"/>
      <w:bookmarkEnd w:id="1619"/>
    </w:p>
    <w:p>
      <w:pPr>
        <w:pStyle w:val="1280"/>
        <w:rPr>
          <w:rFonts w:ascii="宋体"/>
        </w:rPr>
      </w:pPr>
      <w:r>
        <w:rPr>
          <w:rFonts w:ascii="宋体"/>
        </w:rPr>
        <w:t>1</w:t>
      </w:r>
      <w:r>
        <w:rPr>
          <w:rFonts w:hint="eastAsia" w:ascii="宋体"/>
        </w:rPr>
        <w:t>、</w:t>
      </w:r>
      <w:r>
        <w:rPr>
          <w:rFonts w:ascii="宋体"/>
        </w:rPr>
        <w:t>所有工程项目的计量方法均应符合本技术条款各章的规定，承包商应自供一切计量设备和用具，并保证计量设备和用具符合国家度量衡标准的精度要求。</w:t>
      </w:r>
    </w:p>
    <w:p>
      <w:pPr>
        <w:pStyle w:val="1280"/>
        <w:rPr>
          <w:rFonts w:ascii="宋体"/>
        </w:rPr>
      </w:pPr>
      <w:r>
        <w:rPr>
          <w:rFonts w:ascii="宋体"/>
        </w:rPr>
        <w:t>2</w:t>
      </w:r>
      <w:r>
        <w:rPr>
          <w:rFonts w:hint="eastAsia" w:ascii="宋体"/>
        </w:rPr>
        <w:t>、</w:t>
      </w:r>
      <w:r>
        <w:rPr>
          <w:rFonts w:ascii="宋体"/>
        </w:rPr>
        <w:t>凡超出施工图纸和本技术条款规定的计量范围以外的长度、面积或体积，均不予计量或计算。</w:t>
      </w:r>
    </w:p>
    <w:p>
      <w:pPr>
        <w:pStyle w:val="1280"/>
        <w:rPr>
          <w:rFonts w:ascii="宋体"/>
        </w:rPr>
      </w:pPr>
      <w:r>
        <w:rPr>
          <w:rFonts w:ascii="宋体"/>
        </w:rPr>
        <w:t>3</w:t>
      </w:r>
      <w:r>
        <w:rPr>
          <w:rFonts w:hint="eastAsia" w:ascii="宋体"/>
        </w:rPr>
        <w:t>、</w:t>
      </w:r>
      <w:r>
        <w:rPr>
          <w:rFonts w:ascii="宋体"/>
        </w:rPr>
        <w:t>实物工程量的计量，应项目监理在场由承包商应用标准的计量设备进行称量或计算，并经项目监理签认后，列入承包商的每月工程量报表。</w:t>
      </w:r>
    </w:p>
    <w:p>
      <w:pPr>
        <w:pStyle w:val="1280"/>
        <w:rPr>
          <w:rFonts w:ascii="宋体"/>
        </w:rPr>
      </w:pPr>
      <w:r>
        <w:rPr>
          <w:rFonts w:ascii="宋体"/>
        </w:rPr>
        <w:t>4</w:t>
      </w:r>
      <w:r>
        <w:rPr>
          <w:rFonts w:hint="eastAsia" w:ascii="宋体"/>
        </w:rPr>
        <w:t>、</w:t>
      </w:r>
      <w:r>
        <w:rPr>
          <w:rFonts w:ascii="宋体"/>
        </w:rPr>
        <w:t>除工程量清单所列的全部总价和单价项目所包含的工程项目及其工作内容外，承包商按本合同规定进行的各项工作，其所需费用均应分摊在各项目的报价中，业主不再另行支付。</w:t>
      </w:r>
    </w:p>
    <w:p>
      <w:pPr>
        <w:pStyle w:val="1284"/>
        <w:outlineLvl w:val="0"/>
        <w:rPr>
          <w:rFonts w:ascii="宋体" w:hAnsi="宋体"/>
        </w:rPr>
      </w:pPr>
      <w:bookmarkStart w:id="1620" w:name="_Toc124411346"/>
      <w:bookmarkStart w:id="1621" w:name="_Toc164502077"/>
      <w:bookmarkStart w:id="1622" w:name="_Toc517382488"/>
      <w:bookmarkStart w:id="1623" w:name="_Toc518376536"/>
      <w:bookmarkStart w:id="1624" w:name="_Toc521491857"/>
      <w:bookmarkStart w:id="1625" w:name="_Toc521492714"/>
      <w:bookmarkStart w:id="1626" w:name="_Toc521493388"/>
      <w:bookmarkStart w:id="1627" w:name="_Toc106883045"/>
      <w:r>
        <w:rPr>
          <w:rFonts w:ascii="宋体" w:hAnsi="宋体"/>
        </w:rPr>
        <w:t>1.16.2 重量计量的计算</w:t>
      </w:r>
      <w:bookmarkEnd w:id="1620"/>
      <w:bookmarkEnd w:id="1621"/>
      <w:bookmarkEnd w:id="1622"/>
      <w:bookmarkEnd w:id="1623"/>
      <w:bookmarkEnd w:id="1624"/>
      <w:bookmarkEnd w:id="1625"/>
      <w:bookmarkEnd w:id="1626"/>
      <w:bookmarkEnd w:id="1627"/>
    </w:p>
    <w:p>
      <w:pPr>
        <w:pStyle w:val="1280"/>
        <w:rPr>
          <w:rFonts w:ascii="宋体"/>
        </w:rPr>
      </w:pPr>
      <w:r>
        <w:rPr>
          <w:rFonts w:ascii="宋体"/>
        </w:rPr>
        <w:t>1</w:t>
      </w:r>
      <w:r>
        <w:rPr>
          <w:rFonts w:hint="eastAsia" w:ascii="宋体"/>
        </w:rPr>
        <w:t>、</w:t>
      </w:r>
      <w:r>
        <w:rPr>
          <w:rFonts w:ascii="宋体"/>
        </w:rPr>
        <w:t>凡以重量计量的材料，应由承包商合格的称量人员使用经国家计量监督部门检验合格的称量器，在规定的地点称量。</w:t>
      </w:r>
    </w:p>
    <w:p>
      <w:pPr>
        <w:pStyle w:val="1280"/>
        <w:rPr>
          <w:rFonts w:ascii="宋体"/>
        </w:rPr>
      </w:pPr>
      <w:r>
        <w:rPr>
          <w:rFonts w:ascii="宋体"/>
        </w:rPr>
        <w:t>2</w:t>
      </w:r>
      <w:r>
        <w:rPr>
          <w:rFonts w:hint="eastAsia" w:ascii="宋体"/>
        </w:rPr>
        <w:t>、</w:t>
      </w:r>
      <w:r>
        <w:rPr>
          <w:rFonts w:ascii="宋体"/>
        </w:rPr>
        <w:t>钢材的计量应按施工图纸所示的净值计量。钢筋应按项目监理批准的钢筋下料表，以直径和长度计算，不计入钢筋损耗和架设定位的附加钢筋量。施工附加量均不单独计量，而应包括在有关钢筋的单价中。</w:t>
      </w:r>
    </w:p>
    <w:p>
      <w:pPr>
        <w:pStyle w:val="1284"/>
        <w:outlineLvl w:val="0"/>
        <w:rPr>
          <w:rFonts w:ascii="宋体" w:hAnsi="宋体"/>
        </w:rPr>
      </w:pPr>
      <w:bookmarkStart w:id="1628" w:name="_Toc164502078"/>
      <w:bookmarkStart w:id="1629" w:name="_Toc517382489"/>
      <w:bookmarkStart w:id="1630" w:name="_Toc124411347"/>
      <w:bookmarkStart w:id="1631" w:name="_Toc518376537"/>
      <w:bookmarkStart w:id="1632" w:name="_Toc521491858"/>
      <w:bookmarkStart w:id="1633" w:name="_Toc521492715"/>
      <w:bookmarkStart w:id="1634" w:name="_Toc521493389"/>
      <w:bookmarkStart w:id="1635" w:name="_Toc106883046"/>
      <w:r>
        <w:rPr>
          <w:rFonts w:ascii="宋体" w:hAnsi="宋体"/>
        </w:rPr>
        <w:t>1.16.3 面积计量的计算</w:t>
      </w:r>
      <w:bookmarkEnd w:id="1628"/>
      <w:bookmarkEnd w:id="1629"/>
      <w:bookmarkEnd w:id="1630"/>
      <w:bookmarkEnd w:id="1631"/>
      <w:bookmarkEnd w:id="1632"/>
      <w:bookmarkEnd w:id="1633"/>
      <w:bookmarkEnd w:id="1634"/>
      <w:bookmarkEnd w:id="1635"/>
    </w:p>
    <w:p>
      <w:pPr>
        <w:pStyle w:val="1280"/>
        <w:rPr>
          <w:rFonts w:ascii="宋体"/>
        </w:rPr>
      </w:pPr>
      <w:r>
        <w:rPr>
          <w:rFonts w:ascii="宋体"/>
        </w:rPr>
        <w:t>结构面积的计算，应按施工图纸所示结构物尺寸线进行计算。</w:t>
      </w:r>
    </w:p>
    <w:p>
      <w:pPr>
        <w:pStyle w:val="1284"/>
        <w:outlineLvl w:val="0"/>
        <w:rPr>
          <w:rFonts w:ascii="宋体" w:hAnsi="宋体"/>
        </w:rPr>
      </w:pPr>
      <w:bookmarkStart w:id="1636" w:name="_Toc521491859"/>
      <w:bookmarkStart w:id="1637" w:name="_Toc518376538"/>
      <w:bookmarkStart w:id="1638" w:name="_Toc521492716"/>
      <w:bookmarkStart w:id="1639" w:name="_Toc124411348"/>
      <w:bookmarkStart w:id="1640" w:name="_Toc517382490"/>
      <w:bookmarkStart w:id="1641" w:name="_Toc164502079"/>
      <w:bookmarkStart w:id="1642" w:name="_Toc521493390"/>
      <w:bookmarkStart w:id="1643" w:name="_Toc106883047"/>
      <w:r>
        <w:rPr>
          <w:rFonts w:ascii="宋体" w:hAnsi="宋体"/>
        </w:rPr>
        <w:t>1.16.4 体积计量的计算</w:t>
      </w:r>
      <w:bookmarkEnd w:id="1636"/>
      <w:bookmarkEnd w:id="1637"/>
      <w:bookmarkEnd w:id="1638"/>
      <w:bookmarkEnd w:id="1639"/>
      <w:bookmarkEnd w:id="1640"/>
      <w:bookmarkEnd w:id="1641"/>
      <w:bookmarkEnd w:id="1642"/>
      <w:bookmarkEnd w:id="1643"/>
    </w:p>
    <w:p>
      <w:pPr>
        <w:pStyle w:val="1280"/>
        <w:rPr>
          <w:rFonts w:ascii="宋体"/>
        </w:rPr>
      </w:pPr>
      <w:r>
        <w:rPr>
          <w:rFonts w:ascii="宋体"/>
        </w:rPr>
        <w:t>1</w:t>
      </w:r>
      <w:r>
        <w:rPr>
          <w:rFonts w:hint="eastAsia" w:ascii="宋体"/>
        </w:rPr>
        <w:t>、</w:t>
      </w:r>
      <w:r>
        <w:rPr>
          <w:rFonts w:ascii="宋体"/>
        </w:rPr>
        <w:t>体积物体积计量的计算，应按施工图纸所示轮廓线内的实际工程量进行计算。</w:t>
      </w:r>
    </w:p>
    <w:p>
      <w:pPr>
        <w:pStyle w:val="1280"/>
        <w:rPr>
          <w:rFonts w:ascii="宋体"/>
        </w:rPr>
      </w:pPr>
      <w:r>
        <w:rPr>
          <w:rFonts w:ascii="宋体"/>
        </w:rPr>
        <w:t>2</w:t>
      </w:r>
      <w:r>
        <w:rPr>
          <w:rFonts w:hint="eastAsia" w:ascii="宋体"/>
        </w:rPr>
        <w:t>、</w:t>
      </w:r>
      <w:r>
        <w:rPr>
          <w:rFonts w:ascii="宋体"/>
        </w:rPr>
        <w:t>混凝土工程量的计量，应按项目监理签认的已完工工程的净尺寸计算；土石方工程量的计量，应按施工前后的实测标高或工程图纸的尺寸的工程量进行最终计量。见技术规范各条款的具体规定。</w:t>
      </w:r>
    </w:p>
    <w:p>
      <w:pPr>
        <w:pStyle w:val="1284"/>
        <w:outlineLvl w:val="0"/>
        <w:rPr>
          <w:rFonts w:ascii="宋体" w:hAnsi="宋体"/>
        </w:rPr>
      </w:pPr>
      <w:bookmarkStart w:id="1644" w:name="_Toc521493391"/>
      <w:bookmarkStart w:id="1645" w:name="_Toc521492717"/>
      <w:bookmarkStart w:id="1646" w:name="_Toc518376539"/>
      <w:bookmarkStart w:id="1647" w:name="_Toc124411349"/>
      <w:bookmarkStart w:id="1648" w:name="_Toc517382491"/>
      <w:bookmarkStart w:id="1649" w:name="_Toc164502080"/>
      <w:bookmarkStart w:id="1650" w:name="_Toc521491860"/>
      <w:bookmarkStart w:id="1651" w:name="_Toc106883048"/>
      <w:r>
        <w:rPr>
          <w:rFonts w:ascii="宋体" w:hAnsi="宋体"/>
        </w:rPr>
        <w:t>1.16.5 长度计量的计算</w:t>
      </w:r>
      <w:bookmarkEnd w:id="1644"/>
      <w:bookmarkEnd w:id="1645"/>
      <w:bookmarkEnd w:id="1646"/>
      <w:bookmarkEnd w:id="1647"/>
      <w:bookmarkEnd w:id="1648"/>
      <w:bookmarkEnd w:id="1649"/>
      <w:bookmarkEnd w:id="1650"/>
      <w:bookmarkEnd w:id="1651"/>
    </w:p>
    <w:p>
      <w:pPr>
        <w:pStyle w:val="1280"/>
        <w:rPr>
          <w:rFonts w:ascii="宋体"/>
        </w:rPr>
      </w:pPr>
      <w:r>
        <w:rPr>
          <w:rFonts w:ascii="宋体"/>
        </w:rPr>
        <w:t>所有以延米计量的结构物或管线，除施工图纸或技术规范另有规定，应按平行与结构物位置的纵向轴线或基础方向的长度或检查井中心之间管轴线的投影长度计算。</w:t>
      </w:r>
    </w:p>
    <w:p>
      <w:pPr>
        <w:pStyle w:val="1281"/>
        <w:outlineLvl w:val="0"/>
        <w:rPr>
          <w:rFonts w:ascii="宋体" w:hAnsi="宋体"/>
          <w:color w:val="auto"/>
        </w:rPr>
      </w:pPr>
      <w:bookmarkStart w:id="1652" w:name="_Toc521493392"/>
      <w:bookmarkStart w:id="1653" w:name="_Toc164502081"/>
      <w:bookmarkStart w:id="1654" w:name="_Toc517382492"/>
      <w:bookmarkStart w:id="1655" w:name="_Toc124411350"/>
      <w:bookmarkStart w:id="1656" w:name="_Toc521491861"/>
      <w:bookmarkStart w:id="1657" w:name="_Toc521492718"/>
      <w:bookmarkStart w:id="1658" w:name="_Toc518376540"/>
      <w:bookmarkStart w:id="1659" w:name="_Toc106883049"/>
      <w:r>
        <w:rPr>
          <w:rFonts w:ascii="宋体" w:hAnsi="宋体"/>
          <w:color w:val="auto"/>
        </w:rPr>
        <w:t>1.17 计量和支付</w:t>
      </w:r>
      <w:bookmarkEnd w:id="1652"/>
      <w:bookmarkEnd w:id="1653"/>
      <w:bookmarkEnd w:id="1654"/>
      <w:bookmarkEnd w:id="1655"/>
      <w:bookmarkEnd w:id="1656"/>
      <w:bookmarkEnd w:id="1657"/>
      <w:bookmarkEnd w:id="1658"/>
      <w:bookmarkEnd w:id="1659"/>
    </w:p>
    <w:p>
      <w:pPr>
        <w:pStyle w:val="1280"/>
        <w:rPr>
          <w:rFonts w:ascii="宋体"/>
        </w:rPr>
      </w:pPr>
      <w:r>
        <w:rPr>
          <w:rFonts w:hint="eastAsia" w:ascii="宋体"/>
        </w:rPr>
        <w:t>详见</w:t>
      </w:r>
      <w:r>
        <w:rPr>
          <w:rFonts w:ascii="宋体"/>
        </w:rPr>
        <w:t>工程量清单。</w:t>
      </w:r>
    </w:p>
    <w:bookmarkEnd w:id="1172"/>
    <w:bookmarkEnd w:id="1173"/>
    <w:bookmarkEnd w:id="1174"/>
    <w:bookmarkEnd w:id="1175"/>
    <w:bookmarkEnd w:id="1176"/>
    <w:bookmarkEnd w:id="1177"/>
    <w:bookmarkEnd w:id="1178"/>
    <w:bookmarkEnd w:id="1179"/>
    <w:bookmarkEnd w:id="1180"/>
    <w:bookmarkEnd w:id="1181"/>
    <w:bookmarkEnd w:id="1182"/>
    <w:p>
      <w:pPr>
        <w:pStyle w:val="1328"/>
        <w:rPr>
          <w:rFonts w:ascii="宋体" w:hAnsi="宋体"/>
        </w:rPr>
      </w:pPr>
      <w:bookmarkStart w:id="1660" w:name="_Toc395408047"/>
      <w:bookmarkStart w:id="1661" w:name="_Toc395412721"/>
      <w:bookmarkStart w:id="1662" w:name="_Toc398083725"/>
      <w:bookmarkStart w:id="1663" w:name="_Toc398453551"/>
      <w:bookmarkStart w:id="1664" w:name="_Toc398523351"/>
      <w:bookmarkStart w:id="1665" w:name="_Toc16242332"/>
      <w:bookmarkStart w:id="1666" w:name="_Toc43107511"/>
      <w:bookmarkStart w:id="1667" w:name="_Toc164502086"/>
      <w:r>
        <w:rPr>
          <w:rFonts w:ascii="宋体" w:hAnsi="宋体"/>
          <w:szCs w:val="21"/>
        </w:rPr>
        <w:br w:type="page"/>
      </w:r>
      <w:bookmarkStart w:id="1668" w:name="_Toc517382498"/>
      <w:bookmarkStart w:id="1669" w:name="_Toc518376546"/>
      <w:bookmarkStart w:id="1670" w:name="_Toc521491867"/>
      <w:bookmarkStart w:id="1671" w:name="_Toc521492724"/>
      <w:bookmarkStart w:id="1672" w:name="_Toc521493398"/>
      <w:bookmarkStart w:id="1673" w:name="_Toc106883050"/>
      <w:r>
        <w:rPr>
          <w:rFonts w:ascii="宋体" w:hAnsi="宋体"/>
        </w:rPr>
        <w:t>2 土石方</w:t>
      </w:r>
      <w:bookmarkEnd w:id="1660"/>
      <w:bookmarkEnd w:id="1661"/>
      <w:bookmarkEnd w:id="1662"/>
      <w:bookmarkEnd w:id="1663"/>
      <w:bookmarkEnd w:id="1664"/>
      <w:bookmarkEnd w:id="1665"/>
      <w:bookmarkEnd w:id="1666"/>
      <w:r>
        <w:rPr>
          <w:rFonts w:ascii="宋体" w:hAnsi="宋体"/>
        </w:rPr>
        <w:t>工程</w:t>
      </w:r>
      <w:bookmarkEnd w:id="1667"/>
      <w:bookmarkEnd w:id="1668"/>
      <w:bookmarkEnd w:id="1669"/>
      <w:bookmarkEnd w:id="1670"/>
      <w:bookmarkEnd w:id="1671"/>
      <w:bookmarkEnd w:id="1672"/>
      <w:bookmarkEnd w:id="1673"/>
      <w:bookmarkStart w:id="1674" w:name="_Toc385007626"/>
      <w:bookmarkStart w:id="1675" w:name="_Toc385008422"/>
      <w:bookmarkStart w:id="1676" w:name="_Toc385012584"/>
      <w:bookmarkStart w:id="1677" w:name="_Toc395408049"/>
      <w:bookmarkStart w:id="1678" w:name="_Toc395412723"/>
      <w:bookmarkStart w:id="1679" w:name="_Toc398083727"/>
      <w:bookmarkStart w:id="1680" w:name="_Toc398453553"/>
      <w:bookmarkStart w:id="1681" w:name="_Toc398523353"/>
      <w:bookmarkStart w:id="1682" w:name="_Toc16242334"/>
      <w:bookmarkStart w:id="1683" w:name="_Toc43107513"/>
    </w:p>
    <w:p>
      <w:pPr>
        <w:pStyle w:val="1280"/>
        <w:rPr>
          <w:rFonts w:ascii="宋体"/>
        </w:rPr>
      </w:pPr>
      <w:r>
        <w:rPr>
          <w:rFonts w:ascii="宋体"/>
        </w:rPr>
        <w:t>本部分包括现场的准备、清理、应急避难广场及道路场地整理</w:t>
      </w:r>
      <w:r>
        <w:rPr>
          <w:rFonts w:hint="eastAsia" w:ascii="宋体"/>
        </w:rPr>
        <w:t>、</w:t>
      </w:r>
      <w:r>
        <w:rPr>
          <w:rFonts w:ascii="宋体"/>
        </w:rPr>
        <w:t>管沟及建（构）筑物土石方开挖、回填及余土外运等工程内容的技术要求。</w:t>
      </w:r>
    </w:p>
    <w:p>
      <w:pPr>
        <w:pStyle w:val="1280"/>
        <w:rPr>
          <w:rFonts w:ascii="宋体"/>
        </w:rPr>
      </w:pPr>
      <w:r>
        <w:rPr>
          <w:rFonts w:ascii="宋体"/>
        </w:rPr>
        <w:t>承包商须提供所需劳动力、工程材料、附属设备、必要的配套设施、施工设备以及合同规定的各项服务；并通过（包括但不限于）：施工准备、场地清理、开挖放线、土石方开挖、校核测量、边坡观测、弃土外运、保护及处理、料场统一规划、土石方平衡、料场复勘、料场清理、土石料开挖、加工、运输、现场生产性试验、土石方回填和夯实、完工验收前的维护、工程完工验收后的清场、撤退人员和撤离施工设备及进行本合同规定的质量检查和验收等工作；完成本合同的现场的准备、清理、场平、公共绿地及道路场地整理、土石方开挖、回填及余土外运等工程的施工，达到技术规范要求，并使项目监理满意。</w:t>
      </w:r>
    </w:p>
    <w:p>
      <w:pPr>
        <w:pStyle w:val="1281"/>
        <w:outlineLvl w:val="0"/>
        <w:rPr>
          <w:rFonts w:ascii="宋体" w:hAnsi="宋体"/>
          <w:color w:val="auto"/>
        </w:rPr>
      </w:pPr>
      <w:bookmarkStart w:id="1684" w:name="_Toc518376547"/>
      <w:bookmarkStart w:id="1685" w:name="_Toc164502087"/>
      <w:bookmarkStart w:id="1686" w:name="_Toc521491868"/>
      <w:bookmarkStart w:id="1687" w:name="_Toc521492725"/>
      <w:bookmarkStart w:id="1688" w:name="_Toc517382499"/>
      <w:bookmarkStart w:id="1689" w:name="_Toc521493399"/>
      <w:bookmarkStart w:id="1690" w:name="_Toc106883051"/>
      <w:r>
        <w:rPr>
          <w:rFonts w:ascii="宋体" w:hAnsi="宋体"/>
          <w:color w:val="auto"/>
        </w:rPr>
        <w:t>2.1 适用标准</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1280"/>
        <w:rPr>
          <w:rFonts w:ascii="宋体"/>
        </w:rPr>
      </w:pPr>
      <w:r>
        <w:rPr>
          <w:rFonts w:ascii="宋体"/>
        </w:rPr>
        <w:t>除下列已列标准，工程实施中，若有更严格的适用标准，项目监理将按设计文件项目结合最新规范标准进行监督施工和质量验收。</w:t>
      </w:r>
    </w:p>
    <w:p>
      <w:pPr>
        <w:pStyle w:val="1280"/>
        <w:rPr>
          <w:rFonts w:ascii="宋体"/>
        </w:rPr>
      </w:pPr>
      <w:r>
        <w:rPr>
          <w:rFonts w:ascii="宋体"/>
        </w:rPr>
        <w:t>建筑地基基础工程施工质量验收规范</w:t>
      </w:r>
      <w:r>
        <w:rPr>
          <w:rFonts w:ascii="宋体"/>
        </w:rPr>
        <w:tab/>
      </w:r>
      <w:r>
        <w:rPr>
          <w:rFonts w:ascii="宋体"/>
        </w:rPr>
        <w:tab/>
      </w:r>
      <w:r>
        <w:rPr>
          <w:rFonts w:ascii="宋体"/>
        </w:rPr>
        <w:tab/>
      </w:r>
      <w:r>
        <w:rPr>
          <w:rFonts w:ascii="宋体"/>
        </w:rPr>
        <w:t xml:space="preserve"> GB 50202-2002</w:t>
      </w:r>
    </w:p>
    <w:p>
      <w:pPr>
        <w:pStyle w:val="1280"/>
        <w:rPr>
          <w:rFonts w:ascii="宋体"/>
        </w:rPr>
      </w:pPr>
      <w:r>
        <w:rPr>
          <w:rFonts w:ascii="宋体"/>
        </w:rPr>
        <w:t>公路路基施工技术规范                         JTG F10-2006</w:t>
      </w:r>
    </w:p>
    <w:p>
      <w:pPr>
        <w:pStyle w:val="1280"/>
        <w:rPr>
          <w:rFonts w:ascii="宋体"/>
        </w:rPr>
      </w:pPr>
      <w:bookmarkStart w:id="1691" w:name="OLE_LINK5"/>
      <w:r>
        <w:rPr>
          <w:rFonts w:ascii="宋体"/>
        </w:rPr>
        <w:t>城市道路照明工程施工及验收规程</w:t>
      </w:r>
      <w:bookmarkEnd w:id="1691"/>
      <w:r>
        <w:rPr>
          <w:rFonts w:ascii="宋体"/>
        </w:rPr>
        <w:t xml:space="preserve">               CJJ 89-2012</w:t>
      </w:r>
    </w:p>
    <w:p>
      <w:pPr>
        <w:pStyle w:val="1280"/>
        <w:rPr>
          <w:rFonts w:ascii="宋体"/>
        </w:rPr>
      </w:pPr>
      <w:r>
        <w:rPr>
          <w:rFonts w:ascii="宋体"/>
        </w:rPr>
        <w:t>城镇道路工程施工与质量验收规范               CJJ 1-2008</w:t>
      </w:r>
    </w:p>
    <w:p>
      <w:pPr>
        <w:pStyle w:val="1280"/>
        <w:rPr>
          <w:rFonts w:ascii="宋体"/>
        </w:rPr>
      </w:pPr>
      <w:r>
        <w:rPr>
          <w:rFonts w:ascii="宋体"/>
        </w:rPr>
        <w:t>给水排水管道工程施工及验收规范               GB 50268-2008</w:t>
      </w:r>
    </w:p>
    <w:p>
      <w:pPr>
        <w:pStyle w:val="1280"/>
        <w:rPr>
          <w:rFonts w:ascii="宋体"/>
        </w:rPr>
      </w:pPr>
      <w:r>
        <w:rPr>
          <w:rFonts w:ascii="宋体"/>
        </w:rPr>
        <w:t>城镇道路养护技术规范                         CJJ 36-2016</w:t>
      </w:r>
    </w:p>
    <w:p>
      <w:pPr>
        <w:pStyle w:val="1281"/>
        <w:outlineLvl w:val="0"/>
        <w:rPr>
          <w:rFonts w:ascii="宋体" w:hAnsi="宋体"/>
          <w:color w:val="auto"/>
        </w:rPr>
      </w:pPr>
      <w:bookmarkStart w:id="1692" w:name="_Toc391452941"/>
      <w:bookmarkStart w:id="1693" w:name="_Toc391698383"/>
      <w:bookmarkStart w:id="1694" w:name="_Toc393178589"/>
      <w:bookmarkStart w:id="1695" w:name="_Toc395408050"/>
      <w:bookmarkStart w:id="1696" w:name="_Toc395412724"/>
      <w:bookmarkStart w:id="1697" w:name="_Toc398083728"/>
      <w:bookmarkStart w:id="1698" w:name="_Toc398453554"/>
      <w:bookmarkStart w:id="1699" w:name="_Toc398523354"/>
      <w:bookmarkStart w:id="1700" w:name="_Toc16242335"/>
      <w:bookmarkStart w:id="1701" w:name="_Toc43107514"/>
      <w:bookmarkStart w:id="1702" w:name="_Toc164502088"/>
      <w:bookmarkStart w:id="1703" w:name="_Toc517382500"/>
      <w:bookmarkStart w:id="1704" w:name="_Toc518376548"/>
      <w:bookmarkStart w:id="1705" w:name="_Toc521491869"/>
      <w:bookmarkStart w:id="1706" w:name="_Toc521492726"/>
      <w:bookmarkStart w:id="1707" w:name="_Toc521493400"/>
      <w:bookmarkStart w:id="1708" w:name="_Toc106883052"/>
      <w:bookmarkStart w:id="1709" w:name="_Toc385007628"/>
      <w:bookmarkStart w:id="1710" w:name="_Toc385008424"/>
      <w:bookmarkStart w:id="1711" w:name="_Toc385012586"/>
      <w:r>
        <w:rPr>
          <w:rFonts w:ascii="宋体" w:hAnsi="宋体"/>
          <w:color w:val="auto"/>
        </w:rPr>
        <w:t>2.2 由承包商提交的文件</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1280"/>
        <w:rPr>
          <w:rFonts w:ascii="宋体"/>
        </w:rPr>
      </w:pPr>
      <w:r>
        <w:rPr>
          <w:rFonts w:ascii="宋体"/>
        </w:rPr>
        <w:t>除本技术规范有关条款中已说明承包商提交的文件外，承包商应根据施工图及有关技术规范的要求，提出现场和场平工程的施工的施工组织设计</w:t>
      </w:r>
      <w:r>
        <w:rPr>
          <w:rFonts w:hint="eastAsia" w:ascii="宋体"/>
        </w:rPr>
        <w:t>（</w:t>
      </w:r>
      <w:r>
        <w:rPr>
          <w:rFonts w:ascii="宋体"/>
        </w:rPr>
        <w:t>一式三份</w:t>
      </w:r>
      <w:r>
        <w:rPr>
          <w:rFonts w:hint="eastAsia" w:ascii="宋体"/>
        </w:rPr>
        <w:t>）</w:t>
      </w:r>
      <w:r>
        <w:rPr>
          <w:rFonts w:ascii="宋体"/>
        </w:rPr>
        <w:t>报送项目监理和业主审批，施工组织设计应包括下列内容：</w:t>
      </w:r>
    </w:p>
    <w:p>
      <w:pPr>
        <w:pStyle w:val="1280"/>
        <w:rPr>
          <w:rFonts w:ascii="宋体"/>
        </w:rPr>
      </w:pPr>
      <w:r>
        <w:rPr>
          <w:rFonts w:ascii="宋体"/>
        </w:rPr>
        <w:t>在土方开挖之前，承包商应提供与项目监理共同测量并经项目监理确认的测量图纸；</w:t>
      </w:r>
    </w:p>
    <w:p>
      <w:pPr>
        <w:pStyle w:val="1280"/>
        <w:rPr>
          <w:rFonts w:ascii="宋体"/>
        </w:rPr>
      </w:pPr>
      <w:r>
        <w:rPr>
          <w:rFonts w:ascii="宋体"/>
        </w:rPr>
        <w:t>施工所必须的许可证，如伐树、烧废物和运送垃圾、中断交通等；</w:t>
      </w:r>
    </w:p>
    <w:p>
      <w:pPr>
        <w:pStyle w:val="1280"/>
        <w:rPr>
          <w:rFonts w:ascii="宋体"/>
        </w:rPr>
      </w:pPr>
      <w:r>
        <w:rPr>
          <w:rFonts w:ascii="宋体"/>
        </w:rPr>
        <w:t>有关土方调度平衡的平面布置图及纵断面图；</w:t>
      </w:r>
    </w:p>
    <w:p>
      <w:pPr>
        <w:pStyle w:val="1280"/>
        <w:rPr>
          <w:rFonts w:ascii="宋体"/>
        </w:rPr>
      </w:pPr>
      <w:r>
        <w:rPr>
          <w:rFonts w:ascii="宋体"/>
        </w:rPr>
        <w:t>开挖、土方运输、回填及压实的施工方法和程序以及采用的施工设备；</w:t>
      </w:r>
    </w:p>
    <w:p>
      <w:pPr>
        <w:pStyle w:val="1280"/>
        <w:rPr>
          <w:rFonts w:ascii="宋体"/>
        </w:rPr>
      </w:pPr>
      <w:r>
        <w:rPr>
          <w:rFonts w:ascii="宋体"/>
        </w:rPr>
        <w:t>大开挖施工的边坡稳定计算及边坡保护措施；</w:t>
      </w:r>
    </w:p>
    <w:p>
      <w:pPr>
        <w:pStyle w:val="1280"/>
        <w:rPr>
          <w:rFonts w:ascii="宋体"/>
        </w:rPr>
      </w:pPr>
      <w:r>
        <w:rPr>
          <w:rFonts w:ascii="宋体"/>
        </w:rPr>
        <w:t>回填料的选用和质量控制；</w:t>
      </w:r>
    </w:p>
    <w:p>
      <w:pPr>
        <w:pStyle w:val="1280"/>
        <w:rPr>
          <w:rFonts w:ascii="宋体"/>
        </w:rPr>
      </w:pPr>
      <w:r>
        <w:rPr>
          <w:rFonts w:ascii="宋体"/>
        </w:rPr>
        <w:t>降水系统的设计、安装和操作程序；</w:t>
      </w:r>
    </w:p>
    <w:p>
      <w:pPr>
        <w:pStyle w:val="1280"/>
        <w:rPr>
          <w:rFonts w:ascii="宋体"/>
        </w:rPr>
      </w:pPr>
      <w:r>
        <w:rPr>
          <w:rFonts w:ascii="宋体"/>
        </w:rPr>
        <w:t>进度安排。</w:t>
      </w:r>
    </w:p>
    <w:bookmarkEnd w:id="1709"/>
    <w:bookmarkEnd w:id="1710"/>
    <w:bookmarkEnd w:id="1711"/>
    <w:p>
      <w:pPr>
        <w:pStyle w:val="1281"/>
        <w:outlineLvl w:val="0"/>
        <w:rPr>
          <w:rFonts w:ascii="宋体" w:hAnsi="宋体"/>
          <w:color w:val="auto"/>
        </w:rPr>
      </w:pPr>
      <w:bookmarkStart w:id="1712" w:name="_Toc395512396"/>
      <w:bookmarkStart w:id="1713" w:name="_Toc395421395"/>
      <w:bookmarkStart w:id="1714" w:name="_Toc395693053"/>
      <w:bookmarkStart w:id="1715" w:name="_Toc395592697"/>
      <w:bookmarkStart w:id="1716" w:name="_Toc398453555"/>
      <w:bookmarkStart w:id="1717" w:name="_Toc396284843"/>
      <w:bookmarkStart w:id="1718" w:name="_Toc396282888"/>
      <w:bookmarkStart w:id="1719" w:name="_Toc397138427"/>
      <w:bookmarkStart w:id="1720" w:name="_Toc518376549"/>
      <w:bookmarkStart w:id="1721" w:name="_Toc521491870"/>
      <w:bookmarkStart w:id="1722" w:name="_Toc517382501"/>
      <w:bookmarkStart w:id="1723" w:name="_Toc395693257"/>
      <w:bookmarkStart w:id="1724" w:name="_Toc164502089"/>
      <w:bookmarkStart w:id="1725" w:name="_Toc521493401"/>
      <w:bookmarkStart w:id="1726" w:name="_Toc43107515"/>
      <w:bookmarkStart w:id="1727" w:name="_Toc521492727"/>
      <w:bookmarkStart w:id="1728" w:name="_Toc396110455"/>
      <w:bookmarkStart w:id="1729" w:name="_Toc397761419"/>
      <w:bookmarkStart w:id="1730" w:name="_Toc16242336"/>
      <w:bookmarkStart w:id="1731" w:name="_Toc398523355"/>
      <w:bookmarkStart w:id="1732" w:name="_Toc396006327"/>
      <w:bookmarkStart w:id="1733" w:name="_Toc106883053"/>
      <w:bookmarkStart w:id="1734" w:name="_Toc395408053"/>
      <w:bookmarkStart w:id="1735" w:name="_Toc398083731"/>
      <w:bookmarkStart w:id="1736" w:name="_Toc395412727"/>
      <w:bookmarkStart w:id="1737" w:name="_Toc385012588"/>
      <w:bookmarkStart w:id="1738" w:name="_Toc385008426"/>
      <w:bookmarkStart w:id="1739" w:name="_Toc385007630"/>
      <w:r>
        <w:rPr>
          <w:rFonts w:ascii="宋体" w:hAnsi="宋体"/>
          <w:color w:val="auto"/>
        </w:rPr>
        <w:t>2.3 拆除</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1280"/>
        <w:rPr>
          <w:rFonts w:ascii="宋体"/>
        </w:rPr>
      </w:pPr>
      <w:r>
        <w:rPr>
          <w:rFonts w:ascii="宋体"/>
        </w:rPr>
        <w:t>对于工地现场的哪些物体应拆除和哪些物体应保护，承包商应在施工开始前与项目监理一起进行确认。承包商应拆除并移走所有被指定的物体。所有的建筑垃圾应清除出工地现场。对于可利用的物品，承包商应按项目监理的指示储放在业主的存放场所内。</w:t>
      </w:r>
    </w:p>
    <w:p>
      <w:pPr>
        <w:pStyle w:val="1280"/>
        <w:rPr>
          <w:rFonts w:ascii="宋体"/>
        </w:rPr>
      </w:pPr>
      <w:r>
        <w:rPr>
          <w:rFonts w:ascii="宋体"/>
        </w:rPr>
        <w:t>对于指定保留的物体，承包商应采取所有必要的措施来进行保护。如果这些物体受到了损坏，承包商应负责进行所有的修复或更换工作并承担所有费用。</w:t>
      </w:r>
    </w:p>
    <w:p>
      <w:pPr>
        <w:pStyle w:val="1280"/>
        <w:rPr>
          <w:rFonts w:ascii="宋体"/>
        </w:rPr>
      </w:pPr>
      <w:r>
        <w:rPr>
          <w:rFonts w:ascii="宋体"/>
        </w:rPr>
        <w:t>以上属于土石方工程附属工程，不单独计量</w:t>
      </w:r>
      <w:r>
        <w:rPr>
          <w:rFonts w:hint="eastAsia" w:ascii="宋体"/>
        </w:rPr>
        <w:t>（堤防工程中混凝土破除单独计量）</w:t>
      </w:r>
      <w:r>
        <w:rPr>
          <w:rFonts w:ascii="宋体"/>
        </w:rPr>
        <w:t>。</w:t>
      </w:r>
    </w:p>
    <w:p>
      <w:pPr>
        <w:pStyle w:val="1281"/>
        <w:outlineLvl w:val="0"/>
        <w:rPr>
          <w:rFonts w:ascii="宋体" w:hAnsi="宋体"/>
          <w:color w:val="auto"/>
        </w:rPr>
      </w:pPr>
      <w:bookmarkStart w:id="1740" w:name="_Toc521492728"/>
      <w:bookmarkStart w:id="1741" w:name="_Toc398453556"/>
      <w:bookmarkStart w:id="1742" w:name="_Toc398523356"/>
      <w:bookmarkStart w:id="1743" w:name="_Toc16242337"/>
      <w:bookmarkStart w:id="1744" w:name="_Toc43107516"/>
      <w:bookmarkStart w:id="1745" w:name="_Toc164502090"/>
      <w:bookmarkStart w:id="1746" w:name="_Toc517382502"/>
      <w:bookmarkStart w:id="1747" w:name="_Toc518376550"/>
      <w:bookmarkStart w:id="1748" w:name="_Toc521491871"/>
      <w:bookmarkStart w:id="1749" w:name="_Toc521493402"/>
      <w:bookmarkStart w:id="1750" w:name="_Toc106883054"/>
      <w:r>
        <w:rPr>
          <w:rFonts w:ascii="宋体" w:hAnsi="宋体"/>
          <w:color w:val="auto"/>
        </w:rPr>
        <w:t>2.4 清理</w:t>
      </w:r>
      <w:bookmarkEnd w:id="1740"/>
      <w:bookmarkEnd w:id="1741"/>
      <w:bookmarkEnd w:id="1742"/>
      <w:bookmarkEnd w:id="1743"/>
      <w:bookmarkEnd w:id="1744"/>
      <w:bookmarkEnd w:id="1745"/>
      <w:bookmarkEnd w:id="1746"/>
      <w:bookmarkEnd w:id="1747"/>
      <w:bookmarkEnd w:id="1748"/>
      <w:bookmarkEnd w:id="1749"/>
      <w:bookmarkEnd w:id="1750"/>
    </w:p>
    <w:bookmarkEnd w:id="1734"/>
    <w:bookmarkEnd w:id="1735"/>
    <w:bookmarkEnd w:id="1736"/>
    <w:bookmarkEnd w:id="1737"/>
    <w:bookmarkEnd w:id="1738"/>
    <w:bookmarkEnd w:id="1739"/>
    <w:p>
      <w:pPr>
        <w:pStyle w:val="1280"/>
        <w:rPr>
          <w:rFonts w:ascii="宋体"/>
        </w:rPr>
      </w:pPr>
      <w:bookmarkStart w:id="1751" w:name="_Toc394910196"/>
      <w:bookmarkStart w:id="1752" w:name="_Toc395412728"/>
      <w:bookmarkStart w:id="1753" w:name="_Toc398083732"/>
      <w:bookmarkStart w:id="1754" w:name="_Toc395408054"/>
      <w:bookmarkStart w:id="1755" w:name="_Toc393163390"/>
      <w:r>
        <w:rPr>
          <w:rFonts w:ascii="宋体"/>
        </w:rPr>
        <w:t>指定保留的树木和设施应得到仔细保护。除非项目监理另外同意，承包商应清除工地现场内所有对工程不利的物质，同时包括对已拆除的建筑物和构筑物基础的拆除。在不进行树根清除的情况下，承包商应将所有树木、树根和残存树干砍至与原地面平齐。</w:t>
      </w:r>
    </w:p>
    <w:p>
      <w:pPr>
        <w:pStyle w:val="1280"/>
        <w:rPr>
          <w:rFonts w:ascii="宋体"/>
        </w:rPr>
      </w:pPr>
      <w:r>
        <w:rPr>
          <w:rFonts w:ascii="宋体"/>
        </w:rPr>
        <w:t>承包商应挖掘、除去并处置所有地面下的树根、木头、木制品和类似有害物体，挖掘深度至少应达到0.3m。</w:t>
      </w:r>
    </w:p>
    <w:p>
      <w:pPr>
        <w:pStyle w:val="1280"/>
        <w:rPr>
          <w:rFonts w:ascii="宋体"/>
        </w:rPr>
      </w:pPr>
      <w:r>
        <w:rPr>
          <w:rFonts w:ascii="宋体"/>
        </w:rPr>
        <w:t>所有树木、树干、树桩、树丛及其它垃圾都应清除出工地现场，并当作废物在承包商所获得的某一场所中进行处置。</w:t>
      </w:r>
    </w:p>
    <w:p>
      <w:pPr>
        <w:pStyle w:val="1280"/>
        <w:rPr>
          <w:rFonts w:ascii="宋体"/>
        </w:rPr>
      </w:pPr>
      <w:r>
        <w:rPr>
          <w:rFonts w:ascii="宋体"/>
        </w:rPr>
        <w:t>一般情况下，底部直径为150mm以上且顶端直径为100mm以上的树木可作为有商业价值的木材加以回收利用。所有的有用木材或可回收利用的材料应归业主所有。</w:t>
      </w:r>
    </w:p>
    <w:p>
      <w:pPr>
        <w:pStyle w:val="1280"/>
        <w:rPr>
          <w:rFonts w:ascii="宋体"/>
        </w:rPr>
      </w:pPr>
      <w:bookmarkStart w:id="1756" w:name="OLE_LINK1"/>
      <w:r>
        <w:rPr>
          <w:rFonts w:ascii="宋体"/>
        </w:rPr>
        <w:t>以上属于土石方工程附属工程，不单独计量。</w:t>
      </w:r>
      <w:bookmarkEnd w:id="1756"/>
    </w:p>
    <w:p>
      <w:pPr>
        <w:pStyle w:val="1281"/>
        <w:outlineLvl w:val="0"/>
        <w:rPr>
          <w:rFonts w:ascii="宋体" w:hAnsi="宋体"/>
          <w:color w:val="auto"/>
        </w:rPr>
      </w:pPr>
      <w:bookmarkStart w:id="1757" w:name="_Toc398453557"/>
      <w:bookmarkStart w:id="1758" w:name="_Toc398523357"/>
      <w:bookmarkStart w:id="1759" w:name="_Toc16242338"/>
      <w:bookmarkStart w:id="1760" w:name="_Toc43107517"/>
      <w:bookmarkStart w:id="1761" w:name="_Toc164502091"/>
      <w:bookmarkStart w:id="1762" w:name="_Toc517382503"/>
      <w:bookmarkStart w:id="1763" w:name="_Toc518376551"/>
      <w:bookmarkStart w:id="1764" w:name="_Toc521491872"/>
      <w:bookmarkStart w:id="1765" w:name="_Toc521492729"/>
      <w:bookmarkStart w:id="1766" w:name="_Toc521493403"/>
      <w:bookmarkStart w:id="1767" w:name="_Toc106883055"/>
      <w:r>
        <w:rPr>
          <w:rFonts w:ascii="宋体" w:hAnsi="宋体"/>
          <w:color w:val="auto"/>
        </w:rPr>
        <w:t>2.5 场平工程</w:t>
      </w:r>
      <w:bookmarkEnd w:id="1751"/>
      <w:bookmarkEnd w:id="1752"/>
      <w:bookmarkEnd w:id="1753"/>
      <w:bookmarkEnd w:id="1754"/>
      <w:bookmarkEnd w:id="1755"/>
      <w:bookmarkEnd w:id="1757"/>
      <w:bookmarkEnd w:id="1758"/>
      <w:bookmarkEnd w:id="1759"/>
      <w:bookmarkEnd w:id="1760"/>
      <w:bookmarkEnd w:id="1761"/>
      <w:bookmarkEnd w:id="1762"/>
      <w:bookmarkEnd w:id="1763"/>
      <w:bookmarkEnd w:id="1764"/>
      <w:bookmarkEnd w:id="1765"/>
      <w:bookmarkEnd w:id="1766"/>
      <w:bookmarkEnd w:id="1767"/>
    </w:p>
    <w:p>
      <w:pPr>
        <w:pStyle w:val="1280"/>
        <w:rPr>
          <w:rFonts w:ascii="宋体"/>
        </w:rPr>
      </w:pPr>
      <w:r>
        <w:rPr>
          <w:rFonts w:ascii="宋体"/>
        </w:rPr>
        <w:t>承包商在现场清理和表土清除后应实施场平。场平应与图纸上所标等高线、横断面、坡度和高程一致，由项目监理立标桩。在场平过程中，承包商应维持正确的坡度和良好的排水系统。</w:t>
      </w:r>
    </w:p>
    <w:p>
      <w:pPr>
        <w:pStyle w:val="1280"/>
        <w:rPr>
          <w:rFonts w:ascii="宋体"/>
        </w:rPr>
      </w:pPr>
      <w:r>
        <w:rPr>
          <w:rFonts w:ascii="宋体"/>
        </w:rPr>
        <w:t>承包商应该进行所有必要的质量控制试验以保证工程符合合同的要求，而不应只考虑最低数量的要求。</w:t>
      </w:r>
    </w:p>
    <w:p>
      <w:pPr>
        <w:pStyle w:val="1280"/>
        <w:rPr>
          <w:rFonts w:ascii="宋体"/>
        </w:rPr>
      </w:pPr>
      <w:r>
        <w:rPr>
          <w:rFonts w:ascii="宋体"/>
        </w:rPr>
        <w:t>场平工程施工应进行土方平衡计算，按照土方运距最短，运程合理和各个项目的施工顺序做好调配，减少重复搬运。并且在施工过程中，应经常测量和校核其平面位置、水平高程和边坡坡度等是否符合设计要求。平面控制桩和水准点也应定期复测和检查，以保证其准确性。</w:t>
      </w:r>
    </w:p>
    <w:p>
      <w:pPr>
        <w:pStyle w:val="1280"/>
        <w:rPr>
          <w:rFonts w:ascii="宋体"/>
        </w:rPr>
      </w:pPr>
      <w:r>
        <w:rPr>
          <w:rFonts w:ascii="宋体"/>
        </w:rPr>
        <w:t>永久性挖方边坡坡度应符合设计要求。当工程地质与设计资料不符需修改边坡坡度时，承包商应及时通知项目监理。使用时间较长的临时性挖方边坡坡度，应根据国家相关施工验收规范，工程地质情况和边坡高度，结合当地同类土体的稳定坡度值确定。挖方经过不同的地层或深度超过10m时，其边坡可作成折线形或台阶形。土方开挖应从上到下分层分段依次进行，随时作成一定的坡势，以利泄水，并不得在影响边坡稳定的范围内积水。</w:t>
      </w:r>
    </w:p>
    <w:p>
      <w:pPr>
        <w:pStyle w:val="1280"/>
        <w:rPr>
          <w:rFonts w:ascii="宋体"/>
        </w:rPr>
      </w:pPr>
      <w:r>
        <w:rPr>
          <w:rFonts w:ascii="宋体"/>
        </w:rPr>
        <w:t>在湖塘、沟渠上填土时，应根据实际情况或根据项目监理的要求，采用排水疏干、挖除淤泥或抛填块石、砂砾、矿渣等方法处理后，再进行填土。</w:t>
      </w:r>
    </w:p>
    <w:p>
      <w:pPr>
        <w:pStyle w:val="1280"/>
        <w:rPr>
          <w:rFonts w:ascii="宋体"/>
        </w:rPr>
      </w:pPr>
      <w:r>
        <w:rPr>
          <w:rFonts w:ascii="宋体"/>
        </w:rPr>
        <w:t>填土宜采用同类土填筑，若采用碎石类土、砂土和爆破石渣时，只能用作表层以下的填料，且碎石类和爆破石渣的最大粒径不得超过每层铺填厚度的2</w:t>
      </w:r>
      <w:r>
        <w:rPr>
          <w:rFonts w:ascii="宋体"/>
        </w:rPr>
        <w:sym w:font="Symbol" w:char="F02F"/>
      </w:r>
      <w:r>
        <w:rPr>
          <w:rFonts w:ascii="宋体"/>
        </w:rPr>
        <w:t>3。铺填时，大块料不应集中，且不得填在分段接头处，或填方与山坡相接处。若填方中采用两种透水性不同的填料分层填筑时，须征得项目监理的认可，且上层宜采用透水性较小的填料或φ≥30的一般填料，下层宜采用透水性较大的填料或φ≥35的砂卵石土。</w:t>
      </w:r>
    </w:p>
    <w:p>
      <w:pPr>
        <w:pStyle w:val="1280"/>
        <w:rPr>
          <w:rFonts w:ascii="宋体"/>
        </w:rPr>
      </w:pPr>
      <w:r>
        <w:rPr>
          <w:rFonts w:ascii="宋体"/>
        </w:rPr>
        <w:t>填方应从场地最低部分开始，由一端向另一端自下而上分层水平铺填。填方每层铺土厚度和压实遍数应视土的性质、设计要求的压实系数和使用的压(夯)实机具性能综合而定，承包商应进行现场碾</w:t>
      </w:r>
      <w:r>
        <w:rPr>
          <w:rFonts w:hint="eastAsia" w:ascii="宋体"/>
        </w:rPr>
        <w:t>（</w:t>
      </w:r>
      <w:r>
        <w:rPr>
          <w:rFonts w:ascii="宋体"/>
        </w:rPr>
        <w:t>夯</w:t>
      </w:r>
      <w:r>
        <w:rPr>
          <w:rFonts w:hint="eastAsia" w:ascii="宋体"/>
        </w:rPr>
        <w:t>）</w:t>
      </w:r>
      <w:r>
        <w:rPr>
          <w:rFonts w:ascii="宋体"/>
        </w:rPr>
        <w:t>压试验并将结果报告项目监理，以确认每层铺土厚度和压实遍数，并应根据</w:t>
      </w:r>
      <w:r>
        <w:rPr>
          <w:rFonts w:hint="eastAsia" w:ascii="宋体"/>
        </w:rPr>
        <w:t>《土方与爆破工程施工及验收规范》（</w:t>
      </w:r>
      <w:r>
        <w:rPr>
          <w:rFonts w:ascii="宋体"/>
        </w:rPr>
        <w:t>GB</w:t>
      </w:r>
      <w:r>
        <w:rPr>
          <w:rFonts w:hint="eastAsia" w:ascii="宋体"/>
        </w:rPr>
        <w:t xml:space="preserve"> </w:t>
      </w:r>
      <w:r>
        <w:rPr>
          <w:rFonts w:ascii="宋体"/>
        </w:rPr>
        <w:t>50201</w:t>
      </w:r>
      <w:r>
        <w:rPr>
          <w:rFonts w:hint="eastAsia" w:ascii="宋体"/>
        </w:rPr>
        <w:t>-2012）</w:t>
      </w:r>
      <w:r>
        <w:rPr>
          <w:rFonts w:ascii="宋体"/>
        </w:rPr>
        <w:t>的有关要求确定最优含水率与相应的最大干容重。</w:t>
      </w:r>
    </w:p>
    <w:p>
      <w:pPr>
        <w:pStyle w:val="1280"/>
        <w:rPr>
          <w:rFonts w:ascii="宋体"/>
        </w:rPr>
      </w:pPr>
      <w:r>
        <w:rPr>
          <w:rFonts w:ascii="宋体"/>
        </w:rPr>
        <w:t>对坡度大于1</w:t>
      </w:r>
      <w:r>
        <w:rPr>
          <w:rFonts w:hint="eastAsia" w:ascii="宋体" w:cs="宋体"/>
        </w:rPr>
        <w:t>∶</w:t>
      </w:r>
      <w:r>
        <w:rPr>
          <w:rFonts w:ascii="宋体"/>
        </w:rPr>
        <w:t>5地段应挖高0.3，宽1m的梯坎。对湖塘相连深浅有别时，要先填深坑，当与浅坑相平时，再一起分层填夯，人力打夯要依一定方向进行，打夯时应一夯压半夯，夯夯相接，行行相连，夯实地坪，应由四周向中间夯，采用机械填方时，应保证边缘部位的压实质量。填土后，若设计未要求边坡修整，应在填方边缘多填0.5m宽，若设计要求边坡整平拍实，只多填0.2m宽。为保证压实效果，应控制碾压机械的行驶速度，一般平碾和振动碾不超过2</w:t>
      </w:r>
      <w:r>
        <w:rPr>
          <w:rFonts w:hint="eastAsia" w:ascii="宋体"/>
        </w:rPr>
        <w:t>k</w:t>
      </w:r>
      <w:r>
        <w:rPr>
          <w:rFonts w:ascii="宋体"/>
        </w:rPr>
        <w:t>m</w:t>
      </w:r>
      <w:r>
        <w:rPr>
          <w:rFonts w:hint="eastAsia" w:ascii="宋体"/>
        </w:rPr>
        <w:t>/h</w:t>
      </w:r>
      <w:r>
        <w:rPr>
          <w:rFonts w:ascii="宋体"/>
        </w:rPr>
        <w:t>，羊足碾不超过3</w:t>
      </w:r>
      <w:r>
        <w:rPr>
          <w:rFonts w:hint="eastAsia" w:ascii="宋体"/>
        </w:rPr>
        <w:t>k</w:t>
      </w:r>
      <w:r>
        <w:rPr>
          <w:rFonts w:ascii="宋体"/>
        </w:rPr>
        <w:t>m</w:t>
      </w:r>
      <w:r>
        <w:rPr>
          <w:rFonts w:hint="eastAsia" w:ascii="宋体"/>
        </w:rPr>
        <w:t>/h</w:t>
      </w:r>
      <w:r>
        <w:rPr>
          <w:rFonts w:ascii="宋体"/>
        </w:rPr>
        <w:t>。</w:t>
      </w:r>
    </w:p>
    <w:p>
      <w:pPr>
        <w:pStyle w:val="1280"/>
        <w:rPr>
          <w:rFonts w:ascii="宋体"/>
        </w:rPr>
      </w:pPr>
      <w:r>
        <w:rPr>
          <w:rFonts w:ascii="宋体"/>
        </w:rPr>
        <w:t>分段填筑时，每层接缝处应作成斜坡形，碾迹重叠0.5m</w:t>
      </w:r>
      <w:r>
        <w:rPr>
          <w:rFonts w:ascii="宋体"/>
        </w:rPr>
        <w:sym w:font="Symbol" w:char="F07E"/>
      </w:r>
      <w:r>
        <w:rPr>
          <w:rFonts w:ascii="宋体"/>
        </w:rPr>
        <w:t>1.0m，上、下层错缝距离不小于1m，用压路机进行大面积碾压时均应从两侧逐渐压向中间，每块碾压轮迹应有15</w:t>
      </w:r>
      <w:r>
        <w:rPr>
          <w:rFonts w:ascii="宋体"/>
        </w:rPr>
        <w:sym w:font="Symbol" w:char="F07E"/>
      </w:r>
      <w:r>
        <w:rPr>
          <w:rFonts w:ascii="宋体"/>
        </w:rPr>
        <w:t>20cm的重叠。羊足碾压后，应用拖式平碾压路机补充压实。机械碾压不到的地方宜采用人工夯配合夯实。</w:t>
      </w:r>
    </w:p>
    <w:p>
      <w:pPr>
        <w:pStyle w:val="1280"/>
        <w:rPr>
          <w:rFonts w:ascii="宋体"/>
        </w:rPr>
      </w:pPr>
      <w:r>
        <w:rPr>
          <w:rFonts w:ascii="宋体"/>
        </w:rPr>
        <w:t>填土压实时，应使回填土的含水量在最优含水量范围之内。粘性土料施工含水量与最优含水量之差可控制在-4</w:t>
      </w:r>
      <w:r>
        <w:rPr>
          <w:rFonts w:ascii="宋体"/>
        </w:rPr>
        <w:sym w:font="Symbol" w:char="F07E"/>
      </w:r>
      <w:r>
        <w:rPr>
          <w:rFonts w:ascii="宋体"/>
        </w:rPr>
        <w:t>+2%范围内，砂土应控制在</w:t>
      </w:r>
      <w:r>
        <w:rPr>
          <w:rFonts w:ascii="宋体"/>
        </w:rPr>
        <w:sym w:font="Symbol" w:char="F0B1"/>
      </w:r>
      <w:r>
        <w:rPr>
          <w:rFonts w:ascii="宋体"/>
        </w:rPr>
        <w:t>1.5%以内。</w:t>
      </w:r>
    </w:p>
    <w:p>
      <w:pPr>
        <w:pStyle w:val="1280"/>
        <w:rPr>
          <w:rFonts w:ascii="宋体"/>
        </w:rPr>
      </w:pPr>
      <w:r>
        <w:rPr>
          <w:rFonts w:ascii="宋体"/>
        </w:rPr>
        <w:t>承包商应提供每种材料的湿度</w:t>
      </w:r>
      <w:r>
        <w:rPr>
          <w:rFonts w:hint="eastAsia" w:ascii="宋体"/>
        </w:rPr>
        <w:t>/</w:t>
      </w:r>
      <w:r>
        <w:rPr>
          <w:rFonts w:ascii="宋体"/>
        </w:rPr>
        <w:t>密度曲线，这些曲线是将原材料压缩到国家标准和规范所规定的密度时得到的。承包商应对的压实层和粗碎石、细碎石、其它材料和路基进行区域密度实验，即采用密度法每2000m</w:t>
      </w:r>
      <w:r>
        <w:rPr>
          <w:rFonts w:ascii="宋体"/>
          <w:vertAlign w:val="superscript"/>
        </w:rPr>
        <w:t>2</w:t>
      </w:r>
      <w:r>
        <w:rPr>
          <w:rFonts w:ascii="宋体"/>
        </w:rPr>
        <w:t>压实层测4个点，无骨料时采用环刀法，有骨料时采用灌砂法。</w:t>
      </w:r>
    </w:p>
    <w:p>
      <w:pPr>
        <w:pStyle w:val="1280"/>
        <w:rPr>
          <w:rFonts w:ascii="宋体"/>
        </w:rPr>
      </w:pPr>
      <w:r>
        <w:rPr>
          <w:rFonts w:ascii="宋体"/>
        </w:rPr>
        <w:t>场平后的最终地面应平整一致，没有土堆、松土、石头和瓦砾堆。承包商应充分考虑软土沉降的影响，软土沉降后的最终高程在设计高程的</w:t>
      </w:r>
      <w:r>
        <w:rPr>
          <w:rFonts w:ascii="宋体"/>
        </w:rPr>
        <w:sym w:font="Symbol" w:char="F0B1"/>
      </w:r>
      <w:r>
        <w:rPr>
          <w:rFonts w:ascii="宋体"/>
        </w:rPr>
        <w:t>30mm内。</w:t>
      </w:r>
    </w:p>
    <w:p>
      <w:pPr>
        <w:pStyle w:val="1280"/>
        <w:rPr>
          <w:rFonts w:ascii="宋体"/>
        </w:rPr>
      </w:pPr>
      <w:r>
        <w:rPr>
          <w:rFonts w:ascii="宋体"/>
        </w:rPr>
        <w:t>以上属于土石方工程附属工程，不单独计量。</w:t>
      </w:r>
    </w:p>
    <w:p>
      <w:pPr>
        <w:pStyle w:val="1281"/>
        <w:outlineLvl w:val="0"/>
        <w:rPr>
          <w:rFonts w:ascii="宋体" w:hAnsi="宋体"/>
          <w:color w:val="auto"/>
        </w:rPr>
      </w:pPr>
      <w:bookmarkStart w:id="1768" w:name="_Toc385007632"/>
      <w:bookmarkStart w:id="1769" w:name="_Toc385008428"/>
      <w:bookmarkStart w:id="1770" w:name="_Toc385012590"/>
      <w:bookmarkStart w:id="1771" w:name="_Toc395408055"/>
      <w:bookmarkStart w:id="1772" w:name="_Toc395412729"/>
      <w:bookmarkStart w:id="1773" w:name="_Toc398083733"/>
      <w:bookmarkStart w:id="1774" w:name="_Toc398453558"/>
      <w:bookmarkStart w:id="1775" w:name="_Toc398523358"/>
      <w:bookmarkStart w:id="1776" w:name="_Toc16242339"/>
      <w:bookmarkStart w:id="1777" w:name="_Toc43107518"/>
      <w:bookmarkStart w:id="1778" w:name="_Toc164502092"/>
      <w:bookmarkStart w:id="1779" w:name="_Toc517382504"/>
      <w:bookmarkStart w:id="1780" w:name="_Toc518376552"/>
      <w:bookmarkStart w:id="1781" w:name="_Toc521491873"/>
      <w:bookmarkStart w:id="1782" w:name="_Toc521492730"/>
      <w:bookmarkStart w:id="1783" w:name="_Toc521493404"/>
      <w:bookmarkStart w:id="1784" w:name="_Toc106883056"/>
      <w:r>
        <w:rPr>
          <w:rFonts w:ascii="宋体" w:hAnsi="宋体"/>
          <w:color w:val="auto"/>
        </w:rPr>
        <w:t>2.</w:t>
      </w:r>
      <w:bookmarkEnd w:id="1768"/>
      <w:bookmarkEnd w:id="1769"/>
      <w:bookmarkEnd w:id="1770"/>
      <w:bookmarkEnd w:id="1771"/>
      <w:bookmarkEnd w:id="1772"/>
      <w:bookmarkEnd w:id="1773"/>
      <w:bookmarkEnd w:id="1774"/>
      <w:bookmarkEnd w:id="1775"/>
      <w:bookmarkEnd w:id="1776"/>
      <w:bookmarkEnd w:id="1777"/>
      <w:r>
        <w:rPr>
          <w:rFonts w:ascii="宋体" w:hAnsi="宋体"/>
          <w:color w:val="auto"/>
        </w:rPr>
        <w:t>6 防护</w:t>
      </w:r>
      <w:bookmarkEnd w:id="1778"/>
      <w:bookmarkEnd w:id="1779"/>
      <w:bookmarkEnd w:id="1780"/>
      <w:bookmarkEnd w:id="1781"/>
      <w:bookmarkEnd w:id="1782"/>
      <w:bookmarkEnd w:id="1783"/>
      <w:bookmarkEnd w:id="1784"/>
    </w:p>
    <w:p>
      <w:pPr>
        <w:pStyle w:val="1280"/>
        <w:rPr>
          <w:rFonts w:ascii="宋体"/>
        </w:rPr>
      </w:pPr>
      <w:r>
        <w:rPr>
          <w:rFonts w:ascii="宋体"/>
        </w:rPr>
        <w:t>当工程的施工通过沿河岸边时，须进行施工防护。本合同下的挡墙</w:t>
      </w:r>
      <w:r>
        <w:rPr>
          <w:rFonts w:hint="eastAsia" w:ascii="宋体"/>
        </w:rPr>
        <w:t>等</w:t>
      </w:r>
      <w:r>
        <w:rPr>
          <w:rFonts w:ascii="宋体"/>
        </w:rPr>
        <w:t>结构施工，须采取防护施工。承包商应编制结构施工时边坡防护施工设计，提交项目监理批准，防护构造应简单，防护工程应符合稳定、抗冲、防滑要求，基土在外力作用下不发生垮塌。</w:t>
      </w:r>
    </w:p>
    <w:p>
      <w:pPr>
        <w:pStyle w:val="1280"/>
        <w:rPr>
          <w:rFonts w:ascii="宋体"/>
        </w:rPr>
      </w:pPr>
      <w:r>
        <w:rPr>
          <w:rFonts w:ascii="宋体"/>
        </w:rPr>
        <w:t>施工前，承包商应详细了解工程地质结构、地形地貌和水文地质情况。对可能引起的滑坡应及时采取有效的预防性保护措施；在陡坡下施工，应仔细检查边坡的稳定性。</w:t>
      </w:r>
    </w:p>
    <w:p>
      <w:pPr>
        <w:pStyle w:val="1280"/>
        <w:rPr>
          <w:rFonts w:ascii="宋体"/>
        </w:rPr>
      </w:pPr>
      <w:r>
        <w:rPr>
          <w:rFonts w:ascii="宋体"/>
        </w:rPr>
        <w:t>在已有建筑物附近进行开挖时，承包商的施工措施必须保证其原有建筑物的稳定和安全，并尽可能做到不影响其正常使用。</w:t>
      </w:r>
    </w:p>
    <w:p>
      <w:pPr>
        <w:pStyle w:val="1280"/>
        <w:rPr>
          <w:rFonts w:ascii="宋体"/>
        </w:rPr>
      </w:pPr>
      <w:r>
        <w:rPr>
          <w:rFonts w:ascii="宋体"/>
        </w:rPr>
        <w:t>承包商可参考表2-6-1选择防护类型（但不受此限制）。</w:t>
      </w:r>
    </w:p>
    <w:p>
      <w:pPr>
        <w:adjustRightInd w:val="0"/>
        <w:snapToGrid w:val="0"/>
        <w:spacing w:line="360" w:lineRule="auto"/>
        <w:jc w:val="center"/>
        <w:rPr>
          <w:rFonts w:ascii="宋体" w:hAnsi="宋体"/>
          <w:sz w:val="18"/>
          <w:szCs w:val="18"/>
        </w:rPr>
      </w:pPr>
      <w:r>
        <w:rPr>
          <w:rFonts w:hint="eastAsia" w:ascii="宋体" w:hAnsi="宋体"/>
          <w:sz w:val="18"/>
          <w:szCs w:val="18"/>
        </w:rPr>
        <w:t xml:space="preserve">                                    </w:t>
      </w:r>
      <w:r>
        <w:rPr>
          <w:rFonts w:ascii="宋体" w:hAnsi="宋体"/>
          <w:sz w:val="18"/>
          <w:szCs w:val="18"/>
        </w:rPr>
        <w:t xml:space="preserve">防护类型一览表              </w:t>
      </w:r>
      <w:r>
        <w:rPr>
          <w:rFonts w:hint="eastAsia" w:ascii="宋体" w:hAnsi="宋体"/>
          <w:sz w:val="18"/>
          <w:szCs w:val="18"/>
        </w:rPr>
        <w:t xml:space="preserve">               </w:t>
      </w:r>
      <w:r>
        <w:rPr>
          <w:rFonts w:ascii="宋体" w:hAnsi="宋体"/>
          <w:sz w:val="18"/>
          <w:szCs w:val="18"/>
        </w:rPr>
        <w:t>表2-6-1</w:t>
      </w:r>
    </w:p>
    <w:tbl>
      <w:tblPr>
        <w:tblStyle w:val="77"/>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112"/>
        <w:gridCol w:w="2113"/>
        <w:gridCol w:w="237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cantSplit/>
          <w:tblHeader/>
          <w:jc w:val="center"/>
        </w:trPr>
        <w:tc>
          <w:tcPr>
            <w:tcW w:w="1188" w:type="dxa"/>
            <w:vMerge w:val="restart"/>
            <w:tcBorders>
              <w:left w:val="single" w:color="auto" w:sz="4" w:space="0"/>
            </w:tcBorders>
            <w:vAlign w:val="center"/>
          </w:tcPr>
          <w:p>
            <w:pPr>
              <w:pStyle w:val="1286"/>
              <w:rPr>
                <w:rFonts w:ascii="宋体" w:hAnsi="宋体"/>
                <w:color w:val="auto"/>
              </w:rPr>
            </w:pPr>
            <w:r>
              <w:rPr>
                <w:rFonts w:ascii="宋体" w:hAnsi="宋体"/>
                <w:color w:val="auto"/>
              </w:rPr>
              <w:t>防</w:t>
            </w:r>
          </w:p>
          <w:p>
            <w:pPr>
              <w:pStyle w:val="1286"/>
              <w:rPr>
                <w:rFonts w:ascii="宋体" w:hAnsi="宋体"/>
                <w:color w:val="auto"/>
              </w:rPr>
            </w:pPr>
            <w:r>
              <w:rPr>
                <w:rFonts w:ascii="宋体" w:hAnsi="宋体"/>
                <w:color w:val="auto"/>
              </w:rPr>
              <w:t>护</w:t>
            </w:r>
          </w:p>
          <w:p>
            <w:pPr>
              <w:pStyle w:val="1286"/>
              <w:rPr>
                <w:rFonts w:ascii="宋体" w:hAnsi="宋体"/>
                <w:color w:val="auto"/>
              </w:rPr>
            </w:pPr>
            <w:r>
              <w:rPr>
                <w:rFonts w:ascii="宋体" w:hAnsi="宋体"/>
                <w:color w:val="auto"/>
              </w:rPr>
              <w:t>类</w:t>
            </w:r>
          </w:p>
          <w:p>
            <w:pPr>
              <w:pStyle w:val="1286"/>
              <w:rPr>
                <w:rFonts w:ascii="宋体" w:hAnsi="宋体"/>
                <w:color w:val="auto"/>
              </w:rPr>
            </w:pPr>
            <w:r>
              <w:rPr>
                <w:rFonts w:ascii="宋体" w:hAnsi="宋体"/>
                <w:color w:val="auto"/>
              </w:rPr>
              <w:t>型</w:t>
            </w:r>
          </w:p>
        </w:tc>
        <w:tc>
          <w:tcPr>
            <w:tcW w:w="6604" w:type="dxa"/>
            <w:gridSpan w:val="3"/>
            <w:tcBorders>
              <w:right w:val="single" w:color="auto" w:sz="4" w:space="0"/>
            </w:tcBorders>
            <w:vAlign w:val="center"/>
          </w:tcPr>
          <w:p>
            <w:pPr>
              <w:pStyle w:val="1286"/>
              <w:rPr>
                <w:rFonts w:ascii="宋体" w:hAnsi="宋体"/>
                <w:color w:val="auto"/>
              </w:rPr>
            </w:pPr>
            <w:r>
              <w:rPr>
                <w:rFonts w:ascii="宋体" w:hAnsi="宋体"/>
                <w:color w:val="auto"/>
              </w:rPr>
              <w:t>适  用  条  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188" w:type="dxa"/>
            <w:vMerge w:val="continue"/>
            <w:tcBorders>
              <w:left w:val="single" w:color="auto" w:sz="4" w:space="0"/>
            </w:tcBorders>
            <w:vAlign w:val="center"/>
          </w:tcPr>
          <w:p>
            <w:pPr>
              <w:pStyle w:val="1286"/>
              <w:rPr>
                <w:rFonts w:ascii="宋体" w:hAnsi="宋体"/>
                <w:color w:val="auto"/>
              </w:rPr>
            </w:pPr>
          </w:p>
        </w:tc>
        <w:tc>
          <w:tcPr>
            <w:tcW w:w="2112" w:type="dxa"/>
            <w:vAlign w:val="center"/>
          </w:tcPr>
          <w:p>
            <w:pPr>
              <w:pStyle w:val="1286"/>
              <w:rPr>
                <w:rFonts w:ascii="宋体" w:hAnsi="宋体"/>
                <w:color w:val="auto"/>
              </w:rPr>
            </w:pPr>
            <w:r>
              <w:rPr>
                <w:rFonts w:ascii="宋体" w:hAnsi="宋体"/>
                <w:color w:val="auto"/>
              </w:rPr>
              <w:t>岩壁</w:t>
            </w:r>
          </w:p>
        </w:tc>
        <w:tc>
          <w:tcPr>
            <w:tcW w:w="2113" w:type="dxa"/>
            <w:vAlign w:val="center"/>
          </w:tcPr>
          <w:p>
            <w:pPr>
              <w:pStyle w:val="1286"/>
              <w:rPr>
                <w:rFonts w:ascii="宋体" w:hAnsi="宋体"/>
                <w:color w:val="auto"/>
              </w:rPr>
            </w:pPr>
            <w:r>
              <w:rPr>
                <w:rFonts w:ascii="宋体" w:hAnsi="宋体"/>
                <w:color w:val="auto"/>
              </w:rPr>
              <w:t>土壁</w:t>
            </w:r>
          </w:p>
        </w:tc>
        <w:tc>
          <w:tcPr>
            <w:tcW w:w="2379" w:type="dxa"/>
            <w:tcBorders>
              <w:right w:val="single" w:color="auto" w:sz="4" w:space="0"/>
            </w:tcBorders>
            <w:vAlign w:val="center"/>
          </w:tcPr>
          <w:p>
            <w:pPr>
              <w:pStyle w:val="1286"/>
              <w:rPr>
                <w:rFonts w:ascii="宋体" w:hAnsi="宋体"/>
                <w:color w:val="auto"/>
              </w:rPr>
            </w:pPr>
            <w:r>
              <w:rPr>
                <w:rFonts w:ascii="宋体" w:hAnsi="宋体"/>
                <w:color w:val="auto"/>
              </w:rPr>
              <w:t>建(构)筑物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blHeader/>
          <w:jc w:val="center"/>
        </w:trPr>
        <w:tc>
          <w:tcPr>
            <w:tcW w:w="1188" w:type="dxa"/>
            <w:vMerge w:val="continue"/>
            <w:tcBorders>
              <w:left w:val="single" w:color="auto" w:sz="4" w:space="0"/>
            </w:tcBorders>
            <w:vAlign w:val="center"/>
          </w:tcPr>
          <w:p>
            <w:pPr>
              <w:pStyle w:val="1286"/>
              <w:rPr>
                <w:rFonts w:ascii="宋体" w:hAnsi="宋体"/>
                <w:color w:val="auto"/>
              </w:rPr>
            </w:pPr>
          </w:p>
        </w:tc>
        <w:tc>
          <w:tcPr>
            <w:tcW w:w="2112" w:type="dxa"/>
            <w:vAlign w:val="center"/>
          </w:tcPr>
          <w:p>
            <w:pPr>
              <w:pStyle w:val="1286"/>
              <w:rPr>
                <w:rFonts w:ascii="宋体" w:hAnsi="宋体"/>
                <w:color w:val="auto"/>
              </w:rPr>
            </w:pPr>
            <w:r>
              <w:rPr>
                <w:rFonts w:ascii="宋体" w:hAnsi="宋体"/>
                <w:color w:val="auto"/>
              </w:rPr>
              <w:t>挂网喷浆</w:t>
            </w:r>
          </w:p>
        </w:tc>
        <w:tc>
          <w:tcPr>
            <w:tcW w:w="2113" w:type="dxa"/>
            <w:vAlign w:val="center"/>
          </w:tcPr>
          <w:p>
            <w:pPr>
              <w:pStyle w:val="1286"/>
              <w:rPr>
                <w:rFonts w:ascii="宋体" w:hAnsi="宋体"/>
                <w:color w:val="auto"/>
              </w:rPr>
            </w:pPr>
            <w:r>
              <w:rPr>
                <w:rFonts w:ascii="宋体" w:hAnsi="宋体"/>
                <w:color w:val="auto"/>
              </w:rPr>
              <w:t>锚杆式护壁墙</w:t>
            </w:r>
          </w:p>
        </w:tc>
        <w:tc>
          <w:tcPr>
            <w:tcW w:w="2379" w:type="dxa"/>
            <w:tcBorders>
              <w:right w:val="single" w:color="auto" w:sz="4" w:space="0"/>
            </w:tcBorders>
            <w:vAlign w:val="center"/>
          </w:tcPr>
          <w:p>
            <w:pPr>
              <w:pStyle w:val="1286"/>
              <w:rPr>
                <w:rFonts w:ascii="宋体" w:hAnsi="宋体"/>
                <w:color w:val="auto"/>
              </w:rPr>
            </w:pPr>
            <w:r>
              <w:rPr>
                <w:rFonts w:ascii="宋体" w:hAnsi="宋体"/>
                <w:color w:val="auto"/>
              </w:rPr>
              <w:t>锚杆式护壁墙或片石方格网绿化护坡</w:t>
            </w:r>
          </w:p>
        </w:tc>
      </w:tr>
    </w:tbl>
    <w:p>
      <w:pPr>
        <w:pStyle w:val="1280"/>
        <w:rPr>
          <w:rFonts w:ascii="宋体"/>
        </w:rPr>
      </w:pPr>
      <w:bookmarkStart w:id="1785" w:name="_Toc385007633"/>
      <w:bookmarkStart w:id="1786" w:name="_Toc385008429"/>
      <w:bookmarkStart w:id="1787" w:name="_Toc385012591"/>
      <w:bookmarkStart w:id="1788" w:name="_Toc395408056"/>
      <w:bookmarkStart w:id="1789" w:name="_Toc395412730"/>
      <w:bookmarkStart w:id="1790" w:name="_Toc398083734"/>
      <w:bookmarkStart w:id="1791" w:name="_Toc398453559"/>
      <w:bookmarkStart w:id="1792" w:name="_Toc398523359"/>
      <w:bookmarkStart w:id="1793" w:name="_Toc16242340"/>
      <w:bookmarkStart w:id="1794" w:name="_Toc43107519"/>
      <w:bookmarkStart w:id="1795" w:name="_Toc517382505"/>
      <w:bookmarkStart w:id="1796" w:name="_Toc518376553"/>
      <w:bookmarkStart w:id="1797" w:name="_Toc164502093"/>
      <w:r>
        <w:rPr>
          <w:rFonts w:ascii="宋体"/>
        </w:rPr>
        <w:t>以上属于土石方工程附属工程，不单独计量。</w:t>
      </w:r>
    </w:p>
    <w:p>
      <w:pPr>
        <w:pStyle w:val="1281"/>
        <w:outlineLvl w:val="0"/>
        <w:rPr>
          <w:rFonts w:ascii="宋体" w:hAnsi="宋体"/>
          <w:color w:val="auto"/>
        </w:rPr>
      </w:pPr>
      <w:bookmarkStart w:id="1798" w:name="_Toc521491874"/>
      <w:bookmarkStart w:id="1799" w:name="_Toc521492731"/>
      <w:bookmarkStart w:id="1800" w:name="_Toc521493405"/>
      <w:bookmarkStart w:id="1801" w:name="_Toc106883057"/>
      <w:r>
        <w:rPr>
          <w:rFonts w:ascii="宋体" w:hAnsi="宋体"/>
          <w:color w:val="auto"/>
        </w:rPr>
        <w:t>2.</w:t>
      </w:r>
      <w:bookmarkEnd w:id="1785"/>
      <w:bookmarkEnd w:id="1786"/>
      <w:bookmarkEnd w:id="1787"/>
      <w:bookmarkEnd w:id="1788"/>
      <w:bookmarkEnd w:id="1789"/>
      <w:bookmarkEnd w:id="1790"/>
      <w:bookmarkEnd w:id="1791"/>
      <w:bookmarkEnd w:id="1792"/>
      <w:bookmarkEnd w:id="1793"/>
      <w:r>
        <w:rPr>
          <w:rFonts w:ascii="宋体" w:hAnsi="宋体"/>
          <w:color w:val="auto"/>
        </w:rPr>
        <w:t>7 防护施工要求</w:t>
      </w:r>
      <w:bookmarkEnd w:id="1794"/>
      <w:bookmarkEnd w:id="1795"/>
      <w:bookmarkEnd w:id="1796"/>
      <w:bookmarkEnd w:id="1798"/>
      <w:bookmarkEnd w:id="1799"/>
      <w:bookmarkEnd w:id="1800"/>
      <w:bookmarkEnd w:id="1801"/>
    </w:p>
    <w:p>
      <w:pPr>
        <w:pStyle w:val="1280"/>
        <w:rPr>
          <w:rFonts w:ascii="宋体"/>
        </w:rPr>
      </w:pPr>
      <w:r>
        <w:rPr>
          <w:rFonts w:ascii="宋体"/>
        </w:rPr>
        <w:t>承包商应根据现场的地质条件和自己的施工经验，自行选择可靠的临时工程的边坡防护方法，并在报价中包含所有相关费用。如选择以下的防护方法，应注意：</w:t>
      </w:r>
    </w:p>
    <w:p>
      <w:pPr>
        <w:pStyle w:val="1280"/>
        <w:rPr>
          <w:rFonts w:ascii="宋体"/>
        </w:rPr>
      </w:pPr>
      <w:r>
        <w:rPr>
          <w:rFonts w:ascii="宋体"/>
        </w:rPr>
        <w:t>1、挂网喷浆中喷射混凝土及钢筋网的铺设应遵守下列规定（但不限于此规定）：</w:t>
      </w:r>
    </w:p>
    <w:p>
      <w:pPr>
        <w:pStyle w:val="1280"/>
        <w:rPr>
          <w:rFonts w:ascii="宋体"/>
        </w:rPr>
      </w:pPr>
      <w:r>
        <w:rPr>
          <w:rFonts w:ascii="宋体"/>
        </w:rPr>
        <w:t>钢筋使用前应清除污垢；</w:t>
      </w:r>
    </w:p>
    <w:p>
      <w:pPr>
        <w:pStyle w:val="1280"/>
        <w:rPr>
          <w:rFonts w:ascii="宋体"/>
        </w:rPr>
      </w:pPr>
      <w:r>
        <w:rPr>
          <w:rFonts w:ascii="宋体"/>
        </w:rPr>
        <w:t>钢筋网宜在岩面喷射一层混凝土后铺设，钢筋与壁面的间隙，宜为30mm；</w:t>
      </w:r>
    </w:p>
    <w:p>
      <w:pPr>
        <w:pStyle w:val="1280"/>
        <w:rPr>
          <w:rFonts w:ascii="宋体"/>
        </w:rPr>
      </w:pPr>
      <w:r>
        <w:rPr>
          <w:rFonts w:ascii="宋体"/>
        </w:rPr>
        <w:t>采用双层钢筋网时，第二层钢筋网应在第一层钢筋网被混凝土覆盖后铺设；</w:t>
      </w:r>
    </w:p>
    <w:p>
      <w:pPr>
        <w:pStyle w:val="1280"/>
        <w:rPr>
          <w:rFonts w:ascii="宋体"/>
        </w:rPr>
      </w:pPr>
      <w:r>
        <w:rPr>
          <w:rFonts w:ascii="宋体"/>
        </w:rPr>
        <w:t>钢筋网应与锚杆或其他锚定装置联结牢固，喷射时钢筋不得晃动；</w:t>
      </w:r>
    </w:p>
    <w:p>
      <w:pPr>
        <w:pStyle w:val="1280"/>
        <w:rPr>
          <w:rFonts w:ascii="宋体"/>
        </w:rPr>
      </w:pPr>
      <w:r>
        <w:rPr>
          <w:rFonts w:ascii="宋体"/>
        </w:rPr>
        <w:t>开始喷射混凝土作业时，应减小喷头至受喷面的距离，并调节喷射角度，以保证钢筋与壁面之间混凝土的密实性；</w:t>
      </w:r>
    </w:p>
    <w:p>
      <w:pPr>
        <w:pStyle w:val="1280"/>
        <w:rPr>
          <w:rFonts w:ascii="宋体"/>
        </w:rPr>
      </w:pPr>
      <w:r>
        <w:rPr>
          <w:rFonts w:ascii="宋体"/>
        </w:rPr>
        <w:t>喷射中如有脱落的混凝土被钢筋网架住，应及时清除。</w:t>
      </w:r>
    </w:p>
    <w:p>
      <w:pPr>
        <w:pStyle w:val="1280"/>
        <w:rPr>
          <w:rFonts w:ascii="宋体"/>
        </w:rPr>
      </w:pPr>
      <w:r>
        <w:rPr>
          <w:rFonts w:ascii="宋体"/>
        </w:rPr>
        <w:t>喷射混凝土的匀质，可以现场28天龄期喷射混凝土抗压强度的标准差和变异系数，并按表2-7-1控制水平检验：</w:t>
      </w:r>
    </w:p>
    <w:p>
      <w:pPr>
        <w:adjustRightInd w:val="0"/>
        <w:snapToGrid w:val="0"/>
        <w:spacing w:line="360" w:lineRule="auto"/>
        <w:ind w:right="180" w:firstLine="403" w:firstLineChars="224"/>
        <w:jc w:val="right"/>
        <w:rPr>
          <w:rFonts w:ascii="宋体" w:hAnsi="宋体"/>
          <w:bCs/>
          <w:sz w:val="18"/>
          <w:szCs w:val="18"/>
        </w:rPr>
      </w:pPr>
      <w:r>
        <w:rPr>
          <w:rFonts w:ascii="宋体" w:hAnsi="宋体"/>
          <w:bCs/>
          <w:sz w:val="18"/>
          <w:szCs w:val="18"/>
        </w:rPr>
        <w:t>表2-7-1</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09"/>
        <w:gridCol w:w="1209"/>
        <w:gridCol w:w="1418"/>
        <w:gridCol w:w="1417"/>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8" w:type="dxa"/>
            <w:gridSpan w:val="2"/>
            <w:vAlign w:val="center"/>
          </w:tcPr>
          <w:p>
            <w:pPr>
              <w:pStyle w:val="1286"/>
              <w:rPr>
                <w:rFonts w:ascii="宋体" w:hAnsi="宋体"/>
                <w:color w:val="auto"/>
              </w:rPr>
            </w:pPr>
            <w:r>
              <w:rPr>
                <w:rFonts w:ascii="宋体" w:hAnsi="宋体"/>
                <w:color w:val="auto"/>
              </w:rPr>
              <w:t>施工控制水平</w:t>
            </w:r>
          </w:p>
        </w:tc>
        <w:tc>
          <w:tcPr>
            <w:tcW w:w="1209" w:type="dxa"/>
            <w:vAlign w:val="center"/>
          </w:tcPr>
          <w:p>
            <w:pPr>
              <w:pStyle w:val="1286"/>
              <w:rPr>
                <w:rFonts w:ascii="宋体" w:hAnsi="宋体"/>
                <w:color w:val="auto"/>
              </w:rPr>
            </w:pPr>
            <w:r>
              <w:rPr>
                <w:rFonts w:ascii="宋体" w:hAnsi="宋体"/>
                <w:color w:val="auto"/>
              </w:rPr>
              <w:t>优</w:t>
            </w:r>
          </w:p>
        </w:tc>
        <w:tc>
          <w:tcPr>
            <w:tcW w:w="1418" w:type="dxa"/>
            <w:vAlign w:val="center"/>
          </w:tcPr>
          <w:p>
            <w:pPr>
              <w:pStyle w:val="1286"/>
              <w:rPr>
                <w:rFonts w:ascii="宋体" w:hAnsi="宋体"/>
                <w:color w:val="auto"/>
              </w:rPr>
            </w:pPr>
            <w:r>
              <w:rPr>
                <w:rFonts w:ascii="宋体" w:hAnsi="宋体"/>
                <w:color w:val="auto"/>
              </w:rPr>
              <w:t>良</w:t>
            </w:r>
          </w:p>
        </w:tc>
        <w:tc>
          <w:tcPr>
            <w:tcW w:w="1417" w:type="dxa"/>
            <w:vAlign w:val="center"/>
          </w:tcPr>
          <w:p>
            <w:pPr>
              <w:pStyle w:val="1286"/>
              <w:rPr>
                <w:rFonts w:ascii="宋体" w:hAnsi="宋体"/>
                <w:color w:val="auto"/>
              </w:rPr>
            </w:pPr>
            <w:r>
              <w:rPr>
                <w:rFonts w:ascii="宋体" w:hAnsi="宋体"/>
                <w:color w:val="auto"/>
              </w:rPr>
              <w:t>及格</w:t>
            </w:r>
          </w:p>
        </w:tc>
        <w:tc>
          <w:tcPr>
            <w:tcW w:w="1418" w:type="dxa"/>
            <w:vAlign w:val="center"/>
          </w:tcPr>
          <w:p>
            <w:pPr>
              <w:pStyle w:val="1286"/>
              <w:rPr>
                <w:rFonts w:ascii="宋体" w:hAnsi="宋体"/>
                <w:color w:val="auto"/>
              </w:rPr>
            </w:pPr>
            <w:r>
              <w:rPr>
                <w:rFonts w:ascii="宋体" w:hAnsi="宋体"/>
                <w:color w:val="auto"/>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Merge w:val="restart"/>
            <w:vAlign w:val="center"/>
          </w:tcPr>
          <w:p>
            <w:pPr>
              <w:pStyle w:val="1286"/>
              <w:rPr>
                <w:rFonts w:ascii="宋体" w:hAnsi="宋体"/>
                <w:color w:val="auto"/>
              </w:rPr>
            </w:pPr>
            <w:r>
              <w:rPr>
                <w:rFonts w:ascii="宋体" w:hAnsi="宋体"/>
                <w:color w:val="auto"/>
              </w:rPr>
              <w:t>标准差</w:t>
            </w:r>
          </w:p>
          <w:p>
            <w:pPr>
              <w:pStyle w:val="1286"/>
              <w:rPr>
                <w:rFonts w:ascii="宋体" w:hAnsi="宋体"/>
                <w:color w:val="auto"/>
              </w:rPr>
            </w:pPr>
            <w:r>
              <w:rPr>
                <w:rFonts w:ascii="宋体" w:hAnsi="宋体"/>
                <w:color w:val="auto"/>
              </w:rPr>
              <w:t>（兆帕）</w:t>
            </w:r>
          </w:p>
        </w:tc>
        <w:tc>
          <w:tcPr>
            <w:tcW w:w="1909" w:type="dxa"/>
            <w:vAlign w:val="center"/>
          </w:tcPr>
          <w:p>
            <w:pPr>
              <w:pStyle w:val="1286"/>
              <w:rPr>
                <w:rFonts w:ascii="宋体" w:hAnsi="宋体"/>
                <w:color w:val="auto"/>
              </w:rPr>
            </w:pPr>
            <w:r>
              <w:rPr>
                <w:rFonts w:ascii="宋体" w:hAnsi="宋体"/>
                <w:color w:val="auto"/>
              </w:rPr>
              <w:t>母体的离散</w:t>
            </w:r>
          </w:p>
        </w:tc>
        <w:tc>
          <w:tcPr>
            <w:tcW w:w="1209" w:type="dxa"/>
            <w:vAlign w:val="center"/>
          </w:tcPr>
          <w:p>
            <w:pPr>
              <w:pStyle w:val="1286"/>
              <w:rPr>
                <w:rFonts w:ascii="宋体" w:hAnsi="宋体"/>
                <w:color w:val="auto"/>
              </w:rPr>
            </w:pPr>
            <w:r>
              <w:rPr>
                <w:rFonts w:ascii="宋体" w:hAnsi="宋体"/>
                <w:color w:val="auto"/>
              </w:rPr>
              <w:t>﹤4.5</w:t>
            </w:r>
          </w:p>
        </w:tc>
        <w:tc>
          <w:tcPr>
            <w:tcW w:w="1418" w:type="dxa"/>
            <w:vAlign w:val="center"/>
          </w:tcPr>
          <w:p>
            <w:pPr>
              <w:pStyle w:val="1286"/>
              <w:rPr>
                <w:rFonts w:ascii="宋体" w:hAnsi="宋体"/>
                <w:color w:val="auto"/>
              </w:rPr>
            </w:pPr>
            <w:r>
              <w:rPr>
                <w:rFonts w:ascii="宋体" w:hAnsi="宋体"/>
                <w:color w:val="auto"/>
              </w:rPr>
              <w:t>4.5～5.5</w:t>
            </w:r>
          </w:p>
        </w:tc>
        <w:tc>
          <w:tcPr>
            <w:tcW w:w="1417" w:type="dxa"/>
            <w:vAlign w:val="center"/>
          </w:tcPr>
          <w:p>
            <w:pPr>
              <w:pStyle w:val="1286"/>
              <w:rPr>
                <w:rFonts w:ascii="宋体" w:hAnsi="宋体"/>
                <w:color w:val="auto"/>
              </w:rPr>
            </w:pPr>
            <w:r>
              <w:rPr>
                <w:rFonts w:ascii="宋体" w:hAnsi="宋体"/>
                <w:color w:val="auto"/>
              </w:rPr>
              <w:t>5.5～6.5</w:t>
            </w:r>
          </w:p>
        </w:tc>
        <w:tc>
          <w:tcPr>
            <w:tcW w:w="1418" w:type="dxa"/>
            <w:vAlign w:val="center"/>
          </w:tcPr>
          <w:p>
            <w:pPr>
              <w:pStyle w:val="1286"/>
              <w:rPr>
                <w:rFonts w:ascii="宋体" w:hAnsi="宋体"/>
                <w:color w:val="auto"/>
              </w:rPr>
            </w:pPr>
            <w:r>
              <w:rPr>
                <w:rFonts w:ascii="宋体" w:hAnsi="宋体"/>
                <w:color w:val="auto"/>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Merge w:val="continue"/>
            <w:vAlign w:val="center"/>
          </w:tcPr>
          <w:p>
            <w:pPr>
              <w:pStyle w:val="1286"/>
              <w:rPr>
                <w:rFonts w:ascii="宋体" w:hAnsi="宋体"/>
                <w:color w:val="auto"/>
              </w:rPr>
            </w:pPr>
          </w:p>
        </w:tc>
        <w:tc>
          <w:tcPr>
            <w:tcW w:w="1909" w:type="dxa"/>
            <w:vAlign w:val="center"/>
          </w:tcPr>
          <w:p>
            <w:pPr>
              <w:pStyle w:val="1286"/>
              <w:rPr>
                <w:rFonts w:ascii="宋体" w:hAnsi="宋体"/>
                <w:color w:val="auto"/>
              </w:rPr>
            </w:pPr>
            <w:r>
              <w:rPr>
                <w:rFonts w:ascii="宋体" w:hAnsi="宋体"/>
                <w:color w:val="auto"/>
              </w:rPr>
              <w:t>一次试验的离散</w:t>
            </w:r>
          </w:p>
        </w:tc>
        <w:tc>
          <w:tcPr>
            <w:tcW w:w="1209" w:type="dxa"/>
            <w:vAlign w:val="center"/>
          </w:tcPr>
          <w:p>
            <w:pPr>
              <w:pStyle w:val="1286"/>
              <w:rPr>
                <w:rFonts w:ascii="宋体" w:hAnsi="宋体"/>
                <w:color w:val="auto"/>
              </w:rPr>
            </w:pPr>
            <w:r>
              <w:rPr>
                <w:rFonts w:ascii="宋体" w:hAnsi="宋体"/>
                <w:color w:val="auto"/>
              </w:rPr>
              <w:t>﹤2.2</w:t>
            </w:r>
          </w:p>
        </w:tc>
        <w:tc>
          <w:tcPr>
            <w:tcW w:w="1418" w:type="dxa"/>
            <w:vAlign w:val="center"/>
          </w:tcPr>
          <w:p>
            <w:pPr>
              <w:pStyle w:val="1286"/>
              <w:rPr>
                <w:rFonts w:ascii="宋体" w:hAnsi="宋体"/>
                <w:color w:val="auto"/>
              </w:rPr>
            </w:pPr>
            <w:r>
              <w:rPr>
                <w:rFonts w:ascii="宋体" w:hAnsi="宋体"/>
                <w:color w:val="auto"/>
              </w:rPr>
              <w:t>2.2～2.7</w:t>
            </w:r>
          </w:p>
        </w:tc>
        <w:tc>
          <w:tcPr>
            <w:tcW w:w="1417" w:type="dxa"/>
            <w:vAlign w:val="center"/>
          </w:tcPr>
          <w:p>
            <w:pPr>
              <w:pStyle w:val="1286"/>
              <w:rPr>
                <w:rFonts w:ascii="宋体" w:hAnsi="宋体"/>
                <w:color w:val="auto"/>
              </w:rPr>
            </w:pPr>
            <w:r>
              <w:rPr>
                <w:rFonts w:ascii="宋体" w:hAnsi="宋体"/>
                <w:color w:val="auto"/>
              </w:rPr>
              <w:t>2.7～3.2</w:t>
            </w:r>
          </w:p>
        </w:tc>
        <w:tc>
          <w:tcPr>
            <w:tcW w:w="1418" w:type="dxa"/>
            <w:vAlign w:val="center"/>
          </w:tcPr>
          <w:p>
            <w:pPr>
              <w:pStyle w:val="1286"/>
              <w:rPr>
                <w:rFonts w:ascii="宋体" w:hAnsi="宋体"/>
                <w:color w:val="auto"/>
              </w:rPr>
            </w:pPr>
            <w:r>
              <w:rPr>
                <w:rFonts w:ascii="宋体" w:hAnsi="宋体"/>
                <w:color w:val="auto"/>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Merge w:val="restart"/>
            <w:vAlign w:val="center"/>
          </w:tcPr>
          <w:p>
            <w:pPr>
              <w:pStyle w:val="1286"/>
              <w:rPr>
                <w:rFonts w:ascii="宋体" w:hAnsi="宋体"/>
                <w:color w:val="auto"/>
              </w:rPr>
            </w:pPr>
            <w:r>
              <w:rPr>
                <w:rFonts w:ascii="宋体" w:hAnsi="宋体"/>
                <w:color w:val="auto"/>
              </w:rPr>
              <w:t>变异系数            （%）</w:t>
            </w:r>
          </w:p>
        </w:tc>
        <w:tc>
          <w:tcPr>
            <w:tcW w:w="1909" w:type="dxa"/>
            <w:vAlign w:val="center"/>
          </w:tcPr>
          <w:p>
            <w:pPr>
              <w:pStyle w:val="1286"/>
              <w:rPr>
                <w:rFonts w:ascii="宋体" w:hAnsi="宋体"/>
                <w:color w:val="auto"/>
              </w:rPr>
            </w:pPr>
            <w:r>
              <w:rPr>
                <w:rFonts w:ascii="宋体" w:hAnsi="宋体"/>
                <w:color w:val="auto"/>
              </w:rPr>
              <w:t>母体的离散</w:t>
            </w:r>
          </w:p>
        </w:tc>
        <w:tc>
          <w:tcPr>
            <w:tcW w:w="1209" w:type="dxa"/>
            <w:vAlign w:val="center"/>
          </w:tcPr>
          <w:p>
            <w:pPr>
              <w:pStyle w:val="1286"/>
              <w:rPr>
                <w:rFonts w:ascii="宋体" w:hAnsi="宋体"/>
                <w:color w:val="auto"/>
              </w:rPr>
            </w:pPr>
            <w:r>
              <w:rPr>
                <w:rFonts w:ascii="宋体" w:hAnsi="宋体"/>
                <w:color w:val="auto"/>
              </w:rPr>
              <w:t>﹤15</w:t>
            </w:r>
          </w:p>
        </w:tc>
        <w:tc>
          <w:tcPr>
            <w:tcW w:w="1418" w:type="dxa"/>
            <w:vAlign w:val="center"/>
          </w:tcPr>
          <w:p>
            <w:pPr>
              <w:pStyle w:val="1286"/>
              <w:rPr>
                <w:rFonts w:ascii="宋体" w:hAnsi="宋体"/>
                <w:color w:val="auto"/>
              </w:rPr>
            </w:pPr>
            <w:r>
              <w:rPr>
                <w:rFonts w:ascii="宋体" w:hAnsi="宋体"/>
                <w:color w:val="auto"/>
              </w:rPr>
              <w:t>15～20</w:t>
            </w:r>
          </w:p>
        </w:tc>
        <w:tc>
          <w:tcPr>
            <w:tcW w:w="1417" w:type="dxa"/>
            <w:vAlign w:val="center"/>
          </w:tcPr>
          <w:p>
            <w:pPr>
              <w:pStyle w:val="1286"/>
              <w:rPr>
                <w:rFonts w:ascii="宋体" w:hAnsi="宋体"/>
                <w:color w:val="auto"/>
              </w:rPr>
            </w:pPr>
            <w:r>
              <w:rPr>
                <w:rFonts w:ascii="宋体" w:hAnsi="宋体"/>
                <w:color w:val="auto"/>
              </w:rPr>
              <w:t>20～25</w:t>
            </w:r>
          </w:p>
        </w:tc>
        <w:tc>
          <w:tcPr>
            <w:tcW w:w="1418" w:type="dxa"/>
            <w:vAlign w:val="center"/>
          </w:tcPr>
          <w:p>
            <w:pPr>
              <w:pStyle w:val="1286"/>
              <w:rPr>
                <w:rFonts w:ascii="宋体" w:hAnsi="宋体"/>
                <w:color w:val="auto"/>
              </w:rPr>
            </w:pPr>
            <w:r>
              <w:rPr>
                <w:rFonts w:ascii="宋体" w:hAnsi="宋体"/>
                <w:color w:val="auto"/>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9" w:type="dxa"/>
            <w:vMerge w:val="continue"/>
            <w:vAlign w:val="center"/>
          </w:tcPr>
          <w:p>
            <w:pPr>
              <w:pStyle w:val="1286"/>
              <w:rPr>
                <w:rFonts w:ascii="宋体" w:hAnsi="宋体"/>
                <w:color w:val="auto"/>
              </w:rPr>
            </w:pPr>
          </w:p>
        </w:tc>
        <w:tc>
          <w:tcPr>
            <w:tcW w:w="1909" w:type="dxa"/>
            <w:vAlign w:val="center"/>
          </w:tcPr>
          <w:p>
            <w:pPr>
              <w:pStyle w:val="1286"/>
              <w:rPr>
                <w:rFonts w:ascii="宋体" w:hAnsi="宋体"/>
                <w:color w:val="auto"/>
              </w:rPr>
            </w:pPr>
            <w:r>
              <w:rPr>
                <w:rFonts w:ascii="宋体" w:hAnsi="宋体"/>
                <w:color w:val="auto"/>
              </w:rPr>
              <w:t>一次试验的离散</w:t>
            </w:r>
          </w:p>
        </w:tc>
        <w:tc>
          <w:tcPr>
            <w:tcW w:w="1209" w:type="dxa"/>
            <w:vAlign w:val="center"/>
          </w:tcPr>
          <w:p>
            <w:pPr>
              <w:pStyle w:val="1286"/>
              <w:rPr>
                <w:rFonts w:ascii="宋体" w:hAnsi="宋体"/>
                <w:color w:val="auto"/>
              </w:rPr>
            </w:pPr>
            <w:r>
              <w:rPr>
                <w:rFonts w:ascii="宋体" w:hAnsi="宋体"/>
                <w:color w:val="auto"/>
              </w:rPr>
              <w:t>﹤7</w:t>
            </w:r>
          </w:p>
        </w:tc>
        <w:tc>
          <w:tcPr>
            <w:tcW w:w="1418" w:type="dxa"/>
            <w:vAlign w:val="center"/>
          </w:tcPr>
          <w:p>
            <w:pPr>
              <w:pStyle w:val="1286"/>
              <w:rPr>
                <w:rFonts w:ascii="宋体" w:hAnsi="宋体"/>
                <w:color w:val="auto"/>
              </w:rPr>
            </w:pPr>
            <w:r>
              <w:rPr>
                <w:rFonts w:ascii="宋体" w:hAnsi="宋体"/>
                <w:color w:val="auto"/>
              </w:rPr>
              <w:t>7～9</w:t>
            </w:r>
          </w:p>
        </w:tc>
        <w:tc>
          <w:tcPr>
            <w:tcW w:w="1417" w:type="dxa"/>
            <w:vAlign w:val="center"/>
          </w:tcPr>
          <w:p>
            <w:pPr>
              <w:pStyle w:val="1286"/>
              <w:rPr>
                <w:rFonts w:ascii="宋体" w:hAnsi="宋体"/>
                <w:color w:val="auto"/>
              </w:rPr>
            </w:pPr>
            <w:r>
              <w:rPr>
                <w:rFonts w:ascii="宋体" w:hAnsi="宋体"/>
                <w:color w:val="auto"/>
              </w:rPr>
              <w:t>9～11</w:t>
            </w:r>
          </w:p>
        </w:tc>
        <w:tc>
          <w:tcPr>
            <w:tcW w:w="1418" w:type="dxa"/>
            <w:vAlign w:val="center"/>
          </w:tcPr>
          <w:p>
            <w:pPr>
              <w:pStyle w:val="1286"/>
              <w:rPr>
                <w:rFonts w:ascii="宋体" w:hAnsi="宋体"/>
                <w:color w:val="auto"/>
              </w:rPr>
            </w:pPr>
            <w:r>
              <w:rPr>
                <w:rFonts w:ascii="宋体" w:hAnsi="宋体"/>
                <w:color w:val="auto"/>
              </w:rPr>
              <w:t>﹥11</w:t>
            </w:r>
          </w:p>
        </w:tc>
      </w:tr>
    </w:tbl>
    <w:p>
      <w:pPr>
        <w:pStyle w:val="1280"/>
        <w:rPr>
          <w:rFonts w:ascii="宋体"/>
        </w:rPr>
      </w:pPr>
      <w:r>
        <w:rPr>
          <w:rFonts w:ascii="宋体"/>
        </w:rPr>
        <w:t>2、锚杆式护壁墙应符合以下一般规定，但不仅限于此规定：</w:t>
      </w:r>
    </w:p>
    <w:p>
      <w:pPr>
        <w:pStyle w:val="1280"/>
        <w:rPr>
          <w:rFonts w:ascii="宋体"/>
        </w:rPr>
      </w:pPr>
      <w:r>
        <w:rPr>
          <w:rFonts w:ascii="宋体"/>
        </w:rPr>
        <w:t>锚杆施工前，应确定基坑支护所承受的荷载、锚杆的布置、锚杆承载能力、锚杆的稳定性、锚固段长度、直径和拉杆直径等；</w:t>
      </w:r>
    </w:p>
    <w:p>
      <w:pPr>
        <w:pStyle w:val="1280"/>
        <w:rPr>
          <w:rFonts w:ascii="宋体"/>
        </w:rPr>
      </w:pPr>
      <w:r>
        <w:rPr>
          <w:rFonts w:ascii="宋体"/>
        </w:rPr>
        <w:t>应根据地质条件、现场情况等因素确定钻孔方法和机具，一般情况下，宜采用旋转式钻孔机；当土层孔隙率大、含水量底时，可采用冲击式钻孔机；当在呈非浸水状态的粘土、亚粘土、砂土等土层中钻孔时，可采用旋转冲击式钻孔机。</w:t>
      </w:r>
    </w:p>
    <w:p>
      <w:pPr>
        <w:pStyle w:val="1280"/>
        <w:rPr>
          <w:rFonts w:ascii="宋体"/>
        </w:rPr>
      </w:pPr>
      <w:r>
        <w:rPr>
          <w:rFonts w:ascii="宋体"/>
        </w:rPr>
        <w:t>钻孔应符合下列要求：</w:t>
      </w:r>
    </w:p>
    <w:p>
      <w:pPr>
        <w:pStyle w:val="1280"/>
        <w:rPr>
          <w:rFonts w:ascii="宋体"/>
        </w:rPr>
      </w:pPr>
      <w:r>
        <w:rPr>
          <w:rFonts w:ascii="宋体"/>
        </w:rPr>
        <w:t>在注浆完成前，钻孔不得坍塌；</w:t>
      </w:r>
    </w:p>
    <w:p>
      <w:pPr>
        <w:pStyle w:val="1280"/>
        <w:rPr>
          <w:rFonts w:ascii="宋体"/>
        </w:rPr>
      </w:pPr>
      <w:r>
        <w:rPr>
          <w:rFonts w:ascii="宋体"/>
        </w:rPr>
        <w:t>钻孔时不宜使用膨润土循环泥浆护壁；</w:t>
      </w:r>
    </w:p>
    <w:p>
      <w:pPr>
        <w:pStyle w:val="1280"/>
        <w:rPr>
          <w:rFonts w:ascii="宋体"/>
        </w:rPr>
      </w:pPr>
      <w:r>
        <w:rPr>
          <w:rFonts w:ascii="宋体"/>
        </w:rPr>
        <w:t>锚固段应进行局部扩孔，并应深至土体主动滑动面5m以外；</w:t>
      </w:r>
    </w:p>
    <w:p>
      <w:pPr>
        <w:pStyle w:val="1280"/>
        <w:rPr>
          <w:rFonts w:ascii="宋体"/>
        </w:rPr>
      </w:pPr>
      <w:r>
        <w:rPr>
          <w:rFonts w:ascii="宋体"/>
        </w:rPr>
        <w:t>钻孔的垂直度允许偏差不宜超过孔深的2%。</w:t>
      </w:r>
    </w:p>
    <w:p>
      <w:pPr>
        <w:pStyle w:val="1280"/>
        <w:rPr>
          <w:rFonts w:ascii="宋体"/>
        </w:rPr>
      </w:pPr>
      <w:r>
        <w:rPr>
          <w:rFonts w:ascii="宋体"/>
        </w:rPr>
        <w:t>钢筋锚杆应除锈，并应作防腐处理。锚杆布置应符合下列要求：</w:t>
      </w:r>
    </w:p>
    <w:p>
      <w:pPr>
        <w:pStyle w:val="1280"/>
        <w:rPr>
          <w:rFonts w:ascii="宋体"/>
        </w:rPr>
      </w:pPr>
      <w:r>
        <w:rPr>
          <w:rFonts w:ascii="宋体"/>
        </w:rPr>
        <w:t>最上层锚杆锚固段的覆土厚度不应少于3m；</w:t>
      </w:r>
    </w:p>
    <w:p>
      <w:pPr>
        <w:pStyle w:val="1280"/>
        <w:rPr>
          <w:rFonts w:ascii="宋体"/>
        </w:rPr>
      </w:pPr>
      <w:r>
        <w:rPr>
          <w:rFonts w:ascii="宋体"/>
        </w:rPr>
        <w:t>锚杆上、下层的间距宜为1.5～3.0m，同层锚杆的间距宜为1.0～2.5m；</w:t>
      </w:r>
    </w:p>
    <w:p>
      <w:pPr>
        <w:pStyle w:val="1280"/>
        <w:rPr>
          <w:rFonts w:ascii="宋体"/>
        </w:rPr>
      </w:pPr>
      <w:r>
        <w:rPr>
          <w:rFonts w:ascii="宋体"/>
        </w:rPr>
        <w:t>斜锚杆的倾斜角度宜为15°～45°。</w:t>
      </w:r>
    </w:p>
    <w:p>
      <w:pPr>
        <w:pStyle w:val="1280"/>
        <w:rPr>
          <w:rFonts w:ascii="宋体"/>
        </w:rPr>
      </w:pPr>
      <w:r>
        <w:rPr>
          <w:rFonts w:ascii="宋体"/>
        </w:rPr>
        <w:t>锚杆安装应符合下列要求：</w:t>
      </w:r>
    </w:p>
    <w:p>
      <w:pPr>
        <w:pStyle w:val="1280"/>
        <w:rPr>
          <w:rFonts w:ascii="宋体"/>
        </w:rPr>
      </w:pPr>
      <w:r>
        <w:rPr>
          <w:rFonts w:ascii="宋体"/>
        </w:rPr>
        <w:t>锚杆应安置于钻孔中心；</w:t>
      </w:r>
    </w:p>
    <w:p>
      <w:pPr>
        <w:pStyle w:val="1280"/>
        <w:rPr>
          <w:rFonts w:ascii="宋体"/>
        </w:rPr>
      </w:pPr>
      <w:r>
        <w:rPr>
          <w:rFonts w:ascii="宋体"/>
        </w:rPr>
        <w:t>在锚杆表面上应设置定位器，定位器的间距，在锚固段宜为2m，在自由段宜为2.5～3.0m。</w:t>
      </w:r>
    </w:p>
    <w:p>
      <w:pPr>
        <w:pStyle w:val="1280"/>
        <w:rPr>
          <w:rFonts w:ascii="宋体"/>
        </w:rPr>
      </w:pPr>
      <w:r>
        <w:rPr>
          <w:rFonts w:ascii="宋体"/>
        </w:rPr>
        <w:t>根据基坑土的性质、开挖深度等，可对锚杆施加预应力，其数值宜为设计荷载的70%～80%。</w:t>
      </w:r>
    </w:p>
    <w:p>
      <w:pPr>
        <w:pStyle w:val="1280"/>
        <w:rPr>
          <w:rFonts w:ascii="宋体"/>
        </w:rPr>
      </w:pPr>
      <w:r>
        <w:rPr>
          <w:rFonts w:ascii="宋体"/>
        </w:rPr>
        <w:t>锚杆注浆可采用水泥浆或水泥砂浆，水泥宜采用普通硅酸盐水泥；当地下水有腐蚀性时，应在水质化验后，确定注浆材料。水泥砂浆的水灰比宜为</w:t>
      </w:r>
      <w:r>
        <w:rPr>
          <w:rFonts w:hint="eastAsia" w:ascii="宋体"/>
        </w:rPr>
        <w:t>0.4~0.5</w:t>
      </w:r>
      <w:r>
        <w:rPr>
          <w:rFonts w:ascii="宋体"/>
        </w:rPr>
        <w:t>；水泥砂浆的灰砂比宜为</w:t>
      </w:r>
      <w:r>
        <w:rPr>
          <w:rFonts w:hint="eastAsia" w:ascii="宋体"/>
        </w:rPr>
        <w:t>1:0.5~1:1</w:t>
      </w:r>
      <w:r>
        <w:rPr>
          <w:rFonts w:ascii="宋体"/>
        </w:rPr>
        <w:t>；水泥浆宜掺加</w:t>
      </w:r>
      <w:r>
        <w:rPr>
          <w:rFonts w:hint="eastAsia" w:ascii="宋体"/>
        </w:rPr>
        <w:t>0.3%</w:t>
      </w:r>
      <w:r>
        <w:rPr>
          <w:rFonts w:ascii="宋体"/>
        </w:rPr>
        <w:t>的木质素磺酸钙外加剂。锚固段注浆必须饱满密实，宜采用二次注浆，注浆压力宜大于2MPa。</w:t>
      </w:r>
    </w:p>
    <w:p>
      <w:pPr>
        <w:pStyle w:val="1280"/>
        <w:rPr>
          <w:rFonts w:ascii="宋体"/>
        </w:rPr>
      </w:pPr>
      <w:r>
        <w:rPr>
          <w:rFonts w:ascii="宋体"/>
        </w:rPr>
        <w:t>注浆管制作应符合下列要求：</w:t>
      </w:r>
    </w:p>
    <w:p>
      <w:pPr>
        <w:pStyle w:val="1280"/>
        <w:rPr>
          <w:rFonts w:ascii="宋体"/>
        </w:rPr>
      </w:pPr>
      <w:r>
        <w:rPr>
          <w:rFonts w:ascii="宋体"/>
        </w:rPr>
        <w:t>当采用一次注浆时，注浆管长度应比锚杆长度长500mm；当采用二次注浆时，二次注浆管长度应比一次注浆管长度短500mm；注浆管接头宜采用外伸缩节，注浆管与锚杆应固定；注浆管管口1.0～1.5m长度内宜作成梅花管，其孔眼间距宜为100～120mm。</w:t>
      </w:r>
    </w:p>
    <w:p>
      <w:pPr>
        <w:pStyle w:val="1280"/>
        <w:rPr>
          <w:rFonts w:ascii="宋体"/>
        </w:rPr>
      </w:pPr>
      <w:r>
        <w:rPr>
          <w:rFonts w:ascii="宋体"/>
        </w:rPr>
        <w:t>若需实施预应力锚杆。其张拉锚固应符合下列要求：</w:t>
      </w:r>
    </w:p>
    <w:p>
      <w:pPr>
        <w:pStyle w:val="1280"/>
        <w:rPr>
          <w:rFonts w:ascii="宋体"/>
        </w:rPr>
      </w:pPr>
      <w:r>
        <w:rPr>
          <w:rFonts w:ascii="宋体"/>
        </w:rPr>
        <w:t>当土层内锚固段的浆液达到设计强度后，土层锚杆方可张拉固定；</w:t>
      </w:r>
    </w:p>
    <w:p>
      <w:pPr>
        <w:pStyle w:val="1280"/>
        <w:rPr>
          <w:rFonts w:ascii="宋体"/>
        </w:rPr>
      </w:pPr>
      <w:r>
        <w:rPr>
          <w:rFonts w:ascii="宋体"/>
        </w:rPr>
        <w:t>锚杆应进行抗拉性能试验，其数量宜为总根数的2%，且不应少于2根；</w:t>
      </w:r>
    </w:p>
    <w:p>
      <w:pPr>
        <w:pStyle w:val="1280"/>
        <w:rPr>
          <w:rFonts w:ascii="宋体"/>
        </w:rPr>
      </w:pPr>
      <w:r>
        <w:rPr>
          <w:rFonts w:ascii="宋体"/>
        </w:rPr>
        <w:t>锚杆进行抗拉性能抽检时，加载宜按设计荷载的25%、50%、75%、100%、120%依次进行，直至达到极限荷载。</w:t>
      </w:r>
    </w:p>
    <w:p>
      <w:pPr>
        <w:pStyle w:val="1280"/>
        <w:rPr>
          <w:rFonts w:ascii="宋体"/>
        </w:rPr>
      </w:pPr>
      <w:r>
        <w:rPr>
          <w:rFonts w:ascii="宋体"/>
        </w:rPr>
        <w:t>锚杆施工后，应进行验收试验。验收试验的锚杆数量不应少于锚杆总数的5%，且不应少于3根。锚杆验收试验设备，宜采用穿心式千斤顶。进行锚杆验收试验时，加载宜按设计荷载的25%、50%、75%、100%、120%依次进行。</w:t>
      </w:r>
    </w:p>
    <w:p>
      <w:pPr>
        <w:pStyle w:val="1280"/>
        <w:rPr>
          <w:rFonts w:ascii="宋体"/>
        </w:rPr>
      </w:pPr>
      <w:r>
        <w:rPr>
          <w:rFonts w:ascii="宋体"/>
        </w:rPr>
        <w:t>3、骨架植物防护</w:t>
      </w:r>
    </w:p>
    <w:p>
      <w:pPr>
        <w:pStyle w:val="1280"/>
        <w:rPr>
          <w:rFonts w:ascii="宋体"/>
        </w:rPr>
      </w:pPr>
      <w:r>
        <w:rPr>
          <w:rFonts w:ascii="宋体"/>
        </w:rPr>
        <w:t>骨架植物防护的砌筑应符合以下规定（不仅限于此规定）：</w:t>
      </w:r>
    </w:p>
    <w:p>
      <w:pPr>
        <w:pStyle w:val="1280"/>
        <w:rPr>
          <w:rFonts w:ascii="宋体"/>
        </w:rPr>
      </w:pPr>
      <w:r>
        <w:rPr>
          <w:rFonts w:ascii="宋体"/>
        </w:rPr>
        <w:t>石砌体采用的石材应质地坚实，无风化剥落和裂纹；</w:t>
      </w:r>
    </w:p>
    <w:p>
      <w:pPr>
        <w:pStyle w:val="1280"/>
        <w:rPr>
          <w:rFonts w:ascii="宋体"/>
        </w:rPr>
      </w:pPr>
      <w:r>
        <w:rPr>
          <w:rFonts w:ascii="宋体"/>
        </w:rPr>
        <w:t>石材表面的泥垢、水锈等杂质，砌筑前应清除干净；</w:t>
      </w:r>
    </w:p>
    <w:p>
      <w:pPr>
        <w:pStyle w:val="1280"/>
        <w:rPr>
          <w:rFonts w:ascii="宋体"/>
        </w:rPr>
      </w:pPr>
      <w:r>
        <w:rPr>
          <w:rFonts w:ascii="宋体"/>
        </w:rPr>
        <w:t>石砌体的灰缝厚度：毛料石和粗料石砌体不宜大于20mm，细料石砌体不宜大于5mm；</w:t>
      </w:r>
    </w:p>
    <w:p>
      <w:pPr>
        <w:pStyle w:val="1280"/>
        <w:rPr>
          <w:rFonts w:ascii="宋体"/>
        </w:rPr>
      </w:pPr>
      <w:r>
        <w:rPr>
          <w:rFonts w:ascii="宋体"/>
        </w:rPr>
        <w:t>砂浆初凝后，如移动已砌筑的石块，应将原砂浆清理干净，重新铺浆砌筑；</w:t>
      </w:r>
    </w:p>
    <w:p>
      <w:pPr>
        <w:pStyle w:val="1280"/>
        <w:rPr>
          <w:rFonts w:ascii="宋体"/>
        </w:rPr>
      </w:pPr>
      <w:r>
        <w:rPr>
          <w:rFonts w:ascii="宋体"/>
        </w:rPr>
        <w:t>砌筑毛石基础的第一皮石块应座浆，并将大面向下；</w:t>
      </w:r>
    </w:p>
    <w:p>
      <w:pPr>
        <w:pStyle w:val="1280"/>
        <w:rPr>
          <w:rFonts w:ascii="宋体"/>
        </w:rPr>
      </w:pPr>
      <w:r>
        <w:rPr>
          <w:rFonts w:ascii="宋体"/>
        </w:rPr>
        <w:t>毛石砌体的第一皮及转角处、交接处和洞口处，应用较大的平毛石砌筑；</w:t>
      </w:r>
    </w:p>
    <w:p>
      <w:pPr>
        <w:pStyle w:val="1280"/>
        <w:rPr>
          <w:rFonts w:ascii="宋体"/>
        </w:rPr>
      </w:pPr>
      <w:r>
        <w:rPr>
          <w:rFonts w:ascii="宋体"/>
        </w:rPr>
        <w:t>石砌体的轴线位置及垂直度允许偏差应符合表2-7-2的要求：</w:t>
      </w:r>
    </w:p>
    <w:p>
      <w:pPr>
        <w:adjustRightInd w:val="0"/>
        <w:snapToGrid w:val="0"/>
        <w:spacing w:line="360" w:lineRule="auto"/>
        <w:ind w:right="90" w:firstLine="403" w:firstLineChars="224"/>
        <w:jc w:val="right"/>
        <w:rPr>
          <w:rFonts w:ascii="宋体" w:hAnsi="宋体"/>
          <w:bCs/>
          <w:sz w:val="18"/>
          <w:szCs w:val="18"/>
        </w:rPr>
      </w:pPr>
      <w:r>
        <w:rPr>
          <w:rFonts w:ascii="宋体" w:hAnsi="宋体"/>
          <w:bCs/>
          <w:sz w:val="18"/>
          <w:szCs w:val="18"/>
        </w:rPr>
        <w:t>表2-7-2</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134"/>
        <w:gridCol w:w="709"/>
        <w:gridCol w:w="992"/>
        <w:gridCol w:w="993"/>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75" w:type="dxa"/>
            <w:vMerge w:val="restart"/>
            <w:vAlign w:val="center"/>
          </w:tcPr>
          <w:p>
            <w:pPr>
              <w:pStyle w:val="1286"/>
              <w:rPr>
                <w:rFonts w:ascii="宋体" w:hAnsi="宋体"/>
                <w:color w:val="auto"/>
              </w:rPr>
            </w:pPr>
            <w:r>
              <w:rPr>
                <w:rFonts w:ascii="宋体" w:hAnsi="宋体"/>
                <w:color w:val="auto"/>
              </w:rPr>
              <w:t>项次</w:t>
            </w:r>
          </w:p>
        </w:tc>
        <w:tc>
          <w:tcPr>
            <w:tcW w:w="1843" w:type="dxa"/>
            <w:gridSpan w:val="2"/>
            <w:vMerge w:val="restart"/>
            <w:vAlign w:val="center"/>
          </w:tcPr>
          <w:p>
            <w:pPr>
              <w:pStyle w:val="1286"/>
              <w:rPr>
                <w:rFonts w:ascii="宋体" w:hAnsi="宋体"/>
                <w:color w:val="auto"/>
              </w:rPr>
            </w:pPr>
            <w:r>
              <w:rPr>
                <w:rFonts w:ascii="宋体" w:hAnsi="宋体"/>
                <w:color w:val="auto"/>
              </w:rPr>
              <w:t>项目</w:t>
            </w:r>
          </w:p>
        </w:tc>
        <w:tc>
          <w:tcPr>
            <w:tcW w:w="1985" w:type="dxa"/>
            <w:gridSpan w:val="2"/>
            <w:vAlign w:val="center"/>
          </w:tcPr>
          <w:p>
            <w:pPr>
              <w:pStyle w:val="1286"/>
              <w:rPr>
                <w:rFonts w:ascii="宋体" w:hAnsi="宋体"/>
                <w:color w:val="auto"/>
              </w:rPr>
            </w:pPr>
            <w:r>
              <w:rPr>
                <w:rFonts w:ascii="宋体" w:hAnsi="宋体"/>
                <w:color w:val="auto"/>
              </w:rPr>
              <w:t>允许偏差（mm）</w:t>
            </w:r>
          </w:p>
        </w:tc>
        <w:tc>
          <w:tcPr>
            <w:tcW w:w="3969" w:type="dxa"/>
            <w:vMerge w:val="restart"/>
            <w:vAlign w:val="center"/>
          </w:tcPr>
          <w:p>
            <w:pPr>
              <w:pStyle w:val="1286"/>
              <w:rPr>
                <w:rFonts w:ascii="宋体" w:hAnsi="宋体"/>
                <w:color w:val="auto"/>
              </w:rPr>
            </w:pPr>
            <w:r>
              <w:rPr>
                <w:rFonts w:ascii="宋体" w:hAnsi="宋体"/>
                <w:color w:val="auto"/>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75" w:type="dxa"/>
            <w:vMerge w:val="continue"/>
            <w:vAlign w:val="center"/>
          </w:tcPr>
          <w:p>
            <w:pPr>
              <w:pStyle w:val="1286"/>
              <w:rPr>
                <w:rFonts w:ascii="宋体" w:hAnsi="宋体"/>
                <w:color w:val="auto"/>
              </w:rPr>
            </w:pPr>
          </w:p>
        </w:tc>
        <w:tc>
          <w:tcPr>
            <w:tcW w:w="1843" w:type="dxa"/>
            <w:gridSpan w:val="2"/>
            <w:vMerge w:val="continue"/>
            <w:vAlign w:val="center"/>
          </w:tcPr>
          <w:p>
            <w:pPr>
              <w:pStyle w:val="1286"/>
              <w:rPr>
                <w:rFonts w:ascii="宋体" w:hAnsi="宋体"/>
                <w:color w:val="auto"/>
              </w:rPr>
            </w:pPr>
          </w:p>
        </w:tc>
        <w:tc>
          <w:tcPr>
            <w:tcW w:w="1985" w:type="dxa"/>
            <w:gridSpan w:val="2"/>
            <w:vAlign w:val="center"/>
          </w:tcPr>
          <w:p>
            <w:pPr>
              <w:pStyle w:val="1286"/>
              <w:rPr>
                <w:rFonts w:ascii="宋体" w:hAnsi="宋体"/>
                <w:color w:val="auto"/>
              </w:rPr>
            </w:pPr>
            <w:r>
              <w:rPr>
                <w:rFonts w:ascii="宋体" w:hAnsi="宋体"/>
                <w:color w:val="auto"/>
              </w:rPr>
              <w:t>毛石砌体</w:t>
            </w:r>
          </w:p>
        </w:tc>
        <w:tc>
          <w:tcPr>
            <w:tcW w:w="3969" w:type="dxa"/>
            <w:vMerge w:val="continue"/>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75" w:type="dxa"/>
            <w:vMerge w:val="continue"/>
            <w:tcBorders>
              <w:bottom w:val="single" w:color="auto" w:sz="4" w:space="0"/>
            </w:tcBorders>
            <w:vAlign w:val="center"/>
          </w:tcPr>
          <w:p>
            <w:pPr>
              <w:pStyle w:val="1286"/>
              <w:rPr>
                <w:rFonts w:ascii="宋体" w:hAnsi="宋体"/>
                <w:color w:val="auto"/>
              </w:rPr>
            </w:pPr>
          </w:p>
        </w:tc>
        <w:tc>
          <w:tcPr>
            <w:tcW w:w="1843" w:type="dxa"/>
            <w:gridSpan w:val="2"/>
            <w:vMerge w:val="continue"/>
            <w:tcBorders>
              <w:bottom w:val="single" w:color="auto" w:sz="4" w:space="0"/>
            </w:tcBorders>
            <w:vAlign w:val="center"/>
          </w:tcPr>
          <w:p>
            <w:pPr>
              <w:pStyle w:val="1286"/>
              <w:rPr>
                <w:rFonts w:ascii="宋体" w:hAnsi="宋体"/>
                <w:color w:val="auto"/>
              </w:rPr>
            </w:pPr>
          </w:p>
        </w:tc>
        <w:tc>
          <w:tcPr>
            <w:tcW w:w="992" w:type="dxa"/>
            <w:tcBorders>
              <w:bottom w:val="single" w:color="auto" w:sz="4" w:space="0"/>
            </w:tcBorders>
            <w:vAlign w:val="center"/>
          </w:tcPr>
          <w:p>
            <w:pPr>
              <w:pStyle w:val="1286"/>
              <w:rPr>
                <w:rFonts w:ascii="宋体" w:hAnsi="宋体"/>
                <w:color w:val="auto"/>
              </w:rPr>
            </w:pPr>
            <w:r>
              <w:rPr>
                <w:rFonts w:ascii="宋体" w:hAnsi="宋体"/>
                <w:color w:val="auto"/>
              </w:rPr>
              <w:t>基础</w:t>
            </w:r>
          </w:p>
        </w:tc>
        <w:tc>
          <w:tcPr>
            <w:tcW w:w="993" w:type="dxa"/>
            <w:tcBorders>
              <w:bottom w:val="single" w:color="auto" w:sz="4" w:space="0"/>
            </w:tcBorders>
            <w:vAlign w:val="center"/>
          </w:tcPr>
          <w:p>
            <w:pPr>
              <w:pStyle w:val="1286"/>
              <w:rPr>
                <w:rFonts w:ascii="宋体" w:hAnsi="宋体"/>
                <w:color w:val="auto"/>
              </w:rPr>
            </w:pPr>
            <w:r>
              <w:rPr>
                <w:rFonts w:ascii="宋体" w:hAnsi="宋体"/>
                <w:color w:val="auto"/>
              </w:rPr>
              <w:t>墙</w:t>
            </w:r>
          </w:p>
        </w:tc>
        <w:tc>
          <w:tcPr>
            <w:tcW w:w="3969" w:type="dxa"/>
            <w:vMerge w:val="continue"/>
            <w:tcBorders>
              <w:bottom w:val="single" w:color="auto" w:sz="4" w:space="0"/>
            </w:tcBorders>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75" w:type="dxa"/>
            <w:vAlign w:val="center"/>
          </w:tcPr>
          <w:p>
            <w:pPr>
              <w:pStyle w:val="1286"/>
              <w:rPr>
                <w:rFonts w:ascii="宋体" w:hAnsi="宋体"/>
                <w:color w:val="auto"/>
              </w:rPr>
            </w:pPr>
            <w:r>
              <w:rPr>
                <w:rFonts w:ascii="宋体" w:hAnsi="宋体"/>
                <w:color w:val="auto"/>
              </w:rPr>
              <w:t>1</w:t>
            </w:r>
          </w:p>
        </w:tc>
        <w:tc>
          <w:tcPr>
            <w:tcW w:w="1843" w:type="dxa"/>
            <w:gridSpan w:val="2"/>
            <w:vAlign w:val="center"/>
          </w:tcPr>
          <w:p>
            <w:pPr>
              <w:pStyle w:val="1286"/>
              <w:rPr>
                <w:rFonts w:ascii="宋体" w:hAnsi="宋体"/>
                <w:color w:val="auto"/>
              </w:rPr>
            </w:pPr>
            <w:r>
              <w:rPr>
                <w:rFonts w:ascii="宋体" w:hAnsi="宋体"/>
                <w:color w:val="auto"/>
              </w:rPr>
              <w:t>轴线位置</w:t>
            </w:r>
          </w:p>
        </w:tc>
        <w:tc>
          <w:tcPr>
            <w:tcW w:w="992" w:type="dxa"/>
            <w:vAlign w:val="center"/>
          </w:tcPr>
          <w:p>
            <w:pPr>
              <w:pStyle w:val="1286"/>
              <w:rPr>
                <w:rFonts w:ascii="宋体" w:hAnsi="宋体"/>
                <w:color w:val="auto"/>
              </w:rPr>
            </w:pPr>
            <w:r>
              <w:rPr>
                <w:rFonts w:ascii="宋体" w:hAnsi="宋体"/>
                <w:color w:val="auto"/>
              </w:rPr>
              <w:t>20</w:t>
            </w:r>
          </w:p>
        </w:tc>
        <w:tc>
          <w:tcPr>
            <w:tcW w:w="993" w:type="dxa"/>
            <w:vAlign w:val="center"/>
          </w:tcPr>
          <w:p>
            <w:pPr>
              <w:pStyle w:val="1286"/>
              <w:rPr>
                <w:rFonts w:ascii="宋体" w:hAnsi="宋体"/>
                <w:color w:val="auto"/>
              </w:rPr>
            </w:pPr>
            <w:r>
              <w:rPr>
                <w:rFonts w:ascii="宋体" w:hAnsi="宋体"/>
                <w:color w:val="auto"/>
              </w:rPr>
              <w:t>15</w:t>
            </w:r>
          </w:p>
        </w:tc>
        <w:tc>
          <w:tcPr>
            <w:tcW w:w="3969" w:type="dxa"/>
            <w:vAlign w:val="center"/>
          </w:tcPr>
          <w:p>
            <w:pPr>
              <w:pStyle w:val="1286"/>
              <w:rPr>
                <w:rFonts w:ascii="宋体" w:hAnsi="宋体"/>
                <w:color w:val="auto"/>
              </w:rPr>
            </w:pPr>
            <w:r>
              <w:rPr>
                <w:rFonts w:ascii="宋体" w:hAnsi="宋体"/>
                <w:color w:val="auto"/>
              </w:rPr>
              <w:t>用经纬仪和尺检查，或用其他测量仪器检查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75" w:type="dxa"/>
            <w:vMerge w:val="restart"/>
            <w:vAlign w:val="center"/>
          </w:tcPr>
          <w:p>
            <w:pPr>
              <w:pStyle w:val="1286"/>
              <w:rPr>
                <w:rFonts w:ascii="宋体" w:hAnsi="宋体"/>
                <w:color w:val="auto"/>
              </w:rPr>
            </w:pPr>
            <w:r>
              <w:rPr>
                <w:rFonts w:ascii="宋体" w:hAnsi="宋体"/>
                <w:color w:val="auto"/>
              </w:rPr>
              <w:t>2</w:t>
            </w:r>
          </w:p>
        </w:tc>
        <w:tc>
          <w:tcPr>
            <w:tcW w:w="1134" w:type="dxa"/>
            <w:vMerge w:val="restart"/>
            <w:vAlign w:val="center"/>
          </w:tcPr>
          <w:p>
            <w:pPr>
              <w:pStyle w:val="1286"/>
              <w:rPr>
                <w:rFonts w:ascii="宋体" w:hAnsi="宋体"/>
                <w:color w:val="auto"/>
              </w:rPr>
            </w:pPr>
            <w:r>
              <w:rPr>
                <w:rFonts w:ascii="宋体" w:hAnsi="宋体"/>
                <w:color w:val="auto"/>
              </w:rPr>
              <w:t>墙面垂直度</w:t>
            </w:r>
          </w:p>
        </w:tc>
        <w:tc>
          <w:tcPr>
            <w:tcW w:w="709" w:type="dxa"/>
            <w:vAlign w:val="center"/>
          </w:tcPr>
          <w:p>
            <w:pPr>
              <w:pStyle w:val="1286"/>
              <w:rPr>
                <w:rFonts w:ascii="宋体" w:hAnsi="宋体"/>
                <w:color w:val="auto"/>
              </w:rPr>
            </w:pPr>
            <w:r>
              <w:rPr>
                <w:rFonts w:ascii="宋体" w:hAnsi="宋体"/>
                <w:color w:val="auto"/>
              </w:rPr>
              <w:t>每层</w:t>
            </w:r>
          </w:p>
        </w:tc>
        <w:tc>
          <w:tcPr>
            <w:tcW w:w="992" w:type="dxa"/>
            <w:vAlign w:val="center"/>
          </w:tcPr>
          <w:p>
            <w:pPr>
              <w:pStyle w:val="1286"/>
              <w:rPr>
                <w:rFonts w:ascii="宋体" w:hAnsi="宋体"/>
                <w:color w:val="auto"/>
              </w:rPr>
            </w:pPr>
          </w:p>
        </w:tc>
        <w:tc>
          <w:tcPr>
            <w:tcW w:w="993" w:type="dxa"/>
            <w:vAlign w:val="center"/>
          </w:tcPr>
          <w:p>
            <w:pPr>
              <w:pStyle w:val="1286"/>
              <w:rPr>
                <w:rFonts w:ascii="宋体" w:hAnsi="宋体"/>
                <w:color w:val="auto"/>
              </w:rPr>
            </w:pPr>
            <w:r>
              <w:rPr>
                <w:rFonts w:ascii="宋体" w:hAnsi="宋体"/>
                <w:color w:val="auto"/>
              </w:rPr>
              <w:t>20</w:t>
            </w:r>
          </w:p>
        </w:tc>
        <w:tc>
          <w:tcPr>
            <w:tcW w:w="3969" w:type="dxa"/>
            <w:vMerge w:val="restart"/>
            <w:vAlign w:val="center"/>
          </w:tcPr>
          <w:p>
            <w:pPr>
              <w:pStyle w:val="1286"/>
              <w:rPr>
                <w:rFonts w:ascii="宋体" w:hAnsi="宋体"/>
                <w:color w:val="auto"/>
              </w:rPr>
            </w:pPr>
            <w:r>
              <w:rPr>
                <w:rFonts w:ascii="宋体" w:hAnsi="宋体"/>
                <w:color w:val="auto"/>
              </w:rPr>
              <w:t>用经纬仪、吊线和尺检查或用其他测量仪器检查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75" w:type="dxa"/>
            <w:vMerge w:val="continue"/>
            <w:vAlign w:val="center"/>
          </w:tcPr>
          <w:p>
            <w:pPr>
              <w:pStyle w:val="1286"/>
              <w:rPr>
                <w:rFonts w:ascii="宋体" w:hAnsi="宋体"/>
                <w:color w:val="auto"/>
              </w:rPr>
            </w:pPr>
          </w:p>
        </w:tc>
        <w:tc>
          <w:tcPr>
            <w:tcW w:w="1134" w:type="dxa"/>
            <w:vMerge w:val="continue"/>
            <w:vAlign w:val="center"/>
          </w:tcPr>
          <w:p>
            <w:pPr>
              <w:pStyle w:val="1286"/>
              <w:rPr>
                <w:rFonts w:ascii="宋体" w:hAnsi="宋体"/>
                <w:color w:val="auto"/>
              </w:rPr>
            </w:pPr>
          </w:p>
        </w:tc>
        <w:tc>
          <w:tcPr>
            <w:tcW w:w="709" w:type="dxa"/>
            <w:vAlign w:val="center"/>
          </w:tcPr>
          <w:p>
            <w:pPr>
              <w:pStyle w:val="1286"/>
              <w:rPr>
                <w:rFonts w:ascii="宋体" w:hAnsi="宋体"/>
                <w:color w:val="auto"/>
              </w:rPr>
            </w:pPr>
            <w:r>
              <w:rPr>
                <w:rFonts w:ascii="宋体" w:hAnsi="宋体"/>
                <w:color w:val="auto"/>
              </w:rPr>
              <w:t>全高</w:t>
            </w:r>
          </w:p>
        </w:tc>
        <w:tc>
          <w:tcPr>
            <w:tcW w:w="992" w:type="dxa"/>
            <w:vAlign w:val="center"/>
          </w:tcPr>
          <w:p>
            <w:pPr>
              <w:pStyle w:val="1286"/>
              <w:rPr>
                <w:rFonts w:ascii="宋体" w:hAnsi="宋体"/>
                <w:color w:val="auto"/>
              </w:rPr>
            </w:pPr>
          </w:p>
        </w:tc>
        <w:tc>
          <w:tcPr>
            <w:tcW w:w="993" w:type="dxa"/>
            <w:vAlign w:val="center"/>
          </w:tcPr>
          <w:p>
            <w:pPr>
              <w:pStyle w:val="1286"/>
              <w:rPr>
                <w:rFonts w:ascii="宋体" w:hAnsi="宋体"/>
                <w:color w:val="auto"/>
              </w:rPr>
            </w:pPr>
            <w:r>
              <w:rPr>
                <w:rFonts w:ascii="宋体" w:hAnsi="宋体"/>
                <w:color w:val="auto"/>
              </w:rPr>
              <w:t>30</w:t>
            </w:r>
          </w:p>
        </w:tc>
        <w:tc>
          <w:tcPr>
            <w:tcW w:w="3969" w:type="dxa"/>
            <w:vMerge w:val="continue"/>
            <w:vAlign w:val="center"/>
          </w:tcPr>
          <w:p>
            <w:pPr>
              <w:pStyle w:val="1286"/>
              <w:rPr>
                <w:rFonts w:ascii="宋体" w:hAnsi="宋体"/>
                <w:color w:val="auto"/>
              </w:rPr>
            </w:pPr>
          </w:p>
        </w:tc>
      </w:tr>
    </w:tbl>
    <w:p>
      <w:pPr>
        <w:adjustRightInd w:val="0"/>
        <w:snapToGrid w:val="0"/>
        <w:spacing w:before="156" w:beforeLines="50" w:line="360" w:lineRule="auto"/>
        <w:ind w:firstLine="480" w:firstLineChars="200"/>
        <w:rPr>
          <w:rFonts w:ascii="宋体" w:hAnsi="宋体"/>
        </w:rPr>
      </w:pPr>
      <w:r>
        <w:rPr>
          <w:rFonts w:ascii="宋体" w:hAnsi="宋体"/>
        </w:rPr>
        <w:t>石砌体的一般尺寸允许偏差应符合表2-7-3的规定：</w:t>
      </w:r>
    </w:p>
    <w:p>
      <w:pPr>
        <w:adjustRightInd w:val="0"/>
        <w:snapToGrid w:val="0"/>
        <w:spacing w:line="360" w:lineRule="auto"/>
        <w:ind w:firstLine="403" w:firstLineChars="224"/>
        <w:jc w:val="right"/>
        <w:rPr>
          <w:rFonts w:ascii="宋体" w:hAnsi="宋体"/>
          <w:bCs/>
          <w:sz w:val="18"/>
          <w:szCs w:val="18"/>
        </w:rPr>
      </w:pPr>
      <w:r>
        <w:rPr>
          <w:rFonts w:ascii="宋体" w:hAnsi="宋体"/>
          <w:bCs/>
          <w:sz w:val="18"/>
          <w:szCs w:val="18"/>
        </w:rPr>
        <w:t>表2-7-3</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142"/>
        <w:gridCol w:w="992"/>
        <w:gridCol w:w="1134"/>
        <w:gridCol w:w="1142"/>
        <w:gridCol w:w="3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5" w:type="dxa"/>
            <w:vMerge w:val="restart"/>
            <w:vAlign w:val="center"/>
          </w:tcPr>
          <w:p>
            <w:pPr>
              <w:pStyle w:val="1286"/>
              <w:rPr>
                <w:rFonts w:ascii="宋体" w:hAnsi="宋体"/>
                <w:color w:val="auto"/>
              </w:rPr>
            </w:pPr>
            <w:r>
              <w:rPr>
                <w:rFonts w:ascii="宋体" w:hAnsi="宋体"/>
                <w:color w:val="auto"/>
              </w:rPr>
              <w:t>项次</w:t>
            </w:r>
          </w:p>
        </w:tc>
        <w:tc>
          <w:tcPr>
            <w:tcW w:w="2134" w:type="dxa"/>
            <w:gridSpan w:val="2"/>
            <w:vMerge w:val="restart"/>
            <w:vAlign w:val="center"/>
          </w:tcPr>
          <w:p>
            <w:pPr>
              <w:pStyle w:val="1286"/>
              <w:rPr>
                <w:rFonts w:ascii="宋体" w:hAnsi="宋体"/>
                <w:color w:val="auto"/>
              </w:rPr>
            </w:pPr>
            <w:r>
              <w:rPr>
                <w:rFonts w:ascii="宋体" w:hAnsi="宋体"/>
                <w:color w:val="auto"/>
              </w:rPr>
              <w:t>项目</w:t>
            </w:r>
          </w:p>
        </w:tc>
        <w:tc>
          <w:tcPr>
            <w:tcW w:w="2276" w:type="dxa"/>
            <w:gridSpan w:val="2"/>
            <w:vAlign w:val="center"/>
          </w:tcPr>
          <w:p>
            <w:pPr>
              <w:pStyle w:val="1286"/>
              <w:rPr>
                <w:rFonts w:ascii="宋体" w:hAnsi="宋体"/>
                <w:color w:val="auto"/>
              </w:rPr>
            </w:pPr>
            <w:r>
              <w:rPr>
                <w:rFonts w:ascii="宋体" w:hAnsi="宋体"/>
                <w:color w:val="auto"/>
              </w:rPr>
              <w:t>允许偏差（mm）</w:t>
            </w:r>
          </w:p>
        </w:tc>
        <w:tc>
          <w:tcPr>
            <w:tcW w:w="3366" w:type="dxa"/>
            <w:vMerge w:val="restart"/>
            <w:vAlign w:val="center"/>
          </w:tcPr>
          <w:p>
            <w:pPr>
              <w:pStyle w:val="1286"/>
              <w:rPr>
                <w:rFonts w:ascii="宋体" w:hAnsi="宋体"/>
                <w:color w:val="auto"/>
              </w:rPr>
            </w:pPr>
            <w:r>
              <w:rPr>
                <w:rFonts w:ascii="宋体" w:hAnsi="宋体"/>
                <w:color w:val="auto"/>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5" w:type="dxa"/>
            <w:vMerge w:val="continue"/>
            <w:vAlign w:val="center"/>
          </w:tcPr>
          <w:p>
            <w:pPr>
              <w:pStyle w:val="1286"/>
              <w:rPr>
                <w:rFonts w:ascii="宋体" w:hAnsi="宋体"/>
                <w:color w:val="auto"/>
              </w:rPr>
            </w:pPr>
          </w:p>
        </w:tc>
        <w:tc>
          <w:tcPr>
            <w:tcW w:w="2134" w:type="dxa"/>
            <w:gridSpan w:val="2"/>
            <w:vMerge w:val="continue"/>
            <w:vAlign w:val="center"/>
          </w:tcPr>
          <w:p>
            <w:pPr>
              <w:pStyle w:val="1286"/>
              <w:rPr>
                <w:rFonts w:ascii="宋体" w:hAnsi="宋体"/>
                <w:color w:val="auto"/>
              </w:rPr>
            </w:pPr>
          </w:p>
        </w:tc>
        <w:tc>
          <w:tcPr>
            <w:tcW w:w="2276" w:type="dxa"/>
            <w:gridSpan w:val="2"/>
            <w:vAlign w:val="center"/>
          </w:tcPr>
          <w:p>
            <w:pPr>
              <w:pStyle w:val="1286"/>
              <w:rPr>
                <w:rFonts w:ascii="宋体" w:hAnsi="宋体"/>
                <w:color w:val="auto"/>
              </w:rPr>
            </w:pPr>
            <w:r>
              <w:rPr>
                <w:rFonts w:ascii="宋体" w:hAnsi="宋体"/>
                <w:color w:val="auto"/>
              </w:rPr>
              <w:t>毛石砌体</w:t>
            </w:r>
          </w:p>
        </w:tc>
        <w:tc>
          <w:tcPr>
            <w:tcW w:w="3366" w:type="dxa"/>
            <w:vMerge w:val="continue"/>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5" w:type="dxa"/>
            <w:vMerge w:val="continue"/>
            <w:vAlign w:val="center"/>
          </w:tcPr>
          <w:p>
            <w:pPr>
              <w:pStyle w:val="1286"/>
              <w:rPr>
                <w:rFonts w:ascii="宋体" w:hAnsi="宋体"/>
                <w:color w:val="auto"/>
              </w:rPr>
            </w:pPr>
          </w:p>
        </w:tc>
        <w:tc>
          <w:tcPr>
            <w:tcW w:w="2134" w:type="dxa"/>
            <w:gridSpan w:val="2"/>
            <w:vMerge w:val="continue"/>
            <w:vAlign w:val="center"/>
          </w:tcPr>
          <w:p>
            <w:pPr>
              <w:pStyle w:val="1286"/>
              <w:rPr>
                <w:rFonts w:ascii="宋体" w:hAnsi="宋体"/>
                <w:color w:val="auto"/>
              </w:rPr>
            </w:pPr>
          </w:p>
        </w:tc>
        <w:tc>
          <w:tcPr>
            <w:tcW w:w="1134" w:type="dxa"/>
            <w:vAlign w:val="center"/>
          </w:tcPr>
          <w:p>
            <w:pPr>
              <w:pStyle w:val="1286"/>
              <w:rPr>
                <w:rFonts w:ascii="宋体" w:hAnsi="宋体"/>
                <w:color w:val="auto"/>
              </w:rPr>
            </w:pPr>
            <w:r>
              <w:rPr>
                <w:rFonts w:ascii="宋体" w:hAnsi="宋体"/>
                <w:color w:val="auto"/>
              </w:rPr>
              <w:t>基础</w:t>
            </w:r>
          </w:p>
        </w:tc>
        <w:tc>
          <w:tcPr>
            <w:tcW w:w="1142" w:type="dxa"/>
            <w:vAlign w:val="center"/>
          </w:tcPr>
          <w:p>
            <w:pPr>
              <w:pStyle w:val="1286"/>
              <w:rPr>
                <w:rFonts w:ascii="宋体" w:hAnsi="宋体"/>
                <w:color w:val="auto"/>
              </w:rPr>
            </w:pPr>
            <w:r>
              <w:rPr>
                <w:rFonts w:ascii="宋体" w:hAnsi="宋体"/>
                <w:color w:val="auto"/>
              </w:rPr>
              <w:t>墙</w:t>
            </w:r>
          </w:p>
        </w:tc>
        <w:tc>
          <w:tcPr>
            <w:tcW w:w="3366" w:type="dxa"/>
            <w:vMerge w:val="continue"/>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5" w:type="dxa"/>
            <w:vAlign w:val="center"/>
          </w:tcPr>
          <w:p>
            <w:pPr>
              <w:pStyle w:val="1286"/>
              <w:rPr>
                <w:rFonts w:ascii="宋体" w:hAnsi="宋体"/>
                <w:color w:val="auto"/>
              </w:rPr>
            </w:pPr>
            <w:r>
              <w:rPr>
                <w:rFonts w:ascii="宋体" w:hAnsi="宋体"/>
                <w:color w:val="auto"/>
              </w:rPr>
              <w:t>1</w:t>
            </w:r>
          </w:p>
        </w:tc>
        <w:tc>
          <w:tcPr>
            <w:tcW w:w="2134" w:type="dxa"/>
            <w:gridSpan w:val="2"/>
            <w:vAlign w:val="center"/>
          </w:tcPr>
          <w:p>
            <w:pPr>
              <w:pStyle w:val="1286"/>
              <w:rPr>
                <w:rFonts w:ascii="宋体" w:hAnsi="宋体"/>
                <w:color w:val="auto"/>
              </w:rPr>
            </w:pPr>
            <w:r>
              <w:rPr>
                <w:rFonts w:ascii="宋体" w:hAnsi="宋体"/>
                <w:color w:val="auto"/>
              </w:rPr>
              <w:t>基础和墙砌体顶面标高</w:t>
            </w:r>
          </w:p>
        </w:tc>
        <w:tc>
          <w:tcPr>
            <w:tcW w:w="1134" w:type="dxa"/>
            <w:vAlign w:val="center"/>
          </w:tcPr>
          <w:p>
            <w:pPr>
              <w:pStyle w:val="1286"/>
              <w:rPr>
                <w:rFonts w:ascii="宋体" w:hAnsi="宋体"/>
                <w:color w:val="auto"/>
              </w:rPr>
            </w:pPr>
            <w:r>
              <w:rPr>
                <w:rFonts w:ascii="宋体" w:hAnsi="宋体"/>
                <w:color w:val="auto"/>
              </w:rPr>
              <w:t>±25</w:t>
            </w:r>
          </w:p>
        </w:tc>
        <w:tc>
          <w:tcPr>
            <w:tcW w:w="1142" w:type="dxa"/>
            <w:vAlign w:val="center"/>
          </w:tcPr>
          <w:p>
            <w:pPr>
              <w:pStyle w:val="1286"/>
              <w:rPr>
                <w:rFonts w:ascii="宋体" w:hAnsi="宋体"/>
                <w:color w:val="auto"/>
              </w:rPr>
            </w:pPr>
            <w:r>
              <w:rPr>
                <w:rFonts w:ascii="宋体" w:hAnsi="宋体"/>
                <w:color w:val="auto"/>
              </w:rPr>
              <w:t>±15</w:t>
            </w:r>
          </w:p>
        </w:tc>
        <w:tc>
          <w:tcPr>
            <w:tcW w:w="3366" w:type="dxa"/>
            <w:vAlign w:val="center"/>
          </w:tcPr>
          <w:p>
            <w:pPr>
              <w:pStyle w:val="1286"/>
              <w:rPr>
                <w:rFonts w:ascii="宋体" w:hAnsi="宋体"/>
                <w:color w:val="auto"/>
              </w:rPr>
            </w:pPr>
            <w:r>
              <w:rPr>
                <w:rFonts w:ascii="宋体" w:hAnsi="宋体"/>
                <w:color w:val="auto"/>
              </w:rPr>
              <w:t>用水准仪和尺检查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5" w:type="dxa"/>
            <w:vAlign w:val="center"/>
          </w:tcPr>
          <w:p>
            <w:pPr>
              <w:pStyle w:val="1286"/>
              <w:rPr>
                <w:rFonts w:ascii="宋体" w:hAnsi="宋体"/>
                <w:color w:val="auto"/>
              </w:rPr>
            </w:pPr>
            <w:r>
              <w:rPr>
                <w:rFonts w:ascii="宋体" w:hAnsi="宋体"/>
                <w:color w:val="auto"/>
              </w:rPr>
              <w:t>2</w:t>
            </w:r>
          </w:p>
        </w:tc>
        <w:tc>
          <w:tcPr>
            <w:tcW w:w="2134" w:type="dxa"/>
            <w:gridSpan w:val="2"/>
            <w:vAlign w:val="center"/>
          </w:tcPr>
          <w:p>
            <w:pPr>
              <w:pStyle w:val="1286"/>
              <w:rPr>
                <w:rFonts w:ascii="宋体" w:hAnsi="宋体"/>
                <w:color w:val="auto"/>
              </w:rPr>
            </w:pPr>
            <w:r>
              <w:rPr>
                <w:rFonts w:ascii="宋体" w:hAnsi="宋体"/>
                <w:color w:val="auto"/>
              </w:rPr>
              <w:t>砌体厚度</w:t>
            </w:r>
          </w:p>
        </w:tc>
        <w:tc>
          <w:tcPr>
            <w:tcW w:w="1134" w:type="dxa"/>
            <w:vAlign w:val="center"/>
          </w:tcPr>
          <w:p>
            <w:pPr>
              <w:pStyle w:val="1286"/>
              <w:rPr>
                <w:rFonts w:ascii="宋体" w:hAnsi="宋体"/>
                <w:color w:val="auto"/>
              </w:rPr>
            </w:pPr>
            <w:r>
              <w:rPr>
                <w:rFonts w:ascii="宋体" w:hAnsi="宋体"/>
                <w:color w:val="auto"/>
              </w:rPr>
              <w:t>+30</w:t>
            </w:r>
          </w:p>
        </w:tc>
        <w:tc>
          <w:tcPr>
            <w:tcW w:w="1142" w:type="dxa"/>
            <w:vAlign w:val="center"/>
          </w:tcPr>
          <w:p>
            <w:pPr>
              <w:pStyle w:val="1286"/>
              <w:rPr>
                <w:rFonts w:ascii="宋体" w:hAnsi="宋体"/>
                <w:color w:val="auto"/>
              </w:rPr>
            </w:pPr>
            <w:r>
              <w:rPr>
                <w:rFonts w:ascii="宋体" w:hAnsi="宋体"/>
                <w:color w:val="auto"/>
              </w:rPr>
              <w:t>+20</w:t>
            </w:r>
          </w:p>
          <w:p>
            <w:pPr>
              <w:pStyle w:val="1286"/>
              <w:rPr>
                <w:rFonts w:ascii="宋体" w:hAnsi="宋体"/>
                <w:color w:val="auto"/>
              </w:rPr>
            </w:pPr>
            <w:r>
              <w:rPr>
                <w:rFonts w:ascii="宋体" w:hAnsi="宋体"/>
                <w:color w:val="auto"/>
              </w:rPr>
              <w:t>-10</w:t>
            </w:r>
          </w:p>
        </w:tc>
        <w:tc>
          <w:tcPr>
            <w:tcW w:w="3366" w:type="dxa"/>
            <w:vAlign w:val="center"/>
          </w:tcPr>
          <w:p>
            <w:pPr>
              <w:pStyle w:val="1286"/>
              <w:rPr>
                <w:rFonts w:ascii="宋体" w:hAnsi="宋体"/>
                <w:color w:val="auto"/>
              </w:rPr>
            </w:pPr>
            <w:r>
              <w:rPr>
                <w:rFonts w:ascii="宋体" w:hAnsi="宋体"/>
                <w:color w:val="auto"/>
              </w:rPr>
              <w:t>用尺检查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5" w:type="dxa"/>
            <w:vMerge w:val="restart"/>
            <w:vAlign w:val="center"/>
          </w:tcPr>
          <w:p>
            <w:pPr>
              <w:pStyle w:val="1286"/>
              <w:rPr>
                <w:rFonts w:ascii="宋体" w:hAnsi="宋体"/>
                <w:color w:val="auto"/>
              </w:rPr>
            </w:pPr>
            <w:r>
              <w:rPr>
                <w:rFonts w:ascii="宋体" w:hAnsi="宋体"/>
                <w:color w:val="auto"/>
              </w:rPr>
              <w:t>3</w:t>
            </w:r>
          </w:p>
        </w:tc>
        <w:tc>
          <w:tcPr>
            <w:tcW w:w="1142" w:type="dxa"/>
            <w:vMerge w:val="restart"/>
            <w:vAlign w:val="center"/>
          </w:tcPr>
          <w:p>
            <w:pPr>
              <w:pStyle w:val="1286"/>
              <w:rPr>
                <w:rFonts w:ascii="宋体" w:hAnsi="宋体"/>
                <w:color w:val="auto"/>
              </w:rPr>
            </w:pPr>
            <w:r>
              <w:rPr>
                <w:rFonts w:ascii="宋体" w:hAnsi="宋体"/>
                <w:color w:val="auto"/>
              </w:rPr>
              <w:t>表面平整度</w:t>
            </w:r>
          </w:p>
        </w:tc>
        <w:tc>
          <w:tcPr>
            <w:tcW w:w="992" w:type="dxa"/>
            <w:vAlign w:val="center"/>
          </w:tcPr>
          <w:p>
            <w:pPr>
              <w:pStyle w:val="1286"/>
              <w:rPr>
                <w:rFonts w:ascii="宋体" w:hAnsi="宋体"/>
                <w:color w:val="auto"/>
              </w:rPr>
            </w:pPr>
            <w:r>
              <w:rPr>
                <w:rFonts w:ascii="宋体" w:hAnsi="宋体"/>
                <w:color w:val="auto"/>
              </w:rPr>
              <w:t>清水墙</w:t>
            </w:r>
          </w:p>
        </w:tc>
        <w:tc>
          <w:tcPr>
            <w:tcW w:w="1134" w:type="dxa"/>
            <w:vAlign w:val="center"/>
          </w:tcPr>
          <w:p>
            <w:pPr>
              <w:pStyle w:val="1286"/>
              <w:rPr>
                <w:rFonts w:ascii="宋体" w:hAnsi="宋体"/>
                <w:color w:val="auto"/>
              </w:rPr>
            </w:pPr>
          </w:p>
        </w:tc>
        <w:tc>
          <w:tcPr>
            <w:tcW w:w="1142" w:type="dxa"/>
            <w:vAlign w:val="center"/>
          </w:tcPr>
          <w:p>
            <w:pPr>
              <w:pStyle w:val="1286"/>
              <w:rPr>
                <w:rFonts w:ascii="宋体" w:hAnsi="宋体"/>
                <w:color w:val="auto"/>
              </w:rPr>
            </w:pPr>
            <w:r>
              <w:rPr>
                <w:rFonts w:ascii="宋体" w:hAnsi="宋体"/>
                <w:color w:val="auto"/>
              </w:rPr>
              <w:t>20</w:t>
            </w:r>
          </w:p>
        </w:tc>
        <w:tc>
          <w:tcPr>
            <w:tcW w:w="3366" w:type="dxa"/>
            <w:vMerge w:val="restart"/>
            <w:vAlign w:val="center"/>
          </w:tcPr>
          <w:p>
            <w:pPr>
              <w:pStyle w:val="1286"/>
              <w:rPr>
                <w:rFonts w:ascii="宋体" w:hAnsi="宋体"/>
                <w:color w:val="auto"/>
              </w:rPr>
            </w:pPr>
            <w:r>
              <w:rPr>
                <w:rFonts w:ascii="宋体" w:hAnsi="宋体"/>
                <w:color w:val="auto"/>
              </w:rPr>
              <w:t>用两直尺垂直于灰缝拉2m线和尺检查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5" w:type="dxa"/>
            <w:vMerge w:val="continue"/>
            <w:vAlign w:val="center"/>
          </w:tcPr>
          <w:p>
            <w:pPr>
              <w:pStyle w:val="1286"/>
              <w:rPr>
                <w:rFonts w:ascii="宋体" w:hAnsi="宋体"/>
                <w:color w:val="auto"/>
              </w:rPr>
            </w:pPr>
          </w:p>
        </w:tc>
        <w:tc>
          <w:tcPr>
            <w:tcW w:w="1142" w:type="dxa"/>
            <w:vMerge w:val="continue"/>
            <w:vAlign w:val="center"/>
          </w:tcPr>
          <w:p>
            <w:pPr>
              <w:pStyle w:val="1286"/>
              <w:rPr>
                <w:rFonts w:ascii="宋体" w:hAnsi="宋体"/>
                <w:color w:val="auto"/>
              </w:rPr>
            </w:pPr>
          </w:p>
        </w:tc>
        <w:tc>
          <w:tcPr>
            <w:tcW w:w="992" w:type="dxa"/>
            <w:vAlign w:val="center"/>
          </w:tcPr>
          <w:p>
            <w:pPr>
              <w:pStyle w:val="1286"/>
              <w:rPr>
                <w:rFonts w:ascii="宋体" w:hAnsi="宋体"/>
                <w:color w:val="auto"/>
              </w:rPr>
            </w:pPr>
            <w:r>
              <w:rPr>
                <w:rFonts w:ascii="宋体" w:hAnsi="宋体"/>
                <w:color w:val="auto"/>
              </w:rPr>
              <w:t>混水墙</w:t>
            </w:r>
          </w:p>
        </w:tc>
        <w:tc>
          <w:tcPr>
            <w:tcW w:w="1134" w:type="dxa"/>
            <w:vAlign w:val="center"/>
          </w:tcPr>
          <w:p>
            <w:pPr>
              <w:pStyle w:val="1286"/>
              <w:rPr>
                <w:rFonts w:ascii="宋体" w:hAnsi="宋体"/>
                <w:color w:val="auto"/>
              </w:rPr>
            </w:pPr>
          </w:p>
        </w:tc>
        <w:tc>
          <w:tcPr>
            <w:tcW w:w="1142" w:type="dxa"/>
            <w:vAlign w:val="center"/>
          </w:tcPr>
          <w:p>
            <w:pPr>
              <w:pStyle w:val="1286"/>
              <w:rPr>
                <w:rFonts w:ascii="宋体" w:hAnsi="宋体"/>
                <w:color w:val="auto"/>
              </w:rPr>
            </w:pPr>
            <w:r>
              <w:rPr>
                <w:rFonts w:ascii="宋体" w:hAnsi="宋体"/>
                <w:color w:val="auto"/>
              </w:rPr>
              <w:t>20</w:t>
            </w:r>
          </w:p>
        </w:tc>
        <w:tc>
          <w:tcPr>
            <w:tcW w:w="3366" w:type="dxa"/>
            <w:vMerge w:val="continue"/>
            <w:vAlign w:val="center"/>
          </w:tcPr>
          <w:p>
            <w:pPr>
              <w:pStyle w:val="1286"/>
              <w:rPr>
                <w:rFonts w:ascii="宋体" w:hAnsi="宋体"/>
                <w:color w:val="auto"/>
              </w:rPr>
            </w:pPr>
          </w:p>
        </w:tc>
      </w:tr>
    </w:tbl>
    <w:p>
      <w:pPr>
        <w:pStyle w:val="1280"/>
        <w:rPr>
          <w:rFonts w:ascii="宋体"/>
        </w:rPr>
      </w:pPr>
      <w:r>
        <w:rPr>
          <w:rFonts w:ascii="宋体"/>
        </w:rPr>
        <w:t>石砌体的组砌形式应符合下列规定：</w:t>
      </w:r>
    </w:p>
    <w:p>
      <w:pPr>
        <w:pStyle w:val="1280"/>
        <w:rPr>
          <w:rFonts w:ascii="宋体"/>
        </w:rPr>
      </w:pPr>
      <w:r>
        <w:rPr>
          <w:rFonts w:ascii="宋体"/>
        </w:rPr>
        <w:t>内外搭砌，上下错缝，拉结石、丁砌石交错设置；</w:t>
      </w:r>
    </w:p>
    <w:p>
      <w:pPr>
        <w:pStyle w:val="1280"/>
        <w:rPr>
          <w:rFonts w:ascii="宋体"/>
        </w:rPr>
      </w:pPr>
      <w:r>
        <w:rPr>
          <w:rFonts w:ascii="宋体"/>
        </w:rPr>
        <w:t>毛石墙拉结石每次0.7m2墙面不应少于1块。</w:t>
      </w:r>
    </w:p>
    <w:p>
      <w:pPr>
        <w:pStyle w:val="1280"/>
        <w:rPr>
          <w:rFonts w:ascii="宋体"/>
        </w:rPr>
      </w:pPr>
      <w:r>
        <w:rPr>
          <w:rFonts w:ascii="宋体"/>
        </w:rPr>
        <w:t>骨架内应采用植物或其他辅助防护措施。植草草皮下宜有50～100mm厚的种植土，草皮应与坡面和骨架密贴。</w:t>
      </w:r>
    </w:p>
    <w:p>
      <w:pPr>
        <w:pStyle w:val="1280"/>
        <w:rPr>
          <w:rFonts w:ascii="宋体"/>
        </w:rPr>
      </w:pPr>
      <w:r>
        <w:rPr>
          <w:rFonts w:ascii="宋体"/>
        </w:rPr>
        <w:t>应及时对草皮进行养护。</w:t>
      </w:r>
    </w:p>
    <w:bookmarkEnd w:id="1797"/>
    <w:p>
      <w:pPr>
        <w:pStyle w:val="1281"/>
        <w:outlineLvl w:val="0"/>
        <w:rPr>
          <w:rFonts w:ascii="宋体" w:hAnsi="宋体"/>
          <w:color w:val="auto"/>
        </w:rPr>
      </w:pPr>
      <w:bookmarkStart w:id="1802" w:name="_Toc518376554"/>
      <w:bookmarkStart w:id="1803" w:name="_Toc521491875"/>
      <w:bookmarkStart w:id="1804" w:name="_Toc521492732"/>
      <w:bookmarkStart w:id="1805" w:name="_Toc521493406"/>
      <w:bookmarkStart w:id="1806" w:name="_Toc106883058"/>
      <w:bookmarkStart w:id="1807" w:name="_Toc385007645"/>
      <w:bookmarkStart w:id="1808" w:name="_Toc385008441"/>
      <w:bookmarkStart w:id="1809" w:name="_Toc385012603"/>
      <w:bookmarkStart w:id="1810" w:name="_Toc395408059"/>
      <w:bookmarkStart w:id="1811" w:name="_Toc395412733"/>
      <w:bookmarkStart w:id="1812" w:name="_Toc398083737"/>
      <w:bookmarkStart w:id="1813" w:name="_Toc398453562"/>
      <w:bookmarkStart w:id="1814" w:name="_Toc398523362"/>
      <w:bookmarkStart w:id="1815" w:name="_Toc16242343"/>
      <w:bookmarkStart w:id="1816" w:name="_Toc43107523"/>
      <w:bookmarkStart w:id="1817" w:name="_Toc164502100"/>
      <w:bookmarkStart w:id="1818" w:name="_Toc517382506"/>
      <w:r>
        <w:rPr>
          <w:rFonts w:hint="eastAsia" w:ascii="宋体" w:hAnsi="宋体"/>
          <w:color w:val="auto"/>
        </w:rPr>
        <w:t>2</w:t>
      </w:r>
      <w:r>
        <w:rPr>
          <w:rFonts w:ascii="宋体" w:hAnsi="宋体"/>
          <w:color w:val="auto"/>
        </w:rPr>
        <w:t xml:space="preserve">.8 </w:t>
      </w:r>
      <w:r>
        <w:rPr>
          <w:rFonts w:hint="eastAsia" w:ascii="宋体" w:hAnsi="宋体"/>
          <w:color w:val="auto"/>
        </w:rPr>
        <w:t>围堰</w:t>
      </w:r>
      <w:bookmarkEnd w:id="1802"/>
      <w:bookmarkEnd w:id="1803"/>
      <w:bookmarkEnd w:id="1804"/>
      <w:bookmarkEnd w:id="1805"/>
      <w:bookmarkEnd w:id="1806"/>
    </w:p>
    <w:p>
      <w:pPr>
        <w:pStyle w:val="1280"/>
        <w:rPr>
          <w:rFonts w:ascii="宋体"/>
        </w:rPr>
      </w:pPr>
      <w:r>
        <w:rPr>
          <w:rFonts w:ascii="宋体"/>
        </w:rPr>
        <w:t>本合同下</w:t>
      </w:r>
      <w:r>
        <w:rPr>
          <w:rFonts w:hint="eastAsia" w:ascii="宋体"/>
        </w:rPr>
        <w:t>堤防工程</w:t>
      </w:r>
      <w:r>
        <w:rPr>
          <w:rFonts w:ascii="宋体"/>
        </w:rPr>
        <w:t>、</w:t>
      </w:r>
      <w:r>
        <w:rPr>
          <w:rFonts w:hint="eastAsia" w:ascii="宋体"/>
        </w:rPr>
        <w:t>避灾走廊工程</w:t>
      </w:r>
      <w:r>
        <w:rPr>
          <w:rFonts w:ascii="宋体"/>
        </w:rPr>
        <w:t>等须采取围堰施工的。承包商应编制详细的河道导流、围堰施工及安全度汛技术方案，提交项目监理批准，围堰构造应简单，堰体应符合稳定、抗冲、防渗要求，地基土在水压力作用下不发生管涌。</w:t>
      </w:r>
    </w:p>
    <w:p>
      <w:pPr>
        <w:pStyle w:val="1280"/>
        <w:rPr>
          <w:rFonts w:ascii="宋体"/>
        </w:rPr>
      </w:pPr>
      <w:r>
        <w:rPr>
          <w:rFonts w:ascii="宋体"/>
        </w:rPr>
        <w:t>承包商可参考表2-8-1选择围堰类型（不受此限制）。</w:t>
      </w:r>
    </w:p>
    <w:p>
      <w:pPr>
        <w:pStyle w:val="1286"/>
        <w:rPr>
          <w:rFonts w:ascii="宋体" w:hAnsi="宋体"/>
          <w:color w:val="auto"/>
        </w:rPr>
      </w:pPr>
      <w:bookmarkStart w:id="1819" w:name="_Toc164502094"/>
      <w:bookmarkStart w:id="1820" w:name="_Toc512530586"/>
      <w:r>
        <w:rPr>
          <w:rFonts w:hint="eastAsia" w:ascii="宋体" w:hAnsi="宋体"/>
          <w:color w:val="auto"/>
        </w:rPr>
        <w:t xml:space="preserve"> </w:t>
      </w:r>
      <w:r>
        <w:rPr>
          <w:rFonts w:ascii="宋体" w:hAnsi="宋体"/>
          <w:color w:val="auto"/>
        </w:rPr>
        <w:t xml:space="preserve">                              围堰类型一览表                                    表2-8-1</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782"/>
        <w:gridCol w:w="1757"/>
        <w:gridCol w:w="2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28" w:type="dxa"/>
            <w:vMerge w:val="restart"/>
            <w:vAlign w:val="center"/>
          </w:tcPr>
          <w:p>
            <w:pPr>
              <w:pStyle w:val="1286"/>
              <w:rPr>
                <w:rFonts w:ascii="宋体" w:hAnsi="宋体"/>
                <w:color w:val="auto"/>
              </w:rPr>
            </w:pPr>
            <w:r>
              <w:rPr>
                <w:rFonts w:ascii="宋体" w:hAnsi="宋体"/>
                <w:color w:val="auto"/>
              </w:rPr>
              <w:t>围堰类型</w:t>
            </w:r>
          </w:p>
        </w:tc>
        <w:tc>
          <w:tcPr>
            <w:tcW w:w="5664" w:type="dxa"/>
            <w:gridSpan w:val="3"/>
            <w:vAlign w:val="center"/>
          </w:tcPr>
          <w:p>
            <w:pPr>
              <w:pStyle w:val="1286"/>
              <w:rPr>
                <w:rFonts w:ascii="宋体" w:hAnsi="宋体"/>
                <w:color w:val="auto"/>
              </w:rPr>
            </w:pPr>
            <w:r>
              <w:rPr>
                <w:rFonts w:ascii="宋体" w:hAnsi="宋体"/>
                <w:color w:val="auto"/>
              </w:rPr>
              <w:t>适  用  条  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28" w:type="dxa"/>
            <w:vMerge w:val="continue"/>
            <w:vAlign w:val="center"/>
          </w:tcPr>
          <w:p>
            <w:pPr>
              <w:pStyle w:val="1286"/>
              <w:rPr>
                <w:rFonts w:ascii="宋体" w:hAnsi="宋体"/>
                <w:color w:val="auto"/>
              </w:rPr>
            </w:pPr>
          </w:p>
        </w:tc>
        <w:tc>
          <w:tcPr>
            <w:tcW w:w="1782" w:type="dxa"/>
            <w:vAlign w:val="center"/>
          </w:tcPr>
          <w:p>
            <w:pPr>
              <w:pStyle w:val="1286"/>
              <w:rPr>
                <w:rFonts w:ascii="宋体" w:hAnsi="宋体"/>
                <w:color w:val="auto"/>
              </w:rPr>
            </w:pPr>
            <w:r>
              <w:rPr>
                <w:rFonts w:ascii="宋体" w:hAnsi="宋体"/>
                <w:color w:val="auto"/>
              </w:rPr>
              <w:t>河    床</w:t>
            </w:r>
          </w:p>
        </w:tc>
        <w:tc>
          <w:tcPr>
            <w:tcW w:w="1757" w:type="dxa"/>
            <w:vAlign w:val="center"/>
          </w:tcPr>
          <w:p>
            <w:pPr>
              <w:pStyle w:val="1286"/>
              <w:rPr>
                <w:rFonts w:ascii="宋体" w:hAnsi="宋体"/>
                <w:color w:val="auto"/>
              </w:rPr>
            </w:pPr>
            <w:r>
              <w:rPr>
                <w:rFonts w:ascii="宋体" w:hAnsi="宋体"/>
                <w:color w:val="auto"/>
              </w:rPr>
              <w:t>最大水深（m）</w:t>
            </w:r>
          </w:p>
        </w:tc>
        <w:tc>
          <w:tcPr>
            <w:tcW w:w="2125" w:type="dxa"/>
            <w:vAlign w:val="center"/>
          </w:tcPr>
          <w:p>
            <w:pPr>
              <w:pStyle w:val="1286"/>
              <w:rPr>
                <w:rFonts w:ascii="宋体" w:hAnsi="宋体"/>
                <w:color w:val="auto"/>
              </w:rPr>
            </w:pPr>
            <w:r>
              <w:rPr>
                <w:rFonts w:ascii="宋体" w:hAnsi="宋体"/>
                <w:color w:val="auto"/>
              </w:rPr>
              <w:t>最大流速（m/s）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pPr>
              <w:pStyle w:val="1286"/>
              <w:rPr>
                <w:rFonts w:ascii="宋体" w:hAnsi="宋体"/>
                <w:color w:val="auto"/>
              </w:rPr>
            </w:pPr>
            <w:r>
              <w:rPr>
                <w:rFonts w:ascii="宋体" w:hAnsi="宋体"/>
                <w:color w:val="auto"/>
              </w:rPr>
              <w:t>土围堰</w:t>
            </w:r>
          </w:p>
          <w:p>
            <w:pPr>
              <w:pStyle w:val="1286"/>
              <w:rPr>
                <w:rFonts w:ascii="宋体" w:hAnsi="宋体"/>
                <w:color w:val="auto"/>
              </w:rPr>
            </w:pPr>
            <w:r>
              <w:rPr>
                <w:rFonts w:ascii="宋体" w:hAnsi="宋体"/>
                <w:color w:val="auto"/>
              </w:rPr>
              <w:t>土袋围堰</w:t>
            </w:r>
          </w:p>
        </w:tc>
        <w:tc>
          <w:tcPr>
            <w:tcW w:w="1782" w:type="dxa"/>
            <w:vAlign w:val="center"/>
          </w:tcPr>
          <w:p>
            <w:pPr>
              <w:pStyle w:val="1286"/>
              <w:rPr>
                <w:rFonts w:ascii="宋体" w:hAnsi="宋体"/>
                <w:color w:val="auto"/>
              </w:rPr>
            </w:pPr>
          </w:p>
        </w:tc>
        <w:tc>
          <w:tcPr>
            <w:tcW w:w="1757" w:type="dxa"/>
            <w:vAlign w:val="center"/>
          </w:tcPr>
          <w:p>
            <w:pPr>
              <w:pStyle w:val="1286"/>
              <w:rPr>
                <w:rFonts w:ascii="宋体" w:hAnsi="宋体"/>
                <w:color w:val="auto"/>
              </w:rPr>
            </w:pPr>
            <w:r>
              <w:rPr>
                <w:rFonts w:ascii="宋体" w:hAnsi="宋体"/>
                <w:color w:val="auto"/>
              </w:rPr>
              <w:t>1.5</w:t>
            </w:r>
          </w:p>
          <w:p>
            <w:pPr>
              <w:pStyle w:val="1286"/>
              <w:rPr>
                <w:rFonts w:ascii="宋体" w:hAnsi="宋体"/>
                <w:color w:val="auto"/>
              </w:rPr>
            </w:pPr>
            <w:r>
              <w:rPr>
                <w:rFonts w:ascii="宋体" w:hAnsi="宋体"/>
                <w:color w:val="auto"/>
              </w:rPr>
              <w:t>3</w:t>
            </w:r>
          </w:p>
        </w:tc>
        <w:tc>
          <w:tcPr>
            <w:tcW w:w="2125" w:type="dxa"/>
            <w:vAlign w:val="center"/>
          </w:tcPr>
          <w:p>
            <w:pPr>
              <w:pStyle w:val="1286"/>
              <w:rPr>
                <w:rFonts w:ascii="宋体" w:hAnsi="宋体"/>
                <w:color w:val="auto"/>
              </w:rPr>
            </w:pPr>
            <w:r>
              <w:rPr>
                <w:rFonts w:ascii="宋体" w:hAnsi="宋体"/>
                <w:color w:val="auto"/>
              </w:rPr>
              <w:t>0.5</w:t>
            </w:r>
          </w:p>
          <w:p>
            <w:pPr>
              <w:pStyle w:val="1286"/>
              <w:rPr>
                <w:rFonts w:ascii="宋体" w:hAnsi="宋体"/>
                <w:color w:val="auto"/>
              </w:rPr>
            </w:pPr>
            <w:r>
              <w:rPr>
                <w:rFonts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pPr>
              <w:pStyle w:val="1286"/>
              <w:rPr>
                <w:rFonts w:ascii="宋体" w:hAnsi="宋体"/>
                <w:color w:val="auto"/>
              </w:rPr>
            </w:pPr>
            <w:r>
              <w:rPr>
                <w:rFonts w:ascii="宋体" w:hAnsi="宋体"/>
                <w:color w:val="auto"/>
              </w:rPr>
              <w:t>草捆土围堰</w:t>
            </w:r>
          </w:p>
          <w:p>
            <w:pPr>
              <w:pStyle w:val="1286"/>
              <w:rPr>
                <w:rFonts w:ascii="宋体" w:hAnsi="宋体"/>
                <w:color w:val="auto"/>
              </w:rPr>
            </w:pPr>
            <w:r>
              <w:rPr>
                <w:rFonts w:ascii="宋体" w:hAnsi="宋体"/>
                <w:color w:val="auto"/>
              </w:rPr>
              <w:t>草（麻）袋围堰</w:t>
            </w:r>
          </w:p>
          <w:p>
            <w:pPr>
              <w:pStyle w:val="1286"/>
              <w:rPr>
                <w:rFonts w:ascii="宋体" w:hAnsi="宋体"/>
                <w:color w:val="auto"/>
              </w:rPr>
            </w:pPr>
            <w:r>
              <w:rPr>
                <w:rFonts w:ascii="宋体" w:hAnsi="宋体"/>
                <w:color w:val="auto"/>
              </w:rPr>
              <w:t>堆石土围堰</w:t>
            </w:r>
          </w:p>
          <w:p>
            <w:pPr>
              <w:pStyle w:val="1286"/>
              <w:rPr>
                <w:rFonts w:ascii="宋体" w:hAnsi="宋体"/>
                <w:color w:val="auto"/>
              </w:rPr>
            </w:pPr>
            <w:r>
              <w:rPr>
                <w:rFonts w:ascii="宋体" w:hAnsi="宋体"/>
                <w:color w:val="auto"/>
              </w:rPr>
              <w:t>石笼土围堰</w:t>
            </w:r>
          </w:p>
        </w:tc>
        <w:tc>
          <w:tcPr>
            <w:tcW w:w="1782" w:type="dxa"/>
            <w:vAlign w:val="center"/>
          </w:tcPr>
          <w:p>
            <w:pPr>
              <w:pStyle w:val="1286"/>
              <w:rPr>
                <w:rFonts w:ascii="宋体" w:hAnsi="宋体"/>
                <w:color w:val="auto"/>
              </w:rPr>
            </w:pPr>
            <w:r>
              <w:rPr>
                <w:rFonts w:ascii="宋体" w:hAnsi="宋体"/>
                <w:color w:val="auto"/>
              </w:rPr>
              <w:t>不透水</w:t>
            </w:r>
          </w:p>
        </w:tc>
        <w:tc>
          <w:tcPr>
            <w:tcW w:w="1757" w:type="dxa"/>
            <w:vAlign w:val="center"/>
          </w:tcPr>
          <w:p>
            <w:pPr>
              <w:pStyle w:val="1286"/>
              <w:rPr>
                <w:rFonts w:ascii="宋体" w:hAnsi="宋体"/>
                <w:color w:val="auto"/>
              </w:rPr>
            </w:pPr>
            <w:r>
              <w:rPr>
                <w:rFonts w:ascii="宋体" w:hAnsi="宋体"/>
                <w:color w:val="auto"/>
              </w:rPr>
              <w:t>3</w:t>
            </w:r>
          </w:p>
          <w:p>
            <w:pPr>
              <w:pStyle w:val="1286"/>
              <w:rPr>
                <w:rFonts w:ascii="宋体" w:hAnsi="宋体"/>
                <w:color w:val="auto"/>
              </w:rPr>
            </w:pPr>
            <w:r>
              <w:rPr>
                <w:rFonts w:ascii="宋体" w:hAnsi="宋体"/>
                <w:color w:val="auto"/>
              </w:rPr>
              <w:t>3.5</w:t>
            </w:r>
          </w:p>
          <w:p>
            <w:pPr>
              <w:pStyle w:val="1286"/>
              <w:rPr>
                <w:rFonts w:ascii="宋体" w:hAnsi="宋体"/>
                <w:color w:val="auto"/>
              </w:rPr>
            </w:pPr>
            <w:r>
              <w:rPr>
                <w:rFonts w:ascii="宋体" w:hAnsi="宋体"/>
                <w:color w:val="auto"/>
              </w:rPr>
              <w:t>3.5</w:t>
            </w:r>
          </w:p>
          <w:p>
            <w:pPr>
              <w:pStyle w:val="1286"/>
              <w:rPr>
                <w:rFonts w:ascii="宋体" w:hAnsi="宋体"/>
                <w:color w:val="auto"/>
              </w:rPr>
            </w:pPr>
            <w:r>
              <w:rPr>
                <w:rFonts w:ascii="宋体" w:hAnsi="宋体"/>
                <w:color w:val="auto"/>
              </w:rPr>
              <w:t>3.5</w:t>
            </w:r>
          </w:p>
        </w:tc>
        <w:tc>
          <w:tcPr>
            <w:tcW w:w="2125" w:type="dxa"/>
            <w:vAlign w:val="center"/>
          </w:tcPr>
          <w:p>
            <w:pPr>
              <w:pStyle w:val="1286"/>
              <w:rPr>
                <w:rFonts w:ascii="宋体" w:hAnsi="宋体"/>
                <w:color w:val="auto"/>
              </w:rPr>
            </w:pPr>
            <w:r>
              <w:rPr>
                <w:rFonts w:ascii="宋体" w:hAnsi="宋体"/>
                <w:color w:val="auto"/>
              </w:rPr>
              <w:t>3</w:t>
            </w:r>
          </w:p>
          <w:p>
            <w:pPr>
              <w:pStyle w:val="1286"/>
              <w:rPr>
                <w:rFonts w:ascii="宋体" w:hAnsi="宋体"/>
                <w:color w:val="auto"/>
              </w:rPr>
            </w:pPr>
            <w:r>
              <w:rPr>
                <w:rFonts w:ascii="宋体" w:hAnsi="宋体"/>
                <w:color w:val="auto"/>
              </w:rPr>
              <w:t>2</w:t>
            </w:r>
          </w:p>
          <w:p>
            <w:pPr>
              <w:pStyle w:val="1286"/>
              <w:rPr>
                <w:rFonts w:ascii="宋体" w:hAnsi="宋体"/>
                <w:color w:val="auto"/>
              </w:rPr>
            </w:pPr>
            <w:r>
              <w:rPr>
                <w:rFonts w:ascii="宋体" w:hAnsi="宋体"/>
                <w:color w:val="auto"/>
              </w:rPr>
              <w:t>3</w:t>
            </w:r>
          </w:p>
          <w:p>
            <w:pPr>
              <w:pStyle w:val="1286"/>
              <w:rPr>
                <w:rFonts w:ascii="宋体" w:hAnsi="宋体"/>
                <w:color w:val="auto"/>
              </w:rPr>
            </w:pPr>
            <w:r>
              <w:rPr>
                <w:rFonts w:ascii="宋体" w:hAnsi="宋体"/>
                <w:color w:val="auto"/>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pPr>
              <w:pStyle w:val="1286"/>
              <w:rPr>
                <w:rFonts w:ascii="宋体" w:hAnsi="宋体"/>
                <w:color w:val="auto"/>
              </w:rPr>
            </w:pPr>
            <w:r>
              <w:rPr>
                <w:rFonts w:ascii="宋体" w:hAnsi="宋体"/>
                <w:color w:val="auto"/>
              </w:rPr>
              <w:t>木板桩围堰</w:t>
            </w:r>
          </w:p>
          <w:p>
            <w:pPr>
              <w:pStyle w:val="1286"/>
              <w:rPr>
                <w:rFonts w:ascii="宋体" w:hAnsi="宋体"/>
                <w:color w:val="auto"/>
              </w:rPr>
            </w:pPr>
            <w:r>
              <w:rPr>
                <w:rFonts w:ascii="宋体" w:hAnsi="宋体"/>
                <w:color w:val="auto"/>
              </w:rPr>
              <w:t>钢板桩围堰</w:t>
            </w:r>
          </w:p>
        </w:tc>
        <w:tc>
          <w:tcPr>
            <w:tcW w:w="1782" w:type="dxa"/>
            <w:vAlign w:val="center"/>
          </w:tcPr>
          <w:p>
            <w:pPr>
              <w:pStyle w:val="1286"/>
              <w:rPr>
                <w:rFonts w:ascii="宋体" w:hAnsi="宋体"/>
                <w:color w:val="auto"/>
              </w:rPr>
            </w:pPr>
            <w:r>
              <w:rPr>
                <w:rFonts w:ascii="宋体" w:hAnsi="宋体"/>
                <w:color w:val="auto"/>
              </w:rPr>
              <w:t>可透水</w:t>
            </w:r>
          </w:p>
        </w:tc>
        <w:tc>
          <w:tcPr>
            <w:tcW w:w="1757" w:type="dxa"/>
            <w:vAlign w:val="center"/>
          </w:tcPr>
          <w:p>
            <w:pPr>
              <w:pStyle w:val="1286"/>
              <w:rPr>
                <w:rFonts w:ascii="宋体" w:hAnsi="宋体"/>
                <w:color w:val="auto"/>
              </w:rPr>
            </w:pPr>
            <w:r>
              <w:rPr>
                <w:rFonts w:ascii="宋体" w:hAnsi="宋体"/>
                <w:color w:val="auto"/>
              </w:rPr>
              <w:t>5</w:t>
            </w:r>
          </w:p>
        </w:tc>
        <w:tc>
          <w:tcPr>
            <w:tcW w:w="2125" w:type="dxa"/>
            <w:vAlign w:val="center"/>
          </w:tcPr>
          <w:p>
            <w:pPr>
              <w:pStyle w:val="1286"/>
              <w:rPr>
                <w:rFonts w:ascii="宋体" w:hAnsi="宋体"/>
                <w:color w:val="auto"/>
              </w:rPr>
            </w:pPr>
            <w:r>
              <w:rPr>
                <w:rFonts w:ascii="宋体" w:hAnsi="宋体"/>
                <w:color w:val="auto"/>
              </w:rPr>
              <w:t>3</w:t>
            </w:r>
          </w:p>
          <w:p>
            <w:pPr>
              <w:pStyle w:val="1286"/>
              <w:rPr>
                <w:rFonts w:ascii="宋体" w:hAnsi="宋体"/>
                <w:color w:val="auto"/>
              </w:rPr>
            </w:pPr>
            <w:r>
              <w:rPr>
                <w:rFonts w:ascii="宋体" w:hAnsi="宋体"/>
                <w:color w:val="auto"/>
              </w:rPr>
              <w:t>3</w:t>
            </w:r>
          </w:p>
        </w:tc>
      </w:tr>
    </w:tbl>
    <w:p>
      <w:pPr>
        <w:pStyle w:val="1284"/>
        <w:rPr>
          <w:rFonts w:ascii="宋体" w:hAnsi="宋体"/>
        </w:rPr>
      </w:pPr>
      <w:bookmarkStart w:id="1821" w:name="_Toc518376555"/>
      <w:bookmarkStart w:id="1822" w:name="_Toc521491876"/>
      <w:bookmarkStart w:id="1823" w:name="_Toc521492733"/>
      <w:bookmarkStart w:id="1824" w:name="_Toc521493407"/>
      <w:bookmarkStart w:id="1825" w:name="_Toc106883059"/>
      <w:r>
        <w:rPr>
          <w:rFonts w:ascii="宋体" w:hAnsi="宋体"/>
        </w:rPr>
        <w:t>2.8.1 围堰施工要求</w:t>
      </w:r>
      <w:bookmarkEnd w:id="1819"/>
      <w:bookmarkEnd w:id="1820"/>
      <w:bookmarkEnd w:id="1821"/>
      <w:bookmarkEnd w:id="1822"/>
      <w:bookmarkEnd w:id="1823"/>
      <w:bookmarkEnd w:id="1824"/>
      <w:bookmarkEnd w:id="1825"/>
    </w:p>
    <w:p>
      <w:pPr>
        <w:pStyle w:val="1280"/>
        <w:rPr>
          <w:rFonts w:ascii="宋体"/>
        </w:rPr>
      </w:pPr>
      <w:r>
        <w:rPr>
          <w:rFonts w:ascii="宋体"/>
        </w:rPr>
        <w:t>围堰施工要求见表2-8-2（不限与此）。</w:t>
      </w:r>
    </w:p>
    <w:p>
      <w:pPr>
        <w:pStyle w:val="1286"/>
        <w:jc w:val="center"/>
        <w:rPr>
          <w:rFonts w:ascii="宋体" w:hAnsi="宋体"/>
          <w:color w:val="auto"/>
        </w:rPr>
      </w:pPr>
      <w:r>
        <w:rPr>
          <w:rFonts w:ascii="宋体" w:hAnsi="宋体"/>
          <w:color w:val="auto"/>
        </w:rPr>
        <w:t>围堰施工要求表                  表2-8-2</w:t>
      </w:r>
    </w:p>
    <w:tbl>
      <w:tblPr>
        <w:tblStyle w:val="77"/>
        <w:tblW w:w="8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1141"/>
        <w:gridCol w:w="979"/>
        <w:gridCol w:w="900"/>
        <w:gridCol w:w="974"/>
        <w:gridCol w:w="461"/>
        <w:gridCol w:w="2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blHeader/>
          <w:jc w:val="center"/>
        </w:trPr>
        <w:tc>
          <w:tcPr>
            <w:tcW w:w="1191" w:type="dxa"/>
            <w:vMerge w:val="restart"/>
            <w:vAlign w:val="center"/>
          </w:tcPr>
          <w:p>
            <w:pPr>
              <w:pStyle w:val="1286"/>
              <w:rPr>
                <w:rFonts w:ascii="宋体" w:hAnsi="宋体"/>
                <w:color w:val="auto"/>
              </w:rPr>
            </w:pPr>
            <w:r>
              <w:rPr>
                <w:rFonts w:ascii="宋体" w:hAnsi="宋体"/>
                <w:color w:val="auto"/>
              </w:rPr>
              <w:t>堰 型</w:t>
            </w:r>
          </w:p>
        </w:tc>
        <w:tc>
          <w:tcPr>
            <w:tcW w:w="1141" w:type="dxa"/>
            <w:vAlign w:val="center"/>
          </w:tcPr>
          <w:p>
            <w:pPr>
              <w:pStyle w:val="1286"/>
              <w:rPr>
                <w:rFonts w:ascii="宋体" w:hAnsi="宋体"/>
                <w:color w:val="auto"/>
              </w:rPr>
            </w:pPr>
            <w:r>
              <w:rPr>
                <w:rFonts w:ascii="宋体" w:hAnsi="宋体"/>
                <w:color w:val="auto"/>
              </w:rPr>
              <w:t>断面尺寸</w:t>
            </w:r>
          </w:p>
        </w:tc>
        <w:tc>
          <w:tcPr>
            <w:tcW w:w="1879" w:type="dxa"/>
            <w:gridSpan w:val="2"/>
            <w:vAlign w:val="center"/>
          </w:tcPr>
          <w:p>
            <w:pPr>
              <w:pStyle w:val="1286"/>
              <w:rPr>
                <w:rFonts w:ascii="宋体" w:hAnsi="宋体"/>
                <w:color w:val="auto"/>
              </w:rPr>
            </w:pPr>
          </w:p>
        </w:tc>
        <w:tc>
          <w:tcPr>
            <w:tcW w:w="974" w:type="dxa"/>
            <w:vMerge w:val="restart"/>
            <w:vAlign w:val="center"/>
          </w:tcPr>
          <w:p>
            <w:pPr>
              <w:pStyle w:val="1286"/>
              <w:rPr>
                <w:rFonts w:ascii="宋体" w:hAnsi="宋体"/>
                <w:color w:val="auto"/>
              </w:rPr>
            </w:pPr>
            <w:bookmarkStart w:id="1826" w:name="OLE_LINK13"/>
            <w:bookmarkStart w:id="1827" w:name="OLE_LINK14"/>
            <w:r>
              <w:rPr>
                <w:rFonts w:ascii="宋体" w:hAnsi="宋体"/>
                <w:color w:val="auto"/>
              </w:rPr>
              <w:t>堰顶高出施工期最高水位</w:t>
            </w:r>
            <w:bookmarkEnd w:id="1826"/>
            <w:bookmarkEnd w:id="1827"/>
            <w:r>
              <w:rPr>
                <w:rFonts w:ascii="宋体" w:hAnsi="宋体"/>
                <w:color w:val="auto"/>
              </w:rPr>
              <w:t>（m）</w:t>
            </w:r>
          </w:p>
        </w:tc>
        <w:tc>
          <w:tcPr>
            <w:tcW w:w="3279" w:type="dxa"/>
            <w:gridSpan w:val="2"/>
            <w:vMerge w:val="restart"/>
            <w:vAlign w:val="center"/>
          </w:tcPr>
          <w:p>
            <w:pPr>
              <w:pStyle w:val="1286"/>
              <w:rPr>
                <w:rFonts w:ascii="宋体" w:hAnsi="宋体"/>
                <w:color w:val="auto"/>
              </w:rPr>
            </w:pPr>
            <w:r>
              <w:rPr>
                <w:rFonts w:ascii="宋体" w:hAnsi="宋体"/>
                <w:color w:val="auto"/>
              </w:rPr>
              <w:t>材料规格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blHeader/>
          <w:jc w:val="center"/>
        </w:trPr>
        <w:tc>
          <w:tcPr>
            <w:tcW w:w="1191" w:type="dxa"/>
            <w:vMerge w:val="continue"/>
            <w:vAlign w:val="center"/>
          </w:tcPr>
          <w:p>
            <w:pPr>
              <w:pStyle w:val="1286"/>
              <w:rPr>
                <w:rFonts w:ascii="宋体" w:hAnsi="宋体"/>
                <w:color w:val="auto"/>
              </w:rPr>
            </w:pPr>
          </w:p>
        </w:tc>
        <w:tc>
          <w:tcPr>
            <w:tcW w:w="1141" w:type="dxa"/>
            <w:vMerge w:val="restart"/>
            <w:vAlign w:val="center"/>
          </w:tcPr>
          <w:p>
            <w:pPr>
              <w:pStyle w:val="1286"/>
              <w:rPr>
                <w:rFonts w:ascii="宋体" w:hAnsi="宋体"/>
                <w:color w:val="auto"/>
              </w:rPr>
            </w:pPr>
            <w:r>
              <w:rPr>
                <w:rFonts w:ascii="宋体" w:hAnsi="宋体"/>
                <w:color w:val="auto"/>
              </w:rPr>
              <w:t>堰顶宽（m）</w:t>
            </w:r>
          </w:p>
        </w:tc>
        <w:tc>
          <w:tcPr>
            <w:tcW w:w="1879" w:type="dxa"/>
            <w:gridSpan w:val="2"/>
            <w:vMerge w:val="restart"/>
            <w:vAlign w:val="center"/>
          </w:tcPr>
          <w:p>
            <w:pPr>
              <w:pStyle w:val="1286"/>
              <w:rPr>
                <w:rFonts w:ascii="宋体" w:hAnsi="宋体"/>
                <w:color w:val="auto"/>
              </w:rPr>
            </w:pPr>
            <w:r>
              <w:rPr>
                <w:rFonts w:ascii="宋体" w:hAnsi="宋体"/>
                <w:color w:val="auto"/>
              </w:rPr>
              <w:t>边坡坡度</w:t>
            </w:r>
          </w:p>
        </w:tc>
        <w:tc>
          <w:tcPr>
            <w:tcW w:w="974" w:type="dxa"/>
            <w:vMerge w:val="continue"/>
            <w:vAlign w:val="center"/>
          </w:tcPr>
          <w:p>
            <w:pPr>
              <w:pStyle w:val="1286"/>
              <w:rPr>
                <w:rFonts w:ascii="宋体" w:hAnsi="宋体"/>
                <w:color w:val="auto"/>
              </w:rPr>
            </w:pPr>
          </w:p>
        </w:tc>
        <w:tc>
          <w:tcPr>
            <w:tcW w:w="3279" w:type="dxa"/>
            <w:gridSpan w:val="2"/>
            <w:vMerge w:val="continue"/>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blHeader/>
          <w:jc w:val="center"/>
        </w:trPr>
        <w:tc>
          <w:tcPr>
            <w:tcW w:w="1191" w:type="dxa"/>
            <w:vMerge w:val="continue"/>
            <w:vAlign w:val="center"/>
          </w:tcPr>
          <w:p>
            <w:pPr>
              <w:pStyle w:val="1286"/>
              <w:rPr>
                <w:rFonts w:ascii="宋体" w:hAnsi="宋体"/>
                <w:color w:val="auto"/>
              </w:rPr>
            </w:pPr>
          </w:p>
        </w:tc>
        <w:tc>
          <w:tcPr>
            <w:tcW w:w="1141" w:type="dxa"/>
            <w:vMerge w:val="continue"/>
            <w:vAlign w:val="center"/>
          </w:tcPr>
          <w:p>
            <w:pPr>
              <w:pStyle w:val="1286"/>
              <w:rPr>
                <w:rFonts w:ascii="宋体" w:hAnsi="宋体"/>
                <w:color w:val="auto"/>
              </w:rPr>
            </w:pPr>
          </w:p>
        </w:tc>
        <w:tc>
          <w:tcPr>
            <w:tcW w:w="1879" w:type="dxa"/>
            <w:gridSpan w:val="2"/>
            <w:vMerge w:val="continue"/>
            <w:vAlign w:val="center"/>
          </w:tcPr>
          <w:p>
            <w:pPr>
              <w:pStyle w:val="1286"/>
              <w:rPr>
                <w:rFonts w:ascii="宋体" w:hAnsi="宋体"/>
                <w:color w:val="auto"/>
              </w:rPr>
            </w:pPr>
          </w:p>
        </w:tc>
        <w:tc>
          <w:tcPr>
            <w:tcW w:w="974" w:type="dxa"/>
            <w:vMerge w:val="continue"/>
            <w:vAlign w:val="center"/>
          </w:tcPr>
          <w:p>
            <w:pPr>
              <w:pStyle w:val="1286"/>
              <w:rPr>
                <w:rFonts w:ascii="宋体" w:hAnsi="宋体"/>
                <w:color w:val="auto"/>
              </w:rPr>
            </w:pPr>
          </w:p>
        </w:tc>
        <w:tc>
          <w:tcPr>
            <w:tcW w:w="461" w:type="dxa"/>
            <w:vMerge w:val="restart"/>
            <w:vAlign w:val="center"/>
          </w:tcPr>
          <w:p>
            <w:pPr>
              <w:pStyle w:val="1286"/>
              <w:rPr>
                <w:rFonts w:ascii="宋体" w:hAnsi="宋体"/>
                <w:color w:val="auto"/>
              </w:rPr>
            </w:pPr>
          </w:p>
        </w:tc>
        <w:tc>
          <w:tcPr>
            <w:tcW w:w="2818" w:type="dxa"/>
            <w:vMerge w:val="restart"/>
            <w:vAlign w:val="center"/>
          </w:tcPr>
          <w:p>
            <w:pPr>
              <w:pStyle w:val="1286"/>
              <w:rPr>
                <w:rFonts w:ascii="宋体" w:hAnsi="宋体"/>
                <w:color w:val="auto"/>
              </w:rPr>
            </w:pPr>
            <w:r>
              <w:rPr>
                <w:rFonts w:ascii="宋体" w:hAnsi="宋体"/>
                <w:color w:val="auto"/>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blHeader/>
          <w:jc w:val="center"/>
        </w:trPr>
        <w:tc>
          <w:tcPr>
            <w:tcW w:w="1191" w:type="dxa"/>
            <w:vMerge w:val="continue"/>
            <w:vAlign w:val="center"/>
          </w:tcPr>
          <w:p>
            <w:pPr>
              <w:pStyle w:val="1286"/>
              <w:rPr>
                <w:rFonts w:ascii="宋体" w:hAnsi="宋体"/>
                <w:color w:val="auto"/>
              </w:rPr>
            </w:pPr>
          </w:p>
        </w:tc>
        <w:tc>
          <w:tcPr>
            <w:tcW w:w="1141" w:type="dxa"/>
            <w:vMerge w:val="continue"/>
            <w:vAlign w:val="center"/>
          </w:tcPr>
          <w:p>
            <w:pPr>
              <w:pStyle w:val="1286"/>
              <w:rPr>
                <w:rFonts w:ascii="宋体" w:hAnsi="宋体"/>
                <w:color w:val="auto"/>
              </w:rPr>
            </w:pPr>
          </w:p>
        </w:tc>
        <w:tc>
          <w:tcPr>
            <w:tcW w:w="979" w:type="dxa"/>
            <w:vAlign w:val="center"/>
          </w:tcPr>
          <w:p>
            <w:pPr>
              <w:pStyle w:val="1286"/>
              <w:rPr>
                <w:rFonts w:ascii="宋体" w:hAnsi="宋体"/>
                <w:color w:val="auto"/>
              </w:rPr>
            </w:pPr>
            <w:r>
              <w:rPr>
                <w:rFonts w:ascii="宋体" w:hAnsi="宋体"/>
                <w:color w:val="auto"/>
              </w:rPr>
              <w:t>堰内</w:t>
            </w:r>
          </w:p>
        </w:tc>
        <w:tc>
          <w:tcPr>
            <w:tcW w:w="900" w:type="dxa"/>
            <w:vAlign w:val="center"/>
          </w:tcPr>
          <w:p>
            <w:pPr>
              <w:pStyle w:val="1286"/>
              <w:rPr>
                <w:rFonts w:ascii="宋体" w:hAnsi="宋体"/>
                <w:color w:val="auto"/>
              </w:rPr>
            </w:pPr>
            <w:r>
              <w:rPr>
                <w:rFonts w:ascii="宋体" w:hAnsi="宋体"/>
                <w:color w:val="auto"/>
              </w:rPr>
              <w:t>堰外</w:t>
            </w:r>
          </w:p>
        </w:tc>
        <w:tc>
          <w:tcPr>
            <w:tcW w:w="974" w:type="dxa"/>
            <w:vMerge w:val="continue"/>
            <w:vAlign w:val="center"/>
          </w:tcPr>
          <w:p>
            <w:pPr>
              <w:pStyle w:val="1286"/>
              <w:rPr>
                <w:rFonts w:ascii="宋体" w:hAnsi="宋体"/>
                <w:color w:val="auto"/>
              </w:rPr>
            </w:pPr>
          </w:p>
        </w:tc>
        <w:tc>
          <w:tcPr>
            <w:tcW w:w="461" w:type="dxa"/>
            <w:vMerge w:val="continue"/>
            <w:vAlign w:val="center"/>
          </w:tcPr>
          <w:p>
            <w:pPr>
              <w:pStyle w:val="1286"/>
              <w:rPr>
                <w:rFonts w:ascii="宋体" w:hAnsi="宋体"/>
                <w:color w:val="auto"/>
              </w:rPr>
            </w:pPr>
          </w:p>
        </w:tc>
        <w:tc>
          <w:tcPr>
            <w:tcW w:w="2818" w:type="dxa"/>
            <w:vMerge w:val="continue"/>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1191" w:type="dxa"/>
            <w:vAlign w:val="center"/>
          </w:tcPr>
          <w:p>
            <w:pPr>
              <w:pStyle w:val="1286"/>
              <w:rPr>
                <w:rFonts w:ascii="宋体" w:hAnsi="宋体"/>
                <w:color w:val="auto"/>
              </w:rPr>
            </w:pPr>
            <w:r>
              <w:rPr>
                <w:rFonts w:ascii="宋体" w:hAnsi="宋体"/>
                <w:color w:val="auto"/>
              </w:rPr>
              <w:t>土围堰</w:t>
            </w:r>
          </w:p>
        </w:tc>
        <w:tc>
          <w:tcPr>
            <w:tcW w:w="1141" w:type="dxa"/>
            <w:vAlign w:val="center"/>
          </w:tcPr>
          <w:p>
            <w:pPr>
              <w:pStyle w:val="1286"/>
              <w:rPr>
                <w:rFonts w:ascii="宋体" w:hAnsi="宋体"/>
                <w:color w:val="auto"/>
              </w:rPr>
            </w:pPr>
            <w:r>
              <w:rPr>
                <w:rFonts w:ascii="宋体" w:hAnsi="宋体"/>
                <w:color w:val="auto"/>
              </w:rPr>
              <w:t>≥1.5</w:t>
            </w:r>
          </w:p>
        </w:tc>
        <w:tc>
          <w:tcPr>
            <w:tcW w:w="979" w:type="dxa"/>
            <w:vAlign w:val="center"/>
          </w:tcPr>
          <w:p>
            <w:pPr>
              <w:pStyle w:val="1286"/>
              <w:rPr>
                <w:rFonts w:ascii="宋体" w:hAnsi="宋体"/>
                <w:color w:val="auto"/>
              </w:rPr>
            </w:pPr>
            <w:r>
              <w:rPr>
                <w:rFonts w:ascii="宋体" w:hAnsi="宋体"/>
                <w:color w:val="auto"/>
              </w:rPr>
              <w:t>1:1～1:3</w:t>
            </w:r>
          </w:p>
        </w:tc>
        <w:tc>
          <w:tcPr>
            <w:tcW w:w="900" w:type="dxa"/>
            <w:vAlign w:val="center"/>
          </w:tcPr>
          <w:p>
            <w:pPr>
              <w:pStyle w:val="1286"/>
              <w:rPr>
                <w:rFonts w:ascii="宋体" w:hAnsi="宋体"/>
                <w:color w:val="auto"/>
              </w:rPr>
            </w:pPr>
            <w:r>
              <w:rPr>
                <w:rFonts w:ascii="宋体" w:hAnsi="宋体"/>
                <w:color w:val="auto"/>
              </w:rPr>
              <w:t>&gt;1:2</w:t>
            </w:r>
          </w:p>
        </w:tc>
        <w:tc>
          <w:tcPr>
            <w:tcW w:w="974" w:type="dxa"/>
            <w:vAlign w:val="center"/>
          </w:tcPr>
          <w:p>
            <w:pPr>
              <w:pStyle w:val="1286"/>
              <w:rPr>
                <w:rFonts w:ascii="宋体" w:hAnsi="宋体"/>
                <w:color w:val="auto"/>
              </w:rPr>
            </w:pPr>
            <w:r>
              <w:rPr>
                <w:rFonts w:ascii="宋体" w:hAnsi="宋体"/>
                <w:color w:val="auto"/>
              </w:rPr>
              <w:t>0.5～0.7</w:t>
            </w:r>
          </w:p>
        </w:tc>
        <w:tc>
          <w:tcPr>
            <w:tcW w:w="461" w:type="dxa"/>
            <w:vMerge w:val="restart"/>
            <w:vAlign w:val="center"/>
          </w:tcPr>
          <w:p>
            <w:pPr>
              <w:pStyle w:val="1286"/>
              <w:rPr>
                <w:rFonts w:ascii="宋体" w:hAnsi="宋体"/>
                <w:color w:val="auto"/>
              </w:rPr>
            </w:pPr>
            <w:r>
              <w:rPr>
                <w:rFonts w:ascii="宋体" w:hAnsi="宋体"/>
                <w:color w:val="auto"/>
              </w:rPr>
              <w:t>土、</w:t>
            </w:r>
          </w:p>
          <w:p>
            <w:pPr>
              <w:pStyle w:val="1286"/>
              <w:rPr>
                <w:rFonts w:ascii="宋体" w:hAnsi="宋体"/>
                <w:color w:val="auto"/>
              </w:rPr>
            </w:pPr>
            <w:r>
              <w:rPr>
                <w:rFonts w:ascii="宋体" w:hAnsi="宋体"/>
                <w:color w:val="auto"/>
              </w:rPr>
              <w:t>垃</w:t>
            </w:r>
          </w:p>
          <w:p>
            <w:pPr>
              <w:pStyle w:val="1286"/>
              <w:rPr>
                <w:rFonts w:ascii="宋体" w:hAnsi="宋体"/>
                <w:color w:val="auto"/>
              </w:rPr>
            </w:pPr>
            <w:r>
              <w:rPr>
                <w:rFonts w:ascii="宋体" w:hAnsi="宋体"/>
                <w:color w:val="auto"/>
              </w:rPr>
              <w:t>圾</w:t>
            </w:r>
          </w:p>
          <w:p>
            <w:pPr>
              <w:pStyle w:val="1286"/>
              <w:rPr>
                <w:rFonts w:ascii="宋体" w:hAnsi="宋体"/>
                <w:color w:val="auto"/>
              </w:rPr>
            </w:pPr>
            <w:r>
              <w:rPr>
                <w:rFonts w:ascii="宋体" w:hAnsi="宋体"/>
                <w:color w:val="auto"/>
              </w:rPr>
              <w:t>等</w:t>
            </w:r>
          </w:p>
          <w:p>
            <w:pPr>
              <w:pStyle w:val="1286"/>
              <w:rPr>
                <w:rFonts w:ascii="宋体" w:hAnsi="宋体"/>
                <w:color w:val="auto"/>
              </w:rPr>
            </w:pPr>
            <w:r>
              <w:rPr>
                <w:rFonts w:ascii="宋体" w:hAnsi="宋体"/>
                <w:color w:val="auto"/>
              </w:rPr>
              <w:t>杂</w:t>
            </w:r>
          </w:p>
          <w:p>
            <w:pPr>
              <w:pStyle w:val="1286"/>
              <w:rPr>
                <w:rFonts w:ascii="宋体" w:hAnsi="宋体"/>
                <w:color w:val="auto"/>
              </w:rPr>
            </w:pPr>
            <w:r>
              <w:rPr>
                <w:rFonts w:ascii="宋体" w:hAnsi="宋体"/>
                <w:color w:val="auto"/>
              </w:rPr>
              <w:t>物</w:t>
            </w:r>
          </w:p>
          <w:p>
            <w:pPr>
              <w:pStyle w:val="1286"/>
              <w:rPr>
                <w:rFonts w:ascii="宋体" w:hAnsi="宋体"/>
                <w:color w:val="auto"/>
              </w:rPr>
            </w:pPr>
            <w:r>
              <w:rPr>
                <w:rFonts w:ascii="宋体" w:hAnsi="宋体"/>
                <w:color w:val="auto"/>
              </w:rPr>
              <w:t>、</w:t>
            </w:r>
          </w:p>
          <w:p>
            <w:pPr>
              <w:pStyle w:val="1286"/>
              <w:rPr>
                <w:rFonts w:ascii="宋体" w:hAnsi="宋体"/>
                <w:color w:val="auto"/>
              </w:rPr>
            </w:pPr>
            <w:r>
              <w:rPr>
                <w:rFonts w:ascii="宋体" w:hAnsi="宋体"/>
                <w:color w:val="auto"/>
              </w:rPr>
              <w:t>不</w:t>
            </w:r>
          </w:p>
          <w:p>
            <w:pPr>
              <w:pStyle w:val="1286"/>
              <w:rPr>
                <w:rFonts w:ascii="宋体" w:hAnsi="宋体"/>
                <w:color w:val="auto"/>
              </w:rPr>
            </w:pPr>
            <w:r>
              <w:rPr>
                <w:rFonts w:ascii="宋体" w:hAnsi="宋体"/>
                <w:color w:val="auto"/>
              </w:rPr>
              <w:t>得</w:t>
            </w:r>
          </w:p>
          <w:p>
            <w:pPr>
              <w:pStyle w:val="1286"/>
              <w:rPr>
                <w:rFonts w:ascii="宋体" w:hAnsi="宋体"/>
                <w:color w:val="auto"/>
              </w:rPr>
            </w:pPr>
            <w:r>
              <w:rPr>
                <w:rFonts w:ascii="宋体" w:hAnsi="宋体"/>
                <w:color w:val="auto"/>
              </w:rPr>
              <w:t>使</w:t>
            </w:r>
          </w:p>
          <w:p>
            <w:pPr>
              <w:pStyle w:val="1286"/>
              <w:rPr>
                <w:rFonts w:ascii="宋体" w:hAnsi="宋体"/>
                <w:color w:val="auto"/>
              </w:rPr>
            </w:pPr>
            <w:r>
              <w:rPr>
                <w:rFonts w:ascii="宋体" w:hAnsi="宋体"/>
                <w:color w:val="auto"/>
              </w:rPr>
              <w:t>用</w:t>
            </w:r>
          </w:p>
          <w:p>
            <w:pPr>
              <w:pStyle w:val="1286"/>
              <w:rPr>
                <w:rFonts w:ascii="宋体" w:hAnsi="宋体"/>
                <w:color w:val="auto"/>
              </w:rPr>
            </w:pPr>
            <w:r>
              <w:rPr>
                <w:rFonts w:ascii="宋体" w:hAnsi="宋体"/>
                <w:color w:val="auto"/>
              </w:rPr>
              <w:t>冻</w:t>
            </w:r>
          </w:p>
          <w:p>
            <w:pPr>
              <w:pStyle w:val="1286"/>
              <w:rPr>
                <w:rFonts w:ascii="宋体" w:hAnsi="宋体"/>
                <w:color w:val="auto"/>
              </w:rPr>
            </w:pPr>
            <w:r>
              <w:rPr>
                <w:rFonts w:ascii="宋体" w:hAnsi="宋体"/>
                <w:color w:val="auto"/>
              </w:rPr>
              <w:t>土</w:t>
            </w:r>
          </w:p>
        </w:tc>
        <w:tc>
          <w:tcPr>
            <w:tcW w:w="2818" w:type="dxa"/>
            <w:vAlign w:val="center"/>
          </w:tcPr>
          <w:p>
            <w:pPr>
              <w:pStyle w:val="1286"/>
              <w:rPr>
                <w:rFonts w:ascii="宋体" w:hAnsi="宋体"/>
                <w:color w:val="auto"/>
              </w:rPr>
            </w:pPr>
            <w:r>
              <w:rPr>
                <w:rFonts w:ascii="宋体" w:hAnsi="宋体"/>
                <w:color w:val="auto"/>
              </w:rPr>
              <w:t>用草皮、树枝、碎石护坡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1191" w:type="dxa"/>
            <w:vAlign w:val="center"/>
          </w:tcPr>
          <w:p>
            <w:pPr>
              <w:pStyle w:val="1286"/>
              <w:rPr>
                <w:rFonts w:ascii="宋体" w:hAnsi="宋体"/>
                <w:color w:val="auto"/>
              </w:rPr>
            </w:pPr>
            <w:r>
              <w:rPr>
                <w:rFonts w:ascii="宋体" w:hAnsi="宋体"/>
                <w:color w:val="auto"/>
              </w:rPr>
              <w:t>草土围堰</w:t>
            </w:r>
          </w:p>
        </w:tc>
        <w:tc>
          <w:tcPr>
            <w:tcW w:w="1141" w:type="dxa"/>
            <w:vAlign w:val="center"/>
          </w:tcPr>
          <w:p>
            <w:pPr>
              <w:pStyle w:val="1286"/>
              <w:rPr>
                <w:rFonts w:ascii="宋体" w:hAnsi="宋体"/>
                <w:color w:val="auto"/>
              </w:rPr>
            </w:pPr>
            <w:r>
              <w:rPr>
                <w:rFonts w:ascii="宋体" w:hAnsi="宋体"/>
                <w:color w:val="auto"/>
              </w:rPr>
              <w:t>1.5～2</w:t>
            </w:r>
          </w:p>
        </w:tc>
        <w:tc>
          <w:tcPr>
            <w:tcW w:w="979" w:type="dxa"/>
            <w:vAlign w:val="center"/>
          </w:tcPr>
          <w:p>
            <w:pPr>
              <w:pStyle w:val="1286"/>
              <w:rPr>
                <w:rFonts w:ascii="宋体" w:hAnsi="宋体"/>
                <w:color w:val="auto"/>
              </w:rPr>
            </w:pPr>
            <w:r>
              <w:rPr>
                <w:rFonts w:ascii="宋体" w:hAnsi="宋体"/>
                <w:color w:val="auto"/>
              </w:rPr>
              <w:t>1:1～1:3</w:t>
            </w:r>
          </w:p>
        </w:tc>
        <w:tc>
          <w:tcPr>
            <w:tcW w:w="900" w:type="dxa"/>
            <w:vAlign w:val="center"/>
          </w:tcPr>
          <w:p>
            <w:pPr>
              <w:pStyle w:val="1286"/>
              <w:rPr>
                <w:rFonts w:ascii="宋体" w:hAnsi="宋体"/>
                <w:color w:val="auto"/>
              </w:rPr>
            </w:pPr>
            <w:r>
              <w:rPr>
                <w:rFonts w:ascii="宋体" w:hAnsi="宋体"/>
                <w:color w:val="auto"/>
              </w:rPr>
              <w:t>&gt;1:2</w:t>
            </w:r>
          </w:p>
        </w:tc>
        <w:tc>
          <w:tcPr>
            <w:tcW w:w="974" w:type="dxa"/>
            <w:vAlign w:val="center"/>
          </w:tcPr>
          <w:p>
            <w:pPr>
              <w:pStyle w:val="1286"/>
              <w:rPr>
                <w:rFonts w:ascii="宋体" w:hAnsi="宋体"/>
                <w:color w:val="auto"/>
              </w:rPr>
            </w:pPr>
            <w:r>
              <w:rPr>
                <w:rFonts w:ascii="宋体" w:hAnsi="宋体"/>
                <w:color w:val="auto"/>
              </w:rPr>
              <w:t>0.5～0.7</w:t>
            </w:r>
          </w:p>
        </w:tc>
        <w:tc>
          <w:tcPr>
            <w:tcW w:w="461" w:type="dxa"/>
            <w:vMerge w:val="continue"/>
            <w:vAlign w:val="center"/>
          </w:tcPr>
          <w:p>
            <w:pPr>
              <w:pStyle w:val="1286"/>
              <w:rPr>
                <w:rFonts w:ascii="宋体" w:hAnsi="宋体"/>
                <w:color w:val="auto"/>
              </w:rPr>
            </w:pPr>
          </w:p>
        </w:tc>
        <w:tc>
          <w:tcPr>
            <w:tcW w:w="2818" w:type="dxa"/>
            <w:vAlign w:val="center"/>
          </w:tcPr>
          <w:p>
            <w:pPr>
              <w:pStyle w:val="1286"/>
              <w:rPr>
                <w:rFonts w:ascii="宋体" w:hAnsi="宋体"/>
                <w:color w:val="auto"/>
              </w:rPr>
            </w:pPr>
            <w:r>
              <w:rPr>
                <w:rFonts w:ascii="宋体" w:hAnsi="宋体"/>
                <w:color w:val="auto"/>
              </w:rPr>
              <w:t>草可用稻草、麦秸和杂草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1191" w:type="dxa"/>
            <w:vAlign w:val="center"/>
          </w:tcPr>
          <w:p>
            <w:pPr>
              <w:pStyle w:val="1286"/>
              <w:rPr>
                <w:rFonts w:ascii="宋体" w:hAnsi="宋体"/>
                <w:color w:val="auto"/>
              </w:rPr>
            </w:pPr>
            <w:r>
              <w:rPr>
                <w:rFonts w:ascii="宋体" w:hAnsi="宋体"/>
                <w:color w:val="auto"/>
              </w:rPr>
              <w:t>草捆土围堰</w:t>
            </w:r>
          </w:p>
        </w:tc>
        <w:tc>
          <w:tcPr>
            <w:tcW w:w="1141" w:type="dxa"/>
            <w:vAlign w:val="center"/>
          </w:tcPr>
          <w:p>
            <w:pPr>
              <w:pStyle w:val="1286"/>
              <w:rPr>
                <w:rFonts w:ascii="宋体" w:hAnsi="宋体"/>
                <w:color w:val="auto"/>
              </w:rPr>
            </w:pPr>
            <w:r>
              <w:rPr>
                <w:rFonts w:ascii="宋体" w:hAnsi="宋体"/>
                <w:color w:val="auto"/>
              </w:rPr>
              <w:t>(2.5～3)</w:t>
            </w:r>
          </w:p>
          <w:p>
            <w:pPr>
              <w:pStyle w:val="1286"/>
              <w:rPr>
                <w:rFonts w:ascii="宋体" w:hAnsi="宋体"/>
                <w:color w:val="auto"/>
              </w:rPr>
            </w:pPr>
            <w:r>
              <w:rPr>
                <w:rFonts w:ascii="宋体" w:hAnsi="宋体"/>
                <w:color w:val="auto"/>
              </w:rPr>
              <w:t>水深</w:t>
            </w:r>
          </w:p>
        </w:tc>
        <w:tc>
          <w:tcPr>
            <w:tcW w:w="979" w:type="dxa"/>
            <w:vAlign w:val="center"/>
          </w:tcPr>
          <w:p>
            <w:pPr>
              <w:pStyle w:val="1286"/>
              <w:rPr>
                <w:rFonts w:ascii="宋体" w:hAnsi="宋体"/>
                <w:color w:val="auto"/>
              </w:rPr>
            </w:pPr>
            <w:r>
              <w:rPr>
                <w:rFonts w:ascii="宋体" w:hAnsi="宋体"/>
                <w:color w:val="auto"/>
              </w:rPr>
              <w:t>1:0.2～1:0.5</w:t>
            </w:r>
          </w:p>
        </w:tc>
        <w:tc>
          <w:tcPr>
            <w:tcW w:w="900" w:type="dxa"/>
            <w:vAlign w:val="center"/>
          </w:tcPr>
          <w:p>
            <w:pPr>
              <w:pStyle w:val="1286"/>
              <w:rPr>
                <w:rFonts w:ascii="宋体" w:hAnsi="宋体"/>
                <w:color w:val="auto"/>
              </w:rPr>
            </w:pPr>
            <w:r>
              <w:rPr>
                <w:rFonts w:ascii="宋体" w:hAnsi="宋体"/>
                <w:color w:val="auto"/>
              </w:rPr>
              <w:t>1:0.2～1:0.5</w:t>
            </w:r>
          </w:p>
        </w:tc>
        <w:tc>
          <w:tcPr>
            <w:tcW w:w="974" w:type="dxa"/>
            <w:vAlign w:val="center"/>
          </w:tcPr>
          <w:p>
            <w:pPr>
              <w:pStyle w:val="1286"/>
              <w:rPr>
                <w:rFonts w:ascii="宋体" w:hAnsi="宋体"/>
                <w:color w:val="auto"/>
              </w:rPr>
            </w:pPr>
            <w:r>
              <w:rPr>
                <w:rFonts w:ascii="宋体" w:hAnsi="宋体"/>
                <w:color w:val="auto"/>
              </w:rPr>
              <w:t>1.0～1.5</w:t>
            </w:r>
          </w:p>
        </w:tc>
        <w:tc>
          <w:tcPr>
            <w:tcW w:w="461" w:type="dxa"/>
            <w:vMerge w:val="continue"/>
            <w:vAlign w:val="center"/>
          </w:tcPr>
          <w:p>
            <w:pPr>
              <w:pStyle w:val="1286"/>
              <w:rPr>
                <w:rFonts w:ascii="宋体" w:hAnsi="宋体"/>
                <w:color w:val="auto"/>
              </w:rPr>
            </w:pPr>
          </w:p>
        </w:tc>
        <w:tc>
          <w:tcPr>
            <w:tcW w:w="2818" w:type="dxa"/>
            <w:vAlign w:val="center"/>
          </w:tcPr>
          <w:p>
            <w:pPr>
              <w:pStyle w:val="1286"/>
              <w:rPr>
                <w:rFonts w:ascii="宋体" w:hAnsi="宋体"/>
                <w:color w:val="auto"/>
              </w:rPr>
            </w:pPr>
            <w:r>
              <w:rPr>
                <w:rFonts w:ascii="宋体" w:hAnsi="宋体"/>
                <w:color w:val="auto"/>
              </w:rPr>
              <w:t>草捆长：150～180cm</w:t>
            </w:r>
          </w:p>
          <w:p>
            <w:pPr>
              <w:pStyle w:val="1286"/>
              <w:rPr>
                <w:rFonts w:ascii="宋体" w:hAnsi="宋体"/>
                <w:color w:val="auto"/>
              </w:rPr>
            </w:pPr>
            <w:r>
              <w:rPr>
                <w:rFonts w:ascii="宋体" w:hAnsi="宋体"/>
                <w:color w:val="auto"/>
              </w:rPr>
              <w:t>直径：40～50cm</w:t>
            </w:r>
          </w:p>
          <w:p>
            <w:pPr>
              <w:pStyle w:val="1286"/>
              <w:rPr>
                <w:rFonts w:ascii="宋体" w:hAnsi="宋体"/>
                <w:color w:val="auto"/>
              </w:rPr>
            </w:pPr>
            <w:r>
              <w:rPr>
                <w:rFonts w:ascii="宋体" w:hAnsi="宋体"/>
                <w:color w:val="auto"/>
              </w:rPr>
              <w:t>草捆拉绳为麻绳，直径为2cm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1191" w:type="dxa"/>
            <w:vAlign w:val="center"/>
          </w:tcPr>
          <w:p>
            <w:pPr>
              <w:pStyle w:val="1286"/>
              <w:rPr>
                <w:rFonts w:ascii="宋体" w:hAnsi="宋体"/>
                <w:color w:val="auto"/>
              </w:rPr>
            </w:pPr>
            <w:r>
              <w:rPr>
                <w:rFonts w:ascii="宋体" w:hAnsi="宋体"/>
                <w:color w:val="auto"/>
              </w:rPr>
              <w:t>草（麻）袋围堰</w:t>
            </w:r>
          </w:p>
        </w:tc>
        <w:tc>
          <w:tcPr>
            <w:tcW w:w="1141" w:type="dxa"/>
            <w:vAlign w:val="center"/>
          </w:tcPr>
          <w:p>
            <w:pPr>
              <w:pStyle w:val="1286"/>
              <w:rPr>
                <w:rFonts w:ascii="宋体" w:hAnsi="宋体"/>
                <w:color w:val="auto"/>
              </w:rPr>
            </w:pPr>
            <w:r>
              <w:rPr>
                <w:rFonts w:ascii="宋体" w:hAnsi="宋体"/>
                <w:color w:val="auto"/>
              </w:rPr>
              <w:t>1.5～2</w:t>
            </w:r>
          </w:p>
        </w:tc>
        <w:tc>
          <w:tcPr>
            <w:tcW w:w="979" w:type="dxa"/>
            <w:vAlign w:val="center"/>
          </w:tcPr>
          <w:p>
            <w:pPr>
              <w:pStyle w:val="1286"/>
              <w:rPr>
                <w:rFonts w:ascii="宋体" w:hAnsi="宋体"/>
                <w:color w:val="auto"/>
              </w:rPr>
            </w:pPr>
            <w:r>
              <w:rPr>
                <w:rFonts w:ascii="宋体" w:hAnsi="宋体"/>
                <w:color w:val="auto"/>
              </w:rPr>
              <w:t>1:0.2～1:0.5</w:t>
            </w:r>
          </w:p>
        </w:tc>
        <w:tc>
          <w:tcPr>
            <w:tcW w:w="900" w:type="dxa"/>
            <w:vAlign w:val="center"/>
          </w:tcPr>
          <w:p>
            <w:pPr>
              <w:pStyle w:val="1286"/>
              <w:rPr>
                <w:rFonts w:ascii="宋体" w:hAnsi="宋体"/>
                <w:color w:val="auto"/>
              </w:rPr>
            </w:pPr>
            <w:r>
              <w:rPr>
                <w:rFonts w:ascii="宋体" w:hAnsi="宋体"/>
                <w:color w:val="auto"/>
              </w:rPr>
              <w:t>1:0.5～1:1</w:t>
            </w:r>
          </w:p>
        </w:tc>
        <w:tc>
          <w:tcPr>
            <w:tcW w:w="974" w:type="dxa"/>
            <w:vAlign w:val="center"/>
          </w:tcPr>
          <w:p>
            <w:pPr>
              <w:pStyle w:val="1286"/>
              <w:rPr>
                <w:rFonts w:ascii="宋体" w:hAnsi="宋体"/>
                <w:color w:val="auto"/>
              </w:rPr>
            </w:pPr>
            <w:r>
              <w:rPr>
                <w:rFonts w:ascii="宋体" w:hAnsi="宋体"/>
                <w:color w:val="auto"/>
              </w:rPr>
              <w:t>0.5～0.7</w:t>
            </w:r>
          </w:p>
        </w:tc>
        <w:tc>
          <w:tcPr>
            <w:tcW w:w="461" w:type="dxa"/>
            <w:vMerge w:val="continue"/>
            <w:vAlign w:val="center"/>
          </w:tcPr>
          <w:p>
            <w:pPr>
              <w:pStyle w:val="1286"/>
              <w:rPr>
                <w:rFonts w:ascii="宋体" w:hAnsi="宋体"/>
                <w:color w:val="auto"/>
              </w:rPr>
            </w:pPr>
          </w:p>
        </w:tc>
        <w:tc>
          <w:tcPr>
            <w:tcW w:w="2818" w:type="dxa"/>
            <w:vAlign w:val="center"/>
          </w:tcPr>
          <w:p>
            <w:pPr>
              <w:pStyle w:val="1286"/>
              <w:rPr>
                <w:rFonts w:ascii="宋体" w:hAnsi="宋体"/>
                <w:color w:val="auto"/>
              </w:rPr>
            </w:pPr>
            <w:r>
              <w:rPr>
                <w:rFonts w:ascii="宋体" w:hAnsi="宋体"/>
                <w:color w:val="auto"/>
              </w:rPr>
              <w:t>草（麻）袋装土2/3，袋口缝合，不得漏土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1191" w:type="dxa"/>
            <w:vAlign w:val="center"/>
          </w:tcPr>
          <w:p>
            <w:pPr>
              <w:pStyle w:val="1286"/>
              <w:rPr>
                <w:rFonts w:ascii="宋体" w:hAnsi="宋体"/>
                <w:color w:val="auto"/>
              </w:rPr>
            </w:pPr>
            <w:r>
              <w:rPr>
                <w:rFonts w:ascii="宋体" w:hAnsi="宋体"/>
                <w:color w:val="auto"/>
              </w:rPr>
              <w:t>堆石土围堰</w:t>
            </w:r>
          </w:p>
        </w:tc>
        <w:tc>
          <w:tcPr>
            <w:tcW w:w="1141" w:type="dxa"/>
            <w:vAlign w:val="center"/>
          </w:tcPr>
          <w:p>
            <w:pPr>
              <w:pStyle w:val="1286"/>
              <w:rPr>
                <w:rFonts w:ascii="宋体" w:hAnsi="宋体"/>
                <w:color w:val="auto"/>
              </w:rPr>
            </w:pPr>
            <w:r>
              <w:rPr>
                <w:rFonts w:ascii="宋体" w:hAnsi="宋体"/>
                <w:color w:val="auto"/>
              </w:rPr>
              <w:t>≥1.5</w:t>
            </w:r>
          </w:p>
        </w:tc>
        <w:tc>
          <w:tcPr>
            <w:tcW w:w="979" w:type="dxa"/>
            <w:vAlign w:val="center"/>
          </w:tcPr>
          <w:p>
            <w:pPr>
              <w:pStyle w:val="1286"/>
              <w:rPr>
                <w:rFonts w:ascii="宋体" w:hAnsi="宋体"/>
                <w:color w:val="auto"/>
              </w:rPr>
            </w:pPr>
            <w:r>
              <w:rPr>
                <w:rFonts w:ascii="宋体" w:hAnsi="宋体"/>
                <w:color w:val="auto"/>
              </w:rPr>
              <w:t>1:0.5～1:1</w:t>
            </w:r>
          </w:p>
        </w:tc>
        <w:tc>
          <w:tcPr>
            <w:tcW w:w="900" w:type="dxa"/>
            <w:vAlign w:val="center"/>
          </w:tcPr>
          <w:p>
            <w:pPr>
              <w:pStyle w:val="1286"/>
              <w:rPr>
                <w:rFonts w:ascii="宋体" w:hAnsi="宋体"/>
                <w:color w:val="auto"/>
              </w:rPr>
            </w:pPr>
            <w:r>
              <w:rPr>
                <w:rFonts w:ascii="宋体" w:hAnsi="宋体"/>
                <w:color w:val="auto"/>
              </w:rPr>
              <w:t>1:0.2～1:0.5</w:t>
            </w:r>
          </w:p>
        </w:tc>
        <w:tc>
          <w:tcPr>
            <w:tcW w:w="974" w:type="dxa"/>
            <w:vAlign w:val="center"/>
          </w:tcPr>
          <w:p>
            <w:pPr>
              <w:pStyle w:val="1286"/>
              <w:rPr>
                <w:rFonts w:ascii="宋体" w:hAnsi="宋体"/>
                <w:color w:val="auto"/>
              </w:rPr>
            </w:pPr>
            <w:r>
              <w:rPr>
                <w:rFonts w:ascii="宋体" w:hAnsi="宋体"/>
                <w:color w:val="auto"/>
              </w:rPr>
              <w:t>0.5～0.7</w:t>
            </w:r>
          </w:p>
        </w:tc>
        <w:tc>
          <w:tcPr>
            <w:tcW w:w="461" w:type="dxa"/>
            <w:vMerge w:val="continue"/>
            <w:vAlign w:val="center"/>
          </w:tcPr>
          <w:p>
            <w:pPr>
              <w:pStyle w:val="1286"/>
              <w:rPr>
                <w:rFonts w:ascii="宋体" w:hAnsi="宋体"/>
                <w:color w:val="auto"/>
              </w:rPr>
            </w:pPr>
          </w:p>
        </w:tc>
        <w:tc>
          <w:tcPr>
            <w:tcW w:w="2818" w:type="dxa"/>
            <w:vAlign w:val="center"/>
          </w:tcPr>
          <w:p>
            <w:pPr>
              <w:pStyle w:val="1286"/>
              <w:rPr>
                <w:rFonts w:ascii="宋体" w:hAnsi="宋体"/>
                <w:color w:val="auto"/>
              </w:rPr>
            </w:pPr>
            <w:r>
              <w:rPr>
                <w:rFonts w:ascii="宋体" w:hAnsi="宋体"/>
                <w:color w:val="auto"/>
              </w:rPr>
              <w:t>使用就地河沟中的大块碎石、卵石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1191" w:type="dxa"/>
            <w:vAlign w:val="center"/>
          </w:tcPr>
          <w:p>
            <w:pPr>
              <w:pStyle w:val="1286"/>
              <w:rPr>
                <w:rFonts w:ascii="宋体" w:hAnsi="宋体"/>
                <w:color w:val="auto"/>
              </w:rPr>
            </w:pPr>
            <w:r>
              <w:rPr>
                <w:rFonts w:ascii="宋体" w:hAnsi="宋体"/>
                <w:color w:val="auto"/>
              </w:rPr>
              <w:t>石笼土围堰</w:t>
            </w:r>
          </w:p>
        </w:tc>
        <w:tc>
          <w:tcPr>
            <w:tcW w:w="1141" w:type="dxa"/>
            <w:vAlign w:val="center"/>
          </w:tcPr>
          <w:p>
            <w:pPr>
              <w:pStyle w:val="1286"/>
              <w:rPr>
                <w:rFonts w:ascii="宋体" w:hAnsi="宋体"/>
                <w:color w:val="auto"/>
              </w:rPr>
            </w:pPr>
            <w:r>
              <w:rPr>
                <w:rFonts w:ascii="宋体" w:hAnsi="宋体"/>
                <w:color w:val="auto"/>
              </w:rPr>
              <w:t>≥1.5</w:t>
            </w:r>
          </w:p>
        </w:tc>
        <w:tc>
          <w:tcPr>
            <w:tcW w:w="979" w:type="dxa"/>
            <w:vAlign w:val="center"/>
          </w:tcPr>
          <w:p>
            <w:pPr>
              <w:pStyle w:val="1286"/>
              <w:rPr>
                <w:rFonts w:ascii="宋体" w:hAnsi="宋体"/>
                <w:color w:val="auto"/>
              </w:rPr>
            </w:pPr>
            <w:r>
              <w:rPr>
                <w:rFonts w:ascii="宋体" w:hAnsi="宋体"/>
                <w:color w:val="auto"/>
              </w:rPr>
              <w:t>1:1.5</w:t>
            </w:r>
          </w:p>
        </w:tc>
        <w:tc>
          <w:tcPr>
            <w:tcW w:w="900" w:type="dxa"/>
            <w:vAlign w:val="center"/>
          </w:tcPr>
          <w:p>
            <w:pPr>
              <w:pStyle w:val="1286"/>
              <w:rPr>
                <w:rFonts w:ascii="宋体" w:hAnsi="宋体"/>
                <w:color w:val="auto"/>
              </w:rPr>
            </w:pPr>
            <w:r>
              <w:rPr>
                <w:rFonts w:ascii="宋体" w:hAnsi="宋体"/>
                <w:color w:val="auto"/>
              </w:rPr>
              <w:t>1:1</w:t>
            </w:r>
          </w:p>
        </w:tc>
        <w:tc>
          <w:tcPr>
            <w:tcW w:w="974" w:type="dxa"/>
            <w:vAlign w:val="center"/>
          </w:tcPr>
          <w:p>
            <w:pPr>
              <w:pStyle w:val="1286"/>
              <w:rPr>
                <w:rFonts w:ascii="宋体" w:hAnsi="宋体"/>
                <w:color w:val="auto"/>
              </w:rPr>
            </w:pPr>
            <w:r>
              <w:rPr>
                <w:rFonts w:ascii="宋体" w:hAnsi="宋体"/>
                <w:color w:val="auto"/>
              </w:rPr>
              <w:t>0.5～0.7</w:t>
            </w:r>
          </w:p>
        </w:tc>
        <w:tc>
          <w:tcPr>
            <w:tcW w:w="461" w:type="dxa"/>
            <w:vMerge w:val="continue"/>
            <w:vAlign w:val="center"/>
          </w:tcPr>
          <w:p>
            <w:pPr>
              <w:pStyle w:val="1286"/>
              <w:rPr>
                <w:rFonts w:ascii="宋体" w:hAnsi="宋体"/>
                <w:color w:val="auto"/>
              </w:rPr>
            </w:pPr>
          </w:p>
        </w:tc>
        <w:tc>
          <w:tcPr>
            <w:tcW w:w="2818" w:type="dxa"/>
            <w:vAlign w:val="center"/>
          </w:tcPr>
          <w:p>
            <w:pPr>
              <w:pStyle w:val="1286"/>
              <w:rPr>
                <w:rFonts w:ascii="宋体" w:hAnsi="宋体"/>
                <w:color w:val="auto"/>
              </w:rPr>
            </w:pPr>
            <w:r>
              <w:rPr>
                <w:rFonts w:ascii="宋体" w:hAnsi="宋体"/>
                <w:color w:val="auto"/>
              </w:rPr>
              <w:t>竹笼常用直径0.4～0.6m，长1.5～6.0m，内装碎石</w:t>
            </w:r>
          </w:p>
        </w:tc>
      </w:tr>
    </w:tbl>
    <w:p>
      <w:pPr>
        <w:pStyle w:val="1280"/>
        <w:rPr>
          <w:rFonts w:ascii="宋体"/>
        </w:rPr>
      </w:pPr>
      <w:r>
        <w:rPr>
          <w:rFonts w:ascii="宋体"/>
        </w:rPr>
        <w:t>堰顶高程应根据度汛洪水标准、波浪爬高和安全超高等要求综合确定，并应应留有临时加高的余地。承包商应在围堰附近准备临时加高用的粘性土及草(麻)袋。</w:t>
      </w:r>
    </w:p>
    <w:p>
      <w:pPr>
        <w:pStyle w:val="1284"/>
        <w:rPr>
          <w:rFonts w:ascii="宋体" w:hAnsi="宋体"/>
        </w:rPr>
      </w:pPr>
      <w:bookmarkStart w:id="1828" w:name="_Toc385007634"/>
      <w:bookmarkStart w:id="1829" w:name="_Toc385008430"/>
      <w:bookmarkStart w:id="1830" w:name="_Toc385012592"/>
      <w:bookmarkStart w:id="1831" w:name="_Toc395408057"/>
      <w:bookmarkStart w:id="1832" w:name="_Toc395412731"/>
      <w:bookmarkStart w:id="1833" w:name="_Toc398083735"/>
      <w:bookmarkStart w:id="1834" w:name="_Toc398453560"/>
      <w:bookmarkStart w:id="1835" w:name="_Toc398523360"/>
      <w:bookmarkStart w:id="1836" w:name="_Toc16242341"/>
      <w:bookmarkStart w:id="1837" w:name="_Toc43107520"/>
      <w:bookmarkStart w:id="1838" w:name="_Toc164502095"/>
      <w:bookmarkStart w:id="1839" w:name="_Toc512530587"/>
      <w:bookmarkStart w:id="1840" w:name="_Toc518376556"/>
      <w:bookmarkStart w:id="1841" w:name="_Toc521491877"/>
      <w:bookmarkStart w:id="1842" w:name="_Toc521492734"/>
      <w:bookmarkStart w:id="1843" w:name="_Toc521493408"/>
      <w:bookmarkStart w:id="1844" w:name="_Toc106883060"/>
      <w:r>
        <w:rPr>
          <w:rFonts w:ascii="宋体" w:hAnsi="宋体"/>
        </w:rPr>
        <w:t>2.8.2 围堰填筑</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1288"/>
        <w:outlineLvl w:val="0"/>
        <w:rPr>
          <w:rFonts w:ascii="宋体" w:hAnsi="宋体"/>
          <w:color w:val="auto"/>
        </w:rPr>
      </w:pPr>
      <w:bookmarkStart w:id="1845" w:name="_Toc164502096"/>
      <w:bookmarkStart w:id="1846" w:name="_Toc275175255"/>
      <w:bookmarkStart w:id="1847" w:name="_Toc311124566"/>
      <w:bookmarkStart w:id="1848" w:name="_Toc353976319"/>
      <w:bookmarkStart w:id="1849" w:name="_Toc106049798"/>
      <w:bookmarkStart w:id="1850" w:name="_Toc106883061"/>
      <w:r>
        <w:rPr>
          <w:rFonts w:ascii="宋体" w:hAnsi="宋体"/>
          <w:color w:val="auto"/>
        </w:rPr>
        <w:t>2.8.2.1 基本要求</w:t>
      </w:r>
      <w:bookmarkEnd w:id="1845"/>
      <w:bookmarkEnd w:id="1846"/>
      <w:bookmarkEnd w:id="1847"/>
      <w:bookmarkEnd w:id="1848"/>
      <w:bookmarkEnd w:id="1849"/>
      <w:bookmarkEnd w:id="1850"/>
    </w:p>
    <w:p>
      <w:pPr>
        <w:pStyle w:val="1280"/>
        <w:rPr>
          <w:rFonts w:ascii="宋体"/>
        </w:rPr>
      </w:pPr>
      <w:r>
        <w:rPr>
          <w:rFonts w:ascii="宋体"/>
        </w:rPr>
        <w:t>承包商在土、草(麻)围堰填筑前，应清除堰体处河底、沟渠底表面淤泥及杂物。</w:t>
      </w:r>
    </w:p>
    <w:p>
      <w:pPr>
        <w:pStyle w:val="1280"/>
        <w:rPr>
          <w:rFonts w:ascii="宋体"/>
        </w:rPr>
      </w:pPr>
      <w:r>
        <w:rPr>
          <w:rFonts w:ascii="宋体"/>
        </w:rPr>
        <w:t>围堰的结构和施工，应保证其可靠的稳定性、坚固性和不透水性。</w:t>
      </w:r>
    </w:p>
    <w:p>
      <w:pPr>
        <w:pStyle w:val="1280"/>
        <w:rPr>
          <w:rFonts w:ascii="宋体"/>
        </w:rPr>
      </w:pPr>
      <w:r>
        <w:rPr>
          <w:rFonts w:ascii="宋体"/>
        </w:rPr>
        <w:t>防止围堰基础与围堰本身的土壤发生管涌现象。</w:t>
      </w:r>
    </w:p>
    <w:p>
      <w:pPr>
        <w:pStyle w:val="1280"/>
        <w:rPr>
          <w:rFonts w:ascii="宋体"/>
        </w:rPr>
      </w:pPr>
      <w:r>
        <w:rPr>
          <w:rFonts w:ascii="宋体"/>
        </w:rPr>
        <w:t>施工图的围堰的基槽边界之间，应当留有足够的距离，堰内脚至基坑顶边的间距不应小于5米，便于排水、开挖、出土的需要。</w:t>
      </w:r>
    </w:p>
    <w:p>
      <w:pPr>
        <w:pStyle w:val="1280"/>
        <w:rPr>
          <w:rFonts w:ascii="宋体"/>
        </w:rPr>
      </w:pPr>
      <w:r>
        <w:rPr>
          <w:rFonts w:ascii="宋体"/>
        </w:rPr>
        <w:t>决定堰顶高程时，应考虑波浪、壅高和围堰的沉陷，围堰的超高一般在0.5～1.0m以上。</w:t>
      </w:r>
    </w:p>
    <w:p>
      <w:pPr>
        <w:pStyle w:val="1280"/>
        <w:rPr>
          <w:rFonts w:ascii="宋体"/>
        </w:rPr>
      </w:pPr>
      <w:r>
        <w:rPr>
          <w:rFonts w:ascii="宋体"/>
        </w:rPr>
        <w:t>围堰的构造应当简单，能迅速进行施工、修理和拆除并符合就地取材的原则。</w:t>
      </w:r>
    </w:p>
    <w:p>
      <w:pPr>
        <w:pStyle w:val="1280"/>
        <w:rPr>
          <w:rFonts w:ascii="宋体"/>
        </w:rPr>
      </w:pPr>
      <w:r>
        <w:rPr>
          <w:rFonts w:ascii="宋体"/>
        </w:rPr>
        <w:t>围堰布置时，应采取防止水流冲刷围堰的措施。</w:t>
      </w:r>
    </w:p>
    <w:p>
      <w:pPr>
        <w:pStyle w:val="1280"/>
        <w:rPr>
          <w:rFonts w:ascii="宋体"/>
        </w:rPr>
      </w:pPr>
      <w:r>
        <w:rPr>
          <w:rFonts w:ascii="宋体"/>
        </w:rPr>
        <w:t>在通航河道上的围堰布置要满足航行的条件特别是航行对河道水流流速的要求。</w:t>
      </w:r>
    </w:p>
    <w:p>
      <w:pPr>
        <w:pStyle w:val="1288"/>
        <w:outlineLvl w:val="0"/>
        <w:rPr>
          <w:rFonts w:ascii="宋体" w:hAnsi="宋体"/>
          <w:color w:val="auto"/>
        </w:rPr>
      </w:pPr>
      <w:bookmarkStart w:id="1851" w:name="_Toc164502097"/>
      <w:bookmarkStart w:id="1852" w:name="_Toc275175256"/>
      <w:bookmarkStart w:id="1853" w:name="_Toc311124567"/>
      <w:bookmarkStart w:id="1854" w:name="_Toc353976320"/>
      <w:bookmarkStart w:id="1855" w:name="_Toc106049799"/>
      <w:bookmarkStart w:id="1856" w:name="_Toc106883062"/>
      <w:r>
        <w:rPr>
          <w:rFonts w:ascii="宋体" w:hAnsi="宋体"/>
          <w:color w:val="auto"/>
        </w:rPr>
        <w:t>2.8.2.2 施工要点</w:t>
      </w:r>
      <w:bookmarkEnd w:id="1851"/>
      <w:bookmarkEnd w:id="1852"/>
      <w:bookmarkEnd w:id="1853"/>
      <w:bookmarkEnd w:id="1854"/>
      <w:bookmarkEnd w:id="1855"/>
      <w:bookmarkEnd w:id="1856"/>
    </w:p>
    <w:p>
      <w:pPr>
        <w:pStyle w:val="1280"/>
        <w:rPr>
          <w:rFonts w:ascii="宋体"/>
        </w:rPr>
      </w:pPr>
      <w:r>
        <w:rPr>
          <w:rFonts w:ascii="宋体"/>
        </w:rPr>
        <w:t>1、围堰和草（麻）袋围堰</w:t>
      </w:r>
    </w:p>
    <w:p>
      <w:pPr>
        <w:pStyle w:val="1280"/>
        <w:rPr>
          <w:rFonts w:ascii="宋体"/>
        </w:rPr>
      </w:pPr>
      <w:r>
        <w:rPr>
          <w:rFonts w:ascii="宋体"/>
        </w:rPr>
        <w:t>1）土围堰是直接将土抛入水中填筑，水下部分不可能立刻加以压实，因而渗透曲线位置很高，为了避免背水面滑坡，常用堆石或草袋填筑排水棱体。</w:t>
      </w:r>
    </w:p>
    <w:p>
      <w:pPr>
        <w:pStyle w:val="1280"/>
        <w:rPr>
          <w:rFonts w:ascii="宋体"/>
        </w:rPr>
      </w:pPr>
      <w:r>
        <w:rPr>
          <w:rFonts w:ascii="宋体"/>
        </w:rPr>
        <w:t>2）装土草（麻）袋围堰的草袋装土仅装满2/3，以便叠筑稳固。</w:t>
      </w:r>
    </w:p>
    <w:p>
      <w:pPr>
        <w:pStyle w:val="1280"/>
        <w:rPr>
          <w:rFonts w:ascii="宋体"/>
        </w:rPr>
      </w:pPr>
      <w:r>
        <w:rPr>
          <w:rFonts w:ascii="宋体"/>
        </w:rPr>
        <w:t>3）装土草（麻）袋中间填粘土，不得含有石块、垃圾、木料等杂物。</w:t>
      </w:r>
    </w:p>
    <w:p>
      <w:pPr>
        <w:pStyle w:val="1280"/>
        <w:rPr>
          <w:rFonts w:ascii="宋体"/>
        </w:rPr>
      </w:pPr>
      <w:r>
        <w:rPr>
          <w:rFonts w:ascii="宋体"/>
        </w:rPr>
        <w:t>4）土袋堆码时应平整密实，相互错缝压盖。</w:t>
      </w:r>
    </w:p>
    <w:p>
      <w:pPr>
        <w:pStyle w:val="1280"/>
        <w:rPr>
          <w:rFonts w:ascii="宋体"/>
        </w:rPr>
      </w:pPr>
      <w:r>
        <w:rPr>
          <w:rFonts w:ascii="宋体"/>
        </w:rPr>
        <w:t>5）土、草(麻)袋围堰填筑出水面后，或干筑土围堰时，填土应分层压实。</w:t>
      </w:r>
    </w:p>
    <w:p>
      <w:pPr>
        <w:pStyle w:val="1280"/>
        <w:rPr>
          <w:rFonts w:ascii="宋体"/>
        </w:rPr>
      </w:pPr>
      <w:r>
        <w:rPr>
          <w:rFonts w:ascii="宋体"/>
        </w:rPr>
        <w:t>2、堆石土围堰是在河流速稍大情况下填筑起来的，填筑时要考虑拆除措施。</w:t>
      </w:r>
    </w:p>
    <w:p>
      <w:pPr>
        <w:pStyle w:val="1280"/>
        <w:rPr>
          <w:rFonts w:ascii="宋体"/>
        </w:rPr>
      </w:pPr>
      <w:r>
        <w:rPr>
          <w:rFonts w:ascii="宋体"/>
        </w:rPr>
        <w:t>3、草土围堰</w:t>
      </w:r>
    </w:p>
    <w:p>
      <w:pPr>
        <w:pStyle w:val="1280"/>
        <w:rPr>
          <w:rFonts w:ascii="宋体"/>
        </w:rPr>
      </w:pPr>
      <w:r>
        <w:rPr>
          <w:rFonts w:ascii="宋体"/>
        </w:rPr>
        <w:t>1）为了防止滑坡和渗漏，围堰堰身转弯处要特别仔细施工。应保持围堰头与围堰中心线相垂直关系，压草时，外围多压草捆，内围攻少压。</w:t>
      </w:r>
    </w:p>
    <w:p>
      <w:pPr>
        <w:pStyle w:val="1280"/>
        <w:rPr>
          <w:rFonts w:ascii="宋体"/>
        </w:rPr>
      </w:pPr>
      <w:r>
        <w:rPr>
          <w:rFonts w:ascii="宋体"/>
        </w:rPr>
        <w:t>2）压草层数随水深增加，当水深在1.5～6m的范围内，压草的层数变化在2～10层之间。</w:t>
      </w:r>
    </w:p>
    <w:p>
      <w:pPr>
        <w:pStyle w:val="1280"/>
        <w:rPr>
          <w:rFonts w:ascii="宋体"/>
        </w:rPr>
      </w:pPr>
      <w:r>
        <w:rPr>
          <w:rFonts w:ascii="宋体"/>
        </w:rPr>
        <w:t>3）压草原则是使草绳的位置与方向能有效地抵抗外力作用，使草捆稳定并连系牢固。</w:t>
      </w:r>
    </w:p>
    <w:p>
      <w:pPr>
        <w:pStyle w:val="1280"/>
        <w:rPr>
          <w:rFonts w:ascii="宋体"/>
        </w:rPr>
      </w:pPr>
      <w:r>
        <w:rPr>
          <w:rFonts w:ascii="宋体"/>
        </w:rPr>
        <w:t>4）铺土应均匀，土层厚为30～40cm，利用土重，慢慢将草捆压至水底。</w:t>
      </w:r>
    </w:p>
    <w:p>
      <w:pPr>
        <w:pStyle w:val="1280"/>
        <w:rPr>
          <w:rFonts w:ascii="宋体"/>
        </w:rPr>
      </w:pPr>
      <w:r>
        <w:rPr>
          <w:rFonts w:ascii="宋体"/>
        </w:rPr>
        <w:t>5）当堰身高于水面后，必须夯实。打夯地点要离开前面围堰头2m，以免将草绳打断，发生脱节事故。</w:t>
      </w:r>
    </w:p>
    <w:p>
      <w:pPr>
        <w:pStyle w:val="1280"/>
        <w:rPr>
          <w:rFonts w:ascii="宋体"/>
        </w:rPr>
      </w:pPr>
      <w:r>
        <w:rPr>
          <w:rFonts w:ascii="宋体"/>
        </w:rPr>
        <w:t>为避免大量渗水，可考虑在堰体内侧增设反滤层，外侧迎水面局部采取帷幕注浆防水措施。</w:t>
      </w:r>
    </w:p>
    <w:p>
      <w:pPr>
        <w:pStyle w:val="1288"/>
        <w:outlineLvl w:val="0"/>
        <w:rPr>
          <w:rFonts w:ascii="宋体" w:hAnsi="宋体"/>
          <w:color w:val="auto"/>
        </w:rPr>
      </w:pPr>
      <w:bookmarkStart w:id="1857" w:name="_Toc43107521"/>
      <w:bookmarkStart w:id="1858" w:name="_Toc164502098"/>
      <w:bookmarkStart w:id="1859" w:name="_Toc275175257"/>
      <w:bookmarkStart w:id="1860" w:name="_Toc311124568"/>
      <w:bookmarkStart w:id="1861" w:name="_Toc353976321"/>
      <w:bookmarkStart w:id="1862" w:name="_Toc106049800"/>
      <w:bookmarkStart w:id="1863" w:name="_Toc106883063"/>
      <w:r>
        <w:rPr>
          <w:rFonts w:ascii="宋体" w:hAnsi="宋体"/>
          <w:color w:val="auto"/>
        </w:rPr>
        <w:t>2.8.2.3 板桩围堰施工</w:t>
      </w:r>
      <w:bookmarkEnd w:id="1857"/>
      <w:bookmarkEnd w:id="1858"/>
      <w:bookmarkEnd w:id="1859"/>
      <w:bookmarkEnd w:id="1860"/>
      <w:bookmarkEnd w:id="1861"/>
      <w:bookmarkEnd w:id="1862"/>
      <w:bookmarkEnd w:id="1863"/>
    </w:p>
    <w:p>
      <w:pPr>
        <w:pStyle w:val="1280"/>
        <w:rPr>
          <w:rFonts w:ascii="宋体"/>
        </w:rPr>
      </w:pPr>
      <w:bookmarkStart w:id="1864" w:name="_Toc275175258"/>
      <w:r>
        <w:rPr>
          <w:rFonts w:ascii="宋体"/>
        </w:rPr>
        <w:t>1. 施工要点木、钢板桩围堰的施工要求见表2-8-3（不限与此）</w:t>
      </w:r>
      <w:bookmarkEnd w:id="1864"/>
      <w:r>
        <w:rPr>
          <w:rFonts w:ascii="宋体"/>
        </w:rPr>
        <w:t xml:space="preserve">           </w:t>
      </w:r>
    </w:p>
    <w:p>
      <w:pPr>
        <w:pStyle w:val="1286"/>
        <w:jc w:val="center"/>
        <w:rPr>
          <w:rFonts w:ascii="宋体" w:hAnsi="宋体"/>
          <w:color w:val="auto"/>
        </w:rPr>
      </w:pPr>
      <w:r>
        <w:rPr>
          <w:rFonts w:ascii="宋体" w:hAnsi="宋体"/>
          <w:color w:val="auto"/>
        </w:rPr>
        <w:t>木、钢板桩围堰施工要求表               表2-8-3</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1074"/>
        <w:gridCol w:w="820"/>
        <w:gridCol w:w="798"/>
        <w:gridCol w:w="1437"/>
        <w:gridCol w:w="2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367" w:type="dxa"/>
            <w:vMerge w:val="restart"/>
            <w:vAlign w:val="center"/>
          </w:tcPr>
          <w:p>
            <w:pPr>
              <w:pStyle w:val="1286"/>
              <w:rPr>
                <w:rFonts w:ascii="宋体" w:hAnsi="宋体"/>
                <w:color w:val="auto"/>
              </w:rPr>
            </w:pPr>
            <w:r>
              <w:rPr>
                <w:rFonts w:ascii="宋体" w:hAnsi="宋体"/>
                <w:color w:val="auto"/>
              </w:rPr>
              <w:t>围堰类型</w:t>
            </w:r>
          </w:p>
        </w:tc>
        <w:tc>
          <w:tcPr>
            <w:tcW w:w="2692" w:type="dxa"/>
            <w:gridSpan w:val="3"/>
            <w:vAlign w:val="center"/>
          </w:tcPr>
          <w:p>
            <w:pPr>
              <w:pStyle w:val="1286"/>
              <w:rPr>
                <w:rFonts w:ascii="宋体" w:hAnsi="宋体"/>
                <w:color w:val="auto"/>
              </w:rPr>
            </w:pPr>
            <w:r>
              <w:rPr>
                <w:rFonts w:ascii="宋体" w:hAnsi="宋体"/>
                <w:color w:val="auto"/>
              </w:rPr>
              <w:t>断  面  尺  寸</w:t>
            </w:r>
          </w:p>
        </w:tc>
        <w:tc>
          <w:tcPr>
            <w:tcW w:w="1437" w:type="dxa"/>
            <w:vMerge w:val="restart"/>
            <w:vAlign w:val="center"/>
          </w:tcPr>
          <w:p>
            <w:pPr>
              <w:pStyle w:val="1286"/>
              <w:rPr>
                <w:rFonts w:ascii="宋体" w:hAnsi="宋体"/>
                <w:color w:val="auto"/>
              </w:rPr>
            </w:pPr>
            <w:r>
              <w:rPr>
                <w:rFonts w:ascii="宋体" w:hAnsi="宋体"/>
                <w:color w:val="auto"/>
              </w:rPr>
              <w:t>堰顶高于施工期最高水位数量（m）</w:t>
            </w:r>
          </w:p>
        </w:tc>
        <w:tc>
          <w:tcPr>
            <w:tcW w:w="2712" w:type="dxa"/>
            <w:vMerge w:val="restart"/>
            <w:vAlign w:val="center"/>
          </w:tcPr>
          <w:p>
            <w:pPr>
              <w:pStyle w:val="1286"/>
              <w:rPr>
                <w:rFonts w:ascii="宋体" w:hAnsi="宋体"/>
                <w:color w:val="auto"/>
              </w:rPr>
            </w:pPr>
            <w:r>
              <w:rPr>
                <w:rFonts w:ascii="宋体" w:hAnsi="宋体"/>
                <w:color w:val="auto"/>
              </w:rPr>
              <w:t>材  料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67" w:type="dxa"/>
            <w:vMerge w:val="continue"/>
            <w:vAlign w:val="center"/>
          </w:tcPr>
          <w:p>
            <w:pPr>
              <w:pStyle w:val="1286"/>
              <w:rPr>
                <w:rFonts w:ascii="宋体" w:hAnsi="宋体"/>
                <w:color w:val="auto"/>
              </w:rPr>
            </w:pPr>
          </w:p>
        </w:tc>
        <w:tc>
          <w:tcPr>
            <w:tcW w:w="1074" w:type="dxa"/>
            <w:vMerge w:val="restart"/>
            <w:vAlign w:val="center"/>
          </w:tcPr>
          <w:p>
            <w:pPr>
              <w:pStyle w:val="1286"/>
              <w:rPr>
                <w:rFonts w:ascii="宋体" w:hAnsi="宋体"/>
                <w:color w:val="auto"/>
              </w:rPr>
            </w:pPr>
            <w:r>
              <w:rPr>
                <w:rFonts w:ascii="宋体" w:hAnsi="宋体"/>
                <w:color w:val="auto"/>
              </w:rPr>
              <w:t>堰顶宽（m）</w:t>
            </w:r>
          </w:p>
        </w:tc>
        <w:tc>
          <w:tcPr>
            <w:tcW w:w="1618" w:type="dxa"/>
            <w:gridSpan w:val="2"/>
            <w:vAlign w:val="center"/>
          </w:tcPr>
          <w:p>
            <w:pPr>
              <w:pStyle w:val="1286"/>
              <w:rPr>
                <w:rFonts w:ascii="宋体" w:hAnsi="宋体"/>
                <w:color w:val="auto"/>
              </w:rPr>
            </w:pPr>
            <w:r>
              <w:rPr>
                <w:rFonts w:ascii="宋体" w:hAnsi="宋体"/>
                <w:color w:val="auto"/>
              </w:rPr>
              <w:t>边坡坡度</w:t>
            </w:r>
          </w:p>
        </w:tc>
        <w:tc>
          <w:tcPr>
            <w:tcW w:w="1437" w:type="dxa"/>
            <w:vMerge w:val="continue"/>
            <w:vAlign w:val="center"/>
          </w:tcPr>
          <w:p>
            <w:pPr>
              <w:pStyle w:val="1286"/>
              <w:rPr>
                <w:rFonts w:ascii="宋体" w:hAnsi="宋体"/>
                <w:color w:val="auto"/>
              </w:rPr>
            </w:pPr>
          </w:p>
        </w:tc>
        <w:tc>
          <w:tcPr>
            <w:tcW w:w="2712" w:type="dxa"/>
            <w:vMerge w:val="continue"/>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67" w:type="dxa"/>
            <w:vMerge w:val="continue"/>
            <w:vAlign w:val="center"/>
          </w:tcPr>
          <w:p>
            <w:pPr>
              <w:pStyle w:val="1286"/>
              <w:rPr>
                <w:rFonts w:ascii="宋体" w:hAnsi="宋体"/>
                <w:color w:val="auto"/>
              </w:rPr>
            </w:pPr>
          </w:p>
        </w:tc>
        <w:tc>
          <w:tcPr>
            <w:tcW w:w="1074" w:type="dxa"/>
            <w:vMerge w:val="continue"/>
            <w:vAlign w:val="center"/>
          </w:tcPr>
          <w:p>
            <w:pPr>
              <w:pStyle w:val="1286"/>
              <w:rPr>
                <w:rFonts w:ascii="宋体" w:hAnsi="宋体"/>
                <w:color w:val="auto"/>
              </w:rPr>
            </w:pPr>
          </w:p>
        </w:tc>
        <w:tc>
          <w:tcPr>
            <w:tcW w:w="820" w:type="dxa"/>
            <w:vAlign w:val="center"/>
          </w:tcPr>
          <w:p>
            <w:pPr>
              <w:pStyle w:val="1286"/>
              <w:rPr>
                <w:rFonts w:ascii="宋体" w:hAnsi="宋体"/>
                <w:color w:val="auto"/>
              </w:rPr>
            </w:pPr>
            <w:r>
              <w:rPr>
                <w:rFonts w:ascii="宋体" w:hAnsi="宋体"/>
                <w:color w:val="auto"/>
              </w:rPr>
              <w:t>堰内</w:t>
            </w:r>
          </w:p>
        </w:tc>
        <w:tc>
          <w:tcPr>
            <w:tcW w:w="798" w:type="dxa"/>
            <w:vAlign w:val="center"/>
          </w:tcPr>
          <w:p>
            <w:pPr>
              <w:pStyle w:val="1286"/>
              <w:rPr>
                <w:rFonts w:ascii="宋体" w:hAnsi="宋体"/>
                <w:color w:val="auto"/>
              </w:rPr>
            </w:pPr>
            <w:r>
              <w:rPr>
                <w:rFonts w:ascii="宋体" w:hAnsi="宋体"/>
                <w:color w:val="auto"/>
              </w:rPr>
              <w:t>堰外</w:t>
            </w:r>
          </w:p>
        </w:tc>
        <w:tc>
          <w:tcPr>
            <w:tcW w:w="1437" w:type="dxa"/>
            <w:vMerge w:val="continue"/>
            <w:vAlign w:val="center"/>
          </w:tcPr>
          <w:p>
            <w:pPr>
              <w:pStyle w:val="1286"/>
              <w:rPr>
                <w:rFonts w:ascii="宋体" w:hAnsi="宋体"/>
                <w:color w:val="auto"/>
              </w:rPr>
            </w:pPr>
          </w:p>
        </w:tc>
        <w:tc>
          <w:tcPr>
            <w:tcW w:w="2712" w:type="dxa"/>
            <w:vMerge w:val="continue"/>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vAlign w:val="center"/>
          </w:tcPr>
          <w:p>
            <w:pPr>
              <w:pStyle w:val="1286"/>
              <w:rPr>
                <w:rFonts w:ascii="宋体" w:hAnsi="宋体"/>
                <w:color w:val="auto"/>
              </w:rPr>
            </w:pPr>
            <w:r>
              <w:rPr>
                <w:rFonts w:ascii="宋体" w:hAnsi="宋体"/>
                <w:color w:val="auto"/>
              </w:rPr>
              <w:t>木板桩围堰</w:t>
            </w:r>
          </w:p>
          <w:p>
            <w:pPr>
              <w:pStyle w:val="1286"/>
              <w:rPr>
                <w:rFonts w:ascii="宋体" w:hAnsi="宋体"/>
                <w:color w:val="auto"/>
              </w:rPr>
            </w:pPr>
          </w:p>
          <w:p>
            <w:pPr>
              <w:pStyle w:val="1286"/>
              <w:rPr>
                <w:rFonts w:ascii="宋体" w:hAnsi="宋体"/>
                <w:color w:val="auto"/>
              </w:rPr>
            </w:pPr>
            <w:r>
              <w:rPr>
                <w:rFonts w:ascii="宋体" w:hAnsi="宋体"/>
                <w:color w:val="auto"/>
              </w:rPr>
              <w:t>钢板桩围堰</w:t>
            </w:r>
          </w:p>
        </w:tc>
        <w:tc>
          <w:tcPr>
            <w:tcW w:w="1074" w:type="dxa"/>
            <w:vAlign w:val="center"/>
          </w:tcPr>
          <w:p>
            <w:pPr>
              <w:pStyle w:val="1286"/>
              <w:rPr>
                <w:rFonts w:ascii="宋体" w:hAnsi="宋体"/>
                <w:color w:val="auto"/>
              </w:rPr>
            </w:pPr>
            <w:r>
              <w:rPr>
                <w:rFonts w:ascii="宋体" w:hAnsi="宋体"/>
                <w:color w:val="auto"/>
              </w:rPr>
              <w:t>0.5～1.5</w:t>
            </w:r>
          </w:p>
          <w:p>
            <w:pPr>
              <w:pStyle w:val="1286"/>
              <w:rPr>
                <w:rFonts w:ascii="宋体" w:hAnsi="宋体"/>
                <w:color w:val="auto"/>
              </w:rPr>
            </w:pPr>
          </w:p>
          <w:p>
            <w:pPr>
              <w:pStyle w:val="1286"/>
              <w:rPr>
                <w:rFonts w:ascii="宋体" w:hAnsi="宋体"/>
                <w:color w:val="auto"/>
              </w:rPr>
            </w:pPr>
            <w:r>
              <w:rPr>
                <w:rFonts w:ascii="宋体" w:hAnsi="宋体"/>
                <w:color w:val="auto"/>
              </w:rPr>
              <w:t>0.5～1.5</w:t>
            </w:r>
          </w:p>
        </w:tc>
        <w:tc>
          <w:tcPr>
            <w:tcW w:w="820" w:type="dxa"/>
            <w:vAlign w:val="center"/>
          </w:tcPr>
          <w:p>
            <w:pPr>
              <w:pStyle w:val="1286"/>
              <w:rPr>
                <w:rFonts w:ascii="宋体" w:hAnsi="宋体"/>
                <w:color w:val="auto"/>
              </w:rPr>
            </w:pPr>
            <w:r>
              <w:rPr>
                <w:rFonts w:ascii="宋体" w:hAnsi="宋体"/>
                <w:color w:val="auto"/>
              </w:rPr>
              <w:t>1:0.5</w:t>
            </w:r>
          </w:p>
          <w:p>
            <w:pPr>
              <w:pStyle w:val="1286"/>
              <w:rPr>
                <w:rFonts w:ascii="宋体" w:hAnsi="宋体"/>
                <w:color w:val="auto"/>
              </w:rPr>
            </w:pPr>
          </w:p>
          <w:p>
            <w:pPr>
              <w:pStyle w:val="1286"/>
              <w:rPr>
                <w:rFonts w:ascii="宋体" w:hAnsi="宋体"/>
                <w:color w:val="auto"/>
              </w:rPr>
            </w:pPr>
            <w:r>
              <w:rPr>
                <w:rFonts w:ascii="宋体" w:hAnsi="宋体"/>
                <w:color w:val="auto"/>
              </w:rPr>
              <w:t>1:0</w:t>
            </w:r>
          </w:p>
        </w:tc>
        <w:tc>
          <w:tcPr>
            <w:tcW w:w="798" w:type="dxa"/>
            <w:vAlign w:val="center"/>
          </w:tcPr>
          <w:p>
            <w:pPr>
              <w:pStyle w:val="1286"/>
              <w:rPr>
                <w:rFonts w:ascii="宋体" w:hAnsi="宋体"/>
                <w:color w:val="auto"/>
              </w:rPr>
            </w:pPr>
            <w:r>
              <w:rPr>
                <w:rFonts w:ascii="宋体" w:hAnsi="宋体"/>
                <w:color w:val="auto"/>
              </w:rPr>
              <w:t>1:0</w:t>
            </w:r>
          </w:p>
        </w:tc>
        <w:tc>
          <w:tcPr>
            <w:tcW w:w="1437" w:type="dxa"/>
            <w:vAlign w:val="center"/>
          </w:tcPr>
          <w:p>
            <w:pPr>
              <w:pStyle w:val="1286"/>
              <w:rPr>
                <w:rFonts w:ascii="宋体" w:hAnsi="宋体"/>
                <w:color w:val="auto"/>
              </w:rPr>
            </w:pPr>
            <w:r>
              <w:rPr>
                <w:rFonts w:ascii="宋体" w:hAnsi="宋体"/>
                <w:color w:val="auto"/>
              </w:rPr>
              <w:t>0.5～0.7</w:t>
            </w:r>
          </w:p>
          <w:p>
            <w:pPr>
              <w:pStyle w:val="1286"/>
              <w:rPr>
                <w:rFonts w:ascii="宋体" w:hAnsi="宋体"/>
                <w:color w:val="auto"/>
              </w:rPr>
            </w:pPr>
          </w:p>
          <w:p>
            <w:pPr>
              <w:pStyle w:val="1286"/>
              <w:rPr>
                <w:rFonts w:ascii="宋体" w:hAnsi="宋体"/>
                <w:color w:val="auto"/>
              </w:rPr>
            </w:pPr>
            <w:r>
              <w:rPr>
                <w:rFonts w:ascii="宋体" w:hAnsi="宋体"/>
                <w:color w:val="auto"/>
              </w:rPr>
              <w:t>0.5～0.7</w:t>
            </w:r>
          </w:p>
        </w:tc>
        <w:tc>
          <w:tcPr>
            <w:tcW w:w="2712" w:type="dxa"/>
            <w:vAlign w:val="center"/>
          </w:tcPr>
          <w:p>
            <w:pPr>
              <w:pStyle w:val="1286"/>
              <w:rPr>
                <w:rFonts w:ascii="宋体" w:hAnsi="宋体"/>
                <w:color w:val="auto"/>
              </w:rPr>
            </w:pPr>
            <w:r>
              <w:rPr>
                <w:rFonts w:ascii="宋体" w:hAnsi="宋体"/>
                <w:color w:val="auto"/>
              </w:rPr>
              <w:t>板桩有无撑、单支撑、多支撑等形式；板桩端部应有吊孔；板桩组拼时，应在锁口内填充防水混合料</w:t>
            </w:r>
          </w:p>
        </w:tc>
      </w:tr>
    </w:tbl>
    <w:p>
      <w:pPr>
        <w:pStyle w:val="1280"/>
        <w:rPr>
          <w:rFonts w:ascii="宋体"/>
        </w:rPr>
      </w:pPr>
      <w:r>
        <w:rPr>
          <w:rFonts w:ascii="宋体"/>
        </w:rPr>
        <w:t>2. 插打板桩的规定</w:t>
      </w:r>
    </w:p>
    <w:p>
      <w:pPr>
        <w:pStyle w:val="1280"/>
        <w:rPr>
          <w:rFonts w:ascii="宋体"/>
        </w:rPr>
      </w:pPr>
      <w:r>
        <w:rPr>
          <w:rFonts w:ascii="宋体"/>
        </w:rPr>
        <w:t>1) 插打前，在锁口内应涂防水混合料。</w:t>
      </w:r>
    </w:p>
    <w:p>
      <w:pPr>
        <w:pStyle w:val="1280"/>
        <w:rPr>
          <w:rFonts w:ascii="宋体"/>
        </w:rPr>
      </w:pPr>
      <w:r>
        <w:rPr>
          <w:rFonts w:ascii="宋体"/>
        </w:rPr>
        <w:t>2) 吊装钢板桩，吊点位置不行低于桩顶以下1/3桩长。</w:t>
      </w:r>
    </w:p>
    <w:p>
      <w:pPr>
        <w:pStyle w:val="1280"/>
        <w:rPr>
          <w:rFonts w:ascii="宋体"/>
        </w:rPr>
      </w:pPr>
      <w:r>
        <w:rPr>
          <w:rFonts w:ascii="宋体"/>
        </w:rPr>
        <w:t>3) 钢板桩可采用锤击、震动和射水等方法下沉，但在粘土中不宜用射水。锤击时应设桩帽。</w:t>
      </w:r>
    </w:p>
    <w:p>
      <w:pPr>
        <w:pStyle w:val="1280"/>
        <w:rPr>
          <w:rFonts w:ascii="宋体"/>
        </w:rPr>
      </w:pPr>
      <w:r>
        <w:rPr>
          <w:rFonts w:ascii="宋体"/>
        </w:rPr>
        <w:t>4) 导向设备保证插打质量、最初插打的钢板桩，应详细检查其平面位置和垂直度。</w:t>
      </w:r>
    </w:p>
    <w:p>
      <w:pPr>
        <w:pStyle w:val="1280"/>
        <w:rPr>
          <w:rFonts w:ascii="宋体"/>
        </w:rPr>
      </w:pPr>
      <w:r>
        <w:rPr>
          <w:rFonts w:ascii="宋体"/>
        </w:rPr>
        <w:t>5) 接长的钢板桩，其相邻两钢板桩的接头位置，应上下错开。</w:t>
      </w:r>
    </w:p>
    <w:p>
      <w:pPr>
        <w:pStyle w:val="1280"/>
        <w:rPr>
          <w:rFonts w:ascii="宋体"/>
        </w:rPr>
      </w:pPr>
      <w:r>
        <w:rPr>
          <w:rFonts w:ascii="宋体"/>
        </w:rPr>
        <w:t>6) 拔出钢板桩前，应向堰内灌水与堰外水位相同。拔桩应由下游开始。</w:t>
      </w:r>
    </w:p>
    <w:p>
      <w:pPr>
        <w:pStyle w:val="1280"/>
        <w:rPr>
          <w:rFonts w:ascii="宋体"/>
        </w:rPr>
      </w:pPr>
      <w:bookmarkStart w:id="1865" w:name="_Toc275175259"/>
      <w:r>
        <w:rPr>
          <w:rFonts w:ascii="宋体"/>
        </w:rPr>
        <w:t>3. 插打钢板桩允许偏差，详见表2-8-4。</w:t>
      </w:r>
      <w:bookmarkEnd w:id="1865"/>
    </w:p>
    <w:p>
      <w:pPr>
        <w:pStyle w:val="1286"/>
        <w:jc w:val="center"/>
        <w:rPr>
          <w:rFonts w:ascii="宋体" w:hAnsi="宋体"/>
          <w:color w:val="auto"/>
        </w:rPr>
      </w:pPr>
      <w:r>
        <w:rPr>
          <w:rFonts w:hint="eastAsia" w:ascii="宋体" w:hAnsi="宋体"/>
          <w:color w:val="auto"/>
        </w:rPr>
        <w:t xml:space="preserve"> </w:t>
      </w:r>
      <w:r>
        <w:rPr>
          <w:rFonts w:ascii="宋体" w:hAnsi="宋体"/>
          <w:color w:val="auto"/>
        </w:rPr>
        <w:t xml:space="preserve">          钢板桩允许偏差表                 表2-8-4</w:t>
      </w:r>
    </w:p>
    <w:tbl>
      <w:tblPr>
        <w:tblStyle w:val="77"/>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2476"/>
        <w:gridCol w:w="309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564" w:type="dxa"/>
            <w:gridSpan w:val="2"/>
            <w:tcBorders>
              <w:left w:val="single" w:color="auto" w:sz="4" w:space="0"/>
            </w:tcBorders>
            <w:vAlign w:val="center"/>
          </w:tcPr>
          <w:p>
            <w:pPr>
              <w:pStyle w:val="1286"/>
              <w:rPr>
                <w:rFonts w:ascii="宋体" w:hAnsi="宋体"/>
                <w:color w:val="auto"/>
              </w:rPr>
            </w:pPr>
            <w:r>
              <w:rPr>
                <w:rFonts w:ascii="宋体" w:hAnsi="宋体"/>
                <w:color w:val="auto"/>
              </w:rPr>
              <w:t>项          目</w:t>
            </w:r>
          </w:p>
        </w:tc>
        <w:tc>
          <w:tcPr>
            <w:tcW w:w="3090" w:type="dxa"/>
            <w:tcBorders>
              <w:right w:val="single" w:color="auto" w:sz="4" w:space="0"/>
            </w:tcBorders>
            <w:vAlign w:val="center"/>
          </w:tcPr>
          <w:p>
            <w:pPr>
              <w:pStyle w:val="1286"/>
              <w:rPr>
                <w:rFonts w:ascii="宋体" w:hAnsi="宋体"/>
                <w:color w:val="auto"/>
              </w:rPr>
            </w:pPr>
            <w:r>
              <w:rPr>
                <w:rFonts w:ascii="宋体" w:hAnsi="宋体"/>
                <w:color w:val="auto"/>
              </w:rPr>
              <w:t>允许偏差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Borders>
              <w:left w:val="single" w:color="auto" w:sz="4" w:space="0"/>
            </w:tcBorders>
            <w:vAlign w:val="center"/>
          </w:tcPr>
          <w:p>
            <w:pPr>
              <w:pStyle w:val="1286"/>
              <w:rPr>
                <w:rFonts w:ascii="宋体" w:hAnsi="宋体"/>
                <w:color w:val="auto"/>
              </w:rPr>
            </w:pPr>
            <w:r>
              <w:rPr>
                <w:rFonts w:ascii="宋体" w:hAnsi="宋体"/>
                <w:color w:val="auto"/>
              </w:rPr>
              <w:t>轴线位置</w:t>
            </w:r>
          </w:p>
        </w:tc>
        <w:tc>
          <w:tcPr>
            <w:tcW w:w="2476" w:type="dxa"/>
            <w:vAlign w:val="center"/>
          </w:tcPr>
          <w:p>
            <w:pPr>
              <w:pStyle w:val="1286"/>
              <w:rPr>
                <w:rFonts w:ascii="宋体" w:hAnsi="宋体"/>
                <w:color w:val="auto"/>
              </w:rPr>
            </w:pPr>
            <w:r>
              <w:rPr>
                <w:rFonts w:ascii="宋体" w:hAnsi="宋体"/>
                <w:color w:val="auto"/>
              </w:rPr>
              <w:t>陆上打桩</w:t>
            </w:r>
          </w:p>
          <w:p>
            <w:pPr>
              <w:pStyle w:val="1286"/>
              <w:rPr>
                <w:rFonts w:ascii="宋体" w:hAnsi="宋体"/>
                <w:color w:val="auto"/>
              </w:rPr>
            </w:pPr>
            <w:r>
              <w:rPr>
                <w:rFonts w:ascii="宋体" w:hAnsi="宋体"/>
                <w:color w:val="auto"/>
              </w:rPr>
              <w:t>水上打桩</w:t>
            </w:r>
          </w:p>
        </w:tc>
        <w:tc>
          <w:tcPr>
            <w:tcW w:w="3090" w:type="dxa"/>
            <w:tcBorders>
              <w:right w:val="single" w:color="auto" w:sz="4" w:space="0"/>
            </w:tcBorders>
            <w:vAlign w:val="center"/>
          </w:tcPr>
          <w:p>
            <w:pPr>
              <w:pStyle w:val="1286"/>
              <w:rPr>
                <w:rFonts w:ascii="宋体" w:hAnsi="宋体"/>
                <w:color w:val="auto"/>
              </w:rPr>
            </w:pPr>
            <w:r>
              <w:rPr>
                <w:rFonts w:ascii="宋体" w:hAnsi="宋体"/>
                <w:color w:val="auto"/>
              </w:rPr>
              <w:t>100</w:t>
            </w:r>
          </w:p>
          <w:p>
            <w:pPr>
              <w:pStyle w:val="1286"/>
              <w:rPr>
                <w:rFonts w:ascii="宋体" w:hAnsi="宋体"/>
                <w:color w:val="auto"/>
              </w:rPr>
            </w:pPr>
            <w:r>
              <w:rPr>
                <w:rFonts w:ascii="宋体" w:hAnsi="宋体"/>
                <w:color w:val="auto"/>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88" w:type="dxa"/>
            <w:tcBorders>
              <w:left w:val="single" w:color="auto" w:sz="4" w:space="0"/>
            </w:tcBorders>
            <w:vAlign w:val="center"/>
          </w:tcPr>
          <w:p>
            <w:pPr>
              <w:pStyle w:val="1286"/>
              <w:rPr>
                <w:rFonts w:ascii="宋体" w:hAnsi="宋体"/>
                <w:color w:val="auto"/>
              </w:rPr>
            </w:pPr>
            <w:r>
              <w:rPr>
                <w:rFonts w:ascii="宋体" w:hAnsi="宋体"/>
                <w:color w:val="auto"/>
              </w:rPr>
              <w:t>顶部高程</w:t>
            </w:r>
          </w:p>
        </w:tc>
        <w:tc>
          <w:tcPr>
            <w:tcW w:w="2476" w:type="dxa"/>
            <w:vAlign w:val="center"/>
          </w:tcPr>
          <w:p>
            <w:pPr>
              <w:pStyle w:val="1286"/>
              <w:rPr>
                <w:rFonts w:ascii="宋体" w:hAnsi="宋体"/>
                <w:color w:val="auto"/>
              </w:rPr>
            </w:pPr>
            <w:r>
              <w:rPr>
                <w:rFonts w:ascii="宋体" w:hAnsi="宋体"/>
                <w:color w:val="auto"/>
              </w:rPr>
              <w:t>陆上打桩</w:t>
            </w:r>
          </w:p>
          <w:p>
            <w:pPr>
              <w:pStyle w:val="1286"/>
              <w:rPr>
                <w:rFonts w:ascii="宋体" w:hAnsi="宋体"/>
                <w:color w:val="auto"/>
              </w:rPr>
            </w:pPr>
            <w:r>
              <w:rPr>
                <w:rFonts w:ascii="宋体" w:hAnsi="宋体"/>
                <w:color w:val="auto"/>
              </w:rPr>
              <w:t>水上打桩</w:t>
            </w:r>
          </w:p>
        </w:tc>
        <w:tc>
          <w:tcPr>
            <w:tcW w:w="3090" w:type="dxa"/>
            <w:tcBorders>
              <w:right w:val="single" w:color="auto" w:sz="4" w:space="0"/>
            </w:tcBorders>
            <w:vAlign w:val="center"/>
          </w:tcPr>
          <w:p>
            <w:pPr>
              <w:pStyle w:val="1286"/>
              <w:rPr>
                <w:rFonts w:ascii="宋体" w:hAnsi="宋体"/>
                <w:color w:val="auto"/>
              </w:rPr>
            </w:pPr>
            <w:r>
              <w:rPr>
                <w:rFonts w:ascii="宋体" w:hAnsi="宋体"/>
                <w:color w:val="auto"/>
              </w:rPr>
              <w:t>±100</w:t>
            </w:r>
          </w:p>
          <w:p>
            <w:pPr>
              <w:pStyle w:val="1286"/>
              <w:rPr>
                <w:rFonts w:ascii="宋体" w:hAnsi="宋体"/>
                <w:color w:val="auto"/>
              </w:rPr>
            </w:pPr>
            <w:r>
              <w:rPr>
                <w:rFonts w:ascii="宋体" w:hAnsi="宋体"/>
                <w:color w:val="auto"/>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64" w:type="dxa"/>
            <w:gridSpan w:val="2"/>
            <w:tcBorders>
              <w:left w:val="single" w:color="auto" w:sz="4" w:space="0"/>
            </w:tcBorders>
            <w:vAlign w:val="center"/>
          </w:tcPr>
          <w:p>
            <w:pPr>
              <w:pStyle w:val="1286"/>
              <w:rPr>
                <w:rFonts w:ascii="宋体" w:hAnsi="宋体"/>
                <w:color w:val="auto"/>
              </w:rPr>
            </w:pPr>
            <w:r>
              <w:rPr>
                <w:rFonts w:ascii="宋体" w:hAnsi="宋体"/>
                <w:color w:val="auto"/>
              </w:rPr>
              <w:t>垂   直   部</w:t>
            </w:r>
          </w:p>
        </w:tc>
        <w:tc>
          <w:tcPr>
            <w:tcW w:w="3090" w:type="dxa"/>
            <w:tcBorders>
              <w:right w:val="single" w:color="auto" w:sz="4" w:space="0"/>
            </w:tcBorders>
            <w:vAlign w:val="center"/>
          </w:tcPr>
          <w:p>
            <w:pPr>
              <w:pStyle w:val="1286"/>
              <w:rPr>
                <w:rFonts w:ascii="宋体" w:hAnsi="宋体"/>
                <w:color w:val="auto"/>
              </w:rPr>
            </w:pPr>
            <w:r>
              <w:rPr>
                <w:rFonts w:ascii="宋体" w:hAnsi="宋体"/>
                <w:color w:val="auto"/>
              </w:rPr>
              <w:t>桩长/100，且不大于100</w:t>
            </w:r>
          </w:p>
        </w:tc>
      </w:tr>
    </w:tbl>
    <w:p>
      <w:pPr>
        <w:pStyle w:val="1284"/>
        <w:rPr>
          <w:rFonts w:ascii="宋体" w:hAnsi="宋体"/>
        </w:rPr>
      </w:pPr>
      <w:bookmarkStart w:id="1866" w:name="_Toc398453561"/>
      <w:bookmarkStart w:id="1867" w:name="_Toc43107522"/>
      <w:bookmarkStart w:id="1868" w:name="_Toc16242342"/>
      <w:bookmarkStart w:id="1869" w:name="_Toc398523361"/>
      <w:bookmarkStart w:id="1870" w:name="_Toc385007635"/>
      <w:bookmarkStart w:id="1871" w:name="_Toc385008431"/>
      <w:bookmarkStart w:id="1872" w:name="_Toc385012593"/>
      <w:bookmarkStart w:id="1873" w:name="_Toc395408058"/>
      <w:bookmarkStart w:id="1874" w:name="_Toc395412732"/>
      <w:bookmarkStart w:id="1875" w:name="_Toc398083736"/>
      <w:bookmarkStart w:id="1876" w:name="_Toc164502099"/>
      <w:bookmarkStart w:id="1877" w:name="_Toc512530588"/>
      <w:bookmarkStart w:id="1878" w:name="_Toc518376557"/>
      <w:bookmarkStart w:id="1879" w:name="_Toc521491878"/>
      <w:bookmarkStart w:id="1880" w:name="_Toc521492735"/>
      <w:bookmarkStart w:id="1881" w:name="_Toc521493409"/>
      <w:bookmarkStart w:id="1882" w:name="_Toc106883064"/>
      <w:r>
        <w:rPr>
          <w:rFonts w:ascii="宋体" w:hAnsi="宋体"/>
        </w:rPr>
        <w:t>2.8.3 拆堰</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1280"/>
        <w:rPr>
          <w:rFonts w:ascii="宋体"/>
        </w:rPr>
      </w:pPr>
      <w:r>
        <w:rPr>
          <w:rFonts w:ascii="宋体"/>
        </w:rPr>
        <w:t>施工完毕在得到项目监理的批准后，方可拆堰。拆堰须干净，防止遗留后患，承包商应制定拆堰安全技术措施，避免人员、设备受到损伤。</w:t>
      </w:r>
    </w:p>
    <w:p>
      <w:pPr>
        <w:pStyle w:val="1280"/>
        <w:rPr>
          <w:rFonts w:ascii="宋体"/>
        </w:rPr>
      </w:pPr>
      <w:r>
        <w:rPr>
          <w:rFonts w:ascii="宋体"/>
        </w:rPr>
        <w:t>以上属于土石方工程附属工程，不单独计量。</w:t>
      </w:r>
    </w:p>
    <w:p>
      <w:pPr>
        <w:pStyle w:val="1281"/>
        <w:outlineLvl w:val="0"/>
        <w:rPr>
          <w:rFonts w:ascii="宋体" w:hAnsi="宋体"/>
          <w:color w:val="auto"/>
        </w:rPr>
      </w:pPr>
      <w:bookmarkStart w:id="1883" w:name="_Toc518376558"/>
      <w:bookmarkStart w:id="1884" w:name="_Toc521491879"/>
      <w:bookmarkStart w:id="1885" w:name="_Toc521492736"/>
      <w:bookmarkStart w:id="1886" w:name="_Toc521493410"/>
      <w:bookmarkStart w:id="1887" w:name="_Toc106883065"/>
      <w:r>
        <w:rPr>
          <w:rFonts w:ascii="宋体" w:hAnsi="宋体"/>
          <w:color w:val="auto"/>
        </w:rPr>
        <w:t>2.9 施工排水</w:t>
      </w:r>
      <w:bookmarkEnd w:id="1807"/>
      <w:bookmarkEnd w:id="1808"/>
      <w:bookmarkEnd w:id="1809"/>
      <w:bookmarkEnd w:id="1810"/>
      <w:bookmarkEnd w:id="1811"/>
      <w:bookmarkEnd w:id="1812"/>
      <w:bookmarkEnd w:id="1813"/>
      <w:bookmarkEnd w:id="1814"/>
      <w:bookmarkEnd w:id="1815"/>
      <w:bookmarkEnd w:id="1816"/>
      <w:bookmarkEnd w:id="1817"/>
      <w:bookmarkEnd w:id="1818"/>
      <w:bookmarkEnd w:id="1883"/>
      <w:bookmarkEnd w:id="1884"/>
      <w:bookmarkEnd w:id="1885"/>
      <w:bookmarkEnd w:id="1886"/>
      <w:bookmarkEnd w:id="1887"/>
    </w:p>
    <w:p>
      <w:pPr>
        <w:pStyle w:val="1280"/>
        <w:rPr>
          <w:rFonts w:ascii="宋体"/>
        </w:rPr>
      </w:pPr>
      <w:r>
        <w:rPr>
          <w:rFonts w:ascii="宋体"/>
        </w:rPr>
        <w:t>承包商应配备和安装有效可靠的降水系统排除沟槽和坑道的积水，以维持开挖范围内长期处于干燥状况，直至施工完成。承包商所设计的排水系统应能降低地下水位，同时能排除地面水，并充分考虑到处理紧急状况的措施，此设计应事先提交项目监理审批。并应备有必要的措施在排水设备事故性停机的情况下，能够防止对工程产生危害。积水应以不造成对工程和其他人员、财产受损的方式加以处理。</w:t>
      </w:r>
    </w:p>
    <w:p>
      <w:pPr>
        <w:pStyle w:val="1280"/>
        <w:rPr>
          <w:rFonts w:ascii="宋体"/>
        </w:rPr>
      </w:pPr>
      <w:r>
        <w:rPr>
          <w:rFonts w:ascii="宋体"/>
        </w:rPr>
        <w:t>承包商在进行地下水位降低之前，应根据地质勘察报告对地下水进行评价，包括水位降低对周围构筑物地基的影响、地下水抽降停止后水位回升引起的浮托作用以及基坑下承压水层可能冲毁基坑底板造成的危害。</w:t>
      </w:r>
    </w:p>
    <w:p>
      <w:pPr>
        <w:pStyle w:val="1280"/>
        <w:rPr>
          <w:rFonts w:ascii="宋体"/>
        </w:rPr>
      </w:pPr>
      <w:r>
        <w:rPr>
          <w:rFonts w:ascii="宋体"/>
        </w:rPr>
        <w:t>承包商在降低地下水的同时应密切注意周围地区水井水位情况，尽量使水井水位的降低减至最小，发现问题及时处理。承包商应控制地下水位直至施工完成，以避免浮力对结构物的损害和破坏。</w:t>
      </w:r>
    </w:p>
    <w:p>
      <w:pPr>
        <w:pStyle w:val="1280"/>
        <w:rPr>
          <w:rFonts w:ascii="宋体"/>
        </w:rPr>
      </w:pPr>
      <w:r>
        <w:rPr>
          <w:rFonts w:ascii="宋体"/>
        </w:rPr>
        <w:t>当开挖的部位低于地下水位时，应根据当地工程地质资料，挖方尺寸和防止地基土结构遭受破坏等，选用集水坑降水、井点降水或两者相结合等措施降低地下水位。</w:t>
      </w:r>
    </w:p>
    <w:p>
      <w:pPr>
        <w:pStyle w:val="1280"/>
        <w:rPr>
          <w:rFonts w:ascii="宋体"/>
        </w:rPr>
      </w:pPr>
      <w:r>
        <w:rPr>
          <w:rFonts w:ascii="宋体"/>
        </w:rPr>
        <w:t>采用正铲挖掘机、铲运机、推土机等挖方时，应使地下水位经常低于开挖底面不少于0.5m。</w:t>
      </w:r>
    </w:p>
    <w:p>
      <w:pPr>
        <w:pStyle w:val="1280"/>
        <w:rPr>
          <w:rFonts w:ascii="宋体"/>
        </w:rPr>
      </w:pPr>
      <w:r>
        <w:rPr>
          <w:rFonts w:ascii="宋体"/>
        </w:rPr>
        <w:t>如果承包商要求修建排水沟渠，需征得项目监理和业主的同意，其修建方案要呈交项目监理和业主审核通过后方可进行施工，并不得破坏附近建筑物或构筑物的地基和挖、填方的边坡，并注意不要损害农田道路。沟渠的纵向坡度、横断面、边坡坡度、沟内水的流速和出水口应符合</w:t>
      </w:r>
      <w:r>
        <w:rPr>
          <w:rFonts w:hint="eastAsia" w:ascii="宋体"/>
        </w:rPr>
        <w:t>现行</w:t>
      </w:r>
      <w:r>
        <w:rPr>
          <w:rFonts w:ascii="宋体"/>
        </w:rPr>
        <w:t>GB</w:t>
      </w:r>
      <w:r>
        <w:rPr>
          <w:rFonts w:hint="eastAsia" w:ascii="宋体"/>
        </w:rPr>
        <w:t>/T 16453</w:t>
      </w:r>
      <w:r>
        <w:rPr>
          <w:rFonts w:ascii="宋体"/>
        </w:rPr>
        <w:t>中的有关规定。</w:t>
      </w:r>
    </w:p>
    <w:p>
      <w:pPr>
        <w:pStyle w:val="1280"/>
        <w:rPr>
          <w:rFonts w:ascii="宋体"/>
        </w:rPr>
      </w:pPr>
      <w:r>
        <w:rPr>
          <w:rFonts w:ascii="宋体"/>
        </w:rPr>
        <w:t>以上属于土石方工程附属工程，不单独计量。</w:t>
      </w:r>
    </w:p>
    <w:p>
      <w:pPr>
        <w:pStyle w:val="1281"/>
        <w:outlineLvl w:val="0"/>
        <w:rPr>
          <w:rFonts w:ascii="宋体" w:hAnsi="宋体"/>
          <w:color w:val="auto"/>
        </w:rPr>
      </w:pPr>
      <w:bookmarkStart w:id="1888" w:name="_Toc395408060"/>
      <w:bookmarkStart w:id="1889" w:name="_Toc395412734"/>
      <w:bookmarkStart w:id="1890" w:name="_Toc398083738"/>
      <w:bookmarkStart w:id="1891" w:name="_Toc398453563"/>
      <w:bookmarkStart w:id="1892" w:name="_Toc398523363"/>
      <w:bookmarkStart w:id="1893" w:name="_Toc16242344"/>
      <w:bookmarkStart w:id="1894" w:name="_Toc43107524"/>
      <w:bookmarkStart w:id="1895" w:name="_Toc133166110"/>
      <w:bookmarkStart w:id="1896" w:name="_Toc164502101"/>
      <w:bookmarkStart w:id="1897" w:name="_Toc517382507"/>
      <w:bookmarkStart w:id="1898" w:name="_Toc518376559"/>
      <w:bookmarkStart w:id="1899" w:name="_Toc521491880"/>
      <w:bookmarkStart w:id="1900" w:name="_Toc521492737"/>
      <w:bookmarkStart w:id="1901" w:name="_Toc521493411"/>
      <w:bookmarkStart w:id="1902" w:name="_Toc106883066"/>
      <w:r>
        <w:rPr>
          <w:rFonts w:ascii="宋体" w:hAnsi="宋体"/>
          <w:color w:val="auto"/>
        </w:rPr>
        <w:t>2.10 沟槽、构筑物基础和基层等的开挖</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1280"/>
        <w:rPr>
          <w:rFonts w:ascii="宋体"/>
        </w:rPr>
      </w:pPr>
      <w:r>
        <w:rPr>
          <w:rFonts w:ascii="宋体"/>
        </w:rPr>
        <w:t>在任何土方工程的开工前至少7天，承包商应书面通知项目监理和业主计划开工时间，且开工时间应在场地清理后不少于7天。在这段期间内承包商应向项目监理和业主提供一份原始地表勘测图纸，由项目监理和承包商签字用于工程测量。任何部分的土方工程都必须在收到项目监理和业主的书面批准后才能开工。</w:t>
      </w:r>
    </w:p>
    <w:p>
      <w:pPr>
        <w:pStyle w:val="1284"/>
        <w:outlineLvl w:val="0"/>
        <w:rPr>
          <w:rFonts w:ascii="宋体" w:hAnsi="宋体"/>
        </w:rPr>
      </w:pPr>
      <w:bookmarkStart w:id="1903" w:name="_Toc385007637"/>
      <w:bookmarkStart w:id="1904" w:name="_Toc385008433"/>
      <w:bookmarkStart w:id="1905" w:name="_Toc385012595"/>
      <w:bookmarkStart w:id="1906" w:name="_Toc395408061"/>
      <w:bookmarkStart w:id="1907" w:name="_Toc395412735"/>
      <w:bookmarkStart w:id="1908" w:name="_Toc398083739"/>
      <w:bookmarkStart w:id="1909" w:name="_Toc398453564"/>
      <w:bookmarkStart w:id="1910" w:name="_Toc398523364"/>
      <w:bookmarkStart w:id="1911" w:name="_Toc16242345"/>
      <w:bookmarkStart w:id="1912" w:name="_Toc43107525"/>
      <w:bookmarkStart w:id="1913" w:name="_Toc164502102"/>
      <w:bookmarkStart w:id="1914" w:name="_Toc517382508"/>
      <w:bookmarkStart w:id="1915" w:name="_Toc518376560"/>
      <w:bookmarkStart w:id="1916" w:name="_Toc521491881"/>
      <w:bookmarkStart w:id="1917" w:name="_Toc521492738"/>
      <w:bookmarkStart w:id="1918" w:name="_Toc521493412"/>
      <w:bookmarkStart w:id="1919" w:name="_Toc106883067"/>
      <w:r>
        <w:rPr>
          <w:rFonts w:ascii="宋体" w:hAnsi="宋体"/>
        </w:rPr>
        <w:t>2.10.1 常规开挖</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1280"/>
        <w:rPr>
          <w:rFonts w:ascii="宋体"/>
        </w:rPr>
      </w:pPr>
      <w:r>
        <w:rPr>
          <w:rFonts w:ascii="宋体"/>
        </w:rPr>
        <w:t>承包商应根据设计图纸、现场土质、地下水位、现有的地下及地上设施、附近建筑等情况，拟定开挖断面、开挖机械及边坡保护措施等细节，在开挖前不少于14天，将此开挖程序提交给项目监理和业主审批，项目监理和业主对这些程序的认可不减少合同中承包商应履行的责任。</w:t>
      </w:r>
    </w:p>
    <w:p>
      <w:pPr>
        <w:pStyle w:val="1280"/>
        <w:rPr>
          <w:rFonts w:ascii="宋体"/>
        </w:rPr>
      </w:pPr>
      <w:r>
        <w:rPr>
          <w:rFonts w:ascii="宋体"/>
        </w:rPr>
        <w:t>承包商在开挖沟槽中所选用的工作方法、施工设备和临时工程不得影响任何公共设施，包括管道、排水沟、电缆、通道，也不得使任何地上、地下的构筑物下沉、倾斜。应采取适当的措施保护这些设施，必要时，应请这些设施的主管部门到现场。对余土的处理，须征得项目监理和业主的同意。</w:t>
      </w:r>
    </w:p>
    <w:p>
      <w:pPr>
        <w:pStyle w:val="1280"/>
        <w:rPr>
          <w:rFonts w:ascii="宋体"/>
        </w:rPr>
      </w:pPr>
      <w:r>
        <w:rPr>
          <w:rFonts w:ascii="宋体"/>
        </w:rPr>
        <w:t>沟槽开挖后，若地基情况与地质钻探资料不符，承包商应立即通知项目监理和业主，并提出处理方案以求批准。</w:t>
      </w:r>
    </w:p>
    <w:p>
      <w:pPr>
        <w:pStyle w:val="1280"/>
        <w:rPr>
          <w:rFonts w:ascii="宋体"/>
        </w:rPr>
      </w:pPr>
      <w:r>
        <w:rPr>
          <w:rFonts w:ascii="宋体"/>
        </w:rPr>
        <w:t>开挖不应过早开始，开挖后应立即布置施工。开挖应按照图纸所示的界线进行，或照项目监理和业主指示的界线进行。所有挖槽边坡一开始就要确保安全，以防地面塌陷，或影响附近的铺装地面和构筑物。为安全起见，项目监理和业主有权要求承包商用支撑。开挖费用应认为包括支撑。对所有的开挖承包商应根据情况提供适合的支撑和钢板桩，以支撑边坡和端部。若边坡或端部坍塌下来，承包商应以自己的费用来除去坍塌土方。</w:t>
      </w:r>
    </w:p>
    <w:p>
      <w:pPr>
        <w:pStyle w:val="1280"/>
        <w:rPr>
          <w:rFonts w:ascii="宋体"/>
        </w:rPr>
      </w:pPr>
      <w:r>
        <w:rPr>
          <w:rFonts w:ascii="宋体"/>
        </w:rPr>
        <w:t>开挖期间，承包商应特别注意沟槽范围内的淤泥或泥性土壤。在一定的条件下，这种松软的土层易产生塌陷，这时，承包商应采取必要的措施，如保持较低的地下水位。所有的边坡塌陷，承包商应自费清除塌方及采取措施稳定边坡。凡因塌方引起的工程损失及工伤事故，承包商自理。</w:t>
      </w:r>
    </w:p>
    <w:p>
      <w:pPr>
        <w:pStyle w:val="1280"/>
        <w:rPr>
          <w:rFonts w:ascii="宋体"/>
        </w:rPr>
      </w:pPr>
      <w:r>
        <w:rPr>
          <w:rFonts w:ascii="宋体"/>
        </w:rPr>
        <w:t>在整个施工期间，应设置临时排水设施保证沟槽内无积水，在雨季施工时，严禁雨水进入沟槽内。承包商应承担由于无适当排水设施而引起的损坏的责任。</w:t>
      </w:r>
    </w:p>
    <w:p>
      <w:pPr>
        <w:pStyle w:val="1280"/>
        <w:rPr>
          <w:rFonts w:ascii="宋体"/>
        </w:rPr>
      </w:pPr>
      <w:r>
        <w:rPr>
          <w:rFonts w:ascii="宋体"/>
        </w:rPr>
        <w:t>当采用机械开挖时，承包商应保证不扰动基础底部的土层，沟槽设计底高程以上200毫米内的土应由人工挖掘。</w:t>
      </w:r>
    </w:p>
    <w:p>
      <w:pPr>
        <w:pStyle w:val="1280"/>
        <w:rPr>
          <w:rFonts w:ascii="宋体"/>
        </w:rPr>
      </w:pPr>
      <w:r>
        <w:rPr>
          <w:rFonts w:ascii="宋体"/>
        </w:rPr>
        <w:t>在达到沟槽底高程时，须经项目监理和业主验槽。如果他认为必要的话，将要求进一步开挖，这种超挖的沟槽应用石料、砂或</w:t>
      </w:r>
      <w:r>
        <w:rPr>
          <w:rFonts w:hint="eastAsia" w:ascii="宋体"/>
        </w:rPr>
        <w:t>C15</w:t>
      </w:r>
      <w:r>
        <w:rPr>
          <w:rFonts w:ascii="宋体"/>
        </w:rPr>
        <w:t>混凝土回填，直填至沟槽底高程。这些附加的开挖和回填，应以适合的费用列入标价的工程量清单中。</w:t>
      </w:r>
    </w:p>
    <w:p>
      <w:pPr>
        <w:pStyle w:val="1280"/>
        <w:rPr>
          <w:rFonts w:ascii="宋体"/>
        </w:rPr>
      </w:pPr>
      <w:r>
        <w:rPr>
          <w:rFonts w:ascii="宋体"/>
        </w:rPr>
        <w:t>若开挖的沟底土层，在项目监理和业主检查时，起先为他所接受，之后在施工期间，由于暴露在空气中或由于水淹变得太湿、松软，又不为项目监理所接受，这时承包商应用人工挖去这些坏的或松软的土，并按以下要求给予回填：对于混凝土结构界线之外范围，用选择的土回填；对于混凝土结构之下范围，用砂石混合料或</w:t>
      </w:r>
      <w:r>
        <w:rPr>
          <w:rFonts w:hint="eastAsia" w:ascii="宋体"/>
        </w:rPr>
        <w:t>C15</w:t>
      </w:r>
      <w:r>
        <w:rPr>
          <w:rFonts w:ascii="宋体"/>
        </w:rPr>
        <w:t>混凝土回填。这些开挖和回填的工程量，应由承包商自行承担。</w:t>
      </w:r>
    </w:p>
    <w:p>
      <w:pPr>
        <w:pStyle w:val="1280"/>
        <w:rPr>
          <w:rFonts w:ascii="宋体"/>
        </w:rPr>
      </w:pPr>
      <w:r>
        <w:rPr>
          <w:rFonts w:ascii="宋体"/>
        </w:rPr>
        <w:t>沟槽开挖后的表面要求平整，确保基础土层未扰动，基础是建在一个坚固完好和干净的沟底之上或紧靠着坚固的地层。基础底高程的误差为</w:t>
      </w:r>
      <w:r>
        <w:rPr>
          <w:rFonts w:ascii="宋体"/>
        </w:rPr>
        <w:sym w:font="Symbol" w:char="F0B1"/>
      </w:r>
      <w:r>
        <w:rPr>
          <w:rFonts w:ascii="宋体"/>
        </w:rPr>
        <w:t>20mm。</w:t>
      </w:r>
    </w:p>
    <w:p>
      <w:pPr>
        <w:pStyle w:val="1280"/>
        <w:rPr>
          <w:rFonts w:ascii="宋体"/>
        </w:rPr>
      </w:pPr>
      <w:r>
        <w:rPr>
          <w:rFonts w:ascii="宋体"/>
        </w:rPr>
        <w:t>承包商应以自己的费用，用经过选择的合适的填料(包括白灰戗土)压实、回填、修复好所有的超挖。对于以后要浇筑混凝土的超挖地段，应该按项目监理和业主指示回填砂或</w:t>
      </w:r>
      <w:r>
        <w:rPr>
          <w:rFonts w:hint="eastAsia" w:ascii="宋体"/>
        </w:rPr>
        <w:t>C15</w:t>
      </w:r>
      <w:r>
        <w:rPr>
          <w:rFonts w:ascii="宋体"/>
        </w:rPr>
        <w:t>混凝土。</w:t>
      </w:r>
    </w:p>
    <w:p>
      <w:pPr>
        <w:pStyle w:val="1280"/>
        <w:rPr>
          <w:rFonts w:ascii="宋体"/>
        </w:rPr>
      </w:pPr>
      <w:r>
        <w:rPr>
          <w:rFonts w:ascii="宋体"/>
        </w:rPr>
        <w:t>在项目监理和业主认可已压实的沟底以前，不得开始下一阶段施工。此后，应尽快浇筑混凝土基础。</w:t>
      </w:r>
    </w:p>
    <w:p>
      <w:pPr>
        <w:pStyle w:val="1280"/>
        <w:rPr>
          <w:rFonts w:ascii="宋体"/>
        </w:rPr>
      </w:pPr>
      <w:r>
        <w:rPr>
          <w:rFonts w:ascii="宋体"/>
        </w:rPr>
        <w:t>在耕地处开挖，表层土应与其它土分开放置，并在施工完毕后再回填至表面。</w:t>
      </w:r>
    </w:p>
    <w:p>
      <w:pPr>
        <w:pStyle w:val="1284"/>
        <w:outlineLvl w:val="0"/>
        <w:rPr>
          <w:rFonts w:ascii="宋体" w:hAnsi="宋体"/>
        </w:rPr>
      </w:pPr>
      <w:bookmarkStart w:id="1920" w:name="_Toc385007638"/>
      <w:bookmarkStart w:id="1921" w:name="_Toc385008434"/>
      <w:bookmarkStart w:id="1922" w:name="_Toc385012596"/>
      <w:bookmarkStart w:id="1923" w:name="_Toc395408062"/>
      <w:bookmarkStart w:id="1924" w:name="_Toc395412736"/>
      <w:bookmarkStart w:id="1925" w:name="_Toc398083740"/>
      <w:bookmarkStart w:id="1926" w:name="_Toc398453565"/>
      <w:bookmarkStart w:id="1927" w:name="_Toc398523365"/>
      <w:bookmarkStart w:id="1928" w:name="_Toc16242346"/>
      <w:bookmarkStart w:id="1929" w:name="_Toc43107526"/>
      <w:bookmarkStart w:id="1930" w:name="_Toc164502103"/>
      <w:bookmarkStart w:id="1931" w:name="_Toc517382509"/>
      <w:bookmarkStart w:id="1932" w:name="_Toc518376561"/>
      <w:bookmarkStart w:id="1933" w:name="_Toc521491882"/>
      <w:bookmarkStart w:id="1934" w:name="_Toc521492739"/>
      <w:bookmarkStart w:id="1935" w:name="_Toc521493413"/>
      <w:bookmarkStart w:id="1936" w:name="_Toc106883068"/>
      <w:r>
        <w:rPr>
          <w:rFonts w:ascii="宋体" w:hAnsi="宋体"/>
        </w:rPr>
        <w:t>2.10.2 开挖面的支撑</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1280"/>
        <w:rPr>
          <w:rFonts w:ascii="宋体"/>
        </w:rPr>
      </w:pPr>
      <w:r>
        <w:rPr>
          <w:rFonts w:ascii="宋体"/>
        </w:rPr>
        <w:t>承包商应设计、安装和维修全部支撑，并须保护开挖面的两侧和底部使之处于安全状态。采用的支撑系统必须符合项目监理和业主批准的提交文件中的建议，没有项目监理和业主事前的认可，不得改变已认可的支撑系统。项目监理和业主对承包商提交文件的同意，不能免除承包商的合同责任。</w:t>
      </w:r>
    </w:p>
    <w:p>
      <w:pPr>
        <w:pStyle w:val="1280"/>
        <w:rPr>
          <w:rFonts w:ascii="宋体"/>
        </w:rPr>
      </w:pPr>
      <w:r>
        <w:rPr>
          <w:rFonts w:ascii="宋体"/>
        </w:rPr>
        <w:t>承包商应可靠地支撑沟槽，以保证工作环境的安全，并防止破坏原有的管线、道路、建筑物及其它构筑物。承包商应保护上述的支撑使项目监理和业主满意，直到完工为止。</w:t>
      </w:r>
    </w:p>
    <w:p>
      <w:pPr>
        <w:pStyle w:val="1280"/>
        <w:rPr>
          <w:rFonts w:ascii="宋体"/>
        </w:rPr>
      </w:pPr>
      <w:r>
        <w:rPr>
          <w:rFonts w:ascii="宋体"/>
        </w:rPr>
        <w:t>承包商在现场应备用足够的临时支撑材料，一旦发生意外或紧急情况时可用来支撑。</w:t>
      </w:r>
    </w:p>
    <w:p>
      <w:pPr>
        <w:pStyle w:val="1284"/>
        <w:outlineLvl w:val="0"/>
        <w:rPr>
          <w:rFonts w:ascii="宋体" w:hAnsi="宋体"/>
        </w:rPr>
      </w:pPr>
      <w:bookmarkStart w:id="1937" w:name="_Toc385007639"/>
      <w:bookmarkStart w:id="1938" w:name="_Toc385008435"/>
      <w:bookmarkStart w:id="1939" w:name="_Toc385012597"/>
      <w:bookmarkStart w:id="1940" w:name="_Toc395408063"/>
      <w:bookmarkStart w:id="1941" w:name="_Toc395412737"/>
      <w:bookmarkStart w:id="1942" w:name="_Toc398083741"/>
      <w:bookmarkStart w:id="1943" w:name="_Toc398453566"/>
      <w:bookmarkStart w:id="1944" w:name="_Toc398523366"/>
      <w:bookmarkStart w:id="1945" w:name="_Toc16242347"/>
      <w:bookmarkStart w:id="1946" w:name="_Toc43107527"/>
      <w:bookmarkStart w:id="1947" w:name="_Toc164502104"/>
      <w:bookmarkStart w:id="1948" w:name="_Toc517382510"/>
      <w:bookmarkStart w:id="1949" w:name="_Toc518376562"/>
      <w:bookmarkStart w:id="1950" w:name="_Toc521491883"/>
      <w:bookmarkStart w:id="1951" w:name="_Toc521492740"/>
      <w:bookmarkStart w:id="1952" w:name="_Toc521493414"/>
      <w:bookmarkStart w:id="1953" w:name="_Toc106883069"/>
      <w:r>
        <w:rPr>
          <w:rFonts w:ascii="宋体" w:hAnsi="宋体"/>
        </w:rPr>
        <w:t>2.10.3 开挖中的不良物质</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1280"/>
        <w:rPr>
          <w:rFonts w:ascii="宋体"/>
        </w:rPr>
      </w:pPr>
      <w:r>
        <w:rPr>
          <w:rFonts w:ascii="宋体"/>
        </w:rPr>
        <w:t>如果承包商认为挖掘到不良物质，他应立即通知项目监理和业主，项目监理和业主将书面通知承包商是否需要对不良杂物进行处理。</w:t>
      </w:r>
    </w:p>
    <w:p>
      <w:pPr>
        <w:pStyle w:val="1280"/>
        <w:rPr>
          <w:rFonts w:ascii="宋体"/>
        </w:rPr>
      </w:pPr>
      <w:r>
        <w:rPr>
          <w:rFonts w:ascii="宋体"/>
        </w:rPr>
        <w:t>如果被证明是不良物质，承包商应按项目监理和业主的要求将这些物质运出现场并处理。这些杂物包括树根、有机物质、淤泥、残留建筑材料和有毒物质。</w:t>
      </w:r>
    </w:p>
    <w:p>
      <w:pPr>
        <w:pStyle w:val="1280"/>
        <w:rPr>
          <w:rFonts w:ascii="宋体"/>
        </w:rPr>
      </w:pPr>
      <w:r>
        <w:rPr>
          <w:rFonts w:ascii="宋体"/>
        </w:rPr>
        <w:t>除非另有规定或由项目监理和业主指定，承包商应使用以下材料填充由于此类物质产生的空洞：</w:t>
      </w:r>
    </w:p>
    <w:p>
      <w:pPr>
        <w:pStyle w:val="1280"/>
        <w:rPr>
          <w:rFonts w:ascii="宋体"/>
        </w:rPr>
      </w:pPr>
      <w:r>
        <w:rPr>
          <w:rFonts w:ascii="宋体"/>
        </w:rPr>
        <w:t>用于结构的</w:t>
      </w:r>
      <w:r>
        <w:rPr>
          <w:rFonts w:hint="eastAsia" w:ascii="宋体"/>
        </w:rPr>
        <w:t>C15</w:t>
      </w:r>
      <w:r>
        <w:rPr>
          <w:rFonts w:ascii="宋体"/>
        </w:rPr>
        <w:t>混凝土；</w:t>
      </w:r>
    </w:p>
    <w:p>
      <w:pPr>
        <w:pStyle w:val="1280"/>
        <w:rPr>
          <w:rFonts w:ascii="宋体"/>
        </w:rPr>
      </w:pPr>
      <w:r>
        <w:rPr>
          <w:rFonts w:ascii="宋体"/>
        </w:rPr>
        <w:t>用于回填的压实土；</w:t>
      </w:r>
    </w:p>
    <w:p>
      <w:pPr>
        <w:pStyle w:val="1280"/>
        <w:rPr>
          <w:rFonts w:ascii="宋体"/>
        </w:rPr>
      </w:pPr>
      <w:r>
        <w:rPr>
          <w:rFonts w:ascii="宋体"/>
        </w:rPr>
        <w:t>用于管基的碎石。</w:t>
      </w:r>
    </w:p>
    <w:p>
      <w:pPr>
        <w:pStyle w:val="1280"/>
        <w:rPr>
          <w:rFonts w:ascii="宋体"/>
        </w:rPr>
      </w:pPr>
      <w:r>
        <w:rPr>
          <w:rFonts w:ascii="宋体"/>
        </w:rPr>
        <w:t>承包商现场处理不良物质，在混凝土或石砌护堤之下结构，开挖和换填发生费用（较原设计超深1m以上时），如现场地质条件与所提供的地质报告或与招标时的现场条件不一致，额外费用报项目监理、业主审核批复后，按补偿事件处理；否则，相关费用由承包商承担。在混凝土或石砌护堤结构内，这些开挖或回填，应视为含在合同价内。</w:t>
      </w:r>
    </w:p>
    <w:p>
      <w:pPr>
        <w:pStyle w:val="1284"/>
        <w:outlineLvl w:val="0"/>
        <w:rPr>
          <w:rFonts w:ascii="宋体" w:hAnsi="宋体"/>
        </w:rPr>
      </w:pPr>
      <w:bookmarkStart w:id="1954" w:name="_Toc385007640"/>
      <w:bookmarkStart w:id="1955" w:name="_Toc385008436"/>
      <w:bookmarkStart w:id="1956" w:name="_Toc385012598"/>
      <w:bookmarkStart w:id="1957" w:name="_Toc395408064"/>
      <w:bookmarkStart w:id="1958" w:name="_Toc395412738"/>
      <w:bookmarkStart w:id="1959" w:name="_Toc398083742"/>
      <w:bookmarkStart w:id="1960" w:name="_Toc398453567"/>
      <w:bookmarkStart w:id="1961" w:name="_Toc398523367"/>
      <w:bookmarkStart w:id="1962" w:name="_Toc16242348"/>
      <w:bookmarkStart w:id="1963" w:name="_Toc43107528"/>
      <w:bookmarkStart w:id="1964" w:name="_Toc164502105"/>
      <w:bookmarkStart w:id="1965" w:name="_Toc517382511"/>
      <w:bookmarkStart w:id="1966" w:name="_Toc518376563"/>
      <w:bookmarkStart w:id="1967" w:name="_Toc521491884"/>
      <w:bookmarkStart w:id="1968" w:name="_Toc521492741"/>
      <w:bookmarkStart w:id="1969" w:name="_Toc521493415"/>
      <w:bookmarkStart w:id="1970" w:name="_Toc106883070"/>
      <w:r>
        <w:rPr>
          <w:rFonts w:ascii="宋体" w:hAnsi="宋体"/>
        </w:rPr>
        <w:t>2.10.4 在水持力层的开挖</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1280"/>
        <w:rPr>
          <w:rFonts w:ascii="宋体"/>
        </w:rPr>
      </w:pPr>
      <w:r>
        <w:rPr>
          <w:rFonts w:ascii="宋体"/>
        </w:rPr>
        <w:t>在水持力层的开挖要求有适当的排水措施。承包商应该提交项目监理和业主一份图纸，在图中注明拟采用的排水设施和其他临时支撑的布置。</w:t>
      </w:r>
    </w:p>
    <w:p>
      <w:pPr>
        <w:pStyle w:val="1280"/>
        <w:rPr>
          <w:rFonts w:ascii="宋体"/>
        </w:rPr>
      </w:pPr>
      <w:r>
        <w:rPr>
          <w:rFonts w:ascii="宋体"/>
        </w:rPr>
        <w:t>所有这些临时支撑系统应能满足施工、沟槽表面验收和沟槽外设置任何临时抽排设施的空间要求。</w:t>
      </w:r>
    </w:p>
    <w:p>
      <w:pPr>
        <w:pStyle w:val="1284"/>
        <w:outlineLvl w:val="0"/>
        <w:rPr>
          <w:rFonts w:ascii="宋体" w:hAnsi="宋体"/>
        </w:rPr>
      </w:pPr>
      <w:bookmarkStart w:id="1971" w:name="_Toc385007641"/>
      <w:bookmarkStart w:id="1972" w:name="_Toc385008437"/>
      <w:bookmarkStart w:id="1973" w:name="_Toc385012599"/>
      <w:bookmarkStart w:id="1974" w:name="_Toc395408068"/>
      <w:bookmarkStart w:id="1975" w:name="_Toc395412742"/>
      <w:bookmarkStart w:id="1976" w:name="_Toc398083743"/>
      <w:bookmarkStart w:id="1977" w:name="_Toc398453568"/>
      <w:bookmarkStart w:id="1978" w:name="_Toc398523368"/>
      <w:bookmarkStart w:id="1979" w:name="_Toc16242349"/>
      <w:bookmarkStart w:id="1980" w:name="_Toc43107529"/>
      <w:bookmarkStart w:id="1981" w:name="_Toc164502106"/>
      <w:bookmarkStart w:id="1982" w:name="_Toc517382512"/>
      <w:bookmarkStart w:id="1983" w:name="_Toc518376564"/>
      <w:bookmarkStart w:id="1984" w:name="_Toc521491885"/>
      <w:bookmarkStart w:id="1985" w:name="_Toc521492742"/>
      <w:bookmarkStart w:id="1986" w:name="_Toc521493416"/>
      <w:bookmarkStart w:id="1987" w:name="_Toc106883071"/>
      <w:r>
        <w:rPr>
          <w:rFonts w:ascii="宋体" w:hAnsi="宋体"/>
        </w:rPr>
        <w:t>2.10.5 掘出物的处置</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1280"/>
        <w:rPr>
          <w:rFonts w:ascii="宋体"/>
        </w:rPr>
      </w:pPr>
      <w:bookmarkStart w:id="1988" w:name="OLE_LINK9"/>
      <w:r>
        <w:rPr>
          <w:rFonts w:ascii="宋体"/>
        </w:rPr>
        <w:t>承包商应将所有开挖出来的、不为工程需要的物质运走并处置掉，承包商现场调查确定弃土地点并经项目监理和业主批准的合适的地方堆放上述物质，且将其与他物分开堆放。</w:t>
      </w:r>
    </w:p>
    <w:p>
      <w:pPr>
        <w:pStyle w:val="1280"/>
        <w:rPr>
          <w:rFonts w:ascii="宋体"/>
        </w:rPr>
      </w:pPr>
      <w:r>
        <w:rPr>
          <w:rFonts w:ascii="宋体"/>
        </w:rPr>
        <w:t>工程现场开挖出来的有用的物质在业主批准后可由承包商处置，若承包商从工地运走有用物质后引起的填料不足应由承包商自费承担。</w:t>
      </w:r>
    </w:p>
    <w:bookmarkEnd w:id="1988"/>
    <w:p>
      <w:pPr>
        <w:pStyle w:val="1280"/>
        <w:rPr>
          <w:rFonts w:ascii="宋体"/>
        </w:rPr>
      </w:pPr>
      <w:bookmarkStart w:id="1989" w:name="_Toc385008438"/>
      <w:bookmarkStart w:id="1990" w:name="_Toc385007642"/>
      <w:bookmarkStart w:id="1991" w:name="_Toc385012600"/>
      <w:r>
        <w:rPr>
          <w:rFonts w:ascii="宋体"/>
        </w:rPr>
        <w:t>承包商应按设计图中堆土范围或项目监理指定的地点堆土，任何沟槽边缘外5m范围内不得堆放挖出的土，推土边坡不能陡于1:1.5。堆土的最大高度不得危及到邻近的建筑物，或对工程或工作人员的安全产生任何危险。</w:t>
      </w:r>
    </w:p>
    <w:p>
      <w:pPr>
        <w:pStyle w:val="1280"/>
        <w:rPr>
          <w:rFonts w:ascii="宋体"/>
        </w:rPr>
      </w:pPr>
      <w:r>
        <w:rPr>
          <w:rFonts w:ascii="宋体"/>
        </w:rPr>
        <w:t>在挖方上侧堆土时，应保证挖方边坡的稳定。土堆坡脚至挖方上边缘的距离，应根据挖方深度、边坡坡度和土质确定。土堆应连续堆置，其顶面应向外倾斜，防止地面水流入挖方场内。</w:t>
      </w:r>
    </w:p>
    <w:p>
      <w:pPr>
        <w:pStyle w:val="1280"/>
        <w:rPr>
          <w:rFonts w:ascii="宋体"/>
        </w:rPr>
      </w:pPr>
      <w:r>
        <w:rPr>
          <w:rFonts w:ascii="宋体"/>
        </w:rPr>
        <w:t>弃土场由承包商自行调查、选择，办理好所有手续并支付相关费用。弃土场应妥善处理及保护，防止土壤被冲刷流失，回淤及影响堆放区外的土地。因承包商的原因造成弃土流失、滑坡等次生地质灾害，由承包自行恢复，由此增加的费用和工期延误责任由承包商承担，如果需要，堆土场周围应设简易挡土墙及排水沟，以避免存土流失和次生灾害。</w:t>
      </w:r>
    </w:p>
    <w:p>
      <w:pPr>
        <w:pStyle w:val="1280"/>
        <w:rPr>
          <w:rFonts w:ascii="宋体"/>
        </w:rPr>
      </w:pPr>
      <w:r>
        <w:rPr>
          <w:rFonts w:ascii="宋体"/>
        </w:rPr>
        <w:t>堆置挖方土不得影响场地排水。</w:t>
      </w:r>
    </w:p>
    <w:p>
      <w:pPr>
        <w:pStyle w:val="1284"/>
        <w:outlineLvl w:val="0"/>
        <w:rPr>
          <w:rFonts w:ascii="宋体" w:hAnsi="宋体"/>
        </w:rPr>
      </w:pPr>
      <w:bookmarkStart w:id="1992" w:name="_Toc395408069"/>
      <w:bookmarkStart w:id="1993" w:name="_Toc395412743"/>
      <w:bookmarkStart w:id="1994" w:name="_Toc398083744"/>
      <w:bookmarkStart w:id="1995" w:name="_Toc398453569"/>
      <w:bookmarkStart w:id="1996" w:name="_Toc398523369"/>
      <w:bookmarkStart w:id="1997" w:name="_Toc16242350"/>
      <w:bookmarkStart w:id="1998" w:name="_Toc43107530"/>
      <w:bookmarkStart w:id="1999" w:name="_Toc164502107"/>
      <w:bookmarkStart w:id="2000" w:name="_Toc517382513"/>
      <w:bookmarkStart w:id="2001" w:name="_Toc518376565"/>
      <w:bookmarkStart w:id="2002" w:name="_Toc521491886"/>
      <w:bookmarkStart w:id="2003" w:name="_Toc521492743"/>
      <w:bookmarkStart w:id="2004" w:name="_Toc521493417"/>
      <w:bookmarkStart w:id="2005" w:name="_Toc106883072"/>
      <w:r>
        <w:rPr>
          <w:rFonts w:ascii="宋体" w:hAnsi="宋体"/>
        </w:rPr>
        <w:t>2.10.6 地基的整平</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1280"/>
        <w:rPr>
          <w:rFonts w:ascii="宋体"/>
        </w:rPr>
      </w:pPr>
      <w:r>
        <w:rPr>
          <w:rFonts w:ascii="宋体"/>
        </w:rPr>
        <w:t>在浇筑混凝土基础之前，应该按项目监理和业主的批准对开挖地基进行最后的整平工序。如果承包商选择在指定浇灌混凝土之前整平地基，整过的地基应防止水分浸入或土壤里的水分蒸发。</w:t>
      </w:r>
      <w:r>
        <w:rPr>
          <w:rFonts w:hint="eastAsia" w:ascii="宋体"/>
        </w:rPr>
        <w:t xml:space="preserve"> </w:t>
      </w:r>
    </w:p>
    <w:p>
      <w:pPr>
        <w:pStyle w:val="1280"/>
        <w:rPr>
          <w:rFonts w:ascii="宋体"/>
        </w:rPr>
      </w:pPr>
      <w:r>
        <w:rPr>
          <w:rFonts w:ascii="宋体"/>
        </w:rPr>
        <w:t>混凝土的浇筑应按要求的基础结构的深度、高程进行，并将其震捣密实，使之具有光滑、平整的表面。</w:t>
      </w:r>
    </w:p>
    <w:p>
      <w:pPr>
        <w:pStyle w:val="1280"/>
        <w:rPr>
          <w:rFonts w:ascii="宋体"/>
        </w:rPr>
      </w:pPr>
      <w:r>
        <w:rPr>
          <w:rFonts w:ascii="宋体"/>
        </w:rPr>
        <w:t>构筑物基础处的承载土壤要经过项目监理和业主检查，如果土质不满足基础设计的要求，应采取适当的修补措施。在超挖的地方，应通过回填特殊等级的混凝土达到要求的高程。此项工作不得要求额外支付。</w:t>
      </w:r>
    </w:p>
    <w:p>
      <w:pPr>
        <w:pStyle w:val="1284"/>
        <w:outlineLvl w:val="0"/>
        <w:rPr>
          <w:rFonts w:ascii="宋体" w:hAnsi="宋体"/>
        </w:rPr>
      </w:pPr>
      <w:bookmarkStart w:id="2006" w:name="_Toc517382514"/>
      <w:bookmarkStart w:id="2007" w:name="_Toc164502108"/>
      <w:bookmarkStart w:id="2008" w:name="_Toc43107531"/>
      <w:bookmarkStart w:id="2009" w:name="_Toc398523370"/>
      <w:bookmarkStart w:id="2010" w:name="_Toc398453570"/>
      <w:bookmarkStart w:id="2011" w:name="_Toc16242351"/>
      <w:bookmarkStart w:id="2012" w:name="_Toc385007643"/>
      <w:bookmarkStart w:id="2013" w:name="_Toc385008439"/>
      <w:bookmarkStart w:id="2014" w:name="_Toc385012601"/>
      <w:bookmarkStart w:id="2015" w:name="_Toc395408070"/>
      <w:bookmarkStart w:id="2016" w:name="_Toc395412744"/>
      <w:bookmarkStart w:id="2017" w:name="_Toc398083745"/>
      <w:bookmarkStart w:id="2018" w:name="_Toc518376566"/>
      <w:bookmarkStart w:id="2019" w:name="_Toc521491887"/>
      <w:bookmarkStart w:id="2020" w:name="_Toc521492744"/>
      <w:bookmarkStart w:id="2021" w:name="_Toc521493418"/>
      <w:bookmarkStart w:id="2022" w:name="_Toc106883073"/>
      <w:r>
        <w:rPr>
          <w:rFonts w:ascii="宋体" w:hAnsi="宋体"/>
        </w:rPr>
        <w:t>2.10.7 沟槽的基础处理</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1280"/>
        <w:rPr>
          <w:rFonts w:ascii="宋体"/>
        </w:rPr>
      </w:pPr>
      <w:r>
        <w:rPr>
          <w:rFonts w:ascii="宋体"/>
        </w:rPr>
        <w:t>凡是沟槽超挖及扰动地段应进行基础处理。处理的方式取决于土壤的类型和处理的深度。包括回填及夯实原状土、戗灰土及回填自然级配的砂石和碎石。工程实施之前，该计划应经过项目监理和业主同意。</w:t>
      </w:r>
    </w:p>
    <w:p>
      <w:pPr>
        <w:pStyle w:val="1280"/>
        <w:rPr>
          <w:rFonts w:ascii="宋体"/>
        </w:rPr>
      </w:pPr>
      <w:r>
        <w:rPr>
          <w:rFonts w:ascii="宋体"/>
        </w:rPr>
        <w:t>管道交叉处沟槽基础的处理应符合设计图纸和有关的国家标准和规范。</w:t>
      </w:r>
    </w:p>
    <w:p>
      <w:pPr>
        <w:pStyle w:val="1284"/>
        <w:outlineLvl w:val="0"/>
        <w:rPr>
          <w:rFonts w:ascii="宋体" w:hAnsi="宋体"/>
        </w:rPr>
      </w:pPr>
      <w:bookmarkStart w:id="2023" w:name="_Toc385007644"/>
      <w:bookmarkStart w:id="2024" w:name="_Toc385008440"/>
      <w:bookmarkStart w:id="2025" w:name="_Toc385012602"/>
      <w:bookmarkStart w:id="2026" w:name="_Toc395408071"/>
      <w:bookmarkStart w:id="2027" w:name="_Toc395412745"/>
      <w:bookmarkStart w:id="2028" w:name="_Toc398083746"/>
      <w:bookmarkStart w:id="2029" w:name="_Toc398453571"/>
      <w:bookmarkStart w:id="2030" w:name="_Toc398523371"/>
      <w:bookmarkStart w:id="2031" w:name="_Toc16242352"/>
      <w:bookmarkStart w:id="2032" w:name="_Toc43107532"/>
      <w:bookmarkStart w:id="2033" w:name="_Toc164502109"/>
      <w:bookmarkStart w:id="2034" w:name="_Toc517382515"/>
      <w:bookmarkStart w:id="2035" w:name="_Toc518376567"/>
      <w:bookmarkStart w:id="2036" w:name="_Toc521491888"/>
      <w:bookmarkStart w:id="2037" w:name="_Toc521492745"/>
      <w:bookmarkStart w:id="2038" w:name="_Toc521493419"/>
      <w:bookmarkStart w:id="2039" w:name="_Toc106883074"/>
      <w:r>
        <w:rPr>
          <w:rFonts w:ascii="宋体" w:hAnsi="宋体"/>
        </w:rPr>
        <w:t>2.10.8 不良地基处理</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1280"/>
        <w:rPr>
          <w:rFonts w:ascii="宋体"/>
        </w:rPr>
      </w:pPr>
      <w:r>
        <w:rPr>
          <w:rFonts w:ascii="宋体"/>
        </w:rPr>
        <w:t>不良地基系指主要由淤泥、淤泥质土，冲填土、杂填土</w:t>
      </w:r>
      <w:r>
        <w:rPr>
          <w:rFonts w:hint="eastAsia" w:ascii="宋体"/>
        </w:rPr>
        <w:t>、细粉砂</w:t>
      </w:r>
      <w:r>
        <w:rPr>
          <w:rFonts w:ascii="宋体"/>
        </w:rPr>
        <w:t>或其它高压缩性土层构成的地基。地基承载力低，满足不了工程要求。</w:t>
      </w:r>
    </w:p>
    <w:p>
      <w:pPr>
        <w:pStyle w:val="1280"/>
        <w:rPr>
          <w:rFonts w:ascii="宋体"/>
        </w:rPr>
      </w:pPr>
      <w:r>
        <w:rPr>
          <w:rFonts w:ascii="宋体"/>
        </w:rPr>
        <w:t>根据地质资料正确确定构筑物的持力层，根据不同性质的软弱地基土的埋深，结合施工条件，材料供应情况和技术经济比较，选择适当的人工处理方法。</w:t>
      </w:r>
    </w:p>
    <w:p>
      <w:pPr>
        <w:pStyle w:val="1280"/>
        <w:rPr>
          <w:rFonts w:ascii="宋体"/>
        </w:rPr>
      </w:pPr>
      <w:r>
        <w:rPr>
          <w:rFonts w:ascii="宋体"/>
        </w:rPr>
        <w:t>施工时，应注意基槽底面的保护，减少扰动，荷载差异较大的建筑物，宜先建重、高部分，后建轻、低部分。</w:t>
      </w:r>
    </w:p>
    <w:p>
      <w:pPr>
        <w:pStyle w:val="1280"/>
        <w:rPr>
          <w:rFonts w:ascii="宋体"/>
        </w:rPr>
      </w:pPr>
      <w:r>
        <w:rPr>
          <w:rFonts w:ascii="宋体"/>
        </w:rPr>
        <w:t>淤泥和淤泥质土，当利用其上层较好土层作为持力层，如上层土层较薄，应注意避免施工时对淤泥和淤泥质土的扰动。</w:t>
      </w:r>
    </w:p>
    <w:p>
      <w:pPr>
        <w:pStyle w:val="1280"/>
        <w:rPr>
          <w:rFonts w:ascii="宋体"/>
        </w:rPr>
      </w:pPr>
      <w:r>
        <w:rPr>
          <w:rFonts w:ascii="宋体"/>
        </w:rPr>
        <w:t>当工程穿越湖泊、渔塘、暗沟以及局部软土层，如软弱土层厚度较小，应全部清除，换填碎石或素土，并碾压达到规范要求的密实度。</w:t>
      </w:r>
    </w:p>
    <w:p>
      <w:pPr>
        <w:pStyle w:val="1280"/>
        <w:rPr>
          <w:rFonts w:ascii="宋体"/>
        </w:rPr>
      </w:pPr>
      <w:r>
        <w:rPr>
          <w:rFonts w:ascii="宋体"/>
        </w:rPr>
        <w:t>当软弱土层较大，采用换填时，换填土的厚度和宽度必须满足设计要求。</w:t>
      </w:r>
    </w:p>
    <w:p>
      <w:pPr>
        <w:pStyle w:val="1280"/>
        <w:rPr>
          <w:rFonts w:ascii="宋体"/>
        </w:rPr>
      </w:pPr>
      <w:r>
        <w:rPr>
          <w:rFonts w:ascii="宋体"/>
        </w:rPr>
        <w:t>同一建筑物下换填厚度不同时，垫层顶面高程应相同，厚度不同的搭接处基坑，应按设计要求，挖成梯坎，并按先深后浅的顺序进行垫层施工，搭接处应夯实。</w:t>
      </w:r>
    </w:p>
    <w:p>
      <w:pPr>
        <w:pStyle w:val="1280"/>
        <w:rPr>
          <w:rFonts w:ascii="宋体"/>
        </w:rPr>
      </w:pPr>
      <w:r>
        <w:rPr>
          <w:rFonts w:ascii="宋体"/>
        </w:rPr>
        <w:t>当淤泥或淤泥质土层厚度较小，清除比较困难时，可采用块石挤淤处理，先在软弱土面上堆填块石、片石，然后将其压入以置换和挤出软弱土。块石层的外边缘距底面边缘不小于50厘米。</w:t>
      </w:r>
    </w:p>
    <w:p>
      <w:pPr>
        <w:pStyle w:val="1280"/>
        <w:rPr>
          <w:rFonts w:ascii="宋体"/>
        </w:rPr>
      </w:pPr>
      <w:r>
        <w:rPr>
          <w:rFonts w:ascii="宋体"/>
        </w:rPr>
        <w:t>对不良地基的处理如果项目监理和业主有特殊要求，承包商应按项目监理和业主的要求施工。</w:t>
      </w:r>
    </w:p>
    <w:p>
      <w:pPr>
        <w:pStyle w:val="1280"/>
        <w:rPr>
          <w:rFonts w:ascii="宋体"/>
        </w:rPr>
      </w:pPr>
      <w:r>
        <w:rPr>
          <w:rFonts w:ascii="宋体"/>
        </w:rPr>
        <w:t>承包商对不良地基处理好后，须经项目监理和业主签证认可，方可进行下一道工序的施工。</w:t>
      </w:r>
      <w:bookmarkStart w:id="2040" w:name="_Toc385007646"/>
      <w:bookmarkStart w:id="2041" w:name="_Toc385008442"/>
      <w:bookmarkStart w:id="2042" w:name="_Toc385012604"/>
      <w:bookmarkStart w:id="2043" w:name="_Toc395408072"/>
      <w:bookmarkStart w:id="2044" w:name="_Toc395412746"/>
      <w:bookmarkStart w:id="2045" w:name="_Toc398083747"/>
      <w:bookmarkStart w:id="2046" w:name="_Toc398453572"/>
      <w:bookmarkStart w:id="2047" w:name="_Toc398523372"/>
      <w:bookmarkStart w:id="2048" w:name="_Toc16242353"/>
      <w:bookmarkStart w:id="2049" w:name="_Toc43107537"/>
      <w:bookmarkStart w:id="2050" w:name="_Toc164502110"/>
    </w:p>
    <w:p>
      <w:pPr>
        <w:pStyle w:val="1281"/>
        <w:outlineLvl w:val="0"/>
        <w:rPr>
          <w:rFonts w:ascii="宋体" w:hAnsi="宋体"/>
          <w:color w:val="auto"/>
        </w:rPr>
      </w:pPr>
      <w:bookmarkStart w:id="2051" w:name="_Toc517382516"/>
      <w:bookmarkStart w:id="2052" w:name="_Toc518376568"/>
      <w:bookmarkStart w:id="2053" w:name="_Toc521491889"/>
      <w:bookmarkStart w:id="2054" w:name="_Toc521492746"/>
      <w:bookmarkStart w:id="2055" w:name="_Toc521493420"/>
      <w:bookmarkStart w:id="2056" w:name="_Toc106883075"/>
      <w:r>
        <w:rPr>
          <w:rFonts w:ascii="宋体" w:hAnsi="宋体"/>
          <w:color w:val="auto"/>
        </w:rPr>
        <w:t>2.11 回填</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1284"/>
        <w:outlineLvl w:val="0"/>
        <w:rPr>
          <w:rFonts w:ascii="宋体" w:hAnsi="宋体"/>
        </w:rPr>
      </w:pPr>
      <w:bookmarkStart w:id="2057" w:name="_Toc385007647"/>
      <w:bookmarkStart w:id="2058" w:name="_Toc385008443"/>
      <w:bookmarkStart w:id="2059" w:name="_Toc385012605"/>
      <w:bookmarkStart w:id="2060" w:name="_Toc395408073"/>
      <w:bookmarkStart w:id="2061" w:name="_Toc395412747"/>
      <w:bookmarkStart w:id="2062" w:name="_Toc398083748"/>
      <w:bookmarkStart w:id="2063" w:name="_Toc398453573"/>
      <w:bookmarkStart w:id="2064" w:name="_Toc398523373"/>
      <w:bookmarkStart w:id="2065" w:name="_Toc16242354"/>
      <w:bookmarkStart w:id="2066" w:name="_Toc43107538"/>
      <w:bookmarkStart w:id="2067" w:name="_Toc164502111"/>
      <w:bookmarkStart w:id="2068" w:name="_Toc517382517"/>
      <w:bookmarkStart w:id="2069" w:name="_Toc518376569"/>
      <w:bookmarkStart w:id="2070" w:name="_Toc521491890"/>
      <w:bookmarkStart w:id="2071" w:name="_Toc521492747"/>
      <w:bookmarkStart w:id="2072" w:name="_Toc521493421"/>
      <w:bookmarkStart w:id="2073" w:name="_Toc106883076"/>
      <w:r>
        <w:rPr>
          <w:rFonts w:ascii="宋体" w:hAnsi="宋体"/>
        </w:rPr>
        <w:t>2.11.1 回填总述</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1280"/>
        <w:rPr>
          <w:rFonts w:ascii="宋体"/>
        </w:rPr>
      </w:pPr>
      <w:r>
        <w:rPr>
          <w:rFonts w:ascii="宋体"/>
        </w:rPr>
        <w:t>承包商需在项目监理和业主检查过现场并同意后，才能进行场地回填。在回填过程中，挖开的场地应注意防水和防渗。在整个合同期内，承包商应该采取一切预防措施以保持沟槽安全和稳定。所有的回填土标高应符合图纸要求，并符合下述规定、</w:t>
      </w:r>
      <w:r>
        <w:rPr>
          <w:rFonts w:hint="eastAsia" w:ascii="宋体"/>
        </w:rPr>
        <w:t>《土方与爆破工程施工及验收规范》（</w:t>
      </w:r>
      <w:r>
        <w:rPr>
          <w:rFonts w:ascii="宋体"/>
        </w:rPr>
        <w:t>GB</w:t>
      </w:r>
      <w:r>
        <w:rPr>
          <w:rFonts w:hint="eastAsia" w:ascii="宋体"/>
        </w:rPr>
        <w:t xml:space="preserve"> </w:t>
      </w:r>
      <w:r>
        <w:rPr>
          <w:rFonts w:ascii="宋体"/>
        </w:rPr>
        <w:t>50201</w:t>
      </w:r>
      <w:r>
        <w:rPr>
          <w:rFonts w:hint="eastAsia" w:ascii="宋体"/>
        </w:rPr>
        <w:t>）</w:t>
      </w:r>
      <w:r>
        <w:rPr>
          <w:rFonts w:ascii="宋体"/>
        </w:rPr>
        <w:t>和</w:t>
      </w:r>
      <w:r>
        <w:rPr>
          <w:rFonts w:hint="eastAsia" w:ascii="宋体"/>
        </w:rPr>
        <w:t>《</w:t>
      </w:r>
      <w:r>
        <w:rPr>
          <w:rFonts w:ascii="宋体"/>
        </w:rPr>
        <w:t>城镇道路工程施工与质量验收规范</w:t>
      </w:r>
      <w:r>
        <w:rPr>
          <w:rFonts w:hint="eastAsia" w:ascii="宋体"/>
        </w:rPr>
        <w:t>》（</w:t>
      </w:r>
      <w:r>
        <w:rPr>
          <w:rFonts w:ascii="宋体"/>
        </w:rPr>
        <w:t>CJJ</w:t>
      </w:r>
      <w:r>
        <w:rPr>
          <w:rFonts w:hint="eastAsia" w:ascii="宋体"/>
        </w:rPr>
        <w:t xml:space="preserve"> </w:t>
      </w:r>
      <w:r>
        <w:rPr>
          <w:rFonts w:ascii="宋体"/>
        </w:rPr>
        <w:t>1-2008</w:t>
      </w:r>
      <w:r>
        <w:rPr>
          <w:rFonts w:hint="eastAsia" w:ascii="宋体"/>
        </w:rPr>
        <w:t>）</w:t>
      </w:r>
      <w:r>
        <w:rPr>
          <w:rFonts w:ascii="宋体"/>
        </w:rPr>
        <w:t>的要求。</w:t>
      </w:r>
    </w:p>
    <w:p>
      <w:pPr>
        <w:pStyle w:val="1280"/>
        <w:rPr>
          <w:rFonts w:ascii="宋体"/>
        </w:rPr>
      </w:pPr>
      <w:r>
        <w:rPr>
          <w:rFonts w:ascii="宋体"/>
        </w:rPr>
        <w:t>回填料要满足有关的国家标准和规范要求。只有在构筑物的混凝土强度足够承受回填土和夯实的压力时，方可进行回填。不得使用冻状回填料、生活垃圾土、盐责土，或用杂填土、淤泥等腐殖土回填。土的可溶性盐含量不得大于5%；550</w:t>
      </w:r>
      <w:r>
        <w:rPr>
          <w:rFonts w:hint="eastAsia" w:ascii="宋体" w:cs="宋体"/>
        </w:rPr>
        <w:t>℃</w:t>
      </w:r>
      <w:r>
        <w:rPr>
          <w:rFonts w:ascii="宋体"/>
        </w:rPr>
        <w:t>的有机质烧失量不得大于5%，特殊情况不得大于7%。</w:t>
      </w:r>
    </w:p>
    <w:p>
      <w:pPr>
        <w:pStyle w:val="1280"/>
        <w:rPr>
          <w:rFonts w:ascii="宋体"/>
        </w:rPr>
      </w:pPr>
      <w:bookmarkStart w:id="2074" w:name="_Toc385012606"/>
      <w:bookmarkStart w:id="2075" w:name="_Toc385008444"/>
      <w:bookmarkStart w:id="2076" w:name="_Toc385007648"/>
      <w:r>
        <w:rPr>
          <w:rFonts w:ascii="宋体"/>
        </w:rPr>
        <w:t>对地下设施的回填</w:t>
      </w:r>
      <w:r>
        <w:rPr>
          <w:rFonts w:hint="eastAsia" w:ascii="宋体"/>
        </w:rPr>
        <w:t>（</w:t>
      </w:r>
      <w:r>
        <w:rPr>
          <w:rFonts w:ascii="宋体"/>
        </w:rPr>
        <w:t>如房屋基础、管道、电缆等</w:t>
      </w:r>
      <w:r>
        <w:rPr>
          <w:rFonts w:hint="eastAsia" w:ascii="宋体"/>
        </w:rPr>
        <w:t>）</w:t>
      </w:r>
      <w:r>
        <w:rPr>
          <w:rFonts w:ascii="宋体"/>
        </w:rPr>
        <w:t>，应先对地下工程进行检查验收，作好隐蔽记录和办理验收手续，在取得项目监明确指示后方可回填。</w:t>
      </w:r>
    </w:p>
    <w:p>
      <w:pPr>
        <w:pStyle w:val="1280"/>
        <w:rPr>
          <w:rFonts w:ascii="宋体"/>
        </w:rPr>
      </w:pPr>
      <w:r>
        <w:rPr>
          <w:rFonts w:ascii="宋体"/>
        </w:rPr>
        <w:t>对于有密实度要求的填方，应按所选用的土料，压实机械的性能，通过试验确定含水量控制范围，每层铺土厚度，压实遍数，进行水平分层铺土碾压达到设计规定的质量要求。</w:t>
      </w:r>
    </w:p>
    <w:p>
      <w:pPr>
        <w:pStyle w:val="1280"/>
        <w:rPr>
          <w:rFonts w:ascii="宋体"/>
        </w:rPr>
      </w:pPr>
      <w:r>
        <w:rPr>
          <w:rFonts w:ascii="宋体"/>
        </w:rPr>
        <w:t>对于无密实度要求或允许自然沉实的填方，可直接填筑，不压</w:t>
      </w:r>
      <w:r>
        <w:rPr>
          <w:rFonts w:hint="eastAsia" w:ascii="宋体"/>
        </w:rPr>
        <w:t>（</w:t>
      </w:r>
      <w:r>
        <w:rPr>
          <w:rFonts w:ascii="宋体"/>
        </w:rPr>
        <w:t>夯</w:t>
      </w:r>
      <w:r>
        <w:rPr>
          <w:rFonts w:hint="eastAsia" w:ascii="宋体"/>
        </w:rPr>
        <w:t>）</w:t>
      </w:r>
      <w:r>
        <w:rPr>
          <w:rFonts w:ascii="宋体"/>
        </w:rPr>
        <w:t>实，但应预留一定的沉陷量。</w:t>
      </w:r>
    </w:p>
    <w:p>
      <w:pPr>
        <w:pStyle w:val="1284"/>
        <w:outlineLvl w:val="0"/>
        <w:rPr>
          <w:rFonts w:ascii="宋体" w:hAnsi="宋体"/>
        </w:rPr>
      </w:pPr>
      <w:bookmarkStart w:id="2077" w:name="_Toc395408074"/>
      <w:bookmarkStart w:id="2078" w:name="_Toc395412748"/>
      <w:bookmarkStart w:id="2079" w:name="_Toc398083749"/>
      <w:bookmarkStart w:id="2080" w:name="_Toc398453574"/>
      <w:bookmarkStart w:id="2081" w:name="_Toc398523374"/>
      <w:bookmarkStart w:id="2082" w:name="_Toc16242355"/>
      <w:bookmarkStart w:id="2083" w:name="_Toc43107539"/>
      <w:bookmarkStart w:id="2084" w:name="_Toc164502112"/>
      <w:bookmarkStart w:id="2085" w:name="_Toc517382518"/>
      <w:bookmarkStart w:id="2086" w:name="_Toc518376570"/>
      <w:bookmarkStart w:id="2087" w:name="_Toc521491891"/>
      <w:bookmarkStart w:id="2088" w:name="_Toc521492748"/>
      <w:bookmarkStart w:id="2089" w:name="_Toc521493422"/>
      <w:bookmarkStart w:id="2090" w:name="_Toc106883077"/>
      <w:r>
        <w:rPr>
          <w:rFonts w:ascii="宋体" w:hAnsi="宋体"/>
        </w:rPr>
        <w:t>2.11.2 沟槽回填</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1280"/>
        <w:rPr>
          <w:rFonts w:ascii="宋体"/>
        </w:rPr>
      </w:pPr>
      <w:r>
        <w:rPr>
          <w:rFonts w:ascii="宋体"/>
        </w:rPr>
        <w:t>回填时，沟槽两边应对称回填，疏松厚度不超过30cm</w:t>
      </w:r>
      <w:r>
        <w:rPr>
          <w:rFonts w:hint="eastAsia" w:ascii="宋体"/>
        </w:rPr>
        <w:t>（</w:t>
      </w:r>
      <w:r>
        <w:rPr>
          <w:rFonts w:ascii="宋体"/>
        </w:rPr>
        <w:t>人工压实时为25cm</w:t>
      </w:r>
      <w:r>
        <w:rPr>
          <w:rFonts w:hint="eastAsia" w:ascii="宋体"/>
        </w:rPr>
        <w:t>）</w:t>
      </w:r>
      <w:r>
        <w:rPr>
          <w:rFonts w:ascii="宋体"/>
        </w:rPr>
        <w:t>，并且应压实到</w:t>
      </w:r>
      <w:r>
        <w:rPr>
          <w:rFonts w:hint="eastAsia" w:ascii="宋体"/>
        </w:rPr>
        <w:t>《给水排水管道工程施工及验收规范》（</w:t>
      </w:r>
      <w:r>
        <w:rPr>
          <w:rFonts w:ascii="宋体"/>
        </w:rPr>
        <w:t>GB</w:t>
      </w:r>
      <w:r>
        <w:rPr>
          <w:rFonts w:hint="eastAsia" w:ascii="宋体"/>
        </w:rPr>
        <w:t xml:space="preserve"> </w:t>
      </w:r>
      <w:r>
        <w:rPr>
          <w:rFonts w:ascii="宋体"/>
        </w:rPr>
        <w:t>50268-2008</w:t>
      </w:r>
      <w:r>
        <w:rPr>
          <w:rFonts w:hint="eastAsia" w:ascii="宋体"/>
        </w:rPr>
        <w:t>）</w:t>
      </w:r>
      <w:r>
        <w:rPr>
          <w:rFonts w:ascii="宋体"/>
        </w:rPr>
        <w:t>所规定的密实度。沟槽回填土上当年要修路的，回填土应压实到</w:t>
      </w:r>
      <w:r>
        <w:rPr>
          <w:rFonts w:hint="eastAsia" w:ascii="宋体"/>
        </w:rPr>
        <w:t>《给水排水管道工程施工及验收规范》（</w:t>
      </w:r>
      <w:r>
        <w:rPr>
          <w:rFonts w:ascii="宋体"/>
        </w:rPr>
        <w:t>GB</w:t>
      </w:r>
      <w:r>
        <w:rPr>
          <w:rFonts w:hint="eastAsia" w:ascii="宋体"/>
        </w:rPr>
        <w:t xml:space="preserve"> </w:t>
      </w:r>
      <w:r>
        <w:rPr>
          <w:rFonts w:ascii="宋体"/>
        </w:rPr>
        <w:t>50268-2008</w:t>
      </w:r>
      <w:r>
        <w:rPr>
          <w:rFonts w:hint="eastAsia" w:ascii="宋体"/>
        </w:rPr>
        <w:t>）</w:t>
      </w:r>
      <w:r>
        <w:rPr>
          <w:rFonts w:ascii="宋体"/>
        </w:rPr>
        <w:t>所规定的密实度。</w:t>
      </w:r>
    </w:p>
    <w:p>
      <w:pPr>
        <w:pStyle w:val="1280"/>
        <w:rPr>
          <w:rFonts w:ascii="宋体"/>
        </w:rPr>
      </w:pPr>
      <w:r>
        <w:rPr>
          <w:rFonts w:ascii="宋体"/>
        </w:rPr>
        <w:t>如果回填工程涉及现有地下管道，在回填之前，承包商应与有关部门和管理机构就回填方式和程序达成一致意见。</w:t>
      </w:r>
    </w:p>
    <w:p>
      <w:pPr>
        <w:pStyle w:val="1280"/>
        <w:rPr>
          <w:rFonts w:ascii="宋体"/>
        </w:rPr>
      </w:pPr>
      <w:r>
        <w:rPr>
          <w:rFonts w:ascii="宋体"/>
        </w:rPr>
        <w:t>管道两侧胸腔及构筑物的回填必须两侧同时进行，两侧高差不得超过30cm，应分层夯实，回填土内不得含有砖头、石块及大于10cm的硬土或冻土。</w:t>
      </w:r>
    </w:p>
    <w:p>
      <w:pPr>
        <w:pStyle w:val="1280"/>
        <w:rPr>
          <w:rFonts w:ascii="宋体"/>
        </w:rPr>
      </w:pPr>
      <w:r>
        <w:rPr>
          <w:rFonts w:ascii="宋体"/>
        </w:rPr>
        <w:t>回填土时不得将土直接砸在管道接口上，管顶以上50cm范围内的回填土应用木夯分层夯实，管顶50cm以上至地面的回填土可用其他夯实设备夯实，但管顶以上填土高度达到1.5m以上时方可使用碾压机械。</w:t>
      </w:r>
    </w:p>
    <w:p>
      <w:pPr>
        <w:pStyle w:val="1280"/>
        <w:rPr>
          <w:rFonts w:ascii="宋体"/>
        </w:rPr>
      </w:pPr>
      <w:r>
        <w:rPr>
          <w:rFonts w:ascii="宋体"/>
        </w:rPr>
        <w:t>在有地下管道交叉处下方的回填土，承包商应提出切实可行的夯实方法或采取必要的加固措施，交项目监理审批。</w:t>
      </w:r>
    </w:p>
    <w:p>
      <w:pPr>
        <w:pStyle w:val="1280"/>
        <w:rPr>
          <w:rFonts w:ascii="宋体"/>
          <w:u w:val="single"/>
        </w:rPr>
      </w:pPr>
      <w:r>
        <w:rPr>
          <w:rFonts w:ascii="宋体"/>
        </w:rPr>
        <w:t>采用木板桩或立板撑方法施工的沟槽，拔出板桩或立板后，所遗留的孔洞应用粗沙灌实。</w:t>
      </w:r>
    </w:p>
    <w:p>
      <w:pPr>
        <w:pStyle w:val="1284"/>
        <w:outlineLvl w:val="0"/>
        <w:rPr>
          <w:rFonts w:ascii="宋体" w:hAnsi="宋体"/>
        </w:rPr>
      </w:pPr>
      <w:bookmarkStart w:id="2091" w:name="_Toc385007649"/>
      <w:bookmarkStart w:id="2092" w:name="_Toc385008445"/>
      <w:bookmarkStart w:id="2093" w:name="_Toc385012607"/>
      <w:bookmarkStart w:id="2094" w:name="_Toc395408075"/>
      <w:bookmarkStart w:id="2095" w:name="_Toc395412749"/>
      <w:bookmarkStart w:id="2096" w:name="_Toc398083750"/>
      <w:bookmarkStart w:id="2097" w:name="_Toc398453575"/>
      <w:bookmarkStart w:id="2098" w:name="_Toc398523375"/>
      <w:bookmarkStart w:id="2099" w:name="_Toc16242356"/>
      <w:bookmarkStart w:id="2100" w:name="_Toc43107540"/>
      <w:bookmarkStart w:id="2101" w:name="_Toc164502113"/>
      <w:bookmarkStart w:id="2102" w:name="_Toc517382519"/>
      <w:bookmarkStart w:id="2103" w:name="_Toc518376571"/>
      <w:bookmarkStart w:id="2104" w:name="_Toc521491892"/>
      <w:bookmarkStart w:id="2105" w:name="_Toc521492749"/>
      <w:bookmarkStart w:id="2106" w:name="_Toc521493423"/>
      <w:bookmarkStart w:id="2107" w:name="_Toc106883078"/>
      <w:bookmarkStart w:id="2108" w:name="OLE_LINK2"/>
      <w:r>
        <w:rPr>
          <w:rFonts w:ascii="宋体" w:hAnsi="宋体"/>
        </w:rPr>
        <w:t>2.11.3 挡墙的回填</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bookmarkEnd w:id="2108"/>
    <w:p>
      <w:pPr>
        <w:pStyle w:val="1280"/>
        <w:rPr>
          <w:rFonts w:ascii="宋体"/>
        </w:rPr>
      </w:pPr>
      <w:r>
        <w:rPr>
          <w:rFonts w:ascii="宋体"/>
        </w:rPr>
        <w:t>为保证挡土墙的设计要求和正常的使用功能，并使其具有良好的性能，墙背填料的选择是至关重要的。</w:t>
      </w:r>
    </w:p>
    <w:p>
      <w:pPr>
        <w:pStyle w:val="1280"/>
        <w:rPr>
          <w:rFonts w:ascii="宋体"/>
        </w:rPr>
      </w:pPr>
      <w:r>
        <w:rPr>
          <w:rFonts w:ascii="宋体"/>
        </w:rPr>
        <w:t>墙背填料应严格按照设计的材料选用和组织填筑，浸水挡土墙的墙背应全部用水稳性和透水性良好的材料填筑，项目监理应按CBR值来选择和控制墙背填料，其标准可参考《城市道路路基设计规范》（CJJ 194-2013）和《城镇道路工程施工与质量验收规范》（CJJ 1-2008）</w:t>
      </w:r>
      <w:r>
        <w:rPr>
          <w:rFonts w:hint="eastAsia" w:ascii="宋体"/>
        </w:rPr>
        <w:t>以及《堤防工程施工规范》（SL 260-2014）</w:t>
      </w:r>
      <w:r>
        <w:rPr>
          <w:rFonts w:ascii="宋体"/>
        </w:rPr>
        <w:t>，具体要求详表2-11-1：</w:t>
      </w:r>
    </w:p>
    <w:p>
      <w:pPr>
        <w:pStyle w:val="1286"/>
        <w:jc w:val="center"/>
        <w:rPr>
          <w:rFonts w:ascii="宋体" w:hAnsi="宋体"/>
          <w:color w:val="auto"/>
        </w:rPr>
      </w:pPr>
      <w:r>
        <w:rPr>
          <w:rFonts w:ascii="宋体" w:hAnsi="宋体"/>
          <w:color w:val="auto"/>
        </w:rPr>
        <w:t xml:space="preserve">填料最小强度表               </w:t>
      </w:r>
      <w:r>
        <w:rPr>
          <w:rFonts w:hint="eastAsia" w:ascii="宋体" w:hAnsi="宋体"/>
          <w:color w:val="auto"/>
        </w:rPr>
        <w:t xml:space="preserve">            </w:t>
      </w:r>
      <w:r>
        <w:rPr>
          <w:rFonts w:ascii="宋体" w:hAnsi="宋体"/>
          <w:color w:val="auto"/>
        </w:rPr>
        <w:t xml:space="preserve">  表2-11-1</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2"/>
        <w:gridCol w:w="2360"/>
        <w:gridCol w:w="2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2" w:type="dxa"/>
            <w:vMerge w:val="restart"/>
            <w:vAlign w:val="center"/>
          </w:tcPr>
          <w:p>
            <w:pPr>
              <w:pStyle w:val="1286"/>
              <w:rPr>
                <w:rFonts w:ascii="宋体" w:hAnsi="宋体"/>
                <w:color w:val="auto"/>
              </w:rPr>
            </w:pPr>
            <w:r>
              <w:rPr>
                <w:rFonts w:ascii="宋体" w:hAnsi="宋体"/>
                <w:color w:val="auto"/>
              </w:rPr>
              <w:t>项目分类</w:t>
            </w:r>
          </w:p>
        </w:tc>
        <w:tc>
          <w:tcPr>
            <w:tcW w:w="4621" w:type="dxa"/>
            <w:gridSpan w:val="2"/>
            <w:vAlign w:val="center"/>
          </w:tcPr>
          <w:p>
            <w:pPr>
              <w:pStyle w:val="1286"/>
              <w:rPr>
                <w:rFonts w:ascii="宋体" w:hAnsi="宋体"/>
                <w:color w:val="auto"/>
              </w:rPr>
            </w:pPr>
            <w:r>
              <w:rPr>
                <w:rFonts w:ascii="宋体" w:hAnsi="宋体"/>
                <w:color w:val="auto"/>
              </w:rPr>
              <w:t>填料最小强度（CBR）（%）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2" w:type="dxa"/>
            <w:vMerge w:val="continue"/>
            <w:vAlign w:val="center"/>
          </w:tcPr>
          <w:p>
            <w:pPr>
              <w:pStyle w:val="1286"/>
              <w:rPr>
                <w:rFonts w:ascii="宋体" w:hAnsi="宋体"/>
                <w:color w:val="auto"/>
              </w:rPr>
            </w:pPr>
          </w:p>
        </w:tc>
        <w:tc>
          <w:tcPr>
            <w:tcW w:w="2360" w:type="dxa"/>
            <w:vAlign w:val="center"/>
          </w:tcPr>
          <w:p>
            <w:pPr>
              <w:pStyle w:val="1286"/>
              <w:rPr>
                <w:rFonts w:ascii="宋体" w:hAnsi="宋体"/>
                <w:color w:val="auto"/>
              </w:rPr>
            </w:pPr>
            <w:r>
              <w:rPr>
                <w:rFonts w:ascii="宋体" w:hAnsi="宋体"/>
                <w:color w:val="auto"/>
              </w:rPr>
              <w:t>城市主干路</w:t>
            </w:r>
          </w:p>
        </w:tc>
        <w:tc>
          <w:tcPr>
            <w:tcW w:w="2261" w:type="dxa"/>
            <w:vAlign w:val="center"/>
          </w:tcPr>
          <w:p>
            <w:pPr>
              <w:pStyle w:val="1286"/>
              <w:rPr>
                <w:rFonts w:ascii="宋体" w:hAnsi="宋体"/>
                <w:color w:val="auto"/>
              </w:rPr>
            </w:pPr>
            <w:r>
              <w:rPr>
                <w:rFonts w:ascii="宋体" w:hAnsi="宋体"/>
                <w:color w:val="auto"/>
              </w:rPr>
              <w:t>城市次干路及支路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2" w:type="dxa"/>
            <w:vAlign w:val="center"/>
          </w:tcPr>
          <w:p>
            <w:pPr>
              <w:pStyle w:val="1286"/>
              <w:rPr>
                <w:rFonts w:ascii="宋体" w:hAnsi="宋体"/>
                <w:color w:val="auto"/>
              </w:rPr>
            </w:pPr>
            <w:r>
              <w:rPr>
                <w:rFonts w:ascii="宋体" w:hAnsi="宋体"/>
                <w:color w:val="auto"/>
              </w:rPr>
              <w:t>上路床（0～30cm）</w:t>
            </w:r>
          </w:p>
        </w:tc>
        <w:tc>
          <w:tcPr>
            <w:tcW w:w="2360" w:type="dxa"/>
            <w:vAlign w:val="center"/>
          </w:tcPr>
          <w:p>
            <w:pPr>
              <w:pStyle w:val="1286"/>
              <w:rPr>
                <w:rFonts w:ascii="宋体" w:hAnsi="宋体"/>
                <w:color w:val="auto"/>
              </w:rPr>
            </w:pPr>
            <w:r>
              <w:rPr>
                <w:rFonts w:ascii="宋体" w:hAnsi="宋体"/>
                <w:color w:val="auto"/>
              </w:rPr>
              <w:t>8.0</w:t>
            </w:r>
          </w:p>
        </w:tc>
        <w:tc>
          <w:tcPr>
            <w:tcW w:w="2261" w:type="dxa"/>
            <w:vAlign w:val="center"/>
          </w:tcPr>
          <w:p>
            <w:pPr>
              <w:pStyle w:val="1286"/>
              <w:rPr>
                <w:rFonts w:ascii="宋体" w:hAnsi="宋体"/>
                <w:color w:val="auto"/>
              </w:rPr>
            </w:pPr>
            <w:r>
              <w:rPr>
                <w:rFonts w:ascii="宋体" w:hAnsi="宋体"/>
                <w:color w:val="auto"/>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2" w:type="dxa"/>
            <w:vAlign w:val="center"/>
          </w:tcPr>
          <w:p>
            <w:pPr>
              <w:pStyle w:val="1286"/>
              <w:rPr>
                <w:rFonts w:ascii="宋体" w:hAnsi="宋体"/>
                <w:color w:val="auto"/>
              </w:rPr>
            </w:pPr>
            <w:r>
              <w:rPr>
                <w:rFonts w:ascii="宋体" w:hAnsi="宋体"/>
                <w:color w:val="auto"/>
              </w:rPr>
              <w:t>下路床（30～80cm）</w:t>
            </w:r>
          </w:p>
        </w:tc>
        <w:tc>
          <w:tcPr>
            <w:tcW w:w="2360" w:type="dxa"/>
            <w:vAlign w:val="center"/>
          </w:tcPr>
          <w:p>
            <w:pPr>
              <w:pStyle w:val="1286"/>
              <w:rPr>
                <w:rFonts w:ascii="宋体" w:hAnsi="宋体"/>
                <w:color w:val="auto"/>
              </w:rPr>
            </w:pPr>
            <w:r>
              <w:rPr>
                <w:rFonts w:ascii="宋体" w:hAnsi="宋体"/>
                <w:color w:val="auto"/>
              </w:rPr>
              <w:t>5.0</w:t>
            </w:r>
          </w:p>
        </w:tc>
        <w:tc>
          <w:tcPr>
            <w:tcW w:w="2261" w:type="dxa"/>
            <w:vAlign w:val="center"/>
          </w:tcPr>
          <w:p>
            <w:pPr>
              <w:pStyle w:val="1286"/>
              <w:rPr>
                <w:rFonts w:ascii="宋体" w:hAnsi="宋体"/>
                <w:color w:val="auto"/>
              </w:rPr>
            </w:pPr>
            <w:r>
              <w:rPr>
                <w:rFonts w:ascii="宋体" w:hAnsi="宋体"/>
                <w:color w:val="auto"/>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2" w:type="dxa"/>
            <w:vAlign w:val="center"/>
          </w:tcPr>
          <w:p>
            <w:pPr>
              <w:pStyle w:val="1286"/>
              <w:rPr>
                <w:rFonts w:ascii="宋体" w:hAnsi="宋体"/>
                <w:color w:val="auto"/>
              </w:rPr>
            </w:pPr>
            <w:r>
              <w:rPr>
                <w:rFonts w:ascii="宋体" w:hAnsi="宋体"/>
                <w:color w:val="auto"/>
              </w:rPr>
              <w:t>上路堤（80～150cm）</w:t>
            </w:r>
          </w:p>
        </w:tc>
        <w:tc>
          <w:tcPr>
            <w:tcW w:w="2360" w:type="dxa"/>
            <w:vAlign w:val="center"/>
          </w:tcPr>
          <w:p>
            <w:pPr>
              <w:pStyle w:val="1286"/>
              <w:rPr>
                <w:rFonts w:ascii="宋体" w:hAnsi="宋体"/>
                <w:color w:val="auto"/>
              </w:rPr>
            </w:pPr>
            <w:r>
              <w:rPr>
                <w:rFonts w:ascii="宋体" w:hAnsi="宋体"/>
                <w:color w:val="auto"/>
              </w:rPr>
              <w:t>4.0</w:t>
            </w:r>
          </w:p>
        </w:tc>
        <w:tc>
          <w:tcPr>
            <w:tcW w:w="2261" w:type="dxa"/>
            <w:vAlign w:val="center"/>
          </w:tcPr>
          <w:p>
            <w:pPr>
              <w:pStyle w:val="1286"/>
              <w:rPr>
                <w:rFonts w:ascii="宋体" w:hAnsi="宋体"/>
                <w:color w:val="auto"/>
              </w:rPr>
            </w:pPr>
            <w:r>
              <w:rPr>
                <w:rFonts w:ascii="宋体" w:hAnsi="宋体"/>
                <w:color w:val="auto"/>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2" w:type="dxa"/>
            <w:vAlign w:val="center"/>
          </w:tcPr>
          <w:p>
            <w:pPr>
              <w:pStyle w:val="1286"/>
              <w:rPr>
                <w:rFonts w:ascii="宋体" w:hAnsi="宋体"/>
                <w:color w:val="auto"/>
              </w:rPr>
            </w:pPr>
            <w:r>
              <w:rPr>
                <w:rFonts w:ascii="宋体" w:hAnsi="宋体"/>
                <w:color w:val="auto"/>
              </w:rPr>
              <w:t>下路堤（﹥150cm）</w:t>
            </w:r>
          </w:p>
        </w:tc>
        <w:tc>
          <w:tcPr>
            <w:tcW w:w="2360" w:type="dxa"/>
            <w:vAlign w:val="center"/>
          </w:tcPr>
          <w:p>
            <w:pPr>
              <w:pStyle w:val="1286"/>
              <w:rPr>
                <w:rFonts w:ascii="宋体" w:hAnsi="宋体"/>
                <w:color w:val="auto"/>
              </w:rPr>
            </w:pPr>
            <w:r>
              <w:rPr>
                <w:rFonts w:ascii="宋体" w:hAnsi="宋体"/>
                <w:color w:val="auto"/>
              </w:rPr>
              <w:t>3.0</w:t>
            </w:r>
          </w:p>
        </w:tc>
        <w:tc>
          <w:tcPr>
            <w:tcW w:w="2261" w:type="dxa"/>
            <w:vAlign w:val="center"/>
          </w:tcPr>
          <w:p>
            <w:pPr>
              <w:pStyle w:val="1286"/>
              <w:rPr>
                <w:rFonts w:ascii="宋体" w:hAnsi="宋体"/>
                <w:color w:val="auto"/>
              </w:rPr>
            </w:pPr>
            <w:r>
              <w:rPr>
                <w:rFonts w:ascii="宋体" w:hAnsi="宋体"/>
                <w:color w:val="auto"/>
              </w:rPr>
              <w:t>2.0</w:t>
            </w:r>
          </w:p>
        </w:tc>
      </w:tr>
    </w:tbl>
    <w:p>
      <w:pPr>
        <w:adjustRightInd w:val="0"/>
        <w:snapToGrid w:val="0"/>
        <w:spacing w:before="156" w:beforeLines="50" w:line="360" w:lineRule="auto"/>
        <w:ind w:firstLine="360" w:firstLineChars="200"/>
        <w:rPr>
          <w:rFonts w:ascii="宋体" w:hAnsi="宋体"/>
          <w:sz w:val="18"/>
          <w:szCs w:val="18"/>
        </w:rPr>
      </w:pPr>
      <w:r>
        <w:rPr>
          <w:rFonts w:ascii="宋体" w:hAnsi="宋体"/>
          <w:sz w:val="18"/>
          <w:szCs w:val="18"/>
        </w:rPr>
        <w:t>注：表列强度按《公路土工试验规程》，对试样浸水96h的CBR试验方法测定；黄土、膨胀土及盐渍土的填料强度，分别按有关的规定办理。</w:t>
      </w:r>
    </w:p>
    <w:p>
      <w:pPr>
        <w:pStyle w:val="1280"/>
        <w:rPr>
          <w:rFonts w:ascii="宋体"/>
        </w:rPr>
      </w:pPr>
      <w:r>
        <w:rPr>
          <w:rFonts w:ascii="宋体"/>
        </w:rPr>
        <w:t>承包商在填料采集前须作标准击实试验，并向项目监理和业主提供试验报告，报告中应反映填料的最佳含水量和最大干密度，以及相应的物理、化学性能指标，经项目监理和业主审批后实施，据以控制压实质量。</w:t>
      </w:r>
    </w:p>
    <w:p>
      <w:pPr>
        <w:pStyle w:val="1280"/>
        <w:rPr>
          <w:rFonts w:ascii="宋体"/>
        </w:rPr>
      </w:pPr>
      <w:r>
        <w:rPr>
          <w:rFonts w:ascii="宋体"/>
        </w:rPr>
        <w:t>碾压前，项目监理应要求承包商进行压实试验，根据碾压机具、填料性质及最佳含水量，控制填料的松铺厚度，并分层压实。施工中，项目监理将根据试验的碾压遍数来监督施工。</w:t>
      </w:r>
    </w:p>
    <w:p>
      <w:pPr>
        <w:pStyle w:val="1280"/>
        <w:rPr>
          <w:rFonts w:ascii="宋体"/>
        </w:rPr>
      </w:pPr>
      <w:r>
        <w:rPr>
          <w:rFonts w:ascii="宋体"/>
        </w:rPr>
        <w:t>承包商墙背回填，须在挡土墙的墙体达设计强度的85%以上时进行。路肩式挡土墙顶面标高应低于路肩边缘标高2～3cm，挡土墙顶面作成与路肩一致的横坡度，以排除路面水。</w:t>
      </w:r>
    </w:p>
    <w:p>
      <w:pPr>
        <w:pStyle w:val="1280"/>
        <w:rPr>
          <w:rFonts w:ascii="宋体"/>
        </w:rPr>
      </w:pPr>
      <w:r>
        <w:rPr>
          <w:rFonts w:ascii="宋体"/>
        </w:rPr>
        <w:t>墙后必须回填均匀、摊铺平整，填料顶面应按设计要求设置横坡，一般为2%～3%。墙后1.0m范围内，不得有大型机械行使或作业。为防止碰坏墙体，一般应用小于5t的小型压实机械，如蛙式大夯机、内燃打夯机、手扶式振动压路机和振动平板夯等碾压。分层厚度不得超过20cm。</w:t>
      </w:r>
    </w:p>
    <w:p>
      <w:pPr>
        <w:pStyle w:val="1280"/>
        <w:rPr>
          <w:rFonts w:ascii="宋体"/>
        </w:rPr>
      </w:pPr>
      <w:r>
        <w:rPr>
          <w:rFonts w:ascii="宋体"/>
        </w:rPr>
        <w:t>填料压实度应符合施工图设计“墙背填料压实度标准”的要求。当用灌砂法、灌水（水袋）法检查压实度时，取土样的底面位置为每一压实层底部；用环刀法试验时，环刀中部处于压实层厚的1/2深度；用核子密度湿度仪检测时。则按说明书要求办理。</w:t>
      </w:r>
    </w:p>
    <w:p>
      <w:pPr>
        <w:pStyle w:val="1280"/>
        <w:rPr>
          <w:rFonts w:ascii="宋体"/>
        </w:rPr>
      </w:pPr>
      <w:r>
        <w:rPr>
          <w:rFonts w:ascii="宋体"/>
        </w:rPr>
        <w:t>挡土墙周边应均匀回填将不平衡的侧向土方压力减少到最小程度。在需要粒状填料处，各层填放毛砂砾石的厚度不超过200mm，并压实到标准普氏压实试验最大密实度的95%。在用压实自然材料回填处，各层填方厚度不超过200mm，并压实到标准普氏压实试验最大密实度的95%。由承包商自费通过增加水分或干燥填料控制其含水量。重型设备应放置在离构筑物1.5m外。</w:t>
      </w:r>
    </w:p>
    <w:p>
      <w:pPr>
        <w:pStyle w:val="1280"/>
        <w:rPr>
          <w:rFonts w:ascii="宋体"/>
        </w:rPr>
      </w:pPr>
      <w:r>
        <w:rPr>
          <w:rFonts w:ascii="宋体"/>
        </w:rPr>
        <w:t>墙背高填土，应按设计要求设置M5水泥砂浆片石减荷层，施工尺寸严格按设计规定。</w:t>
      </w:r>
    </w:p>
    <w:p>
      <w:pPr>
        <w:pStyle w:val="1280"/>
        <w:rPr>
          <w:rFonts w:ascii="宋体"/>
        </w:rPr>
      </w:pPr>
      <w:r>
        <w:rPr>
          <w:rFonts w:ascii="宋体"/>
        </w:rPr>
        <w:t>土工格栅应符合图纸要求及《</w:t>
      </w:r>
      <w:bookmarkStart w:id="2109" w:name="OLE_LINK10"/>
      <w:r>
        <w:rPr>
          <w:rFonts w:ascii="宋体"/>
        </w:rPr>
        <w:t>公路土工合成材料应用技术规范</w:t>
      </w:r>
      <w:bookmarkEnd w:id="2109"/>
      <w:r>
        <w:rPr>
          <w:rFonts w:ascii="宋体"/>
        </w:rPr>
        <w:t>》</w:t>
      </w:r>
      <w:r>
        <w:rPr>
          <w:rFonts w:hint="eastAsia" w:ascii="宋体"/>
        </w:rPr>
        <w:t>（</w:t>
      </w:r>
      <w:r>
        <w:rPr>
          <w:rFonts w:ascii="宋体"/>
        </w:rPr>
        <w:t>JTG/T D32-2012</w:t>
      </w:r>
      <w:r>
        <w:rPr>
          <w:rFonts w:hint="eastAsia" w:ascii="宋体"/>
        </w:rPr>
        <w:t>）</w:t>
      </w:r>
      <w:r>
        <w:rPr>
          <w:rFonts w:ascii="宋体"/>
        </w:rPr>
        <w:t>及《</w:t>
      </w:r>
      <w:bookmarkStart w:id="2110" w:name="OLE_LINK15"/>
      <w:r>
        <w:rPr>
          <w:rFonts w:ascii="宋体"/>
        </w:rPr>
        <w:t>交通工程土工合成材料土工格栅</w:t>
      </w:r>
      <w:bookmarkEnd w:id="2110"/>
      <w:r>
        <w:rPr>
          <w:rFonts w:ascii="宋体"/>
        </w:rPr>
        <w:t>》</w:t>
      </w:r>
      <w:r>
        <w:rPr>
          <w:rFonts w:hint="eastAsia" w:ascii="宋体"/>
        </w:rPr>
        <w:t>（</w:t>
      </w:r>
      <w:r>
        <w:rPr>
          <w:rFonts w:ascii="宋体"/>
        </w:rPr>
        <w:t>JT/T 480-2002</w:t>
      </w:r>
      <w:r>
        <w:rPr>
          <w:rFonts w:hint="eastAsia" w:ascii="宋体"/>
        </w:rPr>
        <w:t>）</w:t>
      </w:r>
      <w:r>
        <w:rPr>
          <w:rFonts w:ascii="宋体"/>
        </w:rPr>
        <w:t>的规定。</w:t>
      </w:r>
    </w:p>
    <w:p>
      <w:pPr>
        <w:pStyle w:val="1284"/>
        <w:outlineLvl w:val="0"/>
        <w:rPr>
          <w:rFonts w:ascii="宋体" w:hAnsi="宋体"/>
        </w:rPr>
      </w:pPr>
      <w:bookmarkStart w:id="2111" w:name="_Toc164502114"/>
      <w:bookmarkStart w:id="2112" w:name="_Toc512530603"/>
      <w:bookmarkStart w:id="2113" w:name="_Toc518376572"/>
      <w:bookmarkStart w:id="2114" w:name="_Toc521491893"/>
      <w:bookmarkStart w:id="2115" w:name="_Toc521492750"/>
      <w:bookmarkStart w:id="2116" w:name="_Toc521493424"/>
      <w:bookmarkStart w:id="2117" w:name="_Toc106883079"/>
      <w:bookmarkStart w:id="2118" w:name="_Toc517382520"/>
      <w:r>
        <w:rPr>
          <w:rFonts w:ascii="宋体" w:hAnsi="宋体"/>
        </w:rPr>
        <w:t>2.11.4 桥涵回填土</w:t>
      </w:r>
      <w:bookmarkEnd w:id="2111"/>
      <w:bookmarkEnd w:id="2112"/>
      <w:bookmarkEnd w:id="2113"/>
      <w:bookmarkEnd w:id="2114"/>
      <w:bookmarkEnd w:id="2115"/>
      <w:bookmarkEnd w:id="2116"/>
      <w:bookmarkEnd w:id="2117"/>
    </w:p>
    <w:p>
      <w:pPr>
        <w:pStyle w:val="1280"/>
        <w:rPr>
          <w:rFonts w:ascii="宋体"/>
        </w:rPr>
      </w:pPr>
      <w:r>
        <w:rPr>
          <w:rFonts w:ascii="宋体"/>
        </w:rPr>
        <w:t>桥台和路基结合部填土应分层仔细压实，层铺虚厚不得大于20cm。路床顶以下2.5m以内应采用砂砾等透水性材料或石灰土，压实度不得低于填土规定的数值。若机动车车行道下的管、涵、雨水支管等结构物的埋深较浅，回添土压实度达不到规定数值时，可按CJJ1-2008的要求处理。</w:t>
      </w:r>
    </w:p>
    <w:p>
      <w:pPr>
        <w:pStyle w:val="1284"/>
        <w:outlineLvl w:val="0"/>
        <w:rPr>
          <w:rFonts w:ascii="宋体" w:hAnsi="宋体"/>
        </w:rPr>
      </w:pPr>
      <w:bookmarkStart w:id="2119" w:name="_Toc518376573"/>
      <w:bookmarkStart w:id="2120" w:name="_Toc521491894"/>
      <w:bookmarkStart w:id="2121" w:name="_Toc521492751"/>
      <w:bookmarkStart w:id="2122" w:name="_Toc521493425"/>
      <w:bookmarkStart w:id="2123" w:name="_Toc106883080"/>
      <w:r>
        <w:rPr>
          <w:rFonts w:ascii="宋体" w:hAnsi="宋体"/>
        </w:rPr>
        <w:t>2.11.5 回填材料来源</w:t>
      </w:r>
      <w:bookmarkEnd w:id="2118"/>
      <w:bookmarkEnd w:id="2119"/>
      <w:bookmarkEnd w:id="2120"/>
      <w:bookmarkEnd w:id="2121"/>
      <w:bookmarkEnd w:id="2122"/>
      <w:bookmarkEnd w:id="2123"/>
    </w:p>
    <w:p>
      <w:pPr>
        <w:pStyle w:val="1280"/>
        <w:rPr>
          <w:rFonts w:ascii="宋体"/>
        </w:rPr>
      </w:pPr>
      <w:r>
        <w:rPr>
          <w:rFonts w:ascii="宋体"/>
        </w:rPr>
        <w:t>经调查，施工场地沿线均有砂石料及土料来源，数量可以满足施工要求，承包商可就近取料。</w:t>
      </w:r>
    </w:p>
    <w:p>
      <w:pPr>
        <w:pStyle w:val="1281"/>
        <w:outlineLvl w:val="0"/>
        <w:rPr>
          <w:rFonts w:ascii="宋体" w:hAnsi="宋体"/>
          <w:color w:val="auto"/>
        </w:rPr>
      </w:pPr>
      <w:bookmarkStart w:id="2124" w:name="_Toc395408077"/>
      <w:bookmarkStart w:id="2125" w:name="_Toc395412750"/>
      <w:bookmarkStart w:id="2126" w:name="_Toc398083751"/>
      <w:bookmarkStart w:id="2127" w:name="_Toc398453576"/>
      <w:bookmarkStart w:id="2128" w:name="_Toc398523376"/>
      <w:bookmarkStart w:id="2129" w:name="_Toc16242357"/>
      <w:bookmarkStart w:id="2130" w:name="_Toc43107541"/>
      <w:bookmarkStart w:id="2131" w:name="_Toc164502115"/>
      <w:bookmarkStart w:id="2132" w:name="_Toc517382521"/>
      <w:bookmarkStart w:id="2133" w:name="_Toc518376574"/>
      <w:bookmarkStart w:id="2134" w:name="_Toc521491895"/>
      <w:bookmarkStart w:id="2135" w:name="_Toc521492752"/>
      <w:bookmarkStart w:id="2136" w:name="_Toc521493426"/>
      <w:bookmarkStart w:id="2137" w:name="_Toc106883081"/>
      <w:r>
        <w:rPr>
          <w:rFonts w:ascii="宋体" w:hAnsi="宋体"/>
          <w:color w:val="auto"/>
        </w:rPr>
        <w:t>2.12 最少量的质检测试</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1280"/>
        <w:rPr>
          <w:rFonts w:ascii="宋体"/>
        </w:rPr>
      </w:pPr>
      <w:r>
        <w:rPr>
          <w:rFonts w:ascii="宋体"/>
        </w:rPr>
        <w:t>承包商必须按质量检验评定标准规定的检查频率，对本合同涉及的所有工程进行质量检验和测试。这些检验和测试被认为是最基本的、最少量的质量检验和测试。为保证工程质量，在必要的时候，承包商还应增大检查频率。</w:t>
      </w:r>
    </w:p>
    <w:p>
      <w:pPr>
        <w:pStyle w:val="1280"/>
        <w:rPr>
          <w:rFonts w:ascii="宋体"/>
        </w:rPr>
      </w:pPr>
      <w:r>
        <w:rPr>
          <w:rFonts w:ascii="宋体"/>
        </w:rPr>
        <w:t>土壤密度</w:t>
      </w:r>
    </w:p>
    <w:p>
      <w:pPr>
        <w:pStyle w:val="1280"/>
        <w:rPr>
          <w:rFonts w:ascii="宋体"/>
        </w:rPr>
      </w:pPr>
      <w:r>
        <w:rPr>
          <w:rFonts w:ascii="宋体"/>
        </w:rPr>
        <w:t>管基</w:t>
      </w:r>
    </w:p>
    <w:p>
      <w:pPr>
        <w:pStyle w:val="1280"/>
        <w:rPr>
          <w:rFonts w:ascii="宋体"/>
        </w:rPr>
      </w:pPr>
      <w:r>
        <w:rPr>
          <w:rFonts w:ascii="宋体"/>
        </w:rPr>
        <w:t>每100m已安装管道测试一次；</w:t>
      </w:r>
    </w:p>
    <w:p>
      <w:pPr>
        <w:pStyle w:val="1280"/>
        <w:rPr>
          <w:rFonts w:ascii="宋体"/>
        </w:rPr>
      </w:pPr>
      <w:r>
        <w:rPr>
          <w:rFonts w:ascii="宋体"/>
        </w:rPr>
        <w:t>沟槽回填</w:t>
      </w:r>
    </w:p>
    <w:p>
      <w:pPr>
        <w:pStyle w:val="1280"/>
        <w:rPr>
          <w:rFonts w:ascii="宋体"/>
        </w:rPr>
      </w:pPr>
      <w:r>
        <w:rPr>
          <w:rFonts w:ascii="宋体"/>
        </w:rPr>
        <w:t>1.0m填深的沟槽每100m测试一次;</w:t>
      </w:r>
    </w:p>
    <w:p>
      <w:pPr>
        <w:pStyle w:val="1280"/>
        <w:rPr>
          <w:rFonts w:ascii="宋体"/>
        </w:rPr>
      </w:pPr>
      <w:r>
        <w:rPr>
          <w:rFonts w:ascii="宋体"/>
        </w:rPr>
        <w:t>路床压实度的检查深度为0～30cm时每1000m</w:t>
      </w:r>
      <w:r>
        <w:rPr>
          <w:rFonts w:ascii="宋体"/>
          <w:vertAlign w:val="superscript"/>
        </w:rPr>
        <w:t>2</w:t>
      </w:r>
      <w:r>
        <w:rPr>
          <w:rFonts w:ascii="宋体"/>
        </w:rPr>
        <w:t>测试一次。</w:t>
      </w:r>
    </w:p>
    <w:p>
      <w:pPr>
        <w:pStyle w:val="1281"/>
        <w:outlineLvl w:val="0"/>
        <w:rPr>
          <w:rFonts w:ascii="宋体" w:hAnsi="宋体"/>
          <w:color w:val="auto"/>
        </w:rPr>
      </w:pPr>
      <w:bookmarkStart w:id="2138" w:name="_Toc164502116"/>
      <w:bookmarkStart w:id="2139" w:name="_Toc517382522"/>
      <w:bookmarkStart w:id="2140" w:name="_Toc518376575"/>
      <w:bookmarkStart w:id="2141" w:name="_Toc521491896"/>
      <w:bookmarkStart w:id="2142" w:name="_Toc521492753"/>
      <w:bookmarkStart w:id="2143" w:name="_Toc521493427"/>
      <w:bookmarkStart w:id="2144" w:name="_Toc106883082"/>
      <w:r>
        <w:rPr>
          <w:rFonts w:ascii="宋体" w:hAnsi="宋体"/>
          <w:color w:val="auto"/>
        </w:rPr>
        <w:t>2.13 土方工程特殊问题的处理</w:t>
      </w:r>
      <w:bookmarkEnd w:id="2138"/>
      <w:bookmarkEnd w:id="2139"/>
      <w:bookmarkEnd w:id="2140"/>
      <w:bookmarkEnd w:id="2141"/>
      <w:bookmarkEnd w:id="2142"/>
      <w:bookmarkEnd w:id="2143"/>
      <w:bookmarkEnd w:id="2144"/>
    </w:p>
    <w:p>
      <w:pPr>
        <w:pStyle w:val="1280"/>
        <w:rPr>
          <w:rFonts w:ascii="宋体"/>
        </w:rPr>
      </w:pPr>
      <w:r>
        <w:rPr>
          <w:rFonts w:ascii="宋体"/>
        </w:rPr>
        <w:t>本工程施工如有沿河岸线部分，施工场地及河岸原始地貌边坡有影响建筑物，或施工及行人安全的地质结构松散段，承包商应通过现场勘察，在投标文件中考虑整治措施的相关费用。</w:t>
      </w:r>
    </w:p>
    <w:p>
      <w:pPr>
        <w:pStyle w:val="1280"/>
        <w:rPr>
          <w:rFonts w:ascii="宋体"/>
        </w:rPr>
      </w:pPr>
      <w:r>
        <w:rPr>
          <w:rFonts w:ascii="宋体"/>
        </w:rPr>
        <w:t>若存在此情况，承包商在施工中，提出书面的整治方案，报项目监理审批后实施。或按以下建议一般处理方法，经项目监理同意后实施。</w:t>
      </w:r>
    </w:p>
    <w:p>
      <w:pPr>
        <w:pStyle w:val="1284"/>
        <w:outlineLvl w:val="0"/>
        <w:rPr>
          <w:rFonts w:ascii="宋体" w:hAnsi="宋体"/>
        </w:rPr>
      </w:pPr>
      <w:bookmarkStart w:id="2145" w:name="_Toc164502117"/>
      <w:bookmarkStart w:id="2146" w:name="_Toc517382523"/>
      <w:bookmarkStart w:id="2147" w:name="_Toc518376576"/>
      <w:bookmarkStart w:id="2148" w:name="_Toc521491897"/>
      <w:bookmarkStart w:id="2149" w:name="_Toc521492754"/>
      <w:bookmarkStart w:id="2150" w:name="_Toc521493428"/>
      <w:bookmarkStart w:id="2151" w:name="_Toc106883083"/>
      <w:r>
        <w:rPr>
          <w:rFonts w:ascii="宋体" w:hAnsi="宋体"/>
        </w:rPr>
        <w:t>2.13.1 冲沟的一般处理方法</w:t>
      </w:r>
      <w:bookmarkEnd w:id="2145"/>
      <w:bookmarkEnd w:id="2146"/>
      <w:bookmarkEnd w:id="2147"/>
      <w:bookmarkEnd w:id="2148"/>
      <w:bookmarkEnd w:id="2149"/>
      <w:bookmarkEnd w:id="2150"/>
      <w:bookmarkEnd w:id="2151"/>
    </w:p>
    <w:p>
      <w:pPr>
        <w:pStyle w:val="1280"/>
        <w:rPr>
          <w:rFonts w:ascii="宋体"/>
        </w:rPr>
      </w:pPr>
      <w:r>
        <w:rPr>
          <w:rFonts w:ascii="宋体"/>
        </w:rPr>
        <w:t>对边坡上不深的冲沟，可用好土或3:7灰土逐层回填夯实，或用浆砌块石填砌至坡面一平，并在坡顶作排水沟及反水坡，以阻截地表雨水冲刷坡面；设置分级式土方拦截大坝，对土质结构松散，承载力低的地面冲沟，可采取分级式土方拦截大坝。</w:t>
      </w:r>
    </w:p>
    <w:p>
      <w:pPr>
        <w:pStyle w:val="1284"/>
        <w:outlineLvl w:val="0"/>
        <w:rPr>
          <w:rFonts w:ascii="宋体" w:hAnsi="宋体"/>
        </w:rPr>
      </w:pPr>
      <w:bookmarkStart w:id="2152" w:name="_Toc164502118"/>
      <w:bookmarkStart w:id="2153" w:name="_Toc517382524"/>
      <w:bookmarkStart w:id="2154" w:name="_Toc518376577"/>
      <w:bookmarkStart w:id="2155" w:name="_Toc521491898"/>
      <w:bookmarkStart w:id="2156" w:name="_Toc521492755"/>
      <w:bookmarkStart w:id="2157" w:name="_Toc521493429"/>
      <w:bookmarkStart w:id="2158" w:name="_Toc106883084"/>
      <w:r>
        <w:rPr>
          <w:rFonts w:ascii="宋体" w:hAnsi="宋体"/>
        </w:rPr>
        <w:t>2.13.2 危岩或孤石的一般处理方法</w:t>
      </w:r>
      <w:bookmarkEnd w:id="2152"/>
      <w:bookmarkEnd w:id="2153"/>
      <w:bookmarkEnd w:id="2154"/>
      <w:bookmarkEnd w:id="2155"/>
      <w:bookmarkEnd w:id="2156"/>
      <w:bookmarkEnd w:id="2157"/>
      <w:bookmarkEnd w:id="2158"/>
    </w:p>
    <w:p>
      <w:pPr>
        <w:pStyle w:val="1280"/>
        <w:rPr>
          <w:rFonts w:ascii="宋体"/>
        </w:rPr>
      </w:pPr>
      <w:r>
        <w:rPr>
          <w:rFonts w:ascii="宋体"/>
        </w:rPr>
        <w:t>当危岩孤石方量不大时，采取将危岩或孤石全部清除；如当危岩孤石方量大时，不能全部清除，且表层破碎含有滑坡夹层时，可对滑坡体采取深翻、推压、打乱滑坡夹层、表面压实等措施，减少滑坡因素。也可对滑坡体的主滑地段采取挖方卸荷，对抗滑地段可采取堆方加重等辅助措施</w:t>
      </w:r>
      <w:r>
        <w:rPr>
          <w:rFonts w:hint="eastAsia" w:ascii="宋体"/>
        </w:rPr>
        <w:t>，</w:t>
      </w:r>
      <w:r>
        <w:rPr>
          <w:rFonts w:ascii="宋体"/>
        </w:rPr>
        <w:t>。</w:t>
      </w:r>
    </w:p>
    <w:p>
      <w:pPr>
        <w:pStyle w:val="1280"/>
        <w:rPr>
          <w:rFonts w:ascii="宋体"/>
        </w:rPr>
      </w:pPr>
      <w:r>
        <w:rPr>
          <w:rFonts w:hint="eastAsia" w:ascii="宋体"/>
        </w:rPr>
        <w:t>危岩及落石采用人工清除。</w:t>
      </w:r>
    </w:p>
    <w:p>
      <w:pPr>
        <w:pStyle w:val="1284"/>
        <w:outlineLvl w:val="0"/>
        <w:rPr>
          <w:rFonts w:ascii="宋体" w:hAnsi="宋体"/>
        </w:rPr>
      </w:pPr>
      <w:bookmarkStart w:id="2159" w:name="_Toc164502119"/>
      <w:bookmarkStart w:id="2160" w:name="_Toc517382525"/>
      <w:bookmarkStart w:id="2161" w:name="_Toc518376578"/>
      <w:bookmarkStart w:id="2162" w:name="_Toc521491899"/>
      <w:bookmarkStart w:id="2163" w:name="_Toc521492756"/>
      <w:bookmarkStart w:id="2164" w:name="_Toc521493430"/>
      <w:bookmarkStart w:id="2165" w:name="_Toc106883085"/>
      <w:r>
        <w:rPr>
          <w:rFonts w:ascii="宋体" w:hAnsi="宋体"/>
        </w:rPr>
        <w:t>2.13.3 结构松散、厚度大的崩坡地段的一般处理方法</w:t>
      </w:r>
      <w:bookmarkEnd w:id="2159"/>
      <w:bookmarkEnd w:id="2160"/>
      <w:bookmarkEnd w:id="2161"/>
      <w:bookmarkEnd w:id="2162"/>
      <w:bookmarkEnd w:id="2163"/>
      <w:bookmarkEnd w:id="2164"/>
      <w:bookmarkEnd w:id="2165"/>
    </w:p>
    <w:p>
      <w:pPr>
        <w:adjustRightInd w:val="0"/>
        <w:snapToGrid w:val="0"/>
        <w:spacing w:line="360" w:lineRule="auto"/>
        <w:ind w:firstLine="480" w:firstLineChars="200"/>
        <w:rPr>
          <w:rFonts w:ascii="宋体" w:hAnsi="宋体"/>
          <w:szCs w:val="21"/>
        </w:rPr>
      </w:pPr>
      <w:r>
        <w:rPr>
          <w:rFonts w:ascii="宋体" w:hAnsi="宋体"/>
          <w:szCs w:val="21"/>
        </w:rPr>
        <w:t>进行填平、夯填；防止地表水下渗，或在滑坡面植树、种草皮、浆砌片石等保护坡面的边坡稳固措施。</w:t>
      </w:r>
    </w:p>
    <w:p>
      <w:pPr>
        <w:pStyle w:val="1284"/>
        <w:outlineLvl w:val="0"/>
        <w:rPr>
          <w:rFonts w:ascii="宋体" w:hAnsi="宋体"/>
        </w:rPr>
      </w:pPr>
      <w:bookmarkStart w:id="2166" w:name="_Toc164502120"/>
      <w:bookmarkStart w:id="2167" w:name="_Toc517382526"/>
      <w:bookmarkStart w:id="2168" w:name="_Toc518376579"/>
      <w:bookmarkStart w:id="2169" w:name="_Toc521491900"/>
      <w:bookmarkStart w:id="2170" w:name="_Toc521492757"/>
      <w:bookmarkStart w:id="2171" w:name="_Toc521493431"/>
      <w:bookmarkStart w:id="2172" w:name="_Toc106883086"/>
      <w:r>
        <w:rPr>
          <w:rFonts w:ascii="宋体" w:hAnsi="宋体"/>
        </w:rPr>
        <w:t>2.13.4 特殊土路基施工的一般处理方法</w:t>
      </w:r>
      <w:bookmarkEnd w:id="2166"/>
      <w:bookmarkEnd w:id="2167"/>
      <w:bookmarkEnd w:id="2168"/>
      <w:bookmarkEnd w:id="2169"/>
      <w:bookmarkEnd w:id="2170"/>
      <w:bookmarkEnd w:id="2171"/>
      <w:bookmarkEnd w:id="2172"/>
    </w:p>
    <w:p>
      <w:pPr>
        <w:pStyle w:val="1280"/>
        <w:rPr>
          <w:rFonts w:ascii="宋体"/>
        </w:rPr>
      </w:pPr>
      <w:r>
        <w:rPr>
          <w:rFonts w:ascii="宋体"/>
        </w:rPr>
        <w:t>在施工道路路床时，遇杂填土、盐渍土、膨胀土、湿陷性黄土等，可采取以下方法：道路穿越杂填土地段，可按《城镇道路工程施工与质量验收规范》</w:t>
      </w:r>
      <w:r>
        <w:rPr>
          <w:rFonts w:hint="eastAsia" w:ascii="宋体"/>
        </w:rPr>
        <w:t>（</w:t>
      </w:r>
      <w:r>
        <w:rPr>
          <w:rFonts w:ascii="宋体"/>
        </w:rPr>
        <w:t>CJJ</w:t>
      </w:r>
      <w:r>
        <w:rPr>
          <w:rFonts w:hint="eastAsia" w:ascii="宋体"/>
        </w:rPr>
        <w:t xml:space="preserve"> </w:t>
      </w:r>
      <w:r>
        <w:rPr>
          <w:rFonts w:ascii="宋体"/>
        </w:rPr>
        <w:t>1-2008</w:t>
      </w:r>
      <w:r>
        <w:rPr>
          <w:rFonts w:hint="eastAsia" w:ascii="宋体"/>
        </w:rPr>
        <w:t>）</w:t>
      </w:r>
      <w:r>
        <w:rPr>
          <w:rFonts w:ascii="宋体"/>
        </w:rPr>
        <w:t>的方法处理，使其达到设计强度要求。如当地无其他适宜的填料时，应根据当地的气候、水文、地质等情况，通过试验决定采用的技术措施。具体处理方法可参照《城镇道路工程施工与质量验收规范》</w:t>
      </w:r>
      <w:r>
        <w:rPr>
          <w:rFonts w:hint="eastAsia" w:ascii="宋体"/>
        </w:rPr>
        <w:t>（</w:t>
      </w:r>
      <w:r>
        <w:rPr>
          <w:rFonts w:ascii="宋体"/>
        </w:rPr>
        <w:t>CJJ</w:t>
      </w:r>
      <w:r>
        <w:rPr>
          <w:rFonts w:hint="eastAsia" w:ascii="宋体"/>
        </w:rPr>
        <w:t xml:space="preserve"> </w:t>
      </w:r>
      <w:r>
        <w:rPr>
          <w:rFonts w:ascii="宋体"/>
        </w:rPr>
        <w:t>1-2008</w:t>
      </w:r>
      <w:r>
        <w:rPr>
          <w:rFonts w:hint="eastAsia" w:ascii="宋体"/>
        </w:rPr>
        <w:t>）</w:t>
      </w:r>
      <w:r>
        <w:rPr>
          <w:rFonts w:ascii="宋体"/>
        </w:rPr>
        <w:t>，或经项目监理审批后确定的措施。</w:t>
      </w:r>
    </w:p>
    <w:p>
      <w:pPr>
        <w:pStyle w:val="1280"/>
        <w:rPr>
          <w:rFonts w:ascii="宋体"/>
        </w:rPr>
      </w:pPr>
      <w:r>
        <w:rPr>
          <w:rFonts w:ascii="宋体"/>
        </w:rPr>
        <w:t>膨胀土地区的路基应避免在雨季施工，土方工程及防护加固工程应连续施工，避免边坡长期暴露。具体处理方法经项目监理审定后实施。</w:t>
      </w:r>
    </w:p>
    <w:p>
      <w:pPr>
        <w:pStyle w:val="1280"/>
        <w:rPr>
          <w:rFonts w:ascii="宋体"/>
        </w:rPr>
      </w:pPr>
      <w:r>
        <w:rPr>
          <w:rFonts w:ascii="宋体"/>
        </w:rPr>
        <w:t>湿陷性黄土路基应重视排水。无论在路基施工期间或道路竣工后，都应防止地面水浸入路基。实施时可参照《城镇道路工程施工与质量验收规范》</w:t>
      </w:r>
      <w:r>
        <w:rPr>
          <w:rFonts w:hint="eastAsia" w:ascii="宋体"/>
        </w:rPr>
        <w:t>（</w:t>
      </w:r>
      <w:r>
        <w:rPr>
          <w:rFonts w:ascii="宋体"/>
        </w:rPr>
        <w:t>CJJ</w:t>
      </w:r>
      <w:r>
        <w:rPr>
          <w:rFonts w:hint="eastAsia" w:ascii="宋体"/>
        </w:rPr>
        <w:t xml:space="preserve"> </w:t>
      </w:r>
      <w:r>
        <w:rPr>
          <w:rFonts w:ascii="宋体"/>
        </w:rPr>
        <w:t>1-2008</w:t>
      </w:r>
      <w:r>
        <w:rPr>
          <w:rFonts w:hint="eastAsia" w:ascii="宋体"/>
        </w:rPr>
        <w:t>）</w:t>
      </w:r>
      <w:r>
        <w:rPr>
          <w:rFonts w:ascii="宋体"/>
        </w:rPr>
        <w:t>的相关要求。</w:t>
      </w:r>
    </w:p>
    <w:p>
      <w:pPr>
        <w:pStyle w:val="1280"/>
        <w:rPr>
          <w:rFonts w:ascii="宋体"/>
        </w:rPr>
      </w:pPr>
      <w:r>
        <w:rPr>
          <w:rFonts w:hint="eastAsia" w:ascii="宋体"/>
        </w:rPr>
        <w:t>危岩落石地段路基施工中，必须采取有效措施，预防岩石塌落，确保安全。施工中必须按设计要求做好截、排水、防渗设施，处理好岩堆地段的渗入水及地下水。清除危岩应采用人工清除的方法进行。</w:t>
      </w:r>
    </w:p>
    <w:p>
      <w:pPr>
        <w:pStyle w:val="1284"/>
        <w:outlineLvl w:val="0"/>
        <w:rPr>
          <w:rFonts w:ascii="宋体" w:hAnsi="宋体"/>
        </w:rPr>
      </w:pPr>
      <w:bookmarkStart w:id="2173" w:name="_Toc521491901"/>
      <w:bookmarkStart w:id="2174" w:name="_Toc521492758"/>
      <w:bookmarkStart w:id="2175" w:name="_Toc521493432"/>
      <w:bookmarkStart w:id="2176" w:name="_Toc106883087"/>
      <w:r>
        <w:rPr>
          <w:rFonts w:ascii="宋体" w:hAnsi="宋体"/>
        </w:rPr>
        <w:t xml:space="preserve">2.13.5 </w:t>
      </w:r>
      <w:r>
        <w:rPr>
          <w:rFonts w:hint="eastAsia" w:ascii="宋体" w:hAnsi="宋体"/>
        </w:rPr>
        <w:t>振冲碎石桩</w:t>
      </w:r>
      <w:bookmarkEnd w:id="2173"/>
      <w:bookmarkEnd w:id="2174"/>
      <w:bookmarkEnd w:id="2175"/>
      <w:bookmarkEnd w:id="2176"/>
    </w:p>
    <w:p>
      <w:pPr>
        <w:pStyle w:val="1280"/>
        <w:rPr>
          <w:rFonts w:ascii="宋体"/>
        </w:rPr>
      </w:pPr>
      <w:r>
        <w:rPr>
          <w:rFonts w:hint="eastAsia" w:ascii="宋体"/>
        </w:rPr>
        <w:t>（1）材料</w:t>
      </w:r>
    </w:p>
    <w:p>
      <w:pPr>
        <w:pStyle w:val="1280"/>
        <w:rPr>
          <w:rFonts w:ascii="宋体"/>
        </w:rPr>
      </w:pPr>
      <w:r>
        <w:rPr>
          <w:rFonts w:hint="eastAsia" w:ascii="宋体"/>
        </w:rPr>
        <w:t xml:space="preserve">碎石由岩石或砾石轧制而成，应洁净、干燥，并具有足够的强度和耐磨耗性，其颗粒形状应具有棱角，不得掺有软质石和其它杂质，粒径宜为20~50mm，含泥量不应大于10%。 </w:t>
      </w:r>
      <w:r>
        <w:rPr>
          <w:rFonts w:ascii="宋体"/>
        </w:rPr>
        <w:t xml:space="preserve">  </w:t>
      </w:r>
    </w:p>
    <w:p>
      <w:pPr>
        <w:pStyle w:val="1280"/>
        <w:rPr>
          <w:rFonts w:ascii="宋体"/>
        </w:rPr>
      </w:pPr>
      <w:r>
        <w:rPr>
          <w:rFonts w:hint="eastAsia" w:ascii="宋体"/>
        </w:rPr>
        <w:t>（2）施工</w:t>
      </w:r>
    </w:p>
    <w:p>
      <w:pPr>
        <w:pStyle w:val="1280"/>
        <w:rPr>
          <w:rFonts w:ascii="宋体"/>
        </w:rPr>
      </w:pPr>
      <w:r>
        <w:rPr>
          <w:rFonts w:hint="eastAsia" w:ascii="宋体"/>
        </w:rPr>
        <w:t>a.承包人应提前21天提供计划用于工程的碎石材料样品以及施工设备、施工方法，报监理工程师批准。</w:t>
      </w:r>
    </w:p>
    <w:p>
      <w:pPr>
        <w:pStyle w:val="1280"/>
        <w:rPr>
          <w:rFonts w:ascii="宋体"/>
        </w:rPr>
      </w:pPr>
      <w:r>
        <w:rPr>
          <w:rFonts w:hint="eastAsia" w:ascii="宋体"/>
        </w:rPr>
        <w:t>b.承包人应于开工前在监理工程师批准的地点设置5根试验桩。设置试验桩时，承包人应认真仔细地记录桩的贯入时间和深度、冲水量和水压、压入的碎石量和电流的变化等，以确定桩体在密实状态下的各项指标，以此作为设置碎石桩的控制指标。</w:t>
      </w:r>
    </w:p>
    <w:p>
      <w:pPr>
        <w:pStyle w:val="1280"/>
        <w:rPr>
          <w:rFonts w:ascii="宋体"/>
        </w:rPr>
      </w:pPr>
      <w:r>
        <w:rPr>
          <w:rFonts w:hint="eastAsia" w:ascii="宋体"/>
        </w:rPr>
        <w:t>c.试验桩设置完毕后，承包人应对其中的三根试验桩进行标准贯入试验，并对其中的两根进行荷载试验，以检验施工设置和方法是否符合规范及监理工程师的要求。</w:t>
      </w:r>
    </w:p>
    <w:p>
      <w:pPr>
        <w:pStyle w:val="1280"/>
        <w:rPr>
          <w:rFonts w:ascii="宋体"/>
        </w:rPr>
      </w:pPr>
      <w:r>
        <w:rPr>
          <w:rFonts w:hint="eastAsia" w:ascii="宋体"/>
        </w:rPr>
        <w:t>d.若一次试验不成功，则承包人应改装或更换设备，改变施工方法，进行两次或多次试桩的设置，直到5根桩全部符合要求。承包人的施工设备和方法被监理工程师批准后，方可用于施工。试桩的一切费用由承包人自理。</w:t>
      </w:r>
    </w:p>
    <w:p>
      <w:pPr>
        <w:pStyle w:val="1280"/>
        <w:rPr>
          <w:rFonts w:ascii="宋体"/>
        </w:rPr>
      </w:pPr>
      <w:r>
        <w:rPr>
          <w:rFonts w:hint="eastAsia" w:ascii="宋体"/>
        </w:rPr>
        <w:t>e.施工时碎石料应分批加入。每次加料量一般为1m堆高的填料。</w:t>
      </w:r>
    </w:p>
    <w:p>
      <w:pPr>
        <w:pStyle w:val="1280"/>
        <w:rPr>
          <w:rFonts w:ascii="宋体"/>
        </w:rPr>
      </w:pPr>
      <w:r>
        <w:rPr>
          <w:rFonts w:hint="eastAsia" w:ascii="宋体"/>
        </w:rPr>
        <w:t>f.承包人应填写施工记录，监理工程师可随时抽查并将这些记录作为最终质量检查验收的依据。</w:t>
      </w:r>
    </w:p>
    <w:p>
      <w:pPr>
        <w:pStyle w:val="1280"/>
        <w:rPr>
          <w:rFonts w:ascii="宋体"/>
        </w:rPr>
      </w:pPr>
      <w:r>
        <w:rPr>
          <w:rFonts w:hint="eastAsia" w:ascii="宋体"/>
        </w:rPr>
        <w:t>g.设置碎石桩时，应根据试验桩的成果严格控制电流，使其大于密实试验桩的电流值。</w:t>
      </w:r>
    </w:p>
    <w:p>
      <w:pPr>
        <w:pStyle w:val="1280"/>
        <w:rPr>
          <w:rFonts w:ascii="宋体"/>
        </w:rPr>
      </w:pPr>
      <w:r>
        <w:rPr>
          <w:rFonts w:hint="eastAsia" w:ascii="宋体"/>
        </w:rPr>
        <w:t>h.碎石桩设置完毕后，其顶部应按设计图纸或监理工程师的要求铺设碎石或砂砾垫层。在整个施工过程中，应保证碎石料不被周围土体污染。</w:t>
      </w:r>
    </w:p>
    <w:p>
      <w:pPr>
        <w:pStyle w:val="1280"/>
        <w:rPr>
          <w:rFonts w:ascii="宋体"/>
        </w:rPr>
      </w:pPr>
      <w:r>
        <w:rPr>
          <w:rFonts w:hint="eastAsia" w:ascii="宋体"/>
        </w:rPr>
        <w:t>（</w:t>
      </w:r>
      <w:r>
        <w:rPr>
          <w:rFonts w:ascii="宋体"/>
        </w:rPr>
        <w:t>3</w:t>
      </w:r>
      <w:r>
        <w:rPr>
          <w:rFonts w:hint="eastAsia" w:ascii="宋体"/>
        </w:rPr>
        <w:t>）质量检验</w:t>
      </w:r>
    </w:p>
    <w:p>
      <w:pPr>
        <w:pStyle w:val="1286"/>
        <w:jc w:val="center"/>
        <w:rPr>
          <w:rFonts w:ascii="宋体" w:hAnsi="宋体"/>
          <w:color w:val="auto"/>
        </w:rPr>
      </w:pPr>
      <w:r>
        <w:rPr>
          <w:rFonts w:hint="eastAsia" w:ascii="宋体" w:hAnsi="宋体"/>
          <w:color w:val="auto"/>
        </w:rPr>
        <w:t xml:space="preserve">碎石桩检查项目 </w:t>
      </w:r>
      <w:r>
        <w:rPr>
          <w:rFonts w:ascii="宋体" w:hAnsi="宋体"/>
          <w:color w:val="auto"/>
        </w:rPr>
        <w:t xml:space="preserve">           </w:t>
      </w:r>
      <w:r>
        <w:rPr>
          <w:rFonts w:hint="eastAsia" w:ascii="宋体" w:hAnsi="宋体"/>
          <w:color w:val="auto"/>
        </w:rPr>
        <w:t>表2</w:t>
      </w:r>
      <w:r>
        <w:rPr>
          <w:rFonts w:ascii="宋体" w:hAnsi="宋体"/>
          <w:color w:val="auto"/>
        </w:rPr>
        <w:t>-13-1</w:t>
      </w:r>
    </w:p>
    <w:tbl>
      <w:tblPr>
        <w:tblStyle w:val="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3322"/>
        <w:gridCol w:w="2181"/>
        <w:gridCol w:w="2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项次</w:t>
            </w:r>
          </w:p>
        </w:tc>
        <w:tc>
          <w:tcPr>
            <w:tcW w:w="3322"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检查项目</w:t>
            </w:r>
          </w:p>
        </w:tc>
        <w:tc>
          <w:tcPr>
            <w:tcW w:w="2181"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规定值或允许偏差</w:t>
            </w:r>
          </w:p>
        </w:tc>
        <w:tc>
          <w:tcPr>
            <w:tcW w:w="2178"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检查方法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1</w:t>
            </w:r>
          </w:p>
        </w:tc>
        <w:tc>
          <w:tcPr>
            <w:tcW w:w="3322"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桩距</w:t>
            </w:r>
            <w:r>
              <w:rPr>
                <w:rFonts w:ascii="宋体" w:hAnsi="宋体"/>
                <w:color w:val="auto"/>
              </w:rPr>
              <w:t>(mm)</w:t>
            </w:r>
          </w:p>
        </w:tc>
        <w:tc>
          <w:tcPr>
            <w:tcW w:w="2181"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ascii="宋体" w:hAnsi="宋体"/>
                <w:color w:val="auto"/>
              </w:rPr>
              <w:t>±</w:t>
            </w:r>
            <w:r>
              <w:rPr>
                <w:rFonts w:hint="eastAsia" w:ascii="宋体" w:hAnsi="宋体"/>
                <w:color w:val="auto"/>
              </w:rPr>
              <w:t>150</w:t>
            </w:r>
          </w:p>
        </w:tc>
        <w:tc>
          <w:tcPr>
            <w:tcW w:w="2178"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抽查</w:t>
            </w:r>
            <w:r>
              <w:rPr>
                <w:rFonts w:ascii="宋体" w:hAnsi="宋体"/>
                <w:color w:val="auto"/>
              </w:rPr>
              <w:t>2%</w:t>
            </w:r>
            <w:r>
              <w:rPr>
                <w:rFonts w:ascii="宋体" w:hAnsi="宋体"/>
                <w:color w:val="auto"/>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2</w:t>
            </w:r>
          </w:p>
        </w:tc>
        <w:tc>
          <w:tcPr>
            <w:tcW w:w="3322"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桩径</w:t>
            </w:r>
            <w:r>
              <w:rPr>
                <w:rFonts w:ascii="宋体" w:hAnsi="宋体"/>
                <w:color w:val="auto"/>
              </w:rPr>
              <w:t>(mm)</w:t>
            </w:r>
            <w:r>
              <w:rPr>
                <w:rFonts w:ascii="宋体" w:hAnsi="宋体"/>
                <w:color w:val="auto"/>
              </w:rPr>
              <w:tab/>
            </w:r>
          </w:p>
        </w:tc>
        <w:tc>
          <w:tcPr>
            <w:tcW w:w="2181"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不小于设计</w:t>
            </w:r>
          </w:p>
        </w:tc>
        <w:tc>
          <w:tcPr>
            <w:tcW w:w="2178"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抽查</w:t>
            </w:r>
            <w:r>
              <w:rPr>
                <w:rFonts w:ascii="宋体" w:hAnsi="宋体"/>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3</w:t>
            </w:r>
          </w:p>
        </w:tc>
        <w:tc>
          <w:tcPr>
            <w:tcW w:w="3322"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桩长</w:t>
            </w:r>
            <w:r>
              <w:rPr>
                <w:rFonts w:ascii="宋体" w:hAnsi="宋体"/>
                <w:color w:val="auto"/>
              </w:rPr>
              <w:t>(m)</w:t>
            </w:r>
          </w:p>
        </w:tc>
        <w:tc>
          <w:tcPr>
            <w:tcW w:w="2181"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不小于设计</w:t>
            </w:r>
          </w:p>
        </w:tc>
        <w:tc>
          <w:tcPr>
            <w:tcW w:w="2178"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查施工记录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4</w:t>
            </w:r>
          </w:p>
        </w:tc>
        <w:tc>
          <w:tcPr>
            <w:tcW w:w="3322"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灌碎石量（</w:t>
            </w:r>
            <w:r>
              <w:rPr>
                <w:rFonts w:ascii="宋体" w:hAnsi="宋体"/>
                <w:color w:val="auto"/>
              </w:rPr>
              <w:t>m3</w:t>
            </w:r>
            <w:r>
              <w:rPr>
                <w:rFonts w:hint="eastAsia" w:ascii="宋体" w:hAnsi="宋体"/>
                <w:color w:val="auto"/>
              </w:rPr>
              <w:t>）</w:t>
            </w:r>
            <w:r>
              <w:rPr>
                <w:rFonts w:hint="eastAsia" w:ascii="宋体" w:hAnsi="宋体"/>
                <w:color w:val="auto"/>
              </w:rPr>
              <w:tab/>
            </w:r>
          </w:p>
        </w:tc>
        <w:tc>
          <w:tcPr>
            <w:tcW w:w="2181"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不小于设计</w:t>
            </w:r>
          </w:p>
        </w:tc>
        <w:tc>
          <w:tcPr>
            <w:tcW w:w="2178"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查施工记录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5</w:t>
            </w:r>
          </w:p>
        </w:tc>
        <w:tc>
          <w:tcPr>
            <w:tcW w:w="3322"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竖直度（</w:t>
            </w:r>
            <w:r>
              <w:rPr>
                <w:rFonts w:ascii="宋体" w:hAnsi="宋体"/>
                <w:color w:val="auto"/>
              </w:rPr>
              <w:t>%</w:t>
            </w:r>
            <w:r>
              <w:rPr>
                <w:rFonts w:hint="eastAsia" w:ascii="宋体" w:hAnsi="宋体"/>
                <w:color w:val="auto"/>
              </w:rPr>
              <w:t>）</w:t>
            </w:r>
          </w:p>
        </w:tc>
        <w:tc>
          <w:tcPr>
            <w:tcW w:w="2181"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 xml:space="preserve">1.5  </w:t>
            </w:r>
          </w:p>
        </w:tc>
        <w:tc>
          <w:tcPr>
            <w:tcW w:w="2178" w:type="dxa"/>
            <w:tcBorders>
              <w:top w:val="single" w:color="auto" w:sz="4" w:space="0"/>
              <w:left w:val="single" w:color="auto" w:sz="4" w:space="0"/>
              <w:bottom w:val="single" w:color="auto" w:sz="4" w:space="0"/>
              <w:right w:val="single" w:color="auto" w:sz="4" w:space="0"/>
            </w:tcBorders>
          </w:tcPr>
          <w:p>
            <w:pPr>
              <w:pStyle w:val="1286"/>
              <w:rPr>
                <w:rFonts w:ascii="宋体" w:hAnsi="宋体"/>
                <w:color w:val="auto"/>
              </w:rPr>
            </w:pPr>
            <w:r>
              <w:rPr>
                <w:rFonts w:hint="eastAsia" w:ascii="宋体" w:hAnsi="宋体"/>
                <w:color w:val="auto"/>
              </w:rPr>
              <w:t>查施工记录</w:t>
            </w:r>
          </w:p>
        </w:tc>
      </w:tr>
    </w:tbl>
    <w:p>
      <w:pPr>
        <w:pStyle w:val="1281"/>
        <w:rPr>
          <w:rFonts w:ascii="宋体" w:hAnsi="宋体"/>
          <w:color w:val="auto"/>
        </w:rPr>
      </w:pPr>
      <w:bookmarkStart w:id="2177" w:name="_Toc133166130"/>
      <w:bookmarkStart w:id="2178" w:name="_Toc164502121"/>
      <w:bookmarkStart w:id="2179" w:name="_Toc517382527"/>
      <w:bookmarkStart w:id="2180" w:name="_Toc518376580"/>
      <w:bookmarkStart w:id="2181" w:name="_Toc521491902"/>
      <w:bookmarkStart w:id="2182" w:name="_Toc521492759"/>
      <w:bookmarkStart w:id="2183" w:name="_Toc521493433"/>
      <w:bookmarkStart w:id="2184" w:name="_Toc106883088"/>
      <w:r>
        <w:rPr>
          <w:rFonts w:ascii="宋体" w:hAnsi="宋体"/>
          <w:color w:val="auto"/>
        </w:rPr>
        <w:t>2</w:t>
      </w:r>
      <w:bookmarkEnd w:id="2177"/>
      <w:bookmarkStart w:id="2185" w:name="_Toc124411408"/>
      <w:r>
        <w:rPr>
          <w:rFonts w:ascii="宋体" w:hAnsi="宋体"/>
          <w:color w:val="auto"/>
        </w:rPr>
        <w:t>.14 土石方开挖的计量与支付</w:t>
      </w:r>
      <w:bookmarkEnd w:id="2178"/>
      <w:bookmarkEnd w:id="2179"/>
      <w:bookmarkEnd w:id="2180"/>
      <w:bookmarkEnd w:id="2181"/>
      <w:bookmarkEnd w:id="2182"/>
      <w:bookmarkEnd w:id="2183"/>
      <w:bookmarkEnd w:id="2184"/>
      <w:bookmarkEnd w:id="2185"/>
    </w:p>
    <w:p>
      <w:pPr>
        <w:pStyle w:val="1280"/>
        <w:rPr>
          <w:rFonts w:ascii="宋体"/>
        </w:rPr>
      </w:pPr>
      <w:r>
        <w:rPr>
          <w:rFonts w:hint="eastAsia" w:ascii="宋体"/>
        </w:rPr>
        <w:t>详见</w:t>
      </w:r>
      <w:r>
        <w:rPr>
          <w:rFonts w:ascii="宋体"/>
        </w:rPr>
        <w:t>工程量清单。</w:t>
      </w:r>
    </w:p>
    <w:p>
      <w:pPr>
        <w:spacing w:line="360" w:lineRule="auto"/>
        <w:ind w:left="420"/>
        <w:rPr>
          <w:rFonts w:ascii="宋体" w:hAnsi="宋体"/>
          <w:szCs w:val="21"/>
        </w:rPr>
        <w:sectPr>
          <w:pgSz w:w="11906" w:h="16838"/>
          <w:pgMar w:top="1701" w:right="1701" w:bottom="1588" w:left="1701" w:header="851" w:footer="992" w:gutter="0"/>
          <w:pgNumType w:start="1"/>
          <w:cols w:space="425" w:num="1"/>
          <w:docGrid w:type="lines" w:linePitch="312" w:charSpace="0"/>
        </w:sectPr>
      </w:pPr>
    </w:p>
    <w:p>
      <w:pPr>
        <w:pStyle w:val="1328"/>
        <w:rPr>
          <w:rFonts w:ascii="宋体" w:hAnsi="宋体"/>
        </w:rPr>
      </w:pPr>
      <w:bookmarkStart w:id="2186" w:name="_Hlt16351272"/>
      <w:bookmarkEnd w:id="2186"/>
      <w:bookmarkStart w:id="2187" w:name="_Toc397481595"/>
      <w:bookmarkStart w:id="2188" w:name="_Toc397485664"/>
      <w:bookmarkStart w:id="2189" w:name="_Toc398083752"/>
      <w:bookmarkStart w:id="2190" w:name="_Toc16242359"/>
      <w:bookmarkStart w:id="2191" w:name="_Toc320555391"/>
      <w:bookmarkStart w:id="2192" w:name="_Toc266662930"/>
      <w:bookmarkStart w:id="2193" w:name="_Toc43107542"/>
      <w:bookmarkStart w:id="2194" w:name="_Toc164502122"/>
      <w:bookmarkStart w:id="2195" w:name="_Toc517382531"/>
      <w:bookmarkStart w:id="2196" w:name="_Toc518376584"/>
      <w:bookmarkStart w:id="2197" w:name="_Toc521491906"/>
      <w:bookmarkStart w:id="2198" w:name="_Toc521492763"/>
      <w:bookmarkStart w:id="2199" w:name="_Toc521493437"/>
      <w:bookmarkStart w:id="2200" w:name="_Toc106883089"/>
      <w:r>
        <w:rPr>
          <w:rFonts w:ascii="宋体" w:hAnsi="宋体"/>
        </w:rPr>
        <w:t>3</w:t>
      </w:r>
      <w:r>
        <w:rPr>
          <w:rFonts w:hint="eastAsia" w:ascii="宋体" w:hAnsi="宋体"/>
        </w:rPr>
        <w:t xml:space="preserve"> 钢筋</w:t>
      </w:r>
      <w:r>
        <w:rPr>
          <w:rFonts w:ascii="宋体" w:hAnsi="宋体"/>
        </w:rPr>
        <w:t>混凝土</w:t>
      </w:r>
      <w:bookmarkEnd w:id="2187"/>
      <w:bookmarkEnd w:id="2188"/>
      <w:bookmarkEnd w:id="2189"/>
      <w:bookmarkEnd w:id="2190"/>
      <w:r>
        <w:rPr>
          <w:rFonts w:ascii="宋体" w:hAnsi="宋体"/>
        </w:rPr>
        <w:t>工程</w:t>
      </w:r>
      <w:bookmarkEnd w:id="2191"/>
      <w:bookmarkEnd w:id="2192"/>
      <w:bookmarkEnd w:id="2193"/>
      <w:bookmarkEnd w:id="2194"/>
      <w:bookmarkEnd w:id="2195"/>
      <w:bookmarkEnd w:id="2196"/>
      <w:bookmarkEnd w:id="2197"/>
      <w:bookmarkEnd w:id="2198"/>
      <w:bookmarkEnd w:id="2199"/>
      <w:bookmarkEnd w:id="2200"/>
      <w:bookmarkStart w:id="2201" w:name="_Hlt16351105"/>
      <w:bookmarkEnd w:id="2201"/>
      <w:bookmarkStart w:id="2202" w:name="_Toc385007685"/>
      <w:bookmarkStart w:id="2203" w:name="_Toc385008481"/>
      <w:bookmarkStart w:id="2204" w:name="_Toc385012643"/>
      <w:bookmarkStart w:id="2205" w:name="_Toc389234144"/>
      <w:bookmarkStart w:id="2206" w:name="_Toc393081095"/>
      <w:bookmarkStart w:id="2207" w:name="_Toc397479548"/>
      <w:bookmarkStart w:id="2208" w:name="_Toc397479875"/>
      <w:bookmarkStart w:id="2209" w:name="_Toc397481597"/>
      <w:bookmarkStart w:id="2210" w:name="_Toc397485666"/>
      <w:bookmarkStart w:id="2211" w:name="_Toc398083754"/>
      <w:bookmarkStart w:id="2212" w:name="_Toc16242361"/>
      <w:bookmarkStart w:id="2213" w:name="_Toc43107544"/>
    </w:p>
    <w:p>
      <w:pPr>
        <w:pStyle w:val="1280"/>
        <w:ind w:firstLine="440"/>
        <w:rPr>
          <w:rFonts w:ascii="宋体"/>
        </w:rPr>
      </w:pPr>
      <w:r>
        <w:rPr>
          <w:rFonts w:ascii="宋体"/>
        </w:rPr>
        <w:t>这部分包括混凝土模板、脚手架及附件的设计、施工、安装和拆除；钢筋的供应、制造、设置，包括必要的支撑物、间隔物和相关的附件；混凝土搅拌的配制与准备，现浇混凝土的搅拌、浇筑和养护；预制混凝土构件的运输和安装，包括轴承垫、连接钢、砂浆和其他各种事项的有关要求。</w:t>
      </w:r>
    </w:p>
    <w:p>
      <w:pPr>
        <w:pStyle w:val="1280"/>
        <w:ind w:firstLine="440"/>
        <w:rPr>
          <w:rFonts w:ascii="宋体"/>
        </w:rPr>
      </w:pPr>
      <w:r>
        <w:rPr>
          <w:rFonts w:ascii="宋体"/>
        </w:rPr>
        <w:t>承包商须提供所需劳动力、工程材料、附属设备、必要的配套设施、施工设备以及合同规定的各项服务；并通过（包括但不限于）：施工准备、场地整理、地质条件的复勘、各种混凝土的配合比设计，混凝土的拌和、运输、浇筑、抹面、养护、维修和取样检验等全部混凝土施工作业，以及为浇筑混凝土所需原材料的采购、运输、验收和保管；模板的材料供应、设计、制作、安装、维修和拆除；止水、施工缝、收缩缝等所需的材料供应及其制作、安装和施工；钢筋混凝土结构的钢筋材料供应及其运输、制作、安装；混凝土表面保护所需的材料和有关设备的采购、供应、制作、安装；混凝土管道铺设所需的材料供应及其制作、安装和施工；完工验收前的维护、工程完工验收后的清场、撤退人员和撤离施工设备及进行本合同规定的质量检查和验收等工作；完成本合同施工图纸所示的各种素混凝土、预制混凝土和钢筋混凝土等工程的施工，达到技术规范要求，并使项目监理满意。</w:t>
      </w:r>
    </w:p>
    <w:p>
      <w:pPr>
        <w:pStyle w:val="1281"/>
        <w:outlineLvl w:val="0"/>
        <w:rPr>
          <w:rFonts w:ascii="宋体" w:hAnsi="宋体"/>
          <w:color w:val="auto"/>
        </w:rPr>
      </w:pPr>
      <w:bookmarkStart w:id="2214" w:name="_Toc518376585"/>
      <w:bookmarkStart w:id="2215" w:name="_Toc521491907"/>
      <w:bookmarkStart w:id="2216" w:name="_Toc320555392"/>
      <w:bookmarkStart w:id="2217" w:name="_Toc517382532"/>
      <w:bookmarkStart w:id="2218" w:name="_Toc266662931"/>
      <w:bookmarkStart w:id="2219" w:name="_Toc164502123"/>
      <w:bookmarkStart w:id="2220" w:name="_Toc521492764"/>
      <w:bookmarkStart w:id="2221" w:name="_Toc521493438"/>
      <w:bookmarkStart w:id="2222" w:name="_Toc106883090"/>
      <w:r>
        <w:rPr>
          <w:rFonts w:ascii="宋体" w:hAnsi="宋体"/>
          <w:color w:val="auto"/>
        </w:rPr>
        <w:t>3.1 适用标准</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1284"/>
        <w:outlineLvl w:val="0"/>
        <w:rPr>
          <w:rFonts w:ascii="宋体" w:hAnsi="宋体"/>
        </w:rPr>
      </w:pPr>
      <w:bookmarkStart w:id="2223" w:name="_Toc385007686"/>
      <w:bookmarkStart w:id="2224" w:name="_Toc385008482"/>
      <w:bookmarkStart w:id="2225" w:name="_Toc385012644"/>
      <w:bookmarkStart w:id="2226" w:name="_Toc389234145"/>
      <w:bookmarkStart w:id="2227" w:name="_Toc393081096"/>
      <w:bookmarkStart w:id="2228" w:name="_Toc397479549"/>
      <w:bookmarkStart w:id="2229" w:name="_Toc397479876"/>
      <w:bookmarkStart w:id="2230" w:name="_Toc397481598"/>
      <w:bookmarkStart w:id="2231" w:name="_Toc397485667"/>
      <w:bookmarkStart w:id="2232" w:name="_Toc398083755"/>
      <w:bookmarkStart w:id="2233" w:name="_Toc16242362"/>
      <w:bookmarkStart w:id="2234" w:name="_Toc43107545"/>
      <w:bookmarkStart w:id="2235" w:name="_Toc164502124"/>
      <w:bookmarkStart w:id="2236" w:name="_Toc266662932"/>
      <w:bookmarkStart w:id="2237" w:name="_Toc320555393"/>
      <w:bookmarkStart w:id="2238" w:name="_Toc517382533"/>
      <w:bookmarkStart w:id="2239" w:name="_Toc518376586"/>
      <w:bookmarkStart w:id="2240" w:name="_Toc521491908"/>
      <w:bookmarkStart w:id="2241" w:name="_Toc521492765"/>
      <w:bookmarkStart w:id="2242" w:name="_Toc521493439"/>
      <w:bookmarkStart w:id="2243" w:name="_Toc106883091"/>
      <w:r>
        <w:rPr>
          <w:rFonts w:ascii="宋体" w:hAnsi="宋体"/>
        </w:rPr>
        <w:t>3.1.1 材料标准</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1280"/>
        <w:ind w:firstLine="440"/>
        <w:rPr>
          <w:rFonts w:ascii="宋体"/>
        </w:rPr>
      </w:pPr>
      <w:bookmarkStart w:id="2244" w:name="_Toc385007687"/>
      <w:bookmarkStart w:id="2245" w:name="_Toc385008483"/>
      <w:bookmarkStart w:id="2246" w:name="_Toc385012645"/>
      <w:bookmarkStart w:id="2247" w:name="_Toc389234146"/>
      <w:bookmarkStart w:id="2248" w:name="_Toc393081097"/>
      <w:bookmarkStart w:id="2249" w:name="_Toc397479550"/>
      <w:bookmarkStart w:id="2250" w:name="_Toc397479877"/>
      <w:bookmarkStart w:id="2251" w:name="_Toc397481599"/>
      <w:bookmarkStart w:id="2252" w:name="_Toc397485668"/>
      <w:bookmarkStart w:id="2253" w:name="_Toc398083756"/>
      <w:bookmarkStart w:id="2254" w:name="_Toc16242363"/>
      <w:bookmarkStart w:id="2255" w:name="_Toc43107546"/>
      <w:bookmarkStart w:id="2256" w:name="_Toc164502125"/>
      <w:r>
        <w:rPr>
          <w:rFonts w:ascii="宋体"/>
        </w:rPr>
        <w:t>通用硅酸盐水泥</w:t>
      </w:r>
      <w:r>
        <w:rPr>
          <w:rFonts w:ascii="宋体"/>
        </w:rPr>
        <w:tab/>
      </w:r>
      <w:r>
        <w:rPr>
          <w:rFonts w:ascii="宋体"/>
        </w:rPr>
        <w:tab/>
      </w:r>
      <w:r>
        <w:rPr>
          <w:rFonts w:ascii="宋体"/>
        </w:rPr>
        <w:tab/>
      </w:r>
      <w:r>
        <w:rPr>
          <w:rFonts w:ascii="宋体"/>
        </w:rPr>
        <w:tab/>
      </w:r>
      <w:r>
        <w:rPr>
          <w:rFonts w:ascii="宋体"/>
        </w:rPr>
        <w:t xml:space="preserve">         </w:t>
      </w:r>
      <w:r>
        <w:rPr>
          <w:rFonts w:ascii="宋体"/>
        </w:rPr>
        <w:tab/>
      </w:r>
      <w:r>
        <w:rPr>
          <w:rFonts w:ascii="宋体"/>
        </w:rPr>
        <w:tab/>
      </w:r>
      <w:r>
        <w:rPr>
          <w:rFonts w:ascii="宋体"/>
        </w:rPr>
        <w:tab/>
      </w:r>
      <w:r>
        <w:rPr>
          <w:rFonts w:ascii="宋体"/>
        </w:rPr>
        <w:tab/>
      </w:r>
      <w:r>
        <w:rPr>
          <w:rFonts w:ascii="宋体"/>
        </w:rPr>
        <w:t>GB</w:t>
      </w:r>
      <w:r>
        <w:rPr>
          <w:rFonts w:hint="eastAsia" w:ascii="宋体"/>
        </w:rPr>
        <w:t xml:space="preserve"> </w:t>
      </w:r>
      <w:r>
        <w:rPr>
          <w:rFonts w:ascii="宋体"/>
        </w:rPr>
        <w:t>175-2007</w:t>
      </w:r>
    </w:p>
    <w:p>
      <w:pPr>
        <w:pStyle w:val="1280"/>
        <w:ind w:firstLine="440"/>
        <w:rPr>
          <w:rFonts w:ascii="宋体"/>
        </w:rPr>
      </w:pPr>
      <w:r>
        <w:rPr>
          <w:rFonts w:ascii="宋体"/>
        </w:rPr>
        <w:t>水泥化学分析方法                                    GB/T</w:t>
      </w:r>
      <w:r>
        <w:rPr>
          <w:rFonts w:hint="eastAsia" w:ascii="宋体"/>
        </w:rPr>
        <w:t xml:space="preserve"> </w:t>
      </w:r>
      <w:r>
        <w:rPr>
          <w:rFonts w:ascii="宋体"/>
        </w:rPr>
        <w:t>176-2008</w:t>
      </w:r>
    </w:p>
    <w:p>
      <w:pPr>
        <w:pStyle w:val="1280"/>
        <w:ind w:firstLine="440"/>
        <w:rPr>
          <w:rFonts w:ascii="宋体"/>
        </w:rPr>
      </w:pPr>
      <w:r>
        <w:rPr>
          <w:rFonts w:ascii="宋体"/>
        </w:rPr>
        <w:t>水泥压蒸安定性试验方法                              GB/T</w:t>
      </w:r>
      <w:r>
        <w:rPr>
          <w:rFonts w:hint="eastAsia" w:ascii="宋体"/>
        </w:rPr>
        <w:t xml:space="preserve"> </w:t>
      </w:r>
      <w:r>
        <w:rPr>
          <w:rFonts w:ascii="宋体"/>
        </w:rPr>
        <w:t>750-1992</w:t>
      </w:r>
    </w:p>
    <w:p>
      <w:pPr>
        <w:pStyle w:val="1280"/>
        <w:ind w:firstLine="440"/>
        <w:rPr>
          <w:rFonts w:ascii="宋体"/>
        </w:rPr>
      </w:pPr>
      <w:r>
        <w:rPr>
          <w:rFonts w:ascii="宋体"/>
        </w:rPr>
        <w:t xml:space="preserve">水泥细度检验方法筛析法    </w:t>
      </w:r>
      <w:r>
        <w:rPr>
          <w:rFonts w:ascii="宋体"/>
        </w:rPr>
        <w:tab/>
      </w:r>
      <w:r>
        <w:rPr>
          <w:rFonts w:ascii="宋体"/>
        </w:rPr>
        <w:t xml:space="preserve">                 </w:t>
      </w:r>
      <w:r>
        <w:rPr>
          <w:rFonts w:ascii="宋体"/>
        </w:rPr>
        <w:tab/>
      </w:r>
      <w:r>
        <w:rPr>
          <w:rFonts w:ascii="宋体"/>
        </w:rPr>
        <w:tab/>
      </w:r>
      <w:r>
        <w:rPr>
          <w:rFonts w:ascii="宋体"/>
        </w:rPr>
        <w:t>GB/T</w:t>
      </w:r>
      <w:r>
        <w:rPr>
          <w:rFonts w:hint="eastAsia" w:ascii="宋体"/>
        </w:rPr>
        <w:t xml:space="preserve"> </w:t>
      </w:r>
      <w:r>
        <w:rPr>
          <w:rFonts w:ascii="宋体"/>
        </w:rPr>
        <w:t>1345-2005</w:t>
      </w:r>
      <w:r>
        <w:rPr>
          <w:rFonts w:ascii="宋体"/>
        </w:rPr>
        <w:tab/>
      </w:r>
    </w:p>
    <w:p>
      <w:pPr>
        <w:pStyle w:val="1280"/>
        <w:ind w:firstLine="440"/>
        <w:rPr>
          <w:rFonts w:ascii="宋体"/>
        </w:rPr>
      </w:pPr>
      <w:r>
        <w:rPr>
          <w:rFonts w:ascii="宋体"/>
        </w:rPr>
        <w:t>水泥标准稠度用水量、凝结时间、安定性检验方法        GB/T</w:t>
      </w:r>
      <w:r>
        <w:rPr>
          <w:rFonts w:hint="eastAsia" w:ascii="宋体"/>
        </w:rPr>
        <w:t xml:space="preserve"> </w:t>
      </w:r>
      <w:r>
        <w:rPr>
          <w:rFonts w:ascii="宋体"/>
        </w:rPr>
        <w:t>1346-2011</w:t>
      </w:r>
    </w:p>
    <w:p>
      <w:pPr>
        <w:pStyle w:val="1280"/>
        <w:ind w:firstLine="440"/>
        <w:rPr>
          <w:rFonts w:ascii="宋体"/>
        </w:rPr>
      </w:pPr>
      <w:r>
        <w:rPr>
          <w:rFonts w:ascii="宋体"/>
        </w:rPr>
        <w:t>水泥水化热测定方法                                  GB/T</w:t>
      </w:r>
      <w:r>
        <w:rPr>
          <w:rFonts w:hint="eastAsia" w:ascii="宋体"/>
        </w:rPr>
        <w:t xml:space="preserve"> </w:t>
      </w:r>
      <w:r>
        <w:rPr>
          <w:rFonts w:ascii="宋体"/>
        </w:rPr>
        <w:t>12959-2008</w:t>
      </w:r>
    </w:p>
    <w:p>
      <w:pPr>
        <w:pStyle w:val="1280"/>
        <w:ind w:firstLine="440"/>
        <w:rPr>
          <w:rFonts w:ascii="宋体"/>
        </w:rPr>
      </w:pPr>
      <w:r>
        <w:rPr>
          <w:rFonts w:ascii="宋体"/>
        </w:rPr>
        <w:t>混凝土搅拌机                                        GB/T</w:t>
      </w:r>
      <w:r>
        <w:rPr>
          <w:rFonts w:hint="eastAsia" w:ascii="宋体"/>
        </w:rPr>
        <w:t xml:space="preserve"> </w:t>
      </w:r>
      <w:r>
        <w:rPr>
          <w:rFonts w:ascii="宋体"/>
        </w:rPr>
        <w:t>9142-2000</w:t>
      </w:r>
    </w:p>
    <w:p>
      <w:pPr>
        <w:pStyle w:val="1280"/>
        <w:ind w:firstLine="440"/>
        <w:rPr>
          <w:rFonts w:ascii="宋体"/>
        </w:rPr>
      </w:pPr>
      <w:r>
        <w:rPr>
          <w:rFonts w:ascii="宋体"/>
        </w:rPr>
        <w:t>水泥取样方法                                        GB</w:t>
      </w:r>
      <w:r>
        <w:rPr>
          <w:rFonts w:hint="eastAsia" w:ascii="宋体"/>
        </w:rPr>
        <w:t xml:space="preserve"> </w:t>
      </w:r>
      <w:r>
        <w:rPr>
          <w:rFonts w:ascii="宋体"/>
        </w:rPr>
        <w:t>12573-2008</w:t>
      </w:r>
    </w:p>
    <w:p>
      <w:pPr>
        <w:pStyle w:val="1280"/>
        <w:ind w:firstLine="440"/>
        <w:rPr>
          <w:rFonts w:ascii="宋体"/>
        </w:rPr>
      </w:pPr>
      <w:r>
        <w:rPr>
          <w:rFonts w:ascii="宋体"/>
        </w:rPr>
        <w:t>水泥胶砂强度检验方法（ISO法）                      GB/T</w:t>
      </w:r>
      <w:r>
        <w:rPr>
          <w:rFonts w:hint="eastAsia" w:ascii="宋体"/>
        </w:rPr>
        <w:t xml:space="preserve"> </w:t>
      </w:r>
      <w:r>
        <w:rPr>
          <w:rFonts w:ascii="宋体"/>
        </w:rPr>
        <w:t>17671-1999</w:t>
      </w:r>
    </w:p>
    <w:p>
      <w:pPr>
        <w:pStyle w:val="1280"/>
        <w:ind w:firstLine="440"/>
        <w:rPr>
          <w:rFonts w:ascii="宋体"/>
        </w:rPr>
      </w:pPr>
      <w:r>
        <w:rPr>
          <w:rFonts w:ascii="宋体"/>
        </w:rPr>
        <w:t>混凝土质量控制标准                                  GB</w:t>
      </w:r>
      <w:r>
        <w:rPr>
          <w:rFonts w:hint="eastAsia" w:ascii="宋体"/>
        </w:rPr>
        <w:t xml:space="preserve"> </w:t>
      </w:r>
      <w:r>
        <w:rPr>
          <w:rFonts w:ascii="宋体"/>
        </w:rPr>
        <w:t>50164-2011</w:t>
      </w:r>
    </w:p>
    <w:p>
      <w:pPr>
        <w:pStyle w:val="1280"/>
        <w:ind w:firstLine="440"/>
        <w:rPr>
          <w:rFonts w:ascii="宋体"/>
        </w:rPr>
      </w:pPr>
      <w:r>
        <w:rPr>
          <w:rFonts w:ascii="宋体"/>
        </w:rPr>
        <w:t>普通混凝土拌合物性能试验方法标准                    GB/T</w:t>
      </w:r>
      <w:r>
        <w:rPr>
          <w:rFonts w:hint="eastAsia" w:ascii="宋体"/>
        </w:rPr>
        <w:t xml:space="preserve"> </w:t>
      </w:r>
      <w:r>
        <w:rPr>
          <w:rFonts w:ascii="宋体"/>
        </w:rPr>
        <w:t>50080-2016</w:t>
      </w:r>
    </w:p>
    <w:p>
      <w:pPr>
        <w:pStyle w:val="1280"/>
        <w:ind w:firstLine="440"/>
        <w:rPr>
          <w:rFonts w:ascii="宋体"/>
        </w:rPr>
      </w:pPr>
      <w:r>
        <w:rPr>
          <w:rFonts w:ascii="宋体"/>
        </w:rPr>
        <w:t>混凝土强度检验评定标准                              GB/T</w:t>
      </w:r>
      <w:r>
        <w:rPr>
          <w:rFonts w:hint="eastAsia" w:ascii="宋体"/>
        </w:rPr>
        <w:t xml:space="preserve"> </w:t>
      </w:r>
      <w:r>
        <w:rPr>
          <w:rFonts w:ascii="宋体"/>
        </w:rPr>
        <w:t>50107-2010</w:t>
      </w:r>
    </w:p>
    <w:p>
      <w:pPr>
        <w:pStyle w:val="1280"/>
        <w:ind w:firstLine="440"/>
        <w:rPr>
          <w:rFonts w:ascii="宋体"/>
        </w:rPr>
      </w:pPr>
      <w:r>
        <w:rPr>
          <w:rFonts w:ascii="宋体"/>
        </w:rPr>
        <w:t>混凝土外加剂应用技术规范                            GB</w:t>
      </w:r>
      <w:r>
        <w:rPr>
          <w:rFonts w:hint="eastAsia" w:ascii="宋体"/>
        </w:rPr>
        <w:t xml:space="preserve"> </w:t>
      </w:r>
      <w:r>
        <w:rPr>
          <w:rFonts w:ascii="宋体"/>
        </w:rPr>
        <w:t>50119-2013</w:t>
      </w:r>
    </w:p>
    <w:p>
      <w:pPr>
        <w:pStyle w:val="1280"/>
        <w:ind w:firstLine="440"/>
        <w:rPr>
          <w:rFonts w:ascii="宋体"/>
        </w:rPr>
      </w:pPr>
      <w:r>
        <w:rPr>
          <w:rFonts w:ascii="宋体"/>
          <w:shd w:val="clear" w:color="auto" w:fill="FFFFFF"/>
        </w:rPr>
        <w:t>公路工程土工合成材料 防水材料 第1部分：塑料止水带</w:t>
      </w:r>
      <w:r>
        <w:rPr>
          <w:rFonts w:ascii="宋体"/>
        </w:rPr>
        <w:t xml:space="preserve">  JT/T</w:t>
      </w:r>
      <w:r>
        <w:rPr>
          <w:rFonts w:hint="eastAsia" w:ascii="宋体"/>
        </w:rPr>
        <w:t xml:space="preserve"> </w:t>
      </w:r>
      <w:r>
        <w:rPr>
          <w:rFonts w:ascii="宋体"/>
        </w:rPr>
        <w:t>1124.1-2017</w:t>
      </w:r>
    </w:p>
    <w:p>
      <w:pPr>
        <w:pStyle w:val="1280"/>
        <w:ind w:firstLine="440"/>
        <w:rPr>
          <w:rFonts w:ascii="宋体"/>
        </w:rPr>
      </w:pPr>
      <w:r>
        <w:rPr>
          <w:rFonts w:ascii="宋体"/>
        </w:rPr>
        <w:t xml:space="preserve">普通混凝土用砂、石质量及检验方法标准    </w:t>
      </w:r>
      <w:r>
        <w:rPr>
          <w:rFonts w:ascii="宋体"/>
        </w:rPr>
        <w:tab/>
      </w:r>
      <w:r>
        <w:rPr>
          <w:rFonts w:ascii="宋体"/>
        </w:rPr>
        <w:t xml:space="preserve">        JGJ</w:t>
      </w:r>
      <w:r>
        <w:rPr>
          <w:rFonts w:hint="eastAsia" w:ascii="宋体"/>
        </w:rPr>
        <w:t xml:space="preserve"> </w:t>
      </w:r>
      <w:r>
        <w:rPr>
          <w:rFonts w:ascii="宋体"/>
        </w:rPr>
        <w:t>52-2006</w:t>
      </w:r>
    </w:p>
    <w:p>
      <w:pPr>
        <w:pStyle w:val="1280"/>
        <w:ind w:firstLine="440"/>
        <w:rPr>
          <w:rFonts w:ascii="宋体"/>
        </w:rPr>
      </w:pPr>
      <w:r>
        <w:rPr>
          <w:rFonts w:ascii="宋体"/>
        </w:rPr>
        <w:t>混凝土外加剂</w:t>
      </w:r>
      <w:r>
        <w:rPr>
          <w:rFonts w:ascii="宋体"/>
        </w:rPr>
        <w:tab/>
      </w:r>
      <w:r>
        <w:rPr>
          <w:rFonts w:ascii="宋体"/>
        </w:rPr>
        <w:tab/>
      </w:r>
      <w:r>
        <w:rPr>
          <w:rFonts w:ascii="宋体"/>
        </w:rPr>
        <w:tab/>
      </w:r>
      <w:r>
        <w:rPr>
          <w:rFonts w:ascii="宋体"/>
        </w:rPr>
        <w:t xml:space="preserve">           </w:t>
      </w:r>
      <w:r>
        <w:rPr>
          <w:rFonts w:ascii="宋体"/>
        </w:rPr>
        <w:tab/>
      </w:r>
      <w:r>
        <w:rPr>
          <w:rFonts w:ascii="宋体"/>
        </w:rPr>
        <w:t xml:space="preserve">                GB</w:t>
      </w:r>
      <w:r>
        <w:rPr>
          <w:rFonts w:hint="eastAsia" w:ascii="宋体"/>
        </w:rPr>
        <w:t xml:space="preserve"> </w:t>
      </w:r>
      <w:r>
        <w:rPr>
          <w:rFonts w:ascii="宋体"/>
        </w:rPr>
        <w:t>8076-2008</w:t>
      </w:r>
    </w:p>
    <w:p>
      <w:pPr>
        <w:pStyle w:val="1280"/>
        <w:ind w:firstLine="440"/>
        <w:rPr>
          <w:rFonts w:ascii="宋体"/>
        </w:rPr>
      </w:pPr>
      <w:r>
        <w:rPr>
          <w:rFonts w:ascii="宋体"/>
          <w:shd w:val="clear" w:color="auto" w:fill="FFFFFF"/>
        </w:rPr>
        <w:t xml:space="preserve">钢筋混凝土用钢 第2部分：热轧带肋钢筋 </w:t>
      </w:r>
      <w:r>
        <w:rPr>
          <w:rFonts w:ascii="宋体"/>
        </w:rPr>
        <w:t xml:space="preserve">              GB</w:t>
      </w:r>
      <w:r>
        <w:rPr>
          <w:rFonts w:hint="eastAsia" w:ascii="宋体"/>
        </w:rPr>
        <w:t xml:space="preserve"> </w:t>
      </w:r>
      <w:r>
        <w:rPr>
          <w:rFonts w:ascii="宋体"/>
        </w:rPr>
        <w:t>1499.2-2007</w:t>
      </w:r>
    </w:p>
    <w:p>
      <w:pPr>
        <w:pStyle w:val="1280"/>
        <w:ind w:firstLine="440"/>
        <w:rPr>
          <w:rFonts w:ascii="宋体"/>
        </w:rPr>
      </w:pPr>
      <w:r>
        <w:rPr>
          <w:rFonts w:ascii="宋体"/>
        </w:rPr>
        <w:t>碳素结构钢</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GB/T</w:t>
      </w:r>
      <w:r>
        <w:rPr>
          <w:rFonts w:hint="eastAsia" w:ascii="宋体"/>
        </w:rPr>
        <w:t xml:space="preserve"> </w:t>
      </w:r>
      <w:r>
        <w:rPr>
          <w:rFonts w:ascii="宋体"/>
        </w:rPr>
        <w:t>700-2006</w:t>
      </w:r>
    </w:p>
    <w:p>
      <w:pPr>
        <w:pStyle w:val="1280"/>
        <w:ind w:firstLine="440"/>
        <w:rPr>
          <w:rFonts w:ascii="宋体"/>
        </w:rPr>
      </w:pPr>
      <w:r>
        <w:rPr>
          <w:rFonts w:ascii="宋体"/>
        </w:rPr>
        <w:t>混凝土用水标准</w:t>
      </w:r>
      <w:r>
        <w:rPr>
          <w:rFonts w:ascii="宋体"/>
        </w:rPr>
        <w:tab/>
      </w:r>
      <w:r>
        <w:rPr>
          <w:rFonts w:ascii="宋体"/>
        </w:rPr>
        <w:tab/>
      </w:r>
      <w:r>
        <w:rPr>
          <w:rFonts w:ascii="宋体"/>
        </w:rPr>
        <w:tab/>
      </w:r>
      <w:r>
        <w:rPr>
          <w:rFonts w:ascii="宋体"/>
        </w:rPr>
        <w:tab/>
      </w:r>
      <w:r>
        <w:rPr>
          <w:rFonts w:ascii="宋体"/>
        </w:rPr>
        <w:tab/>
      </w:r>
      <w:r>
        <w:rPr>
          <w:rFonts w:ascii="宋体"/>
        </w:rPr>
        <w:t xml:space="preserve">                    JGJ</w:t>
      </w:r>
      <w:r>
        <w:rPr>
          <w:rFonts w:hint="eastAsia" w:ascii="宋体"/>
        </w:rPr>
        <w:t xml:space="preserve"> </w:t>
      </w:r>
      <w:r>
        <w:rPr>
          <w:rFonts w:ascii="宋体"/>
        </w:rPr>
        <w:t>63-2006</w:t>
      </w:r>
    </w:p>
    <w:bookmarkEnd w:id="2244"/>
    <w:bookmarkEnd w:id="2245"/>
    <w:bookmarkEnd w:id="2246"/>
    <w:bookmarkEnd w:id="2247"/>
    <w:bookmarkEnd w:id="2248"/>
    <w:bookmarkEnd w:id="2249"/>
    <w:bookmarkEnd w:id="2250"/>
    <w:bookmarkEnd w:id="2251"/>
    <w:bookmarkEnd w:id="2252"/>
    <w:bookmarkEnd w:id="2253"/>
    <w:bookmarkEnd w:id="2254"/>
    <w:bookmarkEnd w:id="2255"/>
    <w:bookmarkEnd w:id="2256"/>
    <w:p>
      <w:pPr>
        <w:pStyle w:val="1284"/>
        <w:outlineLvl w:val="0"/>
        <w:rPr>
          <w:rFonts w:ascii="宋体" w:hAnsi="宋体"/>
        </w:rPr>
      </w:pPr>
      <w:bookmarkStart w:id="2257" w:name="_Toc266662933"/>
      <w:bookmarkStart w:id="2258" w:name="_Toc320555394"/>
      <w:bookmarkStart w:id="2259" w:name="_Toc517382534"/>
      <w:bookmarkStart w:id="2260" w:name="_Toc518376587"/>
      <w:bookmarkStart w:id="2261" w:name="_Toc521491909"/>
      <w:bookmarkStart w:id="2262" w:name="_Toc521492766"/>
      <w:bookmarkStart w:id="2263" w:name="_Toc521493440"/>
      <w:bookmarkStart w:id="2264" w:name="_Toc106883092"/>
      <w:r>
        <w:rPr>
          <w:rFonts w:ascii="宋体" w:hAnsi="宋体"/>
        </w:rPr>
        <w:t>3.1.2</w:t>
      </w:r>
      <w:r>
        <w:rPr>
          <w:rFonts w:hint="eastAsia" w:ascii="宋体" w:hAnsi="宋体"/>
        </w:rPr>
        <w:t xml:space="preserve"> </w:t>
      </w:r>
      <w:r>
        <w:rPr>
          <w:rFonts w:ascii="宋体" w:hAnsi="宋体"/>
        </w:rPr>
        <w:t>施工及验收规范</w:t>
      </w:r>
      <w:bookmarkEnd w:id="2257"/>
      <w:bookmarkEnd w:id="2258"/>
      <w:bookmarkEnd w:id="2259"/>
      <w:bookmarkEnd w:id="2260"/>
      <w:bookmarkEnd w:id="2261"/>
      <w:bookmarkEnd w:id="2262"/>
      <w:bookmarkEnd w:id="2263"/>
      <w:bookmarkEnd w:id="2264"/>
    </w:p>
    <w:p>
      <w:pPr>
        <w:pStyle w:val="1280"/>
        <w:ind w:firstLine="440"/>
        <w:rPr>
          <w:rFonts w:ascii="宋体"/>
        </w:rPr>
      </w:pPr>
      <w:r>
        <w:rPr>
          <w:rFonts w:ascii="宋体"/>
        </w:rPr>
        <w:t>给水排水构筑物施工质量验收规范</w:t>
      </w:r>
      <w:r>
        <w:rPr>
          <w:rFonts w:ascii="宋体"/>
        </w:rPr>
        <w:tab/>
      </w:r>
      <w:r>
        <w:rPr>
          <w:rFonts w:ascii="宋体"/>
        </w:rPr>
        <w:tab/>
      </w:r>
      <w:r>
        <w:rPr>
          <w:rFonts w:ascii="宋体"/>
        </w:rPr>
        <w:tab/>
      </w:r>
      <w:r>
        <w:rPr>
          <w:rFonts w:ascii="宋体"/>
        </w:rPr>
        <w:t xml:space="preserve">             GB</w:t>
      </w:r>
      <w:r>
        <w:rPr>
          <w:rFonts w:hint="eastAsia" w:ascii="宋体"/>
        </w:rPr>
        <w:t xml:space="preserve"> </w:t>
      </w:r>
      <w:r>
        <w:rPr>
          <w:rFonts w:ascii="宋体"/>
        </w:rPr>
        <w:t>50141-2008</w:t>
      </w:r>
    </w:p>
    <w:p>
      <w:pPr>
        <w:pStyle w:val="1280"/>
        <w:ind w:firstLine="440"/>
        <w:rPr>
          <w:rFonts w:ascii="宋体"/>
        </w:rPr>
      </w:pPr>
      <w:r>
        <w:rPr>
          <w:rFonts w:ascii="宋体"/>
        </w:rPr>
        <w:t>混凝土结构工程施工质量验收规范                       GB</w:t>
      </w:r>
      <w:r>
        <w:rPr>
          <w:rFonts w:hint="eastAsia" w:ascii="宋体"/>
        </w:rPr>
        <w:t xml:space="preserve"> </w:t>
      </w:r>
      <w:r>
        <w:rPr>
          <w:rFonts w:ascii="宋体"/>
        </w:rPr>
        <w:t>50204-2015</w:t>
      </w:r>
    </w:p>
    <w:p>
      <w:pPr>
        <w:pStyle w:val="1280"/>
        <w:ind w:firstLine="440"/>
        <w:rPr>
          <w:rFonts w:ascii="宋体"/>
        </w:rPr>
      </w:pPr>
      <w:r>
        <w:rPr>
          <w:rFonts w:ascii="宋体"/>
        </w:rPr>
        <w:t>普通混凝土拌合物性能试验方法标准</w:t>
      </w:r>
      <w:r>
        <w:rPr>
          <w:rFonts w:ascii="宋体"/>
        </w:rPr>
        <w:tab/>
      </w:r>
      <w:r>
        <w:rPr>
          <w:rFonts w:ascii="宋体"/>
        </w:rPr>
        <w:tab/>
      </w:r>
      <w:r>
        <w:rPr>
          <w:rFonts w:ascii="宋体"/>
        </w:rPr>
        <w:tab/>
      </w:r>
      <w:r>
        <w:rPr>
          <w:rFonts w:ascii="宋体"/>
        </w:rPr>
        <w:t xml:space="preserve">         GB/T</w:t>
      </w:r>
      <w:r>
        <w:rPr>
          <w:rFonts w:hint="eastAsia" w:ascii="宋体"/>
        </w:rPr>
        <w:t xml:space="preserve"> </w:t>
      </w:r>
      <w:r>
        <w:rPr>
          <w:rFonts w:ascii="宋体"/>
        </w:rPr>
        <w:t>50080-2016</w:t>
      </w:r>
    </w:p>
    <w:p>
      <w:pPr>
        <w:pStyle w:val="1280"/>
        <w:ind w:firstLine="440"/>
        <w:rPr>
          <w:rFonts w:ascii="宋体"/>
        </w:rPr>
      </w:pPr>
      <w:r>
        <w:rPr>
          <w:rFonts w:ascii="宋体"/>
        </w:rPr>
        <w:t>普通混凝土配合比设计规程</w:t>
      </w:r>
      <w:r>
        <w:rPr>
          <w:rFonts w:ascii="宋体"/>
        </w:rPr>
        <w:tab/>
      </w:r>
      <w:r>
        <w:rPr>
          <w:rFonts w:ascii="宋体"/>
        </w:rPr>
        <w:tab/>
      </w:r>
      <w:r>
        <w:rPr>
          <w:rFonts w:ascii="宋体"/>
        </w:rPr>
        <w:tab/>
      </w:r>
      <w:r>
        <w:rPr>
          <w:rFonts w:ascii="宋体"/>
        </w:rPr>
        <w:tab/>
      </w:r>
      <w:r>
        <w:rPr>
          <w:rFonts w:ascii="宋体"/>
        </w:rPr>
        <w:t xml:space="preserve">             JGJ</w:t>
      </w:r>
      <w:r>
        <w:rPr>
          <w:rFonts w:hint="eastAsia" w:ascii="宋体"/>
        </w:rPr>
        <w:t xml:space="preserve"> </w:t>
      </w:r>
      <w:r>
        <w:rPr>
          <w:rFonts w:ascii="宋体"/>
        </w:rPr>
        <w:t>55-2011</w:t>
      </w:r>
    </w:p>
    <w:p>
      <w:pPr>
        <w:pStyle w:val="1280"/>
        <w:ind w:firstLine="440"/>
        <w:rPr>
          <w:rFonts w:ascii="宋体"/>
        </w:rPr>
      </w:pPr>
      <w:r>
        <w:rPr>
          <w:rFonts w:ascii="宋体"/>
        </w:rPr>
        <w:t>普通混凝土力学性能试验方法标准</w:t>
      </w:r>
      <w:r>
        <w:rPr>
          <w:rFonts w:ascii="宋体"/>
        </w:rPr>
        <w:tab/>
      </w:r>
      <w:r>
        <w:rPr>
          <w:rFonts w:ascii="宋体"/>
        </w:rPr>
        <w:tab/>
      </w:r>
      <w:r>
        <w:rPr>
          <w:rFonts w:ascii="宋体"/>
        </w:rPr>
        <w:tab/>
      </w:r>
      <w:r>
        <w:rPr>
          <w:rFonts w:ascii="宋体"/>
        </w:rPr>
        <w:t xml:space="preserve">             GB/T</w:t>
      </w:r>
      <w:r>
        <w:rPr>
          <w:rFonts w:hint="eastAsia" w:ascii="宋体"/>
        </w:rPr>
        <w:t xml:space="preserve"> </w:t>
      </w:r>
      <w:r>
        <w:rPr>
          <w:rFonts w:ascii="宋体"/>
        </w:rPr>
        <w:t>50081-2002</w:t>
      </w:r>
    </w:p>
    <w:p>
      <w:pPr>
        <w:pStyle w:val="1280"/>
        <w:ind w:firstLine="440"/>
        <w:rPr>
          <w:rFonts w:ascii="宋体"/>
        </w:rPr>
      </w:pPr>
      <w:r>
        <w:rPr>
          <w:rFonts w:ascii="宋体"/>
        </w:rPr>
        <w:t>混凝土外加剂应用技术规范</w:t>
      </w:r>
      <w:r>
        <w:rPr>
          <w:rFonts w:ascii="宋体"/>
        </w:rPr>
        <w:tab/>
      </w:r>
      <w:r>
        <w:rPr>
          <w:rFonts w:ascii="宋体"/>
        </w:rPr>
        <w:tab/>
      </w:r>
      <w:r>
        <w:rPr>
          <w:rFonts w:ascii="宋体"/>
        </w:rPr>
        <w:tab/>
      </w:r>
      <w:r>
        <w:rPr>
          <w:rFonts w:ascii="宋体"/>
        </w:rPr>
        <w:tab/>
      </w:r>
      <w:r>
        <w:rPr>
          <w:rFonts w:ascii="宋体"/>
        </w:rPr>
        <w:t xml:space="preserve">             GB</w:t>
      </w:r>
      <w:r>
        <w:rPr>
          <w:rFonts w:hint="eastAsia" w:ascii="宋体"/>
        </w:rPr>
        <w:t xml:space="preserve"> </w:t>
      </w:r>
      <w:r>
        <w:rPr>
          <w:rFonts w:ascii="宋体"/>
        </w:rPr>
        <w:t>50119-2013</w:t>
      </w:r>
    </w:p>
    <w:p>
      <w:pPr>
        <w:pStyle w:val="1280"/>
        <w:ind w:firstLine="440"/>
        <w:rPr>
          <w:rFonts w:ascii="宋体"/>
        </w:rPr>
      </w:pPr>
      <w:r>
        <w:rPr>
          <w:rFonts w:ascii="宋体"/>
        </w:rPr>
        <w:t xml:space="preserve">混凝土强度检验评定标准                              </w:t>
      </w:r>
      <w:r>
        <w:rPr>
          <w:rFonts w:hint="eastAsia" w:ascii="宋体"/>
        </w:rPr>
        <w:t xml:space="preserve"> </w:t>
      </w:r>
      <w:r>
        <w:rPr>
          <w:rFonts w:ascii="宋体"/>
        </w:rPr>
        <w:t>GB/T</w:t>
      </w:r>
      <w:r>
        <w:rPr>
          <w:rFonts w:hint="eastAsia" w:ascii="宋体"/>
        </w:rPr>
        <w:t xml:space="preserve"> </w:t>
      </w:r>
      <w:r>
        <w:rPr>
          <w:rFonts w:ascii="宋体"/>
        </w:rPr>
        <w:t>50107-2010</w:t>
      </w:r>
    </w:p>
    <w:p>
      <w:pPr>
        <w:pStyle w:val="1280"/>
        <w:ind w:firstLine="440"/>
        <w:rPr>
          <w:rFonts w:ascii="宋体"/>
        </w:rPr>
      </w:pPr>
      <w:r>
        <w:rPr>
          <w:rFonts w:ascii="宋体"/>
        </w:rPr>
        <w:t>预制混凝土构件质量检验评定标准</w:t>
      </w:r>
      <w:r>
        <w:rPr>
          <w:rFonts w:ascii="宋体"/>
        </w:rPr>
        <w:tab/>
      </w:r>
      <w:r>
        <w:rPr>
          <w:rFonts w:ascii="宋体"/>
        </w:rPr>
        <w:tab/>
      </w:r>
      <w:r>
        <w:rPr>
          <w:rFonts w:ascii="宋体"/>
        </w:rPr>
        <w:t xml:space="preserve">      </w:t>
      </w:r>
      <w:r>
        <w:rPr>
          <w:rFonts w:ascii="宋体"/>
        </w:rPr>
        <w:tab/>
      </w:r>
      <w:r>
        <w:rPr>
          <w:rFonts w:ascii="宋体"/>
        </w:rPr>
        <w:t xml:space="preserve">        </w:t>
      </w:r>
      <w:r>
        <w:rPr>
          <w:rFonts w:hint="eastAsia" w:ascii="宋体"/>
        </w:rPr>
        <w:t xml:space="preserve"> </w:t>
      </w:r>
      <w:r>
        <w:rPr>
          <w:rFonts w:ascii="宋体"/>
        </w:rPr>
        <w:t>DBJ</w:t>
      </w:r>
      <w:r>
        <w:rPr>
          <w:rFonts w:hint="eastAsia" w:ascii="宋体"/>
        </w:rPr>
        <w:t xml:space="preserve"> </w:t>
      </w:r>
      <w:r>
        <w:rPr>
          <w:rFonts w:ascii="宋体"/>
        </w:rPr>
        <w:t>01-1-1992</w:t>
      </w:r>
    </w:p>
    <w:p>
      <w:pPr>
        <w:pStyle w:val="1280"/>
        <w:ind w:firstLine="440"/>
        <w:rPr>
          <w:rFonts w:ascii="宋体"/>
        </w:rPr>
      </w:pPr>
      <w:r>
        <w:rPr>
          <w:rFonts w:ascii="宋体"/>
        </w:rPr>
        <w:t>沥青路面施工及验收规范                               GB</w:t>
      </w:r>
      <w:r>
        <w:rPr>
          <w:rFonts w:hint="eastAsia" w:ascii="宋体"/>
        </w:rPr>
        <w:t xml:space="preserve"> </w:t>
      </w:r>
      <w:r>
        <w:rPr>
          <w:rFonts w:ascii="宋体"/>
        </w:rPr>
        <w:t>50092-1996</w:t>
      </w:r>
    </w:p>
    <w:p>
      <w:pPr>
        <w:pStyle w:val="1280"/>
        <w:ind w:firstLine="440"/>
        <w:rPr>
          <w:rFonts w:ascii="宋体"/>
        </w:rPr>
      </w:pPr>
      <w:r>
        <w:rPr>
          <w:rFonts w:ascii="宋体"/>
        </w:rPr>
        <w:t>钢筋焊接及验收规程</w:t>
      </w:r>
      <w:r>
        <w:rPr>
          <w:rFonts w:ascii="宋体"/>
        </w:rPr>
        <w:tab/>
      </w:r>
      <w:r>
        <w:rPr>
          <w:rFonts w:ascii="宋体"/>
        </w:rPr>
        <w:tab/>
      </w:r>
      <w:r>
        <w:rPr>
          <w:rFonts w:ascii="宋体"/>
        </w:rPr>
        <w:tab/>
      </w:r>
      <w:r>
        <w:rPr>
          <w:rFonts w:ascii="宋体"/>
        </w:rPr>
        <w:tab/>
      </w:r>
      <w:r>
        <w:rPr>
          <w:rFonts w:ascii="宋体"/>
        </w:rPr>
        <w:tab/>
      </w:r>
      <w:r>
        <w:rPr>
          <w:rFonts w:ascii="宋体"/>
        </w:rPr>
        <w:t xml:space="preserve">                 JGJ</w:t>
      </w:r>
      <w:r>
        <w:rPr>
          <w:rFonts w:hint="eastAsia" w:ascii="宋体"/>
        </w:rPr>
        <w:t xml:space="preserve"> </w:t>
      </w:r>
      <w:r>
        <w:rPr>
          <w:rFonts w:ascii="宋体"/>
        </w:rPr>
        <w:t>18-2012</w:t>
      </w:r>
    </w:p>
    <w:p>
      <w:pPr>
        <w:pStyle w:val="1280"/>
        <w:ind w:firstLine="440"/>
        <w:rPr>
          <w:rFonts w:ascii="宋体"/>
        </w:rPr>
      </w:pPr>
      <w:r>
        <w:rPr>
          <w:rFonts w:ascii="宋体"/>
        </w:rPr>
        <w:t>钢筋焊接接头试验方法标准</w:t>
      </w:r>
      <w:r>
        <w:rPr>
          <w:rFonts w:ascii="宋体"/>
        </w:rPr>
        <w:tab/>
      </w:r>
      <w:r>
        <w:rPr>
          <w:rFonts w:ascii="宋体"/>
        </w:rPr>
        <w:tab/>
      </w:r>
      <w:r>
        <w:rPr>
          <w:rFonts w:ascii="宋体"/>
        </w:rPr>
        <w:tab/>
      </w:r>
      <w:r>
        <w:rPr>
          <w:rFonts w:ascii="宋体"/>
        </w:rPr>
        <w:t xml:space="preserve">                 JGJ/T</w:t>
      </w:r>
      <w:r>
        <w:rPr>
          <w:rFonts w:hint="eastAsia" w:ascii="宋体"/>
        </w:rPr>
        <w:t xml:space="preserve"> </w:t>
      </w:r>
      <w:r>
        <w:rPr>
          <w:rFonts w:ascii="宋体"/>
        </w:rPr>
        <w:t>27-2014</w:t>
      </w:r>
    </w:p>
    <w:p>
      <w:pPr>
        <w:pStyle w:val="1280"/>
        <w:ind w:firstLine="440"/>
        <w:rPr>
          <w:rFonts w:ascii="宋体"/>
        </w:rPr>
      </w:pPr>
      <w:r>
        <w:rPr>
          <w:rFonts w:ascii="宋体"/>
        </w:rPr>
        <w:t>水工混凝土施工规范                                   DL/T</w:t>
      </w:r>
      <w:r>
        <w:rPr>
          <w:rFonts w:hint="eastAsia" w:ascii="宋体"/>
        </w:rPr>
        <w:t xml:space="preserve"> </w:t>
      </w:r>
      <w:r>
        <w:rPr>
          <w:rFonts w:ascii="宋体"/>
        </w:rPr>
        <w:t>5144-2015</w:t>
      </w:r>
    </w:p>
    <w:p>
      <w:pPr>
        <w:pStyle w:val="1281"/>
        <w:outlineLvl w:val="0"/>
        <w:rPr>
          <w:rFonts w:ascii="宋体" w:hAnsi="宋体"/>
          <w:color w:val="auto"/>
        </w:rPr>
      </w:pPr>
      <w:bookmarkStart w:id="2265" w:name="_Toc385007688"/>
      <w:bookmarkStart w:id="2266" w:name="_Toc385008484"/>
      <w:bookmarkStart w:id="2267" w:name="_Toc385012646"/>
      <w:bookmarkStart w:id="2268" w:name="_Toc389234147"/>
      <w:bookmarkStart w:id="2269" w:name="_Toc393081098"/>
      <w:bookmarkStart w:id="2270" w:name="_Toc397479551"/>
      <w:bookmarkStart w:id="2271" w:name="_Toc397479878"/>
      <w:bookmarkStart w:id="2272" w:name="_Toc397481600"/>
      <w:bookmarkStart w:id="2273" w:name="_Toc397485669"/>
      <w:bookmarkStart w:id="2274" w:name="_Toc398083757"/>
      <w:bookmarkStart w:id="2275" w:name="_Toc16242364"/>
      <w:bookmarkStart w:id="2276" w:name="_Toc43107547"/>
      <w:bookmarkStart w:id="2277" w:name="_Toc266662934"/>
      <w:bookmarkStart w:id="2278" w:name="_Toc320555395"/>
      <w:bookmarkStart w:id="2279" w:name="_Toc517382535"/>
      <w:bookmarkStart w:id="2280" w:name="_Toc518376588"/>
      <w:bookmarkStart w:id="2281" w:name="_Toc521491910"/>
      <w:bookmarkStart w:id="2282" w:name="_Toc521492767"/>
      <w:bookmarkStart w:id="2283" w:name="_Toc521493441"/>
      <w:bookmarkStart w:id="2284" w:name="_Toc106883093"/>
      <w:bookmarkStart w:id="2285" w:name="_Toc385007698"/>
      <w:bookmarkStart w:id="2286" w:name="_Toc385008494"/>
      <w:bookmarkStart w:id="2287" w:name="_Toc385012656"/>
      <w:bookmarkStart w:id="2288" w:name="_Toc389234157"/>
      <w:bookmarkStart w:id="2289" w:name="_Toc393081108"/>
      <w:bookmarkStart w:id="2290" w:name="_Toc397479559"/>
      <w:bookmarkStart w:id="2291" w:name="_Toc397479886"/>
      <w:bookmarkStart w:id="2292" w:name="_Toc397481608"/>
      <w:bookmarkStart w:id="2293" w:name="_Toc397485677"/>
      <w:bookmarkStart w:id="2294" w:name="_Toc398083765"/>
      <w:bookmarkStart w:id="2295" w:name="_Toc16242372"/>
      <w:bookmarkStart w:id="2296" w:name="_Toc43107555"/>
      <w:bookmarkStart w:id="2297" w:name="_Toc164502134"/>
      <w:r>
        <w:rPr>
          <w:rFonts w:ascii="宋体" w:hAnsi="宋体"/>
          <w:color w:val="auto"/>
        </w:rPr>
        <w:t>3.2 由承包商提交的文件</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1284"/>
        <w:outlineLvl w:val="0"/>
        <w:rPr>
          <w:rFonts w:ascii="宋体" w:hAnsi="宋体"/>
        </w:rPr>
      </w:pPr>
      <w:bookmarkStart w:id="2298" w:name="_Toc385007689"/>
      <w:bookmarkStart w:id="2299" w:name="_Toc385008485"/>
      <w:bookmarkStart w:id="2300" w:name="_Toc385012647"/>
      <w:bookmarkStart w:id="2301" w:name="_Toc389234148"/>
      <w:bookmarkStart w:id="2302" w:name="_Toc393081099"/>
      <w:bookmarkStart w:id="2303" w:name="_Toc397479552"/>
      <w:bookmarkStart w:id="2304" w:name="_Toc397479879"/>
      <w:bookmarkStart w:id="2305" w:name="_Toc397481601"/>
      <w:bookmarkStart w:id="2306" w:name="_Toc397485670"/>
      <w:bookmarkStart w:id="2307" w:name="_Toc398083758"/>
      <w:bookmarkStart w:id="2308" w:name="_Toc16242365"/>
      <w:bookmarkStart w:id="2309" w:name="_Toc43107548"/>
      <w:bookmarkStart w:id="2310" w:name="_Toc266662935"/>
      <w:bookmarkStart w:id="2311" w:name="_Toc320555396"/>
      <w:bookmarkStart w:id="2312" w:name="_Toc517382536"/>
      <w:bookmarkStart w:id="2313" w:name="_Toc518376589"/>
      <w:bookmarkStart w:id="2314" w:name="_Toc521491911"/>
      <w:bookmarkStart w:id="2315" w:name="_Toc521492768"/>
      <w:bookmarkStart w:id="2316" w:name="_Toc521493442"/>
      <w:bookmarkStart w:id="2317" w:name="_Toc106883094"/>
      <w:r>
        <w:rPr>
          <w:rFonts w:ascii="宋体" w:hAnsi="宋体"/>
        </w:rPr>
        <w:t>3.2.1</w:t>
      </w:r>
      <w:r>
        <w:rPr>
          <w:rFonts w:hint="eastAsia" w:ascii="宋体" w:hAnsi="宋体"/>
        </w:rPr>
        <w:t xml:space="preserve"> </w:t>
      </w:r>
      <w:r>
        <w:rPr>
          <w:rFonts w:ascii="宋体" w:hAnsi="宋体"/>
        </w:rPr>
        <w:t>通常提交的文件</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1280"/>
        <w:ind w:firstLine="440"/>
        <w:rPr>
          <w:rFonts w:ascii="宋体"/>
        </w:rPr>
      </w:pPr>
      <w:r>
        <w:rPr>
          <w:rFonts w:ascii="宋体"/>
        </w:rPr>
        <w:t>承包商应提交关于混凝土、沥青混凝土工程的相关文件。并在以下有关技术规范的条款中要求加以说明。如果承包商自行建混凝土搅拌站，应得到当地主管部门的批准；如果采用商品混凝土，须按本技术规范3.2.5条的约定提供商品混凝土供货的有关资料。</w:t>
      </w:r>
    </w:p>
    <w:p>
      <w:pPr>
        <w:pStyle w:val="1284"/>
        <w:outlineLvl w:val="0"/>
        <w:rPr>
          <w:rFonts w:ascii="宋体" w:hAnsi="宋体"/>
        </w:rPr>
      </w:pPr>
      <w:bookmarkStart w:id="2318" w:name="_Toc385007690"/>
      <w:bookmarkStart w:id="2319" w:name="_Toc385008486"/>
      <w:bookmarkStart w:id="2320" w:name="_Toc385012648"/>
      <w:bookmarkStart w:id="2321" w:name="_Toc389234149"/>
      <w:bookmarkStart w:id="2322" w:name="_Toc393081100"/>
      <w:bookmarkStart w:id="2323" w:name="_Toc397479553"/>
      <w:bookmarkStart w:id="2324" w:name="_Toc397479880"/>
      <w:bookmarkStart w:id="2325" w:name="_Toc397481602"/>
      <w:bookmarkStart w:id="2326" w:name="_Toc397485671"/>
      <w:bookmarkStart w:id="2327" w:name="_Toc398083759"/>
      <w:bookmarkStart w:id="2328" w:name="_Toc16242366"/>
      <w:bookmarkStart w:id="2329" w:name="_Toc43107549"/>
      <w:bookmarkStart w:id="2330" w:name="_Toc266662936"/>
      <w:bookmarkStart w:id="2331" w:name="_Toc320555397"/>
      <w:bookmarkStart w:id="2332" w:name="_Toc517382537"/>
      <w:bookmarkStart w:id="2333" w:name="_Toc518376590"/>
      <w:bookmarkStart w:id="2334" w:name="_Toc521491912"/>
      <w:bookmarkStart w:id="2335" w:name="_Toc521492769"/>
      <w:bookmarkStart w:id="2336" w:name="_Toc521493443"/>
      <w:bookmarkStart w:id="2337" w:name="_Toc106883095"/>
      <w:r>
        <w:rPr>
          <w:rFonts w:ascii="宋体" w:hAnsi="宋体"/>
        </w:rPr>
        <w:t>3.2.2</w:t>
      </w:r>
      <w:r>
        <w:rPr>
          <w:rFonts w:hint="eastAsia" w:ascii="宋体" w:hAnsi="宋体"/>
        </w:rPr>
        <w:t xml:space="preserve"> </w:t>
      </w:r>
      <w:r>
        <w:rPr>
          <w:rFonts w:ascii="宋体" w:hAnsi="宋体"/>
        </w:rPr>
        <w:t>证明书</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1280"/>
        <w:ind w:firstLine="440"/>
        <w:rPr>
          <w:rFonts w:ascii="宋体"/>
        </w:rPr>
      </w:pPr>
      <w:r>
        <w:rPr>
          <w:rFonts w:ascii="宋体"/>
        </w:rPr>
        <w:t>制造商和供应商应就下列材料提供符合有关标准的文件和证明书，</w:t>
      </w:r>
    </w:p>
    <w:p>
      <w:pPr>
        <w:pStyle w:val="1280"/>
        <w:ind w:firstLine="440"/>
        <w:rPr>
          <w:rFonts w:ascii="宋体"/>
        </w:rPr>
      </w:pPr>
      <w:bookmarkStart w:id="2338" w:name="_Toc385012649"/>
      <w:bookmarkStart w:id="2339" w:name="_Toc385007691"/>
      <w:bookmarkStart w:id="2340" w:name="_Toc385008487"/>
      <w:bookmarkStart w:id="2341" w:name="_Toc389234150"/>
      <w:bookmarkStart w:id="2342" w:name="_Toc393081101"/>
      <w:r>
        <w:rPr>
          <w:rFonts w:ascii="宋体"/>
        </w:rPr>
        <w:t>混凝土</w:t>
      </w:r>
      <w:bookmarkEnd w:id="2338"/>
      <w:bookmarkEnd w:id="2339"/>
      <w:bookmarkEnd w:id="2340"/>
      <w:bookmarkEnd w:id="2341"/>
      <w:bookmarkEnd w:id="2342"/>
      <w:r>
        <w:rPr>
          <w:rFonts w:hint="eastAsia" w:ascii="宋体"/>
        </w:rPr>
        <w:t>；</w:t>
      </w:r>
    </w:p>
    <w:p>
      <w:pPr>
        <w:pStyle w:val="1280"/>
        <w:ind w:firstLine="440"/>
        <w:rPr>
          <w:rFonts w:ascii="宋体"/>
        </w:rPr>
      </w:pPr>
      <w:r>
        <w:rPr>
          <w:rFonts w:ascii="宋体"/>
        </w:rPr>
        <w:t>水泥；</w:t>
      </w:r>
    </w:p>
    <w:p>
      <w:pPr>
        <w:pStyle w:val="1280"/>
        <w:ind w:firstLine="440"/>
        <w:rPr>
          <w:rFonts w:ascii="宋体"/>
        </w:rPr>
      </w:pPr>
      <w:r>
        <w:rPr>
          <w:rFonts w:ascii="宋体"/>
        </w:rPr>
        <w:t>骨料；</w:t>
      </w:r>
    </w:p>
    <w:p>
      <w:pPr>
        <w:pStyle w:val="1280"/>
        <w:ind w:firstLine="440"/>
        <w:rPr>
          <w:rFonts w:ascii="宋体"/>
        </w:rPr>
      </w:pPr>
      <w:r>
        <w:rPr>
          <w:rFonts w:ascii="宋体"/>
        </w:rPr>
        <w:t>掺和料及外加剂；</w:t>
      </w:r>
    </w:p>
    <w:p>
      <w:pPr>
        <w:pStyle w:val="1280"/>
        <w:ind w:firstLine="440"/>
        <w:rPr>
          <w:rFonts w:ascii="宋体"/>
        </w:rPr>
      </w:pPr>
      <w:r>
        <w:rPr>
          <w:rFonts w:ascii="宋体"/>
        </w:rPr>
        <w:t>接缝材料；</w:t>
      </w:r>
    </w:p>
    <w:p>
      <w:pPr>
        <w:pStyle w:val="1280"/>
        <w:ind w:firstLine="440"/>
        <w:rPr>
          <w:rFonts w:ascii="宋体"/>
        </w:rPr>
      </w:pPr>
      <w:r>
        <w:rPr>
          <w:rFonts w:ascii="宋体"/>
        </w:rPr>
        <w:t>水；</w:t>
      </w:r>
    </w:p>
    <w:p>
      <w:pPr>
        <w:pStyle w:val="1280"/>
        <w:ind w:firstLine="440"/>
        <w:rPr>
          <w:rFonts w:ascii="宋体"/>
        </w:rPr>
      </w:pPr>
      <w:r>
        <w:rPr>
          <w:rFonts w:ascii="宋体"/>
        </w:rPr>
        <w:t>用于配料和搅拌厂称量和配料装置的证明书；</w:t>
      </w:r>
    </w:p>
    <w:p>
      <w:pPr>
        <w:pStyle w:val="1280"/>
        <w:ind w:firstLine="440"/>
        <w:rPr>
          <w:rFonts w:ascii="宋体"/>
        </w:rPr>
      </w:pPr>
      <w:r>
        <w:rPr>
          <w:rFonts w:ascii="宋体"/>
        </w:rPr>
        <w:t>上述材料相继在水中和新浇及已硬化混凝土中进行的试验结果证明；</w:t>
      </w:r>
    </w:p>
    <w:p>
      <w:pPr>
        <w:pStyle w:val="1280"/>
        <w:ind w:firstLine="440"/>
        <w:rPr>
          <w:rFonts w:ascii="宋体"/>
        </w:rPr>
      </w:pPr>
      <w:r>
        <w:rPr>
          <w:rFonts w:ascii="宋体"/>
        </w:rPr>
        <w:t>机械联接件及附件的加工详图和试验证明；</w:t>
      </w:r>
    </w:p>
    <w:p>
      <w:pPr>
        <w:pStyle w:val="1280"/>
        <w:ind w:firstLine="440"/>
        <w:rPr>
          <w:rFonts w:ascii="宋体"/>
        </w:rPr>
      </w:pPr>
      <w:r>
        <w:rPr>
          <w:rFonts w:ascii="宋体"/>
        </w:rPr>
        <w:t>供试验用的钢附件和联接件的样品；</w:t>
      </w:r>
    </w:p>
    <w:p>
      <w:pPr>
        <w:pStyle w:val="1284"/>
        <w:outlineLvl w:val="0"/>
        <w:rPr>
          <w:rFonts w:ascii="宋体" w:hAnsi="宋体"/>
        </w:rPr>
      </w:pPr>
      <w:bookmarkStart w:id="2343" w:name="_Toc385007693"/>
      <w:bookmarkStart w:id="2344" w:name="_Toc385008489"/>
      <w:bookmarkStart w:id="2345" w:name="_Toc385012651"/>
      <w:bookmarkStart w:id="2346" w:name="_Toc389234152"/>
      <w:bookmarkStart w:id="2347" w:name="_Toc393081103"/>
      <w:bookmarkStart w:id="2348" w:name="_Toc397479554"/>
      <w:bookmarkStart w:id="2349" w:name="_Toc397479881"/>
      <w:bookmarkStart w:id="2350" w:name="_Toc397481603"/>
      <w:bookmarkStart w:id="2351" w:name="_Toc397485672"/>
      <w:bookmarkStart w:id="2352" w:name="_Toc398083760"/>
      <w:bookmarkStart w:id="2353" w:name="_Toc16242367"/>
      <w:bookmarkStart w:id="2354" w:name="_Toc43107550"/>
      <w:bookmarkStart w:id="2355" w:name="_Toc266662937"/>
      <w:bookmarkStart w:id="2356" w:name="_Toc320555398"/>
      <w:bookmarkStart w:id="2357" w:name="_Toc517382538"/>
      <w:bookmarkStart w:id="2358" w:name="_Toc518376591"/>
      <w:bookmarkStart w:id="2359" w:name="_Toc521491913"/>
      <w:bookmarkStart w:id="2360" w:name="_Toc521492770"/>
      <w:bookmarkStart w:id="2361" w:name="_Toc521493444"/>
      <w:bookmarkStart w:id="2362" w:name="_Toc106883096"/>
      <w:r>
        <w:rPr>
          <w:rFonts w:ascii="宋体" w:hAnsi="宋体"/>
        </w:rPr>
        <w:t>3.2.3</w:t>
      </w:r>
      <w:r>
        <w:rPr>
          <w:rFonts w:hint="eastAsia" w:ascii="宋体" w:hAnsi="宋体"/>
        </w:rPr>
        <w:t xml:space="preserve"> </w:t>
      </w:r>
      <w:r>
        <w:rPr>
          <w:rFonts w:ascii="宋体" w:hAnsi="宋体"/>
        </w:rPr>
        <w:t>样品</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1280"/>
        <w:ind w:firstLine="440"/>
        <w:rPr>
          <w:rFonts w:ascii="宋体"/>
        </w:rPr>
      </w:pPr>
      <w:r>
        <w:rPr>
          <w:rFonts w:ascii="宋体"/>
        </w:rPr>
        <w:t>承包商应提供上述所有材料的样品，经项目监理和业主批准的样品应保存于合适的容器内，正确地标上品名并存放在现场以备对照。</w:t>
      </w:r>
    </w:p>
    <w:p>
      <w:pPr>
        <w:pStyle w:val="1284"/>
        <w:outlineLvl w:val="0"/>
        <w:rPr>
          <w:rFonts w:ascii="宋体" w:hAnsi="宋体"/>
        </w:rPr>
      </w:pPr>
      <w:bookmarkStart w:id="2363" w:name="_Toc385007694"/>
      <w:bookmarkStart w:id="2364" w:name="_Toc385008490"/>
      <w:bookmarkStart w:id="2365" w:name="_Toc385012652"/>
      <w:bookmarkStart w:id="2366" w:name="_Toc389234153"/>
      <w:bookmarkStart w:id="2367" w:name="_Toc393081104"/>
      <w:bookmarkStart w:id="2368" w:name="_Toc397479555"/>
      <w:bookmarkStart w:id="2369" w:name="_Toc397479882"/>
      <w:bookmarkStart w:id="2370" w:name="_Toc397481604"/>
      <w:bookmarkStart w:id="2371" w:name="_Toc397485673"/>
      <w:bookmarkStart w:id="2372" w:name="_Toc398083761"/>
      <w:bookmarkStart w:id="2373" w:name="_Toc16242368"/>
      <w:bookmarkStart w:id="2374" w:name="_Toc43107551"/>
      <w:bookmarkStart w:id="2375" w:name="_Toc266662938"/>
      <w:bookmarkStart w:id="2376" w:name="_Toc320555399"/>
      <w:bookmarkStart w:id="2377" w:name="_Toc517382539"/>
      <w:bookmarkStart w:id="2378" w:name="_Toc518376592"/>
      <w:bookmarkStart w:id="2379" w:name="_Toc521491914"/>
      <w:bookmarkStart w:id="2380" w:name="_Toc521492771"/>
      <w:bookmarkStart w:id="2381" w:name="_Toc521493445"/>
      <w:bookmarkStart w:id="2382" w:name="_Toc106883097"/>
      <w:r>
        <w:rPr>
          <w:rFonts w:ascii="宋体" w:hAnsi="宋体"/>
        </w:rPr>
        <w:t>3.2.4</w:t>
      </w:r>
      <w:r>
        <w:rPr>
          <w:rFonts w:hint="eastAsia" w:ascii="宋体" w:hAnsi="宋体"/>
        </w:rPr>
        <w:t xml:space="preserve"> </w:t>
      </w:r>
      <w:r>
        <w:rPr>
          <w:rFonts w:ascii="宋体" w:hAnsi="宋体"/>
        </w:rPr>
        <w:t>混凝土配合比</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1280"/>
        <w:ind w:firstLine="440"/>
        <w:rPr>
          <w:rFonts w:ascii="宋体"/>
        </w:rPr>
      </w:pPr>
      <w:r>
        <w:rPr>
          <w:rFonts w:ascii="宋体"/>
        </w:rPr>
        <w:t>承包商应提交为本工程所需的各种强度混凝土的配合比设计细节。</w:t>
      </w:r>
    </w:p>
    <w:p>
      <w:pPr>
        <w:pStyle w:val="1284"/>
        <w:outlineLvl w:val="0"/>
        <w:rPr>
          <w:rFonts w:ascii="宋体" w:hAnsi="宋体"/>
        </w:rPr>
      </w:pPr>
      <w:bookmarkStart w:id="2383" w:name="_Toc385007695"/>
      <w:bookmarkStart w:id="2384" w:name="_Toc385008491"/>
      <w:bookmarkStart w:id="2385" w:name="_Toc385012653"/>
      <w:bookmarkStart w:id="2386" w:name="_Toc389234154"/>
      <w:bookmarkStart w:id="2387" w:name="_Toc393081105"/>
      <w:bookmarkStart w:id="2388" w:name="_Toc397479556"/>
      <w:bookmarkStart w:id="2389" w:name="_Toc397479883"/>
      <w:bookmarkStart w:id="2390" w:name="_Toc397481605"/>
      <w:bookmarkStart w:id="2391" w:name="_Toc397485674"/>
      <w:bookmarkStart w:id="2392" w:name="_Toc398083762"/>
      <w:bookmarkStart w:id="2393" w:name="_Toc16242369"/>
      <w:bookmarkStart w:id="2394" w:name="_Toc43107552"/>
      <w:bookmarkStart w:id="2395" w:name="_Toc266662939"/>
      <w:bookmarkStart w:id="2396" w:name="_Toc320555400"/>
      <w:bookmarkStart w:id="2397" w:name="_Toc517382540"/>
      <w:bookmarkStart w:id="2398" w:name="_Toc518376593"/>
      <w:bookmarkStart w:id="2399" w:name="_Toc521491915"/>
      <w:bookmarkStart w:id="2400" w:name="_Toc521492772"/>
      <w:bookmarkStart w:id="2401" w:name="_Toc521493446"/>
      <w:bookmarkStart w:id="2402" w:name="_Toc106883098"/>
      <w:r>
        <w:rPr>
          <w:rFonts w:ascii="宋体" w:hAnsi="宋体"/>
        </w:rPr>
        <w:t>3.2.5</w:t>
      </w:r>
      <w:r>
        <w:rPr>
          <w:rFonts w:hint="eastAsia" w:ascii="宋体" w:hAnsi="宋体"/>
        </w:rPr>
        <w:t xml:space="preserve"> </w:t>
      </w:r>
      <w:r>
        <w:rPr>
          <w:rFonts w:ascii="宋体" w:hAnsi="宋体"/>
        </w:rPr>
        <w:t>现场混凝土生产的组织</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1280"/>
        <w:ind w:firstLine="440"/>
        <w:rPr>
          <w:rFonts w:ascii="宋体"/>
        </w:rPr>
      </w:pPr>
      <w:r>
        <w:rPr>
          <w:rFonts w:ascii="宋体"/>
        </w:rPr>
        <w:t>在本合同中如使用商品混凝土，承包商在购买商品混凝土时，应提交一份所购商品混凝土的相关资料供项目监理审批，其主要内容包括以下项目：</w:t>
      </w:r>
    </w:p>
    <w:p>
      <w:pPr>
        <w:pStyle w:val="1280"/>
        <w:ind w:firstLine="440"/>
        <w:rPr>
          <w:rFonts w:ascii="宋体"/>
        </w:rPr>
      </w:pPr>
      <w:r>
        <w:rPr>
          <w:rFonts w:ascii="宋体"/>
        </w:rPr>
        <w:t>预拌商品混凝土生产企业资质证书；</w:t>
      </w:r>
    </w:p>
    <w:p>
      <w:pPr>
        <w:pStyle w:val="1280"/>
        <w:ind w:firstLine="440"/>
        <w:rPr>
          <w:rFonts w:ascii="宋体"/>
        </w:rPr>
      </w:pPr>
      <w:r>
        <w:rPr>
          <w:rFonts w:ascii="宋体"/>
        </w:rPr>
        <w:t>搅拌站生产准用证；</w:t>
      </w:r>
    </w:p>
    <w:p>
      <w:pPr>
        <w:pStyle w:val="1280"/>
        <w:ind w:firstLine="440"/>
        <w:rPr>
          <w:rFonts w:ascii="宋体"/>
        </w:rPr>
      </w:pPr>
      <w:r>
        <w:rPr>
          <w:rFonts w:ascii="宋体"/>
        </w:rPr>
        <w:t>预拌商品混凝土质量监督证书；</w:t>
      </w:r>
    </w:p>
    <w:p>
      <w:pPr>
        <w:pStyle w:val="1280"/>
        <w:ind w:firstLine="440"/>
        <w:rPr>
          <w:rFonts w:ascii="宋体"/>
        </w:rPr>
      </w:pPr>
      <w:r>
        <w:rPr>
          <w:rFonts w:ascii="宋体"/>
        </w:rPr>
        <w:t>所购买商品混凝土的合格证书。</w:t>
      </w:r>
    </w:p>
    <w:p>
      <w:pPr>
        <w:pStyle w:val="1280"/>
        <w:ind w:firstLine="440"/>
        <w:rPr>
          <w:rFonts w:ascii="宋体"/>
        </w:rPr>
      </w:pPr>
      <w:r>
        <w:rPr>
          <w:rFonts w:ascii="宋体"/>
        </w:rPr>
        <w:t>如果经项目监理和业主批准现场允许搅拌混凝土，承包商在接到中标通知书后35天之内根据本技术规范的要求，提交一份拟在现场对浇筑混凝土工作的组织建议说明书，供项目监理审批。</w:t>
      </w:r>
    </w:p>
    <w:p>
      <w:pPr>
        <w:pStyle w:val="1280"/>
        <w:ind w:firstLine="440"/>
        <w:rPr>
          <w:rFonts w:ascii="宋体"/>
        </w:rPr>
      </w:pPr>
      <w:r>
        <w:rPr>
          <w:rFonts w:ascii="宋体"/>
        </w:rPr>
        <w:t>方法说明书应包括下列项目：</w:t>
      </w:r>
    </w:p>
    <w:p>
      <w:pPr>
        <w:pStyle w:val="1280"/>
        <w:ind w:firstLine="440"/>
        <w:rPr>
          <w:rFonts w:ascii="宋体"/>
        </w:rPr>
      </w:pPr>
      <w:r>
        <w:rPr>
          <w:rFonts w:ascii="宋体"/>
        </w:rPr>
        <w:t>拟用的装置；</w:t>
      </w:r>
    </w:p>
    <w:p>
      <w:pPr>
        <w:pStyle w:val="1280"/>
        <w:ind w:firstLine="440"/>
        <w:rPr>
          <w:rFonts w:ascii="宋体"/>
        </w:rPr>
      </w:pPr>
      <w:r>
        <w:rPr>
          <w:rFonts w:ascii="宋体"/>
        </w:rPr>
        <w:t>混凝土拌制设备的布置(包括现浇和预制)；</w:t>
      </w:r>
    </w:p>
    <w:p>
      <w:pPr>
        <w:pStyle w:val="1280"/>
        <w:ind w:firstLine="440"/>
        <w:rPr>
          <w:rFonts w:ascii="宋体"/>
        </w:rPr>
      </w:pPr>
      <w:r>
        <w:rPr>
          <w:rFonts w:ascii="宋体"/>
        </w:rPr>
        <w:t>材料贮存设施的详细情况；</w:t>
      </w:r>
    </w:p>
    <w:p>
      <w:pPr>
        <w:pStyle w:val="1280"/>
        <w:ind w:firstLine="440"/>
        <w:rPr>
          <w:rFonts w:ascii="宋体"/>
        </w:rPr>
      </w:pPr>
      <w:r>
        <w:rPr>
          <w:rFonts w:ascii="宋体"/>
        </w:rPr>
        <w:t>供水水源的情况；</w:t>
      </w:r>
    </w:p>
    <w:p>
      <w:pPr>
        <w:pStyle w:val="1280"/>
        <w:ind w:firstLine="440"/>
        <w:rPr>
          <w:rFonts w:ascii="宋体"/>
        </w:rPr>
      </w:pPr>
      <w:r>
        <w:rPr>
          <w:rFonts w:ascii="宋体"/>
        </w:rPr>
        <w:t>混凝土拌制设备建议的组织方法；</w:t>
      </w:r>
    </w:p>
    <w:p>
      <w:pPr>
        <w:pStyle w:val="1280"/>
        <w:ind w:firstLine="440"/>
        <w:rPr>
          <w:rFonts w:ascii="宋体"/>
        </w:rPr>
      </w:pPr>
      <w:r>
        <w:rPr>
          <w:rFonts w:ascii="宋体"/>
        </w:rPr>
        <w:t>混凝土和混凝土材料的质量控制方法；</w:t>
      </w:r>
    </w:p>
    <w:p>
      <w:pPr>
        <w:pStyle w:val="1280"/>
        <w:ind w:firstLine="440"/>
        <w:rPr>
          <w:rFonts w:ascii="宋体"/>
        </w:rPr>
      </w:pPr>
      <w:r>
        <w:rPr>
          <w:rFonts w:ascii="宋体"/>
        </w:rPr>
        <w:t>现场质量负责人员及其职责；</w:t>
      </w:r>
    </w:p>
    <w:p>
      <w:pPr>
        <w:pStyle w:val="1280"/>
        <w:ind w:firstLine="440"/>
        <w:rPr>
          <w:rFonts w:ascii="宋体"/>
        </w:rPr>
      </w:pPr>
      <w:r>
        <w:rPr>
          <w:rFonts w:ascii="宋体"/>
        </w:rPr>
        <w:t>每小时和每天的最大浇筑量以及估计的每月最大浇筑量；</w:t>
      </w:r>
    </w:p>
    <w:p>
      <w:pPr>
        <w:pStyle w:val="1280"/>
        <w:ind w:firstLine="440"/>
        <w:rPr>
          <w:rFonts w:ascii="宋体"/>
        </w:rPr>
      </w:pPr>
      <w:r>
        <w:rPr>
          <w:rFonts w:ascii="宋体"/>
        </w:rPr>
        <w:t>混凝土的运输和浇筑；</w:t>
      </w:r>
    </w:p>
    <w:p>
      <w:pPr>
        <w:pStyle w:val="1280"/>
        <w:ind w:firstLine="440"/>
        <w:rPr>
          <w:rFonts w:ascii="宋体"/>
        </w:rPr>
      </w:pPr>
      <w:r>
        <w:rPr>
          <w:rFonts w:ascii="宋体"/>
        </w:rPr>
        <w:t>养护措施；</w:t>
      </w:r>
    </w:p>
    <w:p>
      <w:pPr>
        <w:pStyle w:val="1280"/>
        <w:ind w:firstLine="440"/>
        <w:rPr>
          <w:rFonts w:ascii="宋体"/>
        </w:rPr>
      </w:pPr>
      <w:r>
        <w:rPr>
          <w:rFonts w:ascii="宋体"/>
        </w:rPr>
        <w:t>主要模板工程纲要细节，包括拆模时间以及对梁板作临时支撑的步骤；</w:t>
      </w:r>
    </w:p>
    <w:p>
      <w:pPr>
        <w:pStyle w:val="1280"/>
        <w:ind w:firstLine="440"/>
        <w:rPr>
          <w:rFonts w:ascii="宋体"/>
        </w:rPr>
      </w:pPr>
      <w:r>
        <w:rPr>
          <w:rFonts w:ascii="宋体"/>
        </w:rPr>
        <w:t>施工缝的布置；</w:t>
      </w:r>
    </w:p>
    <w:p>
      <w:pPr>
        <w:pStyle w:val="1280"/>
        <w:ind w:firstLine="440"/>
        <w:rPr>
          <w:rFonts w:ascii="宋体"/>
        </w:rPr>
      </w:pPr>
      <w:r>
        <w:rPr>
          <w:rFonts w:ascii="宋体"/>
        </w:rPr>
        <w:t>沉降缝及安装止水装置的施工细节；</w:t>
      </w:r>
    </w:p>
    <w:p>
      <w:pPr>
        <w:pStyle w:val="1280"/>
        <w:ind w:firstLine="440"/>
        <w:rPr>
          <w:rFonts w:ascii="宋体"/>
        </w:rPr>
      </w:pPr>
      <w:r>
        <w:rPr>
          <w:rFonts w:ascii="宋体"/>
        </w:rPr>
        <w:t>雨、雪天、寒冷天气和高温气候浇筑混凝土的专门措施；</w:t>
      </w:r>
    </w:p>
    <w:p>
      <w:pPr>
        <w:pStyle w:val="1280"/>
        <w:ind w:firstLine="440"/>
        <w:rPr>
          <w:rFonts w:ascii="宋体"/>
        </w:rPr>
      </w:pPr>
      <w:r>
        <w:rPr>
          <w:rFonts w:ascii="宋体"/>
        </w:rPr>
        <w:t>按本条款的要求不作另外付款，其费用已列入工程量清单中的单价和总价内。</w:t>
      </w:r>
    </w:p>
    <w:p>
      <w:pPr>
        <w:pStyle w:val="1284"/>
        <w:outlineLvl w:val="0"/>
        <w:rPr>
          <w:rFonts w:ascii="宋体" w:hAnsi="宋体"/>
        </w:rPr>
      </w:pPr>
      <w:bookmarkStart w:id="2403" w:name="_Toc385007696"/>
      <w:bookmarkStart w:id="2404" w:name="_Toc385008492"/>
      <w:bookmarkStart w:id="2405" w:name="_Toc385012654"/>
      <w:bookmarkStart w:id="2406" w:name="_Toc389234155"/>
      <w:bookmarkStart w:id="2407" w:name="_Toc393081106"/>
      <w:bookmarkStart w:id="2408" w:name="_Toc397479557"/>
      <w:bookmarkStart w:id="2409" w:name="_Toc397479884"/>
      <w:bookmarkStart w:id="2410" w:name="_Toc397481606"/>
      <w:bookmarkStart w:id="2411" w:name="_Toc397485675"/>
      <w:bookmarkStart w:id="2412" w:name="_Toc398083763"/>
      <w:bookmarkStart w:id="2413" w:name="_Toc16242370"/>
      <w:bookmarkStart w:id="2414" w:name="_Toc43107553"/>
      <w:bookmarkStart w:id="2415" w:name="_Toc266662940"/>
      <w:bookmarkStart w:id="2416" w:name="_Toc320555401"/>
      <w:bookmarkStart w:id="2417" w:name="_Toc517382541"/>
      <w:bookmarkStart w:id="2418" w:name="_Toc518376594"/>
      <w:bookmarkStart w:id="2419" w:name="_Toc521491916"/>
      <w:bookmarkStart w:id="2420" w:name="_Toc521492773"/>
      <w:bookmarkStart w:id="2421" w:name="_Toc521493447"/>
      <w:bookmarkStart w:id="2422" w:name="_Toc106883099"/>
      <w:r>
        <w:rPr>
          <w:rFonts w:ascii="宋体" w:hAnsi="宋体"/>
        </w:rPr>
        <w:t>3.2.6</w:t>
      </w:r>
      <w:r>
        <w:rPr>
          <w:rFonts w:hint="eastAsia" w:ascii="宋体" w:hAnsi="宋体"/>
        </w:rPr>
        <w:t xml:space="preserve"> </w:t>
      </w:r>
      <w:r>
        <w:rPr>
          <w:rFonts w:ascii="宋体" w:hAnsi="宋体"/>
        </w:rPr>
        <w:t>浇筑混凝土时所作的记录</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1280"/>
        <w:ind w:firstLine="440"/>
        <w:rPr>
          <w:rFonts w:ascii="宋体"/>
        </w:rPr>
      </w:pPr>
      <w:r>
        <w:rPr>
          <w:rFonts w:ascii="宋体"/>
        </w:rPr>
        <w:t>承包商应对浇筑的全部混凝土每日作施工记录，并于次日送项目监理审阅，日报表须细述：</w:t>
      </w:r>
    </w:p>
    <w:p>
      <w:pPr>
        <w:pStyle w:val="1280"/>
        <w:ind w:firstLine="440"/>
        <w:rPr>
          <w:rFonts w:ascii="宋体"/>
        </w:rPr>
      </w:pPr>
      <w:r>
        <w:rPr>
          <w:rFonts w:ascii="宋体"/>
        </w:rPr>
        <w:t>不同施工段承包商的现场负责人及其助手的姓名；</w:t>
      </w:r>
    </w:p>
    <w:p>
      <w:pPr>
        <w:pStyle w:val="1280"/>
        <w:ind w:firstLine="440"/>
        <w:rPr>
          <w:rFonts w:ascii="宋体"/>
        </w:rPr>
      </w:pPr>
      <w:r>
        <w:rPr>
          <w:rFonts w:ascii="宋体"/>
        </w:rPr>
        <w:t>空气、水泥、骨料和混凝土的温度以及天气状况等；</w:t>
      </w:r>
    </w:p>
    <w:p>
      <w:pPr>
        <w:pStyle w:val="1280"/>
        <w:ind w:firstLine="440"/>
        <w:rPr>
          <w:rFonts w:ascii="宋体"/>
        </w:rPr>
      </w:pPr>
      <w:r>
        <w:rPr>
          <w:rFonts w:ascii="宋体"/>
        </w:rPr>
        <w:t>配制混凝土的各种材料（包括质量、品牌等）进场的记录；</w:t>
      </w:r>
    </w:p>
    <w:p>
      <w:pPr>
        <w:pStyle w:val="1280"/>
        <w:ind w:firstLine="440"/>
        <w:rPr>
          <w:rFonts w:ascii="宋体"/>
        </w:rPr>
      </w:pPr>
      <w:r>
        <w:rPr>
          <w:rFonts w:ascii="宋体"/>
        </w:rPr>
        <w:t>各种审查、复核、试验结果等；</w:t>
      </w:r>
    </w:p>
    <w:p>
      <w:pPr>
        <w:pStyle w:val="1280"/>
        <w:ind w:firstLine="440"/>
        <w:rPr>
          <w:rFonts w:ascii="宋体"/>
        </w:rPr>
      </w:pPr>
      <w:r>
        <w:rPr>
          <w:rFonts w:ascii="宋体"/>
        </w:rPr>
        <w:t>水泥、粗骨料、细骨料、外加剂的使用记录。</w:t>
      </w:r>
    </w:p>
    <w:p>
      <w:pPr>
        <w:pStyle w:val="1280"/>
        <w:ind w:firstLine="440"/>
        <w:rPr>
          <w:rFonts w:ascii="宋体"/>
        </w:rPr>
      </w:pPr>
      <w:r>
        <w:rPr>
          <w:rFonts w:ascii="宋体"/>
        </w:rPr>
        <w:t>各类混凝土的检查应包括:</w:t>
      </w:r>
    </w:p>
    <w:p>
      <w:pPr>
        <w:pStyle w:val="1280"/>
        <w:ind w:firstLine="440"/>
        <w:rPr>
          <w:rFonts w:ascii="宋体"/>
        </w:rPr>
      </w:pPr>
      <w:r>
        <w:rPr>
          <w:rFonts w:ascii="宋体"/>
        </w:rPr>
        <w:t>搅拌的盘数；</w:t>
      </w:r>
    </w:p>
    <w:p>
      <w:pPr>
        <w:pStyle w:val="1280"/>
        <w:ind w:firstLine="440"/>
        <w:rPr>
          <w:rFonts w:ascii="宋体"/>
        </w:rPr>
      </w:pPr>
      <w:r>
        <w:rPr>
          <w:rFonts w:ascii="宋体"/>
        </w:rPr>
        <w:t>浇筑的混凝土盘数和总体积；</w:t>
      </w:r>
    </w:p>
    <w:p>
      <w:pPr>
        <w:pStyle w:val="1280"/>
        <w:ind w:firstLine="440"/>
        <w:rPr>
          <w:rFonts w:ascii="宋体"/>
        </w:rPr>
      </w:pPr>
      <w:r>
        <w:rPr>
          <w:rFonts w:ascii="宋体"/>
        </w:rPr>
        <w:t>报废或不合格的盘数；</w:t>
      </w:r>
    </w:p>
    <w:p>
      <w:pPr>
        <w:pStyle w:val="1280"/>
        <w:ind w:firstLine="440"/>
        <w:rPr>
          <w:rFonts w:ascii="宋体"/>
        </w:rPr>
      </w:pPr>
      <w:r>
        <w:rPr>
          <w:rFonts w:ascii="宋体"/>
        </w:rPr>
        <w:t>所用的水泥重量；</w:t>
      </w:r>
    </w:p>
    <w:p>
      <w:pPr>
        <w:pStyle w:val="1280"/>
        <w:ind w:firstLine="440"/>
        <w:rPr>
          <w:rFonts w:ascii="宋体"/>
        </w:rPr>
      </w:pPr>
      <w:r>
        <w:rPr>
          <w:rFonts w:ascii="宋体"/>
        </w:rPr>
        <w:t>浇筑混凝土的位置(如：节间或层次的参考编号)；</w:t>
      </w:r>
    </w:p>
    <w:p>
      <w:pPr>
        <w:pStyle w:val="1280"/>
        <w:ind w:firstLine="440"/>
        <w:rPr>
          <w:rFonts w:ascii="宋体"/>
        </w:rPr>
      </w:pPr>
      <w:r>
        <w:rPr>
          <w:rFonts w:ascii="宋体"/>
        </w:rPr>
        <w:t>所浇混凝土的级别。</w:t>
      </w:r>
    </w:p>
    <w:p>
      <w:pPr>
        <w:pStyle w:val="1280"/>
        <w:ind w:firstLine="440"/>
        <w:rPr>
          <w:rFonts w:ascii="宋体"/>
        </w:rPr>
      </w:pPr>
      <w:r>
        <w:rPr>
          <w:rFonts w:ascii="宋体"/>
        </w:rPr>
        <w:t>另外，当浇筑完工程各部分的混凝土时，承包商应保留一份正确的和最近的记录，表示出日期、时间、气候和温度等情况。此项记录随时供项目监理检查。</w:t>
      </w:r>
    </w:p>
    <w:p>
      <w:pPr>
        <w:pStyle w:val="1280"/>
        <w:ind w:firstLine="440"/>
        <w:rPr>
          <w:rFonts w:ascii="宋体"/>
        </w:rPr>
      </w:pPr>
      <w:r>
        <w:rPr>
          <w:rFonts w:ascii="宋体"/>
        </w:rPr>
        <w:t>全部混凝土试验的结果应予以记录并应与其相关的工程部分相符。</w:t>
      </w:r>
    </w:p>
    <w:p>
      <w:pPr>
        <w:pStyle w:val="1284"/>
        <w:outlineLvl w:val="0"/>
        <w:rPr>
          <w:rFonts w:ascii="宋体" w:hAnsi="宋体"/>
        </w:rPr>
      </w:pPr>
      <w:bookmarkStart w:id="2423" w:name="_Toc385007697"/>
      <w:bookmarkStart w:id="2424" w:name="_Toc385008493"/>
      <w:bookmarkStart w:id="2425" w:name="_Toc385012655"/>
      <w:bookmarkStart w:id="2426" w:name="_Toc389234156"/>
      <w:bookmarkStart w:id="2427" w:name="_Toc393081107"/>
      <w:bookmarkStart w:id="2428" w:name="_Toc397479558"/>
      <w:bookmarkStart w:id="2429" w:name="_Toc397479885"/>
      <w:bookmarkStart w:id="2430" w:name="_Toc397481607"/>
      <w:bookmarkStart w:id="2431" w:name="_Toc397485676"/>
      <w:bookmarkStart w:id="2432" w:name="_Toc398083764"/>
      <w:bookmarkStart w:id="2433" w:name="_Toc16242371"/>
      <w:bookmarkStart w:id="2434" w:name="_Toc43107554"/>
      <w:bookmarkStart w:id="2435" w:name="_Toc266662941"/>
      <w:bookmarkStart w:id="2436" w:name="_Toc320555402"/>
      <w:bookmarkStart w:id="2437" w:name="_Toc517382542"/>
      <w:bookmarkStart w:id="2438" w:name="_Toc518376595"/>
      <w:bookmarkStart w:id="2439" w:name="_Toc521491917"/>
      <w:bookmarkStart w:id="2440" w:name="_Toc521492774"/>
      <w:bookmarkStart w:id="2441" w:name="_Toc521493448"/>
      <w:bookmarkStart w:id="2442" w:name="_Toc106883100"/>
      <w:r>
        <w:rPr>
          <w:rFonts w:ascii="宋体" w:hAnsi="宋体"/>
        </w:rPr>
        <w:t>3.2.7</w:t>
      </w:r>
      <w:r>
        <w:rPr>
          <w:rFonts w:hint="eastAsia" w:ascii="宋体" w:hAnsi="宋体"/>
        </w:rPr>
        <w:t xml:space="preserve"> </w:t>
      </w:r>
      <w:r>
        <w:rPr>
          <w:rFonts w:ascii="宋体" w:hAnsi="宋体"/>
        </w:rPr>
        <w:t>混凝土模板的设计</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1280"/>
        <w:ind w:firstLine="440"/>
        <w:rPr>
          <w:rFonts w:ascii="宋体"/>
        </w:rPr>
      </w:pPr>
      <w:r>
        <w:rPr>
          <w:rFonts w:ascii="宋体"/>
        </w:rPr>
        <w:t>模板计算、设计和布置；</w:t>
      </w:r>
    </w:p>
    <w:p>
      <w:pPr>
        <w:pStyle w:val="1280"/>
        <w:ind w:firstLine="440"/>
        <w:rPr>
          <w:rFonts w:ascii="宋体"/>
        </w:rPr>
      </w:pPr>
      <w:r>
        <w:rPr>
          <w:rFonts w:ascii="宋体"/>
        </w:rPr>
        <w:t>按有关的质量标准的要求提出木模板、钢模板及其它材料的模板的试验证明书；</w:t>
      </w:r>
    </w:p>
    <w:p>
      <w:pPr>
        <w:pStyle w:val="1280"/>
        <w:ind w:firstLine="440"/>
        <w:rPr>
          <w:rFonts w:ascii="宋体"/>
        </w:rPr>
      </w:pPr>
      <w:r>
        <w:rPr>
          <w:rFonts w:ascii="宋体"/>
        </w:rPr>
        <w:t>立模浇筑的表面缺陷、建议采用的修补方法。</w:t>
      </w:r>
    </w:p>
    <w:bookmarkEnd w:id="2285"/>
    <w:bookmarkEnd w:id="2286"/>
    <w:bookmarkEnd w:id="2287"/>
    <w:bookmarkEnd w:id="2288"/>
    <w:bookmarkEnd w:id="2289"/>
    <w:bookmarkEnd w:id="2290"/>
    <w:bookmarkEnd w:id="2291"/>
    <w:bookmarkEnd w:id="2292"/>
    <w:bookmarkEnd w:id="2293"/>
    <w:bookmarkEnd w:id="2294"/>
    <w:bookmarkEnd w:id="2295"/>
    <w:bookmarkEnd w:id="2296"/>
    <w:bookmarkEnd w:id="2297"/>
    <w:p>
      <w:pPr>
        <w:pStyle w:val="1281"/>
        <w:outlineLvl w:val="0"/>
        <w:rPr>
          <w:rFonts w:ascii="宋体" w:hAnsi="宋体"/>
          <w:color w:val="auto"/>
        </w:rPr>
      </w:pPr>
      <w:bookmarkStart w:id="2443" w:name="_Toc266662942"/>
      <w:bookmarkStart w:id="2444" w:name="_Toc320555403"/>
      <w:bookmarkStart w:id="2445" w:name="_Toc517382543"/>
      <w:bookmarkStart w:id="2446" w:name="_Toc518376596"/>
      <w:bookmarkStart w:id="2447" w:name="_Toc521491918"/>
      <w:bookmarkStart w:id="2448" w:name="_Toc521492775"/>
      <w:bookmarkStart w:id="2449" w:name="_Toc521493449"/>
      <w:bookmarkStart w:id="2450" w:name="_Toc106883101"/>
      <w:r>
        <w:rPr>
          <w:rFonts w:ascii="宋体" w:hAnsi="宋体"/>
          <w:color w:val="auto"/>
        </w:rPr>
        <w:t>3.3 原材料</w:t>
      </w:r>
      <w:bookmarkEnd w:id="2443"/>
      <w:bookmarkEnd w:id="2444"/>
      <w:bookmarkEnd w:id="2445"/>
      <w:bookmarkEnd w:id="2446"/>
      <w:bookmarkEnd w:id="2447"/>
      <w:bookmarkEnd w:id="2448"/>
      <w:bookmarkEnd w:id="2449"/>
      <w:bookmarkEnd w:id="2450"/>
    </w:p>
    <w:p>
      <w:pPr>
        <w:pStyle w:val="1284"/>
        <w:outlineLvl w:val="0"/>
        <w:rPr>
          <w:rFonts w:ascii="宋体" w:hAnsi="宋体"/>
        </w:rPr>
      </w:pPr>
      <w:bookmarkStart w:id="2451" w:name="_Toc385012657"/>
      <w:bookmarkStart w:id="2452" w:name="_Toc389234158"/>
      <w:bookmarkStart w:id="2453" w:name="_Toc385008495"/>
      <w:bookmarkStart w:id="2454" w:name="_Toc393081109"/>
      <w:bookmarkStart w:id="2455" w:name="_Toc385007699"/>
      <w:bookmarkStart w:id="2456" w:name="_Toc397479560"/>
      <w:bookmarkStart w:id="2457" w:name="_Toc397479887"/>
      <w:bookmarkStart w:id="2458" w:name="_Toc397481609"/>
      <w:bookmarkStart w:id="2459" w:name="_Toc397485678"/>
      <w:bookmarkStart w:id="2460" w:name="_Toc398083766"/>
      <w:bookmarkStart w:id="2461" w:name="_Toc16242373"/>
      <w:bookmarkStart w:id="2462" w:name="_Toc43107556"/>
      <w:bookmarkStart w:id="2463" w:name="_Toc266662943"/>
      <w:bookmarkStart w:id="2464" w:name="_Toc320555404"/>
      <w:bookmarkStart w:id="2465" w:name="_Toc517382544"/>
      <w:bookmarkStart w:id="2466" w:name="_Toc518376597"/>
      <w:bookmarkStart w:id="2467" w:name="_Toc521491919"/>
      <w:bookmarkStart w:id="2468" w:name="_Toc521492776"/>
      <w:bookmarkStart w:id="2469" w:name="_Toc521493450"/>
      <w:bookmarkStart w:id="2470" w:name="_Toc106883102"/>
      <w:r>
        <w:rPr>
          <w:rFonts w:ascii="宋体" w:hAnsi="宋体"/>
        </w:rPr>
        <w:t>3.3.1</w:t>
      </w:r>
      <w:r>
        <w:rPr>
          <w:rFonts w:hint="eastAsia" w:ascii="宋体" w:hAnsi="宋体"/>
        </w:rPr>
        <w:t xml:space="preserve"> </w:t>
      </w:r>
      <w:r>
        <w:rPr>
          <w:rFonts w:ascii="宋体" w:hAnsi="宋体"/>
        </w:rPr>
        <w:t>概述</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1280"/>
        <w:ind w:firstLine="440"/>
        <w:rPr>
          <w:rFonts w:ascii="宋体"/>
        </w:rPr>
      </w:pPr>
      <w:r>
        <w:rPr>
          <w:rFonts w:ascii="宋体"/>
        </w:rPr>
        <w:t>本节和下节的各项要求适用于不论是在现场或是在现场以外搅拌的，在工程中所用的混凝土。</w:t>
      </w:r>
    </w:p>
    <w:p>
      <w:pPr>
        <w:pStyle w:val="1284"/>
        <w:outlineLvl w:val="0"/>
        <w:rPr>
          <w:rFonts w:ascii="宋体" w:hAnsi="宋体"/>
        </w:rPr>
      </w:pPr>
      <w:bookmarkStart w:id="2471" w:name="_Toc385007700"/>
      <w:bookmarkStart w:id="2472" w:name="_Toc385008496"/>
      <w:bookmarkStart w:id="2473" w:name="_Toc385012658"/>
      <w:bookmarkStart w:id="2474" w:name="_Toc389234159"/>
      <w:bookmarkStart w:id="2475" w:name="_Toc393081110"/>
      <w:bookmarkStart w:id="2476" w:name="_Toc397479561"/>
      <w:bookmarkStart w:id="2477" w:name="_Toc397479888"/>
      <w:bookmarkStart w:id="2478" w:name="_Toc397481610"/>
      <w:bookmarkStart w:id="2479" w:name="_Toc397485679"/>
      <w:bookmarkStart w:id="2480" w:name="_Toc398083767"/>
      <w:bookmarkStart w:id="2481" w:name="_Toc16242374"/>
      <w:bookmarkStart w:id="2482" w:name="_Toc43107557"/>
      <w:bookmarkStart w:id="2483" w:name="_Toc266662944"/>
      <w:bookmarkStart w:id="2484" w:name="_Toc320555405"/>
      <w:bookmarkStart w:id="2485" w:name="_Toc517382545"/>
      <w:bookmarkStart w:id="2486" w:name="_Toc518376598"/>
      <w:bookmarkStart w:id="2487" w:name="_Toc521491920"/>
      <w:bookmarkStart w:id="2488" w:name="_Toc521492777"/>
      <w:bookmarkStart w:id="2489" w:name="_Toc521493451"/>
      <w:bookmarkStart w:id="2490" w:name="_Toc106883103"/>
      <w:r>
        <w:rPr>
          <w:rFonts w:ascii="宋体" w:hAnsi="宋体"/>
        </w:rPr>
        <w:t>3.3.2</w:t>
      </w:r>
      <w:r>
        <w:rPr>
          <w:rFonts w:hint="eastAsia" w:ascii="宋体" w:hAnsi="宋体"/>
        </w:rPr>
        <w:t xml:space="preserve"> </w:t>
      </w:r>
      <w:r>
        <w:rPr>
          <w:rFonts w:ascii="宋体" w:hAnsi="宋体"/>
        </w:rPr>
        <w:t>水泥</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1280"/>
        <w:ind w:firstLine="440"/>
        <w:rPr>
          <w:rFonts w:ascii="宋体"/>
        </w:rPr>
      </w:pPr>
      <w:r>
        <w:rPr>
          <w:rFonts w:ascii="宋体"/>
        </w:rPr>
        <w:t>本工程允许使用符合下列中国标准的水泥：</w:t>
      </w:r>
      <w:r>
        <w:rPr>
          <w:rFonts w:hint="eastAsia" w:ascii="宋体"/>
        </w:rPr>
        <w:t>《</w:t>
      </w:r>
      <w:r>
        <w:rPr>
          <w:rFonts w:ascii="宋体"/>
        </w:rPr>
        <w:t>通用硅酸盐水泥</w:t>
      </w:r>
      <w:r>
        <w:rPr>
          <w:rFonts w:hint="eastAsia" w:ascii="宋体"/>
        </w:rPr>
        <w:t>》（</w:t>
      </w:r>
      <w:r>
        <w:rPr>
          <w:rFonts w:ascii="宋体"/>
        </w:rPr>
        <w:t>GB</w:t>
      </w:r>
      <w:r>
        <w:rPr>
          <w:rFonts w:hint="eastAsia" w:ascii="宋体"/>
        </w:rPr>
        <w:t xml:space="preserve"> </w:t>
      </w:r>
      <w:r>
        <w:rPr>
          <w:rFonts w:ascii="宋体"/>
        </w:rPr>
        <w:t>175-2007</w:t>
      </w:r>
      <w:r>
        <w:rPr>
          <w:rFonts w:hint="eastAsia" w:ascii="宋体"/>
        </w:rPr>
        <w:t>）</w:t>
      </w:r>
      <w:r>
        <w:rPr>
          <w:rFonts w:ascii="宋体"/>
        </w:rPr>
        <w:t>，除非另有规定或经项目监理同意。</w:t>
      </w:r>
    </w:p>
    <w:p>
      <w:pPr>
        <w:pStyle w:val="1280"/>
        <w:ind w:firstLine="440"/>
        <w:rPr>
          <w:rFonts w:ascii="宋体"/>
        </w:rPr>
      </w:pPr>
      <w:r>
        <w:rPr>
          <w:rFonts w:ascii="宋体"/>
        </w:rPr>
        <w:t>所有到货的水泥均应是装在有制造厂名和生产日期的密封袋中，或者是得到项目监理和业主批准的散装交货形式。每批由承包商提供的发货水泥必须由制造商在交货前进行试验，并在每批发货的任何部分用于工程以前将这类试验结果的证明文件提供给项目监理。超过生产期三个月的水泥以及项目监理认为其质量有怀疑的水泥均不得在工程中使用，除非重新再做试验表明其各方面的试验结果均符合有关标准。</w:t>
      </w:r>
    </w:p>
    <w:p>
      <w:pPr>
        <w:pStyle w:val="1280"/>
        <w:ind w:firstLine="440"/>
        <w:rPr>
          <w:rFonts w:ascii="宋体"/>
        </w:rPr>
      </w:pPr>
      <w:r>
        <w:rPr>
          <w:rFonts w:ascii="宋体"/>
        </w:rPr>
        <w:t>运至现场的水泥应有足够的数量，以保证在任何时候浇筑混凝土时不会导致工程的暂停或中断。若因承包商组织水泥供应数量原因，造成浇筑混凝土工作暂停或中断，发生的延误损失，业主可提出索赔。</w:t>
      </w:r>
    </w:p>
    <w:p>
      <w:pPr>
        <w:pStyle w:val="1284"/>
        <w:outlineLvl w:val="0"/>
        <w:rPr>
          <w:rFonts w:ascii="宋体" w:hAnsi="宋体"/>
        </w:rPr>
      </w:pPr>
      <w:bookmarkStart w:id="2491" w:name="_Toc385007701"/>
      <w:bookmarkStart w:id="2492" w:name="_Toc385008497"/>
      <w:bookmarkStart w:id="2493" w:name="_Toc385012659"/>
      <w:bookmarkStart w:id="2494" w:name="_Toc389234160"/>
      <w:bookmarkStart w:id="2495" w:name="_Toc393081111"/>
      <w:bookmarkStart w:id="2496" w:name="_Toc397479562"/>
      <w:bookmarkStart w:id="2497" w:name="_Toc397479889"/>
      <w:bookmarkStart w:id="2498" w:name="_Toc397481611"/>
      <w:bookmarkStart w:id="2499" w:name="_Toc397485680"/>
      <w:bookmarkStart w:id="2500" w:name="_Toc398083768"/>
      <w:bookmarkStart w:id="2501" w:name="_Toc16242375"/>
      <w:bookmarkStart w:id="2502" w:name="_Toc43107558"/>
      <w:bookmarkStart w:id="2503" w:name="_Toc266662945"/>
      <w:bookmarkStart w:id="2504" w:name="_Toc320555406"/>
      <w:bookmarkStart w:id="2505" w:name="_Toc517382546"/>
      <w:bookmarkStart w:id="2506" w:name="_Toc518376599"/>
      <w:bookmarkStart w:id="2507" w:name="_Toc521491921"/>
      <w:bookmarkStart w:id="2508" w:name="_Toc521492778"/>
      <w:bookmarkStart w:id="2509" w:name="_Toc521493452"/>
      <w:bookmarkStart w:id="2510" w:name="_Toc106883104"/>
      <w:r>
        <w:rPr>
          <w:rFonts w:ascii="宋体" w:hAnsi="宋体"/>
        </w:rPr>
        <w:t>3.3.3</w:t>
      </w:r>
      <w:r>
        <w:rPr>
          <w:rFonts w:hint="eastAsia" w:ascii="宋体" w:hAnsi="宋体"/>
        </w:rPr>
        <w:t xml:space="preserve"> </w:t>
      </w:r>
      <w:r>
        <w:rPr>
          <w:rFonts w:ascii="宋体" w:hAnsi="宋体"/>
        </w:rPr>
        <w:t>水泥的储存</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1280"/>
        <w:ind w:firstLine="440"/>
        <w:rPr>
          <w:rFonts w:ascii="宋体"/>
        </w:rPr>
      </w:pPr>
      <w:r>
        <w:rPr>
          <w:rFonts w:ascii="宋体"/>
        </w:rPr>
        <w:t>一旦水泥运到现场应立即将其贮存在专门为其设计的筒仓中或水泥仓库中。水泥筒仓应为独立的，每个筒仓之间应完全隔开，并安装一个过滤器或除尘装置。水泥仓库应为干燥防雨、通风良好的建筑物，室内地面应高出室外地面50cm，并有相应的防潮措施，该装置应易于检查和鉴定。每批交货的水泥应分别贮存，承包商应按水泥的到货顺序先后使用。并向项目监理提供识别几批到货水泥鉴别方法。任何在现场的袋装水泥一经启封应立即使用，否则应报废。</w:t>
      </w:r>
    </w:p>
    <w:p>
      <w:pPr>
        <w:pStyle w:val="1284"/>
        <w:outlineLvl w:val="0"/>
        <w:rPr>
          <w:rFonts w:ascii="宋体" w:hAnsi="宋体"/>
        </w:rPr>
      </w:pPr>
      <w:bookmarkStart w:id="2511" w:name="_Toc385007702"/>
      <w:bookmarkStart w:id="2512" w:name="_Toc385008498"/>
      <w:bookmarkStart w:id="2513" w:name="_Toc385012660"/>
      <w:bookmarkStart w:id="2514" w:name="_Toc389234161"/>
      <w:bookmarkStart w:id="2515" w:name="_Toc393081112"/>
      <w:bookmarkStart w:id="2516" w:name="_Toc397479563"/>
      <w:bookmarkStart w:id="2517" w:name="_Toc397479890"/>
      <w:bookmarkStart w:id="2518" w:name="_Toc397481612"/>
      <w:bookmarkStart w:id="2519" w:name="_Toc397485681"/>
      <w:bookmarkStart w:id="2520" w:name="_Toc398083769"/>
      <w:bookmarkStart w:id="2521" w:name="_Toc16242376"/>
      <w:bookmarkStart w:id="2522" w:name="_Toc43107559"/>
      <w:bookmarkStart w:id="2523" w:name="_Toc266662946"/>
      <w:bookmarkStart w:id="2524" w:name="_Toc320555407"/>
      <w:bookmarkStart w:id="2525" w:name="_Toc517382547"/>
      <w:bookmarkStart w:id="2526" w:name="_Toc518376600"/>
      <w:bookmarkStart w:id="2527" w:name="_Toc521491922"/>
      <w:bookmarkStart w:id="2528" w:name="_Toc521492779"/>
      <w:bookmarkStart w:id="2529" w:name="_Toc521493453"/>
      <w:bookmarkStart w:id="2530" w:name="_Toc106883105"/>
      <w:r>
        <w:rPr>
          <w:rFonts w:ascii="宋体" w:hAnsi="宋体"/>
        </w:rPr>
        <w:t>3.3.4</w:t>
      </w:r>
      <w:r>
        <w:rPr>
          <w:rFonts w:hint="eastAsia" w:ascii="宋体" w:hAnsi="宋体"/>
        </w:rPr>
        <w:t xml:space="preserve"> </w:t>
      </w:r>
      <w:r>
        <w:rPr>
          <w:rFonts w:ascii="宋体" w:hAnsi="宋体"/>
        </w:rPr>
        <w:t>骨料</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1280"/>
        <w:ind w:firstLine="440"/>
        <w:rPr>
          <w:rFonts w:ascii="宋体"/>
        </w:rPr>
      </w:pPr>
      <w:r>
        <w:rPr>
          <w:rFonts w:ascii="宋体"/>
        </w:rPr>
        <w:t>用于混凝土的骨料</w:t>
      </w:r>
      <w:r>
        <w:rPr>
          <w:rFonts w:hint="eastAsia" w:ascii="宋体"/>
        </w:rPr>
        <w:t>（</w:t>
      </w:r>
      <w:r>
        <w:rPr>
          <w:rFonts w:ascii="宋体"/>
        </w:rPr>
        <w:t>砂、碎石或卵石等</w:t>
      </w:r>
      <w:r>
        <w:rPr>
          <w:rFonts w:hint="eastAsia" w:ascii="宋体"/>
        </w:rPr>
        <w:t>）</w:t>
      </w:r>
      <w:r>
        <w:rPr>
          <w:rFonts w:ascii="宋体"/>
        </w:rPr>
        <w:t>应洁净、坚硬，并符合</w:t>
      </w:r>
      <w:r>
        <w:rPr>
          <w:rFonts w:hint="eastAsia" w:ascii="宋体"/>
        </w:rPr>
        <w:t>《普通混凝土用砂、石质量及检验方法标准》（</w:t>
      </w:r>
      <w:r>
        <w:rPr>
          <w:rFonts w:ascii="宋体"/>
        </w:rPr>
        <w:t>JGJ</w:t>
      </w:r>
      <w:r>
        <w:rPr>
          <w:rFonts w:hint="eastAsia" w:ascii="宋体"/>
        </w:rPr>
        <w:t xml:space="preserve"> </w:t>
      </w:r>
      <w:r>
        <w:rPr>
          <w:rFonts w:ascii="宋体"/>
        </w:rPr>
        <w:t>52-2006</w:t>
      </w:r>
      <w:r>
        <w:rPr>
          <w:rFonts w:hint="eastAsia" w:ascii="宋体"/>
        </w:rPr>
        <w:t>）</w:t>
      </w:r>
      <w:r>
        <w:rPr>
          <w:rFonts w:ascii="宋体"/>
        </w:rPr>
        <w:t>规定的粒径和其它要求。</w:t>
      </w:r>
    </w:p>
    <w:p>
      <w:pPr>
        <w:pStyle w:val="1280"/>
        <w:ind w:firstLine="440"/>
        <w:rPr>
          <w:rFonts w:ascii="宋体"/>
        </w:rPr>
      </w:pPr>
      <w:r>
        <w:rPr>
          <w:rFonts w:ascii="宋体"/>
        </w:rPr>
        <w:t>对来自各个货源的骨料，应就其吸水量按</w:t>
      </w:r>
      <w:r>
        <w:rPr>
          <w:rFonts w:hint="eastAsia" w:ascii="宋体"/>
        </w:rPr>
        <w:t>《普通混凝土用砂、石质量及检验方法标准》（</w:t>
      </w:r>
      <w:r>
        <w:rPr>
          <w:rFonts w:ascii="宋体"/>
        </w:rPr>
        <w:t>JGJ</w:t>
      </w:r>
      <w:r>
        <w:rPr>
          <w:rFonts w:hint="eastAsia" w:ascii="宋体"/>
        </w:rPr>
        <w:t xml:space="preserve"> </w:t>
      </w:r>
      <w:r>
        <w:rPr>
          <w:rFonts w:ascii="宋体"/>
        </w:rPr>
        <w:t>52-2006</w:t>
      </w:r>
      <w:r>
        <w:rPr>
          <w:rFonts w:hint="eastAsia" w:ascii="宋体"/>
        </w:rPr>
        <w:t>）</w:t>
      </w:r>
      <w:r>
        <w:rPr>
          <w:rFonts w:ascii="宋体"/>
        </w:rPr>
        <w:t>所规定的标准步骤试验，或按项目监理所规定的要求做试验。在项目监理对所用的骨料予以认可以及在现场安排好配置和操作以前，不得将该骨料运往工地。</w:t>
      </w:r>
    </w:p>
    <w:p>
      <w:pPr>
        <w:pStyle w:val="1280"/>
        <w:ind w:firstLine="440"/>
        <w:rPr>
          <w:rFonts w:ascii="宋体"/>
        </w:rPr>
      </w:pPr>
      <w:r>
        <w:rPr>
          <w:rFonts w:ascii="宋体"/>
        </w:rPr>
        <w:t>骨料不得与水泥产生碱性反应，其潜在的反应或其它方面应遵照</w:t>
      </w:r>
      <w:r>
        <w:rPr>
          <w:rFonts w:hint="eastAsia" w:ascii="宋体"/>
        </w:rPr>
        <w:t>《普通混凝土用砂、石质量及检验方法标准》（</w:t>
      </w:r>
      <w:r>
        <w:rPr>
          <w:rFonts w:ascii="宋体"/>
        </w:rPr>
        <w:t>JGJ</w:t>
      </w:r>
      <w:r>
        <w:rPr>
          <w:rFonts w:hint="eastAsia" w:ascii="宋体"/>
        </w:rPr>
        <w:t xml:space="preserve"> </w:t>
      </w:r>
      <w:r>
        <w:rPr>
          <w:rFonts w:ascii="宋体"/>
        </w:rPr>
        <w:t>52-2006</w:t>
      </w:r>
      <w:r>
        <w:rPr>
          <w:rFonts w:hint="eastAsia" w:ascii="宋体"/>
        </w:rPr>
        <w:t>）</w:t>
      </w:r>
      <w:r>
        <w:rPr>
          <w:rFonts w:ascii="宋体"/>
        </w:rPr>
        <w:t>中的有关要求；此外骨料的可溶性氯化物和硫酸盐含量应满足混凝土的混合料全部含盐量不大于规定中的极限含量。</w:t>
      </w:r>
    </w:p>
    <w:p>
      <w:pPr>
        <w:pStyle w:val="1280"/>
        <w:ind w:firstLine="440"/>
        <w:rPr>
          <w:rFonts w:ascii="宋体"/>
        </w:rPr>
      </w:pPr>
      <w:r>
        <w:rPr>
          <w:rFonts w:ascii="宋体"/>
        </w:rPr>
        <w:t>承包商应从供应商处取得材料试验报告，证明其符合规定的要求。从供应商货源处生产的粗骨料不符合规定的要求时，则这一货源不得用来供骨料。</w:t>
      </w:r>
    </w:p>
    <w:p>
      <w:pPr>
        <w:pStyle w:val="1284"/>
        <w:outlineLvl w:val="0"/>
        <w:rPr>
          <w:rFonts w:ascii="宋体" w:hAnsi="宋体"/>
        </w:rPr>
      </w:pPr>
      <w:bookmarkStart w:id="2531" w:name="_Toc385007703"/>
      <w:bookmarkStart w:id="2532" w:name="_Toc385008499"/>
      <w:bookmarkStart w:id="2533" w:name="_Toc385012661"/>
      <w:bookmarkStart w:id="2534" w:name="_Toc389234162"/>
      <w:bookmarkStart w:id="2535" w:name="_Toc393081113"/>
      <w:bookmarkStart w:id="2536" w:name="_Toc397479564"/>
      <w:bookmarkStart w:id="2537" w:name="_Toc397479891"/>
      <w:bookmarkStart w:id="2538" w:name="_Toc397481613"/>
      <w:bookmarkStart w:id="2539" w:name="_Toc397485682"/>
      <w:bookmarkStart w:id="2540" w:name="_Toc398083770"/>
      <w:bookmarkStart w:id="2541" w:name="_Toc16242377"/>
      <w:bookmarkStart w:id="2542" w:name="_Toc43107560"/>
      <w:bookmarkStart w:id="2543" w:name="_Toc266662947"/>
      <w:bookmarkStart w:id="2544" w:name="_Toc320555408"/>
      <w:bookmarkStart w:id="2545" w:name="_Toc517382548"/>
      <w:bookmarkStart w:id="2546" w:name="_Toc518376601"/>
      <w:bookmarkStart w:id="2547" w:name="_Toc521491923"/>
      <w:bookmarkStart w:id="2548" w:name="_Toc521492780"/>
      <w:bookmarkStart w:id="2549" w:name="_Toc521493454"/>
      <w:bookmarkStart w:id="2550" w:name="_Toc106883106"/>
      <w:r>
        <w:rPr>
          <w:rFonts w:ascii="宋体" w:hAnsi="宋体"/>
        </w:rPr>
        <w:t>3.3.5</w:t>
      </w:r>
      <w:r>
        <w:rPr>
          <w:rFonts w:hint="eastAsia" w:ascii="宋体" w:hAnsi="宋体"/>
        </w:rPr>
        <w:t xml:space="preserve"> </w:t>
      </w:r>
      <w:r>
        <w:rPr>
          <w:rFonts w:ascii="宋体" w:hAnsi="宋体"/>
        </w:rPr>
        <w:t>骨料的储存</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1280"/>
        <w:ind w:firstLine="440"/>
        <w:rPr>
          <w:rFonts w:ascii="宋体"/>
        </w:rPr>
      </w:pPr>
      <w:r>
        <w:rPr>
          <w:rFonts w:ascii="宋体"/>
        </w:rPr>
        <w:t>承包商应在生产混凝土的每一处都备有贮存骨料的设施，这些设施应始终确保：</w:t>
      </w:r>
    </w:p>
    <w:p>
      <w:pPr>
        <w:pStyle w:val="1280"/>
        <w:ind w:firstLine="440"/>
        <w:rPr>
          <w:rFonts w:ascii="宋体"/>
        </w:rPr>
      </w:pPr>
      <w:r>
        <w:rPr>
          <w:rFonts w:ascii="宋体"/>
        </w:rPr>
        <w:t>分开堆放每种标称尺寸的粗骨料和细骨料；</w:t>
      </w:r>
    </w:p>
    <w:p>
      <w:pPr>
        <w:pStyle w:val="1280"/>
        <w:ind w:firstLine="440"/>
        <w:rPr>
          <w:rFonts w:ascii="宋体"/>
        </w:rPr>
      </w:pPr>
      <w:r>
        <w:rPr>
          <w:rFonts w:ascii="宋体"/>
        </w:rPr>
        <w:t>有效地防止泥土或其它杂质对骨料的污染；</w:t>
      </w:r>
    </w:p>
    <w:p>
      <w:pPr>
        <w:pStyle w:val="1280"/>
        <w:ind w:firstLine="440"/>
        <w:rPr>
          <w:rFonts w:ascii="宋体"/>
        </w:rPr>
      </w:pPr>
      <w:r>
        <w:rPr>
          <w:rFonts w:ascii="宋体"/>
        </w:rPr>
        <w:t>每堆骨料均有畅通的排水设施。</w:t>
      </w:r>
    </w:p>
    <w:p>
      <w:pPr>
        <w:pStyle w:val="1280"/>
        <w:ind w:firstLine="440"/>
        <w:rPr>
          <w:rFonts w:ascii="宋体"/>
        </w:rPr>
      </w:pPr>
      <w:r>
        <w:rPr>
          <w:rFonts w:ascii="宋体"/>
        </w:rPr>
        <w:t>承包商应保证有级配的粗骨料堆放、贮存和从贮存处取料时不造成骨料的分离。潮湿的细骨料不得使用，除非承包商连续地测量其含水量，并且调节细骨料的用量和在混凝土搅拌配料中的加水量，使混凝土维持一个均匀的含水量。</w:t>
      </w:r>
    </w:p>
    <w:p>
      <w:pPr>
        <w:pStyle w:val="1280"/>
        <w:ind w:firstLine="440"/>
        <w:rPr>
          <w:rFonts w:ascii="宋体"/>
        </w:rPr>
      </w:pPr>
      <w:r>
        <w:rPr>
          <w:rFonts w:ascii="宋体"/>
        </w:rPr>
        <w:t>混凝土材料在配料和拌制，必要时，项目监理将要求承包商在现场进行补充加工，或筛选或有效地清洗骨料，保证所有的骨料完全符合技术规范，骨料加工和清洗所采用的方法应得到项目监理的批准。</w:t>
      </w:r>
    </w:p>
    <w:p>
      <w:pPr>
        <w:pStyle w:val="1284"/>
        <w:outlineLvl w:val="0"/>
        <w:rPr>
          <w:rFonts w:ascii="宋体" w:hAnsi="宋体"/>
        </w:rPr>
      </w:pPr>
      <w:bookmarkStart w:id="2551" w:name="_Toc266662948"/>
      <w:bookmarkStart w:id="2552" w:name="_Toc16242378"/>
      <w:bookmarkStart w:id="2553" w:name="_Toc43107561"/>
      <w:bookmarkStart w:id="2554" w:name="_Toc398083771"/>
      <w:bookmarkStart w:id="2555" w:name="_Toc385008500"/>
      <w:bookmarkStart w:id="2556" w:name="_Toc385007704"/>
      <w:bookmarkStart w:id="2557" w:name="_Toc385012662"/>
      <w:bookmarkStart w:id="2558" w:name="_Toc389234163"/>
      <w:bookmarkStart w:id="2559" w:name="_Toc393081114"/>
      <w:bookmarkStart w:id="2560" w:name="_Toc397479565"/>
      <w:bookmarkStart w:id="2561" w:name="_Toc397479892"/>
      <w:bookmarkStart w:id="2562" w:name="_Toc397481614"/>
      <w:bookmarkStart w:id="2563" w:name="_Toc397485683"/>
      <w:bookmarkStart w:id="2564" w:name="_Toc320555409"/>
      <w:bookmarkStart w:id="2565" w:name="_Toc517382549"/>
      <w:bookmarkStart w:id="2566" w:name="_Toc518376602"/>
      <w:bookmarkStart w:id="2567" w:name="_Toc521491924"/>
      <w:bookmarkStart w:id="2568" w:name="_Toc521492781"/>
      <w:bookmarkStart w:id="2569" w:name="_Toc521493455"/>
      <w:bookmarkStart w:id="2570" w:name="_Toc106883107"/>
      <w:r>
        <w:rPr>
          <w:rFonts w:ascii="宋体" w:hAnsi="宋体"/>
        </w:rPr>
        <w:t>3.3.6</w:t>
      </w:r>
      <w:r>
        <w:rPr>
          <w:rFonts w:hint="eastAsia" w:ascii="宋体" w:hAnsi="宋体"/>
        </w:rPr>
        <w:t xml:space="preserve"> </w:t>
      </w:r>
      <w:r>
        <w:rPr>
          <w:rFonts w:ascii="宋体" w:hAnsi="宋体"/>
        </w:rPr>
        <w:t>水</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1280"/>
        <w:ind w:firstLine="440"/>
        <w:rPr>
          <w:rFonts w:ascii="宋体"/>
        </w:rPr>
      </w:pPr>
      <w:bookmarkStart w:id="2571" w:name="_Toc385007705"/>
      <w:bookmarkStart w:id="2572" w:name="_Toc385012663"/>
      <w:bookmarkStart w:id="2573" w:name="_Toc385008501"/>
      <w:r>
        <w:rPr>
          <w:rFonts w:ascii="宋体"/>
        </w:rPr>
        <w:t>用于混凝土、灌浆和砂浆中的水须满足</w:t>
      </w:r>
      <w:r>
        <w:rPr>
          <w:rFonts w:hint="eastAsia" w:ascii="宋体"/>
        </w:rPr>
        <w:t>《混凝土用水标准》（</w:t>
      </w:r>
      <w:r>
        <w:rPr>
          <w:rFonts w:ascii="宋体"/>
        </w:rPr>
        <w:t>JGJ</w:t>
      </w:r>
      <w:r>
        <w:rPr>
          <w:rFonts w:hint="eastAsia" w:ascii="宋体"/>
        </w:rPr>
        <w:t xml:space="preserve"> </w:t>
      </w:r>
      <w:r>
        <w:rPr>
          <w:rFonts w:ascii="宋体"/>
        </w:rPr>
        <w:t>63-2006</w:t>
      </w:r>
      <w:r>
        <w:rPr>
          <w:rFonts w:hint="eastAsia" w:ascii="宋体"/>
        </w:rPr>
        <w:t>）</w:t>
      </w:r>
      <w:r>
        <w:rPr>
          <w:rFonts w:ascii="宋体"/>
        </w:rPr>
        <w:t>的要求，并经项目监理认可，采用的水要保证不被污染，因为污染的水会造成以下不良影响：</w:t>
      </w:r>
    </w:p>
    <w:p>
      <w:pPr>
        <w:pStyle w:val="1280"/>
        <w:ind w:firstLine="440"/>
        <w:rPr>
          <w:rFonts w:ascii="宋体"/>
        </w:rPr>
      </w:pPr>
      <w:r>
        <w:rPr>
          <w:rFonts w:ascii="宋体"/>
        </w:rPr>
        <w:t>影响水泥初凝时间，降低抗压强度；</w:t>
      </w:r>
    </w:p>
    <w:p>
      <w:pPr>
        <w:pStyle w:val="1280"/>
        <w:ind w:firstLine="440"/>
        <w:rPr>
          <w:rFonts w:ascii="宋体"/>
        </w:rPr>
      </w:pPr>
      <w:r>
        <w:rPr>
          <w:rFonts w:ascii="宋体"/>
        </w:rPr>
        <w:t>影响混凝土28天强度；</w:t>
      </w:r>
    </w:p>
    <w:p>
      <w:pPr>
        <w:pStyle w:val="1280"/>
        <w:ind w:firstLine="440"/>
        <w:rPr>
          <w:rFonts w:ascii="宋体"/>
        </w:rPr>
      </w:pPr>
      <w:r>
        <w:rPr>
          <w:rFonts w:ascii="宋体"/>
        </w:rPr>
        <w:t>在结硬后的表面引起褪色和风化；</w:t>
      </w:r>
    </w:p>
    <w:p>
      <w:pPr>
        <w:pStyle w:val="1280"/>
        <w:ind w:firstLine="440"/>
        <w:rPr>
          <w:rFonts w:ascii="宋体"/>
        </w:rPr>
      </w:pPr>
      <w:r>
        <w:rPr>
          <w:rFonts w:ascii="宋体"/>
        </w:rPr>
        <w:t>用于浇筑混凝土的水不应含有能影响水泥正常凝结与硬化的有害杂质，如油脂、糖类、碳水化合物及其它有机物，可溶性无机物不超过500毫克</w:t>
      </w:r>
      <w:r>
        <w:rPr>
          <w:rFonts w:hint="eastAsia" w:ascii="宋体"/>
        </w:rPr>
        <w:t>/</w:t>
      </w:r>
      <w:r>
        <w:rPr>
          <w:rFonts w:ascii="宋体"/>
        </w:rPr>
        <w:t>升，不溶性无机物不超过50毫克</w:t>
      </w:r>
      <w:r>
        <w:rPr>
          <w:rFonts w:hint="eastAsia" w:ascii="宋体"/>
        </w:rPr>
        <w:t>/</w:t>
      </w:r>
      <w:r>
        <w:rPr>
          <w:rFonts w:ascii="宋体"/>
        </w:rPr>
        <w:t>升。污水、pH值小于4的酸性水和含硫酸盐量按SO</w:t>
      </w:r>
      <w:r>
        <w:rPr>
          <w:rFonts w:ascii="宋体"/>
          <w:vertAlign w:val="subscript"/>
        </w:rPr>
        <w:t>3</w:t>
      </w:r>
      <w:r>
        <w:rPr>
          <w:rFonts w:ascii="宋体"/>
        </w:rPr>
        <w:t>计超过水重1%的水，均不能使用。</w:t>
      </w:r>
    </w:p>
    <w:p>
      <w:pPr>
        <w:pStyle w:val="1280"/>
        <w:ind w:firstLine="440"/>
        <w:rPr>
          <w:rFonts w:ascii="宋体"/>
        </w:rPr>
      </w:pPr>
      <w:r>
        <w:rPr>
          <w:rFonts w:ascii="宋体"/>
        </w:rPr>
        <w:t>承包商应在工程开始前检测用于永久性工程的水，并应经项目监理许可后方可用于工程中。</w:t>
      </w:r>
    </w:p>
    <w:p>
      <w:pPr>
        <w:pStyle w:val="1280"/>
        <w:ind w:firstLine="440"/>
        <w:rPr>
          <w:rFonts w:ascii="宋体"/>
        </w:rPr>
      </w:pPr>
      <w:r>
        <w:rPr>
          <w:rFonts w:ascii="宋体"/>
        </w:rPr>
        <w:t>施工中常规的水的测试由承包商完成，水的取样及取样次数由项目监理决定。承包商要向项目监理上交两份水的测试报告。</w:t>
      </w:r>
    </w:p>
    <w:bookmarkEnd w:id="2571"/>
    <w:bookmarkEnd w:id="2572"/>
    <w:bookmarkEnd w:id="2573"/>
    <w:p>
      <w:pPr>
        <w:pStyle w:val="1284"/>
        <w:outlineLvl w:val="0"/>
        <w:rPr>
          <w:rFonts w:ascii="宋体" w:hAnsi="宋体"/>
        </w:rPr>
      </w:pPr>
      <w:bookmarkStart w:id="2574" w:name="_Toc389234164"/>
      <w:bookmarkStart w:id="2575" w:name="_Toc393081115"/>
      <w:bookmarkStart w:id="2576" w:name="_Toc397479566"/>
      <w:bookmarkStart w:id="2577" w:name="_Toc397479893"/>
      <w:bookmarkStart w:id="2578" w:name="_Toc397481615"/>
      <w:bookmarkStart w:id="2579" w:name="_Toc397485684"/>
      <w:bookmarkStart w:id="2580" w:name="_Toc398083772"/>
      <w:bookmarkStart w:id="2581" w:name="_Toc16242379"/>
      <w:bookmarkStart w:id="2582" w:name="_Toc43107562"/>
      <w:bookmarkStart w:id="2583" w:name="_Toc266662949"/>
      <w:bookmarkStart w:id="2584" w:name="_Toc320555410"/>
      <w:bookmarkStart w:id="2585" w:name="_Toc517382550"/>
      <w:bookmarkStart w:id="2586" w:name="_Toc518376603"/>
      <w:bookmarkStart w:id="2587" w:name="_Toc521491925"/>
      <w:bookmarkStart w:id="2588" w:name="_Toc521492782"/>
      <w:bookmarkStart w:id="2589" w:name="_Toc521493456"/>
      <w:bookmarkStart w:id="2590" w:name="_Toc106883108"/>
      <w:r>
        <w:rPr>
          <w:rFonts w:ascii="宋体" w:hAnsi="宋体"/>
        </w:rPr>
        <w:t>3.3.7</w:t>
      </w:r>
      <w:bookmarkEnd w:id="2574"/>
      <w:bookmarkEnd w:id="2575"/>
      <w:bookmarkEnd w:id="2576"/>
      <w:bookmarkEnd w:id="2577"/>
      <w:bookmarkEnd w:id="2578"/>
      <w:bookmarkEnd w:id="2579"/>
      <w:bookmarkEnd w:id="2580"/>
      <w:bookmarkEnd w:id="2581"/>
      <w:bookmarkEnd w:id="2582"/>
      <w:r>
        <w:rPr>
          <w:rFonts w:hint="eastAsia" w:ascii="宋体" w:hAnsi="宋体"/>
        </w:rPr>
        <w:t xml:space="preserve"> </w:t>
      </w:r>
      <w:r>
        <w:rPr>
          <w:rFonts w:ascii="宋体" w:hAnsi="宋体"/>
        </w:rPr>
        <w:t>沥青混合料</w:t>
      </w:r>
      <w:bookmarkEnd w:id="2583"/>
      <w:bookmarkEnd w:id="2584"/>
      <w:bookmarkEnd w:id="2585"/>
      <w:bookmarkEnd w:id="2586"/>
      <w:bookmarkEnd w:id="2587"/>
      <w:bookmarkEnd w:id="2588"/>
      <w:bookmarkEnd w:id="2589"/>
      <w:bookmarkEnd w:id="2590"/>
    </w:p>
    <w:p>
      <w:pPr>
        <w:pStyle w:val="1280"/>
        <w:ind w:firstLine="440"/>
        <w:rPr>
          <w:rFonts w:ascii="宋体"/>
        </w:rPr>
      </w:pPr>
      <w:r>
        <w:rPr>
          <w:rFonts w:ascii="宋体"/>
        </w:rPr>
        <w:t>本工程混凝土的拌合料使用，应严格按照设计要求，实际施工中承包商必须提出准备掺入混凝土的沥青拌合料的性能及其科学试验的依据，提交设计、项目监理和业主批准。</w:t>
      </w:r>
    </w:p>
    <w:p>
      <w:pPr>
        <w:pStyle w:val="1280"/>
        <w:ind w:firstLine="440"/>
        <w:rPr>
          <w:rFonts w:ascii="宋体"/>
        </w:rPr>
      </w:pPr>
      <w:r>
        <w:rPr>
          <w:rFonts w:ascii="宋体"/>
        </w:rPr>
        <w:t>如果承包商希望使用规定外的其它拌合了，则首先应取得设计、项目监理的书面同意。使用的方法和数量应分别得到项目监理和业主的批准，但这并不减轻承包商根据合同应生产符合设计规定强度及和易性的混凝土责任。</w:t>
      </w:r>
    </w:p>
    <w:p>
      <w:pPr>
        <w:pStyle w:val="1280"/>
        <w:ind w:firstLine="440"/>
        <w:rPr>
          <w:rFonts w:ascii="宋体"/>
        </w:rPr>
      </w:pPr>
      <w:r>
        <w:rPr>
          <w:rFonts w:ascii="宋体"/>
        </w:rPr>
        <w:t>所有的拌合料应性能可靠、稳定，对混凝土和钢筋无任何不良的影响，人接触时对人体健康无任何不良的影响，拌入混凝土中必须符合</w:t>
      </w:r>
      <w:r>
        <w:rPr>
          <w:rFonts w:hint="eastAsia" w:ascii="宋体"/>
        </w:rPr>
        <w:t>《沥青路面施工及验收规范》（</w:t>
      </w:r>
      <w:r>
        <w:rPr>
          <w:rFonts w:ascii="宋体"/>
        </w:rPr>
        <w:t>GB</w:t>
      </w:r>
      <w:r>
        <w:rPr>
          <w:rFonts w:hint="eastAsia" w:ascii="宋体"/>
        </w:rPr>
        <w:t xml:space="preserve"> </w:t>
      </w:r>
      <w:r>
        <w:rPr>
          <w:rFonts w:ascii="宋体"/>
        </w:rPr>
        <w:t>50092-1996</w:t>
      </w:r>
      <w:r>
        <w:rPr>
          <w:rFonts w:hint="eastAsia" w:ascii="宋体"/>
        </w:rPr>
        <w:t>）</w:t>
      </w:r>
      <w:r>
        <w:rPr>
          <w:rFonts w:ascii="宋体"/>
        </w:rPr>
        <w:t>的第“7热拌沥青混合料路面”的国家现行施工及质量验收标准，拌合料必须从批准的制造商处获得，并按制造商的建议装运和贮存。在任何情况下不得采用未经项目监理审批的，不能满足设计要求的替代拌合料。</w:t>
      </w:r>
    </w:p>
    <w:p>
      <w:pPr>
        <w:pStyle w:val="1284"/>
        <w:outlineLvl w:val="0"/>
        <w:rPr>
          <w:rFonts w:ascii="宋体" w:hAnsi="宋体"/>
        </w:rPr>
      </w:pPr>
      <w:bookmarkStart w:id="2591" w:name="_Toc385007706"/>
      <w:bookmarkStart w:id="2592" w:name="_Toc385008502"/>
      <w:bookmarkStart w:id="2593" w:name="_Toc385012664"/>
      <w:bookmarkStart w:id="2594" w:name="_Toc389234165"/>
      <w:bookmarkStart w:id="2595" w:name="_Toc393081116"/>
      <w:bookmarkStart w:id="2596" w:name="_Toc397479567"/>
      <w:bookmarkStart w:id="2597" w:name="_Toc397479894"/>
      <w:bookmarkStart w:id="2598" w:name="_Toc397481616"/>
      <w:bookmarkStart w:id="2599" w:name="_Toc397485685"/>
      <w:bookmarkStart w:id="2600" w:name="_Toc398083773"/>
      <w:bookmarkStart w:id="2601" w:name="_Toc16242380"/>
      <w:bookmarkStart w:id="2602" w:name="_Toc43107563"/>
      <w:bookmarkStart w:id="2603" w:name="_Toc266662950"/>
      <w:bookmarkStart w:id="2604" w:name="_Toc320555411"/>
      <w:bookmarkStart w:id="2605" w:name="_Toc517382551"/>
      <w:bookmarkStart w:id="2606" w:name="_Toc518376604"/>
      <w:bookmarkStart w:id="2607" w:name="_Toc521491926"/>
      <w:bookmarkStart w:id="2608" w:name="_Toc521492783"/>
      <w:bookmarkStart w:id="2609" w:name="_Toc521493457"/>
      <w:bookmarkStart w:id="2610" w:name="_Toc106883109"/>
      <w:r>
        <w:rPr>
          <w:rFonts w:ascii="宋体" w:hAnsi="宋体"/>
        </w:rPr>
        <w:t>3.3.8</w:t>
      </w:r>
      <w:r>
        <w:rPr>
          <w:rFonts w:hint="eastAsia" w:ascii="宋体" w:hAnsi="宋体"/>
        </w:rPr>
        <w:t xml:space="preserve"> </w:t>
      </w:r>
      <w:r>
        <w:rPr>
          <w:rFonts w:ascii="宋体" w:hAnsi="宋体"/>
        </w:rPr>
        <w:t>填缝材料</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1280"/>
        <w:ind w:firstLine="440"/>
        <w:rPr>
          <w:rFonts w:ascii="宋体"/>
        </w:rPr>
      </w:pPr>
      <w:r>
        <w:rPr>
          <w:rFonts w:ascii="宋体"/>
        </w:rPr>
        <w:t>对于任何专用的填缝料，在没有适当标准可供参考的情况下，承包商应根据现场条件，通过检验或其它方法来证明该材料的适应性，一般情况下，承包商应该应用制造商提供的试验报告，以证明其符合有关的质量标准，这类材料只有经项目监理和业主批准后，才能用于于本工程。</w:t>
      </w:r>
    </w:p>
    <w:p>
      <w:pPr>
        <w:pStyle w:val="1281"/>
        <w:outlineLvl w:val="0"/>
        <w:rPr>
          <w:rFonts w:ascii="宋体" w:hAnsi="宋体"/>
          <w:color w:val="auto"/>
        </w:rPr>
      </w:pPr>
      <w:bookmarkStart w:id="2611" w:name="_Toc518376605"/>
      <w:bookmarkStart w:id="2612" w:name="_Toc521491927"/>
      <w:bookmarkStart w:id="2613" w:name="_Toc164502142"/>
      <w:bookmarkStart w:id="2614" w:name="_Toc16242381"/>
      <w:bookmarkStart w:id="2615" w:name="_Toc43107564"/>
      <w:bookmarkStart w:id="2616" w:name="_Toc517382552"/>
      <w:bookmarkStart w:id="2617" w:name="_Toc320555412"/>
      <w:bookmarkStart w:id="2618" w:name="_Toc266662951"/>
      <w:bookmarkStart w:id="2619" w:name="_Toc385007707"/>
      <w:bookmarkStart w:id="2620" w:name="_Toc385008503"/>
      <w:bookmarkStart w:id="2621" w:name="_Toc385012665"/>
      <w:bookmarkStart w:id="2622" w:name="_Toc389234166"/>
      <w:bookmarkStart w:id="2623" w:name="_Toc393081117"/>
      <w:bookmarkStart w:id="2624" w:name="_Toc397479568"/>
      <w:bookmarkStart w:id="2625" w:name="_Toc397479895"/>
      <w:bookmarkStart w:id="2626" w:name="_Toc397481617"/>
      <w:bookmarkStart w:id="2627" w:name="_Toc397485686"/>
      <w:bookmarkStart w:id="2628" w:name="_Toc398083774"/>
      <w:bookmarkStart w:id="2629" w:name="_Toc521492784"/>
      <w:bookmarkStart w:id="2630" w:name="_Toc521493458"/>
      <w:bookmarkStart w:id="2631" w:name="_Toc106883110"/>
      <w:r>
        <w:rPr>
          <w:rFonts w:ascii="宋体" w:hAnsi="宋体"/>
          <w:color w:val="auto"/>
        </w:rPr>
        <w:t>3.4 工作质量</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1284"/>
        <w:outlineLvl w:val="0"/>
        <w:rPr>
          <w:rFonts w:ascii="宋体" w:hAnsi="宋体"/>
        </w:rPr>
      </w:pPr>
      <w:bookmarkStart w:id="2632" w:name="_Toc385007708"/>
      <w:bookmarkStart w:id="2633" w:name="_Toc385008504"/>
      <w:bookmarkStart w:id="2634" w:name="_Toc385012666"/>
      <w:bookmarkStart w:id="2635" w:name="_Toc389234167"/>
      <w:bookmarkStart w:id="2636" w:name="_Toc393081118"/>
      <w:bookmarkStart w:id="2637" w:name="_Toc397479569"/>
      <w:bookmarkStart w:id="2638" w:name="_Toc397479896"/>
      <w:bookmarkStart w:id="2639" w:name="_Toc397481618"/>
      <w:bookmarkStart w:id="2640" w:name="_Toc397485687"/>
      <w:bookmarkStart w:id="2641" w:name="_Toc398083775"/>
      <w:bookmarkStart w:id="2642" w:name="_Toc16242382"/>
      <w:bookmarkStart w:id="2643" w:name="_Toc43107565"/>
      <w:bookmarkStart w:id="2644" w:name="_Toc266662952"/>
      <w:bookmarkStart w:id="2645" w:name="_Toc320555413"/>
      <w:bookmarkStart w:id="2646" w:name="_Toc517382553"/>
      <w:bookmarkStart w:id="2647" w:name="_Toc518376606"/>
      <w:bookmarkStart w:id="2648" w:name="_Toc521491928"/>
      <w:bookmarkStart w:id="2649" w:name="_Toc521492785"/>
      <w:bookmarkStart w:id="2650" w:name="_Toc521493459"/>
      <w:bookmarkStart w:id="2651" w:name="_Toc106883111"/>
      <w:r>
        <w:rPr>
          <w:rFonts w:ascii="宋体" w:hAnsi="宋体"/>
        </w:rPr>
        <w:t>3.4.1</w:t>
      </w:r>
      <w:r>
        <w:rPr>
          <w:rFonts w:hint="eastAsia" w:ascii="宋体" w:hAnsi="宋体"/>
        </w:rPr>
        <w:t xml:space="preserve"> </w:t>
      </w:r>
      <w:r>
        <w:rPr>
          <w:rFonts w:ascii="宋体" w:hAnsi="宋体"/>
        </w:rPr>
        <w:t>混凝土强度等级</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1280"/>
        <w:ind w:firstLine="440"/>
        <w:rPr>
          <w:rFonts w:ascii="宋体"/>
        </w:rPr>
      </w:pPr>
      <w:r>
        <w:rPr>
          <w:rFonts w:ascii="宋体"/>
        </w:rPr>
        <w:t>混凝土的强度等级由其立方体抗压强度来决定，混凝土的等级在设计中应明确要求。</w:t>
      </w:r>
    </w:p>
    <w:p>
      <w:pPr>
        <w:pStyle w:val="1284"/>
        <w:outlineLvl w:val="0"/>
        <w:rPr>
          <w:rFonts w:ascii="宋体" w:hAnsi="宋体"/>
        </w:rPr>
      </w:pPr>
      <w:bookmarkStart w:id="2652" w:name="_Toc389234168"/>
      <w:bookmarkStart w:id="2653" w:name="_Toc393081119"/>
      <w:bookmarkStart w:id="2654" w:name="_Toc397479570"/>
      <w:bookmarkStart w:id="2655" w:name="_Toc397479897"/>
      <w:bookmarkStart w:id="2656" w:name="_Toc397481619"/>
      <w:bookmarkStart w:id="2657" w:name="_Toc397485688"/>
      <w:bookmarkStart w:id="2658" w:name="_Toc398083776"/>
      <w:bookmarkStart w:id="2659" w:name="_Toc16242383"/>
      <w:bookmarkStart w:id="2660" w:name="_Toc43107566"/>
      <w:bookmarkStart w:id="2661" w:name="_Toc266662953"/>
      <w:bookmarkStart w:id="2662" w:name="_Toc320555414"/>
      <w:bookmarkStart w:id="2663" w:name="_Toc517382554"/>
      <w:bookmarkStart w:id="2664" w:name="_Toc518376607"/>
      <w:bookmarkStart w:id="2665" w:name="_Toc521491929"/>
      <w:bookmarkStart w:id="2666" w:name="_Toc521492786"/>
      <w:bookmarkStart w:id="2667" w:name="_Toc521493460"/>
      <w:bookmarkStart w:id="2668" w:name="_Toc106883112"/>
      <w:r>
        <w:rPr>
          <w:rFonts w:ascii="宋体" w:hAnsi="宋体"/>
        </w:rPr>
        <w:t>3.4.2</w:t>
      </w:r>
      <w:r>
        <w:rPr>
          <w:rFonts w:hint="eastAsia" w:ascii="宋体" w:hAnsi="宋体"/>
        </w:rPr>
        <w:t xml:space="preserve"> </w:t>
      </w:r>
      <w:r>
        <w:rPr>
          <w:rFonts w:ascii="宋体" w:hAnsi="宋体"/>
        </w:rPr>
        <w:t>混凝土中化学物质的含量</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1280"/>
        <w:ind w:firstLine="440"/>
        <w:rPr>
          <w:rFonts w:ascii="宋体"/>
        </w:rPr>
      </w:pPr>
      <w:r>
        <w:rPr>
          <w:rFonts w:ascii="宋体"/>
        </w:rPr>
        <w:t>混凝土中的下列物质的总量</w:t>
      </w:r>
      <w:r>
        <w:rPr>
          <w:rFonts w:hint="eastAsia" w:ascii="宋体"/>
        </w:rPr>
        <w:t>（</w:t>
      </w:r>
      <w:r>
        <w:rPr>
          <w:rFonts w:ascii="宋体"/>
        </w:rPr>
        <w:t>按水泥重量的百分比计</w:t>
      </w:r>
      <w:r>
        <w:rPr>
          <w:rFonts w:hint="eastAsia" w:ascii="宋体"/>
        </w:rPr>
        <w:t>）</w:t>
      </w:r>
      <w:r>
        <w:rPr>
          <w:rFonts w:ascii="宋体"/>
        </w:rPr>
        <w:t>，不得超过规定值：</w:t>
      </w:r>
    </w:p>
    <w:p>
      <w:pPr>
        <w:pStyle w:val="1280"/>
        <w:ind w:firstLine="440"/>
        <w:rPr>
          <w:rFonts w:ascii="宋体"/>
        </w:rPr>
      </w:pPr>
      <w:r>
        <w:rPr>
          <w:rFonts w:ascii="宋体"/>
        </w:rPr>
        <w:t>按</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要求，普通硅酸盐水泥的拌合料中总的水溶性氯化物含量应小于1%</w:t>
      </w:r>
      <w:r>
        <w:rPr>
          <w:rFonts w:hint="eastAsia" w:ascii="宋体"/>
        </w:rPr>
        <w:t>（</w:t>
      </w:r>
      <w:r>
        <w:rPr>
          <w:rFonts w:ascii="宋体"/>
        </w:rPr>
        <w:t>以氯化物离子计</w:t>
      </w:r>
      <w:r>
        <w:rPr>
          <w:rFonts w:hint="eastAsia" w:ascii="宋体"/>
        </w:rPr>
        <w:t>）</w:t>
      </w:r>
      <w:r>
        <w:rPr>
          <w:rFonts w:ascii="宋体"/>
        </w:rPr>
        <w:t>；</w:t>
      </w:r>
    </w:p>
    <w:p>
      <w:pPr>
        <w:pStyle w:val="1280"/>
        <w:ind w:firstLine="440"/>
        <w:rPr>
          <w:rFonts w:ascii="宋体"/>
        </w:rPr>
      </w:pPr>
      <w:r>
        <w:rPr>
          <w:rFonts w:ascii="宋体"/>
        </w:rPr>
        <w:t>对于所有的拌合料，总的酸溶性硫酸盐应小于1%</w:t>
      </w:r>
      <w:r>
        <w:rPr>
          <w:rFonts w:hint="eastAsia" w:ascii="宋体"/>
        </w:rPr>
        <w:t>（</w:t>
      </w:r>
      <w:r>
        <w:rPr>
          <w:rFonts w:ascii="宋体"/>
        </w:rPr>
        <w:t>以SO</w:t>
      </w:r>
      <w:r>
        <w:rPr>
          <w:rFonts w:ascii="宋体"/>
          <w:vertAlign w:val="subscript"/>
        </w:rPr>
        <w:t>3</w:t>
      </w:r>
      <w:r>
        <w:rPr>
          <w:rFonts w:ascii="宋体"/>
        </w:rPr>
        <w:t>离子计</w:t>
      </w:r>
      <w:r>
        <w:rPr>
          <w:rFonts w:hint="eastAsia" w:ascii="宋体"/>
        </w:rPr>
        <w:t>）；</w:t>
      </w:r>
    </w:p>
    <w:p>
      <w:pPr>
        <w:pStyle w:val="1280"/>
        <w:ind w:firstLine="440"/>
        <w:rPr>
          <w:rFonts w:ascii="宋体"/>
        </w:rPr>
      </w:pPr>
      <w:r>
        <w:rPr>
          <w:rFonts w:ascii="宋体"/>
        </w:rPr>
        <w:t>骨料的试验应符合</w:t>
      </w:r>
      <w:r>
        <w:rPr>
          <w:rFonts w:hint="eastAsia" w:ascii="宋体"/>
        </w:rPr>
        <w:t>《普通混凝土用砂、石质量及检验方法标准》（</w:t>
      </w:r>
      <w:r>
        <w:rPr>
          <w:rFonts w:ascii="宋体"/>
        </w:rPr>
        <w:t>JGJ</w:t>
      </w:r>
      <w:r>
        <w:rPr>
          <w:rFonts w:hint="eastAsia" w:ascii="宋体"/>
        </w:rPr>
        <w:t xml:space="preserve"> </w:t>
      </w:r>
      <w:r>
        <w:rPr>
          <w:rFonts w:ascii="宋体"/>
        </w:rPr>
        <w:t>52-2006</w:t>
      </w:r>
      <w:r>
        <w:rPr>
          <w:rFonts w:hint="eastAsia" w:ascii="宋体"/>
        </w:rPr>
        <w:t>）</w:t>
      </w:r>
      <w:r>
        <w:rPr>
          <w:rFonts w:ascii="宋体"/>
        </w:rPr>
        <w:t>标准的要求</w:t>
      </w:r>
      <w:r>
        <w:rPr>
          <w:rFonts w:hint="eastAsia" w:ascii="宋体"/>
        </w:rPr>
        <w:t>；</w:t>
      </w:r>
    </w:p>
    <w:p>
      <w:pPr>
        <w:pStyle w:val="1280"/>
        <w:ind w:firstLine="440"/>
        <w:rPr>
          <w:rFonts w:ascii="宋体"/>
        </w:rPr>
      </w:pPr>
      <w:r>
        <w:rPr>
          <w:rFonts w:ascii="宋体"/>
        </w:rPr>
        <w:t>拌合水中的氯化物离子应符合</w:t>
      </w:r>
      <w:r>
        <w:rPr>
          <w:rFonts w:hint="eastAsia" w:ascii="宋体"/>
        </w:rPr>
        <w:t>《混凝土用水标准》（</w:t>
      </w:r>
      <w:r>
        <w:rPr>
          <w:rFonts w:ascii="宋体"/>
        </w:rPr>
        <w:t>JGJ</w:t>
      </w:r>
      <w:r>
        <w:rPr>
          <w:rFonts w:hint="eastAsia" w:ascii="宋体"/>
        </w:rPr>
        <w:t xml:space="preserve"> </w:t>
      </w:r>
      <w:r>
        <w:rPr>
          <w:rFonts w:ascii="宋体"/>
        </w:rPr>
        <w:t>63-2006</w:t>
      </w:r>
      <w:r>
        <w:rPr>
          <w:rFonts w:hint="eastAsia" w:ascii="宋体"/>
        </w:rPr>
        <w:t>）</w:t>
      </w:r>
      <w:r>
        <w:rPr>
          <w:rFonts w:ascii="宋体"/>
        </w:rPr>
        <w:t>标准的要求。</w:t>
      </w:r>
    </w:p>
    <w:p>
      <w:pPr>
        <w:pStyle w:val="1284"/>
        <w:outlineLvl w:val="0"/>
        <w:rPr>
          <w:rFonts w:ascii="宋体" w:hAnsi="宋体"/>
        </w:rPr>
      </w:pPr>
      <w:bookmarkStart w:id="2669" w:name="_Toc385007710"/>
      <w:bookmarkStart w:id="2670" w:name="_Toc385008506"/>
      <w:bookmarkStart w:id="2671" w:name="_Toc385012668"/>
      <w:bookmarkStart w:id="2672" w:name="_Toc389234169"/>
      <w:bookmarkStart w:id="2673" w:name="_Toc393081120"/>
      <w:bookmarkStart w:id="2674" w:name="_Toc397479571"/>
      <w:bookmarkStart w:id="2675" w:name="_Toc397479898"/>
      <w:bookmarkStart w:id="2676" w:name="_Toc397481620"/>
      <w:bookmarkStart w:id="2677" w:name="_Toc397485689"/>
      <w:bookmarkStart w:id="2678" w:name="_Toc398083777"/>
      <w:bookmarkStart w:id="2679" w:name="_Toc16242384"/>
      <w:bookmarkStart w:id="2680" w:name="_Toc43107567"/>
      <w:bookmarkStart w:id="2681" w:name="_Toc266662954"/>
      <w:bookmarkStart w:id="2682" w:name="_Toc320555415"/>
      <w:bookmarkStart w:id="2683" w:name="_Toc517382555"/>
      <w:bookmarkStart w:id="2684" w:name="_Toc518376608"/>
      <w:bookmarkStart w:id="2685" w:name="_Toc521491930"/>
      <w:bookmarkStart w:id="2686" w:name="_Toc521492787"/>
      <w:bookmarkStart w:id="2687" w:name="_Toc521493461"/>
      <w:bookmarkStart w:id="2688" w:name="_Toc106883113"/>
      <w:r>
        <w:rPr>
          <w:rFonts w:ascii="宋体" w:hAnsi="宋体"/>
        </w:rPr>
        <w:t>3.4.3</w:t>
      </w:r>
      <w:r>
        <w:rPr>
          <w:rFonts w:hint="eastAsia" w:ascii="宋体" w:hAnsi="宋体"/>
        </w:rPr>
        <w:t xml:space="preserve"> </w:t>
      </w:r>
      <w:r>
        <w:rPr>
          <w:rFonts w:ascii="宋体" w:hAnsi="宋体"/>
        </w:rPr>
        <w:t>和易性</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1280"/>
        <w:ind w:firstLine="440"/>
        <w:rPr>
          <w:rFonts w:ascii="宋体"/>
        </w:rPr>
      </w:pPr>
      <w:r>
        <w:rPr>
          <w:rFonts w:ascii="宋体"/>
        </w:rPr>
        <w:t>各种级别混凝土应要求用最小的和易性来达到最满意的密实度而不发生离析，并达到规定的强度等级。</w:t>
      </w:r>
    </w:p>
    <w:p>
      <w:pPr>
        <w:pStyle w:val="1280"/>
        <w:ind w:firstLine="440"/>
        <w:rPr>
          <w:rFonts w:ascii="宋体"/>
        </w:rPr>
      </w:pPr>
      <w:r>
        <w:rPr>
          <w:rFonts w:ascii="宋体"/>
        </w:rPr>
        <w:t>在设计各种混凝土配合比之前，承包商就每批混合料的和易性指标、运输、浇筑混凝土的方法与项目监理取得一致意见，一旦和易性取得了一致，未经项目监理的同意不得更改和易性指标。和易性指标应根据</w:t>
      </w:r>
      <w:r>
        <w:rPr>
          <w:rFonts w:hint="eastAsia" w:ascii="宋体"/>
        </w:rPr>
        <w:t>《普通混凝土配合比设计规范》（</w:t>
      </w:r>
      <w:r>
        <w:rPr>
          <w:rFonts w:ascii="宋体"/>
        </w:rPr>
        <w:t>JGJ</w:t>
      </w:r>
      <w:r>
        <w:rPr>
          <w:rFonts w:hint="eastAsia" w:ascii="宋体"/>
        </w:rPr>
        <w:t xml:space="preserve"> </w:t>
      </w:r>
      <w:r>
        <w:rPr>
          <w:rFonts w:ascii="宋体"/>
        </w:rPr>
        <w:t>55-2011</w:t>
      </w:r>
      <w:r>
        <w:rPr>
          <w:rFonts w:hint="eastAsia" w:ascii="宋体"/>
        </w:rPr>
        <w:t>）</w:t>
      </w:r>
      <w:r>
        <w:rPr>
          <w:rFonts w:ascii="宋体"/>
        </w:rPr>
        <w:t>和</w:t>
      </w:r>
      <w:r>
        <w:rPr>
          <w:rFonts w:hint="eastAsia" w:ascii="宋体"/>
        </w:rPr>
        <w:t>《普通混凝土拌合物性能试验方法标准》（</w:t>
      </w:r>
      <w:r>
        <w:rPr>
          <w:rFonts w:ascii="宋体"/>
        </w:rPr>
        <w:t>GB/T</w:t>
      </w:r>
      <w:r>
        <w:rPr>
          <w:rFonts w:hint="eastAsia" w:ascii="宋体"/>
        </w:rPr>
        <w:t xml:space="preserve"> </w:t>
      </w:r>
      <w:r>
        <w:rPr>
          <w:rFonts w:ascii="宋体"/>
        </w:rPr>
        <w:t>50080-2016</w:t>
      </w:r>
      <w:r>
        <w:rPr>
          <w:rFonts w:hint="eastAsia" w:ascii="宋体"/>
        </w:rPr>
        <w:t>）</w:t>
      </w:r>
      <w:r>
        <w:rPr>
          <w:rFonts w:ascii="宋体"/>
        </w:rPr>
        <w:t>的要求作塌落度试验来确定。</w:t>
      </w:r>
    </w:p>
    <w:p>
      <w:pPr>
        <w:pStyle w:val="1284"/>
        <w:outlineLvl w:val="0"/>
        <w:rPr>
          <w:rFonts w:ascii="宋体" w:hAnsi="宋体"/>
        </w:rPr>
      </w:pPr>
      <w:bookmarkStart w:id="2689" w:name="_Toc385007711"/>
      <w:bookmarkStart w:id="2690" w:name="_Toc385008507"/>
      <w:bookmarkStart w:id="2691" w:name="_Toc385012669"/>
      <w:bookmarkStart w:id="2692" w:name="_Toc389234170"/>
      <w:bookmarkStart w:id="2693" w:name="_Toc393081121"/>
      <w:bookmarkStart w:id="2694" w:name="_Toc397479572"/>
      <w:bookmarkStart w:id="2695" w:name="_Toc397479899"/>
      <w:bookmarkStart w:id="2696" w:name="_Toc397481621"/>
      <w:bookmarkStart w:id="2697" w:name="_Toc397485690"/>
      <w:bookmarkStart w:id="2698" w:name="_Toc398083778"/>
      <w:bookmarkStart w:id="2699" w:name="_Toc16242385"/>
      <w:bookmarkStart w:id="2700" w:name="_Toc43107568"/>
      <w:bookmarkStart w:id="2701" w:name="_Toc266662955"/>
      <w:bookmarkStart w:id="2702" w:name="_Toc320555416"/>
      <w:bookmarkStart w:id="2703" w:name="_Toc517382556"/>
      <w:bookmarkStart w:id="2704" w:name="_Toc518376609"/>
      <w:bookmarkStart w:id="2705" w:name="_Toc521491931"/>
      <w:bookmarkStart w:id="2706" w:name="_Toc521492788"/>
      <w:bookmarkStart w:id="2707" w:name="_Toc521493462"/>
      <w:bookmarkStart w:id="2708" w:name="_Toc106883114"/>
      <w:bookmarkStart w:id="2709" w:name="_Toc385007720"/>
      <w:bookmarkStart w:id="2710" w:name="_Toc385008516"/>
      <w:bookmarkStart w:id="2711" w:name="_Toc385012678"/>
      <w:bookmarkStart w:id="2712" w:name="_Toc389234179"/>
      <w:bookmarkStart w:id="2713" w:name="_Toc393081130"/>
      <w:bookmarkStart w:id="2714" w:name="_Toc397479581"/>
      <w:bookmarkStart w:id="2715" w:name="_Toc397479908"/>
      <w:bookmarkStart w:id="2716" w:name="_Toc397481630"/>
      <w:bookmarkStart w:id="2717" w:name="_Toc397485699"/>
      <w:bookmarkStart w:id="2718" w:name="_Toc398083787"/>
      <w:bookmarkStart w:id="2719" w:name="_Toc16242394"/>
      <w:bookmarkStart w:id="2720" w:name="_Toc43107575"/>
      <w:bookmarkStart w:id="2721" w:name="_Toc164502153"/>
      <w:r>
        <w:rPr>
          <w:rFonts w:ascii="宋体" w:hAnsi="宋体"/>
        </w:rPr>
        <w:t>3.4.4</w:t>
      </w:r>
      <w:r>
        <w:rPr>
          <w:rFonts w:hint="eastAsia" w:ascii="宋体" w:hAnsi="宋体"/>
        </w:rPr>
        <w:t xml:space="preserve"> </w:t>
      </w:r>
      <w:r>
        <w:rPr>
          <w:rFonts w:ascii="宋体" w:hAnsi="宋体"/>
        </w:rPr>
        <w:t>混凝土配合比的设计</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1280"/>
        <w:ind w:firstLine="440"/>
        <w:rPr>
          <w:rFonts w:ascii="宋体"/>
        </w:rPr>
      </w:pPr>
      <w:r>
        <w:rPr>
          <w:rFonts w:ascii="宋体"/>
        </w:rPr>
        <w:t>承包商须按项目监理要求，确定永久工程中混凝土的各种材料的实际用量。承包商必须根据</w:t>
      </w:r>
      <w:r>
        <w:rPr>
          <w:rFonts w:hint="eastAsia" w:ascii="宋体"/>
        </w:rPr>
        <w:t>《普通混凝土配合比设计规范》（</w:t>
      </w:r>
      <w:r>
        <w:rPr>
          <w:rFonts w:ascii="宋体"/>
        </w:rPr>
        <w:t>JGJ</w:t>
      </w:r>
      <w:r>
        <w:rPr>
          <w:rFonts w:hint="eastAsia" w:ascii="宋体"/>
        </w:rPr>
        <w:t xml:space="preserve"> </w:t>
      </w:r>
      <w:r>
        <w:rPr>
          <w:rFonts w:ascii="宋体"/>
        </w:rPr>
        <w:t>55-2011</w:t>
      </w:r>
      <w:r>
        <w:rPr>
          <w:rFonts w:hint="eastAsia" w:ascii="宋体"/>
        </w:rPr>
        <w:t>）</w:t>
      </w:r>
      <w:r>
        <w:rPr>
          <w:rFonts w:ascii="宋体"/>
        </w:rPr>
        <w:t>的要求进行混凝土的配合比的设计。</w:t>
      </w:r>
    </w:p>
    <w:p>
      <w:pPr>
        <w:pStyle w:val="1280"/>
        <w:ind w:firstLine="440"/>
        <w:rPr>
          <w:rFonts w:ascii="宋体"/>
        </w:rPr>
      </w:pPr>
      <w:r>
        <w:rPr>
          <w:rFonts w:ascii="宋体"/>
        </w:rPr>
        <w:t>承包商应将他确定的配合比和其中各种材料的来源向项目监理和业主汇报，并按这个配合比制作三个试块进行28天龄期的试验，以确定其实际的强度等级。承包商应提前24小时通知项目监理和业主制作试块的时间，试验时项目监理和业主应到场。</w:t>
      </w:r>
    </w:p>
    <w:p>
      <w:pPr>
        <w:pStyle w:val="1280"/>
        <w:ind w:firstLine="440"/>
        <w:rPr>
          <w:rFonts w:ascii="宋体"/>
        </w:rPr>
      </w:pPr>
      <w:r>
        <w:rPr>
          <w:rFonts w:ascii="宋体"/>
        </w:rPr>
        <w:t>在项目监理和业主对该批试块的实验报告审批之前，承包商不得进行永久性工程的混凝土浇筑。</w:t>
      </w:r>
    </w:p>
    <w:p>
      <w:pPr>
        <w:pStyle w:val="1280"/>
        <w:ind w:firstLine="440"/>
        <w:rPr>
          <w:rFonts w:ascii="宋体"/>
        </w:rPr>
      </w:pPr>
      <w:r>
        <w:rPr>
          <w:rFonts w:ascii="宋体"/>
        </w:rPr>
        <w:t>未经项目监理和业主许可不得改变混凝土配合比及材料来源，如有变化，项目监理和业主须要求承包商再作试验确定配合比。</w:t>
      </w:r>
    </w:p>
    <w:p>
      <w:pPr>
        <w:pStyle w:val="1280"/>
        <w:ind w:firstLine="440"/>
        <w:rPr>
          <w:rFonts w:ascii="宋体"/>
        </w:rPr>
      </w:pPr>
      <w:r>
        <w:rPr>
          <w:rFonts w:ascii="宋体"/>
        </w:rPr>
        <w:t>每批混凝土的配合比应遵守以下规定，除非项目监理和业主批准：</w:t>
      </w:r>
    </w:p>
    <w:p>
      <w:pPr>
        <w:pStyle w:val="1280"/>
        <w:ind w:firstLine="440"/>
        <w:rPr>
          <w:rFonts w:ascii="宋体"/>
        </w:rPr>
      </w:pPr>
      <w:r>
        <w:rPr>
          <w:rFonts w:ascii="宋体"/>
        </w:rPr>
        <w:t>对于每种强度的混凝土，需用不同骨料粒径各作一次配合比设计；</w:t>
      </w:r>
    </w:p>
    <w:p>
      <w:pPr>
        <w:pStyle w:val="1280"/>
        <w:ind w:firstLine="440"/>
        <w:rPr>
          <w:rFonts w:ascii="宋体"/>
        </w:rPr>
      </w:pPr>
      <w:r>
        <w:rPr>
          <w:rFonts w:ascii="宋体"/>
        </w:rPr>
        <w:t>混凝土中的水泥用量不得小于</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规定的用量；</w:t>
      </w:r>
    </w:p>
    <w:p>
      <w:pPr>
        <w:pStyle w:val="1280"/>
        <w:ind w:firstLine="440"/>
        <w:rPr>
          <w:rFonts w:ascii="宋体"/>
        </w:rPr>
      </w:pPr>
      <w:r>
        <w:rPr>
          <w:rFonts w:ascii="宋体"/>
        </w:rPr>
        <w:t>水灰比应不超过</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的规定；</w:t>
      </w:r>
    </w:p>
    <w:p>
      <w:pPr>
        <w:pStyle w:val="1280"/>
        <w:ind w:firstLine="440"/>
        <w:rPr>
          <w:rFonts w:ascii="宋体"/>
        </w:rPr>
      </w:pPr>
      <w:r>
        <w:rPr>
          <w:rFonts w:ascii="宋体"/>
        </w:rPr>
        <w:t>初次配合比设计，其现行安全储备应遵照</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标准；</w:t>
      </w:r>
    </w:p>
    <w:p>
      <w:pPr>
        <w:pStyle w:val="1280"/>
        <w:ind w:firstLine="440"/>
        <w:rPr>
          <w:rFonts w:ascii="宋体"/>
        </w:rPr>
      </w:pPr>
      <w:r>
        <w:rPr>
          <w:rFonts w:ascii="宋体"/>
        </w:rPr>
        <w:t>对于钢筋混凝土，塌落度指标应按</w:t>
      </w:r>
      <w:r>
        <w:rPr>
          <w:rFonts w:hint="eastAsia" w:ascii="宋体"/>
        </w:rPr>
        <w:t>《普通混凝土配合比设计规范》（</w:t>
      </w:r>
      <w:r>
        <w:rPr>
          <w:rFonts w:ascii="宋体"/>
        </w:rPr>
        <w:t>JGJ</w:t>
      </w:r>
      <w:r>
        <w:rPr>
          <w:rFonts w:hint="eastAsia" w:ascii="宋体"/>
        </w:rPr>
        <w:t xml:space="preserve"> </w:t>
      </w:r>
      <w:r>
        <w:rPr>
          <w:rFonts w:ascii="宋体"/>
        </w:rPr>
        <w:t>55-2011</w:t>
      </w:r>
      <w:r>
        <w:rPr>
          <w:rFonts w:hint="eastAsia" w:ascii="宋体"/>
        </w:rPr>
        <w:t>）</w:t>
      </w:r>
      <w:r>
        <w:rPr>
          <w:rFonts w:ascii="宋体"/>
        </w:rPr>
        <w:t>中的方法确定；</w:t>
      </w:r>
    </w:p>
    <w:p>
      <w:pPr>
        <w:pStyle w:val="1280"/>
        <w:ind w:firstLine="440"/>
        <w:rPr>
          <w:rFonts w:ascii="宋体"/>
        </w:rPr>
      </w:pPr>
      <w:r>
        <w:rPr>
          <w:rFonts w:ascii="宋体"/>
        </w:rPr>
        <w:t>对于任何含有外加剂的混凝土，其强度不应低于混凝土强度的规定值，但其配合比应考虑外加剂的影响，予以单独设计、单独的试配比和试验。</w:t>
      </w:r>
    </w:p>
    <w:p>
      <w:pPr>
        <w:pStyle w:val="1284"/>
        <w:outlineLvl w:val="0"/>
        <w:rPr>
          <w:rFonts w:ascii="宋体" w:hAnsi="宋体"/>
        </w:rPr>
      </w:pPr>
      <w:bookmarkStart w:id="2722" w:name="_Toc385007712"/>
      <w:bookmarkStart w:id="2723" w:name="_Toc385008508"/>
      <w:bookmarkStart w:id="2724" w:name="_Toc385012670"/>
      <w:bookmarkStart w:id="2725" w:name="_Toc389234171"/>
      <w:bookmarkStart w:id="2726" w:name="_Toc393081122"/>
      <w:bookmarkStart w:id="2727" w:name="_Toc397479573"/>
      <w:bookmarkStart w:id="2728" w:name="_Toc397479900"/>
      <w:bookmarkStart w:id="2729" w:name="_Toc397481622"/>
      <w:bookmarkStart w:id="2730" w:name="_Toc397485691"/>
      <w:bookmarkStart w:id="2731" w:name="_Toc398083779"/>
      <w:bookmarkStart w:id="2732" w:name="_Toc16242386"/>
      <w:bookmarkStart w:id="2733" w:name="_Toc43107569"/>
      <w:bookmarkStart w:id="2734" w:name="_Toc266662956"/>
      <w:bookmarkStart w:id="2735" w:name="_Toc320555417"/>
      <w:bookmarkStart w:id="2736" w:name="_Toc517382557"/>
      <w:bookmarkStart w:id="2737" w:name="_Toc518376610"/>
      <w:bookmarkStart w:id="2738" w:name="_Toc521491932"/>
      <w:bookmarkStart w:id="2739" w:name="_Toc521492789"/>
      <w:bookmarkStart w:id="2740" w:name="_Toc521493463"/>
      <w:bookmarkStart w:id="2741" w:name="_Toc106883115"/>
      <w:r>
        <w:rPr>
          <w:rFonts w:ascii="宋体" w:hAnsi="宋体"/>
        </w:rPr>
        <w:t>3.4.5</w:t>
      </w:r>
      <w:r>
        <w:rPr>
          <w:rFonts w:hint="eastAsia" w:ascii="宋体" w:hAnsi="宋体"/>
        </w:rPr>
        <w:t xml:space="preserve"> </w:t>
      </w:r>
      <w:r>
        <w:rPr>
          <w:rFonts w:ascii="宋体" w:hAnsi="宋体"/>
        </w:rPr>
        <w:t>试行配合比</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1288"/>
        <w:rPr>
          <w:rFonts w:ascii="宋体" w:hAnsi="宋体"/>
          <w:color w:val="auto"/>
        </w:rPr>
      </w:pPr>
      <w:bookmarkStart w:id="2742" w:name="_Toc385007713"/>
      <w:bookmarkStart w:id="2743" w:name="_Toc385008509"/>
      <w:bookmarkStart w:id="2744" w:name="_Toc385012671"/>
      <w:bookmarkStart w:id="2745" w:name="_Toc389234172"/>
      <w:bookmarkStart w:id="2746" w:name="_Toc393081123"/>
      <w:bookmarkStart w:id="2747" w:name="_Toc397479574"/>
      <w:bookmarkStart w:id="2748" w:name="_Toc397479901"/>
      <w:bookmarkStart w:id="2749" w:name="_Toc397481623"/>
      <w:bookmarkStart w:id="2750" w:name="_Toc397485692"/>
      <w:bookmarkStart w:id="2751" w:name="_Toc398083780"/>
      <w:bookmarkStart w:id="2752" w:name="_Toc16242387"/>
      <w:r>
        <w:rPr>
          <w:rFonts w:ascii="宋体" w:hAnsi="宋体"/>
          <w:color w:val="auto"/>
        </w:rPr>
        <w:t>3.4.5.1</w:t>
      </w:r>
      <w:r>
        <w:rPr>
          <w:rFonts w:hint="eastAsia" w:ascii="宋体" w:hAnsi="宋体"/>
          <w:color w:val="auto"/>
        </w:rPr>
        <w:t xml:space="preserve"> </w:t>
      </w:r>
      <w:r>
        <w:rPr>
          <w:rFonts w:ascii="宋体" w:hAnsi="宋体"/>
          <w:color w:val="auto"/>
        </w:rPr>
        <w:t>实验室试验</w:t>
      </w:r>
      <w:bookmarkEnd w:id="2742"/>
      <w:bookmarkEnd w:id="2743"/>
      <w:bookmarkEnd w:id="2744"/>
      <w:bookmarkEnd w:id="2745"/>
      <w:bookmarkEnd w:id="2746"/>
      <w:bookmarkEnd w:id="2747"/>
      <w:bookmarkEnd w:id="2748"/>
      <w:bookmarkEnd w:id="2749"/>
      <w:bookmarkEnd w:id="2750"/>
      <w:bookmarkEnd w:id="2751"/>
      <w:bookmarkEnd w:id="2752"/>
    </w:p>
    <w:p>
      <w:pPr>
        <w:pStyle w:val="1280"/>
        <w:ind w:firstLine="440"/>
        <w:rPr>
          <w:rFonts w:ascii="宋体"/>
        </w:rPr>
      </w:pPr>
      <w:r>
        <w:rPr>
          <w:rFonts w:ascii="宋体"/>
        </w:rPr>
        <w:t>一旦项目监理对每种强度的混凝土批准其试行配合比，承包商应在实验室内从建议的供应货源处取得的标准水泥和骨料，对各种强度的混凝土进行初步配料，每次配料均应含有正确的水泥、骨料、水和外加剂。</w:t>
      </w:r>
    </w:p>
    <w:p>
      <w:pPr>
        <w:pStyle w:val="1280"/>
        <w:ind w:firstLine="440"/>
        <w:rPr>
          <w:rFonts w:ascii="宋体"/>
        </w:rPr>
      </w:pPr>
      <w:r>
        <w:rPr>
          <w:rFonts w:ascii="宋体"/>
        </w:rPr>
        <w:t>要求为每种强度的混凝土分别作三次混凝土配料，每次配料不少于0.5m</w:t>
      </w:r>
      <w:r>
        <w:rPr>
          <w:rFonts w:ascii="宋体"/>
          <w:vertAlign w:val="superscript"/>
        </w:rPr>
        <w:t>3</w:t>
      </w:r>
      <w:r>
        <w:rPr>
          <w:rFonts w:ascii="宋体"/>
        </w:rPr>
        <w:t>混凝土，除非另经项目监理批准。</w:t>
      </w:r>
    </w:p>
    <w:p>
      <w:pPr>
        <w:pStyle w:val="1280"/>
        <w:ind w:firstLine="440"/>
        <w:rPr>
          <w:rFonts w:ascii="宋体"/>
        </w:rPr>
      </w:pPr>
      <w:r>
        <w:rPr>
          <w:rFonts w:ascii="宋体"/>
        </w:rPr>
        <w:t>从每批混凝土配料中应作边长为150mm六块立方体试块，其中三块应做七天龄期的试验，另三块做28天龄期试验。对每种等级混凝土所作的三次九块立方体试块的平均强度，其28天龄期的试验值要满足</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的标准要求。</w:t>
      </w:r>
    </w:p>
    <w:p>
      <w:pPr>
        <w:pStyle w:val="1288"/>
        <w:rPr>
          <w:rFonts w:ascii="宋体" w:hAnsi="宋体"/>
          <w:color w:val="auto"/>
        </w:rPr>
      </w:pPr>
      <w:bookmarkStart w:id="2753" w:name="_Toc385008510"/>
      <w:bookmarkStart w:id="2754" w:name="_Toc385007714"/>
      <w:bookmarkStart w:id="2755" w:name="_Toc385012672"/>
      <w:bookmarkStart w:id="2756" w:name="_Toc16242388"/>
      <w:bookmarkStart w:id="2757" w:name="_Toc397481624"/>
      <w:bookmarkStart w:id="2758" w:name="_Toc398083781"/>
      <w:bookmarkStart w:id="2759" w:name="_Toc397479902"/>
      <w:bookmarkStart w:id="2760" w:name="_Toc397479575"/>
      <w:bookmarkStart w:id="2761" w:name="_Toc389234173"/>
      <w:bookmarkStart w:id="2762" w:name="_Toc397485693"/>
      <w:bookmarkStart w:id="2763" w:name="_Toc393081124"/>
      <w:bookmarkStart w:id="2764" w:name="_Toc320555418"/>
      <w:r>
        <w:rPr>
          <w:rFonts w:ascii="宋体" w:hAnsi="宋体"/>
          <w:color w:val="auto"/>
        </w:rPr>
        <w:t>3.4.5.2</w:t>
      </w:r>
      <w:r>
        <w:rPr>
          <w:rFonts w:hint="eastAsia" w:ascii="宋体" w:hAnsi="宋体"/>
          <w:color w:val="auto"/>
        </w:rPr>
        <w:t xml:space="preserve"> </w:t>
      </w:r>
      <w:r>
        <w:rPr>
          <w:rFonts w:ascii="宋体" w:hAnsi="宋体"/>
          <w:color w:val="auto"/>
        </w:rPr>
        <w:t>现场试配</w:t>
      </w:r>
      <w:bookmarkEnd w:id="2753"/>
      <w:bookmarkEnd w:id="2754"/>
      <w:bookmarkEnd w:id="2755"/>
      <w:bookmarkEnd w:id="2756"/>
      <w:bookmarkEnd w:id="2757"/>
      <w:bookmarkEnd w:id="2758"/>
      <w:bookmarkEnd w:id="2759"/>
      <w:bookmarkEnd w:id="2760"/>
      <w:bookmarkEnd w:id="2761"/>
      <w:bookmarkEnd w:id="2762"/>
      <w:bookmarkEnd w:id="2763"/>
      <w:bookmarkEnd w:id="2764"/>
    </w:p>
    <w:p>
      <w:pPr>
        <w:pStyle w:val="1280"/>
        <w:ind w:firstLine="440"/>
        <w:rPr>
          <w:rFonts w:ascii="宋体"/>
        </w:rPr>
      </w:pPr>
      <w:r>
        <w:rPr>
          <w:rFonts w:ascii="宋体"/>
        </w:rPr>
        <w:t>现场试配应在有项目监理和业主在场的情况下，按承包商建议在工程中使用的同样设备并在相同的时间内按比例配料、拌制、运输和浇筑。每次配料应不少于1.5 m</w:t>
      </w:r>
      <w:r>
        <w:rPr>
          <w:rFonts w:ascii="宋体"/>
          <w:vertAlign w:val="superscript"/>
        </w:rPr>
        <w:t>3</w:t>
      </w:r>
      <w:r>
        <w:rPr>
          <w:rFonts w:ascii="宋体"/>
        </w:rPr>
        <w:t>混凝土。如果试配的混凝土符合有关条款规定的要求，应对混凝土进行和易性试验。和易性试验应按本规范中所述的要求测定。试配混凝土在一根边长为0.5m正方形具有F</w:t>
      </w:r>
      <w:r>
        <w:rPr>
          <w:rFonts w:ascii="宋体"/>
          <w:vertAlign w:val="subscript"/>
        </w:rPr>
        <w:t>2</w:t>
      </w:r>
      <w:r>
        <w:rPr>
          <w:rFonts w:ascii="宋体"/>
        </w:rPr>
        <w:t>光洁度的柱模内进行浇筑、压实和养护。承包商可在事先制作的一块合适的基础上一次浇筑至最大高度</w:t>
      </w:r>
      <w:r>
        <w:rPr>
          <w:rFonts w:hint="eastAsia" w:ascii="宋体"/>
        </w:rPr>
        <w:t>（</w:t>
      </w:r>
      <w:r>
        <w:rPr>
          <w:rFonts w:ascii="宋体"/>
        </w:rPr>
        <w:t>不小于2.5m</w:t>
      </w:r>
      <w:r>
        <w:rPr>
          <w:rFonts w:hint="eastAsia" w:ascii="宋体"/>
        </w:rPr>
        <w:t>）</w:t>
      </w:r>
      <w:r>
        <w:rPr>
          <w:rFonts w:ascii="宋体"/>
        </w:rPr>
        <w:t>。按照规定的要求柱子拆模后无任何缺陷，试配具有满意的和易性，否则项目监理和业主将要求承包商对配合比进行调整，作新的试配，一旦批准了和易性指标，未经项目监理和业主的批准，不得改变配合比。</w:t>
      </w:r>
    </w:p>
    <w:p>
      <w:pPr>
        <w:pStyle w:val="1280"/>
        <w:ind w:firstLine="440"/>
        <w:rPr>
          <w:rFonts w:ascii="宋体"/>
          <w:spacing w:val="-20"/>
        </w:rPr>
      </w:pPr>
      <w:r>
        <w:rPr>
          <w:rFonts w:ascii="宋体"/>
        </w:rPr>
        <w:t>在和易性试验进行的同时，承包商应在最小尺寸为2</w:t>
      </w:r>
      <w:r>
        <w:rPr>
          <w:rFonts w:ascii="宋体"/>
        </w:rPr>
        <w:sym w:font="Symbol" w:char="F0B4"/>
      </w:r>
      <w:r>
        <w:rPr>
          <w:rFonts w:ascii="宋体"/>
        </w:rPr>
        <w:t>1m厚度为150mm的素混凝土板上证明达到本规范相应条款规定的光洁度等级的能力。当板具有满意的光洁度时，这些板将要被保存作为质量控制的参考。对于每批试配，要待项目监理和业主在场时制作12块150mm的立方体试块进行养护和试验，其中六块做7天龄期试验，其余六块做28天龄期试验。如果该试件的7天龄期试验结果的平均值超过试配比规定的立方体强度70%时，经项目监理和业主的批准后，则承包商可以在工程中开始使用该混凝土，如果28天龄期试验结果的平均值低于该等级混凝土初步规定的强度，则承包商应停止使用这个配合比，已用这个配合比浇好的混凝土允许保留在工程中，但须提供必要的立方体试块证明其强度是满足要求的。这时，承包商要重新设计混凝土的配合比，并进一步在实验室和现场做试配比的全套试验。直到取得一种满意</w:t>
      </w:r>
      <w:r>
        <w:rPr>
          <w:rFonts w:ascii="宋体"/>
          <w:spacing w:val="-20"/>
        </w:rPr>
        <w:t>的混凝土的配合比为止。</w:t>
      </w:r>
    </w:p>
    <w:p>
      <w:pPr>
        <w:pStyle w:val="1284"/>
        <w:outlineLvl w:val="0"/>
        <w:rPr>
          <w:rFonts w:ascii="宋体" w:hAnsi="宋体"/>
        </w:rPr>
      </w:pPr>
      <w:bookmarkStart w:id="2765" w:name="_Toc385007715"/>
      <w:bookmarkStart w:id="2766" w:name="_Toc385008511"/>
      <w:bookmarkStart w:id="2767" w:name="_Toc385012673"/>
      <w:bookmarkStart w:id="2768" w:name="_Toc389234174"/>
      <w:bookmarkStart w:id="2769" w:name="_Toc393081125"/>
      <w:bookmarkStart w:id="2770" w:name="_Toc397479576"/>
      <w:bookmarkStart w:id="2771" w:name="_Toc397479903"/>
      <w:bookmarkStart w:id="2772" w:name="_Toc397481625"/>
      <w:bookmarkStart w:id="2773" w:name="_Toc397485694"/>
      <w:bookmarkStart w:id="2774" w:name="_Toc398083782"/>
      <w:bookmarkStart w:id="2775" w:name="_Toc16242389"/>
      <w:bookmarkStart w:id="2776" w:name="_Toc43107570"/>
      <w:bookmarkStart w:id="2777" w:name="_Toc266662957"/>
      <w:bookmarkStart w:id="2778" w:name="_Toc320555419"/>
      <w:bookmarkStart w:id="2779" w:name="_Toc517382558"/>
      <w:bookmarkStart w:id="2780" w:name="_Toc518376611"/>
      <w:bookmarkStart w:id="2781" w:name="_Toc521491933"/>
      <w:bookmarkStart w:id="2782" w:name="_Toc521492790"/>
      <w:bookmarkStart w:id="2783" w:name="_Toc521493464"/>
      <w:bookmarkStart w:id="2784" w:name="_Toc106883116"/>
      <w:r>
        <w:rPr>
          <w:rFonts w:ascii="宋体" w:hAnsi="宋体"/>
        </w:rPr>
        <w:t>3.4.6</w:t>
      </w:r>
      <w:r>
        <w:rPr>
          <w:rFonts w:hint="eastAsia" w:ascii="宋体" w:hAnsi="宋体"/>
        </w:rPr>
        <w:t xml:space="preserve"> </w:t>
      </w:r>
      <w:r>
        <w:rPr>
          <w:rFonts w:ascii="宋体" w:hAnsi="宋体"/>
        </w:rPr>
        <w:t>不批准的配合比</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1280"/>
        <w:ind w:firstLine="440"/>
        <w:rPr>
          <w:rFonts w:ascii="宋体"/>
        </w:rPr>
      </w:pPr>
      <w:r>
        <w:rPr>
          <w:rFonts w:ascii="宋体"/>
        </w:rPr>
        <w:t>如果存在下列情况，将取消配合比的批准：</w:t>
      </w:r>
    </w:p>
    <w:p>
      <w:pPr>
        <w:pStyle w:val="1280"/>
        <w:ind w:firstLine="440"/>
        <w:rPr>
          <w:rFonts w:ascii="宋体"/>
        </w:rPr>
      </w:pPr>
      <w:r>
        <w:rPr>
          <w:rFonts w:ascii="宋体"/>
        </w:rPr>
        <w:t>骨料级配的变化：即在筛子上骨料的残留部分与批准的配合比中骨料相应部分的差超过细骨料和粗骨料总量的2%以上。</w:t>
      </w:r>
    </w:p>
    <w:p>
      <w:pPr>
        <w:pStyle w:val="1280"/>
        <w:ind w:firstLine="440"/>
        <w:rPr>
          <w:rFonts w:ascii="宋体"/>
        </w:rPr>
      </w:pPr>
      <w:r>
        <w:rPr>
          <w:rFonts w:ascii="宋体"/>
        </w:rPr>
        <w:t>骨料或水泥的供应货源改变。</w:t>
      </w:r>
    </w:p>
    <w:p>
      <w:pPr>
        <w:pStyle w:val="1280"/>
        <w:ind w:firstLine="440"/>
        <w:rPr>
          <w:rFonts w:ascii="宋体"/>
        </w:rPr>
      </w:pPr>
      <w:r>
        <w:rPr>
          <w:rFonts w:ascii="宋体"/>
        </w:rPr>
        <w:t>不论由于何种原因使任一强度的混凝土配合比撤消时，承包商要按情况要求作进一步的试配，以便使该等级的混凝土取得满意的配合比。</w:t>
      </w:r>
    </w:p>
    <w:p>
      <w:pPr>
        <w:pStyle w:val="1284"/>
        <w:outlineLvl w:val="0"/>
        <w:rPr>
          <w:rFonts w:ascii="宋体" w:hAnsi="宋体"/>
        </w:rPr>
      </w:pPr>
      <w:bookmarkStart w:id="2785" w:name="_Toc385007716"/>
      <w:bookmarkStart w:id="2786" w:name="_Toc385008512"/>
      <w:bookmarkStart w:id="2787" w:name="_Toc385012674"/>
      <w:bookmarkStart w:id="2788" w:name="_Toc389234175"/>
      <w:bookmarkStart w:id="2789" w:name="_Toc393081126"/>
      <w:bookmarkStart w:id="2790" w:name="_Toc397479577"/>
      <w:bookmarkStart w:id="2791" w:name="_Toc397479904"/>
      <w:bookmarkStart w:id="2792" w:name="_Toc397481626"/>
      <w:bookmarkStart w:id="2793" w:name="_Toc397485695"/>
      <w:bookmarkStart w:id="2794" w:name="_Toc398083783"/>
      <w:bookmarkStart w:id="2795" w:name="_Toc16242390"/>
      <w:bookmarkStart w:id="2796" w:name="_Toc43107571"/>
      <w:bookmarkStart w:id="2797" w:name="_Toc266662958"/>
      <w:bookmarkStart w:id="2798" w:name="_Toc320555420"/>
      <w:bookmarkStart w:id="2799" w:name="_Toc517382559"/>
      <w:bookmarkStart w:id="2800" w:name="_Toc518376612"/>
      <w:bookmarkStart w:id="2801" w:name="_Toc521491934"/>
      <w:bookmarkStart w:id="2802" w:name="_Toc521492791"/>
      <w:bookmarkStart w:id="2803" w:name="_Toc521493465"/>
      <w:bookmarkStart w:id="2804" w:name="_Toc106883117"/>
      <w:r>
        <w:rPr>
          <w:rFonts w:ascii="宋体" w:hAnsi="宋体"/>
        </w:rPr>
        <w:t>3.4.7</w:t>
      </w:r>
      <w:r>
        <w:rPr>
          <w:rFonts w:hint="eastAsia" w:ascii="宋体" w:hAnsi="宋体"/>
        </w:rPr>
        <w:t xml:space="preserve"> </w:t>
      </w:r>
      <w:r>
        <w:rPr>
          <w:rFonts w:ascii="宋体" w:hAnsi="宋体"/>
        </w:rPr>
        <w:t>混凝土原料的称量或测量</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1280"/>
        <w:ind w:firstLine="440"/>
        <w:rPr>
          <w:rFonts w:ascii="宋体"/>
        </w:rPr>
      </w:pPr>
      <w:r>
        <w:rPr>
          <w:rFonts w:ascii="宋体"/>
        </w:rPr>
        <w:t>所有用于混凝土的水泥，均应由批准的称量配料机来称量。对于所有等级的混凝土使用的细骨料和某些标称尺寸的粗骨料均应单独或累加地用称量配料机来称量。</w:t>
      </w:r>
    </w:p>
    <w:p>
      <w:pPr>
        <w:pStyle w:val="1280"/>
        <w:ind w:firstLine="440"/>
        <w:rPr>
          <w:rFonts w:ascii="宋体"/>
        </w:rPr>
      </w:pPr>
      <w:r>
        <w:rPr>
          <w:rFonts w:ascii="宋体"/>
        </w:rPr>
        <w:t>称量配料机应配备对材料作精确控制的称量设施，并能使半熟练工也能立即调整，以便对配合比作出变动。所有称量刻度盘应在配料控制处清晰而准确地看到刻度，误差应在</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中给出的称量允许误差之内。</w:t>
      </w:r>
    </w:p>
    <w:p>
      <w:pPr>
        <w:pStyle w:val="1280"/>
        <w:ind w:firstLine="440"/>
        <w:rPr>
          <w:rFonts w:ascii="宋体"/>
        </w:rPr>
      </w:pPr>
      <w:r>
        <w:rPr>
          <w:rFonts w:ascii="宋体"/>
        </w:rPr>
        <w:t>每台混凝土拌料机应配置一台精确的量水装置。不允许采用诸如定量泵和计时器等间接测量。整个供水系统应始终正常地保持不漏水，量水装置应装有一根设阀门的泄水管，以备需要时为每批混凝土拌合料加水量作调整。</w:t>
      </w:r>
    </w:p>
    <w:p>
      <w:pPr>
        <w:pStyle w:val="1280"/>
        <w:ind w:firstLine="440"/>
        <w:rPr>
          <w:rFonts w:ascii="宋体"/>
        </w:rPr>
      </w:pPr>
      <w:r>
        <w:rPr>
          <w:rFonts w:ascii="宋体"/>
        </w:rPr>
        <w:t>任何一种可能使用的外加剂应分别在定量器中称量，然后再与水一起加入混合料中。</w:t>
      </w:r>
    </w:p>
    <w:p>
      <w:pPr>
        <w:pStyle w:val="1280"/>
        <w:ind w:firstLine="440"/>
        <w:rPr>
          <w:rFonts w:ascii="宋体"/>
        </w:rPr>
      </w:pPr>
      <w:r>
        <w:rPr>
          <w:rFonts w:ascii="宋体"/>
        </w:rPr>
        <w:t>搅拌前，所有搅拌和配料装置应保持清洁和干净，无混凝土和水泥结垢。</w:t>
      </w:r>
    </w:p>
    <w:p>
      <w:pPr>
        <w:pStyle w:val="1280"/>
        <w:ind w:firstLine="440"/>
        <w:rPr>
          <w:rFonts w:ascii="宋体"/>
        </w:rPr>
      </w:pPr>
      <w:r>
        <w:rPr>
          <w:rFonts w:ascii="宋体"/>
        </w:rPr>
        <w:t>项目监理可能在中间阶段要求做试配比，在这以前，承包商应保证其称量设备、量水装置和外加剂配量器的精度，配备必要的法码、容器和设备，并在项目监理在场的情况下，要对各种不同的量测仪器进行检验和校正。</w:t>
      </w:r>
    </w:p>
    <w:p>
      <w:pPr>
        <w:pStyle w:val="1284"/>
        <w:outlineLvl w:val="0"/>
        <w:rPr>
          <w:rFonts w:ascii="宋体" w:hAnsi="宋体"/>
        </w:rPr>
      </w:pPr>
      <w:bookmarkStart w:id="2805" w:name="_Toc385007717"/>
      <w:bookmarkStart w:id="2806" w:name="_Toc385008513"/>
      <w:bookmarkStart w:id="2807" w:name="_Toc385012675"/>
      <w:bookmarkStart w:id="2808" w:name="_Toc389234176"/>
      <w:bookmarkStart w:id="2809" w:name="_Toc393081127"/>
      <w:bookmarkStart w:id="2810" w:name="_Toc397479578"/>
      <w:bookmarkStart w:id="2811" w:name="_Toc397479905"/>
      <w:bookmarkStart w:id="2812" w:name="_Toc397481627"/>
      <w:bookmarkStart w:id="2813" w:name="_Toc397485696"/>
      <w:bookmarkStart w:id="2814" w:name="_Toc398083784"/>
      <w:bookmarkStart w:id="2815" w:name="_Toc16242391"/>
      <w:bookmarkStart w:id="2816" w:name="_Toc43107572"/>
      <w:bookmarkStart w:id="2817" w:name="_Toc266662959"/>
      <w:bookmarkStart w:id="2818" w:name="_Toc320555421"/>
      <w:bookmarkStart w:id="2819" w:name="_Toc517382560"/>
      <w:bookmarkStart w:id="2820" w:name="_Toc518376613"/>
      <w:bookmarkStart w:id="2821" w:name="_Toc521491935"/>
      <w:bookmarkStart w:id="2822" w:name="_Toc521492792"/>
      <w:bookmarkStart w:id="2823" w:name="_Toc521493466"/>
      <w:bookmarkStart w:id="2824" w:name="_Toc106883118"/>
      <w:r>
        <w:rPr>
          <w:rFonts w:ascii="宋体" w:hAnsi="宋体"/>
        </w:rPr>
        <w:t>3.4.8</w:t>
      </w:r>
      <w:r>
        <w:rPr>
          <w:rFonts w:hint="eastAsia" w:ascii="宋体" w:hAnsi="宋体"/>
        </w:rPr>
        <w:t xml:space="preserve"> </w:t>
      </w:r>
      <w:r>
        <w:rPr>
          <w:rFonts w:ascii="宋体" w:hAnsi="宋体"/>
        </w:rPr>
        <w:t>混凝土搅拌</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1280"/>
        <w:ind w:firstLine="440"/>
        <w:rPr>
          <w:rFonts w:ascii="宋体"/>
        </w:rPr>
      </w:pPr>
      <w:r>
        <w:rPr>
          <w:rFonts w:ascii="宋体"/>
        </w:rPr>
        <w:t>在现场搅拌混凝土时，承包商应将经项目监理和业主认可的混凝土配合比换算成每一次搅拌的各种材料的实际用量，用下料牌将这些材料用量标明并悬挂在搅拌机上。施工人员必须严格按下料牌投料。如果施工人员不按下料牌投料时，项目监理有权利要求重新再做。</w:t>
      </w:r>
    </w:p>
    <w:p>
      <w:pPr>
        <w:pStyle w:val="1280"/>
        <w:ind w:firstLine="440"/>
        <w:rPr>
          <w:rFonts w:ascii="宋体"/>
        </w:rPr>
      </w:pPr>
      <w:r>
        <w:rPr>
          <w:rFonts w:ascii="宋体"/>
        </w:rPr>
        <w:t>混凝土的搅拌应采用机械搅拌施工，除非项目监理另作安排。每盘混凝土的搅拌需连续搅拌至混合物均匀拌和，以及其颜色和稠度均匀为止。施工工地宜有备用的搅拌机和发电机。</w:t>
      </w:r>
    </w:p>
    <w:p>
      <w:pPr>
        <w:pStyle w:val="1280"/>
        <w:ind w:firstLine="440"/>
        <w:rPr>
          <w:rFonts w:ascii="宋体"/>
        </w:rPr>
      </w:pPr>
      <w:r>
        <w:rPr>
          <w:rFonts w:ascii="宋体"/>
        </w:rPr>
        <w:t>项目监理和业主书面批准的外加剂通过自动计量的装置加入到拌合料中，这种计量装置仪，供计量外加剂的水溶液，外加剂应事先按规定的比例和水调制而成，并取得项目监理和业主的批准。</w:t>
      </w:r>
    </w:p>
    <w:p>
      <w:pPr>
        <w:pStyle w:val="1280"/>
        <w:ind w:firstLine="440"/>
        <w:rPr>
          <w:rFonts w:ascii="宋体"/>
        </w:rPr>
      </w:pPr>
      <w:r>
        <w:rPr>
          <w:rFonts w:ascii="宋体"/>
        </w:rPr>
        <w:t>承包商应特别注意：保证在每盘混凝土卸料后，拌和机中不留有剩余材料，并须在每次浇筑混凝土工作完成后或改用不同牌号的水泥时，均应立即将拌合机转鼓清洗干净，并事先将清洗除垢的方法提交项目监理和业主批准。</w:t>
      </w:r>
    </w:p>
    <w:p>
      <w:pPr>
        <w:pStyle w:val="1280"/>
        <w:ind w:firstLine="440"/>
        <w:rPr>
          <w:rFonts w:ascii="宋体"/>
        </w:rPr>
      </w:pPr>
      <w:r>
        <w:rPr>
          <w:rFonts w:ascii="宋体"/>
        </w:rPr>
        <w:t>当用干净的拌合机开始工作时，承包商应向项目监理和业主提交使细骨料和水泥能先粘附在滚筒上的方法供审批。</w:t>
      </w:r>
    </w:p>
    <w:p>
      <w:pPr>
        <w:pStyle w:val="1280"/>
        <w:ind w:firstLine="440"/>
        <w:rPr>
          <w:rFonts w:ascii="宋体"/>
        </w:rPr>
      </w:pPr>
      <w:r>
        <w:rPr>
          <w:rFonts w:ascii="宋体"/>
        </w:rPr>
        <w:t>在每天开始浇筑混凝土前，以及需要在前一天有间断浇筑情况下，应测定骨料的天然含水量，以确定或调整每批混合料中的加水量，使混凝土搅拌的水灰比保持批准的正确值，承包商还应对每批骨料的含水量确定一个适当的允许量。</w:t>
      </w:r>
    </w:p>
    <w:p>
      <w:pPr>
        <w:pStyle w:val="1280"/>
        <w:ind w:firstLine="440"/>
        <w:rPr>
          <w:rFonts w:ascii="宋体"/>
        </w:rPr>
      </w:pPr>
      <w:r>
        <w:rPr>
          <w:rFonts w:ascii="宋体"/>
        </w:rPr>
        <w:t>承包商应提交项目监理一份上一个工作日浇筑每种强度混凝土的日报表，记录搅拌的盘数、浇筑混凝土的总体积和浇筑部位、报废或不合格的盘数，以及每盘所用水泥和外加剂的重量等。</w:t>
      </w:r>
    </w:p>
    <w:p>
      <w:pPr>
        <w:pStyle w:val="1280"/>
        <w:ind w:firstLine="440"/>
        <w:rPr>
          <w:rFonts w:ascii="宋体"/>
        </w:rPr>
      </w:pPr>
      <w:r>
        <w:rPr>
          <w:rFonts w:ascii="宋体"/>
        </w:rPr>
        <w:t>除非另有规定，否则混凝土的搅拌应按下表3-4-1的要求进行：</w:t>
      </w:r>
    </w:p>
    <w:p>
      <w:pPr>
        <w:pStyle w:val="1286"/>
        <w:rPr>
          <w:rFonts w:ascii="宋体" w:hAnsi="宋体"/>
          <w:color w:val="auto"/>
        </w:rPr>
      </w:pPr>
      <w:r>
        <w:rPr>
          <w:rFonts w:hint="eastAsia" w:ascii="宋体" w:hAnsi="宋体"/>
          <w:color w:val="auto"/>
        </w:rPr>
        <w:t xml:space="preserve"> </w:t>
      </w:r>
      <w:r>
        <w:rPr>
          <w:rFonts w:ascii="宋体" w:hAnsi="宋体"/>
          <w:color w:val="auto"/>
        </w:rPr>
        <w:t xml:space="preserve">                                                                               表3-4-1</w:t>
      </w:r>
    </w:p>
    <w:tbl>
      <w:tblPr>
        <w:tblStyle w:val="77"/>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42" w:type="dxa"/>
          <w:bottom w:w="0" w:type="dxa"/>
          <w:right w:w="142" w:type="dxa"/>
        </w:tblCellMar>
      </w:tblPr>
      <w:tblGrid>
        <w:gridCol w:w="1082"/>
        <w:gridCol w:w="1418"/>
        <w:gridCol w:w="2693"/>
        <w:gridCol w:w="1276"/>
        <w:gridCol w:w="15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42" w:type="dxa"/>
            <w:bottom w:w="0" w:type="dxa"/>
            <w:right w:w="142" w:type="dxa"/>
          </w:tblCellMar>
        </w:tblPrEx>
        <w:trPr>
          <w:trHeight w:val="20" w:hRule="atLeast"/>
          <w:jc w:val="center"/>
        </w:trPr>
        <w:tc>
          <w:tcPr>
            <w:tcW w:w="1082" w:type="dxa"/>
            <w:vAlign w:val="center"/>
          </w:tcPr>
          <w:p>
            <w:pPr>
              <w:pStyle w:val="1286"/>
              <w:rPr>
                <w:rFonts w:ascii="宋体" w:hAnsi="宋体"/>
                <w:color w:val="auto"/>
              </w:rPr>
            </w:pPr>
            <w:r>
              <w:rPr>
                <w:rFonts w:ascii="宋体" w:hAnsi="宋体"/>
                <w:color w:val="auto"/>
              </w:rPr>
              <w:t>结构部件</w:t>
            </w:r>
          </w:p>
        </w:tc>
        <w:tc>
          <w:tcPr>
            <w:tcW w:w="1418" w:type="dxa"/>
            <w:vAlign w:val="center"/>
          </w:tcPr>
          <w:p>
            <w:pPr>
              <w:pStyle w:val="1286"/>
              <w:rPr>
                <w:rFonts w:ascii="宋体" w:hAnsi="宋体"/>
                <w:color w:val="auto"/>
              </w:rPr>
            </w:pPr>
            <w:r>
              <w:rPr>
                <w:rFonts w:ascii="宋体" w:hAnsi="宋体"/>
                <w:color w:val="auto"/>
              </w:rPr>
              <w:t>平均尺寸(mm)</w:t>
            </w:r>
          </w:p>
        </w:tc>
        <w:tc>
          <w:tcPr>
            <w:tcW w:w="2693" w:type="dxa"/>
            <w:vAlign w:val="center"/>
          </w:tcPr>
          <w:p>
            <w:pPr>
              <w:pStyle w:val="1286"/>
              <w:rPr>
                <w:rFonts w:ascii="宋体" w:hAnsi="宋体"/>
                <w:color w:val="auto"/>
              </w:rPr>
            </w:pPr>
            <w:r>
              <w:rPr>
                <w:rFonts w:ascii="宋体" w:hAnsi="宋体"/>
                <w:color w:val="auto"/>
              </w:rPr>
              <w:t>最小28天压缩压缩强度</w:t>
            </w:r>
            <w:r>
              <w:rPr>
                <w:rFonts w:hint="eastAsia" w:ascii="宋体" w:hAnsi="宋体"/>
                <w:color w:val="auto"/>
              </w:rPr>
              <w:t>（</w:t>
            </w:r>
            <w:r>
              <w:rPr>
                <w:rFonts w:ascii="宋体" w:hAnsi="宋体"/>
                <w:color w:val="auto"/>
              </w:rPr>
              <w:t>MPa</w:t>
            </w:r>
            <w:r>
              <w:rPr>
                <w:rFonts w:hint="eastAsia" w:ascii="宋体" w:hAnsi="宋体"/>
                <w:color w:val="auto"/>
              </w:rPr>
              <w:t>）</w:t>
            </w:r>
          </w:p>
        </w:tc>
        <w:tc>
          <w:tcPr>
            <w:tcW w:w="1276" w:type="dxa"/>
            <w:vAlign w:val="center"/>
          </w:tcPr>
          <w:p>
            <w:pPr>
              <w:pStyle w:val="1286"/>
              <w:rPr>
                <w:rFonts w:ascii="宋体" w:hAnsi="宋体"/>
                <w:color w:val="auto"/>
              </w:rPr>
            </w:pPr>
            <w:r>
              <w:rPr>
                <w:rFonts w:ascii="宋体" w:hAnsi="宋体"/>
                <w:color w:val="auto"/>
              </w:rPr>
              <w:t>坍落度(mm)</w:t>
            </w:r>
          </w:p>
        </w:tc>
        <w:tc>
          <w:tcPr>
            <w:tcW w:w="1582" w:type="dxa"/>
            <w:vAlign w:val="center"/>
          </w:tcPr>
          <w:p>
            <w:pPr>
              <w:pStyle w:val="1286"/>
              <w:rPr>
                <w:rFonts w:ascii="宋体" w:hAnsi="宋体"/>
                <w:color w:val="auto"/>
              </w:rPr>
            </w:pPr>
            <w:r>
              <w:rPr>
                <w:rFonts w:ascii="宋体" w:hAnsi="宋体"/>
                <w:color w:val="auto"/>
              </w:rPr>
              <w:t>空气携带率(%)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42" w:type="dxa"/>
            <w:bottom w:w="0" w:type="dxa"/>
            <w:right w:w="142" w:type="dxa"/>
          </w:tblCellMar>
        </w:tblPrEx>
        <w:trPr>
          <w:trHeight w:val="20" w:hRule="atLeast"/>
          <w:jc w:val="center"/>
        </w:trPr>
        <w:tc>
          <w:tcPr>
            <w:tcW w:w="1082" w:type="dxa"/>
            <w:vAlign w:val="center"/>
          </w:tcPr>
          <w:p>
            <w:pPr>
              <w:pStyle w:val="1286"/>
              <w:rPr>
                <w:rFonts w:ascii="宋体" w:hAnsi="宋体"/>
                <w:color w:val="auto"/>
              </w:rPr>
            </w:pPr>
            <w:r>
              <w:rPr>
                <w:rFonts w:ascii="宋体" w:hAnsi="宋体"/>
                <w:color w:val="auto"/>
              </w:rPr>
              <w:t>人行道板</w:t>
            </w:r>
          </w:p>
        </w:tc>
        <w:tc>
          <w:tcPr>
            <w:tcW w:w="1418" w:type="dxa"/>
            <w:vAlign w:val="center"/>
          </w:tcPr>
          <w:p>
            <w:pPr>
              <w:pStyle w:val="1286"/>
              <w:rPr>
                <w:rFonts w:ascii="宋体" w:hAnsi="宋体"/>
                <w:color w:val="auto"/>
              </w:rPr>
            </w:pPr>
            <w:r>
              <w:rPr>
                <w:rFonts w:ascii="宋体" w:hAnsi="宋体"/>
                <w:color w:val="auto"/>
              </w:rPr>
              <w:t>20</w:t>
            </w:r>
          </w:p>
        </w:tc>
        <w:tc>
          <w:tcPr>
            <w:tcW w:w="2693" w:type="dxa"/>
            <w:vAlign w:val="center"/>
          </w:tcPr>
          <w:p>
            <w:pPr>
              <w:pStyle w:val="1286"/>
              <w:rPr>
                <w:rFonts w:ascii="宋体" w:hAnsi="宋体"/>
                <w:color w:val="auto"/>
              </w:rPr>
            </w:pPr>
            <w:r>
              <w:rPr>
                <w:rFonts w:ascii="宋体" w:hAnsi="宋体"/>
                <w:color w:val="auto"/>
              </w:rPr>
              <w:t>25</w:t>
            </w:r>
          </w:p>
        </w:tc>
        <w:tc>
          <w:tcPr>
            <w:tcW w:w="1276" w:type="dxa"/>
            <w:vAlign w:val="center"/>
          </w:tcPr>
          <w:p>
            <w:pPr>
              <w:pStyle w:val="1286"/>
              <w:rPr>
                <w:rFonts w:ascii="宋体" w:hAnsi="宋体"/>
                <w:color w:val="auto"/>
              </w:rPr>
            </w:pPr>
            <w:r>
              <w:rPr>
                <w:rFonts w:ascii="宋体" w:hAnsi="宋体"/>
                <w:color w:val="auto"/>
              </w:rPr>
              <w:t>25</w:t>
            </w:r>
            <w:r>
              <w:rPr>
                <w:rFonts w:ascii="宋体" w:hAnsi="宋体"/>
                <w:color w:val="auto"/>
              </w:rPr>
              <w:sym w:font="Symbol" w:char="F07E"/>
            </w:r>
            <w:r>
              <w:rPr>
                <w:rFonts w:ascii="宋体" w:hAnsi="宋体"/>
                <w:color w:val="auto"/>
              </w:rPr>
              <w:t>75</w:t>
            </w:r>
          </w:p>
        </w:tc>
        <w:tc>
          <w:tcPr>
            <w:tcW w:w="1582" w:type="dxa"/>
            <w:vAlign w:val="center"/>
          </w:tcPr>
          <w:p>
            <w:pPr>
              <w:pStyle w:val="1286"/>
              <w:rPr>
                <w:rFonts w:ascii="宋体" w:hAnsi="宋体"/>
                <w:color w:val="auto"/>
              </w:rPr>
            </w:pPr>
            <w:r>
              <w:rPr>
                <w:rFonts w:ascii="宋体" w:hAnsi="宋体"/>
                <w:color w:val="auto"/>
              </w:rPr>
              <w:t>5</w:t>
            </w:r>
            <w:r>
              <w:rPr>
                <w:rFonts w:ascii="宋体" w:hAnsi="宋体"/>
                <w:color w:val="auto"/>
              </w:rPr>
              <w:sym w:font="Symbol" w:char="F07E"/>
            </w:r>
            <w:r>
              <w:rPr>
                <w:rFonts w:ascii="宋体" w:hAnsi="宋体"/>
                <w:color w:val="auto"/>
              </w:rPr>
              <w:t>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42" w:type="dxa"/>
            <w:bottom w:w="0" w:type="dxa"/>
            <w:right w:w="142" w:type="dxa"/>
          </w:tblCellMar>
        </w:tblPrEx>
        <w:trPr>
          <w:trHeight w:val="20" w:hRule="atLeast"/>
          <w:jc w:val="center"/>
        </w:trPr>
        <w:tc>
          <w:tcPr>
            <w:tcW w:w="1082" w:type="dxa"/>
            <w:vAlign w:val="center"/>
          </w:tcPr>
          <w:p>
            <w:pPr>
              <w:pStyle w:val="1286"/>
              <w:rPr>
                <w:rFonts w:ascii="宋体" w:hAnsi="宋体"/>
                <w:color w:val="auto"/>
              </w:rPr>
            </w:pPr>
            <w:r>
              <w:rPr>
                <w:rFonts w:ascii="宋体" w:hAnsi="宋体"/>
                <w:color w:val="auto"/>
              </w:rPr>
              <w:t>预制件</w:t>
            </w:r>
          </w:p>
        </w:tc>
        <w:tc>
          <w:tcPr>
            <w:tcW w:w="1418" w:type="dxa"/>
            <w:vAlign w:val="center"/>
          </w:tcPr>
          <w:p>
            <w:pPr>
              <w:pStyle w:val="1286"/>
              <w:rPr>
                <w:rFonts w:ascii="宋体" w:hAnsi="宋体"/>
                <w:color w:val="auto"/>
              </w:rPr>
            </w:pPr>
            <w:r>
              <w:rPr>
                <w:rFonts w:ascii="宋体" w:hAnsi="宋体"/>
                <w:color w:val="auto"/>
              </w:rPr>
              <w:t>20</w:t>
            </w:r>
          </w:p>
        </w:tc>
        <w:tc>
          <w:tcPr>
            <w:tcW w:w="2693" w:type="dxa"/>
            <w:vAlign w:val="center"/>
          </w:tcPr>
          <w:p>
            <w:pPr>
              <w:pStyle w:val="1286"/>
              <w:rPr>
                <w:rFonts w:ascii="宋体" w:hAnsi="宋体"/>
                <w:color w:val="auto"/>
              </w:rPr>
            </w:pPr>
            <w:r>
              <w:rPr>
                <w:rFonts w:ascii="宋体" w:hAnsi="宋体"/>
                <w:color w:val="auto"/>
              </w:rPr>
              <w:t>35</w:t>
            </w:r>
          </w:p>
        </w:tc>
        <w:tc>
          <w:tcPr>
            <w:tcW w:w="1276" w:type="dxa"/>
            <w:vAlign w:val="center"/>
          </w:tcPr>
          <w:p>
            <w:pPr>
              <w:pStyle w:val="1286"/>
              <w:rPr>
                <w:rFonts w:ascii="宋体" w:hAnsi="宋体"/>
                <w:color w:val="auto"/>
              </w:rPr>
            </w:pPr>
            <w:r>
              <w:rPr>
                <w:rFonts w:ascii="宋体" w:hAnsi="宋体"/>
                <w:color w:val="auto"/>
              </w:rPr>
              <w:t>75</w:t>
            </w:r>
          </w:p>
        </w:tc>
        <w:tc>
          <w:tcPr>
            <w:tcW w:w="1582" w:type="dxa"/>
            <w:vAlign w:val="center"/>
          </w:tcPr>
          <w:p>
            <w:pPr>
              <w:pStyle w:val="1286"/>
              <w:rPr>
                <w:rFonts w:ascii="宋体" w:hAnsi="宋体"/>
                <w:color w:val="auto"/>
              </w:rPr>
            </w:pPr>
            <w:r>
              <w:rPr>
                <w:rFonts w:ascii="宋体" w:hAnsi="宋体"/>
                <w:color w:val="auto"/>
              </w:rPr>
              <w:t>4</w:t>
            </w:r>
            <w:r>
              <w:rPr>
                <w:rFonts w:ascii="宋体" w:hAnsi="宋体"/>
                <w:color w:val="auto"/>
              </w:rPr>
              <w:sym w:font="Symbol" w:char="F07E"/>
            </w:r>
            <w:r>
              <w:rPr>
                <w:rFonts w:ascii="宋体" w:hAnsi="宋体"/>
                <w:color w:val="auto"/>
              </w:rPr>
              <w:t>6</w:t>
            </w:r>
          </w:p>
        </w:tc>
      </w:tr>
    </w:tbl>
    <w:p>
      <w:pPr>
        <w:pStyle w:val="1284"/>
        <w:rPr>
          <w:rFonts w:ascii="宋体" w:hAnsi="宋体"/>
        </w:rPr>
      </w:pPr>
      <w:bookmarkStart w:id="2825" w:name="_Toc266662960"/>
      <w:bookmarkStart w:id="2826" w:name="_Toc320555422"/>
      <w:bookmarkStart w:id="2827" w:name="_Toc517382561"/>
      <w:bookmarkStart w:id="2828" w:name="_Toc518376614"/>
      <w:bookmarkStart w:id="2829" w:name="_Toc521491936"/>
      <w:bookmarkStart w:id="2830" w:name="_Toc521492793"/>
      <w:bookmarkStart w:id="2831" w:name="_Toc521493467"/>
      <w:bookmarkStart w:id="2832" w:name="_Toc106883119"/>
      <w:r>
        <w:rPr>
          <w:rFonts w:ascii="宋体" w:hAnsi="宋体"/>
        </w:rPr>
        <w:t>3.4.9 混凝土的运输</w:t>
      </w:r>
      <w:bookmarkEnd w:id="2825"/>
      <w:bookmarkEnd w:id="2826"/>
      <w:bookmarkEnd w:id="2827"/>
      <w:bookmarkEnd w:id="2828"/>
      <w:bookmarkEnd w:id="2829"/>
      <w:bookmarkEnd w:id="2830"/>
      <w:bookmarkEnd w:id="2831"/>
      <w:bookmarkEnd w:id="2832"/>
    </w:p>
    <w:p>
      <w:pPr>
        <w:pStyle w:val="1280"/>
        <w:ind w:firstLine="440"/>
        <w:rPr>
          <w:rFonts w:ascii="宋体"/>
        </w:rPr>
      </w:pPr>
      <w:r>
        <w:rPr>
          <w:rFonts w:ascii="宋体"/>
        </w:rPr>
        <w:t>一旦混凝土搅拌成功，承包商应负责尽快应采用防止产生离析或干燥的运输方式将混凝土从搅拌现场送往工程中浇筑的部位。同时，保证混凝土在浇筑时所要求的和易性。在任何情况下，如果离析依然发生时，则混合料应重拌或报废。</w:t>
      </w:r>
    </w:p>
    <w:p>
      <w:pPr>
        <w:pStyle w:val="1280"/>
        <w:ind w:firstLine="440"/>
        <w:rPr>
          <w:rFonts w:ascii="宋体"/>
        </w:rPr>
      </w:pPr>
      <w:r>
        <w:rPr>
          <w:rFonts w:ascii="宋体"/>
        </w:rPr>
        <w:t>承包商应确保运送混凝土的车辆或容器为不漏浆、不吸水的，并在运输过程中防止曝晒、雨淋和受冻，也不应装载过满，以免水泥浆溢出。</w:t>
      </w:r>
    </w:p>
    <w:p>
      <w:pPr>
        <w:pStyle w:val="1280"/>
        <w:ind w:firstLine="440"/>
        <w:rPr>
          <w:rFonts w:ascii="宋体"/>
        </w:rPr>
      </w:pPr>
      <w:r>
        <w:rPr>
          <w:rFonts w:ascii="宋体"/>
        </w:rPr>
        <w:t>混凝土从搅拌机中卸出至筑完毕的时间间隔，应按</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中的有关要求和</w:t>
      </w:r>
      <w:r>
        <w:rPr>
          <w:rFonts w:hint="eastAsia" w:ascii="宋体"/>
        </w:rPr>
        <w:t>《水工混凝土施工规范》（</w:t>
      </w:r>
      <w:r>
        <w:rPr>
          <w:rFonts w:ascii="宋体"/>
        </w:rPr>
        <w:t>DL/T</w:t>
      </w:r>
      <w:r>
        <w:rPr>
          <w:rFonts w:hint="eastAsia" w:ascii="宋体"/>
        </w:rPr>
        <w:t xml:space="preserve"> </w:t>
      </w:r>
      <w:r>
        <w:rPr>
          <w:rFonts w:ascii="宋体"/>
        </w:rPr>
        <w:t>5144-2015</w:t>
      </w:r>
      <w:r>
        <w:rPr>
          <w:rFonts w:hint="eastAsia" w:ascii="宋体"/>
        </w:rPr>
        <w:t>）</w:t>
      </w:r>
      <w:r>
        <w:rPr>
          <w:rFonts w:ascii="宋体"/>
        </w:rPr>
        <w:t>中7.2条执行。</w:t>
      </w:r>
    </w:p>
    <w:p>
      <w:pPr>
        <w:pStyle w:val="1284"/>
        <w:outlineLvl w:val="0"/>
        <w:rPr>
          <w:rFonts w:ascii="宋体" w:hAnsi="宋体"/>
        </w:rPr>
      </w:pPr>
      <w:bookmarkStart w:id="2833" w:name="_Toc266662961"/>
      <w:bookmarkStart w:id="2834" w:name="_Toc320555423"/>
      <w:bookmarkStart w:id="2835" w:name="_Toc517382562"/>
      <w:bookmarkStart w:id="2836" w:name="_Toc518376615"/>
      <w:bookmarkStart w:id="2837" w:name="_Toc521491937"/>
      <w:bookmarkStart w:id="2838" w:name="_Toc521492794"/>
      <w:bookmarkStart w:id="2839" w:name="_Toc521493468"/>
      <w:bookmarkStart w:id="2840" w:name="_Toc106883120"/>
      <w:r>
        <w:rPr>
          <w:rFonts w:ascii="宋体" w:hAnsi="宋体"/>
        </w:rPr>
        <w:t>3.4.10 浇筑混凝土的准备</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833"/>
      <w:bookmarkEnd w:id="2834"/>
      <w:bookmarkEnd w:id="2835"/>
      <w:bookmarkEnd w:id="2836"/>
      <w:bookmarkEnd w:id="2837"/>
      <w:bookmarkEnd w:id="2838"/>
      <w:bookmarkEnd w:id="2839"/>
      <w:bookmarkEnd w:id="2840"/>
    </w:p>
    <w:p>
      <w:pPr>
        <w:pStyle w:val="1280"/>
        <w:ind w:firstLine="440"/>
        <w:rPr>
          <w:rFonts w:ascii="宋体"/>
        </w:rPr>
      </w:pPr>
      <w:r>
        <w:rPr>
          <w:rFonts w:ascii="宋体"/>
        </w:rPr>
        <w:t>开挖土方完成并对地基按设计标高和轴线进行校正后，在浇筑混凝土之前，承包商应在基础表面或先浇好的垫层(可能是混凝土)表面去除所有油污、松散的石块碎片、土壤、泥浆、垃圾以及其它杂质和积水(水下浇筑混凝土除外)。并对模板、钢筋上的污物、泥土和油渍等清除干净。混凝土的木模板应加以湿润，但不允许留有积水。</w:t>
      </w:r>
    </w:p>
    <w:p>
      <w:pPr>
        <w:pStyle w:val="1280"/>
        <w:ind w:firstLine="440"/>
        <w:rPr>
          <w:rFonts w:ascii="宋体"/>
        </w:rPr>
      </w:pPr>
      <w:r>
        <w:rPr>
          <w:rFonts w:ascii="宋体"/>
        </w:rPr>
        <w:t>若混凝土必须在原有混凝土结构上作二次浇筑，该接触面应视为施工缝，并应按规定的相关条款对原有混凝土表面作适当处理。</w:t>
      </w:r>
    </w:p>
    <w:p>
      <w:pPr>
        <w:pStyle w:val="1284"/>
        <w:outlineLvl w:val="0"/>
        <w:rPr>
          <w:rFonts w:ascii="宋体" w:hAnsi="宋体"/>
        </w:rPr>
      </w:pPr>
      <w:bookmarkStart w:id="2841" w:name="_Toc385007721"/>
      <w:bookmarkStart w:id="2842" w:name="_Toc385008517"/>
      <w:bookmarkStart w:id="2843" w:name="_Toc385012679"/>
      <w:bookmarkStart w:id="2844" w:name="_Toc389234180"/>
      <w:bookmarkStart w:id="2845" w:name="_Toc393081131"/>
      <w:bookmarkStart w:id="2846" w:name="_Toc397479582"/>
      <w:bookmarkStart w:id="2847" w:name="_Toc397479909"/>
      <w:bookmarkStart w:id="2848" w:name="_Toc397481631"/>
      <w:bookmarkStart w:id="2849" w:name="_Toc397485700"/>
      <w:bookmarkStart w:id="2850" w:name="_Toc398083788"/>
      <w:bookmarkStart w:id="2851" w:name="_Toc16242395"/>
      <w:bookmarkStart w:id="2852" w:name="_Toc43107576"/>
      <w:bookmarkStart w:id="2853" w:name="_Toc164502154"/>
      <w:bookmarkStart w:id="2854" w:name="_Toc266662962"/>
      <w:bookmarkStart w:id="2855" w:name="_Toc320555424"/>
      <w:bookmarkStart w:id="2856" w:name="_Toc517382563"/>
      <w:bookmarkStart w:id="2857" w:name="_Toc518376616"/>
      <w:bookmarkStart w:id="2858" w:name="_Toc521491938"/>
      <w:bookmarkStart w:id="2859" w:name="_Toc521492795"/>
      <w:bookmarkStart w:id="2860" w:name="_Toc521493469"/>
      <w:bookmarkStart w:id="2861" w:name="_Toc106883121"/>
      <w:r>
        <w:rPr>
          <w:rFonts w:ascii="宋体" w:hAnsi="宋体"/>
        </w:rPr>
        <w:t>3.4.11 项目监理的检查</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1280"/>
        <w:ind w:firstLine="440"/>
        <w:rPr>
          <w:rFonts w:ascii="宋体"/>
        </w:rPr>
      </w:pPr>
      <w:r>
        <w:rPr>
          <w:rFonts w:ascii="宋体"/>
        </w:rPr>
        <w:t>浇筑混凝土的基础表面、模板和钢筋及隐蔽工程，须经项目监理检查并批准后，才允许开始浇筑混凝土和预拌混凝土的工作。</w:t>
      </w:r>
    </w:p>
    <w:p>
      <w:pPr>
        <w:pStyle w:val="1284"/>
        <w:outlineLvl w:val="0"/>
        <w:rPr>
          <w:rFonts w:ascii="宋体" w:hAnsi="宋体"/>
        </w:rPr>
      </w:pPr>
      <w:bookmarkStart w:id="2862" w:name="_Toc385007723"/>
      <w:bookmarkStart w:id="2863" w:name="_Toc385008519"/>
      <w:bookmarkStart w:id="2864" w:name="_Toc385012681"/>
      <w:bookmarkStart w:id="2865" w:name="_Toc389234182"/>
      <w:bookmarkStart w:id="2866" w:name="_Toc393081133"/>
      <w:bookmarkStart w:id="2867" w:name="_Toc397479584"/>
      <w:bookmarkStart w:id="2868" w:name="_Toc397479911"/>
      <w:bookmarkStart w:id="2869" w:name="_Toc397481633"/>
      <w:bookmarkStart w:id="2870" w:name="_Toc397485702"/>
      <w:bookmarkStart w:id="2871" w:name="_Toc398083790"/>
      <w:bookmarkStart w:id="2872" w:name="_Toc16242397"/>
      <w:bookmarkStart w:id="2873" w:name="_Toc43107578"/>
      <w:bookmarkStart w:id="2874" w:name="_Toc164502156"/>
      <w:bookmarkStart w:id="2875" w:name="_Toc266662963"/>
      <w:bookmarkStart w:id="2876" w:name="_Toc320555425"/>
      <w:bookmarkStart w:id="2877" w:name="_Toc517382564"/>
      <w:bookmarkStart w:id="2878" w:name="_Toc518376617"/>
      <w:bookmarkStart w:id="2879" w:name="_Toc521491939"/>
      <w:bookmarkStart w:id="2880" w:name="_Toc521492796"/>
      <w:bookmarkStart w:id="2881" w:name="_Toc521493470"/>
      <w:bookmarkStart w:id="2882" w:name="_Toc106883122"/>
      <w:r>
        <w:rPr>
          <w:rFonts w:ascii="宋体" w:hAnsi="宋体"/>
        </w:rPr>
        <w:t>3.4.12 浇筑混凝土</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1288"/>
        <w:outlineLvl w:val="0"/>
        <w:rPr>
          <w:rFonts w:ascii="宋体" w:hAnsi="宋体"/>
          <w:color w:val="auto"/>
        </w:rPr>
      </w:pPr>
      <w:bookmarkStart w:id="2883" w:name="_Toc164502157"/>
      <w:bookmarkStart w:id="2884" w:name="_Toc320555426"/>
      <w:bookmarkStart w:id="2885" w:name="_Toc353976385"/>
      <w:bookmarkStart w:id="2886" w:name="_Toc106049860"/>
      <w:bookmarkStart w:id="2887" w:name="_Toc106883123"/>
      <w:r>
        <w:rPr>
          <w:rFonts w:ascii="宋体" w:hAnsi="宋体"/>
          <w:color w:val="auto"/>
        </w:rPr>
        <w:t>3.4.12.1 一般要求</w:t>
      </w:r>
      <w:bookmarkEnd w:id="2883"/>
      <w:bookmarkEnd w:id="2884"/>
      <w:bookmarkEnd w:id="2885"/>
      <w:bookmarkEnd w:id="2886"/>
      <w:bookmarkEnd w:id="2887"/>
    </w:p>
    <w:p>
      <w:pPr>
        <w:pStyle w:val="1280"/>
        <w:ind w:firstLine="440"/>
        <w:rPr>
          <w:rFonts w:ascii="宋体"/>
        </w:rPr>
      </w:pPr>
      <w:r>
        <w:rPr>
          <w:rFonts w:ascii="宋体"/>
        </w:rPr>
        <w:t>在工程任何部位浇筑混凝土之前时，承包商应按本技术规范3.4.10条款做好准备工作。混凝土的全部浇筑和震捣工作应在承包商配备的一位能胜任的工作人员的直接监督下进行。承包商应采取适当的步骤以保证钢筋、管道、模板和所有预埋件在浇筑混凝土的过程中均处于正确的位置。承包商应配备一名能胜任的钢筋工和一名木工参加到浇筑混凝土的班组中去。</w:t>
      </w:r>
    </w:p>
    <w:p>
      <w:pPr>
        <w:pStyle w:val="1280"/>
        <w:ind w:firstLine="440"/>
        <w:rPr>
          <w:rFonts w:ascii="宋体"/>
        </w:rPr>
      </w:pPr>
      <w:r>
        <w:rPr>
          <w:rFonts w:ascii="宋体"/>
        </w:rPr>
        <w:t>在施工缝之间的浇灌混凝土时应连续不断地进行，混凝土应在其初凝之前浇筑并振捣密实，无论任何情况，从开始搅拌之时起，其时限不得迟于</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中所规定的时间。如超过</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规定的时间，则应按施工缝处理。</w:t>
      </w:r>
    </w:p>
    <w:p>
      <w:pPr>
        <w:pStyle w:val="1280"/>
        <w:ind w:firstLine="440"/>
        <w:rPr>
          <w:rFonts w:ascii="宋体"/>
        </w:rPr>
      </w:pPr>
      <w:r>
        <w:rPr>
          <w:rFonts w:ascii="宋体"/>
        </w:rPr>
        <w:t>混凝土应小心地在整个工程中按水平层浇筑，并保持一个均匀的高度。不允许混凝土直接滑下或沿着斜面流向其最终浇筑部位，而应该用翻斗车、手推车、下料管或其它机械装置将混凝土送至最终部位。如果做不到这一点，就小心地用铁铲铲入以避免发生离析。</w:t>
      </w:r>
    </w:p>
    <w:p>
      <w:pPr>
        <w:pStyle w:val="1280"/>
        <w:ind w:firstLine="440"/>
        <w:rPr>
          <w:rFonts w:ascii="宋体"/>
        </w:rPr>
      </w:pPr>
      <w:r>
        <w:rPr>
          <w:rFonts w:ascii="宋体"/>
        </w:rPr>
        <w:t>若采用垂直落料时，不允许混凝土撞击设在其出料口和工程任一部位的模板。浇筑混凝土时，应注意防止混凝土的分层离析。混凝土由料斗、漏斗内卸出进行浇筑时，其自由倾落高度一般不宜超过2m，在竖向结构中浇筑混凝土的高度不得超过3m，否则应采用串筒、斜槽、溜管等下料。</w:t>
      </w:r>
    </w:p>
    <w:p>
      <w:pPr>
        <w:pStyle w:val="1280"/>
        <w:ind w:firstLine="440"/>
        <w:rPr>
          <w:rFonts w:ascii="宋体"/>
        </w:rPr>
      </w:pPr>
      <w:r>
        <w:rPr>
          <w:rFonts w:ascii="宋体"/>
        </w:rPr>
        <w:t>料槽和皮带运输机应保证混凝土不产生离析或砂浆流失，并应配备一个垂直的锥形落料管或其它装置，以保证混凝土能垂直地浇入位置。浇筑混凝土时，不得任意加水，不得冲击模板和取掉模板支撑，不得踩踏钢筋，以免钢筋位移，弯曲而影响结构质量。</w:t>
      </w:r>
    </w:p>
    <w:p>
      <w:pPr>
        <w:pStyle w:val="1280"/>
        <w:ind w:firstLine="440"/>
        <w:rPr>
          <w:rFonts w:ascii="宋体"/>
        </w:rPr>
      </w:pPr>
      <w:r>
        <w:rPr>
          <w:rFonts w:ascii="宋体"/>
        </w:rPr>
        <w:t>在混凝土逐层浇高时，每层混凝土应与前一层混凝土在初凝前很好地结合。在混凝土紧贴泥土或其它易于散失或滑泻材料时，承包商应采取措施防止任何这类松散物落到混凝土混合料中。</w:t>
      </w:r>
    </w:p>
    <w:p>
      <w:pPr>
        <w:pStyle w:val="1280"/>
        <w:ind w:firstLine="440"/>
        <w:rPr>
          <w:rFonts w:ascii="宋体"/>
        </w:rPr>
      </w:pPr>
      <w:r>
        <w:rPr>
          <w:rFonts w:ascii="宋体"/>
        </w:rPr>
        <w:t>浇筑竖向结构混凝土前，底部应先填以50～100mm厚与混凝土成分相同的水泥砂浆。混凝土的水灰比和坍落度，应随浇筑高度的上升酌予递减。</w:t>
      </w:r>
    </w:p>
    <w:p>
      <w:pPr>
        <w:pStyle w:val="1280"/>
        <w:ind w:firstLine="440"/>
        <w:rPr>
          <w:rFonts w:ascii="宋体"/>
        </w:rPr>
      </w:pPr>
      <w:r>
        <w:rPr>
          <w:rFonts w:ascii="宋体"/>
        </w:rPr>
        <w:t>浇筑混凝土时，应经常观察模板、支架、钢筋、预埋件和预留孔洞的情况，当发现有变形、移位时，应立即停止浇筑，并应在已浇筑的混凝土凝结前修整完好。</w:t>
      </w:r>
    </w:p>
    <w:p>
      <w:pPr>
        <w:pStyle w:val="1280"/>
        <w:ind w:firstLine="440"/>
        <w:rPr>
          <w:rFonts w:ascii="宋体"/>
        </w:rPr>
      </w:pPr>
      <w:r>
        <w:rPr>
          <w:rFonts w:ascii="宋体"/>
        </w:rPr>
        <w:t>在浇筑与柱和墙连成整体的梁和板时，应在柱和墙浇筑完毕后停歇1～1.5h，使混凝土获得初步沉实后，再继续浇筑，以防止接缝处出现裂缝。</w:t>
      </w:r>
    </w:p>
    <w:p>
      <w:pPr>
        <w:pStyle w:val="1280"/>
        <w:ind w:firstLine="440"/>
        <w:rPr>
          <w:rFonts w:ascii="宋体"/>
        </w:rPr>
      </w:pPr>
      <w:r>
        <w:rPr>
          <w:rFonts w:ascii="宋体"/>
        </w:rPr>
        <w:t>梁和板应同时浇筑混凝土。较大尺寸的梁</w:t>
      </w:r>
      <w:r>
        <w:rPr>
          <w:rFonts w:hint="eastAsia" w:ascii="宋体"/>
        </w:rPr>
        <w:t>（</w:t>
      </w:r>
      <w:r>
        <w:rPr>
          <w:rFonts w:ascii="宋体"/>
        </w:rPr>
        <w:t>梁的高度大于1m</w:t>
      </w:r>
      <w:r>
        <w:rPr>
          <w:rFonts w:hint="eastAsia" w:ascii="宋体"/>
        </w:rPr>
        <w:t>）</w:t>
      </w:r>
      <w:r>
        <w:rPr>
          <w:rFonts w:ascii="宋体"/>
        </w:rPr>
        <w:t>、拱和类似的结构，可单独浇筑。但施工缝的设置应符合有关规定。</w:t>
      </w:r>
    </w:p>
    <w:p>
      <w:pPr>
        <w:pStyle w:val="1288"/>
        <w:outlineLvl w:val="0"/>
        <w:rPr>
          <w:rFonts w:ascii="宋体" w:hAnsi="宋体"/>
          <w:color w:val="auto"/>
        </w:rPr>
      </w:pPr>
      <w:bookmarkStart w:id="2888" w:name="_Toc164502158"/>
      <w:bookmarkStart w:id="2889" w:name="_Toc320555427"/>
      <w:bookmarkStart w:id="2890" w:name="_Toc353976386"/>
      <w:bookmarkStart w:id="2891" w:name="_Toc106049861"/>
      <w:bookmarkStart w:id="2892" w:name="_Toc106883124"/>
      <w:r>
        <w:rPr>
          <w:rFonts w:ascii="宋体" w:hAnsi="宋体"/>
          <w:color w:val="auto"/>
        </w:rPr>
        <w:t>3.4.12.2 整体结构的浇筑</w:t>
      </w:r>
      <w:bookmarkEnd w:id="2888"/>
      <w:bookmarkEnd w:id="2889"/>
      <w:bookmarkEnd w:id="2890"/>
      <w:bookmarkEnd w:id="2891"/>
      <w:bookmarkEnd w:id="2892"/>
    </w:p>
    <w:p>
      <w:pPr>
        <w:pStyle w:val="1280"/>
        <w:ind w:firstLine="440"/>
        <w:rPr>
          <w:rFonts w:ascii="宋体"/>
        </w:rPr>
      </w:pPr>
      <w:r>
        <w:rPr>
          <w:rFonts w:ascii="宋体"/>
        </w:rPr>
        <w:t>在地基上浇筑混凝土前，对地基应事先按设计标高和轴线进行校正，并应清除淤泥和杂物；同时注意排除开挖出来的水和开挖地点的流动水，以防冲刷新浇筑的混凝土。</w:t>
      </w:r>
    </w:p>
    <w:p>
      <w:pPr>
        <w:pStyle w:val="1288"/>
        <w:outlineLvl w:val="0"/>
        <w:rPr>
          <w:rFonts w:ascii="宋体" w:hAnsi="宋体"/>
          <w:color w:val="auto"/>
        </w:rPr>
      </w:pPr>
      <w:bookmarkStart w:id="2893" w:name="_Toc385007725"/>
      <w:bookmarkStart w:id="2894" w:name="_Toc385008521"/>
      <w:bookmarkStart w:id="2895" w:name="_Toc385012683"/>
      <w:bookmarkStart w:id="2896" w:name="_Toc389234184"/>
      <w:bookmarkStart w:id="2897" w:name="_Toc393081135"/>
      <w:bookmarkStart w:id="2898" w:name="_Toc397479586"/>
      <w:bookmarkStart w:id="2899" w:name="_Toc397479913"/>
      <w:bookmarkStart w:id="2900" w:name="_Toc397481635"/>
      <w:bookmarkStart w:id="2901" w:name="_Toc397485704"/>
      <w:bookmarkStart w:id="2902" w:name="_Toc398083792"/>
      <w:bookmarkStart w:id="2903" w:name="_Toc16242399"/>
      <w:bookmarkStart w:id="2904" w:name="_Toc43107580"/>
      <w:bookmarkStart w:id="2905" w:name="_Toc164502159"/>
      <w:bookmarkStart w:id="2906" w:name="_Toc320555428"/>
      <w:bookmarkStart w:id="2907" w:name="_Toc353976387"/>
      <w:bookmarkStart w:id="2908" w:name="_Toc106049862"/>
      <w:bookmarkStart w:id="2909" w:name="_Toc106883125"/>
      <w:r>
        <w:rPr>
          <w:rFonts w:ascii="宋体" w:hAnsi="宋体"/>
          <w:color w:val="auto"/>
        </w:rPr>
        <w:t>3.4.12.3 炎热气候浇筑混凝土</w:t>
      </w:r>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1280"/>
        <w:ind w:firstLine="440"/>
        <w:rPr>
          <w:rFonts w:ascii="宋体"/>
        </w:rPr>
      </w:pPr>
      <w:r>
        <w:rPr>
          <w:rFonts w:ascii="宋体"/>
        </w:rPr>
        <w:t>夏季施工时，承包商应采取措施保证混凝土拌合物的温度不超过35</w:t>
      </w:r>
      <w:r>
        <w:rPr>
          <w:rFonts w:hint="eastAsia" w:ascii="宋体" w:cs="宋体"/>
        </w:rPr>
        <w:t>℃</w:t>
      </w:r>
      <w:r>
        <w:rPr>
          <w:rFonts w:ascii="宋体"/>
        </w:rPr>
        <w:t>及凝固时的最高温度不超过70</w:t>
      </w:r>
      <w:r>
        <w:rPr>
          <w:rFonts w:hint="eastAsia" w:ascii="宋体" w:cs="宋体"/>
        </w:rPr>
        <w:t>℃</w:t>
      </w:r>
      <w:r>
        <w:rPr>
          <w:rFonts w:ascii="宋体"/>
        </w:rPr>
        <w:t>，当施工温度在30～35</w:t>
      </w:r>
      <w:r>
        <w:rPr>
          <w:rFonts w:hint="eastAsia" w:ascii="宋体" w:cs="宋体"/>
        </w:rPr>
        <w:t>℃</w:t>
      </w:r>
      <w:r>
        <w:rPr>
          <w:rFonts w:ascii="宋体"/>
        </w:rPr>
        <w:t>时，混凝土的浇筑应按以下规定进行：</w:t>
      </w:r>
    </w:p>
    <w:p>
      <w:pPr>
        <w:pStyle w:val="1280"/>
        <w:ind w:firstLine="440"/>
        <w:rPr>
          <w:rFonts w:ascii="宋体"/>
        </w:rPr>
      </w:pPr>
      <w:r>
        <w:rPr>
          <w:rFonts w:ascii="宋体"/>
        </w:rPr>
        <w:t>应尽量缩短运输、摊铺、振捣等工序时间，浇筑完毕应及时覆盖，洒水养护；</w:t>
      </w:r>
    </w:p>
    <w:p>
      <w:pPr>
        <w:pStyle w:val="1280"/>
        <w:ind w:firstLine="440"/>
        <w:rPr>
          <w:rFonts w:ascii="宋体"/>
        </w:rPr>
      </w:pPr>
      <w:r>
        <w:rPr>
          <w:rFonts w:ascii="宋体"/>
        </w:rPr>
        <w:t>搅拌站应有遮阳棚、模板基层表面，在浇筑混凝土前应洒水湿润；</w:t>
      </w:r>
    </w:p>
    <w:p>
      <w:pPr>
        <w:pStyle w:val="1280"/>
        <w:ind w:firstLine="440"/>
        <w:rPr>
          <w:rFonts w:ascii="宋体"/>
        </w:rPr>
      </w:pPr>
      <w:r>
        <w:rPr>
          <w:rFonts w:ascii="宋体"/>
        </w:rPr>
        <w:t>应注意天气预报，如遇阵雨，应暂停施工；</w:t>
      </w:r>
    </w:p>
    <w:p>
      <w:pPr>
        <w:pStyle w:val="1280"/>
        <w:ind w:firstLine="440"/>
        <w:rPr>
          <w:rFonts w:ascii="宋体"/>
        </w:rPr>
      </w:pPr>
      <w:r>
        <w:rPr>
          <w:rFonts w:ascii="宋体"/>
        </w:rPr>
        <w:t>气温过高时，宜避开中午施工，在项目监理的批准下可在夜间进行。</w:t>
      </w:r>
    </w:p>
    <w:p>
      <w:pPr>
        <w:pStyle w:val="1288"/>
        <w:outlineLvl w:val="0"/>
        <w:rPr>
          <w:rFonts w:ascii="宋体" w:hAnsi="宋体"/>
          <w:color w:val="auto"/>
        </w:rPr>
      </w:pPr>
      <w:bookmarkStart w:id="2910" w:name="_Toc16242400"/>
      <w:bookmarkStart w:id="2911" w:name="_Toc398083793"/>
      <w:bookmarkStart w:id="2912" w:name="_Toc43107581"/>
      <w:bookmarkStart w:id="2913" w:name="_Toc320555429"/>
      <w:bookmarkStart w:id="2914" w:name="_Toc164502160"/>
      <w:bookmarkStart w:id="2915" w:name="_Toc353976388"/>
      <w:bookmarkStart w:id="2916" w:name="_Toc106883126"/>
      <w:bookmarkStart w:id="2917" w:name="_Toc106049863"/>
      <w:bookmarkStart w:id="2918" w:name="_Toc385007726"/>
      <w:bookmarkStart w:id="2919" w:name="_Toc385008522"/>
      <w:bookmarkStart w:id="2920" w:name="_Toc385012684"/>
      <w:bookmarkStart w:id="2921" w:name="_Toc389234185"/>
      <w:bookmarkStart w:id="2922" w:name="_Toc393081136"/>
      <w:bookmarkStart w:id="2923" w:name="_Toc397479587"/>
      <w:bookmarkStart w:id="2924" w:name="_Toc397479914"/>
      <w:bookmarkStart w:id="2925" w:name="_Toc397481636"/>
      <w:bookmarkStart w:id="2926" w:name="_Toc397485705"/>
      <w:r>
        <w:rPr>
          <w:rFonts w:ascii="宋体" w:hAnsi="宋体"/>
          <w:color w:val="auto"/>
        </w:rPr>
        <w:t>3.4.12.4 寒冷气候浇筑混凝土</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1280"/>
        <w:ind w:firstLine="440"/>
        <w:rPr>
          <w:rFonts w:ascii="宋体"/>
        </w:rPr>
      </w:pPr>
      <w:r>
        <w:rPr>
          <w:rFonts w:ascii="宋体"/>
        </w:rPr>
        <w:t>当浇筑时的气温在4</w:t>
      </w:r>
      <w:r>
        <w:rPr>
          <w:rFonts w:hint="eastAsia" w:ascii="宋体" w:cs="宋体"/>
        </w:rPr>
        <w:t>℃</w:t>
      </w:r>
      <w:r>
        <w:rPr>
          <w:rFonts w:ascii="宋体"/>
        </w:rPr>
        <w:t>以下或日平均的最高气温连续5天在5</w:t>
      </w:r>
      <w:r>
        <w:rPr>
          <w:rFonts w:hint="eastAsia" w:ascii="宋体" w:cs="宋体"/>
        </w:rPr>
        <w:t>℃</w:t>
      </w:r>
      <w:r>
        <w:rPr>
          <w:rFonts w:ascii="宋体"/>
        </w:rPr>
        <w:t>以下时，定为寒冷气候。在寒冷气候下浇筑混凝土时需要采取预防措施，以保证浇筑时混凝土的表面温度不低于5</w:t>
      </w:r>
      <w:r>
        <w:rPr>
          <w:rFonts w:hint="eastAsia" w:ascii="宋体" w:cs="宋体"/>
        </w:rPr>
        <w:t>℃</w:t>
      </w:r>
      <w:r>
        <w:rPr>
          <w:rFonts w:ascii="宋体"/>
        </w:rPr>
        <w:t>，并保证至少连续4天周期中保持表面温度在5</w:t>
      </w:r>
      <w:r>
        <w:rPr>
          <w:rFonts w:hint="eastAsia" w:ascii="宋体" w:cs="宋体"/>
        </w:rPr>
        <w:t>℃</w:t>
      </w:r>
      <w:r>
        <w:rPr>
          <w:rFonts w:ascii="宋体"/>
        </w:rPr>
        <w:t>以上。这些措施应遵守以下规定：</w:t>
      </w:r>
    </w:p>
    <w:p>
      <w:pPr>
        <w:pStyle w:val="1280"/>
        <w:ind w:firstLine="440"/>
        <w:rPr>
          <w:rFonts w:ascii="宋体"/>
        </w:rPr>
      </w:pPr>
      <w:r>
        <w:rPr>
          <w:rFonts w:ascii="宋体"/>
        </w:rPr>
        <w:t>严寒天气钢筋焊接一般应在室内进行，如承包商建议在室外焊接，承包商须提交一份关于室外焊接现场的防风、保暖设施细节供项目监理审批，但焊好后接头严禁立即碰到冰雪；</w:t>
      </w:r>
    </w:p>
    <w:p>
      <w:pPr>
        <w:pStyle w:val="1280"/>
        <w:ind w:firstLine="440"/>
        <w:rPr>
          <w:rFonts w:ascii="宋体"/>
        </w:rPr>
      </w:pPr>
      <w:r>
        <w:rPr>
          <w:rFonts w:ascii="宋体"/>
        </w:rPr>
        <w:t>混凝土模板斜支撑不允许直接支在软土层表面；</w:t>
      </w:r>
    </w:p>
    <w:p>
      <w:pPr>
        <w:pStyle w:val="1280"/>
        <w:ind w:firstLine="440"/>
        <w:rPr>
          <w:rFonts w:ascii="宋体"/>
        </w:rPr>
      </w:pPr>
      <w:r>
        <w:rPr>
          <w:rFonts w:ascii="宋体"/>
        </w:rPr>
        <w:t>承包商应采用适于冬季浇筑混凝土的水泥骨料及外加剂，按骨料的含水量进行配比设计，经项目监理批准后方可进行配料、搅拌混凝土。在任何情况下，水泥都不得加热；</w:t>
      </w:r>
    </w:p>
    <w:p>
      <w:pPr>
        <w:pStyle w:val="1280"/>
        <w:ind w:firstLine="440"/>
        <w:rPr>
          <w:rFonts w:ascii="宋体"/>
        </w:rPr>
      </w:pPr>
      <w:r>
        <w:rPr>
          <w:rFonts w:ascii="宋体"/>
        </w:rPr>
        <w:t>加热温度应为：混凝土拌合物不应超过35</w:t>
      </w:r>
      <w:r>
        <w:rPr>
          <w:rFonts w:hint="eastAsia" w:ascii="宋体" w:cs="宋体"/>
        </w:rPr>
        <w:t>℃</w:t>
      </w:r>
      <w:r>
        <w:rPr>
          <w:rFonts w:ascii="宋体"/>
        </w:rPr>
        <w:t>，水不应超过60</w:t>
      </w:r>
      <w:r>
        <w:rPr>
          <w:rFonts w:hint="eastAsia" w:ascii="宋体" w:cs="宋体"/>
        </w:rPr>
        <w:t>℃</w:t>
      </w:r>
      <w:r>
        <w:rPr>
          <w:rFonts w:ascii="宋体"/>
        </w:rPr>
        <w:t>，骨料不应超过40</w:t>
      </w:r>
      <w:r>
        <w:rPr>
          <w:rFonts w:hint="eastAsia" w:ascii="宋体" w:cs="宋体"/>
        </w:rPr>
        <w:t>℃</w:t>
      </w:r>
      <w:r>
        <w:rPr>
          <w:rFonts w:ascii="宋体"/>
        </w:rPr>
        <w:t>，应优先采用水加热的方法，但水泥不应与80</w:t>
      </w:r>
      <w:r>
        <w:rPr>
          <w:rFonts w:hint="eastAsia" w:ascii="宋体" w:cs="宋体"/>
        </w:rPr>
        <w:t>℃</w:t>
      </w:r>
      <w:r>
        <w:rPr>
          <w:rFonts w:ascii="宋体"/>
        </w:rPr>
        <w:t>以上的水直接接触，注意投料顺序，以解决水泥与热水的矛盾。</w:t>
      </w:r>
    </w:p>
    <w:p>
      <w:pPr>
        <w:pStyle w:val="1280"/>
        <w:ind w:firstLine="440"/>
        <w:rPr>
          <w:rFonts w:ascii="宋体"/>
        </w:rPr>
      </w:pPr>
      <w:r>
        <w:rPr>
          <w:rFonts w:ascii="宋体"/>
        </w:rPr>
        <w:t>新浇混凝土的周围应充分遮盖好，保持遮盖部分内的空气温度高于5</w:t>
      </w:r>
      <w:r>
        <w:rPr>
          <w:rFonts w:hint="eastAsia" w:ascii="宋体" w:cs="宋体"/>
        </w:rPr>
        <w:t>℃</w:t>
      </w:r>
      <w:r>
        <w:rPr>
          <w:rFonts w:ascii="宋体"/>
        </w:rPr>
        <w:t>，热气或干燥空气不得直接吹向混凝土表面；</w:t>
      </w:r>
    </w:p>
    <w:p>
      <w:pPr>
        <w:pStyle w:val="1280"/>
        <w:ind w:firstLine="440"/>
        <w:rPr>
          <w:rFonts w:ascii="宋体"/>
        </w:rPr>
      </w:pPr>
      <w:r>
        <w:rPr>
          <w:rFonts w:ascii="宋体"/>
        </w:rPr>
        <w:t>混凝土浇筑时，基层应无冰冻，不积霜雪，模板及钢筋积有霜雪时应清除。混凝土拌合物不得使用带有雪的骨料；</w:t>
      </w:r>
    </w:p>
    <w:p>
      <w:pPr>
        <w:pStyle w:val="1280"/>
        <w:ind w:firstLine="440"/>
        <w:rPr>
          <w:rFonts w:ascii="宋体"/>
        </w:rPr>
      </w:pPr>
      <w:r>
        <w:rPr>
          <w:rFonts w:ascii="宋体"/>
        </w:rPr>
        <w:t>搭设工棚或其它挡风设备。</w:t>
      </w:r>
    </w:p>
    <w:p>
      <w:pPr>
        <w:pStyle w:val="1280"/>
        <w:ind w:firstLine="440"/>
        <w:rPr>
          <w:rFonts w:ascii="宋体"/>
        </w:rPr>
      </w:pPr>
      <w:r>
        <w:rPr>
          <w:rFonts w:ascii="宋体"/>
        </w:rPr>
        <w:t>承包商应密切注意天气预报，以防气温突然下降，遭受寒流及霜冻的袭击，并向项目监理提供建议采用的冬季施工的预防措施、方法细节及估计预防措施可以拆除的时间供项目监理审批。在项目监理对这类建议采用的措施作出批准前，不准在寒冷的天气浇筑混凝土。</w:t>
      </w:r>
    </w:p>
    <w:p>
      <w:pPr>
        <w:pStyle w:val="1288"/>
        <w:outlineLvl w:val="0"/>
        <w:rPr>
          <w:rFonts w:ascii="宋体" w:hAnsi="宋体"/>
          <w:color w:val="auto"/>
        </w:rPr>
      </w:pPr>
      <w:bookmarkStart w:id="2927" w:name="_Toc385007727"/>
      <w:bookmarkStart w:id="2928" w:name="_Toc385008523"/>
      <w:bookmarkStart w:id="2929" w:name="_Toc385012685"/>
      <w:bookmarkStart w:id="2930" w:name="_Toc389234186"/>
      <w:bookmarkStart w:id="2931" w:name="_Toc393081137"/>
      <w:bookmarkStart w:id="2932" w:name="_Toc397479588"/>
      <w:bookmarkStart w:id="2933" w:name="_Toc397479915"/>
      <w:bookmarkStart w:id="2934" w:name="_Toc397481637"/>
      <w:bookmarkStart w:id="2935" w:name="_Toc397485706"/>
      <w:bookmarkStart w:id="2936" w:name="_Toc398083794"/>
      <w:bookmarkStart w:id="2937" w:name="_Toc16242401"/>
      <w:bookmarkStart w:id="2938" w:name="_Toc43107582"/>
      <w:bookmarkStart w:id="2939" w:name="_Toc164502161"/>
      <w:bookmarkStart w:id="2940" w:name="_Toc320555430"/>
      <w:bookmarkStart w:id="2941" w:name="_Toc353976389"/>
      <w:bookmarkStart w:id="2942" w:name="_Toc106049864"/>
      <w:bookmarkStart w:id="2943" w:name="_Toc106883127"/>
      <w:r>
        <w:rPr>
          <w:rFonts w:ascii="宋体" w:hAnsi="宋体"/>
          <w:color w:val="auto"/>
        </w:rPr>
        <w:t>3.4.12.5 水下浇筑混凝土</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1280"/>
        <w:ind w:firstLine="440"/>
        <w:rPr>
          <w:rFonts w:ascii="宋体"/>
        </w:rPr>
      </w:pPr>
      <w:r>
        <w:rPr>
          <w:rFonts w:ascii="宋体"/>
        </w:rPr>
        <w:t>在水下浇筑混凝土以前，承包商应向项目监理提供详细施工方法说明，并得到项目监理的书面批准。在水中浇筑的混凝土只限于用泵灌注方法，或经项目监理批准使用的一种导管浇灌，混凝土导管或泵管底部出口应始终放置在刚浇好的混凝土下面。水下混凝土的浇筑应按照</w:t>
      </w:r>
      <w:r>
        <w:rPr>
          <w:rFonts w:hint="eastAsia" w:ascii="宋体"/>
        </w:rPr>
        <w:t>《水工混凝土施工规范》（</w:t>
      </w:r>
      <w:r>
        <w:rPr>
          <w:rFonts w:ascii="宋体"/>
        </w:rPr>
        <w:t>DL/T</w:t>
      </w:r>
      <w:r>
        <w:rPr>
          <w:rFonts w:hint="eastAsia" w:ascii="宋体"/>
        </w:rPr>
        <w:t xml:space="preserve"> </w:t>
      </w:r>
      <w:r>
        <w:rPr>
          <w:rFonts w:ascii="宋体"/>
        </w:rPr>
        <w:t>5144-2015</w:t>
      </w:r>
      <w:r>
        <w:rPr>
          <w:rFonts w:hint="eastAsia" w:ascii="宋体"/>
        </w:rPr>
        <w:t>）</w:t>
      </w:r>
      <w:r>
        <w:rPr>
          <w:rFonts w:ascii="宋体"/>
        </w:rPr>
        <w:t>中7.3条执行。</w:t>
      </w:r>
    </w:p>
    <w:p>
      <w:pPr>
        <w:pStyle w:val="1284"/>
        <w:outlineLvl w:val="0"/>
        <w:rPr>
          <w:rFonts w:ascii="宋体" w:hAnsi="宋体"/>
        </w:rPr>
      </w:pPr>
      <w:bookmarkStart w:id="2944" w:name="_Toc385007728"/>
      <w:bookmarkStart w:id="2945" w:name="_Toc385008524"/>
      <w:bookmarkStart w:id="2946" w:name="_Toc385012686"/>
      <w:bookmarkStart w:id="2947" w:name="_Toc389234187"/>
      <w:bookmarkStart w:id="2948" w:name="_Toc393081138"/>
      <w:bookmarkStart w:id="2949" w:name="_Toc397479589"/>
      <w:bookmarkStart w:id="2950" w:name="_Toc397479916"/>
      <w:bookmarkStart w:id="2951" w:name="_Toc397481638"/>
      <w:bookmarkStart w:id="2952" w:name="_Toc397485707"/>
      <w:bookmarkStart w:id="2953" w:name="_Toc398083795"/>
      <w:bookmarkStart w:id="2954" w:name="_Toc16242402"/>
      <w:bookmarkStart w:id="2955" w:name="_Toc43107583"/>
      <w:bookmarkStart w:id="2956" w:name="_Toc164502162"/>
      <w:bookmarkStart w:id="2957" w:name="_Toc266662964"/>
      <w:bookmarkStart w:id="2958" w:name="_Toc320555431"/>
      <w:bookmarkStart w:id="2959" w:name="_Toc517382565"/>
      <w:bookmarkStart w:id="2960" w:name="_Toc518376618"/>
      <w:bookmarkStart w:id="2961" w:name="_Toc521491940"/>
      <w:bookmarkStart w:id="2962" w:name="_Toc521492797"/>
      <w:bookmarkStart w:id="2963" w:name="_Toc521493471"/>
      <w:bookmarkStart w:id="2964" w:name="_Toc106883128"/>
      <w:r>
        <w:rPr>
          <w:rFonts w:ascii="宋体" w:hAnsi="宋体"/>
        </w:rPr>
        <w:t>3.4.13 混凝土的振捣</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1280"/>
        <w:ind w:firstLine="440"/>
        <w:rPr>
          <w:rFonts w:ascii="宋体"/>
        </w:rPr>
      </w:pPr>
      <w:r>
        <w:rPr>
          <w:rFonts w:ascii="宋体"/>
        </w:rPr>
        <w:t>混凝土在浇筑过程中须全面捣实，应特别留意钢筋周围、预埋件附近及模板和模子的角隅处的捣实。以制成最大密实度和高强度的混凝土。</w:t>
      </w:r>
    </w:p>
    <w:p>
      <w:pPr>
        <w:pStyle w:val="1280"/>
        <w:ind w:firstLine="440"/>
        <w:rPr>
          <w:rFonts w:ascii="宋体"/>
        </w:rPr>
      </w:pPr>
      <w:r>
        <w:rPr>
          <w:rFonts w:ascii="宋体"/>
        </w:rPr>
        <w:t>除厚度等于或小于150mm的混凝土板可用平板式振动器振捣外，其余现场浇筑的混凝土均需用电动插入式振动器捣实，辅以手工铲平和捣实。同时在任何时候振动器的数量、震幅和功率均应适当，使振捣能正确而迅速地遍扩全部范围，同时现场应备用一定数量的振动器，以备损坏时替换。</w:t>
      </w:r>
    </w:p>
    <w:p>
      <w:pPr>
        <w:pStyle w:val="1280"/>
        <w:ind w:firstLine="440"/>
        <w:rPr>
          <w:rFonts w:ascii="宋体"/>
        </w:rPr>
      </w:pPr>
      <w:r>
        <w:rPr>
          <w:rFonts w:ascii="宋体"/>
        </w:rPr>
        <w:t>插入式振动器应垂直和有一定时间间隔地插入需捣实的混凝土内，当这部分混凝土是在所捣实的混凝土层上时，应将震动器垂直地插入先浇的混凝土层内一定深度，振动器不允许与钢筋和模板碰撞，也不要从混凝土中快速地拨出，而应缓缓地拨出而不留下空穴。振动器不得随意插入或不规则插入混凝土内，也不得引起工程中任何部位的混凝土产生位移。</w:t>
      </w:r>
    </w:p>
    <w:p>
      <w:pPr>
        <w:pStyle w:val="1280"/>
        <w:ind w:firstLine="440"/>
        <w:rPr>
          <w:rFonts w:ascii="宋体"/>
        </w:rPr>
      </w:pPr>
      <w:r>
        <w:rPr>
          <w:rFonts w:ascii="宋体"/>
        </w:rPr>
        <w:t>振动连续时间的长短以混凝土达到要求的密实度而不导致离析为宗旨综合选定。在最终部位的混凝土一经浇筑和捣实后不得再扰动，在未初凝时应充分振捣，以拌合物停止下沉、不再冒气泡并泛出水泥砂浆为准，不宜过振。</w:t>
      </w:r>
    </w:p>
    <w:p>
      <w:pPr>
        <w:pStyle w:val="1284"/>
        <w:outlineLvl w:val="0"/>
        <w:rPr>
          <w:rFonts w:ascii="宋体" w:hAnsi="宋体"/>
        </w:rPr>
      </w:pPr>
      <w:bookmarkStart w:id="2965" w:name="_Toc385007729"/>
      <w:bookmarkStart w:id="2966" w:name="_Toc385008525"/>
      <w:bookmarkStart w:id="2967" w:name="_Toc385012687"/>
      <w:bookmarkStart w:id="2968" w:name="_Toc389234188"/>
      <w:bookmarkStart w:id="2969" w:name="_Toc393081139"/>
      <w:bookmarkStart w:id="2970" w:name="_Toc397479590"/>
      <w:bookmarkStart w:id="2971" w:name="_Toc397479917"/>
      <w:bookmarkStart w:id="2972" w:name="_Toc397481639"/>
      <w:bookmarkStart w:id="2973" w:name="_Toc397485708"/>
      <w:bookmarkStart w:id="2974" w:name="_Toc398083796"/>
      <w:bookmarkStart w:id="2975" w:name="_Toc16242403"/>
      <w:bookmarkStart w:id="2976" w:name="_Toc43107584"/>
      <w:bookmarkStart w:id="2977" w:name="_Toc164502163"/>
      <w:bookmarkStart w:id="2978" w:name="_Toc266662965"/>
      <w:bookmarkStart w:id="2979" w:name="_Toc320555432"/>
      <w:bookmarkStart w:id="2980" w:name="_Toc517382566"/>
      <w:bookmarkStart w:id="2981" w:name="_Toc518376619"/>
      <w:bookmarkStart w:id="2982" w:name="_Toc521491941"/>
      <w:bookmarkStart w:id="2983" w:name="_Toc521492798"/>
      <w:bookmarkStart w:id="2984" w:name="_Toc521493472"/>
      <w:bookmarkStart w:id="2985" w:name="_Toc106883129"/>
      <w:r>
        <w:rPr>
          <w:rFonts w:ascii="宋体" w:hAnsi="宋体"/>
        </w:rPr>
        <w:t>3.4.14 混凝土结构的荷载</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1280"/>
        <w:ind w:firstLine="440"/>
        <w:rPr>
          <w:rFonts w:ascii="宋体"/>
        </w:rPr>
      </w:pPr>
      <w:r>
        <w:rPr>
          <w:rFonts w:ascii="宋体"/>
        </w:rPr>
        <w:t>在混凝土浇筑后的7天内，混凝土结构的任何部分上都不能施加外部荷载，此后若加外部荷载也必须经项目监理的同意，在28天试块抗压强度已经达到的强度结论证实以前，不得施加全部设计荷载。</w:t>
      </w:r>
    </w:p>
    <w:p>
      <w:pPr>
        <w:pStyle w:val="1284"/>
        <w:outlineLvl w:val="0"/>
        <w:rPr>
          <w:rFonts w:ascii="宋体" w:hAnsi="宋体"/>
        </w:rPr>
      </w:pPr>
      <w:bookmarkStart w:id="2986" w:name="_Toc385007730"/>
      <w:bookmarkStart w:id="2987" w:name="_Toc385008526"/>
      <w:bookmarkStart w:id="2988" w:name="_Toc385012688"/>
      <w:bookmarkStart w:id="2989" w:name="_Toc389234189"/>
      <w:bookmarkStart w:id="2990" w:name="_Toc393081140"/>
      <w:bookmarkStart w:id="2991" w:name="_Toc397479591"/>
      <w:bookmarkStart w:id="2992" w:name="_Toc397479918"/>
      <w:bookmarkStart w:id="2993" w:name="_Toc397481640"/>
      <w:bookmarkStart w:id="2994" w:name="_Toc397485709"/>
      <w:bookmarkStart w:id="2995" w:name="_Toc398083797"/>
      <w:bookmarkStart w:id="2996" w:name="_Toc16242404"/>
      <w:bookmarkStart w:id="2997" w:name="_Toc43107585"/>
      <w:bookmarkStart w:id="2998" w:name="_Toc164502164"/>
      <w:bookmarkStart w:id="2999" w:name="_Toc266662966"/>
      <w:bookmarkStart w:id="3000" w:name="_Toc320555433"/>
      <w:bookmarkStart w:id="3001" w:name="_Toc517382567"/>
      <w:bookmarkStart w:id="3002" w:name="_Toc518376620"/>
      <w:bookmarkStart w:id="3003" w:name="_Toc521491942"/>
      <w:bookmarkStart w:id="3004" w:name="_Toc521492799"/>
      <w:bookmarkStart w:id="3005" w:name="_Toc521493473"/>
      <w:bookmarkStart w:id="3006" w:name="_Toc106883130"/>
      <w:r>
        <w:rPr>
          <w:rFonts w:ascii="宋体" w:hAnsi="宋体"/>
        </w:rPr>
        <w:t>3.4.15 混凝土的养护</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1280"/>
        <w:ind w:firstLine="440"/>
        <w:rPr>
          <w:rFonts w:ascii="宋体"/>
        </w:rPr>
      </w:pPr>
      <w:r>
        <w:rPr>
          <w:rFonts w:ascii="宋体"/>
        </w:rPr>
        <w:t>混凝土浇筑完毕，应及时养护。以保护其不受日晒、风吹、冰冻、雨水、流水、温度巨变、污染或机械损伤的影响，保证它有适宜的硬化条件并防止其发生不正常的收缩。养护应根据施工工地情况、天气、混凝土暴露程度而定，在混凝土浇筑以前，承包商必须提出其拟定的养护方法，并得到项目监理的认可。养护应符合下列规定：</w:t>
      </w:r>
    </w:p>
    <w:p>
      <w:pPr>
        <w:pStyle w:val="1280"/>
        <w:ind w:firstLine="440"/>
        <w:rPr>
          <w:rFonts w:ascii="宋体"/>
        </w:rPr>
      </w:pPr>
      <w:r>
        <w:rPr>
          <w:rFonts w:ascii="宋体"/>
        </w:rPr>
        <w:t>宜用草袋、草帘等，在混凝土终凝以后覆盖于其表面，每天均匀洒水，保持潮湿状态；</w:t>
      </w:r>
    </w:p>
    <w:p>
      <w:pPr>
        <w:pStyle w:val="1280"/>
        <w:ind w:firstLine="440"/>
        <w:rPr>
          <w:rFonts w:ascii="宋体"/>
        </w:rPr>
      </w:pPr>
      <w:r>
        <w:rPr>
          <w:rFonts w:ascii="宋体"/>
        </w:rPr>
        <w:t>昼夜温差大的地区，在浇筑后的三天内应采用保湿措施，防止混凝土产生收缩裂缝；</w:t>
      </w:r>
    </w:p>
    <w:p>
      <w:pPr>
        <w:pStyle w:val="1280"/>
        <w:ind w:firstLine="440"/>
        <w:rPr>
          <w:rFonts w:ascii="宋体"/>
        </w:rPr>
      </w:pPr>
      <w:r>
        <w:rPr>
          <w:rFonts w:ascii="宋体"/>
        </w:rPr>
        <w:t>除非经项目监理对薄膜类型和运用方法作了认可，不得使用液体养护薄膜。</w:t>
      </w:r>
    </w:p>
    <w:p>
      <w:pPr>
        <w:pStyle w:val="1284"/>
        <w:outlineLvl w:val="0"/>
        <w:rPr>
          <w:rFonts w:ascii="宋体" w:hAnsi="宋体"/>
        </w:rPr>
      </w:pPr>
      <w:bookmarkStart w:id="3007" w:name="_Toc385007731"/>
      <w:bookmarkStart w:id="3008" w:name="_Toc385008527"/>
      <w:bookmarkStart w:id="3009" w:name="_Toc385012689"/>
      <w:bookmarkStart w:id="3010" w:name="_Toc389234190"/>
      <w:bookmarkStart w:id="3011" w:name="_Toc393081141"/>
      <w:bookmarkStart w:id="3012" w:name="_Toc397479592"/>
      <w:bookmarkStart w:id="3013" w:name="_Toc397479919"/>
      <w:bookmarkStart w:id="3014" w:name="_Toc397481641"/>
      <w:bookmarkStart w:id="3015" w:name="_Toc397485710"/>
      <w:bookmarkStart w:id="3016" w:name="_Toc398083798"/>
      <w:bookmarkStart w:id="3017" w:name="_Toc16242405"/>
      <w:bookmarkStart w:id="3018" w:name="_Toc43107586"/>
      <w:bookmarkStart w:id="3019" w:name="_Toc164502165"/>
      <w:bookmarkStart w:id="3020" w:name="_Toc266662967"/>
      <w:bookmarkStart w:id="3021" w:name="_Toc320555434"/>
      <w:bookmarkStart w:id="3022" w:name="_Toc517382568"/>
      <w:bookmarkStart w:id="3023" w:name="_Toc518376621"/>
      <w:bookmarkStart w:id="3024" w:name="_Toc521491943"/>
      <w:bookmarkStart w:id="3025" w:name="_Toc521492800"/>
      <w:bookmarkStart w:id="3026" w:name="_Toc521493474"/>
      <w:bookmarkStart w:id="3027" w:name="_Toc106883131"/>
      <w:r>
        <w:rPr>
          <w:rFonts w:ascii="宋体" w:hAnsi="宋体"/>
        </w:rPr>
        <w:t>3.4.16 施工缝</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1280"/>
        <w:ind w:firstLine="440"/>
        <w:rPr>
          <w:rFonts w:ascii="宋体"/>
        </w:rPr>
      </w:pPr>
      <w:r>
        <w:rPr>
          <w:rFonts w:ascii="宋体"/>
        </w:rPr>
        <w:t>为了施工方便，在两次浇筑混凝土之间所设的接缝，称为施工缝。施工缝应采取特殊的措施达到与第二次浇筑的混凝土具有连续性。承包商应提出施工缝的位置、形式以及层次的建议供项目监理审批。设计图中任何部位的施工缝应特别重视。</w:t>
      </w:r>
    </w:p>
    <w:p>
      <w:pPr>
        <w:pStyle w:val="1280"/>
        <w:ind w:firstLine="440"/>
        <w:rPr>
          <w:rFonts w:ascii="宋体"/>
        </w:rPr>
      </w:pPr>
      <w:r>
        <w:rPr>
          <w:rFonts w:ascii="宋体"/>
        </w:rPr>
        <w:t>施工缝应按图纸上的要求进行施工，承包商应准备和提供位置图、计划的施工缝、施工布局、收缩缝的预定情况以供项目监理审批。在没有经项目监理的允许或另外注明的情况，施工缝的最大间距应为6m。</w:t>
      </w:r>
    </w:p>
    <w:p>
      <w:pPr>
        <w:pStyle w:val="1280"/>
        <w:ind w:firstLine="440"/>
        <w:rPr>
          <w:rFonts w:ascii="宋体"/>
        </w:rPr>
      </w:pPr>
      <w:r>
        <w:rPr>
          <w:rFonts w:ascii="宋体"/>
        </w:rPr>
        <w:t>施工缝应设于不削弱混凝土强度的部位，缝的形式可分为企口缝、楔形缝、槽口缝，或嵌入止水剂、止水带等。施工缝的位置应和模板节间的尺寸相协调，施工缝的缝线应与模板拼缝尽可能重合，在任何情况下，施工缝的缝应规则而均匀。大的混凝土板的施工缝应为水平缝，不允许留垂直缝。</w:t>
      </w:r>
    </w:p>
    <w:p>
      <w:pPr>
        <w:pStyle w:val="1280"/>
        <w:ind w:firstLine="440"/>
        <w:rPr>
          <w:rFonts w:ascii="宋体"/>
        </w:rPr>
      </w:pPr>
      <w:r>
        <w:rPr>
          <w:rFonts w:ascii="宋体"/>
        </w:rPr>
        <w:t>在浇筑新的混凝土前，在已浇筑过的混凝土施工缝的表面，应该先除去所有浮浆和表面的大骨料，当混凝土已经凝固但尚未硬化时，应除去浮浆，可使用钢丝刷等除去外层砂浆表皮及暴露在表面的大骨料。如果混凝土已经变硬，在重新浇筑之前，所有构成施工缝的表面需用高压水枪冲洗处理，用针枪或铲、锤去除表面浮浆，所有在混凝土表面的碎渣等应全部清除，表面要湿润。在任何情况下，一次浇筑成形的端部，须有项目监理认可的竖直挡板，靠挡板的混凝土要完全捣实。</w:t>
      </w:r>
    </w:p>
    <w:p>
      <w:pPr>
        <w:pStyle w:val="1284"/>
        <w:outlineLvl w:val="0"/>
        <w:rPr>
          <w:rFonts w:ascii="宋体" w:hAnsi="宋体"/>
        </w:rPr>
      </w:pPr>
      <w:bookmarkStart w:id="3028" w:name="_Toc385007732"/>
      <w:bookmarkStart w:id="3029" w:name="_Toc385008528"/>
      <w:bookmarkStart w:id="3030" w:name="_Toc385012690"/>
      <w:bookmarkStart w:id="3031" w:name="_Toc389234191"/>
      <w:bookmarkStart w:id="3032" w:name="_Toc393081142"/>
      <w:bookmarkStart w:id="3033" w:name="_Toc397479593"/>
      <w:bookmarkStart w:id="3034" w:name="_Toc397479920"/>
      <w:bookmarkStart w:id="3035" w:name="_Toc397481642"/>
      <w:bookmarkStart w:id="3036" w:name="_Toc397485711"/>
      <w:bookmarkStart w:id="3037" w:name="_Toc398083799"/>
      <w:bookmarkStart w:id="3038" w:name="_Toc16242406"/>
      <w:bookmarkStart w:id="3039" w:name="_Toc43107587"/>
      <w:bookmarkStart w:id="3040" w:name="_Toc164502166"/>
      <w:bookmarkStart w:id="3041" w:name="_Toc266662968"/>
      <w:bookmarkStart w:id="3042" w:name="_Toc320555435"/>
      <w:bookmarkStart w:id="3043" w:name="_Toc517382569"/>
      <w:bookmarkStart w:id="3044" w:name="_Toc518376622"/>
      <w:bookmarkStart w:id="3045" w:name="_Toc521491944"/>
      <w:bookmarkStart w:id="3046" w:name="_Toc521492801"/>
      <w:bookmarkStart w:id="3047" w:name="_Toc521493475"/>
      <w:bookmarkStart w:id="3048" w:name="_Toc106883132"/>
      <w:r>
        <w:rPr>
          <w:rFonts w:ascii="宋体" w:hAnsi="宋体"/>
        </w:rPr>
        <w:t>3.4.17 沉降缝</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1280"/>
        <w:ind w:firstLine="440"/>
        <w:rPr>
          <w:rFonts w:ascii="宋体"/>
        </w:rPr>
      </w:pPr>
      <w:r>
        <w:rPr>
          <w:rFonts w:ascii="宋体"/>
        </w:rPr>
        <w:t>为适应相邻结构之间有可能发生的相对移动设置沉降缝。为了保证接缝处的止水，或不产生大的裂缝，要求作特殊处理。承包商应遵照专用接缝材料</w:t>
      </w:r>
      <w:r>
        <w:rPr>
          <w:rFonts w:hint="eastAsia" w:ascii="宋体"/>
        </w:rPr>
        <w:t>（</w:t>
      </w:r>
      <w:r>
        <w:rPr>
          <w:rFonts w:ascii="宋体"/>
        </w:rPr>
        <w:t>止水带</w:t>
      </w:r>
      <w:r>
        <w:rPr>
          <w:rFonts w:hint="eastAsia" w:ascii="宋体"/>
        </w:rPr>
        <w:t>）</w:t>
      </w:r>
      <w:r>
        <w:rPr>
          <w:rFonts w:ascii="宋体"/>
        </w:rPr>
        <w:t>的使用要求，向项目监理提供使用这种材料效果的证明文件，沉降缝的施工须按图纸上所示的细节和尺寸，或按项目监理的要求进行。承包商在中标后，至少在混凝土浇筑的三星期之前，尽可能快地向项目监理提交关于安装止水带详细建议，以求批准。建议中应该说明设缝的位置，及按比例表示出所有缝位以及模板断面形状、尺寸、交叉和方向变化的细节。</w:t>
      </w:r>
    </w:p>
    <w:p>
      <w:pPr>
        <w:pStyle w:val="1280"/>
        <w:ind w:firstLine="440"/>
        <w:rPr>
          <w:rFonts w:ascii="宋体"/>
        </w:rPr>
      </w:pPr>
      <w:r>
        <w:rPr>
          <w:rFonts w:ascii="宋体"/>
        </w:rPr>
        <w:t>不同类型的止水带不得一起使用，止水带在供货商工厂里，应按最长的实用单元制造，使其能连续贯穿构筑物，交叉处和接头尽可能在厂内制造。如承包商因种种原因而建议止水带现场拼接，应提出现场拼接的施工细节及拼接设备的细节，供项目监理审批，但交叉处等异型接头必须在工厂内制造。拼接的物理性能应不低于原材料规定的要求。承包商在沉降缝处设置止水带时应保证其正确的方向并应采取适当的支撑予以固定和保持正确的位置。任何止水带在安装后发现有损坏时应重换。接缝处应先浇缝的一侧，待混凝土结硬后，再浇另一侧，在止水带的附近浇筑混凝土时应特别仔细，以免在浇筑混凝土时止水带发生弯曲或变形。</w:t>
      </w:r>
    </w:p>
    <w:p>
      <w:pPr>
        <w:pStyle w:val="1280"/>
        <w:ind w:firstLine="440"/>
        <w:rPr>
          <w:rFonts w:ascii="宋体"/>
        </w:rPr>
      </w:pPr>
      <w:r>
        <w:rPr>
          <w:rFonts w:ascii="宋体"/>
        </w:rPr>
        <w:t>橡胶止水带的挤压成形和硫化反应使任何断面达到密实、匀质、无气孔和没有其它缺陷，橡胶止水带不得在露天堆放或暴露在阳光的直接照射下，有些沉降缝的止水须用U型钢板或其他形式，具体尺寸按图示中要求购买或定做。</w:t>
      </w:r>
    </w:p>
    <w:p>
      <w:pPr>
        <w:pStyle w:val="1280"/>
        <w:ind w:firstLine="440"/>
        <w:rPr>
          <w:rFonts w:ascii="宋体"/>
        </w:rPr>
      </w:pPr>
      <w:r>
        <w:rPr>
          <w:rFonts w:ascii="宋体"/>
        </w:rPr>
        <w:t>止水带的合成和硫化应具下列物理性能：</w:t>
      </w:r>
    </w:p>
    <w:p>
      <w:pPr>
        <w:pStyle w:val="1280"/>
        <w:ind w:firstLine="440"/>
        <w:rPr>
          <w:rFonts w:ascii="宋体"/>
        </w:rPr>
      </w:pPr>
      <w:r>
        <w:rPr>
          <w:rFonts w:ascii="宋体"/>
        </w:rPr>
        <w:t>试验类别　　　　　　　　　　　　试验方法　　　　　</w:t>
      </w:r>
      <w:r>
        <w:rPr>
          <w:rFonts w:hint="eastAsia" w:ascii="宋体"/>
        </w:rPr>
        <w:t xml:space="preserve"> </w:t>
      </w:r>
      <w:r>
        <w:rPr>
          <w:rFonts w:ascii="宋体"/>
        </w:rPr>
        <w:t>　氯丁橡胶</w:t>
      </w:r>
    </w:p>
    <w:p>
      <w:pPr>
        <w:pStyle w:val="1280"/>
        <w:ind w:firstLine="440"/>
        <w:rPr>
          <w:rFonts w:ascii="宋体"/>
        </w:rPr>
      </w:pPr>
      <w:r>
        <w:rPr>
          <w:rFonts w:ascii="宋体"/>
        </w:rPr>
        <w:t>抗拉强度</w:t>
      </w:r>
      <w:r>
        <w:rPr>
          <w:rFonts w:hint="eastAsia" w:ascii="宋体"/>
        </w:rPr>
        <w:t>（</w:t>
      </w:r>
      <w:r>
        <w:rPr>
          <w:rFonts w:ascii="宋体"/>
        </w:rPr>
        <w:t>MPa</w:t>
      </w:r>
      <w:r>
        <w:rPr>
          <w:rFonts w:hint="eastAsia" w:ascii="宋体"/>
        </w:rPr>
        <w:t>）（</w:t>
      </w:r>
      <w:r>
        <w:rPr>
          <w:rFonts w:ascii="宋体"/>
        </w:rPr>
        <w:t>不小于</w:t>
      </w:r>
      <w:r>
        <w:rPr>
          <w:rFonts w:hint="eastAsia" w:ascii="宋体"/>
        </w:rPr>
        <w:t>）</w:t>
      </w:r>
      <w:r>
        <w:rPr>
          <w:rFonts w:ascii="宋体"/>
        </w:rPr>
        <w:t>　　　</w:t>
      </w:r>
      <w:r>
        <w:rPr>
          <w:rFonts w:hint="eastAsia" w:ascii="宋体"/>
        </w:rPr>
        <w:t xml:space="preserve"> </w:t>
      </w:r>
      <w:r>
        <w:rPr>
          <w:rFonts w:ascii="宋体"/>
        </w:rPr>
        <w:t>ASTMD 412　　　　　　　18</w:t>
      </w:r>
    </w:p>
    <w:p>
      <w:pPr>
        <w:pStyle w:val="1280"/>
        <w:ind w:firstLine="440"/>
        <w:rPr>
          <w:rFonts w:ascii="宋体"/>
        </w:rPr>
      </w:pPr>
      <w:r>
        <w:rPr>
          <w:rFonts w:ascii="宋体"/>
        </w:rPr>
        <w:t>拉断伸长率</w:t>
      </w:r>
      <w:r>
        <w:rPr>
          <w:rFonts w:hint="eastAsia" w:ascii="宋体"/>
        </w:rPr>
        <w:t>（</w:t>
      </w:r>
      <w:r>
        <w:rPr>
          <w:rFonts w:ascii="宋体"/>
        </w:rPr>
        <w:t>%</w:t>
      </w:r>
      <w:r>
        <w:rPr>
          <w:rFonts w:hint="eastAsia" w:ascii="宋体"/>
        </w:rPr>
        <w:t>）（</w:t>
      </w:r>
      <w:r>
        <w:rPr>
          <w:rFonts w:ascii="宋体"/>
        </w:rPr>
        <w:t>不小于</w:t>
      </w:r>
      <w:r>
        <w:rPr>
          <w:rFonts w:hint="eastAsia" w:ascii="宋体"/>
        </w:rPr>
        <w:t>）</w:t>
      </w:r>
      <w:r>
        <w:rPr>
          <w:rFonts w:ascii="宋体"/>
        </w:rPr>
        <w:t>　　　</w:t>
      </w:r>
      <w:r>
        <w:rPr>
          <w:rFonts w:hint="eastAsia" w:ascii="宋体"/>
        </w:rPr>
        <w:t xml:space="preserve"> </w:t>
      </w:r>
      <w:r>
        <w:rPr>
          <w:rFonts w:ascii="宋体"/>
        </w:rPr>
        <w:t>ASTMD 412　　　　　　　500</w:t>
      </w:r>
    </w:p>
    <w:p>
      <w:pPr>
        <w:pStyle w:val="1280"/>
        <w:ind w:firstLine="440"/>
        <w:rPr>
          <w:rFonts w:ascii="宋体"/>
        </w:rPr>
      </w:pPr>
      <w:r>
        <w:rPr>
          <w:rFonts w:ascii="宋体"/>
        </w:rPr>
        <w:t>肖氏A级硬度拉断永久变形</w:t>
      </w:r>
      <w:r>
        <w:rPr>
          <w:rFonts w:hint="eastAsia" w:ascii="宋体"/>
        </w:rPr>
        <w:t>（</w:t>
      </w:r>
      <w:r>
        <w:rPr>
          <w:rFonts w:ascii="宋体"/>
        </w:rPr>
        <w:t>%</w:t>
      </w:r>
      <w:r>
        <w:rPr>
          <w:rFonts w:hint="eastAsia" w:ascii="宋体"/>
        </w:rPr>
        <w:t xml:space="preserve">） </w:t>
      </w:r>
      <w:r>
        <w:rPr>
          <w:rFonts w:ascii="宋体"/>
        </w:rPr>
        <w:t>ASTMD 2240　　　　　　</w:t>
      </w:r>
      <w:r>
        <w:rPr>
          <w:rFonts w:hint="eastAsia" w:ascii="宋体"/>
        </w:rPr>
        <w:t xml:space="preserve"> </w:t>
      </w:r>
      <w:r>
        <w:rPr>
          <w:rFonts w:ascii="宋体"/>
        </w:rPr>
        <w:t>60+5</w:t>
      </w:r>
    </w:p>
    <w:p>
      <w:pPr>
        <w:pStyle w:val="1280"/>
        <w:ind w:firstLine="440"/>
        <w:rPr>
          <w:rFonts w:ascii="宋体"/>
        </w:rPr>
      </w:pPr>
      <w:r>
        <w:rPr>
          <w:rFonts w:ascii="宋体"/>
        </w:rPr>
        <w:t>初始变形</w:t>
      </w:r>
      <w:r>
        <w:rPr>
          <w:rFonts w:hint="eastAsia" w:ascii="宋体"/>
        </w:rPr>
        <w:t>（</w:t>
      </w:r>
      <w:r>
        <w:rPr>
          <w:rFonts w:ascii="宋体"/>
        </w:rPr>
        <w:t>%</w:t>
      </w:r>
      <w:r>
        <w:rPr>
          <w:rFonts w:hint="eastAsia" w:ascii="宋体"/>
        </w:rPr>
        <w:t>）（</w:t>
      </w:r>
      <w:r>
        <w:rPr>
          <w:rFonts w:ascii="宋体"/>
        </w:rPr>
        <w:t>不大于</w:t>
      </w:r>
      <w:r>
        <w:rPr>
          <w:rFonts w:hint="eastAsia" w:ascii="宋体"/>
        </w:rPr>
        <w:t>）</w:t>
      </w:r>
      <w:r>
        <w:rPr>
          <w:rFonts w:ascii="宋体"/>
        </w:rPr>
        <w:t>　　　　</w:t>
      </w:r>
      <w:r>
        <w:rPr>
          <w:rFonts w:hint="eastAsia" w:ascii="宋体"/>
        </w:rPr>
        <w:t xml:space="preserve"> </w:t>
      </w:r>
      <w:r>
        <w:rPr>
          <w:rFonts w:ascii="宋体"/>
        </w:rPr>
        <w:t>ASTMD 395　　　　　　　28</w:t>
      </w:r>
    </w:p>
    <w:p>
      <w:pPr>
        <w:pStyle w:val="1280"/>
        <w:ind w:firstLine="440"/>
        <w:rPr>
          <w:rFonts w:ascii="宋体"/>
        </w:rPr>
      </w:pPr>
      <w:r>
        <w:rPr>
          <w:rFonts w:ascii="宋体"/>
        </w:rPr>
        <w:t>加速老化</w:t>
      </w:r>
      <w:r>
        <w:rPr>
          <w:rFonts w:hint="eastAsia" w:ascii="宋体"/>
        </w:rPr>
        <w:t>（</w:t>
      </w:r>
      <w:r>
        <w:rPr>
          <w:rFonts w:ascii="宋体"/>
        </w:rPr>
        <w:t>70</w:t>
      </w:r>
      <w:r>
        <w:rPr>
          <w:rFonts w:hint="eastAsia" w:ascii="宋体" w:cs="宋体"/>
        </w:rPr>
        <w:t>℃</w:t>
      </w:r>
      <w:r>
        <w:rPr>
          <w:rFonts w:ascii="宋体"/>
        </w:rPr>
        <w:t>，72小时</w:t>
      </w:r>
      <w:r>
        <w:rPr>
          <w:rFonts w:hint="eastAsia" w:ascii="宋体"/>
        </w:rPr>
        <w:t>）</w:t>
      </w:r>
    </w:p>
    <w:p>
      <w:pPr>
        <w:pStyle w:val="1280"/>
        <w:ind w:firstLine="440"/>
        <w:rPr>
          <w:rFonts w:ascii="宋体"/>
        </w:rPr>
      </w:pPr>
      <w:r>
        <w:rPr>
          <w:rFonts w:ascii="宋体"/>
        </w:rPr>
        <w:t>老化前抗拉强度</w:t>
      </w:r>
      <w:r>
        <w:rPr>
          <w:rFonts w:hint="eastAsia" w:ascii="宋体"/>
        </w:rPr>
        <w:t>（</w:t>
      </w:r>
      <w:r>
        <w:rPr>
          <w:rFonts w:ascii="宋体"/>
        </w:rPr>
        <w:t>%</w:t>
      </w:r>
      <w:r>
        <w:rPr>
          <w:rFonts w:hint="eastAsia" w:ascii="宋体"/>
        </w:rPr>
        <w:t>）（</w:t>
      </w:r>
      <w:r>
        <w:rPr>
          <w:rFonts w:ascii="宋体"/>
        </w:rPr>
        <w:t>不小于</w:t>
      </w:r>
      <w:r>
        <w:rPr>
          <w:rFonts w:hint="eastAsia" w:ascii="宋体"/>
        </w:rPr>
        <w:t>）</w:t>
      </w:r>
      <w:r>
        <w:rPr>
          <w:rFonts w:ascii="宋体"/>
        </w:rPr>
        <w:t>　</w:t>
      </w:r>
      <w:r>
        <w:rPr>
          <w:rFonts w:hint="eastAsia" w:ascii="宋体"/>
        </w:rPr>
        <w:t xml:space="preserve"> </w:t>
      </w:r>
      <w:r>
        <w:rPr>
          <w:rFonts w:ascii="宋体"/>
        </w:rPr>
        <w:t>ASTM 578　　　　　　　</w:t>
      </w:r>
      <w:r>
        <w:rPr>
          <w:rFonts w:hint="eastAsia" w:ascii="宋体"/>
        </w:rPr>
        <w:t xml:space="preserve">  </w:t>
      </w:r>
      <w:r>
        <w:rPr>
          <w:rFonts w:ascii="宋体"/>
        </w:rPr>
        <w:t>80</w:t>
      </w:r>
    </w:p>
    <w:p>
      <w:pPr>
        <w:pStyle w:val="1284"/>
        <w:outlineLvl w:val="0"/>
        <w:rPr>
          <w:rFonts w:ascii="宋体" w:hAnsi="宋体"/>
        </w:rPr>
      </w:pPr>
      <w:bookmarkStart w:id="3049" w:name="_Toc385007733"/>
      <w:bookmarkStart w:id="3050" w:name="_Toc385008529"/>
      <w:bookmarkStart w:id="3051" w:name="_Toc385012691"/>
      <w:bookmarkStart w:id="3052" w:name="_Toc389234192"/>
      <w:bookmarkStart w:id="3053" w:name="_Toc393081143"/>
      <w:bookmarkStart w:id="3054" w:name="_Toc397479594"/>
      <w:bookmarkStart w:id="3055" w:name="_Toc397479921"/>
      <w:bookmarkStart w:id="3056" w:name="_Toc397481643"/>
      <w:bookmarkStart w:id="3057" w:name="_Toc397485712"/>
      <w:bookmarkStart w:id="3058" w:name="_Toc398083800"/>
      <w:bookmarkStart w:id="3059" w:name="_Toc16242407"/>
      <w:bookmarkStart w:id="3060" w:name="_Toc43107588"/>
      <w:bookmarkStart w:id="3061" w:name="_Toc164502167"/>
      <w:bookmarkStart w:id="3062" w:name="_Toc266662969"/>
      <w:bookmarkStart w:id="3063" w:name="_Toc320555436"/>
      <w:bookmarkStart w:id="3064" w:name="_Toc517382570"/>
      <w:bookmarkStart w:id="3065" w:name="_Toc518376623"/>
      <w:bookmarkStart w:id="3066" w:name="_Toc521491945"/>
      <w:bookmarkStart w:id="3067" w:name="_Toc521492802"/>
      <w:bookmarkStart w:id="3068" w:name="_Toc521493476"/>
      <w:bookmarkStart w:id="3069" w:name="_Toc106883133"/>
      <w:r>
        <w:rPr>
          <w:rFonts w:ascii="宋体" w:hAnsi="宋体"/>
        </w:rPr>
        <w:t>3.4.18 完工后的混凝土尺寸和表面不均匀度</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1280"/>
        <w:ind w:firstLine="440"/>
        <w:rPr>
          <w:rFonts w:ascii="宋体"/>
        </w:rPr>
      </w:pPr>
      <w:r>
        <w:rPr>
          <w:rFonts w:ascii="宋体"/>
        </w:rPr>
        <w:t>模板和混凝土的浇筑质量：表面应完全捣实、光滑和没有不平整的现象，混凝土一般不应进行修补，用模板和不用模板的混凝土表面光洁度不能超出技术规范和图纸上指定的最大允许偏差，如果没有指定，应按下列表中的数值控制。</w:t>
      </w:r>
    </w:p>
    <w:p>
      <w:pPr>
        <w:pStyle w:val="1280"/>
        <w:ind w:firstLine="440"/>
        <w:rPr>
          <w:rFonts w:ascii="宋体"/>
        </w:rPr>
      </w:pPr>
      <w:r>
        <w:rPr>
          <w:rFonts w:ascii="宋体"/>
        </w:rPr>
        <w:t>轴线位置</w:t>
      </w:r>
    </w:p>
    <w:p>
      <w:pPr>
        <w:pStyle w:val="1280"/>
        <w:ind w:firstLine="440"/>
        <w:rPr>
          <w:rFonts w:ascii="宋体"/>
        </w:rPr>
      </w:pPr>
      <w:r>
        <w:rPr>
          <w:rFonts w:ascii="宋体"/>
        </w:rPr>
        <w:t>基</w:t>
      </w:r>
      <w:r>
        <w:rPr>
          <w:rFonts w:ascii="宋体"/>
        </w:rPr>
        <w:tab/>
      </w:r>
      <w:r>
        <w:rPr>
          <w:rFonts w:ascii="宋体"/>
        </w:rPr>
        <w:t>础　　　　　　　　　　　　　　　　　　　　　　 10mm</w:t>
      </w:r>
    </w:p>
    <w:p>
      <w:pPr>
        <w:pStyle w:val="1280"/>
        <w:ind w:firstLine="440"/>
        <w:rPr>
          <w:rFonts w:ascii="宋体"/>
        </w:rPr>
      </w:pPr>
      <w:r>
        <w:rPr>
          <w:rFonts w:ascii="宋体"/>
        </w:rPr>
        <w:t>柱、梁　　　　　　　　　　　　　　　　　　　　     6mm</w:t>
      </w:r>
    </w:p>
    <w:p>
      <w:pPr>
        <w:pStyle w:val="1280"/>
        <w:ind w:firstLine="440"/>
        <w:rPr>
          <w:rFonts w:ascii="宋体"/>
        </w:rPr>
      </w:pPr>
      <w:r>
        <w:rPr>
          <w:rFonts w:ascii="宋体"/>
        </w:rPr>
        <w:t>垂直度</w:t>
      </w:r>
    </w:p>
    <w:p>
      <w:pPr>
        <w:pStyle w:val="1280"/>
        <w:ind w:firstLine="440"/>
        <w:rPr>
          <w:rFonts w:ascii="宋体"/>
        </w:rPr>
      </w:pPr>
      <w:r>
        <w:rPr>
          <w:rFonts w:ascii="宋体"/>
        </w:rPr>
        <w:t>总高度≤5m　　　　　　　　　　　　　　　　　　　　 6mm</w:t>
      </w:r>
    </w:p>
    <w:p>
      <w:pPr>
        <w:pStyle w:val="1280"/>
        <w:ind w:firstLine="440"/>
        <w:rPr>
          <w:rFonts w:ascii="宋体"/>
        </w:rPr>
      </w:pPr>
      <w:r>
        <w:rPr>
          <w:rFonts w:ascii="宋体"/>
        </w:rPr>
        <w:t>总高度＞5m　　　　　　　　　　　　　　　　　　　　 8mm</w:t>
      </w:r>
    </w:p>
    <w:p>
      <w:pPr>
        <w:pStyle w:val="1280"/>
        <w:ind w:firstLine="440"/>
        <w:rPr>
          <w:rFonts w:ascii="宋体"/>
        </w:rPr>
      </w:pPr>
      <w:r>
        <w:rPr>
          <w:rFonts w:ascii="宋体"/>
        </w:rPr>
        <w:t>高程　　　　　　　　　　　　　　　　　　　　　　　 10mm</w:t>
      </w:r>
    </w:p>
    <w:p>
      <w:pPr>
        <w:pStyle w:val="1280"/>
        <w:ind w:firstLine="440"/>
        <w:rPr>
          <w:rFonts w:ascii="宋体"/>
        </w:rPr>
      </w:pPr>
      <w:r>
        <w:rPr>
          <w:rFonts w:ascii="宋体"/>
        </w:rPr>
        <w:t>截面尺寸　　　　　　　　　　　　　　　　　　　　　 +8，-5mm</w:t>
      </w:r>
    </w:p>
    <w:p>
      <w:pPr>
        <w:pStyle w:val="1280"/>
        <w:ind w:firstLine="440"/>
        <w:rPr>
          <w:rFonts w:ascii="宋体"/>
        </w:rPr>
      </w:pPr>
      <w:r>
        <w:rPr>
          <w:rFonts w:ascii="宋体"/>
        </w:rPr>
        <w:t>表面平整</w:t>
      </w:r>
    </w:p>
    <w:p>
      <w:pPr>
        <w:pStyle w:val="1280"/>
        <w:ind w:firstLine="440"/>
        <w:rPr>
          <w:rFonts w:ascii="宋体"/>
        </w:rPr>
      </w:pPr>
      <w:r>
        <w:rPr>
          <w:rFonts w:ascii="宋体"/>
        </w:rPr>
        <w:t>突变不平整度　　　　　　　　　　　　　　　　　　　 2mm</w:t>
      </w:r>
    </w:p>
    <w:p>
      <w:pPr>
        <w:pStyle w:val="1280"/>
        <w:ind w:firstLine="440"/>
        <w:rPr>
          <w:rFonts w:ascii="宋体"/>
        </w:rPr>
      </w:pPr>
      <w:r>
        <w:rPr>
          <w:rFonts w:ascii="宋体"/>
        </w:rPr>
        <w:t>渐变不平整度　　　　　　　　　　　　　　　　　　　 5mm</w:t>
      </w:r>
    </w:p>
    <w:p>
      <w:pPr>
        <w:pStyle w:val="1280"/>
        <w:ind w:firstLine="440"/>
        <w:rPr>
          <w:rFonts w:ascii="宋体"/>
        </w:rPr>
      </w:pPr>
      <w:r>
        <w:rPr>
          <w:rFonts w:ascii="宋体"/>
        </w:rPr>
        <w:t>预埋设施中心线位置</w:t>
      </w:r>
    </w:p>
    <w:p>
      <w:pPr>
        <w:pStyle w:val="1280"/>
        <w:ind w:firstLine="440"/>
        <w:rPr>
          <w:rFonts w:ascii="宋体"/>
        </w:rPr>
      </w:pPr>
      <w:r>
        <w:rPr>
          <w:rFonts w:ascii="宋体"/>
        </w:rPr>
        <w:t>预埋件　　　　　　　　　　　　　　　　　　　　　　 10mm</w:t>
      </w:r>
    </w:p>
    <w:p>
      <w:pPr>
        <w:pStyle w:val="1280"/>
        <w:ind w:firstLine="440"/>
        <w:rPr>
          <w:rFonts w:ascii="宋体"/>
        </w:rPr>
      </w:pPr>
      <w:r>
        <w:rPr>
          <w:rFonts w:ascii="宋体"/>
        </w:rPr>
        <w:t>预埋螺栓　　　　　　　　　　　　　　　　　　　　　 5mm</w:t>
      </w:r>
    </w:p>
    <w:p>
      <w:pPr>
        <w:pStyle w:val="1280"/>
        <w:ind w:firstLine="440"/>
        <w:rPr>
          <w:rFonts w:ascii="宋体"/>
        </w:rPr>
      </w:pPr>
      <w:r>
        <w:rPr>
          <w:rFonts w:ascii="宋体"/>
        </w:rPr>
        <w:t>预留管　　　　　　　　　　　　　　　　　　　　　　 5mm</w:t>
      </w:r>
    </w:p>
    <w:p>
      <w:pPr>
        <w:pStyle w:val="1280"/>
        <w:ind w:firstLine="440"/>
        <w:rPr>
          <w:rFonts w:ascii="宋体"/>
        </w:rPr>
      </w:pPr>
      <w:bookmarkStart w:id="3070" w:name="_Toc385012692"/>
      <w:bookmarkStart w:id="3071" w:name="_Toc385007734"/>
      <w:bookmarkStart w:id="3072" w:name="_Toc385008530"/>
      <w:r>
        <w:rPr>
          <w:rFonts w:ascii="宋体"/>
        </w:rPr>
        <w:t>预留洞中心位置　　　　　　　　　　　　　　　　　　 10mm</w:t>
      </w:r>
    </w:p>
    <w:p>
      <w:pPr>
        <w:pStyle w:val="1284"/>
        <w:outlineLvl w:val="0"/>
        <w:rPr>
          <w:rFonts w:ascii="宋体" w:hAnsi="宋体"/>
        </w:rPr>
      </w:pPr>
      <w:bookmarkStart w:id="3073" w:name="_Toc389234193"/>
      <w:bookmarkStart w:id="3074" w:name="_Toc393081144"/>
      <w:bookmarkStart w:id="3075" w:name="_Toc397479595"/>
      <w:bookmarkStart w:id="3076" w:name="_Toc397479922"/>
      <w:bookmarkStart w:id="3077" w:name="_Toc397481644"/>
      <w:bookmarkStart w:id="3078" w:name="_Toc397485713"/>
      <w:bookmarkStart w:id="3079" w:name="_Toc398083801"/>
      <w:bookmarkStart w:id="3080" w:name="_Toc16242408"/>
      <w:bookmarkStart w:id="3081" w:name="_Toc43107589"/>
      <w:bookmarkStart w:id="3082" w:name="_Toc164502168"/>
      <w:bookmarkStart w:id="3083" w:name="_Toc266662970"/>
      <w:bookmarkStart w:id="3084" w:name="_Toc320555437"/>
      <w:bookmarkStart w:id="3085" w:name="_Toc517382571"/>
      <w:bookmarkStart w:id="3086" w:name="_Toc518376624"/>
      <w:bookmarkStart w:id="3087" w:name="_Toc521491946"/>
      <w:bookmarkStart w:id="3088" w:name="_Toc521492803"/>
      <w:bookmarkStart w:id="3089" w:name="_Toc521493477"/>
      <w:bookmarkStart w:id="3090" w:name="_Toc106883134"/>
      <w:r>
        <w:rPr>
          <w:rFonts w:ascii="宋体" w:hAnsi="宋体"/>
        </w:rPr>
        <w:t>3.4.19 不用模板的混凝土表面的光洁度</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1280"/>
        <w:ind w:firstLine="440"/>
        <w:rPr>
          <w:rFonts w:ascii="宋体"/>
        </w:rPr>
      </w:pPr>
      <w:r>
        <w:rPr>
          <w:rFonts w:ascii="宋体"/>
        </w:rPr>
        <w:t>不用模板成形的混凝土表面光洁度应达到</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中要求标准，或达到项目监理的特 定的其它特殊光洁度要求。对规定有粘结要求混凝土表面处，应该在初凝已经开始且表面已足够硬化后，通过手工或机械镘平混凝土表面来形成标准的完工面，在形成无刮痕的、均匀的“砂纸光洁面”后，应不再镘刮混凝土。</w:t>
      </w:r>
    </w:p>
    <w:p>
      <w:pPr>
        <w:pStyle w:val="1284"/>
        <w:outlineLvl w:val="0"/>
        <w:rPr>
          <w:rFonts w:ascii="宋体" w:hAnsi="宋体"/>
        </w:rPr>
      </w:pPr>
      <w:bookmarkStart w:id="3091" w:name="_Toc385007735"/>
      <w:bookmarkStart w:id="3092" w:name="_Toc385008531"/>
      <w:bookmarkStart w:id="3093" w:name="_Toc385012693"/>
      <w:bookmarkStart w:id="3094" w:name="_Toc389234194"/>
      <w:bookmarkStart w:id="3095" w:name="_Toc393081145"/>
      <w:bookmarkStart w:id="3096" w:name="_Toc397479596"/>
      <w:bookmarkStart w:id="3097" w:name="_Toc397479923"/>
      <w:bookmarkStart w:id="3098" w:name="_Toc397481645"/>
      <w:bookmarkStart w:id="3099" w:name="_Toc397485714"/>
      <w:bookmarkStart w:id="3100" w:name="_Toc398083802"/>
      <w:bookmarkStart w:id="3101" w:name="_Toc16242409"/>
      <w:bookmarkStart w:id="3102" w:name="_Toc43107590"/>
      <w:bookmarkStart w:id="3103" w:name="_Toc164502169"/>
      <w:bookmarkStart w:id="3104" w:name="_Toc266662971"/>
      <w:bookmarkStart w:id="3105" w:name="_Toc320555438"/>
      <w:bookmarkStart w:id="3106" w:name="_Toc517382572"/>
      <w:bookmarkStart w:id="3107" w:name="_Toc518376625"/>
      <w:bookmarkStart w:id="3108" w:name="_Toc521491947"/>
      <w:bookmarkStart w:id="3109" w:name="_Toc521492804"/>
      <w:bookmarkStart w:id="3110" w:name="_Toc521493478"/>
      <w:bookmarkStart w:id="3111" w:name="_Toc106883135"/>
      <w:r>
        <w:rPr>
          <w:rFonts w:ascii="宋体" w:hAnsi="宋体"/>
        </w:rPr>
        <w:t>3.4.20 预埋管件和其它</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1280"/>
        <w:ind w:firstLine="440"/>
        <w:rPr>
          <w:rFonts w:ascii="宋体"/>
        </w:rPr>
      </w:pPr>
      <w:r>
        <w:rPr>
          <w:rFonts w:ascii="宋体"/>
        </w:rPr>
        <w:t>在浇筑混凝土之前，所有螺栓、管道或任何其它要预埋的东西必须准确固定在图纸所示的位置。芯子和其它用来形成孔的装置要牢固地固定在模板和其它物体上，如果没有项目监理的批准，不得任意在混凝土中任何部位凿孔。</w:t>
      </w:r>
    </w:p>
    <w:p>
      <w:pPr>
        <w:pStyle w:val="1280"/>
        <w:ind w:firstLine="440"/>
        <w:rPr>
          <w:rFonts w:ascii="宋体"/>
        </w:rPr>
      </w:pPr>
      <w:r>
        <w:rPr>
          <w:rFonts w:ascii="宋体"/>
        </w:rPr>
        <w:t>管道和系统其它部分穿过混凝土结构时，应在浇筑混凝土前预埋管件，如果不能采用预埋管的形式，也可预留孔洞，</w:t>
      </w:r>
      <w:bookmarkStart w:id="3112" w:name="_Hlt16351119"/>
      <w:r>
        <w:rPr>
          <w:rFonts w:ascii="宋体"/>
        </w:rPr>
        <w:t>这些孔洞的尺寸应能满足混凝土的浇筑和捣实</w:t>
      </w:r>
      <w:bookmarkEnd w:id="3112"/>
      <w:r>
        <w:rPr>
          <w:rFonts w:ascii="宋体"/>
        </w:rPr>
        <w:t>、压实或灌浆的要求，孔洞的内表面应作处理，以便形成一个“粘结面”。</w:t>
      </w:r>
    </w:p>
    <w:p>
      <w:pPr>
        <w:pStyle w:val="1280"/>
        <w:ind w:firstLine="440"/>
        <w:rPr>
          <w:rFonts w:ascii="宋体"/>
        </w:rPr>
      </w:pPr>
      <w:r>
        <w:rPr>
          <w:rFonts w:ascii="宋体"/>
        </w:rPr>
        <w:t>未经项目监理和业主的批准，不得为了便于埋入管件或其它物体而割断或弯曲钢筋。预埋件需支撑好，以防止埋入时受到损坏，特别是带法兰盘的管道，在检查管件等的位置之前，不得浇筑混凝土。</w:t>
      </w:r>
    </w:p>
    <w:p>
      <w:pPr>
        <w:pStyle w:val="1280"/>
        <w:ind w:firstLine="440"/>
        <w:rPr>
          <w:rFonts w:ascii="宋体"/>
        </w:rPr>
      </w:pPr>
      <w:r>
        <w:rPr>
          <w:rFonts w:ascii="宋体"/>
        </w:rPr>
        <w:t>填缝用的混凝土除了批准在混合料中加入膨胀剂外，要与周围的混凝土强度相同，膨胀剂的使用应按制造商的说明进行，水泥砂浆和水泥浆也可加入膨胀剂。混凝土、砂浆和水泥砂浆的浇筑和振捣方法，应能防止预埋件的移动或损坏。根据项目监理</w:t>
      </w:r>
      <w:r>
        <w:rPr>
          <w:rFonts w:ascii="宋体"/>
          <w:spacing w:val="-20"/>
        </w:rPr>
        <w:t>的要求</w:t>
      </w:r>
      <w:r>
        <w:rPr>
          <w:rFonts w:ascii="宋体"/>
        </w:rPr>
        <w:t>，承包商应按图示在水表井、检查井、管涵的连接点处安装批准的堵头和闷板。</w:t>
      </w:r>
    </w:p>
    <w:p>
      <w:pPr>
        <w:pStyle w:val="1280"/>
        <w:ind w:firstLine="440"/>
        <w:rPr>
          <w:rFonts w:ascii="宋体"/>
        </w:rPr>
      </w:pPr>
      <w:r>
        <w:rPr>
          <w:rFonts w:ascii="宋体"/>
        </w:rPr>
        <w:t>特别指出：图中标明的预埋套管的管径（如果有），是指供安装管道的管径，而不是套管本身的管径，如“预埋DN800套管”是指供安装的管道公称管径为800，而需土建预埋套管的管外径为870（Ⅳ型套管），应参见中国国家给排水标准图集02S404。</w:t>
      </w:r>
    </w:p>
    <w:p>
      <w:pPr>
        <w:pStyle w:val="1284"/>
        <w:outlineLvl w:val="0"/>
        <w:rPr>
          <w:rFonts w:ascii="宋体" w:hAnsi="宋体"/>
        </w:rPr>
      </w:pPr>
      <w:bookmarkStart w:id="3113" w:name="_Toc124411462"/>
      <w:bookmarkStart w:id="3114" w:name="_Toc164502170"/>
      <w:bookmarkStart w:id="3115" w:name="_Toc311124644"/>
      <w:bookmarkStart w:id="3116" w:name="_Toc320555439"/>
      <w:bookmarkStart w:id="3117" w:name="_Toc517382573"/>
      <w:bookmarkStart w:id="3118" w:name="_Toc518376626"/>
      <w:bookmarkStart w:id="3119" w:name="_Toc521491948"/>
      <w:bookmarkStart w:id="3120" w:name="_Toc521492805"/>
      <w:bookmarkStart w:id="3121" w:name="_Toc521493479"/>
      <w:bookmarkStart w:id="3122" w:name="_Toc106883136"/>
      <w:r>
        <w:rPr>
          <w:rFonts w:ascii="宋体" w:hAnsi="宋体"/>
        </w:rPr>
        <w:t>3.4.21 计量与支付</w:t>
      </w:r>
      <w:bookmarkEnd w:id="3113"/>
      <w:bookmarkEnd w:id="3114"/>
      <w:bookmarkEnd w:id="3115"/>
      <w:bookmarkEnd w:id="3116"/>
      <w:bookmarkEnd w:id="3117"/>
      <w:bookmarkEnd w:id="3118"/>
      <w:bookmarkEnd w:id="3119"/>
      <w:bookmarkEnd w:id="3120"/>
      <w:bookmarkEnd w:id="3121"/>
      <w:bookmarkEnd w:id="3122"/>
    </w:p>
    <w:p>
      <w:pPr>
        <w:pStyle w:val="1280"/>
        <w:ind w:firstLine="440"/>
        <w:rPr>
          <w:rFonts w:ascii="宋体"/>
        </w:rPr>
      </w:pPr>
      <w:r>
        <w:rPr>
          <w:rFonts w:ascii="宋体"/>
        </w:rPr>
        <w:t>1、计量</w:t>
      </w:r>
    </w:p>
    <w:p>
      <w:pPr>
        <w:pStyle w:val="1280"/>
        <w:ind w:firstLine="440"/>
        <w:rPr>
          <w:rFonts w:ascii="宋体"/>
        </w:rPr>
      </w:pPr>
      <w:r>
        <w:rPr>
          <w:rFonts w:ascii="宋体"/>
        </w:rPr>
        <w:t>计量应于工程部位完成验收后，以下列方式计量，并计入当月支付申请。</w:t>
      </w:r>
    </w:p>
    <w:p>
      <w:pPr>
        <w:pStyle w:val="1280"/>
        <w:ind w:firstLine="440"/>
        <w:rPr>
          <w:rFonts w:ascii="宋体"/>
        </w:rPr>
      </w:pPr>
      <w:r>
        <w:rPr>
          <w:rFonts w:hint="eastAsia" w:ascii="宋体"/>
        </w:rPr>
        <w:t>（1）</w:t>
      </w:r>
      <w:r>
        <w:rPr>
          <w:rFonts w:ascii="宋体"/>
        </w:rPr>
        <w:t>以图纸所示或项目监理指示为依据，按现场已完工并经验收的混凝土，分别以不同结构类型及混凝土等级，以立方米计量。</w:t>
      </w:r>
    </w:p>
    <w:p>
      <w:pPr>
        <w:pStyle w:val="1280"/>
        <w:ind w:firstLine="440"/>
        <w:rPr>
          <w:rFonts w:ascii="宋体"/>
        </w:rPr>
      </w:pPr>
      <w:r>
        <w:rPr>
          <w:rFonts w:hint="eastAsia" w:ascii="宋体"/>
        </w:rPr>
        <w:t>（2）</w:t>
      </w:r>
      <w:r>
        <w:rPr>
          <w:rFonts w:ascii="宋体"/>
        </w:rPr>
        <w:t>直径小于200mm的管子、钢筋、锚固杆、泄水孔或桩所占混凝土体积不予扣除。作为砌体砂浆的小石子混凝土，不另行计量。</w:t>
      </w:r>
    </w:p>
    <w:p>
      <w:pPr>
        <w:pStyle w:val="1280"/>
        <w:ind w:firstLine="440"/>
        <w:rPr>
          <w:rFonts w:ascii="宋体"/>
        </w:rPr>
      </w:pPr>
      <w:r>
        <w:rPr>
          <w:rFonts w:hint="eastAsia" w:ascii="宋体"/>
        </w:rPr>
        <w:t>（3）</w:t>
      </w:r>
      <w:r>
        <w:rPr>
          <w:rFonts w:ascii="宋体"/>
        </w:rPr>
        <w:t>如果需要，结构钢筋以kg为单位按不同的等级单独计量。计量按图纸和现场施工的钢筋表结合计算，钢筋的搭接、焊接、支撑的工程量不单独计量。见本技术规范第3.8.12条款。</w:t>
      </w:r>
    </w:p>
    <w:p>
      <w:pPr>
        <w:pStyle w:val="1280"/>
        <w:ind w:firstLine="440"/>
        <w:rPr>
          <w:rFonts w:ascii="宋体"/>
        </w:rPr>
      </w:pPr>
      <w:r>
        <w:rPr>
          <w:rFonts w:hint="eastAsia" w:ascii="宋体"/>
        </w:rPr>
        <w:t>（4）</w:t>
      </w:r>
      <w:r>
        <w:rPr>
          <w:rFonts w:ascii="宋体"/>
        </w:rPr>
        <w:t>为完成工程混凝土所用的施工缝连接钢筋、预制构件的预埋钢板、防护角钢或钢板、脚手架或支架及模板、排水设施、防水处理、基础底碎石垫层、混凝土养生、所有测试和试验、混凝土表面修整及为完成结构物的其他杂项细目，以及预制构件的安装架设设备拼装、移运、拆除和为安装所需的临时性或永久性的固定扣件、钢板、焊接、螺栓等，均作为各项相应混凝土工程的附属工作，不另行计量。</w:t>
      </w:r>
    </w:p>
    <w:p>
      <w:pPr>
        <w:pStyle w:val="1280"/>
        <w:ind w:firstLine="440"/>
        <w:rPr>
          <w:rFonts w:ascii="宋体"/>
        </w:rPr>
      </w:pPr>
      <w:r>
        <w:rPr>
          <w:rFonts w:hint="eastAsia" w:ascii="宋体"/>
        </w:rPr>
        <w:t>（5）</w:t>
      </w:r>
      <w:r>
        <w:rPr>
          <w:rFonts w:ascii="宋体"/>
        </w:rPr>
        <w:t>除特殊要求外，施工缝、伸缩</w:t>
      </w:r>
      <w:r>
        <w:rPr>
          <w:rFonts w:hint="eastAsia" w:ascii="宋体"/>
        </w:rPr>
        <w:t>缝</w:t>
      </w:r>
      <w:r>
        <w:rPr>
          <w:rFonts w:ascii="宋体"/>
        </w:rPr>
        <w:t>或变形缝不单独计量。</w:t>
      </w:r>
    </w:p>
    <w:p>
      <w:pPr>
        <w:pStyle w:val="1280"/>
        <w:ind w:firstLine="440"/>
        <w:rPr>
          <w:rFonts w:ascii="宋体"/>
        </w:rPr>
      </w:pPr>
      <w:r>
        <w:rPr>
          <w:rFonts w:ascii="宋体"/>
        </w:rPr>
        <w:t>2、支付</w:t>
      </w:r>
    </w:p>
    <w:p>
      <w:pPr>
        <w:pStyle w:val="1280"/>
        <w:ind w:firstLine="440"/>
        <w:rPr>
          <w:rFonts w:ascii="宋体"/>
        </w:rPr>
      </w:pPr>
      <w:r>
        <w:rPr>
          <w:rFonts w:ascii="宋体"/>
        </w:rPr>
        <w:t>按上述规定计量，经项目监理验收的列入了工程量清单的以下支付细目的工程量，其每一计量单位，将以合同单价和总价支付。此项支付包括材料、劳力、设备、试验、运输、安装及其他为完成混凝土工程所必要的费用，是对完成工程的全部偿付。</w:t>
      </w:r>
    </w:p>
    <w:p>
      <w:pPr>
        <w:pStyle w:val="1280"/>
        <w:ind w:firstLine="440"/>
        <w:rPr>
          <w:rFonts w:ascii="宋体"/>
        </w:rPr>
      </w:pPr>
      <w:r>
        <w:rPr>
          <w:rFonts w:ascii="宋体"/>
        </w:rPr>
        <w:t>3、支付细目</w:t>
      </w:r>
    </w:p>
    <w:p>
      <w:pPr>
        <w:pStyle w:val="1280"/>
        <w:ind w:firstLine="440"/>
        <w:rPr>
          <w:rFonts w:ascii="宋体"/>
        </w:rPr>
      </w:pPr>
      <w:r>
        <w:rPr>
          <w:rFonts w:ascii="宋体"/>
        </w:rPr>
        <w:t>详见本技术规范有关章节结构混凝土的细目。</w:t>
      </w:r>
    </w:p>
    <w:p>
      <w:pPr>
        <w:pStyle w:val="1281"/>
        <w:outlineLvl w:val="0"/>
        <w:rPr>
          <w:rFonts w:ascii="宋体" w:hAnsi="宋体"/>
          <w:color w:val="auto"/>
        </w:rPr>
      </w:pPr>
      <w:bookmarkStart w:id="3123" w:name="_Toc16242410"/>
      <w:bookmarkStart w:id="3124" w:name="_Toc398083803"/>
      <w:bookmarkStart w:id="3125" w:name="_Toc43107591"/>
      <w:bookmarkStart w:id="3126" w:name="_Toc397485715"/>
      <w:bookmarkStart w:id="3127" w:name="_Toc397481646"/>
      <w:bookmarkStart w:id="3128" w:name="_Toc397479924"/>
      <w:bookmarkStart w:id="3129" w:name="_Toc164502171"/>
      <w:bookmarkStart w:id="3130" w:name="_Toc385007736"/>
      <w:bookmarkStart w:id="3131" w:name="_Toc385008532"/>
      <w:bookmarkStart w:id="3132" w:name="_Toc385012694"/>
      <w:bookmarkStart w:id="3133" w:name="_Toc389234195"/>
      <w:bookmarkStart w:id="3134" w:name="_Toc393081146"/>
      <w:bookmarkStart w:id="3135" w:name="_Toc397479597"/>
      <w:bookmarkStart w:id="3136" w:name="_Toc266662973"/>
      <w:bookmarkStart w:id="3137" w:name="_Toc320555440"/>
      <w:bookmarkStart w:id="3138" w:name="_Toc517382574"/>
      <w:bookmarkStart w:id="3139" w:name="_Toc518376627"/>
      <w:bookmarkStart w:id="3140" w:name="_Toc521491949"/>
      <w:bookmarkStart w:id="3141" w:name="_Toc521492806"/>
      <w:bookmarkStart w:id="3142" w:name="_Toc521493480"/>
      <w:bookmarkStart w:id="3143" w:name="_Toc106883137"/>
      <w:r>
        <w:rPr>
          <w:rFonts w:ascii="宋体" w:hAnsi="宋体"/>
          <w:color w:val="auto"/>
        </w:rPr>
        <w:t>3.5 预制混凝土</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1284"/>
        <w:outlineLvl w:val="0"/>
        <w:rPr>
          <w:rFonts w:ascii="宋体" w:hAnsi="宋体"/>
        </w:rPr>
      </w:pPr>
      <w:bookmarkStart w:id="3144" w:name="_Toc385007737"/>
      <w:bookmarkStart w:id="3145" w:name="_Toc385008533"/>
      <w:bookmarkStart w:id="3146" w:name="_Toc385012695"/>
      <w:bookmarkStart w:id="3147" w:name="_Toc389234196"/>
      <w:bookmarkStart w:id="3148" w:name="_Toc393081147"/>
      <w:bookmarkStart w:id="3149" w:name="_Toc397479598"/>
      <w:bookmarkStart w:id="3150" w:name="_Toc397479925"/>
      <w:bookmarkStart w:id="3151" w:name="_Toc397481647"/>
      <w:bookmarkStart w:id="3152" w:name="_Toc397485716"/>
      <w:bookmarkStart w:id="3153" w:name="_Toc398083804"/>
      <w:bookmarkStart w:id="3154" w:name="_Toc16242411"/>
      <w:bookmarkStart w:id="3155" w:name="_Toc43107592"/>
      <w:bookmarkStart w:id="3156" w:name="_Toc164502172"/>
      <w:bookmarkStart w:id="3157" w:name="_Toc311124646"/>
      <w:bookmarkStart w:id="3158" w:name="_Toc320555441"/>
      <w:bookmarkStart w:id="3159" w:name="_Toc517382575"/>
      <w:bookmarkStart w:id="3160" w:name="_Toc518376628"/>
      <w:bookmarkStart w:id="3161" w:name="_Toc521491950"/>
      <w:bookmarkStart w:id="3162" w:name="_Toc521492807"/>
      <w:bookmarkStart w:id="3163" w:name="_Toc521493481"/>
      <w:bookmarkStart w:id="3164" w:name="_Toc106883138"/>
      <w:bookmarkStart w:id="3165" w:name="_Toc385007740"/>
      <w:bookmarkStart w:id="3166" w:name="_Toc385008536"/>
      <w:bookmarkStart w:id="3167" w:name="_Toc385012698"/>
      <w:bookmarkStart w:id="3168" w:name="_Toc389234199"/>
      <w:bookmarkStart w:id="3169" w:name="_Toc393081150"/>
      <w:bookmarkStart w:id="3170" w:name="_Toc397479601"/>
      <w:bookmarkStart w:id="3171" w:name="_Toc397479928"/>
      <w:bookmarkStart w:id="3172" w:name="_Toc397481650"/>
      <w:bookmarkStart w:id="3173" w:name="_Toc397485719"/>
      <w:bookmarkStart w:id="3174" w:name="_Toc398083807"/>
      <w:bookmarkStart w:id="3175" w:name="_Toc16242414"/>
      <w:bookmarkStart w:id="3176" w:name="_Toc43107595"/>
      <w:bookmarkStart w:id="3177" w:name="_Toc164502176"/>
      <w:bookmarkStart w:id="3178" w:name="_Toc266662978"/>
      <w:r>
        <w:rPr>
          <w:rFonts w:ascii="宋体" w:hAnsi="宋体"/>
        </w:rPr>
        <w:t>3.5.1 预制混凝土</w:t>
      </w:r>
      <w:bookmarkEnd w:id="3144"/>
      <w:bookmarkEnd w:id="3145"/>
      <w:bookmarkEnd w:id="3146"/>
      <w:r>
        <w:rPr>
          <w:rFonts w:ascii="宋体" w:hAnsi="宋体"/>
        </w:rPr>
        <w:t>构件</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1280"/>
        <w:ind w:firstLine="440"/>
        <w:rPr>
          <w:rFonts w:ascii="宋体"/>
        </w:rPr>
      </w:pPr>
      <w:r>
        <w:rPr>
          <w:rFonts w:ascii="宋体"/>
        </w:rPr>
        <w:t>预制混凝土的构件，应按施工图的尺寸和标准图制造。不论这些构件是在工地制造或是经项目监理批准从制造商处获得，其混凝土均应符合本规范的每一项相关条款。</w:t>
      </w:r>
    </w:p>
    <w:p>
      <w:pPr>
        <w:pStyle w:val="1280"/>
        <w:ind w:firstLine="440"/>
        <w:rPr>
          <w:rFonts w:ascii="宋体"/>
        </w:rPr>
      </w:pPr>
      <w:r>
        <w:rPr>
          <w:rFonts w:ascii="宋体"/>
        </w:rPr>
        <w:t>预制混凝土构件应在批准的模子中浇灌，每个模子分别加以编号和字母以资识别，编号标号也应漆或刻在模子的内壁浇筑在每一预制件上，也可刻或漆写在预制件上，另外应在构件上用漆写上浇筑日期。模子识别标记和日期的位置应该设在构件完工时不暴露的一面，该位置在浇筑前须经项目监理和业主的批准。</w:t>
      </w:r>
    </w:p>
    <w:p>
      <w:pPr>
        <w:pStyle w:val="1280"/>
        <w:ind w:firstLine="440"/>
        <w:rPr>
          <w:rFonts w:ascii="宋体"/>
        </w:rPr>
      </w:pPr>
      <w:r>
        <w:rPr>
          <w:rFonts w:ascii="宋体"/>
        </w:rPr>
        <w:t>预制构件在特殊结构中安装时，不论构件的外露面是在整体工程的内面或外面，完工后其暴露的表面应具有均匀的颜色和纹理。用于预制构件的混凝土，其浇筑和振捣方法须经项目监理和业主的批准。完工后表面应符合</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的要求。</w:t>
      </w:r>
    </w:p>
    <w:p>
      <w:pPr>
        <w:pStyle w:val="1280"/>
        <w:ind w:firstLine="440"/>
        <w:rPr>
          <w:rFonts w:ascii="宋体"/>
        </w:rPr>
      </w:pPr>
      <w:r>
        <w:rPr>
          <w:rFonts w:ascii="宋体"/>
        </w:rPr>
        <w:t>预制构件从浇筑日起28天后，或项目监理判断混凝土达到规定的强度时，才能移动或从现场运送出去。</w:t>
      </w:r>
    </w:p>
    <w:p>
      <w:pPr>
        <w:pStyle w:val="1280"/>
        <w:ind w:firstLine="440"/>
        <w:rPr>
          <w:rFonts w:ascii="宋体"/>
        </w:rPr>
      </w:pPr>
      <w:r>
        <w:rPr>
          <w:rFonts w:ascii="宋体"/>
        </w:rPr>
        <w:t>承包商应向项目监理和业主提交其从事有关预制混凝土结构生产和安装的文件，建议采用方法的全部细节，包括：</w:t>
      </w:r>
    </w:p>
    <w:p>
      <w:pPr>
        <w:pStyle w:val="1280"/>
        <w:ind w:firstLine="440"/>
        <w:rPr>
          <w:rFonts w:ascii="宋体"/>
        </w:rPr>
      </w:pPr>
      <w:r>
        <w:rPr>
          <w:rFonts w:ascii="宋体"/>
        </w:rPr>
        <w:t>预制混凝土的浇筑程序和养护方法；</w:t>
      </w:r>
    </w:p>
    <w:p>
      <w:pPr>
        <w:pStyle w:val="1280"/>
        <w:ind w:firstLine="440"/>
        <w:rPr>
          <w:rFonts w:ascii="宋体"/>
        </w:rPr>
      </w:pPr>
      <w:r>
        <w:rPr>
          <w:rFonts w:ascii="宋体"/>
        </w:rPr>
        <w:t>各种预制构件的运输、装卸、吊装和安装程序；</w:t>
      </w:r>
    </w:p>
    <w:p>
      <w:pPr>
        <w:pStyle w:val="1280"/>
        <w:ind w:firstLine="440"/>
        <w:rPr>
          <w:rFonts w:ascii="宋体"/>
        </w:rPr>
      </w:pPr>
      <w:r>
        <w:rPr>
          <w:rFonts w:ascii="宋体"/>
        </w:rPr>
        <w:t>用于不同类型构件的底座、模子和模板型式的说明；</w:t>
      </w:r>
    </w:p>
    <w:p>
      <w:pPr>
        <w:pStyle w:val="1280"/>
        <w:ind w:firstLine="440"/>
        <w:rPr>
          <w:rFonts w:ascii="宋体"/>
        </w:rPr>
      </w:pPr>
      <w:r>
        <w:rPr>
          <w:rFonts w:ascii="宋体"/>
        </w:rPr>
        <w:t>安装期间，如需保证足够的稳定性和在运输过程中因施工荷载、风荷载或其他瞬时荷载的影响而需要设置的临时性支撑。</w:t>
      </w:r>
    </w:p>
    <w:p>
      <w:pPr>
        <w:pStyle w:val="1284"/>
        <w:outlineLvl w:val="0"/>
        <w:rPr>
          <w:rFonts w:ascii="宋体" w:hAnsi="宋体"/>
        </w:rPr>
      </w:pPr>
      <w:bookmarkStart w:id="3179" w:name="_Toc385007738"/>
      <w:bookmarkStart w:id="3180" w:name="_Toc385008534"/>
      <w:bookmarkStart w:id="3181" w:name="_Toc385012696"/>
      <w:bookmarkStart w:id="3182" w:name="_Toc389234197"/>
      <w:bookmarkStart w:id="3183" w:name="_Toc393081148"/>
      <w:bookmarkStart w:id="3184" w:name="_Toc397479599"/>
      <w:bookmarkStart w:id="3185" w:name="_Toc397479926"/>
      <w:bookmarkStart w:id="3186" w:name="_Toc397481648"/>
      <w:bookmarkStart w:id="3187" w:name="_Toc397485717"/>
      <w:bookmarkStart w:id="3188" w:name="_Toc398083805"/>
      <w:bookmarkStart w:id="3189" w:name="_Toc16242412"/>
      <w:bookmarkStart w:id="3190" w:name="_Toc43107593"/>
      <w:bookmarkStart w:id="3191" w:name="_Toc164502173"/>
      <w:bookmarkStart w:id="3192" w:name="_Toc311124647"/>
      <w:bookmarkStart w:id="3193" w:name="_Toc320555442"/>
      <w:bookmarkStart w:id="3194" w:name="_Toc517382576"/>
      <w:bookmarkStart w:id="3195" w:name="_Toc518376629"/>
      <w:bookmarkStart w:id="3196" w:name="_Toc521491951"/>
      <w:bookmarkStart w:id="3197" w:name="_Toc521492808"/>
      <w:bookmarkStart w:id="3198" w:name="_Toc521493482"/>
      <w:bookmarkStart w:id="3199" w:name="_Toc106883139"/>
      <w:r>
        <w:rPr>
          <w:rFonts w:ascii="宋体" w:hAnsi="宋体"/>
        </w:rPr>
        <w:t>3.5.2 允许偏差</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1280"/>
        <w:ind w:firstLine="440"/>
        <w:rPr>
          <w:rFonts w:ascii="宋体"/>
        </w:rPr>
      </w:pPr>
      <w:r>
        <w:rPr>
          <w:rFonts w:ascii="宋体"/>
        </w:rPr>
        <w:t>预制混凝土结构构件的尺寸和形状应符合图纸中的要求和</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等相关规范、标准的规定，在没有专门规定时，其最大允许偏差不得超过下列规定限值：</w:t>
      </w:r>
    </w:p>
    <w:p>
      <w:pPr>
        <w:pStyle w:val="1280"/>
        <w:ind w:firstLine="440"/>
        <w:rPr>
          <w:rFonts w:ascii="宋体"/>
        </w:rPr>
      </w:pPr>
      <w:r>
        <w:rPr>
          <w:rFonts w:ascii="宋体"/>
        </w:rPr>
        <w:t>长度：</w:t>
      </w:r>
    </w:p>
    <w:p>
      <w:pPr>
        <w:pStyle w:val="1280"/>
        <w:ind w:firstLine="440"/>
        <w:rPr>
          <w:rFonts w:ascii="宋体"/>
        </w:rPr>
      </w:pPr>
      <w:r>
        <w:rPr>
          <w:rFonts w:ascii="宋体"/>
        </w:rPr>
        <w:t>柱</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0</w:t>
      </w:r>
      <w:r>
        <w:rPr>
          <w:rFonts w:hint="eastAsia" w:ascii="宋体"/>
        </w:rPr>
        <w:t>，</w:t>
      </w:r>
      <w:r>
        <w:rPr>
          <w:rFonts w:ascii="宋体"/>
        </w:rPr>
        <w:t>-10mm</w:t>
      </w:r>
    </w:p>
    <w:p>
      <w:pPr>
        <w:pStyle w:val="1280"/>
        <w:ind w:firstLine="440"/>
        <w:rPr>
          <w:rFonts w:ascii="宋体"/>
        </w:rPr>
      </w:pPr>
      <w:r>
        <w:rPr>
          <w:rFonts w:ascii="宋体"/>
        </w:rPr>
        <w:t>墙板</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0</w:t>
      </w:r>
      <w:r>
        <w:rPr>
          <w:rFonts w:hint="eastAsia" w:ascii="宋体"/>
        </w:rPr>
        <w:t>，</w:t>
      </w:r>
      <w:r>
        <w:rPr>
          <w:rFonts w:ascii="宋体"/>
        </w:rPr>
        <w:t>-5mm</w:t>
      </w:r>
    </w:p>
    <w:p>
      <w:pPr>
        <w:pStyle w:val="1280"/>
        <w:ind w:firstLine="440"/>
        <w:rPr>
          <w:rFonts w:ascii="宋体"/>
        </w:rPr>
      </w:pPr>
      <w:r>
        <w:rPr>
          <w:rFonts w:ascii="宋体"/>
        </w:rPr>
        <w:t>宽度：</w:t>
      </w:r>
    </w:p>
    <w:p>
      <w:pPr>
        <w:pStyle w:val="1280"/>
        <w:ind w:firstLine="440"/>
        <w:rPr>
          <w:rFonts w:ascii="宋体"/>
        </w:rPr>
      </w:pPr>
      <w:r>
        <w:rPr>
          <w:rFonts w:ascii="宋体"/>
        </w:rPr>
        <w:t>板、墙板</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0</w:t>
      </w:r>
      <w:r>
        <w:rPr>
          <w:rFonts w:hint="eastAsia" w:ascii="宋体"/>
        </w:rPr>
        <w:t>，</w:t>
      </w:r>
      <w:r>
        <w:rPr>
          <w:rFonts w:ascii="宋体"/>
        </w:rPr>
        <w:t>-5mm</w:t>
      </w:r>
    </w:p>
    <w:p>
      <w:pPr>
        <w:pStyle w:val="1280"/>
        <w:ind w:firstLine="440"/>
        <w:rPr>
          <w:rFonts w:ascii="宋体"/>
        </w:rPr>
      </w:pPr>
      <w:r>
        <w:rPr>
          <w:rFonts w:ascii="宋体"/>
        </w:rPr>
        <w:t>柱</w:t>
      </w:r>
      <w:r>
        <w:rPr>
          <w:rFonts w:ascii="宋体"/>
        </w:rPr>
        <w:tab/>
      </w:r>
      <w:r>
        <w:rPr>
          <w:rFonts w:ascii="宋体"/>
        </w:rPr>
        <w:tab/>
      </w:r>
      <w:r>
        <w:rPr>
          <w:rFonts w:ascii="宋体"/>
        </w:rPr>
        <w:tab/>
      </w:r>
      <w:r>
        <w:rPr>
          <w:rFonts w:ascii="宋体"/>
        </w:rPr>
        <w:tab/>
      </w:r>
      <w:r>
        <w:rPr>
          <w:rFonts w:ascii="宋体"/>
        </w:rPr>
        <w:t xml:space="preserve">                             +2</w:t>
      </w:r>
      <w:r>
        <w:rPr>
          <w:rFonts w:hint="eastAsia" w:ascii="宋体"/>
        </w:rPr>
        <w:t>，</w:t>
      </w:r>
      <w:r>
        <w:rPr>
          <w:rFonts w:ascii="宋体"/>
        </w:rPr>
        <w:t>-5mm</w:t>
      </w:r>
    </w:p>
    <w:p>
      <w:pPr>
        <w:pStyle w:val="1280"/>
        <w:ind w:firstLine="440"/>
        <w:rPr>
          <w:rFonts w:ascii="宋体"/>
        </w:rPr>
      </w:pPr>
      <w:r>
        <w:rPr>
          <w:rFonts w:ascii="宋体"/>
        </w:rPr>
        <w:t>高度</w:t>
      </w:r>
    </w:p>
    <w:p>
      <w:pPr>
        <w:pStyle w:val="1280"/>
        <w:ind w:firstLine="440"/>
        <w:rPr>
          <w:rFonts w:ascii="宋体"/>
        </w:rPr>
      </w:pPr>
      <w:r>
        <w:rPr>
          <w:rFonts w:ascii="宋体"/>
        </w:rPr>
        <w:t>板</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+2</w:t>
      </w:r>
      <w:r>
        <w:rPr>
          <w:rFonts w:hint="eastAsia" w:ascii="宋体"/>
        </w:rPr>
        <w:t>，</w:t>
      </w:r>
      <w:r>
        <w:rPr>
          <w:rFonts w:ascii="宋体"/>
        </w:rPr>
        <w:t>-3mm</w:t>
      </w:r>
    </w:p>
    <w:p>
      <w:pPr>
        <w:pStyle w:val="1280"/>
        <w:ind w:firstLine="440"/>
        <w:rPr>
          <w:rFonts w:ascii="宋体"/>
        </w:rPr>
      </w:pPr>
      <w:r>
        <w:rPr>
          <w:rFonts w:ascii="宋体"/>
        </w:rPr>
        <w:t>墙板</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0</w:t>
      </w:r>
      <w:r>
        <w:rPr>
          <w:rFonts w:hint="eastAsia" w:ascii="宋体"/>
        </w:rPr>
        <w:t>，</w:t>
      </w:r>
      <w:r>
        <w:rPr>
          <w:rFonts w:ascii="宋体"/>
        </w:rPr>
        <w:t>-5mm</w:t>
      </w:r>
    </w:p>
    <w:p>
      <w:pPr>
        <w:pStyle w:val="1280"/>
        <w:ind w:firstLine="440"/>
        <w:rPr>
          <w:rFonts w:ascii="宋体"/>
        </w:rPr>
      </w:pPr>
      <w:r>
        <w:rPr>
          <w:rFonts w:ascii="宋体"/>
        </w:rPr>
        <w:t>柱</w:t>
      </w:r>
      <w:r>
        <w:rPr>
          <w:rFonts w:ascii="宋体"/>
        </w:rPr>
        <w:tab/>
      </w:r>
      <w:r>
        <w:rPr>
          <w:rFonts w:ascii="宋体"/>
        </w:rPr>
        <w:tab/>
      </w:r>
      <w:r>
        <w:rPr>
          <w:rFonts w:ascii="宋体"/>
        </w:rPr>
        <w:tab/>
      </w:r>
      <w:r>
        <w:rPr>
          <w:rFonts w:ascii="宋体"/>
        </w:rPr>
        <w:tab/>
      </w:r>
      <w:r>
        <w:rPr>
          <w:rFonts w:ascii="宋体"/>
        </w:rPr>
        <w:t xml:space="preserve">                             +2</w:t>
      </w:r>
      <w:r>
        <w:rPr>
          <w:rFonts w:hint="eastAsia" w:ascii="宋体"/>
        </w:rPr>
        <w:t>，</w:t>
      </w:r>
      <w:r>
        <w:rPr>
          <w:rFonts w:ascii="宋体"/>
        </w:rPr>
        <w:t>-5mm</w:t>
      </w:r>
    </w:p>
    <w:p>
      <w:pPr>
        <w:pStyle w:val="1280"/>
        <w:ind w:firstLine="440"/>
        <w:rPr>
          <w:rFonts w:ascii="宋体"/>
        </w:rPr>
      </w:pPr>
      <w:r>
        <w:rPr>
          <w:rFonts w:ascii="宋体"/>
        </w:rPr>
        <w:t>板的对角线差</w:t>
      </w:r>
      <w:r>
        <w:rPr>
          <w:rFonts w:ascii="宋体"/>
        </w:rPr>
        <w:tab/>
      </w:r>
      <w:r>
        <w:rPr>
          <w:rFonts w:ascii="宋体"/>
        </w:rPr>
        <w:tab/>
      </w:r>
      <w:r>
        <w:rPr>
          <w:rFonts w:ascii="宋体"/>
        </w:rPr>
        <w:tab/>
      </w:r>
      <w:r>
        <w:rPr>
          <w:rFonts w:ascii="宋体"/>
        </w:rPr>
        <w:tab/>
      </w:r>
      <w:r>
        <w:rPr>
          <w:rFonts w:ascii="宋体"/>
        </w:rPr>
        <w:tab/>
      </w:r>
      <w:r>
        <w:rPr>
          <w:rFonts w:ascii="宋体"/>
        </w:rPr>
        <w:t xml:space="preserve">             +7mm</w:t>
      </w:r>
    </w:p>
    <w:p>
      <w:pPr>
        <w:pStyle w:val="1280"/>
        <w:ind w:firstLine="440"/>
        <w:rPr>
          <w:rFonts w:ascii="宋体"/>
        </w:rPr>
      </w:pPr>
      <w:r>
        <w:rPr>
          <w:rFonts w:ascii="宋体"/>
        </w:rPr>
        <w:t>表面平整</w:t>
      </w:r>
    </w:p>
    <w:p>
      <w:pPr>
        <w:pStyle w:val="1280"/>
        <w:ind w:firstLine="440"/>
        <w:rPr>
          <w:rFonts w:ascii="宋体"/>
        </w:rPr>
      </w:pPr>
      <w:r>
        <w:rPr>
          <w:rFonts w:ascii="宋体"/>
        </w:rPr>
        <w:t>突变不平整</w:t>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ascii="宋体"/>
        </w:rPr>
        <w:sym w:font="Symbol" w:char="F0B1"/>
      </w:r>
      <w:r>
        <w:rPr>
          <w:rFonts w:ascii="宋体"/>
        </w:rPr>
        <w:t>1mm</w:t>
      </w:r>
    </w:p>
    <w:p>
      <w:pPr>
        <w:pStyle w:val="1280"/>
        <w:ind w:firstLine="440"/>
        <w:rPr>
          <w:rFonts w:ascii="宋体"/>
        </w:rPr>
      </w:pPr>
      <w:r>
        <w:rPr>
          <w:rFonts w:ascii="宋体"/>
        </w:rPr>
        <w:t>渐变不平整</w:t>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ascii="宋体"/>
        </w:rPr>
        <w:sym w:font="Symbol" w:char="F0B1"/>
      </w:r>
      <w:r>
        <w:rPr>
          <w:rFonts w:ascii="宋体"/>
        </w:rPr>
        <w:t>3mm</w:t>
      </w:r>
    </w:p>
    <w:p>
      <w:pPr>
        <w:pStyle w:val="1280"/>
        <w:ind w:firstLine="440"/>
        <w:rPr>
          <w:rFonts w:ascii="宋体"/>
        </w:rPr>
      </w:pPr>
      <w:r>
        <w:rPr>
          <w:rFonts w:ascii="宋体"/>
        </w:rPr>
        <w:t>侧向弯曲</w:t>
      </w:r>
    </w:p>
    <w:p>
      <w:pPr>
        <w:pStyle w:val="1280"/>
        <w:ind w:firstLine="440"/>
        <w:rPr>
          <w:rFonts w:ascii="宋体"/>
        </w:rPr>
      </w:pPr>
      <w:r>
        <w:rPr>
          <w:rFonts w:ascii="宋体"/>
        </w:rPr>
        <w:t>梁和柱</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L/1000</w:t>
      </w:r>
      <w:r>
        <w:rPr>
          <w:rFonts w:hint="eastAsia" w:ascii="宋体"/>
        </w:rPr>
        <w:t>，</w:t>
      </w:r>
      <w:r>
        <w:rPr>
          <w:rFonts w:ascii="宋体"/>
        </w:rPr>
        <w:t>不大于15mm</w:t>
      </w:r>
    </w:p>
    <w:p>
      <w:pPr>
        <w:pStyle w:val="1280"/>
        <w:ind w:firstLine="440"/>
        <w:rPr>
          <w:rFonts w:ascii="宋体"/>
        </w:rPr>
      </w:pPr>
      <w:r>
        <w:rPr>
          <w:rFonts w:ascii="宋体"/>
        </w:rPr>
        <w:t>板和块体</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L/1500</w:t>
      </w:r>
      <w:r>
        <w:rPr>
          <w:rFonts w:hint="eastAsia" w:ascii="宋体"/>
        </w:rPr>
        <w:t>，</w:t>
      </w:r>
      <w:r>
        <w:rPr>
          <w:rFonts w:ascii="宋体"/>
        </w:rPr>
        <w:t>不大于15mm</w:t>
      </w:r>
    </w:p>
    <w:p>
      <w:pPr>
        <w:pStyle w:val="1280"/>
        <w:ind w:firstLine="440"/>
        <w:rPr>
          <w:rFonts w:ascii="宋体"/>
        </w:rPr>
      </w:pPr>
      <w:r>
        <w:rPr>
          <w:rFonts w:ascii="宋体"/>
        </w:rPr>
        <w:t>钢筋保护层厚度</w:t>
      </w:r>
    </w:p>
    <w:p>
      <w:pPr>
        <w:pStyle w:val="1280"/>
        <w:ind w:firstLine="440"/>
        <w:rPr>
          <w:rFonts w:ascii="宋体"/>
        </w:rPr>
      </w:pPr>
      <w:r>
        <w:rPr>
          <w:rFonts w:ascii="宋体"/>
        </w:rPr>
        <w:t>基础</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ascii="宋体"/>
        </w:rPr>
        <w:sym w:font="Symbol" w:char="F0B1"/>
      </w:r>
      <w:r>
        <w:rPr>
          <w:rFonts w:ascii="宋体"/>
        </w:rPr>
        <w:t>10mm</w:t>
      </w:r>
    </w:p>
    <w:p>
      <w:pPr>
        <w:pStyle w:val="1280"/>
        <w:ind w:firstLine="440"/>
        <w:rPr>
          <w:rFonts w:ascii="宋体"/>
        </w:rPr>
      </w:pPr>
      <w:r>
        <w:rPr>
          <w:rFonts w:ascii="宋体"/>
        </w:rPr>
        <w:t>梁、柱</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ascii="宋体"/>
        </w:rPr>
        <w:sym w:font="Symbol" w:char="F0B1"/>
      </w:r>
      <w:r>
        <w:rPr>
          <w:rFonts w:ascii="宋体"/>
        </w:rPr>
        <w:t>5mm</w:t>
      </w:r>
    </w:p>
    <w:p>
      <w:pPr>
        <w:pStyle w:val="1280"/>
        <w:ind w:firstLine="440"/>
        <w:rPr>
          <w:rFonts w:ascii="宋体"/>
        </w:rPr>
      </w:pPr>
      <w:r>
        <w:rPr>
          <w:rFonts w:ascii="宋体"/>
        </w:rPr>
        <w:t>板、墙、壳</w:t>
      </w:r>
      <w:r>
        <w:rPr>
          <w:rFonts w:ascii="宋体"/>
        </w:rPr>
        <w:tab/>
      </w:r>
      <w:r>
        <w:rPr>
          <w:rFonts w:ascii="宋体"/>
        </w:rPr>
        <w:tab/>
      </w:r>
      <w:r>
        <w:rPr>
          <w:rFonts w:ascii="宋体"/>
        </w:rPr>
        <w:tab/>
      </w:r>
      <w:r>
        <w:rPr>
          <w:rFonts w:ascii="宋体"/>
        </w:rPr>
        <w:tab/>
      </w:r>
      <w:r>
        <w:rPr>
          <w:rFonts w:ascii="宋体"/>
        </w:rPr>
        <w:tab/>
      </w:r>
      <w:r>
        <w:rPr>
          <w:rFonts w:ascii="宋体"/>
        </w:rPr>
        <w:t xml:space="preserve">                </w:t>
      </w:r>
      <w:r>
        <w:rPr>
          <w:rFonts w:ascii="宋体"/>
        </w:rPr>
        <w:sym w:font="Symbol" w:char="F0B1"/>
      </w:r>
      <w:r>
        <w:rPr>
          <w:rFonts w:ascii="宋体"/>
        </w:rPr>
        <w:t>3mm</w:t>
      </w:r>
    </w:p>
    <w:p>
      <w:pPr>
        <w:pStyle w:val="1280"/>
        <w:ind w:firstLine="440"/>
        <w:rPr>
          <w:rFonts w:ascii="宋体"/>
        </w:rPr>
      </w:pPr>
      <w:r>
        <w:rPr>
          <w:rFonts w:ascii="宋体"/>
        </w:rPr>
        <w:t>注：L为构件长度，以mm计。</w:t>
      </w:r>
    </w:p>
    <w:p>
      <w:pPr>
        <w:pStyle w:val="1284"/>
        <w:outlineLvl w:val="0"/>
        <w:rPr>
          <w:rFonts w:ascii="宋体" w:hAnsi="宋体"/>
        </w:rPr>
      </w:pPr>
      <w:bookmarkStart w:id="3200" w:name="_Toc385007739"/>
      <w:bookmarkStart w:id="3201" w:name="_Toc385012697"/>
      <w:bookmarkStart w:id="3202" w:name="_Toc385008535"/>
      <w:bookmarkStart w:id="3203" w:name="_Toc389234198"/>
      <w:bookmarkStart w:id="3204" w:name="_Toc393081149"/>
      <w:bookmarkStart w:id="3205" w:name="_Toc397479600"/>
      <w:bookmarkStart w:id="3206" w:name="_Toc397479927"/>
      <w:bookmarkStart w:id="3207" w:name="_Toc397481649"/>
      <w:bookmarkStart w:id="3208" w:name="_Toc397485718"/>
      <w:bookmarkStart w:id="3209" w:name="_Toc398083806"/>
      <w:bookmarkStart w:id="3210" w:name="_Toc16242413"/>
      <w:bookmarkStart w:id="3211" w:name="_Toc43107594"/>
      <w:bookmarkStart w:id="3212" w:name="_Toc164502174"/>
      <w:bookmarkStart w:id="3213" w:name="_Toc311124648"/>
      <w:bookmarkStart w:id="3214" w:name="_Toc320555443"/>
      <w:bookmarkStart w:id="3215" w:name="_Toc517382577"/>
      <w:bookmarkStart w:id="3216" w:name="_Toc518376630"/>
      <w:bookmarkStart w:id="3217" w:name="_Toc521491952"/>
      <w:bookmarkStart w:id="3218" w:name="_Toc521492809"/>
      <w:bookmarkStart w:id="3219" w:name="_Toc521493483"/>
      <w:bookmarkStart w:id="3220" w:name="_Toc106883140"/>
      <w:r>
        <w:rPr>
          <w:rFonts w:ascii="宋体" w:hAnsi="宋体"/>
        </w:rPr>
        <w:t>3.5.3 预制混凝土构件的安装</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1280"/>
        <w:ind w:firstLine="440"/>
        <w:rPr>
          <w:rFonts w:ascii="宋体"/>
        </w:rPr>
      </w:pPr>
      <w:r>
        <w:rPr>
          <w:rFonts w:ascii="宋体"/>
        </w:rPr>
        <w:t>工程完工前各个阶段，应对预制构件予以适当的保护，使所有的永久暴露的表面，棱角和外形保持良好，混凝土表面不得有刻痕或其它外表损伤。</w:t>
      </w:r>
    </w:p>
    <w:p>
      <w:pPr>
        <w:pStyle w:val="1280"/>
        <w:ind w:firstLine="440"/>
        <w:rPr>
          <w:rFonts w:ascii="宋体"/>
        </w:rPr>
      </w:pPr>
      <w:r>
        <w:rPr>
          <w:rFonts w:ascii="宋体"/>
        </w:rPr>
        <w:t>所有预制构件应按照图纸上标出的位置、高程及其它要求进行，并符合</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有关安装和定位的规定。任何预制构件无论在安装前或后，发现带有裂缝、受到损坏或其它方面质量不满足要求时应予以报废，并由承包商更换。</w:t>
      </w:r>
    </w:p>
    <w:p>
      <w:pPr>
        <w:pStyle w:val="1284"/>
        <w:outlineLvl w:val="0"/>
        <w:rPr>
          <w:rFonts w:ascii="宋体" w:hAnsi="宋体"/>
        </w:rPr>
      </w:pPr>
      <w:bookmarkStart w:id="3221" w:name="_Toc124411475"/>
      <w:bookmarkStart w:id="3222" w:name="_Toc164502175"/>
      <w:bookmarkStart w:id="3223" w:name="_Toc311124649"/>
      <w:bookmarkStart w:id="3224" w:name="_Toc320555444"/>
      <w:bookmarkStart w:id="3225" w:name="_Toc517382578"/>
      <w:bookmarkStart w:id="3226" w:name="_Toc518376631"/>
      <w:bookmarkStart w:id="3227" w:name="_Toc521491953"/>
      <w:bookmarkStart w:id="3228" w:name="_Toc521492810"/>
      <w:bookmarkStart w:id="3229" w:name="_Toc521493484"/>
      <w:bookmarkStart w:id="3230" w:name="_Toc106883141"/>
      <w:r>
        <w:rPr>
          <w:rFonts w:ascii="宋体" w:hAnsi="宋体"/>
        </w:rPr>
        <w:t>3.5.4 计量与支付</w:t>
      </w:r>
      <w:bookmarkEnd w:id="3221"/>
      <w:bookmarkEnd w:id="3222"/>
      <w:bookmarkEnd w:id="3223"/>
      <w:bookmarkEnd w:id="3224"/>
      <w:bookmarkEnd w:id="3225"/>
      <w:bookmarkEnd w:id="3226"/>
      <w:bookmarkEnd w:id="3227"/>
      <w:bookmarkEnd w:id="3228"/>
      <w:bookmarkEnd w:id="3229"/>
      <w:bookmarkEnd w:id="3230"/>
    </w:p>
    <w:p>
      <w:pPr>
        <w:pStyle w:val="1280"/>
        <w:ind w:firstLine="440"/>
        <w:rPr>
          <w:rFonts w:ascii="宋体"/>
        </w:rPr>
      </w:pPr>
      <w:r>
        <w:rPr>
          <w:rFonts w:ascii="宋体"/>
        </w:rPr>
        <w:t>本节不单独计量支付。</w:t>
      </w:r>
    </w:p>
    <w:p>
      <w:pPr>
        <w:pStyle w:val="1281"/>
        <w:outlineLvl w:val="0"/>
        <w:rPr>
          <w:rFonts w:ascii="宋体" w:hAnsi="宋体"/>
          <w:color w:val="auto"/>
        </w:rPr>
      </w:pPr>
      <w:bookmarkStart w:id="3231" w:name="_Toc320555445"/>
      <w:bookmarkStart w:id="3232" w:name="_Toc517382579"/>
      <w:bookmarkStart w:id="3233" w:name="_Toc518376632"/>
      <w:bookmarkStart w:id="3234" w:name="_Toc521491954"/>
      <w:bookmarkStart w:id="3235" w:name="_Toc521492811"/>
      <w:bookmarkStart w:id="3236" w:name="_Toc521493485"/>
      <w:bookmarkStart w:id="3237" w:name="_Toc106883142"/>
      <w:r>
        <w:rPr>
          <w:rFonts w:ascii="宋体" w:hAnsi="宋体"/>
          <w:color w:val="auto"/>
        </w:rPr>
        <w:t>3.6 试验和质量控制</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231"/>
      <w:bookmarkEnd w:id="3232"/>
      <w:bookmarkEnd w:id="3233"/>
      <w:bookmarkEnd w:id="3234"/>
      <w:bookmarkEnd w:id="3235"/>
      <w:bookmarkEnd w:id="3236"/>
      <w:bookmarkEnd w:id="3237"/>
    </w:p>
    <w:p>
      <w:pPr>
        <w:pStyle w:val="1284"/>
        <w:outlineLvl w:val="0"/>
        <w:rPr>
          <w:rFonts w:ascii="宋体" w:hAnsi="宋体"/>
        </w:rPr>
      </w:pPr>
      <w:bookmarkStart w:id="3238" w:name="_Toc385007741"/>
      <w:bookmarkStart w:id="3239" w:name="_Toc385008537"/>
      <w:bookmarkStart w:id="3240" w:name="_Toc385012699"/>
      <w:bookmarkStart w:id="3241" w:name="_Toc389234200"/>
      <w:bookmarkStart w:id="3242" w:name="_Toc393081151"/>
      <w:bookmarkStart w:id="3243" w:name="_Toc397479602"/>
      <w:bookmarkStart w:id="3244" w:name="_Toc397479929"/>
      <w:bookmarkStart w:id="3245" w:name="_Toc397481651"/>
      <w:bookmarkStart w:id="3246" w:name="_Toc397485720"/>
      <w:bookmarkStart w:id="3247" w:name="_Toc398083808"/>
      <w:bookmarkStart w:id="3248" w:name="_Toc16242415"/>
      <w:bookmarkStart w:id="3249" w:name="_Toc43107596"/>
      <w:bookmarkStart w:id="3250" w:name="_Toc164502177"/>
      <w:bookmarkStart w:id="3251" w:name="_Toc266662979"/>
      <w:bookmarkStart w:id="3252" w:name="_Toc320555446"/>
      <w:bookmarkStart w:id="3253" w:name="_Toc517382580"/>
      <w:bookmarkStart w:id="3254" w:name="_Toc518376633"/>
      <w:bookmarkStart w:id="3255" w:name="_Toc521491955"/>
      <w:bookmarkStart w:id="3256" w:name="_Toc521492812"/>
      <w:bookmarkStart w:id="3257" w:name="_Toc521493486"/>
      <w:bookmarkStart w:id="3258" w:name="_Toc106883143"/>
      <w:r>
        <w:rPr>
          <w:rFonts w:ascii="宋体" w:hAnsi="宋体"/>
        </w:rPr>
        <w:t>3.6.1 骨料的取样和试验</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1280"/>
        <w:ind w:firstLine="440"/>
        <w:rPr>
          <w:rFonts w:ascii="宋体"/>
        </w:rPr>
      </w:pPr>
      <w:r>
        <w:rPr>
          <w:rFonts w:ascii="宋体"/>
        </w:rPr>
        <w:t>承包商应按本技术规范的有关条款及</w:t>
      </w:r>
      <w:r>
        <w:rPr>
          <w:rFonts w:hint="eastAsia" w:ascii="宋体"/>
        </w:rPr>
        <w:t>《普通混凝土用砂、石质量及检验方法标准》（</w:t>
      </w:r>
      <w:r>
        <w:rPr>
          <w:rFonts w:ascii="宋体"/>
        </w:rPr>
        <w:t>JGJ</w:t>
      </w:r>
      <w:r>
        <w:rPr>
          <w:rFonts w:hint="eastAsia" w:ascii="宋体"/>
        </w:rPr>
        <w:t xml:space="preserve"> </w:t>
      </w:r>
      <w:r>
        <w:rPr>
          <w:rFonts w:ascii="宋体"/>
        </w:rPr>
        <w:t>52-2006</w:t>
      </w:r>
      <w:r>
        <w:rPr>
          <w:rFonts w:hint="eastAsia" w:ascii="宋体"/>
        </w:rPr>
        <w:t>）</w:t>
      </w:r>
      <w:r>
        <w:rPr>
          <w:rFonts w:ascii="宋体"/>
        </w:rPr>
        <w:t>中的要求，在混凝土浇筑期间 至少每周一次，并按项目监理要求的更短的时间内，对所有骨料取样作级配试验。</w:t>
      </w:r>
    </w:p>
    <w:p>
      <w:pPr>
        <w:pStyle w:val="1280"/>
        <w:ind w:firstLine="440"/>
        <w:rPr>
          <w:rFonts w:ascii="宋体"/>
        </w:rPr>
      </w:pPr>
      <w:r>
        <w:rPr>
          <w:rFonts w:ascii="宋体"/>
        </w:rPr>
        <w:t>承包商还应按本规范的有关条款对骨料的吸水性，可能发生的碱性反应、氯化物含量及硅酸盐含量等内容进行试验。</w:t>
      </w:r>
    </w:p>
    <w:p>
      <w:pPr>
        <w:pStyle w:val="1284"/>
        <w:outlineLvl w:val="0"/>
        <w:rPr>
          <w:rFonts w:ascii="宋体" w:hAnsi="宋体"/>
        </w:rPr>
      </w:pPr>
      <w:bookmarkStart w:id="3259" w:name="_Toc385007742"/>
      <w:bookmarkStart w:id="3260" w:name="_Toc385008538"/>
      <w:bookmarkStart w:id="3261" w:name="_Toc385012700"/>
      <w:bookmarkStart w:id="3262" w:name="_Toc389234201"/>
      <w:bookmarkStart w:id="3263" w:name="_Toc393081152"/>
      <w:bookmarkStart w:id="3264" w:name="_Toc397479603"/>
      <w:bookmarkStart w:id="3265" w:name="_Toc397479930"/>
      <w:bookmarkStart w:id="3266" w:name="_Toc397481652"/>
      <w:bookmarkStart w:id="3267" w:name="_Toc397485721"/>
      <w:bookmarkStart w:id="3268" w:name="_Toc398083809"/>
      <w:bookmarkStart w:id="3269" w:name="_Toc16242416"/>
      <w:bookmarkStart w:id="3270" w:name="_Toc43107597"/>
      <w:bookmarkStart w:id="3271" w:name="_Toc164502178"/>
      <w:bookmarkStart w:id="3272" w:name="_Toc266662980"/>
      <w:bookmarkStart w:id="3273" w:name="_Toc320555447"/>
      <w:bookmarkStart w:id="3274" w:name="_Toc517382581"/>
      <w:bookmarkStart w:id="3275" w:name="_Toc518376634"/>
      <w:bookmarkStart w:id="3276" w:name="_Toc521491956"/>
      <w:bookmarkStart w:id="3277" w:name="_Toc521492813"/>
      <w:bookmarkStart w:id="3278" w:name="_Toc521493487"/>
      <w:bookmarkStart w:id="3279" w:name="_Toc106883144"/>
      <w:r>
        <w:rPr>
          <w:rFonts w:ascii="宋体" w:hAnsi="宋体"/>
        </w:rPr>
        <w:t>3.6.2 混凝土的取样和试验</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1280"/>
        <w:ind w:firstLine="440"/>
        <w:rPr>
          <w:rFonts w:ascii="宋体"/>
        </w:rPr>
      </w:pPr>
      <w:r>
        <w:rPr>
          <w:rFonts w:ascii="宋体"/>
        </w:rPr>
        <w:t>承包商应按本技术规范和</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中的规定，对新浇并已硬化混凝土的取样、试验作 出必要的安排，配备必要器材、劳力、材料及运输工具。</w:t>
      </w:r>
    </w:p>
    <w:p>
      <w:pPr>
        <w:pStyle w:val="1280"/>
        <w:ind w:firstLine="440"/>
        <w:rPr>
          <w:rFonts w:ascii="宋体"/>
        </w:rPr>
      </w:pPr>
      <w:r>
        <w:rPr>
          <w:rFonts w:ascii="宋体"/>
        </w:rPr>
        <w:t>承包商应对混凝土工程中每个强度等级的混凝土试块进行强度试验。这种试验次数不应少于</w:t>
      </w:r>
      <w:r>
        <w:rPr>
          <w:rFonts w:hint="eastAsia" w:ascii="宋体"/>
        </w:rPr>
        <w:t>《混凝土强度检验评定标准》（</w:t>
      </w:r>
      <w:r>
        <w:rPr>
          <w:rFonts w:ascii="宋体"/>
        </w:rPr>
        <w:t>GB</w:t>
      </w:r>
      <w:r>
        <w:rPr>
          <w:rFonts w:hint="eastAsia" w:ascii="宋体"/>
        </w:rPr>
        <w:t xml:space="preserve">/T </w:t>
      </w:r>
      <w:r>
        <w:rPr>
          <w:rFonts w:ascii="宋体"/>
        </w:rPr>
        <w:t>50107-2010</w:t>
      </w:r>
      <w:r>
        <w:rPr>
          <w:rFonts w:hint="eastAsia" w:ascii="宋体"/>
        </w:rPr>
        <w:t>）</w:t>
      </w:r>
      <w:r>
        <w:rPr>
          <w:rFonts w:ascii="宋体"/>
        </w:rPr>
        <w:t>所规定的频率。</w:t>
      </w:r>
    </w:p>
    <w:p>
      <w:pPr>
        <w:pStyle w:val="1280"/>
        <w:ind w:firstLine="440"/>
        <w:rPr>
          <w:rFonts w:ascii="宋体"/>
        </w:rPr>
      </w:pPr>
      <w:bookmarkStart w:id="3280" w:name="_Toc393081153"/>
      <w:bookmarkStart w:id="3281" w:name="_Toc385007743"/>
      <w:bookmarkStart w:id="3282" w:name="_Toc389234202"/>
      <w:bookmarkStart w:id="3283" w:name="_Toc385008539"/>
      <w:bookmarkStart w:id="3284" w:name="_Toc385012701"/>
      <w:r>
        <w:rPr>
          <w:rFonts w:ascii="宋体"/>
        </w:rPr>
        <w:t>除</w:t>
      </w:r>
      <w:r>
        <w:rPr>
          <w:rFonts w:hint="eastAsia" w:ascii="宋体"/>
        </w:rPr>
        <w:t>《混凝土强度检验评定标准》（</w:t>
      </w:r>
      <w:r>
        <w:rPr>
          <w:rFonts w:ascii="宋体"/>
        </w:rPr>
        <w:t>GB50107-2010</w:t>
      </w:r>
      <w:r>
        <w:rPr>
          <w:rFonts w:hint="eastAsia" w:ascii="宋体"/>
        </w:rPr>
        <w:t>）</w:t>
      </w:r>
      <w:r>
        <w:rPr>
          <w:rFonts w:ascii="宋体"/>
        </w:rPr>
        <w:t>中规定对每种混凝土需做的试验外，应对重要构筑物或构件做工程试块，与 结构与构件有相同的养护条件，其次数第100立方米做一组试块或每个班组做一组试块。每组试块三块，应从同一拌混凝土中取样，一块做7天试验，二块做28天试验，另取三块试块做抗渗试验。</w:t>
      </w:r>
    </w:p>
    <w:p>
      <w:pPr>
        <w:pStyle w:val="1280"/>
        <w:ind w:firstLine="440"/>
        <w:rPr>
          <w:rFonts w:ascii="宋体"/>
        </w:rPr>
      </w:pPr>
      <w:r>
        <w:rPr>
          <w:rFonts w:ascii="宋体"/>
        </w:rPr>
        <w:t>承包商应随时对混凝土的塌落度进行检查，并应符合表3-6-1</w:t>
      </w:r>
      <w:r>
        <w:rPr>
          <w:rFonts w:hint="eastAsia" w:ascii="宋体"/>
        </w:rPr>
        <w:t>~</w:t>
      </w:r>
      <w:r>
        <w:rPr>
          <w:rFonts w:ascii="宋体"/>
        </w:rPr>
        <w:t>3-6-</w:t>
      </w:r>
      <w:r>
        <w:rPr>
          <w:rFonts w:hint="eastAsia" w:ascii="宋体"/>
        </w:rPr>
        <w:t>2</w:t>
      </w:r>
      <w:r>
        <w:rPr>
          <w:rFonts w:ascii="宋体"/>
        </w:rPr>
        <w:t>的要求。</w:t>
      </w:r>
    </w:p>
    <w:p>
      <w:pPr>
        <w:pStyle w:val="1286"/>
        <w:rPr>
          <w:rFonts w:ascii="宋体" w:hAnsi="宋体"/>
          <w:bCs/>
          <w:color w:val="auto"/>
        </w:rPr>
      </w:pPr>
      <w:r>
        <w:rPr>
          <w:rFonts w:hint="eastAsia" w:ascii="宋体" w:hAnsi="宋体"/>
          <w:color w:val="auto"/>
        </w:rPr>
        <w:t xml:space="preserve">                                     </w:t>
      </w:r>
      <w:r>
        <w:rPr>
          <w:rFonts w:ascii="宋体" w:hAnsi="宋体"/>
          <w:color w:val="auto"/>
        </w:rPr>
        <w:t xml:space="preserve">混凝土浇筑入模时的坍落度          </w:t>
      </w:r>
      <w:r>
        <w:rPr>
          <w:rFonts w:hint="eastAsia" w:ascii="宋体" w:hAnsi="宋体"/>
          <w:color w:val="auto"/>
        </w:rPr>
        <w:t xml:space="preserve">          </w:t>
      </w:r>
      <w:r>
        <w:rPr>
          <w:rFonts w:ascii="宋体" w:hAnsi="宋体"/>
          <w:color w:val="auto"/>
        </w:rPr>
        <w:t xml:space="preserve"> </w:t>
      </w:r>
      <w:r>
        <w:rPr>
          <w:rFonts w:hint="eastAsia" w:ascii="宋体" w:hAnsi="宋体"/>
          <w:color w:val="auto"/>
        </w:rPr>
        <w:t xml:space="preserve">    </w:t>
      </w:r>
      <w:r>
        <w:rPr>
          <w:rFonts w:ascii="宋体" w:hAnsi="宋体"/>
          <w:color w:val="auto"/>
        </w:rPr>
        <w:t xml:space="preserve"> 表3-6-1</w:t>
      </w:r>
    </w:p>
    <w:tbl>
      <w:tblPr>
        <w:tblStyle w:val="77"/>
        <w:tblW w:w="8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72"/>
        <w:gridCol w:w="1419"/>
        <w:gridCol w:w="30"/>
        <w:gridCol w:w="3264"/>
        <w:gridCol w:w="1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772" w:type="dxa"/>
            <w:vAlign w:val="center"/>
          </w:tcPr>
          <w:p>
            <w:pPr>
              <w:pStyle w:val="1286"/>
              <w:rPr>
                <w:rFonts w:ascii="宋体" w:hAnsi="宋体"/>
                <w:color w:val="auto"/>
              </w:rPr>
            </w:pPr>
            <w:r>
              <w:rPr>
                <w:rFonts w:ascii="宋体" w:hAnsi="宋体"/>
                <w:color w:val="auto"/>
              </w:rPr>
              <w:t>结 构 物 类 型</w:t>
            </w:r>
          </w:p>
        </w:tc>
        <w:tc>
          <w:tcPr>
            <w:tcW w:w="1419" w:type="dxa"/>
            <w:vAlign w:val="center"/>
          </w:tcPr>
          <w:p>
            <w:pPr>
              <w:pStyle w:val="1286"/>
              <w:rPr>
                <w:rFonts w:ascii="宋体" w:hAnsi="宋体"/>
                <w:color w:val="auto"/>
              </w:rPr>
            </w:pPr>
            <w:r>
              <w:rPr>
                <w:rFonts w:ascii="宋体" w:hAnsi="宋体"/>
                <w:color w:val="auto"/>
              </w:rPr>
              <w:t>坍 落 度</w:t>
            </w:r>
            <w:r>
              <w:rPr>
                <w:rFonts w:hint="eastAsia" w:ascii="宋体" w:hAnsi="宋体"/>
                <w:color w:val="auto"/>
              </w:rPr>
              <w:t>（</w:t>
            </w:r>
            <w:r>
              <w:rPr>
                <w:rFonts w:ascii="宋体" w:hAnsi="宋体"/>
                <w:color w:val="auto"/>
              </w:rPr>
              <w:t>mm</w:t>
            </w:r>
            <w:r>
              <w:rPr>
                <w:rFonts w:hint="eastAsia" w:ascii="宋体" w:hAnsi="宋体"/>
                <w:color w:val="auto"/>
              </w:rPr>
              <w:t>）</w:t>
            </w:r>
          </w:p>
        </w:tc>
        <w:tc>
          <w:tcPr>
            <w:tcW w:w="30" w:type="dxa"/>
            <w:vMerge w:val="restart"/>
            <w:vAlign w:val="center"/>
          </w:tcPr>
          <w:p>
            <w:pPr>
              <w:pStyle w:val="1286"/>
              <w:rPr>
                <w:rFonts w:ascii="宋体" w:hAnsi="宋体"/>
                <w:color w:val="auto"/>
              </w:rPr>
            </w:pPr>
          </w:p>
        </w:tc>
        <w:tc>
          <w:tcPr>
            <w:tcW w:w="3264" w:type="dxa"/>
            <w:vAlign w:val="center"/>
          </w:tcPr>
          <w:p>
            <w:pPr>
              <w:pStyle w:val="1286"/>
              <w:rPr>
                <w:rFonts w:ascii="宋体" w:hAnsi="宋体"/>
                <w:color w:val="auto"/>
              </w:rPr>
            </w:pPr>
            <w:r>
              <w:rPr>
                <w:rFonts w:ascii="宋体" w:hAnsi="宋体"/>
                <w:color w:val="auto"/>
              </w:rPr>
              <w:t>结 构 物 类 型</w:t>
            </w:r>
          </w:p>
        </w:tc>
        <w:tc>
          <w:tcPr>
            <w:tcW w:w="1247" w:type="dxa"/>
            <w:vAlign w:val="center"/>
          </w:tcPr>
          <w:p>
            <w:pPr>
              <w:pStyle w:val="1286"/>
              <w:rPr>
                <w:rFonts w:ascii="宋体" w:hAnsi="宋体"/>
                <w:color w:val="auto"/>
              </w:rPr>
            </w:pPr>
            <w:r>
              <w:rPr>
                <w:rFonts w:ascii="宋体" w:hAnsi="宋体"/>
                <w:color w:val="auto"/>
              </w:rPr>
              <w:t>坍 落 度(mm)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772" w:type="dxa"/>
            <w:vAlign w:val="center"/>
          </w:tcPr>
          <w:p>
            <w:pPr>
              <w:pStyle w:val="1286"/>
              <w:rPr>
                <w:rFonts w:ascii="宋体" w:hAnsi="宋体"/>
                <w:color w:val="auto"/>
              </w:rPr>
            </w:pPr>
            <w:r>
              <w:rPr>
                <w:rFonts w:ascii="宋体" w:hAnsi="宋体"/>
                <w:color w:val="auto"/>
              </w:rPr>
              <w:t>小型预制块及便于振捣的结构</w:t>
            </w:r>
          </w:p>
        </w:tc>
        <w:tc>
          <w:tcPr>
            <w:tcW w:w="1419" w:type="dxa"/>
            <w:vAlign w:val="center"/>
          </w:tcPr>
          <w:p>
            <w:pPr>
              <w:pStyle w:val="1286"/>
              <w:rPr>
                <w:rFonts w:ascii="宋体" w:hAnsi="宋体"/>
                <w:color w:val="auto"/>
              </w:rPr>
            </w:pPr>
            <w:r>
              <w:rPr>
                <w:rFonts w:ascii="宋体" w:hAnsi="宋体"/>
                <w:color w:val="auto"/>
              </w:rPr>
              <w:t>0～20</w:t>
            </w:r>
          </w:p>
        </w:tc>
        <w:tc>
          <w:tcPr>
            <w:tcW w:w="30" w:type="dxa"/>
            <w:vMerge w:val="continue"/>
            <w:vAlign w:val="center"/>
          </w:tcPr>
          <w:p>
            <w:pPr>
              <w:pStyle w:val="1286"/>
              <w:rPr>
                <w:rFonts w:ascii="宋体" w:hAnsi="宋体"/>
                <w:color w:val="auto"/>
              </w:rPr>
            </w:pPr>
          </w:p>
        </w:tc>
        <w:tc>
          <w:tcPr>
            <w:tcW w:w="3264" w:type="dxa"/>
            <w:vAlign w:val="center"/>
          </w:tcPr>
          <w:p>
            <w:pPr>
              <w:pStyle w:val="1286"/>
              <w:rPr>
                <w:rFonts w:ascii="宋体" w:hAnsi="宋体"/>
                <w:color w:val="auto"/>
              </w:rPr>
            </w:pPr>
            <w:r>
              <w:rPr>
                <w:rFonts w:ascii="宋体" w:hAnsi="宋体"/>
                <w:color w:val="auto"/>
              </w:rPr>
              <w:t>配筋较密、断面较小的钢筋混凝土结构</w:t>
            </w:r>
          </w:p>
        </w:tc>
        <w:tc>
          <w:tcPr>
            <w:tcW w:w="1247" w:type="dxa"/>
            <w:vAlign w:val="center"/>
          </w:tcPr>
          <w:p>
            <w:pPr>
              <w:pStyle w:val="1286"/>
              <w:rPr>
                <w:rFonts w:ascii="宋体" w:hAnsi="宋体"/>
                <w:color w:val="auto"/>
              </w:rPr>
            </w:pPr>
            <w:r>
              <w:rPr>
                <w:rFonts w:ascii="宋体" w:hAnsi="宋体"/>
                <w:color w:val="auto"/>
              </w:rPr>
              <w:t>50～70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772" w:type="dxa"/>
            <w:vAlign w:val="center"/>
          </w:tcPr>
          <w:p>
            <w:pPr>
              <w:pStyle w:val="1286"/>
              <w:rPr>
                <w:rFonts w:ascii="宋体" w:hAnsi="宋体"/>
                <w:color w:val="auto"/>
              </w:rPr>
            </w:pPr>
            <w:r>
              <w:rPr>
                <w:rFonts w:ascii="宋体" w:hAnsi="宋体"/>
                <w:color w:val="auto"/>
              </w:rPr>
              <w:t>桥涵基础、墩台等无筋或少筋结构</w:t>
            </w:r>
          </w:p>
        </w:tc>
        <w:tc>
          <w:tcPr>
            <w:tcW w:w="1419" w:type="dxa"/>
            <w:vAlign w:val="center"/>
          </w:tcPr>
          <w:p>
            <w:pPr>
              <w:pStyle w:val="1286"/>
              <w:rPr>
                <w:rFonts w:ascii="宋体" w:hAnsi="宋体"/>
                <w:color w:val="auto"/>
              </w:rPr>
            </w:pPr>
            <w:r>
              <w:rPr>
                <w:rFonts w:ascii="宋体" w:hAnsi="宋体"/>
                <w:color w:val="auto"/>
              </w:rPr>
              <w:t>10～30</w:t>
            </w:r>
          </w:p>
        </w:tc>
        <w:tc>
          <w:tcPr>
            <w:tcW w:w="30" w:type="dxa"/>
            <w:vMerge w:val="continue"/>
            <w:vAlign w:val="center"/>
          </w:tcPr>
          <w:p>
            <w:pPr>
              <w:pStyle w:val="1286"/>
              <w:rPr>
                <w:rFonts w:ascii="宋体" w:hAnsi="宋体"/>
                <w:color w:val="auto"/>
              </w:rPr>
            </w:pPr>
          </w:p>
        </w:tc>
        <w:tc>
          <w:tcPr>
            <w:tcW w:w="3264" w:type="dxa"/>
            <w:vMerge w:val="restart"/>
            <w:vAlign w:val="center"/>
          </w:tcPr>
          <w:p>
            <w:pPr>
              <w:pStyle w:val="1286"/>
              <w:rPr>
                <w:rFonts w:ascii="宋体" w:hAnsi="宋体"/>
                <w:color w:val="auto"/>
              </w:rPr>
            </w:pPr>
            <w:r>
              <w:rPr>
                <w:rFonts w:ascii="宋体" w:hAnsi="宋体"/>
                <w:color w:val="auto"/>
              </w:rPr>
              <w:t>配筋极密、断面高而狭的钢筋混凝土结构</w:t>
            </w:r>
          </w:p>
        </w:tc>
        <w:tc>
          <w:tcPr>
            <w:tcW w:w="1247" w:type="dxa"/>
            <w:vMerge w:val="restart"/>
            <w:vAlign w:val="center"/>
          </w:tcPr>
          <w:p>
            <w:pPr>
              <w:pStyle w:val="1286"/>
              <w:rPr>
                <w:rFonts w:ascii="宋体" w:hAnsi="宋体"/>
                <w:color w:val="auto"/>
              </w:rPr>
            </w:pPr>
            <w:r>
              <w:rPr>
                <w:rFonts w:ascii="宋体" w:hAnsi="宋体"/>
                <w:color w:val="auto"/>
              </w:rPr>
              <w:t>70～90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772" w:type="dxa"/>
            <w:vAlign w:val="center"/>
          </w:tcPr>
          <w:p>
            <w:pPr>
              <w:pStyle w:val="1286"/>
              <w:rPr>
                <w:rFonts w:ascii="宋体" w:hAnsi="宋体"/>
                <w:color w:val="auto"/>
              </w:rPr>
            </w:pPr>
            <w:r>
              <w:rPr>
                <w:rFonts w:ascii="宋体" w:hAnsi="宋体"/>
                <w:color w:val="auto"/>
              </w:rPr>
              <w:t>普通配筋率的钢筋混凝土结构</w:t>
            </w:r>
          </w:p>
        </w:tc>
        <w:tc>
          <w:tcPr>
            <w:tcW w:w="1419" w:type="dxa"/>
            <w:vAlign w:val="center"/>
          </w:tcPr>
          <w:p>
            <w:pPr>
              <w:pStyle w:val="1286"/>
              <w:rPr>
                <w:rFonts w:ascii="宋体" w:hAnsi="宋体"/>
                <w:color w:val="auto"/>
              </w:rPr>
            </w:pPr>
            <w:r>
              <w:rPr>
                <w:rFonts w:ascii="宋体" w:hAnsi="宋体"/>
                <w:color w:val="auto"/>
              </w:rPr>
              <w:t>30～50</w:t>
            </w:r>
          </w:p>
        </w:tc>
        <w:tc>
          <w:tcPr>
            <w:tcW w:w="30" w:type="dxa"/>
            <w:vMerge w:val="continue"/>
            <w:vAlign w:val="center"/>
          </w:tcPr>
          <w:p>
            <w:pPr>
              <w:pStyle w:val="1286"/>
              <w:rPr>
                <w:rFonts w:ascii="宋体" w:hAnsi="宋体"/>
                <w:color w:val="auto"/>
              </w:rPr>
            </w:pPr>
          </w:p>
        </w:tc>
        <w:tc>
          <w:tcPr>
            <w:tcW w:w="3264" w:type="dxa"/>
            <w:vMerge w:val="continue"/>
            <w:vAlign w:val="center"/>
          </w:tcPr>
          <w:p>
            <w:pPr>
              <w:pStyle w:val="1286"/>
              <w:rPr>
                <w:rFonts w:ascii="宋体" w:hAnsi="宋体"/>
                <w:color w:val="auto"/>
              </w:rPr>
            </w:pPr>
          </w:p>
        </w:tc>
        <w:tc>
          <w:tcPr>
            <w:tcW w:w="1247" w:type="dxa"/>
            <w:vMerge w:val="continue"/>
            <w:vAlign w:val="center"/>
          </w:tcPr>
          <w:p>
            <w:pPr>
              <w:pStyle w:val="1286"/>
              <w:rPr>
                <w:rFonts w:ascii="宋体" w:hAnsi="宋体"/>
                <w:color w:val="auto"/>
              </w:rPr>
            </w:pPr>
          </w:p>
        </w:tc>
      </w:tr>
    </w:tbl>
    <w:p>
      <w:pPr>
        <w:pStyle w:val="1286"/>
        <w:rPr>
          <w:rFonts w:ascii="宋体" w:hAnsi="宋体"/>
          <w:color w:val="auto"/>
        </w:rPr>
      </w:pPr>
      <w:r>
        <w:rPr>
          <w:rFonts w:ascii="宋体" w:hAnsi="宋体"/>
          <w:color w:val="auto"/>
        </w:rPr>
        <w:t>注：用人工捣实时，坍落度宜增加20～30mm。</w:t>
      </w:r>
    </w:p>
    <w:p>
      <w:pPr>
        <w:pStyle w:val="1286"/>
        <w:rPr>
          <w:rFonts w:ascii="宋体" w:hAnsi="宋体"/>
          <w:color w:val="auto"/>
        </w:rPr>
      </w:pPr>
      <w:r>
        <w:rPr>
          <w:rFonts w:hint="eastAsia" w:ascii="宋体" w:hAnsi="宋体"/>
          <w:color w:val="auto"/>
        </w:rPr>
        <w:t xml:space="preserve">                                      </w:t>
      </w:r>
      <w:r>
        <w:rPr>
          <w:rFonts w:ascii="宋体" w:hAnsi="宋体"/>
          <w:color w:val="auto"/>
        </w:rPr>
        <w:t xml:space="preserve">混凝土入泵塌落度选用表        </w:t>
      </w:r>
      <w:r>
        <w:rPr>
          <w:rFonts w:hint="eastAsia" w:ascii="宋体" w:hAnsi="宋体"/>
          <w:color w:val="auto"/>
        </w:rPr>
        <w:t xml:space="preserve"> </w:t>
      </w:r>
      <w:r>
        <w:rPr>
          <w:rFonts w:ascii="宋体" w:hAnsi="宋体"/>
          <w:color w:val="auto"/>
        </w:rPr>
        <w:t xml:space="preserve">     </w:t>
      </w:r>
      <w:r>
        <w:rPr>
          <w:rFonts w:hint="eastAsia" w:ascii="宋体" w:hAnsi="宋体"/>
          <w:color w:val="auto"/>
        </w:rPr>
        <w:t xml:space="preserve">            </w:t>
      </w:r>
      <w:r>
        <w:rPr>
          <w:rFonts w:ascii="宋体" w:hAnsi="宋体"/>
          <w:color w:val="auto"/>
        </w:rPr>
        <w:t xml:space="preserve"> 表3-6-2</w:t>
      </w:r>
    </w:p>
    <w:tbl>
      <w:tblPr>
        <w:tblStyle w:val="77"/>
        <w:tblW w:w="8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4"/>
        <w:gridCol w:w="1350"/>
        <w:gridCol w:w="1614"/>
        <w:gridCol w:w="162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364" w:type="dxa"/>
            <w:vAlign w:val="center"/>
          </w:tcPr>
          <w:p>
            <w:pPr>
              <w:pStyle w:val="1286"/>
              <w:rPr>
                <w:rFonts w:ascii="宋体" w:hAnsi="宋体"/>
                <w:color w:val="auto"/>
              </w:rPr>
            </w:pPr>
            <w:r>
              <w:rPr>
                <w:rFonts w:ascii="宋体" w:hAnsi="宋体"/>
                <w:color w:val="auto"/>
              </w:rPr>
              <w:t>泵送高度(m)</w:t>
            </w:r>
          </w:p>
        </w:tc>
        <w:tc>
          <w:tcPr>
            <w:tcW w:w="1350" w:type="dxa"/>
            <w:vAlign w:val="center"/>
          </w:tcPr>
          <w:p>
            <w:pPr>
              <w:pStyle w:val="1286"/>
              <w:rPr>
                <w:rFonts w:ascii="宋体" w:hAnsi="宋体"/>
                <w:color w:val="auto"/>
              </w:rPr>
            </w:pPr>
            <w:r>
              <w:rPr>
                <w:rFonts w:ascii="宋体" w:hAnsi="宋体"/>
                <w:color w:val="auto"/>
              </w:rPr>
              <w:t>＜30</w:t>
            </w:r>
          </w:p>
        </w:tc>
        <w:tc>
          <w:tcPr>
            <w:tcW w:w="1614" w:type="dxa"/>
            <w:vAlign w:val="center"/>
          </w:tcPr>
          <w:p>
            <w:pPr>
              <w:pStyle w:val="1286"/>
              <w:rPr>
                <w:rFonts w:ascii="宋体" w:hAnsi="宋体"/>
                <w:color w:val="auto"/>
              </w:rPr>
            </w:pPr>
            <w:r>
              <w:rPr>
                <w:rFonts w:ascii="宋体" w:hAnsi="宋体"/>
                <w:color w:val="auto"/>
              </w:rPr>
              <w:t>30～60</w:t>
            </w:r>
          </w:p>
        </w:tc>
        <w:tc>
          <w:tcPr>
            <w:tcW w:w="1620" w:type="dxa"/>
            <w:vAlign w:val="center"/>
          </w:tcPr>
          <w:p>
            <w:pPr>
              <w:pStyle w:val="1286"/>
              <w:rPr>
                <w:rFonts w:ascii="宋体" w:hAnsi="宋体"/>
                <w:color w:val="auto"/>
              </w:rPr>
            </w:pPr>
            <w:r>
              <w:rPr>
                <w:rFonts w:ascii="宋体" w:hAnsi="宋体"/>
                <w:color w:val="auto"/>
              </w:rPr>
              <w:t>60～100</w:t>
            </w:r>
          </w:p>
        </w:tc>
        <w:tc>
          <w:tcPr>
            <w:tcW w:w="1440" w:type="dxa"/>
            <w:vAlign w:val="center"/>
          </w:tcPr>
          <w:p>
            <w:pPr>
              <w:pStyle w:val="1286"/>
              <w:rPr>
                <w:rFonts w:ascii="宋体" w:hAnsi="宋体"/>
                <w:color w:val="auto"/>
              </w:rPr>
            </w:pPr>
            <w:r>
              <w:rPr>
                <w:rFonts w:ascii="宋体" w:hAnsi="宋体"/>
                <w:color w:val="auto"/>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2364" w:type="dxa"/>
            <w:vAlign w:val="center"/>
          </w:tcPr>
          <w:p>
            <w:pPr>
              <w:pStyle w:val="1286"/>
              <w:rPr>
                <w:rFonts w:ascii="宋体" w:hAnsi="宋体"/>
                <w:color w:val="auto"/>
              </w:rPr>
            </w:pPr>
            <w:r>
              <w:rPr>
                <w:rFonts w:ascii="宋体" w:hAnsi="宋体"/>
                <w:color w:val="auto"/>
              </w:rPr>
              <w:t>塌落度(mm)</w:t>
            </w:r>
          </w:p>
        </w:tc>
        <w:tc>
          <w:tcPr>
            <w:tcW w:w="1350" w:type="dxa"/>
            <w:vAlign w:val="center"/>
          </w:tcPr>
          <w:p>
            <w:pPr>
              <w:pStyle w:val="1286"/>
              <w:rPr>
                <w:rFonts w:ascii="宋体" w:hAnsi="宋体"/>
                <w:color w:val="auto"/>
              </w:rPr>
            </w:pPr>
            <w:r>
              <w:rPr>
                <w:rFonts w:ascii="宋体" w:hAnsi="宋体"/>
                <w:color w:val="auto"/>
              </w:rPr>
              <w:t>100～140</w:t>
            </w:r>
          </w:p>
        </w:tc>
        <w:tc>
          <w:tcPr>
            <w:tcW w:w="1614" w:type="dxa"/>
            <w:vAlign w:val="center"/>
          </w:tcPr>
          <w:p>
            <w:pPr>
              <w:pStyle w:val="1286"/>
              <w:rPr>
                <w:rFonts w:ascii="宋体" w:hAnsi="宋体"/>
                <w:color w:val="auto"/>
              </w:rPr>
            </w:pPr>
            <w:r>
              <w:rPr>
                <w:rFonts w:ascii="宋体" w:hAnsi="宋体"/>
                <w:color w:val="auto"/>
              </w:rPr>
              <w:t>140～160</w:t>
            </w:r>
          </w:p>
        </w:tc>
        <w:tc>
          <w:tcPr>
            <w:tcW w:w="1620" w:type="dxa"/>
            <w:vAlign w:val="center"/>
          </w:tcPr>
          <w:p>
            <w:pPr>
              <w:pStyle w:val="1286"/>
              <w:rPr>
                <w:rFonts w:ascii="宋体" w:hAnsi="宋体"/>
                <w:color w:val="auto"/>
              </w:rPr>
            </w:pPr>
            <w:r>
              <w:rPr>
                <w:rFonts w:ascii="宋体" w:hAnsi="宋体"/>
                <w:color w:val="auto"/>
              </w:rPr>
              <w:t>160～180</w:t>
            </w:r>
          </w:p>
        </w:tc>
        <w:tc>
          <w:tcPr>
            <w:tcW w:w="1440" w:type="dxa"/>
            <w:vAlign w:val="center"/>
          </w:tcPr>
          <w:p>
            <w:pPr>
              <w:pStyle w:val="1286"/>
              <w:rPr>
                <w:rFonts w:ascii="宋体" w:hAnsi="宋体"/>
                <w:color w:val="auto"/>
              </w:rPr>
            </w:pPr>
            <w:r>
              <w:rPr>
                <w:rFonts w:ascii="宋体" w:hAnsi="宋体"/>
                <w:color w:val="auto"/>
              </w:rPr>
              <w:t>180～200</w:t>
            </w:r>
          </w:p>
        </w:tc>
      </w:tr>
    </w:tbl>
    <w:p>
      <w:pPr>
        <w:pStyle w:val="1284"/>
        <w:rPr>
          <w:rFonts w:ascii="宋体" w:hAnsi="宋体"/>
        </w:rPr>
      </w:pPr>
      <w:bookmarkStart w:id="3285" w:name="_Toc397479604"/>
      <w:bookmarkStart w:id="3286" w:name="_Toc397479931"/>
      <w:bookmarkStart w:id="3287" w:name="_Toc397481653"/>
      <w:bookmarkStart w:id="3288" w:name="_Toc397485722"/>
      <w:bookmarkStart w:id="3289" w:name="_Toc398083810"/>
      <w:bookmarkStart w:id="3290" w:name="_Toc16242417"/>
      <w:bookmarkStart w:id="3291" w:name="_Toc43107598"/>
      <w:bookmarkStart w:id="3292" w:name="_Toc164502179"/>
      <w:bookmarkStart w:id="3293" w:name="_Toc266662981"/>
      <w:bookmarkStart w:id="3294" w:name="_Toc320555448"/>
      <w:bookmarkStart w:id="3295" w:name="_Toc517382582"/>
      <w:bookmarkStart w:id="3296" w:name="_Toc518376635"/>
      <w:bookmarkStart w:id="3297" w:name="_Toc521491957"/>
      <w:bookmarkStart w:id="3298" w:name="_Toc521492814"/>
      <w:bookmarkStart w:id="3299" w:name="_Toc521493488"/>
      <w:bookmarkStart w:id="3300" w:name="_Toc106883145"/>
      <w:r>
        <w:rPr>
          <w:rFonts w:ascii="宋体" w:hAnsi="宋体"/>
        </w:rPr>
        <w:t>3.6.3 符合特殊规定的要求</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p>
    <w:p>
      <w:pPr>
        <w:pStyle w:val="1280"/>
        <w:ind w:firstLine="440"/>
        <w:rPr>
          <w:rFonts w:ascii="宋体"/>
        </w:rPr>
      </w:pPr>
      <w:r>
        <w:rPr>
          <w:rFonts w:ascii="宋体"/>
        </w:rPr>
        <w:t>拌好的和准备浇筑的混凝土满足下列要求时方可用于工程中的浇筑:</w:t>
      </w:r>
    </w:p>
    <w:p>
      <w:pPr>
        <w:pStyle w:val="1280"/>
        <w:ind w:firstLine="440"/>
        <w:rPr>
          <w:rFonts w:ascii="宋体"/>
        </w:rPr>
      </w:pPr>
      <w:r>
        <w:rPr>
          <w:rFonts w:ascii="宋体"/>
        </w:rPr>
        <w:t>混凝土的强度等级和骨料粒径正确，配料和拌合符合本技术规范；</w:t>
      </w:r>
    </w:p>
    <w:p>
      <w:pPr>
        <w:pStyle w:val="1280"/>
        <w:ind w:firstLine="440"/>
        <w:rPr>
          <w:rFonts w:ascii="宋体"/>
        </w:rPr>
      </w:pPr>
      <w:r>
        <w:rPr>
          <w:rFonts w:ascii="宋体"/>
        </w:rPr>
        <w:t>骨料的级配在规定范围之内；</w:t>
      </w:r>
    </w:p>
    <w:p>
      <w:pPr>
        <w:pStyle w:val="1280"/>
        <w:ind w:firstLine="440"/>
        <w:rPr>
          <w:rFonts w:ascii="宋体"/>
        </w:rPr>
      </w:pPr>
      <w:r>
        <w:rPr>
          <w:rFonts w:ascii="宋体"/>
        </w:rPr>
        <w:t>和易性在</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规定的塌落度指标范围内；</w:t>
      </w:r>
    </w:p>
    <w:p>
      <w:pPr>
        <w:pStyle w:val="1280"/>
        <w:ind w:firstLine="440"/>
        <w:rPr>
          <w:rFonts w:ascii="宋体"/>
        </w:rPr>
      </w:pPr>
      <w:r>
        <w:rPr>
          <w:rFonts w:ascii="宋体"/>
        </w:rPr>
        <w:t>混凝土拌合至浇筑之间的时间没有超出</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规定的范围。</w:t>
      </w:r>
    </w:p>
    <w:p>
      <w:pPr>
        <w:pStyle w:val="1280"/>
        <w:ind w:firstLine="440"/>
        <w:rPr>
          <w:rFonts w:ascii="宋体"/>
        </w:rPr>
      </w:pPr>
      <w:r>
        <w:rPr>
          <w:rFonts w:ascii="宋体"/>
        </w:rPr>
        <w:t>若混凝土不符合上述的任何一条的要求，都不得用于本工程。承包商虽采取了补救措施，但未得到项目监理和业主的批准之前，不得继续拌制该强度的混凝土。混凝土在浇筑后应符合</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的要求。对每组试块连续测试所得的28天平均强度也应符合规定的要求。</w:t>
      </w:r>
    </w:p>
    <w:p>
      <w:pPr>
        <w:pStyle w:val="1280"/>
        <w:ind w:firstLine="440"/>
        <w:rPr>
          <w:rFonts w:ascii="宋体"/>
        </w:rPr>
      </w:pPr>
      <w:r>
        <w:rPr>
          <w:rFonts w:ascii="宋体"/>
        </w:rPr>
        <w:t>承包商在试验日的24小时之内，就对于未能满足上述要求的试块所代表的混凝土采取措施，提供建议并与项目监理达成一致，这些建议包括但不局限于取芯试验。最终发现混凝土不符合本技术规范规定的要求时，混凝土应报废并拆毁和重浇。或按项目监理和业主同意的其它方法处理。</w:t>
      </w:r>
    </w:p>
    <w:p>
      <w:pPr>
        <w:pStyle w:val="1280"/>
        <w:ind w:firstLine="440"/>
        <w:rPr>
          <w:rFonts w:ascii="宋体"/>
        </w:rPr>
      </w:pPr>
      <w:r>
        <w:rPr>
          <w:rFonts w:ascii="宋体"/>
        </w:rPr>
        <w:t>因不符合混凝土要求而造成的一切费用应由承包商负责。</w:t>
      </w:r>
    </w:p>
    <w:p>
      <w:pPr>
        <w:pStyle w:val="1284"/>
        <w:outlineLvl w:val="0"/>
        <w:rPr>
          <w:rFonts w:ascii="宋体" w:hAnsi="宋体"/>
        </w:rPr>
      </w:pPr>
      <w:bookmarkStart w:id="3301" w:name="_Toc385007744"/>
      <w:bookmarkStart w:id="3302" w:name="_Toc385008540"/>
      <w:bookmarkStart w:id="3303" w:name="_Toc385012702"/>
      <w:bookmarkStart w:id="3304" w:name="_Toc389234203"/>
      <w:bookmarkStart w:id="3305" w:name="_Toc393081154"/>
      <w:bookmarkStart w:id="3306" w:name="_Toc397479605"/>
      <w:bookmarkStart w:id="3307" w:name="_Toc397479932"/>
      <w:bookmarkStart w:id="3308" w:name="_Toc397481654"/>
      <w:bookmarkStart w:id="3309" w:name="_Toc397485723"/>
      <w:bookmarkStart w:id="3310" w:name="_Toc398083811"/>
      <w:bookmarkStart w:id="3311" w:name="_Toc16242418"/>
      <w:bookmarkStart w:id="3312" w:name="_Toc43107599"/>
      <w:bookmarkStart w:id="3313" w:name="_Toc164502180"/>
      <w:bookmarkStart w:id="3314" w:name="_Toc266662982"/>
      <w:bookmarkStart w:id="3315" w:name="_Toc320555449"/>
      <w:bookmarkStart w:id="3316" w:name="_Toc517382583"/>
      <w:bookmarkStart w:id="3317" w:name="_Toc518376636"/>
      <w:bookmarkStart w:id="3318" w:name="_Toc521491958"/>
      <w:bookmarkStart w:id="3319" w:name="_Toc521492815"/>
      <w:bookmarkStart w:id="3320" w:name="_Toc521493489"/>
      <w:bookmarkStart w:id="3321" w:name="_Toc106883146"/>
      <w:r>
        <w:rPr>
          <w:rFonts w:ascii="宋体" w:hAnsi="宋体"/>
        </w:rPr>
        <w:t>3.6.4 取芯试验</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1280"/>
        <w:ind w:firstLine="440"/>
        <w:rPr>
          <w:rFonts w:ascii="宋体"/>
        </w:rPr>
      </w:pPr>
      <w:r>
        <w:rPr>
          <w:rFonts w:ascii="宋体"/>
        </w:rPr>
        <w:t>承包商为了对已完的混凝土工程（含水下混凝土）作进一步的检查和试验，在项目监理的指定部位，垂直于已硬化的混凝土表面，切取150mm直径的芯样，钻孔、检查、测定和抗压强度试验的程序须经项目监理的批准。在准备做试验之前，应备好试件供项目监理检查，如果试件的抗压强度小于规定的强度值，或者项目监理认为混凝土在其它方面不符合规定的要求时，则样品所代表的该部分工程的混凝土被认为不符合技术规范要求。钻孔、检查、测定、试验和修补的费用应由承包商负责。</w:t>
      </w:r>
    </w:p>
    <w:p>
      <w:pPr>
        <w:pStyle w:val="1284"/>
        <w:outlineLvl w:val="0"/>
        <w:rPr>
          <w:rFonts w:ascii="宋体" w:hAnsi="宋体"/>
        </w:rPr>
      </w:pPr>
      <w:bookmarkStart w:id="3322" w:name="_Toc385007745"/>
      <w:bookmarkStart w:id="3323" w:name="_Toc385008541"/>
      <w:bookmarkStart w:id="3324" w:name="_Toc385012703"/>
      <w:bookmarkStart w:id="3325" w:name="_Toc389234204"/>
      <w:bookmarkStart w:id="3326" w:name="_Toc393081155"/>
      <w:bookmarkStart w:id="3327" w:name="_Toc397479606"/>
      <w:bookmarkStart w:id="3328" w:name="_Toc397479933"/>
      <w:bookmarkStart w:id="3329" w:name="_Toc397481655"/>
      <w:bookmarkStart w:id="3330" w:name="_Toc397485724"/>
      <w:bookmarkStart w:id="3331" w:name="_Toc398083812"/>
      <w:bookmarkStart w:id="3332" w:name="_Toc16242419"/>
      <w:bookmarkStart w:id="3333" w:name="_Toc43107600"/>
      <w:bookmarkStart w:id="3334" w:name="_Toc164502181"/>
      <w:bookmarkStart w:id="3335" w:name="_Toc266662983"/>
      <w:bookmarkStart w:id="3336" w:name="_Toc320555450"/>
      <w:bookmarkStart w:id="3337" w:name="_Toc517382584"/>
      <w:bookmarkStart w:id="3338" w:name="_Toc518376637"/>
      <w:bookmarkStart w:id="3339" w:name="_Toc521491959"/>
      <w:bookmarkStart w:id="3340" w:name="_Toc521492816"/>
      <w:bookmarkStart w:id="3341" w:name="_Toc521493490"/>
      <w:bookmarkStart w:id="3342" w:name="_Toc106883147"/>
      <w:r>
        <w:rPr>
          <w:rFonts w:ascii="宋体" w:hAnsi="宋体"/>
        </w:rPr>
        <w:t>3.6.5 承包商对试验的责任</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1280"/>
        <w:ind w:firstLine="440"/>
        <w:rPr>
          <w:rFonts w:ascii="宋体"/>
        </w:rPr>
      </w:pPr>
      <w:r>
        <w:rPr>
          <w:rFonts w:ascii="宋体"/>
        </w:rPr>
        <w:t>除了取样和试验应负的责任外，承包商还应对日常检查和试验、材料、检测装置和设备负责，以便控制工程质量，并保证同本技术规范的规定及要求相符。</w:t>
      </w:r>
    </w:p>
    <w:p>
      <w:pPr>
        <w:pStyle w:val="1281"/>
        <w:outlineLvl w:val="0"/>
        <w:rPr>
          <w:rFonts w:ascii="宋体" w:hAnsi="宋体"/>
          <w:color w:val="auto"/>
        </w:rPr>
      </w:pPr>
      <w:bookmarkStart w:id="3343" w:name="_Toc385007746"/>
      <w:bookmarkStart w:id="3344" w:name="_Toc385008542"/>
      <w:bookmarkStart w:id="3345" w:name="_Toc385012704"/>
      <w:bookmarkStart w:id="3346" w:name="_Toc389234205"/>
      <w:bookmarkStart w:id="3347" w:name="_Toc393081156"/>
      <w:bookmarkStart w:id="3348" w:name="_Toc397479607"/>
      <w:bookmarkStart w:id="3349" w:name="_Toc397479934"/>
      <w:bookmarkStart w:id="3350" w:name="_Toc397481656"/>
      <w:bookmarkStart w:id="3351" w:name="_Toc397485725"/>
      <w:bookmarkStart w:id="3352" w:name="_Toc398083813"/>
      <w:bookmarkStart w:id="3353" w:name="_Toc16242420"/>
      <w:bookmarkStart w:id="3354" w:name="_Toc43107601"/>
      <w:bookmarkStart w:id="3355" w:name="_Toc164502182"/>
      <w:bookmarkStart w:id="3356" w:name="_Toc266662984"/>
      <w:bookmarkStart w:id="3357" w:name="_Toc320555451"/>
      <w:bookmarkStart w:id="3358" w:name="_Toc517382585"/>
      <w:bookmarkStart w:id="3359" w:name="_Toc518376638"/>
      <w:bookmarkStart w:id="3360" w:name="_Toc521491960"/>
      <w:bookmarkStart w:id="3361" w:name="_Toc521492817"/>
      <w:bookmarkStart w:id="3362" w:name="_Toc521493491"/>
      <w:bookmarkStart w:id="3363" w:name="_Toc106883148"/>
      <w:r>
        <w:rPr>
          <w:rFonts w:ascii="宋体" w:hAnsi="宋体"/>
          <w:color w:val="auto"/>
        </w:rPr>
        <w:t>3.7 混凝土模板</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1284"/>
        <w:rPr>
          <w:rFonts w:ascii="宋体" w:hAnsi="宋体"/>
        </w:rPr>
      </w:pPr>
      <w:bookmarkStart w:id="3364" w:name="_Toc385007747"/>
      <w:bookmarkStart w:id="3365" w:name="_Toc385008543"/>
      <w:bookmarkStart w:id="3366" w:name="_Toc385012705"/>
      <w:bookmarkStart w:id="3367" w:name="_Toc389234206"/>
      <w:bookmarkStart w:id="3368" w:name="_Toc393081157"/>
      <w:bookmarkStart w:id="3369" w:name="_Toc397479608"/>
      <w:bookmarkStart w:id="3370" w:name="_Toc397479935"/>
      <w:bookmarkStart w:id="3371" w:name="_Toc397481657"/>
      <w:bookmarkStart w:id="3372" w:name="_Toc397485726"/>
      <w:bookmarkStart w:id="3373" w:name="_Toc398083814"/>
      <w:bookmarkStart w:id="3374" w:name="_Toc16242421"/>
      <w:bookmarkStart w:id="3375" w:name="_Toc43107602"/>
      <w:bookmarkStart w:id="3376" w:name="_Toc164502183"/>
      <w:bookmarkStart w:id="3377" w:name="_Toc266662985"/>
      <w:bookmarkStart w:id="3378" w:name="_Toc320555452"/>
      <w:bookmarkStart w:id="3379" w:name="_Toc517382586"/>
      <w:bookmarkStart w:id="3380" w:name="_Toc518376639"/>
      <w:bookmarkStart w:id="3381" w:name="_Toc521491961"/>
      <w:bookmarkStart w:id="3382" w:name="_Toc521492818"/>
      <w:bookmarkStart w:id="3383" w:name="_Toc521493492"/>
      <w:bookmarkStart w:id="3384" w:name="_Toc106883149"/>
      <w:r>
        <w:rPr>
          <w:rFonts w:ascii="宋体" w:hAnsi="宋体"/>
        </w:rPr>
        <w:t>3.7.1 模板材料</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1280"/>
        <w:ind w:firstLine="440"/>
        <w:rPr>
          <w:rFonts w:ascii="宋体"/>
        </w:rPr>
      </w:pPr>
      <w:r>
        <w:rPr>
          <w:rFonts w:ascii="宋体"/>
        </w:rPr>
        <w:t>模板必须优先考虑使用定型的钢模板，只有项目监理和业主同意的情况下，才允许使用木模板或其它材料的模板。</w:t>
      </w:r>
    </w:p>
    <w:p>
      <w:pPr>
        <w:pStyle w:val="1280"/>
        <w:ind w:firstLine="440"/>
        <w:rPr>
          <w:rFonts w:ascii="宋体"/>
        </w:rPr>
      </w:pPr>
      <w:r>
        <w:rPr>
          <w:rFonts w:ascii="宋体"/>
        </w:rPr>
        <w:t>钢模板的钢材应符合</w:t>
      </w:r>
      <w:r>
        <w:rPr>
          <w:rFonts w:hint="eastAsia" w:ascii="宋体"/>
        </w:rPr>
        <w:t>《碳素钢结构》（</w:t>
      </w:r>
      <w:r>
        <w:rPr>
          <w:rFonts w:ascii="宋体"/>
        </w:rPr>
        <w:t>GB/T</w:t>
      </w:r>
      <w:r>
        <w:rPr>
          <w:rFonts w:hint="eastAsia" w:ascii="宋体"/>
        </w:rPr>
        <w:t xml:space="preserve"> </w:t>
      </w:r>
      <w:r>
        <w:rPr>
          <w:rFonts w:ascii="宋体"/>
        </w:rPr>
        <w:t>700-2006</w:t>
      </w:r>
      <w:r>
        <w:rPr>
          <w:rFonts w:hint="eastAsia" w:ascii="宋体"/>
        </w:rPr>
        <w:t>）</w:t>
      </w:r>
      <w:r>
        <w:rPr>
          <w:rFonts w:ascii="宋体"/>
        </w:rPr>
        <w:t>中的有关要求，标准定型钢模板的制作应符合</w:t>
      </w:r>
      <w:r>
        <w:rPr>
          <w:rFonts w:hint="eastAsia" w:ascii="宋体"/>
        </w:rPr>
        <w:t>《钢结构工程施工质量验收规范》（</w:t>
      </w:r>
      <w:r>
        <w:rPr>
          <w:rFonts w:ascii="宋体"/>
        </w:rPr>
        <w:t>GB</w:t>
      </w:r>
      <w:r>
        <w:rPr>
          <w:rFonts w:hint="eastAsia" w:ascii="宋体"/>
        </w:rPr>
        <w:t xml:space="preserve"> </w:t>
      </w:r>
      <w:r>
        <w:rPr>
          <w:rFonts w:ascii="宋体"/>
        </w:rPr>
        <w:t>50205-2001</w:t>
      </w:r>
      <w:r>
        <w:rPr>
          <w:rFonts w:hint="eastAsia" w:ascii="宋体"/>
        </w:rPr>
        <w:t>）</w:t>
      </w:r>
      <w:r>
        <w:rPr>
          <w:rFonts w:ascii="宋体"/>
        </w:rPr>
        <w:t>中的有关规定。木模板的木材应符合</w:t>
      </w:r>
      <w:r>
        <w:rPr>
          <w:rFonts w:hint="eastAsia" w:ascii="宋体"/>
        </w:rPr>
        <w:t>《木结构工程施工质量验收规范》（</w:t>
      </w:r>
      <w:r>
        <w:rPr>
          <w:rFonts w:ascii="宋体"/>
        </w:rPr>
        <w:t>GB</w:t>
      </w:r>
      <w:r>
        <w:rPr>
          <w:rFonts w:hint="eastAsia" w:ascii="宋体"/>
        </w:rPr>
        <w:t xml:space="preserve"> </w:t>
      </w:r>
      <w:r>
        <w:rPr>
          <w:rFonts w:ascii="宋体"/>
        </w:rPr>
        <w:t>50206-2012</w:t>
      </w:r>
      <w:r>
        <w:rPr>
          <w:rFonts w:hint="eastAsia" w:ascii="宋体"/>
        </w:rPr>
        <w:t>）</w:t>
      </w:r>
      <w:r>
        <w:rPr>
          <w:rFonts w:ascii="宋体"/>
        </w:rPr>
        <w:t>中的承重结构的选材标准。</w:t>
      </w:r>
    </w:p>
    <w:p>
      <w:pPr>
        <w:pStyle w:val="1284"/>
        <w:rPr>
          <w:rFonts w:ascii="宋体" w:hAnsi="宋体"/>
        </w:rPr>
      </w:pPr>
      <w:bookmarkStart w:id="3385" w:name="_Toc385007748"/>
      <w:bookmarkStart w:id="3386" w:name="_Toc385008544"/>
      <w:bookmarkStart w:id="3387" w:name="_Toc385012706"/>
      <w:bookmarkStart w:id="3388" w:name="_Toc389234207"/>
      <w:bookmarkStart w:id="3389" w:name="_Toc393081158"/>
      <w:bookmarkStart w:id="3390" w:name="_Toc397479609"/>
      <w:bookmarkStart w:id="3391" w:name="_Toc397479936"/>
      <w:bookmarkStart w:id="3392" w:name="_Toc397481658"/>
      <w:bookmarkStart w:id="3393" w:name="_Toc397485727"/>
      <w:bookmarkStart w:id="3394" w:name="_Toc398083815"/>
      <w:bookmarkStart w:id="3395" w:name="_Toc16242422"/>
      <w:bookmarkStart w:id="3396" w:name="_Toc43107603"/>
      <w:bookmarkStart w:id="3397" w:name="_Toc164502184"/>
      <w:bookmarkStart w:id="3398" w:name="_Toc266662986"/>
      <w:bookmarkStart w:id="3399" w:name="_Toc320555453"/>
      <w:bookmarkStart w:id="3400" w:name="_Toc517382587"/>
      <w:bookmarkStart w:id="3401" w:name="_Toc518376640"/>
      <w:bookmarkStart w:id="3402" w:name="_Toc521491962"/>
      <w:bookmarkStart w:id="3403" w:name="_Toc521492819"/>
      <w:bookmarkStart w:id="3404" w:name="_Toc521493493"/>
      <w:bookmarkStart w:id="3405" w:name="_Toc106883150"/>
      <w:r>
        <w:rPr>
          <w:rFonts w:ascii="宋体" w:hAnsi="宋体"/>
        </w:rPr>
        <w:t>3.7.2 模板的设计和布置</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1280"/>
        <w:ind w:firstLine="440"/>
        <w:rPr>
          <w:rFonts w:ascii="宋体"/>
        </w:rPr>
      </w:pPr>
      <w:r>
        <w:rPr>
          <w:rFonts w:ascii="宋体"/>
        </w:rPr>
        <w:t>承包商应对模板的强度、钢度和稳定性负责，应保证模板能可靠地承受新浇混凝土的重量和侧压力。承包商还应对施工的安全负责。</w:t>
      </w:r>
    </w:p>
    <w:p>
      <w:pPr>
        <w:pStyle w:val="1280"/>
        <w:ind w:firstLine="440"/>
        <w:rPr>
          <w:rFonts w:ascii="宋体"/>
        </w:rPr>
      </w:pPr>
      <w:r>
        <w:rPr>
          <w:rFonts w:ascii="宋体"/>
        </w:rPr>
        <w:t>永久暴露的表面立模时，模板应均匀、平直地布置，使接缝处的混凝土表面平整均匀。如承包商建议采用标准定型模板来立模，则模板的尺寸首先要取得项目监理的许可。模板接缝的设计应考虑本结构与相邻构件的整个高度的外观，以确保竖向和平面的缝均保持平直。</w:t>
      </w:r>
    </w:p>
    <w:p>
      <w:pPr>
        <w:pStyle w:val="1280"/>
        <w:ind w:firstLine="440"/>
        <w:rPr>
          <w:rFonts w:ascii="宋体"/>
        </w:rPr>
      </w:pPr>
      <w:r>
        <w:rPr>
          <w:rFonts w:ascii="宋体"/>
        </w:rPr>
        <w:t>设置的模板应便于拆除，不得借用锤凿或硬撬，模板缝应严密不得漏浆。承包商须将模板的设计细节提交给项目监理和业主审批。</w:t>
      </w:r>
    </w:p>
    <w:p>
      <w:pPr>
        <w:pStyle w:val="1284"/>
        <w:rPr>
          <w:rFonts w:ascii="宋体" w:hAnsi="宋体"/>
        </w:rPr>
      </w:pPr>
      <w:bookmarkStart w:id="3406" w:name="_Toc385007749"/>
      <w:bookmarkStart w:id="3407" w:name="_Toc385008545"/>
      <w:bookmarkStart w:id="3408" w:name="_Toc385012707"/>
      <w:bookmarkStart w:id="3409" w:name="_Toc389234208"/>
      <w:bookmarkStart w:id="3410" w:name="_Toc393081159"/>
      <w:bookmarkStart w:id="3411" w:name="_Toc397479610"/>
      <w:bookmarkStart w:id="3412" w:name="_Toc397479937"/>
      <w:bookmarkStart w:id="3413" w:name="_Toc397481659"/>
      <w:bookmarkStart w:id="3414" w:name="_Toc397485728"/>
      <w:bookmarkStart w:id="3415" w:name="_Toc398083816"/>
      <w:bookmarkStart w:id="3416" w:name="_Toc16242423"/>
      <w:bookmarkStart w:id="3417" w:name="_Toc43107604"/>
      <w:bookmarkStart w:id="3418" w:name="_Toc164502185"/>
      <w:bookmarkStart w:id="3419" w:name="_Toc266662987"/>
      <w:bookmarkStart w:id="3420" w:name="_Toc320555454"/>
      <w:bookmarkStart w:id="3421" w:name="_Toc517382588"/>
      <w:bookmarkStart w:id="3422" w:name="_Toc518376641"/>
      <w:bookmarkStart w:id="3423" w:name="_Toc521491963"/>
      <w:bookmarkStart w:id="3424" w:name="_Toc521492820"/>
      <w:bookmarkStart w:id="3425" w:name="_Toc521493494"/>
      <w:bookmarkStart w:id="3426" w:name="_Toc106883151"/>
      <w:r>
        <w:rPr>
          <w:rFonts w:ascii="宋体" w:hAnsi="宋体"/>
        </w:rPr>
        <w:t>3.7.3 模板成型的混凝土表面光洁度等级</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1280"/>
        <w:ind w:firstLine="440"/>
        <w:rPr>
          <w:rFonts w:ascii="宋体"/>
        </w:rPr>
      </w:pPr>
      <w:r>
        <w:rPr>
          <w:rFonts w:ascii="宋体"/>
        </w:rPr>
        <w:t>立模的混凝土的表面的光洁度应符合</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规定的光洁度要求，或符合项目监理所 要求规定的特殊光洁度标准。</w:t>
      </w:r>
    </w:p>
    <w:p>
      <w:pPr>
        <w:pStyle w:val="1280"/>
        <w:ind w:firstLine="440"/>
        <w:rPr>
          <w:rFonts w:ascii="宋体"/>
        </w:rPr>
      </w:pPr>
      <w:r>
        <w:rPr>
          <w:rFonts w:ascii="宋体"/>
        </w:rPr>
        <w:t>在混凝土振捣时，模板制作必须达到不发生漏浆的要求。拆模后，如混凝土表面需粉刷、抹灰、贴砖时，应将混凝土表面凿毛，其厚度不得超过上述粉刷、抹灰或贴砖厚度的一半，以形成一个合适的混凝土表面。</w:t>
      </w:r>
    </w:p>
    <w:p>
      <w:pPr>
        <w:pStyle w:val="1284"/>
        <w:rPr>
          <w:rFonts w:ascii="宋体" w:hAnsi="宋体"/>
        </w:rPr>
      </w:pPr>
      <w:bookmarkStart w:id="3427" w:name="_Toc385007750"/>
      <w:bookmarkStart w:id="3428" w:name="_Toc385008546"/>
      <w:bookmarkStart w:id="3429" w:name="_Toc385012708"/>
      <w:bookmarkStart w:id="3430" w:name="_Toc389234209"/>
      <w:bookmarkStart w:id="3431" w:name="_Toc393081160"/>
      <w:bookmarkStart w:id="3432" w:name="_Toc397479611"/>
      <w:bookmarkStart w:id="3433" w:name="_Toc397479938"/>
      <w:bookmarkStart w:id="3434" w:name="_Toc397481660"/>
      <w:bookmarkStart w:id="3435" w:name="_Toc397485729"/>
      <w:bookmarkStart w:id="3436" w:name="_Toc398083817"/>
      <w:bookmarkStart w:id="3437" w:name="_Toc16242424"/>
      <w:bookmarkStart w:id="3438" w:name="_Toc43107605"/>
      <w:bookmarkStart w:id="3439" w:name="_Toc164502186"/>
      <w:bookmarkStart w:id="3440" w:name="_Toc266662988"/>
      <w:bookmarkStart w:id="3441" w:name="_Toc320555455"/>
      <w:bookmarkStart w:id="3442" w:name="_Toc517382589"/>
      <w:bookmarkStart w:id="3443" w:name="_Toc518376642"/>
      <w:bookmarkStart w:id="3444" w:name="_Toc521491964"/>
      <w:bookmarkStart w:id="3445" w:name="_Toc521492821"/>
      <w:bookmarkStart w:id="3446" w:name="_Toc521493495"/>
      <w:bookmarkStart w:id="3447" w:name="_Toc106883152"/>
      <w:r>
        <w:rPr>
          <w:rFonts w:ascii="宋体" w:hAnsi="宋体"/>
        </w:rPr>
        <w:t>3.7.4 模板的安装</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1280"/>
        <w:ind w:firstLine="440"/>
        <w:rPr>
          <w:rFonts w:ascii="宋体"/>
        </w:rPr>
      </w:pPr>
      <w:r>
        <w:rPr>
          <w:rFonts w:ascii="宋体"/>
        </w:rPr>
        <w:t>承包商应对模板安装的正确位置负责，按图中永久性工程的真实形状和尺寸测量放线，安装模板前须经项目监理和业主批准。</w:t>
      </w:r>
    </w:p>
    <w:p>
      <w:pPr>
        <w:pStyle w:val="1280"/>
        <w:ind w:firstLine="440"/>
        <w:rPr>
          <w:rFonts w:ascii="宋体"/>
        </w:rPr>
      </w:pPr>
      <w:r>
        <w:rPr>
          <w:rFonts w:ascii="宋体"/>
        </w:rPr>
        <w:t>全部模板必须正确安装、支撑稳定，有足够的支柱、撑杆和拉条，并能承受混凝土浇筑及振捣时产生的侧向压力，并不受气候等的影响。</w:t>
      </w:r>
    </w:p>
    <w:p>
      <w:pPr>
        <w:pStyle w:val="1280"/>
        <w:ind w:firstLine="440"/>
        <w:rPr>
          <w:rFonts w:ascii="宋体"/>
        </w:rPr>
      </w:pPr>
      <w:r>
        <w:rPr>
          <w:rFonts w:ascii="宋体"/>
        </w:rPr>
        <w:t>模板不得与结构钢筋发生关系，不得与施工脚手架发生关系，以免引起模板的走动。模板需达到规定的表面纹理，在混凝土浇筑、振捣及养护期间，不允许变形或漏浆。模板的拼装要按图纸要求固定在正确的位置，并在</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中要求的模板工作的允许误差之内。导致产生孔洞的加固方法，不允许用在排水构筑物内。</w:t>
      </w:r>
    </w:p>
    <w:p>
      <w:pPr>
        <w:pStyle w:val="1280"/>
        <w:ind w:firstLine="440"/>
        <w:rPr>
          <w:rFonts w:ascii="宋体"/>
        </w:rPr>
      </w:pPr>
      <w:r>
        <w:rPr>
          <w:rFonts w:ascii="宋体"/>
        </w:rPr>
        <w:t>模板接触混凝土的一面应无杂质、突出的钉子、裂缝或其它损坏情况。所有模板须清洁、无积水或其它异物，连接处应密封防水。</w:t>
      </w:r>
    </w:p>
    <w:p>
      <w:pPr>
        <w:pStyle w:val="1280"/>
        <w:ind w:firstLine="440"/>
        <w:rPr>
          <w:rFonts w:ascii="宋体"/>
        </w:rPr>
      </w:pPr>
      <w:r>
        <w:rPr>
          <w:rFonts w:ascii="宋体"/>
        </w:rPr>
        <w:t>多次周转的模板、与混凝土的接触面及整体拆卸的芯子和塞子的表面、宜涂隔离剂(石灰浆、肥皂或滑润油等)，防止与混凝土粘结。但必须小心防止油与加固筋接触和流入混凝土接缝。不得使用表面缓凝剂。</w:t>
      </w:r>
    </w:p>
    <w:p>
      <w:pPr>
        <w:pStyle w:val="1280"/>
        <w:ind w:firstLine="440"/>
        <w:rPr>
          <w:rFonts w:ascii="宋体"/>
        </w:rPr>
      </w:pPr>
      <w:r>
        <w:rPr>
          <w:rFonts w:ascii="宋体"/>
        </w:rPr>
        <w:t>模板接缝应密封、防水、以防止由于灰浆渗漏而引起混凝土质量下降或混凝土表面形成缝脊和其他缺陷。</w:t>
      </w:r>
    </w:p>
    <w:p>
      <w:pPr>
        <w:pStyle w:val="1280"/>
        <w:ind w:firstLine="440"/>
        <w:rPr>
          <w:rFonts w:ascii="宋体"/>
        </w:rPr>
      </w:pPr>
      <w:r>
        <w:rPr>
          <w:rFonts w:ascii="宋体"/>
        </w:rPr>
        <w:t>如果混凝土表面坡度超过20度，应在斜坡工作面的顶部设置模板并锚固，以使混凝土能很好地捣实和防止流动，注意顶面模板底下的空气的排出。</w:t>
      </w:r>
    </w:p>
    <w:p>
      <w:pPr>
        <w:pStyle w:val="1280"/>
        <w:ind w:firstLine="440"/>
        <w:rPr>
          <w:rFonts w:ascii="宋体"/>
        </w:rPr>
      </w:pPr>
      <w:r>
        <w:rPr>
          <w:rFonts w:ascii="宋体"/>
        </w:rPr>
        <w:t>模板中所用的钢拉条应在拉条中点焊一块直径不小于50cm米厚6mm的钢板，以防止水流沿拉条流下。</w:t>
      </w:r>
    </w:p>
    <w:p>
      <w:pPr>
        <w:pStyle w:val="1280"/>
        <w:ind w:firstLine="440"/>
        <w:rPr>
          <w:rFonts w:ascii="宋体"/>
        </w:rPr>
      </w:pPr>
      <w:r>
        <w:rPr>
          <w:rFonts w:ascii="宋体"/>
        </w:rPr>
        <w:t>梁及顶板，跨度在4m及大于4m时，模板应起拱，如设计图中无规定时，起拱高度宜为全跨长度的0.2</w:t>
      </w:r>
      <w:r>
        <w:rPr>
          <w:rFonts w:ascii="宋体"/>
        </w:rPr>
        <w:sym w:font="Symbol" w:char="F07E"/>
      </w:r>
      <w:r>
        <w:rPr>
          <w:rFonts w:ascii="宋体"/>
        </w:rPr>
        <w:t>0.3%；</w:t>
      </w:r>
    </w:p>
    <w:p>
      <w:pPr>
        <w:pStyle w:val="1280"/>
        <w:ind w:firstLine="440"/>
        <w:rPr>
          <w:rFonts w:ascii="宋体"/>
        </w:rPr>
      </w:pPr>
      <w:r>
        <w:rPr>
          <w:rFonts w:ascii="宋体"/>
        </w:rPr>
        <w:t>在模板内须设置观察孔，排除冲洗水及浇筑混凝土的孔洞，在混凝土浇筑前和浇筑过程中应便于关闭。浇筑混凝土前，所有螺栓、管道或其它预埋件应固定在正确的位置。开孔的芯模或其他成孔装置应与模板紧密固定，或用其他项目监理和业主批准的方法。事先未经项目监理的同意，不得在任何混凝土上开孔，不得在任何混凝土中预留埋件；变形缝的止水带应安装牢固，准确；止水带应与变形缝垂直；止水带中心线应与变形缝对正；止水带上除设计许可的边缘部位外，严禁钉钉或穿孔。</w:t>
      </w:r>
    </w:p>
    <w:p>
      <w:pPr>
        <w:pStyle w:val="1280"/>
        <w:ind w:firstLine="440"/>
        <w:rPr>
          <w:rFonts w:ascii="宋体"/>
        </w:rPr>
      </w:pPr>
      <w:r>
        <w:rPr>
          <w:rFonts w:ascii="宋体"/>
        </w:rPr>
        <w:t>待项目监理对立模检查及批准后，才能开始浇筑混凝土。</w:t>
      </w:r>
    </w:p>
    <w:p>
      <w:pPr>
        <w:pStyle w:val="1284"/>
        <w:rPr>
          <w:rFonts w:ascii="宋体" w:hAnsi="宋体"/>
        </w:rPr>
      </w:pPr>
      <w:bookmarkStart w:id="3448" w:name="_Toc385007751"/>
      <w:bookmarkStart w:id="3449" w:name="_Toc385008547"/>
      <w:bookmarkStart w:id="3450" w:name="_Toc385012709"/>
      <w:bookmarkStart w:id="3451" w:name="_Toc389234210"/>
      <w:bookmarkStart w:id="3452" w:name="_Toc393081161"/>
      <w:bookmarkStart w:id="3453" w:name="_Toc397479612"/>
      <w:bookmarkStart w:id="3454" w:name="_Toc397479939"/>
      <w:bookmarkStart w:id="3455" w:name="_Toc397481661"/>
      <w:bookmarkStart w:id="3456" w:name="_Toc397485730"/>
      <w:bookmarkStart w:id="3457" w:name="_Toc398083818"/>
      <w:bookmarkStart w:id="3458" w:name="_Toc16242425"/>
      <w:bookmarkStart w:id="3459" w:name="_Toc43107606"/>
      <w:bookmarkStart w:id="3460" w:name="_Toc164502187"/>
      <w:bookmarkStart w:id="3461" w:name="_Toc266662989"/>
      <w:bookmarkStart w:id="3462" w:name="_Toc320555456"/>
      <w:bookmarkStart w:id="3463" w:name="_Toc517382590"/>
      <w:bookmarkStart w:id="3464" w:name="_Toc518376643"/>
      <w:bookmarkStart w:id="3465" w:name="_Toc521491965"/>
      <w:bookmarkStart w:id="3466" w:name="_Toc521492822"/>
      <w:bookmarkStart w:id="3467" w:name="_Toc521493496"/>
      <w:bookmarkStart w:id="3468" w:name="_Toc106883153"/>
      <w:r>
        <w:rPr>
          <w:rFonts w:ascii="宋体" w:hAnsi="宋体"/>
        </w:rPr>
        <w:t>3.7.5 模板的拆除</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1280"/>
        <w:ind w:firstLine="440"/>
        <w:rPr>
          <w:rFonts w:ascii="宋体"/>
        </w:rPr>
      </w:pPr>
      <w:r>
        <w:rPr>
          <w:rFonts w:ascii="宋体"/>
        </w:rPr>
        <w:t>从混凝土浇筑开始至模板拆除的时间，应在项目监理考虑了可能加在混凝土上的荷载后予以批准，但不得少于</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中规定的周期。如果是用于上部结构的模板，允许在养护期间拆除部分模板，但需预留足够支撑，保证不影响混凝土质量和不对结构造成破坏。</w:t>
      </w:r>
    </w:p>
    <w:p>
      <w:pPr>
        <w:pStyle w:val="1280"/>
        <w:ind w:firstLine="440"/>
        <w:rPr>
          <w:rFonts w:ascii="宋体"/>
        </w:rPr>
      </w:pPr>
      <w:r>
        <w:rPr>
          <w:rFonts w:ascii="宋体"/>
        </w:rPr>
        <w:t>虽有上述规定，但在结构物能够承受自重和任何意外荷载之前，承包商应对拆模所造成的损坏负责。</w:t>
      </w:r>
    </w:p>
    <w:p>
      <w:pPr>
        <w:pStyle w:val="1280"/>
        <w:ind w:firstLine="440"/>
        <w:rPr>
          <w:rFonts w:ascii="宋体"/>
        </w:rPr>
      </w:pPr>
      <w:bookmarkStart w:id="3469" w:name="_Toc389234211"/>
      <w:bookmarkStart w:id="3470" w:name="_Toc393081162"/>
      <w:bookmarkStart w:id="3471" w:name="_Toc385012710"/>
      <w:bookmarkStart w:id="3472" w:name="_Toc385008548"/>
      <w:bookmarkStart w:id="3473" w:name="_Toc385007752"/>
      <w:r>
        <w:rPr>
          <w:rFonts w:ascii="宋体"/>
        </w:rPr>
        <w:t>模板拆除后，应立即将粘附的混凝土等杂物消除干净，钢模板则在正面涂上薄层滑润油，分类堆放，以便于周转使用。固定模板的螺栓应从离混凝土表面50mm的地方切除。</w:t>
      </w:r>
    </w:p>
    <w:p>
      <w:pPr>
        <w:pStyle w:val="1284"/>
        <w:rPr>
          <w:rFonts w:ascii="宋体" w:hAnsi="宋体"/>
        </w:rPr>
      </w:pPr>
      <w:bookmarkStart w:id="3474" w:name="_Toc397481662"/>
      <w:bookmarkStart w:id="3475" w:name="_Toc397485731"/>
      <w:bookmarkStart w:id="3476" w:name="_Toc398083819"/>
      <w:bookmarkStart w:id="3477" w:name="_Toc164502188"/>
      <w:bookmarkStart w:id="3478" w:name="_Toc43107607"/>
      <w:bookmarkStart w:id="3479" w:name="_Toc16242426"/>
      <w:bookmarkStart w:id="3480" w:name="_Toc397479613"/>
      <w:bookmarkStart w:id="3481" w:name="_Toc397479940"/>
      <w:bookmarkStart w:id="3482" w:name="_Toc266662990"/>
      <w:bookmarkStart w:id="3483" w:name="_Toc320555457"/>
      <w:bookmarkStart w:id="3484" w:name="_Toc517382591"/>
      <w:bookmarkStart w:id="3485" w:name="_Toc518376644"/>
      <w:bookmarkStart w:id="3486" w:name="_Toc521491966"/>
      <w:bookmarkStart w:id="3487" w:name="_Toc521492823"/>
      <w:bookmarkStart w:id="3488" w:name="_Toc521493497"/>
      <w:bookmarkStart w:id="3489" w:name="_Toc106883154"/>
      <w:r>
        <w:rPr>
          <w:rFonts w:ascii="宋体" w:hAnsi="宋体"/>
        </w:rPr>
        <w:t>3.7.6 混凝土成型后损坏的修复</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p>
    <w:p>
      <w:pPr>
        <w:pStyle w:val="1280"/>
        <w:ind w:firstLine="440"/>
        <w:rPr>
          <w:rFonts w:ascii="宋体"/>
        </w:rPr>
      </w:pPr>
      <w:r>
        <w:rPr>
          <w:rFonts w:ascii="宋体"/>
        </w:rPr>
        <w:t>混凝土任何局部的表面缺陷在拆模后应立即修复，并使项目监理和业主满意。修复措施可包括(但不限于)下列内容：</w:t>
      </w:r>
    </w:p>
    <w:p>
      <w:pPr>
        <w:pStyle w:val="1280"/>
        <w:ind w:firstLine="440"/>
        <w:rPr>
          <w:rFonts w:ascii="宋体"/>
        </w:rPr>
      </w:pPr>
      <w:r>
        <w:rPr>
          <w:rFonts w:ascii="宋体"/>
        </w:rPr>
        <w:t>模板支撑留下的孔洞应彻底清除松散料，需要时，孔洞四周应凿毛，以保证具有良好的粘结面，然后填入干捣砂浆或其它批准的材料；</w:t>
      </w:r>
    </w:p>
    <w:p>
      <w:pPr>
        <w:pStyle w:val="1280"/>
        <w:ind w:firstLine="440"/>
        <w:rPr>
          <w:rFonts w:ascii="宋体"/>
        </w:rPr>
      </w:pPr>
      <w:r>
        <w:rPr>
          <w:rFonts w:ascii="宋体"/>
        </w:rPr>
        <w:t>小孔、表面不平、起泡等缺陷，应在模板拆除后立即刮除并用水泥抹平；</w:t>
      </w:r>
    </w:p>
    <w:p>
      <w:pPr>
        <w:pStyle w:val="1280"/>
        <w:ind w:firstLine="440"/>
        <w:rPr>
          <w:rFonts w:ascii="宋体"/>
        </w:rPr>
      </w:pPr>
      <w:r>
        <w:rPr>
          <w:rFonts w:ascii="宋体"/>
        </w:rPr>
        <w:t>混凝土充分养护后，凹凸不平的地方可用金刚砂和水磨平；</w:t>
      </w:r>
    </w:p>
    <w:p>
      <w:pPr>
        <w:pStyle w:val="1280"/>
        <w:ind w:firstLine="440"/>
        <w:rPr>
          <w:rFonts w:ascii="宋体"/>
        </w:rPr>
      </w:pPr>
      <w:r>
        <w:rPr>
          <w:rFonts w:ascii="宋体"/>
        </w:rPr>
        <w:t>小的缺陷和轻度蜂窝状面不平整情况应敲掉，厚度至少为25mm，然后用干填砂浆填实。</w:t>
      </w:r>
    </w:p>
    <w:p>
      <w:pPr>
        <w:pStyle w:val="1280"/>
        <w:ind w:firstLine="440"/>
        <w:rPr>
          <w:rFonts w:ascii="宋体"/>
        </w:rPr>
      </w:pPr>
      <w:r>
        <w:rPr>
          <w:rFonts w:ascii="宋体"/>
        </w:rPr>
        <w:t>如果发生较深或较大范围的损坏时，诸如裂缝或深蜂窝，承包商应将修复方案提交项目监理认可。如果拆模后的表面出现露筋等，承包商也应该提出修复的建议，并要取得项目监理的同意。</w:t>
      </w:r>
    </w:p>
    <w:p>
      <w:pPr>
        <w:pStyle w:val="1280"/>
        <w:ind w:firstLine="440"/>
        <w:rPr>
          <w:rFonts w:ascii="宋体"/>
        </w:rPr>
      </w:pPr>
      <w:r>
        <w:rPr>
          <w:rFonts w:ascii="宋体"/>
        </w:rPr>
        <w:t>承包商应彻底清洁需要修补的孔洞和损坏面，将松动处、开裂处的碎混凝土和骨料等彻底清除。在用混凝土修补时，混凝土的配合比要到得项目监理的认可，浇入孔洞的混凝土应捣实，必要时可使用模板。</w:t>
      </w:r>
    </w:p>
    <w:p>
      <w:pPr>
        <w:pStyle w:val="1280"/>
        <w:ind w:firstLine="440"/>
        <w:rPr>
          <w:rFonts w:ascii="宋体"/>
        </w:rPr>
      </w:pPr>
      <w:r>
        <w:rPr>
          <w:rFonts w:ascii="宋体"/>
        </w:rPr>
        <w:t>项目监理如果认为缺陷的地方太大了，以至无法进行令人满意的修复工作，无论是从结构的整体性或外观考虑，承包商应将有此缺陷的混凝土敲掉并重新浇筑。</w:t>
      </w:r>
    </w:p>
    <w:p>
      <w:pPr>
        <w:pStyle w:val="1281"/>
        <w:outlineLvl w:val="0"/>
        <w:rPr>
          <w:rFonts w:ascii="宋体" w:hAnsi="宋体"/>
          <w:color w:val="auto"/>
        </w:rPr>
      </w:pPr>
      <w:bookmarkStart w:id="3490" w:name="_Toc385007754"/>
      <w:bookmarkStart w:id="3491" w:name="_Toc385008550"/>
      <w:bookmarkStart w:id="3492" w:name="_Toc385012712"/>
      <w:bookmarkStart w:id="3493" w:name="_Toc389234215"/>
      <w:bookmarkStart w:id="3494" w:name="_Toc393081166"/>
      <w:bookmarkStart w:id="3495" w:name="_Toc397479614"/>
      <w:bookmarkStart w:id="3496" w:name="_Toc397479941"/>
      <w:bookmarkStart w:id="3497" w:name="_Toc397481663"/>
      <w:bookmarkStart w:id="3498" w:name="_Toc397485732"/>
      <w:bookmarkStart w:id="3499" w:name="_Toc398083820"/>
      <w:bookmarkStart w:id="3500" w:name="_Toc16242427"/>
      <w:bookmarkStart w:id="3501" w:name="_Toc43107608"/>
      <w:bookmarkStart w:id="3502" w:name="_Toc164502189"/>
      <w:bookmarkStart w:id="3503" w:name="_Toc266662991"/>
      <w:bookmarkStart w:id="3504" w:name="_Toc320555458"/>
      <w:bookmarkStart w:id="3505" w:name="_Toc517382592"/>
      <w:bookmarkStart w:id="3506" w:name="_Toc518376645"/>
      <w:bookmarkStart w:id="3507" w:name="_Toc521491967"/>
      <w:bookmarkStart w:id="3508" w:name="_Toc521492824"/>
      <w:bookmarkStart w:id="3509" w:name="_Toc521493498"/>
      <w:bookmarkStart w:id="3510" w:name="_Toc106883155"/>
      <w:r>
        <w:rPr>
          <w:rFonts w:ascii="宋体" w:hAnsi="宋体"/>
          <w:color w:val="auto"/>
        </w:rPr>
        <w:t>3.8 用于混凝土中的钢筋</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1284"/>
        <w:outlineLvl w:val="0"/>
        <w:rPr>
          <w:rFonts w:ascii="宋体" w:hAnsi="宋体"/>
        </w:rPr>
      </w:pPr>
      <w:bookmarkStart w:id="3511" w:name="_Toc164502190"/>
      <w:bookmarkStart w:id="3512" w:name="_Toc266662992"/>
      <w:bookmarkStart w:id="3513" w:name="_Toc320555459"/>
      <w:bookmarkStart w:id="3514" w:name="_Toc517382593"/>
      <w:bookmarkStart w:id="3515" w:name="_Toc518376646"/>
      <w:bookmarkStart w:id="3516" w:name="_Toc521491968"/>
      <w:bookmarkStart w:id="3517" w:name="_Toc521492825"/>
      <w:bookmarkStart w:id="3518" w:name="_Toc521493499"/>
      <w:bookmarkStart w:id="3519" w:name="_Toc106883156"/>
      <w:bookmarkStart w:id="3520" w:name="_Toc385007755"/>
      <w:bookmarkStart w:id="3521" w:name="_Toc385008551"/>
      <w:bookmarkStart w:id="3522" w:name="_Toc385012713"/>
      <w:bookmarkStart w:id="3523" w:name="_Toc389234216"/>
      <w:bookmarkStart w:id="3524" w:name="_Toc393081167"/>
      <w:bookmarkStart w:id="3525" w:name="_Toc397479615"/>
      <w:bookmarkStart w:id="3526" w:name="_Toc397479942"/>
      <w:bookmarkStart w:id="3527" w:name="_Toc397481664"/>
      <w:bookmarkStart w:id="3528" w:name="_Toc397485733"/>
      <w:bookmarkStart w:id="3529" w:name="_Toc398083821"/>
      <w:bookmarkStart w:id="3530" w:name="_Toc16242428"/>
      <w:bookmarkStart w:id="3531" w:name="_Toc43107609"/>
      <w:r>
        <w:rPr>
          <w:rFonts w:ascii="宋体" w:hAnsi="宋体"/>
        </w:rPr>
        <w:t>3.8.1 钢筋技术标准</w:t>
      </w:r>
      <w:bookmarkEnd w:id="3511"/>
      <w:bookmarkEnd w:id="3512"/>
      <w:bookmarkEnd w:id="3513"/>
      <w:bookmarkEnd w:id="3514"/>
      <w:bookmarkEnd w:id="3515"/>
      <w:bookmarkEnd w:id="3516"/>
      <w:bookmarkEnd w:id="3517"/>
      <w:bookmarkEnd w:id="3518"/>
      <w:bookmarkEnd w:id="3519"/>
    </w:p>
    <w:p>
      <w:pPr>
        <w:pStyle w:val="1280"/>
        <w:ind w:firstLine="440"/>
        <w:rPr>
          <w:rFonts w:ascii="宋体"/>
        </w:rPr>
      </w:pPr>
      <w:r>
        <w:rPr>
          <w:rFonts w:ascii="宋体"/>
        </w:rPr>
        <w:t>用于混凝土构件的钢筋应采用（不限于）下列标准：</w:t>
      </w:r>
    </w:p>
    <w:p>
      <w:pPr>
        <w:pStyle w:val="1280"/>
        <w:ind w:firstLine="440"/>
        <w:rPr>
          <w:rFonts w:ascii="宋体"/>
        </w:rPr>
      </w:pPr>
      <w:r>
        <w:rPr>
          <w:rFonts w:ascii="宋体"/>
        </w:rPr>
        <w:t>预制空心板预应力钢束采用《预应力混凝土用钢丝》（GB/T</w:t>
      </w:r>
      <w:r>
        <w:rPr>
          <w:rFonts w:hint="eastAsia" w:ascii="宋体"/>
        </w:rPr>
        <w:t xml:space="preserve"> </w:t>
      </w:r>
      <w:r>
        <w:rPr>
          <w:rFonts w:ascii="宋体"/>
        </w:rPr>
        <w:t>5223-2014）</w:t>
      </w:r>
    </w:p>
    <w:p>
      <w:pPr>
        <w:pStyle w:val="1280"/>
        <w:ind w:firstLine="440"/>
        <w:rPr>
          <w:rFonts w:ascii="宋体"/>
        </w:rPr>
      </w:pPr>
      <w:r>
        <w:rPr>
          <w:rFonts w:ascii="宋体"/>
        </w:rPr>
        <w:t>混凝土其它构件钢筋采用《钢筋混凝土用钢 第1部分：热轧光圆钢筋》（GB1499.1-2008）和国标《钢筋混凝土用钢 第2部分：热轧带肋钢筋》（GB1499.2-2007）。</w:t>
      </w:r>
    </w:p>
    <w:p>
      <w:pPr>
        <w:pStyle w:val="1284"/>
        <w:outlineLvl w:val="0"/>
        <w:rPr>
          <w:rFonts w:ascii="宋体" w:hAnsi="宋体"/>
        </w:rPr>
      </w:pPr>
      <w:bookmarkStart w:id="3532" w:name="_Toc164502191"/>
      <w:bookmarkStart w:id="3533" w:name="_Toc266662993"/>
      <w:bookmarkStart w:id="3534" w:name="_Toc320555460"/>
      <w:bookmarkStart w:id="3535" w:name="_Toc517382594"/>
      <w:bookmarkStart w:id="3536" w:name="_Toc518376647"/>
      <w:bookmarkStart w:id="3537" w:name="_Toc521491969"/>
      <w:bookmarkStart w:id="3538" w:name="_Toc521492826"/>
      <w:bookmarkStart w:id="3539" w:name="_Toc521493500"/>
      <w:bookmarkStart w:id="3540" w:name="_Toc106883157"/>
      <w:r>
        <w:rPr>
          <w:rFonts w:ascii="宋体" w:hAnsi="宋体"/>
        </w:rPr>
        <w:t>3.8.2 钢筋的类别</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1280"/>
        <w:ind w:firstLine="440"/>
        <w:rPr>
          <w:rFonts w:ascii="宋体"/>
        </w:rPr>
      </w:pPr>
      <w:r>
        <w:rPr>
          <w:rFonts w:ascii="宋体"/>
        </w:rPr>
        <w:t>用于制作钢筋的钢材类别如下：</w:t>
      </w:r>
    </w:p>
    <w:p>
      <w:pPr>
        <w:pStyle w:val="1280"/>
        <w:ind w:firstLine="440"/>
        <w:rPr>
          <w:rFonts w:ascii="宋体"/>
        </w:rPr>
      </w:pPr>
      <w:r>
        <w:rPr>
          <w:rFonts w:ascii="宋体"/>
        </w:rPr>
        <w:t>HPB300钢筋：热轧普通低碳钢，符合《钢筋混凝土用钢 第1部分：热轧光圆钢筋》（GB1499.1-2008）、</w:t>
      </w:r>
      <w:r>
        <w:rPr>
          <w:rFonts w:hint="eastAsia" w:ascii="宋体"/>
        </w:rPr>
        <w:t>《碳素钢结构》（</w:t>
      </w:r>
      <w:r>
        <w:rPr>
          <w:rFonts w:ascii="宋体"/>
        </w:rPr>
        <w:t>GB/T</w:t>
      </w:r>
      <w:r>
        <w:rPr>
          <w:rFonts w:hint="eastAsia" w:ascii="宋体"/>
        </w:rPr>
        <w:t xml:space="preserve"> </w:t>
      </w:r>
      <w:r>
        <w:rPr>
          <w:rFonts w:ascii="宋体"/>
        </w:rPr>
        <w:t>700-2006</w:t>
      </w:r>
      <w:r>
        <w:rPr>
          <w:rFonts w:hint="eastAsia" w:ascii="宋体"/>
        </w:rPr>
        <w:t>）</w:t>
      </w:r>
      <w:r>
        <w:rPr>
          <w:rFonts w:ascii="宋体"/>
        </w:rPr>
        <w:t>的要求；</w:t>
      </w:r>
    </w:p>
    <w:p>
      <w:pPr>
        <w:pStyle w:val="1280"/>
        <w:ind w:firstLine="440"/>
        <w:rPr>
          <w:rFonts w:ascii="宋体"/>
        </w:rPr>
      </w:pPr>
      <w:r>
        <w:rPr>
          <w:rFonts w:ascii="宋体"/>
        </w:rPr>
        <w:t>HRB400钢筋：热轧高碳钢，符合《钢筋混凝土用钢 第2部分：热轧带肋钢筋》（GB1499.2-2007）的要求；</w:t>
      </w:r>
    </w:p>
    <w:p>
      <w:pPr>
        <w:pStyle w:val="1280"/>
        <w:ind w:firstLine="440"/>
        <w:rPr>
          <w:rFonts w:ascii="宋体"/>
        </w:rPr>
      </w:pPr>
      <w:r>
        <w:rPr>
          <w:rFonts w:ascii="宋体"/>
        </w:rPr>
        <w:t>冷拉钢丝：热轧普通高碳钢，冷拉成型后应符合的要求;</w:t>
      </w:r>
    </w:p>
    <w:p>
      <w:pPr>
        <w:pStyle w:val="1280"/>
        <w:ind w:firstLine="440"/>
        <w:rPr>
          <w:rFonts w:ascii="宋体"/>
        </w:rPr>
      </w:pPr>
      <w:r>
        <w:rPr>
          <w:rFonts w:ascii="宋体"/>
        </w:rPr>
        <w:t>用于预应力混凝土的钢筋应符合</w:t>
      </w:r>
      <w:r>
        <w:rPr>
          <w:rFonts w:hint="eastAsia" w:ascii="宋体"/>
        </w:rPr>
        <w:t>《预应力混凝土用钢棒》（GB/T 5223.3-2017）</w:t>
      </w:r>
      <w:r>
        <w:rPr>
          <w:rFonts w:ascii="宋体"/>
        </w:rPr>
        <w:t>的要求；</w:t>
      </w:r>
    </w:p>
    <w:p>
      <w:pPr>
        <w:pStyle w:val="1280"/>
        <w:ind w:firstLine="440"/>
        <w:rPr>
          <w:rFonts w:ascii="宋体"/>
        </w:rPr>
      </w:pPr>
      <w:r>
        <w:rPr>
          <w:rFonts w:ascii="宋体"/>
        </w:rPr>
        <w:t>钢丝网：在项目监理和业主批准时，可在工地加工。</w:t>
      </w:r>
    </w:p>
    <w:p>
      <w:pPr>
        <w:pStyle w:val="1284"/>
        <w:outlineLvl w:val="0"/>
        <w:rPr>
          <w:rFonts w:ascii="宋体" w:hAnsi="宋体"/>
        </w:rPr>
      </w:pPr>
      <w:bookmarkStart w:id="3541" w:name="_Toc385007756"/>
      <w:bookmarkStart w:id="3542" w:name="_Toc385008552"/>
      <w:bookmarkStart w:id="3543" w:name="_Toc385012714"/>
      <w:bookmarkStart w:id="3544" w:name="_Toc389234217"/>
      <w:bookmarkStart w:id="3545" w:name="_Toc393081168"/>
      <w:bookmarkStart w:id="3546" w:name="_Toc397479616"/>
      <w:bookmarkStart w:id="3547" w:name="_Toc397479943"/>
      <w:bookmarkStart w:id="3548" w:name="_Toc397481665"/>
      <w:bookmarkStart w:id="3549" w:name="_Toc397485734"/>
      <w:bookmarkStart w:id="3550" w:name="_Toc398083822"/>
      <w:bookmarkStart w:id="3551" w:name="_Toc16242429"/>
      <w:bookmarkStart w:id="3552" w:name="_Toc43107610"/>
      <w:bookmarkStart w:id="3553" w:name="_Toc164502192"/>
      <w:bookmarkStart w:id="3554" w:name="_Toc266662994"/>
      <w:bookmarkStart w:id="3555" w:name="_Toc320555461"/>
      <w:bookmarkStart w:id="3556" w:name="_Toc517382595"/>
      <w:bookmarkStart w:id="3557" w:name="_Toc518376648"/>
      <w:bookmarkStart w:id="3558" w:name="_Toc521491970"/>
      <w:bookmarkStart w:id="3559" w:name="_Toc521492827"/>
      <w:bookmarkStart w:id="3560" w:name="_Toc521493501"/>
      <w:bookmarkStart w:id="3561" w:name="_Toc106883158"/>
      <w:r>
        <w:rPr>
          <w:rFonts w:ascii="宋体" w:hAnsi="宋体"/>
        </w:rPr>
        <w:t>3.8.3 附件</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1280"/>
        <w:ind w:firstLine="440"/>
        <w:rPr>
          <w:rFonts w:ascii="宋体"/>
        </w:rPr>
      </w:pPr>
      <w:r>
        <w:rPr>
          <w:rFonts w:ascii="宋体"/>
        </w:rPr>
        <w:t>保持钢筋保护层的垫块可用与现浇混凝土相同强度和配合比的混凝土制成，亦可用其它项目监理和业主同意的材料制作。</w:t>
      </w:r>
    </w:p>
    <w:p>
      <w:pPr>
        <w:pStyle w:val="1280"/>
        <w:ind w:firstLine="440"/>
        <w:rPr>
          <w:rFonts w:ascii="宋体"/>
        </w:rPr>
      </w:pPr>
      <w:r>
        <w:rPr>
          <w:rFonts w:ascii="宋体"/>
        </w:rPr>
        <w:t>保持钢筋位置的支撑件和其它附件应为钢制品。</w:t>
      </w:r>
    </w:p>
    <w:p>
      <w:pPr>
        <w:pStyle w:val="1280"/>
        <w:ind w:firstLine="440"/>
        <w:rPr>
          <w:rFonts w:ascii="宋体"/>
        </w:rPr>
      </w:pPr>
      <w:r>
        <w:rPr>
          <w:rFonts w:ascii="宋体"/>
        </w:rPr>
        <w:t>绑扎用的金属丝应为20</w:t>
      </w:r>
      <w:r>
        <w:rPr>
          <w:rFonts w:ascii="宋体"/>
        </w:rPr>
        <w:sym w:font="Symbol" w:char="F07E"/>
      </w:r>
      <w:r>
        <w:rPr>
          <w:rFonts w:ascii="宋体"/>
        </w:rPr>
        <w:t>22号</w:t>
      </w:r>
      <w:r>
        <w:rPr>
          <w:rFonts w:hint="eastAsia" w:ascii="宋体"/>
        </w:rPr>
        <w:t>（</w:t>
      </w:r>
      <w:r>
        <w:rPr>
          <w:rFonts w:ascii="宋体"/>
        </w:rPr>
        <w:t>0.9</w:t>
      </w:r>
      <w:r>
        <w:rPr>
          <w:rFonts w:ascii="宋体"/>
        </w:rPr>
        <w:sym w:font="Symbol" w:char="F07E"/>
      </w:r>
      <w:r>
        <w:rPr>
          <w:rFonts w:ascii="宋体"/>
        </w:rPr>
        <w:t>0.7mm</w:t>
      </w:r>
      <w:r>
        <w:rPr>
          <w:rFonts w:hint="eastAsia" w:ascii="宋体"/>
        </w:rPr>
        <w:t>）</w:t>
      </w:r>
      <w:r>
        <w:rPr>
          <w:rFonts w:ascii="宋体"/>
        </w:rPr>
        <w:t>的软铁丝。</w:t>
      </w:r>
    </w:p>
    <w:p>
      <w:pPr>
        <w:pStyle w:val="1284"/>
        <w:outlineLvl w:val="0"/>
        <w:rPr>
          <w:rFonts w:ascii="宋体" w:hAnsi="宋体"/>
        </w:rPr>
      </w:pPr>
      <w:bookmarkStart w:id="3562" w:name="_Toc385007757"/>
      <w:bookmarkStart w:id="3563" w:name="_Toc385008553"/>
      <w:bookmarkStart w:id="3564" w:name="_Toc385012715"/>
      <w:bookmarkStart w:id="3565" w:name="_Toc389234218"/>
      <w:bookmarkStart w:id="3566" w:name="_Toc393081169"/>
      <w:bookmarkStart w:id="3567" w:name="_Toc397479617"/>
      <w:bookmarkStart w:id="3568" w:name="_Toc397479944"/>
      <w:bookmarkStart w:id="3569" w:name="_Toc397481666"/>
      <w:bookmarkStart w:id="3570" w:name="_Toc397485735"/>
      <w:bookmarkStart w:id="3571" w:name="_Toc398083823"/>
      <w:bookmarkStart w:id="3572" w:name="_Toc16242430"/>
      <w:bookmarkStart w:id="3573" w:name="_Toc43107611"/>
      <w:bookmarkStart w:id="3574" w:name="_Toc164502193"/>
      <w:bookmarkStart w:id="3575" w:name="_Toc266662995"/>
      <w:bookmarkStart w:id="3576" w:name="_Toc320555462"/>
      <w:bookmarkStart w:id="3577" w:name="_Toc517382596"/>
      <w:bookmarkStart w:id="3578" w:name="_Toc518376649"/>
      <w:bookmarkStart w:id="3579" w:name="_Toc521491971"/>
      <w:bookmarkStart w:id="3580" w:name="_Toc521492828"/>
      <w:bookmarkStart w:id="3581" w:name="_Toc521493502"/>
      <w:bookmarkStart w:id="3582" w:name="_Toc106883159"/>
      <w:r>
        <w:rPr>
          <w:rFonts w:ascii="宋体" w:hAnsi="宋体"/>
        </w:rPr>
        <w:t>3.8.4 钢筋表</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1280"/>
        <w:ind w:firstLine="440"/>
        <w:rPr>
          <w:rFonts w:ascii="宋体"/>
        </w:rPr>
      </w:pPr>
      <w:r>
        <w:rPr>
          <w:rFonts w:ascii="宋体"/>
        </w:rPr>
        <w:t>承包商须明确图纸中关于钢筋部分及有关规范中关于钢筋的要求。图纸中的钢筋表只提供基本的钢筋尺寸的形状，不含搭接部分。</w:t>
      </w:r>
    </w:p>
    <w:p>
      <w:pPr>
        <w:pStyle w:val="1280"/>
        <w:ind w:firstLine="440"/>
        <w:rPr>
          <w:rFonts w:ascii="宋体"/>
        </w:rPr>
      </w:pPr>
      <w:r>
        <w:rPr>
          <w:rFonts w:ascii="宋体"/>
        </w:rPr>
        <w:t>在钢筋用于永久工程前，承包商还应绘制钢筋弯曲表，并征得项目监理的认可。承包商在安排供应、切割及弯曲钢筋以前，必须全面负责钢筋表的正确性和完整性。</w:t>
      </w:r>
    </w:p>
    <w:p>
      <w:pPr>
        <w:pStyle w:val="1280"/>
        <w:ind w:firstLine="440"/>
        <w:rPr>
          <w:rFonts w:ascii="宋体"/>
        </w:rPr>
      </w:pPr>
      <w:r>
        <w:rPr>
          <w:rFonts w:ascii="宋体"/>
        </w:rPr>
        <w:t>混凝土在受拉区及受压区的最小搭接长度应符合</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中的有关要求。在最大弯矩处不得采用搭接钢筋。</w:t>
      </w:r>
    </w:p>
    <w:p>
      <w:pPr>
        <w:pStyle w:val="1280"/>
        <w:ind w:firstLine="440"/>
        <w:rPr>
          <w:rFonts w:ascii="宋体"/>
        </w:rPr>
      </w:pPr>
      <w:r>
        <w:rPr>
          <w:rFonts w:ascii="宋体"/>
        </w:rPr>
        <w:t>钢筋表只是作为一般指导，承包商不得借口钢筋表中不太精确或不太全面而逃避其按合同应履行的职责。</w:t>
      </w:r>
    </w:p>
    <w:p>
      <w:pPr>
        <w:pStyle w:val="1284"/>
        <w:outlineLvl w:val="0"/>
        <w:rPr>
          <w:rFonts w:ascii="宋体" w:hAnsi="宋体"/>
        </w:rPr>
      </w:pPr>
      <w:bookmarkStart w:id="3583" w:name="_Toc385007758"/>
      <w:bookmarkStart w:id="3584" w:name="_Toc385008554"/>
      <w:bookmarkStart w:id="3585" w:name="_Toc385012716"/>
      <w:bookmarkStart w:id="3586" w:name="_Toc389234219"/>
      <w:bookmarkStart w:id="3587" w:name="_Toc393081170"/>
      <w:bookmarkStart w:id="3588" w:name="_Toc397479618"/>
      <w:bookmarkStart w:id="3589" w:name="_Toc397479945"/>
      <w:bookmarkStart w:id="3590" w:name="_Toc397481667"/>
      <w:bookmarkStart w:id="3591" w:name="_Toc397485736"/>
      <w:bookmarkStart w:id="3592" w:name="_Toc398083824"/>
      <w:bookmarkStart w:id="3593" w:name="_Toc16242431"/>
      <w:bookmarkStart w:id="3594" w:name="_Toc43107612"/>
      <w:bookmarkStart w:id="3595" w:name="_Toc164502194"/>
      <w:bookmarkStart w:id="3596" w:name="_Toc266662996"/>
      <w:bookmarkStart w:id="3597" w:name="_Toc320555463"/>
      <w:bookmarkStart w:id="3598" w:name="_Toc517382597"/>
      <w:bookmarkStart w:id="3599" w:name="_Toc518376650"/>
      <w:bookmarkStart w:id="3600" w:name="_Toc521491972"/>
      <w:bookmarkStart w:id="3601" w:name="_Toc521492829"/>
      <w:bookmarkStart w:id="3602" w:name="_Toc521493503"/>
      <w:bookmarkStart w:id="3603" w:name="_Toc106883160"/>
      <w:r>
        <w:rPr>
          <w:rFonts w:ascii="宋体" w:hAnsi="宋体"/>
        </w:rPr>
        <w:t>3.8.5 钢筋的切割与弯曲</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1280"/>
        <w:ind w:firstLine="440"/>
        <w:rPr>
          <w:rFonts w:ascii="宋体"/>
        </w:rPr>
      </w:pPr>
      <w:r>
        <w:rPr>
          <w:rFonts w:ascii="宋体"/>
        </w:rPr>
        <w:t>用于工程的钢筋必须是没有节疤，不弯曲和没有其它破损。施工中先将直钢筋切割到要求的长度，由有经验的工人进行冷弯，钢筋的冷弯必须经项目监理认可后，在冷弯机上进行。除非项目监理特别许可，钢筋的切割、弯曲必须满足</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中的要求。</w:t>
      </w:r>
    </w:p>
    <w:p>
      <w:pPr>
        <w:pStyle w:val="1280"/>
        <w:ind w:firstLine="440"/>
        <w:rPr>
          <w:rFonts w:ascii="宋体"/>
        </w:rPr>
      </w:pPr>
      <w:r>
        <w:rPr>
          <w:rFonts w:ascii="宋体"/>
        </w:rPr>
        <w:t>成形后的钢筋除非项目监理同意，否则，不得重新弯折。</w:t>
      </w:r>
    </w:p>
    <w:p>
      <w:pPr>
        <w:pStyle w:val="1284"/>
        <w:outlineLvl w:val="0"/>
        <w:rPr>
          <w:rFonts w:ascii="宋体" w:hAnsi="宋体"/>
        </w:rPr>
      </w:pPr>
      <w:bookmarkStart w:id="3604" w:name="_Toc385007759"/>
      <w:bookmarkStart w:id="3605" w:name="_Toc397479619"/>
      <w:bookmarkStart w:id="3606" w:name="_Toc385008555"/>
      <w:bookmarkStart w:id="3607" w:name="_Toc385012717"/>
      <w:bookmarkStart w:id="3608" w:name="_Toc389234220"/>
      <w:bookmarkStart w:id="3609" w:name="_Toc393081171"/>
      <w:bookmarkStart w:id="3610" w:name="_Toc397479946"/>
      <w:bookmarkStart w:id="3611" w:name="_Toc397481668"/>
      <w:bookmarkStart w:id="3612" w:name="_Toc397485737"/>
      <w:bookmarkStart w:id="3613" w:name="_Toc398083825"/>
      <w:bookmarkStart w:id="3614" w:name="_Toc16242432"/>
      <w:bookmarkStart w:id="3615" w:name="_Toc43107613"/>
      <w:bookmarkStart w:id="3616" w:name="_Toc164502195"/>
      <w:bookmarkStart w:id="3617" w:name="_Toc266662997"/>
      <w:bookmarkStart w:id="3618" w:name="_Toc320555464"/>
      <w:bookmarkStart w:id="3619" w:name="_Toc517382598"/>
      <w:bookmarkStart w:id="3620" w:name="_Toc518376651"/>
      <w:bookmarkStart w:id="3621" w:name="_Toc521491973"/>
      <w:bookmarkStart w:id="3622" w:name="_Toc521492830"/>
      <w:bookmarkStart w:id="3623" w:name="_Toc521493504"/>
      <w:bookmarkStart w:id="3624" w:name="_Toc106883161"/>
      <w:r>
        <w:rPr>
          <w:rFonts w:ascii="宋体" w:hAnsi="宋体"/>
        </w:rPr>
        <w:t>3.8.6 钢筋及钢筋网的贮存</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1280"/>
        <w:ind w:firstLine="440"/>
        <w:rPr>
          <w:rFonts w:ascii="宋体"/>
        </w:rPr>
      </w:pPr>
      <w:r>
        <w:rPr>
          <w:rFonts w:ascii="宋体"/>
        </w:rPr>
        <w:t>承包商应将不同型号的钢筋打捆标明并分别堆放，以便容易识别。</w:t>
      </w:r>
    </w:p>
    <w:p>
      <w:pPr>
        <w:pStyle w:val="1280"/>
        <w:ind w:firstLine="440"/>
        <w:rPr>
          <w:rFonts w:ascii="宋体"/>
        </w:rPr>
      </w:pPr>
      <w:r>
        <w:rPr>
          <w:rFonts w:ascii="宋体"/>
        </w:rPr>
        <w:t>钢筋应保持清洁，并应无锈蚀、锈屑、氧化皮、油、泥土、油漆、混凝土垢迹及任何可能影响混凝土与钢筋间结合的其它材料。堆放所有这些材料的场地上方应有遮盖，材料应放在木板或混凝土支撑物上，其离地净距至少为150mm，要有足够的支撑物件，以防止变形和锈蚀。</w:t>
      </w:r>
    </w:p>
    <w:p>
      <w:pPr>
        <w:pStyle w:val="1284"/>
        <w:outlineLvl w:val="0"/>
        <w:rPr>
          <w:rFonts w:ascii="宋体" w:hAnsi="宋体"/>
        </w:rPr>
      </w:pPr>
      <w:bookmarkStart w:id="3625" w:name="_Toc385007760"/>
      <w:bookmarkStart w:id="3626" w:name="_Toc385008556"/>
      <w:bookmarkStart w:id="3627" w:name="_Toc385012718"/>
      <w:bookmarkStart w:id="3628" w:name="_Toc389234221"/>
      <w:bookmarkStart w:id="3629" w:name="_Toc393081172"/>
      <w:bookmarkStart w:id="3630" w:name="_Toc397479620"/>
      <w:bookmarkStart w:id="3631" w:name="_Toc397479947"/>
      <w:bookmarkStart w:id="3632" w:name="_Toc397481669"/>
      <w:bookmarkStart w:id="3633" w:name="_Toc397485738"/>
      <w:bookmarkStart w:id="3634" w:name="_Toc398083826"/>
      <w:bookmarkStart w:id="3635" w:name="_Toc16242433"/>
      <w:bookmarkStart w:id="3636" w:name="_Toc43107614"/>
      <w:bookmarkStart w:id="3637" w:name="_Toc164502196"/>
      <w:bookmarkStart w:id="3638" w:name="_Toc266662998"/>
      <w:bookmarkStart w:id="3639" w:name="_Toc320555465"/>
      <w:bookmarkStart w:id="3640" w:name="_Toc517382599"/>
      <w:bookmarkStart w:id="3641" w:name="_Toc518376652"/>
      <w:bookmarkStart w:id="3642" w:name="_Toc521491974"/>
      <w:bookmarkStart w:id="3643" w:name="_Toc521492831"/>
      <w:bookmarkStart w:id="3644" w:name="_Toc521493505"/>
      <w:bookmarkStart w:id="3645" w:name="_Toc106883162"/>
      <w:r>
        <w:rPr>
          <w:rFonts w:ascii="宋体" w:hAnsi="宋体"/>
        </w:rPr>
        <w:t>3.8.7 钢筋的固定及制造允许误差</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1280"/>
        <w:ind w:firstLine="440"/>
        <w:rPr>
          <w:rFonts w:ascii="宋体"/>
        </w:rPr>
      </w:pPr>
      <w:r>
        <w:rPr>
          <w:rFonts w:ascii="宋体"/>
        </w:rPr>
        <w:t>除特别情况外，两根平行的钢筋间的间距要比混凝土中的最大骨料粒径大5mm。承包商应确保施工中的钢筋位置严格按施工图中的要求放置，并保证钢筋在混凝土浇筑过程中其位置不发生偏移，除非项目监理特别许可，搭接焊一般不准采用。</w:t>
      </w:r>
    </w:p>
    <w:p>
      <w:pPr>
        <w:pStyle w:val="1280"/>
        <w:ind w:firstLine="440"/>
        <w:rPr>
          <w:rFonts w:ascii="宋体"/>
        </w:rPr>
      </w:pPr>
      <w:r>
        <w:rPr>
          <w:rFonts w:ascii="宋体"/>
        </w:rPr>
        <w:t>为确保钢筋位置及现浇构件底部钢筋的混凝土保护层厚度，钢筋绑扎就位后，应按要求的间距在其底部绑扎垫块。</w:t>
      </w:r>
    </w:p>
    <w:p>
      <w:pPr>
        <w:pStyle w:val="1280"/>
        <w:ind w:firstLine="440"/>
        <w:rPr>
          <w:rFonts w:ascii="宋体"/>
        </w:rPr>
      </w:pPr>
      <w:r>
        <w:rPr>
          <w:rFonts w:ascii="宋体"/>
        </w:rPr>
        <w:t>所有钢筋交叉处需用软铁丝绑扎或点焊，其端头应按规范弯入混凝土中。钢筋的保护层应符合图中或技术规范中3.8.11条的要求，并应符合</w:t>
      </w:r>
      <w:r>
        <w:rPr>
          <w:rFonts w:hint="eastAsia" w:ascii="宋体"/>
        </w:rPr>
        <w:t>《混凝土结构工程施工质量验收规范》（</w:t>
      </w:r>
      <w:r>
        <w:rPr>
          <w:rFonts w:ascii="宋体"/>
        </w:rPr>
        <w:t>GB</w:t>
      </w:r>
      <w:r>
        <w:rPr>
          <w:rFonts w:hint="eastAsia" w:ascii="宋体"/>
        </w:rPr>
        <w:t xml:space="preserve"> </w:t>
      </w:r>
      <w:r>
        <w:rPr>
          <w:rFonts w:ascii="宋体"/>
        </w:rPr>
        <w:t>50204-2015</w:t>
      </w:r>
      <w:r>
        <w:rPr>
          <w:rFonts w:hint="eastAsia" w:ascii="宋体"/>
        </w:rPr>
        <w:t>）</w:t>
      </w:r>
      <w:r>
        <w:rPr>
          <w:rFonts w:ascii="宋体"/>
        </w:rPr>
        <w:t>中规定的误差。板中上层钢筋应用支托保护其位置，支托的尺寸和间距应足以对钢筋起到支撑和固定作用。</w:t>
      </w:r>
    </w:p>
    <w:p>
      <w:pPr>
        <w:pStyle w:val="1280"/>
        <w:ind w:firstLine="440"/>
        <w:rPr>
          <w:rFonts w:ascii="宋体"/>
        </w:rPr>
      </w:pPr>
      <w:r>
        <w:rPr>
          <w:rFonts w:ascii="宋体"/>
        </w:rPr>
        <w:t>不允许以钢筋作为支撑模板、走道、工作平台或设置设备或作导电用。</w:t>
      </w:r>
    </w:p>
    <w:p>
      <w:pPr>
        <w:pStyle w:val="1280"/>
        <w:ind w:firstLine="440"/>
        <w:rPr>
          <w:rFonts w:ascii="宋体"/>
        </w:rPr>
      </w:pPr>
      <w:r>
        <w:rPr>
          <w:rFonts w:ascii="宋体"/>
        </w:rPr>
        <w:t>未经项目监理和业主对已绑扎钢筋的检查批准，不得开始浇筑混凝土。除非经项目监理和业主同意，无论在混凝土浇筑之前或以后都不得将已绑扎的钢筋弯曲，都不能对钢筋(包括在已浇混凝土表面露出的钢筋)重新弯曲或拉直，并防止钢筋变形或受到其它损伤。</w:t>
      </w:r>
    </w:p>
    <w:p>
      <w:pPr>
        <w:pStyle w:val="1280"/>
        <w:ind w:firstLine="440"/>
        <w:rPr>
          <w:rFonts w:ascii="宋体"/>
        </w:rPr>
      </w:pPr>
      <w:r>
        <w:rPr>
          <w:rFonts w:ascii="宋体"/>
        </w:rPr>
        <w:t>在模板内面或在墙板上设置有保护薄膜时，应特别注意确保安放钢筋的过程中不损坏保护薄膜。</w:t>
      </w:r>
    </w:p>
    <w:p>
      <w:pPr>
        <w:pStyle w:val="1280"/>
        <w:ind w:firstLine="440"/>
        <w:rPr>
          <w:rFonts w:ascii="宋体"/>
        </w:rPr>
      </w:pPr>
      <w:r>
        <w:rPr>
          <w:rFonts w:ascii="宋体"/>
        </w:rPr>
        <w:t>根据钢筋的尺寸和等级，加工钢筋的允许误差应满足下列要求：</w:t>
      </w:r>
    </w:p>
    <w:p>
      <w:pPr>
        <w:pStyle w:val="1280"/>
        <w:ind w:firstLine="440"/>
        <w:rPr>
          <w:rFonts w:ascii="宋体"/>
        </w:rPr>
      </w:pPr>
      <w:r>
        <w:rPr>
          <w:rFonts w:ascii="宋体"/>
        </w:rPr>
        <w:t>剪切长度：</w:t>
      </w:r>
      <w:r>
        <w:rPr>
          <w:rFonts w:ascii="宋体"/>
        </w:rPr>
        <w:tab/>
      </w:r>
      <w:r>
        <w:rPr>
          <w:rFonts w:ascii="宋体"/>
        </w:rPr>
        <w:tab/>
      </w:r>
      <w:r>
        <w:rPr>
          <w:rFonts w:ascii="宋体"/>
        </w:rPr>
        <w:tab/>
      </w:r>
      <w:r>
        <w:rPr>
          <w:rFonts w:ascii="宋体"/>
        </w:rPr>
        <w:tab/>
      </w:r>
      <w:r>
        <w:rPr>
          <w:rFonts w:ascii="宋体"/>
        </w:rPr>
        <w:t xml:space="preserve">                    </w:t>
      </w:r>
      <w:r>
        <w:rPr>
          <w:rFonts w:ascii="宋体"/>
        </w:rPr>
        <w:sym w:font="Symbol" w:char="F0B1"/>
      </w:r>
      <w:r>
        <w:rPr>
          <w:rFonts w:ascii="宋体"/>
        </w:rPr>
        <w:t>25mm</w:t>
      </w:r>
    </w:p>
    <w:p>
      <w:pPr>
        <w:pStyle w:val="1280"/>
        <w:ind w:firstLine="440"/>
        <w:rPr>
          <w:rFonts w:ascii="宋体"/>
        </w:rPr>
      </w:pPr>
      <w:r>
        <w:rPr>
          <w:rFonts w:ascii="宋体"/>
        </w:rPr>
        <w:t>吊筋、拉杆和螺纹钢：</w:t>
      </w:r>
      <w:r>
        <w:rPr>
          <w:rFonts w:ascii="宋体"/>
        </w:rPr>
        <w:tab/>
      </w:r>
      <w:r>
        <w:rPr>
          <w:rFonts w:ascii="宋体"/>
        </w:rPr>
        <w:tab/>
      </w:r>
      <w:r>
        <w:rPr>
          <w:rFonts w:ascii="宋体"/>
        </w:rPr>
        <w:t xml:space="preserve">                </w:t>
      </w:r>
      <w:r>
        <w:rPr>
          <w:rFonts w:ascii="宋体"/>
        </w:rPr>
        <w:sym w:font="Symbol" w:char="F0B1"/>
      </w:r>
      <w:r>
        <w:rPr>
          <w:rFonts w:ascii="宋体"/>
        </w:rPr>
        <w:t>13mm</w:t>
      </w:r>
    </w:p>
    <w:p>
      <w:pPr>
        <w:pStyle w:val="1280"/>
        <w:ind w:firstLine="440"/>
        <w:rPr>
          <w:rFonts w:ascii="宋体"/>
        </w:rPr>
      </w:pPr>
      <w:r>
        <w:rPr>
          <w:rFonts w:ascii="宋体"/>
        </w:rPr>
        <w:t>弯头的位置：</w:t>
      </w:r>
      <w:r>
        <w:rPr>
          <w:rFonts w:ascii="宋体"/>
        </w:rPr>
        <w:tab/>
      </w:r>
      <w:r>
        <w:rPr>
          <w:rFonts w:ascii="宋体"/>
        </w:rPr>
        <w:tab/>
      </w:r>
      <w:r>
        <w:rPr>
          <w:rFonts w:ascii="宋体"/>
        </w:rPr>
        <w:tab/>
      </w:r>
      <w:r>
        <w:rPr>
          <w:rFonts w:ascii="宋体"/>
        </w:rPr>
        <w:t xml:space="preserve">                    </w:t>
      </w:r>
      <w:r>
        <w:rPr>
          <w:rFonts w:ascii="宋体"/>
        </w:rPr>
        <w:sym w:font="Symbol" w:char="F0B1"/>
      </w:r>
      <w:r>
        <w:rPr>
          <w:rFonts w:ascii="宋体"/>
        </w:rPr>
        <w:t>25mm</w:t>
      </w:r>
    </w:p>
    <w:p>
      <w:pPr>
        <w:pStyle w:val="1284"/>
        <w:outlineLvl w:val="0"/>
        <w:rPr>
          <w:rFonts w:ascii="宋体" w:hAnsi="宋体"/>
        </w:rPr>
      </w:pPr>
      <w:bookmarkStart w:id="3646" w:name="_Toc385007761"/>
      <w:bookmarkStart w:id="3647" w:name="_Toc385008557"/>
      <w:bookmarkStart w:id="3648" w:name="_Toc385012719"/>
      <w:bookmarkStart w:id="3649" w:name="_Toc389234222"/>
      <w:bookmarkStart w:id="3650" w:name="_Toc393081173"/>
      <w:bookmarkStart w:id="3651" w:name="_Toc397479621"/>
      <w:bookmarkStart w:id="3652" w:name="_Toc397479948"/>
      <w:bookmarkStart w:id="3653" w:name="_Toc397481670"/>
      <w:bookmarkStart w:id="3654" w:name="_Toc397485739"/>
      <w:bookmarkStart w:id="3655" w:name="_Toc398083827"/>
      <w:bookmarkStart w:id="3656" w:name="_Toc16242434"/>
      <w:bookmarkStart w:id="3657" w:name="_Toc43107615"/>
      <w:bookmarkStart w:id="3658" w:name="_Toc164502197"/>
      <w:bookmarkStart w:id="3659" w:name="_Toc266662999"/>
      <w:bookmarkStart w:id="3660" w:name="_Toc320555466"/>
      <w:bookmarkStart w:id="3661" w:name="_Toc517382600"/>
      <w:bookmarkStart w:id="3662" w:name="_Toc518376653"/>
      <w:bookmarkStart w:id="3663" w:name="_Toc521491975"/>
      <w:bookmarkStart w:id="3664" w:name="_Toc521492832"/>
      <w:bookmarkStart w:id="3665" w:name="_Toc521493506"/>
      <w:bookmarkStart w:id="3666" w:name="_Toc106883163"/>
      <w:r>
        <w:rPr>
          <w:rFonts w:ascii="宋体" w:hAnsi="宋体"/>
        </w:rPr>
        <w:t>3.8.8 钢筋的焊接</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1280"/>
        <w:ind w:firstLine="440"/>
        <w:rPr>
          <w:rFonts w:ascii="宋体"/>
        </w:rPr>
      </w:pPr>
      <w:r>
        <w:rPr>
          <w:rFonts w:ascii="宋体"/>
        </w:rPr>
        <w:t>规定需要焊接钢筋，应按照</w:t>
      </w:r>
      <w:r>
        <w:rPr>
          <w:rFonts w:hint="eastAsia" w:ascii="宋体"/>
        </w:rPr>
        <w:t>《钢筋焊接及验收规程》（</w:t>
      </w:r>
      <w:r>
        <w:rPr>
          <w:rFonts w:ascii="宋体"/>
        </w:rPr>
        <w:t>JGJ</w:t>
      </w:r>
      <w:r>
        <w:rPr>
          <w:rFonts w:hint="eastAsia" w:ascii="宋体"/>
        </w:rPr>
        <w:t xml:space="preserve"> </w:t>
      </w:r>
      <w:r>
        <w:rPr>
          <w:rFonts w:ascii="宋体"/>
        </w:rPr>
        <w:t>18-2012</w:t>
      </w:r>
      <w:r>
        <w:rPr>
          <w:rFonts w:hint="eastAsia" w:ascii="宋体"/>
        </w:rPr>
        <w:t>）</w:t>
      </w:r>
      <w:r>
        <w:rPr>
          <w:rFonts w:ascii="宋体"/>
        </w:rPr>
        <w:t>的要求及制造商建议的方法进行，承包商应对试件的焊接点进行弯曲及拉伸试验，以证明焊接点处强度不小于原钢筋的强度。通过成功试验焊接而确定的焊接工艺应维持不变。</w:t>
      </w:r>
    </w:p>
    <w:p>
      <w:pPr>
        <w:pStyle w:val="1280"/>
        <w:ind w:firstLine="440"/>
        <w:rPr>
          <w:rFonts w:ascii="宋体"/>
        </w:rPr>
      </w:pPr>
      <w:r>
        <w:rPr>
          <w:rFonts w:ascii="宋体"/>
        </w:rPr>
        <w:t>在确定一个合适的焊接工艺之后，从事此工程的每个焊接工都必须通过焊接技术考试，考试时，焊接件必须是工程中所有相同材料和规格的钢筋，要求根据</w:t>
      </w:r>
      <w:r>
        <w:rPr>
          <w:rFonts w:hint="eastAsia" w:ascii="宋体"/>
        </w:rPr>
        <w:t>《钢筋焊接及验收规程》（</w:t>
      </w:r>
      <w:r>
        <w:rPr>
          <w:rFonts w:ascii="宋体"/>
        </w:rPr>
        <w:t>JGJ</w:t>
      </w:r>
      <w:r>
        <w:rPr>
          <w:rFonts w:hint="eastAsia" w:ascii="宋体"/>
        </w:rPr>
        <w:t xml:space="preserve"> </w:t>
      </w:r>
      <w:r>
        <w:rPr>
          <w:rFonts w:ascii="宋体"/>
        </w:rPr>
        <w:t>18-2012</w:t>
      </w:r>
      <w:r>
        <w:rPr>
          <w:rFonts w:hint="eastAsia" w:ascii="宋体"/>
        </w:rPr>
        <w:t>）</w:t>
      </w:r>
      <w:r>
        <w:rPr>
          <w:rFonts w:ascii="宋体"/>
        </w:rPr>
        <w:t>中所述的要求进行。</w:t>
      </w:r>
    </w:p>
    <w:p>
      <w:pPr>
        <w:pStyle w:val="1280"/>
        <w:ind w:firstLine="440"/>
        <w:rPr>
          <w:rFonts w:ascii="宋体"/>
        </w:rPr>
      </w:pPr>
      <w:r>
        <w:rPr>
          <w:rFonts w:ascii="宋体"/>
        </w:rPr>
        <w:t>焊接前，焊接细节及焊工资格考试须由项目监理和业主审核。</w:t>
      </w:r>
    </w:p>
    <w:p>
      <w:pPr>
        <w:pStyle w:val="1284"/>
        <w:outlineLvl w:val="0"/>
        <w:rPr>
          <w:rFonts w:ascii="宋体" w:hAnsi="宋体"/>
        </w:rPr>
      </w:pPr>
      <w:bookmarkStart w:id="3667" w:name="_Toc385007762"/>
      <w:bookmarkStart w:id="3668" w:name="_Toc385008558"/>
      <w:bookmarkStart w:id="3669" w:name="_Toc385012720"/>
      <w:bookmarkStart w:id="3670" w:name="_Toc389234223"/>
      <w:bookmarkStart w:id="3671" w:name="_Toc393081174"/>
      <w:bookmarkStart w:id="3672" w:name="_Toc397479622"/>
      <w:bookmarkStart w:id="3673" w:name="_Toc397479949"/>
      <w:bookmarkStart w:id="3674" w:name="_Toc397481671"/>
      <w:bookmarkStart w:id="3675" w:name="_Toc397485740"/>
      <w:bookmarkStart w:id="3676" w:name="_Toc398083828"/>
      <w:bookmarkStart w:id="3677" w:name="_Toc16242435"/>
      <w:bookmarkStart w:id="3678" w:name="_Toc43107616"/>
      <w:bookmarkStart w:id="3679" w:name="_Toc164502198"/>
      <w:bookmarkStart w:id="3680" w:name="_Toc266663000"/>
      <w:bookmarkStart w:id="3681" w:name="_Toc320555467"/>
      <w:bookmarkStart w:id="3682" w:name="_Toc517382601"/>
      <w:bookmarkStart w:id="3683" w:name="_Toc518376654"/>
      <w:bookmarkStart w:id="3684" w:name="_Toc521491976"/>
      <w:bookmarkStart w:id="3685" w:name="_Toc521492833"/>
      <w:bookmarkStart w:id="3686" w:name="_Toc521493507"/>
      <w:bookmarkStart w:id="3687" w:name="_Toc106883164"/>
      <w:r>
        <w:rPr>
          <w:rFonts w:ascii="宋体" w:hAnsi="宋体"/>
        </w:rPr>
        <w:t>3.8.9 钢筋样品试验</w:t>
      </w:r>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p>
    <w:p>
      <w:pPr>
        <w:pStyle w:val="1280"/>
        <w:ind w:firstLine="440"/>
        <w:rPr>
          <w:rFonts w:ascii="宋体"/>
        </w:rPr>
      </w:pPr>
      <w:r>
        <w:rPr>
          <w:rFonts w:ascii="宋体"/>
        </w:rPr>
        <w:t>项目监理可以要求在符合规范的试验室内观看例行钢筋试验。在项目监理要求时，承包商应将钢筋样品运至工地并安排由一经认可的试验机构对样品进行试验，该机构的试验证明书应提交给项目监理。</w:t>
      </w:r>
    </w:p>
    <w:p>
      <w:pPr>
        <w:pStyle w:val="1284"/>
        <w:outlineLvl w:val="0"/>
        <w:rPr>
          <w:rFonts w:ascii="宋体" w:hAnsi="宋体"/>
        </w:rPr>
      </w:pPr>
      <w:bookmarkStart w:id="3688" w:name="_Toc385007763"/>
      <w:bookmarkStart w:id="3689" w:name="_Toc385008559"/>
      <w:bookmarkStart w:id="3690" w:name="_Toc385012721"/>
      <w:bookmarkStart w:id="3691" w:name="_Toc389234224"/>
      <w:bookmarkStart w:id="3692" w:name="_Toc393081175"/>
      <w:bookmarkStart w:id="3693" w:name="_Toc397479623"/>
      <w:bookmarkStart w:id="3694" w:name="_Toc397479950"/>
      <w:bookmarkStart w:id="3695" w:name="_Toc397481672"/>
      <w:bookmarkStart w:id="3696" w:name="_Toc397485741"/>
      <w:bookmarkStart w:id="3697" w:name="_Toc398083829"/>
      <w:bookmarkStart w:id="3698" w:name="_Toc16242436"/>
      <w:bookmarkStart w:id="3699" w:name="_Toc43107617"/>
      <w:bookmarkStart w:id="3700" w:name="_Toc164502199"/>
      <w:bookmarkStart w:id="3701" w:name="_Toc266663001"/>
      <w:bookmarkStart w:id="3702" w:name="_Toc320555468"/>
      <w:bookmarkStart w:id="3703" w:name="_Toc517382602"/>
      <w:bookmarkStart w:id="3704" w:name="_Toc518376655"/>
      <w:bookmarkStart w:id="3705" w:name="_Toc521491977"/>
      <w:bookmarkStart w:id="3706" w:name="_Toc521492834"/>
      <w:bookmarkStart w:id="3707" w:name="_Toc521493508"/>
      <w:bookmarkStart w:id="3708" w:name="_Toc106883165"/>
      <w:r>
        <w:rPr>
          <w:rFonts w:ascii="宋体" w:hAnsi="宋体"/>
        </w:rPr>
        <w:t>3.8.10 机械联接件及安装</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1280"/>
        <w:ind w:firstLine="440"/>
        <w:rPr>
          <w:rFonts w:ascii="宋体"/>
        </w:rPr>
      </w:pPr>
      <w:r>
        <w:rPr>
          <w:rFonts w:ascii="宋体"/>
        </w:rPr>
        <w:t>机械连接件应用于图纸中所规定的地方，并向批准的联接件制造商处购置，制造商应提供安装的设备及要求。</w:t>
      </w:r>
    </w:p>
    <w:p>
      <w:pPr>
        <w:pStyle w:val="1280"/>
        <w:ind w:firstLine="440"/>
        <w:rPr>
          <w:rFonts w:ascii="宋体"/>
        </w:rPr>
      </w:pPr>
      <w:r>
        <w:rPr>
          <w:rFonts w:ascii="宋体"/>
        </w:rPr>
        <w:t>承包商对工程中采用的各种接头作抗拉试验，以证明：</w:t>
      </w:r>
    </w:p>
    <w:p>
      <w:pPr>
        <w:pStyle w:val="1280"/>
        <w:ind w:firstLine="440"/>
        <w:rPr>
          <w:rFonts w:ascii="宋体"/>
        </w:rPr>
      </w:pPr>
      <w:r>
        <w:rPr>
          <w:rFonts w:ascii="宋体"/>
        </w:rPr>
        <w:t>使用联接件不会降低原有钢筋的强度；</w:t>
      </w:r>
    </w:p>
    <w:p>
      <w:pPr>
        <w:pStyle w:val="1280"/>
        <w:ind w:firstLine="440"/>
        <w:rPr>
          <w:rFonts w:ascii="宋体"/>
        </w:rPr>
      </w:pPr>
      <w:r>
        <w:rPr>
          <w:rFonts w:ascii="宋体"/>
        </w:rPr>
        <w:t>每个联接件的强度不小于原有钢筋的强度；</w:t>
      </w:r>
    </w:p>
    <w:p>
      <w:pPr>
        <w:pStyle w:val="1280"/>
        <w:ind w:firstLine="440"/>
        <w:rPr>
          <w:rFonts w:ascii="宋体"/>
        </w:rPr>
      </w:pPr>
      <w:r>
        <w:rPr>
          <w:rFonts w:ascii="宋体"/>
        </w:rPr>
        <w:t>钢筋加上允许的最大荷载后，联接件不发生明显的永久变形。</w:t>
      </w:r>
    </w:p>
    <w:p>
      <w:pPr>
        <w:pStyle w:val="1284"/>
        <w:outlineLvl w:val="0"/>
        <w:rPr>
          <w:rFonts w:ascii="宋体" w:hAnsi="宋体"/>
        </w:rPr>
      </w:pPr>
      <w:bookmarkStart w:id="3709" w:name="_Toc385007764"/>
      <w:bookmarkStart w:id="3710" w:name="_Toc385008560"/>
      <w:bookmarkStart w:id="3711" w:name="_Toc385012722"/>
      <w:bookmarkStart w:id="3712" w:name="_Toc389234225"/>
      <w:bookmarkStart w:id="3713" w:name="_Toc393081176"/>
      <w:bookmarkStart w:id="3714" w:name="_Toc397479624"/>
      <w:bookmarkStart w:id="3715" w:name="_Toc397479951"/>
      <w:bookmarkStart w:id="3716" w:name="_Toc397481673"/>
      <w:bookmarkStart w:id="3717" w:name="_Toc397485742"/>
      <w:bookmarkStart w:id="3718" w:name="_Toc398083830"/>
      <w:bookmarkStart w:id="3719" w:name="_Toc16242437"/>
      <w:bookmarkStart w:id="3720" w:name="_Toc43107618"/>
      <w:bookmarkStart w:id="3721" w:name="_Toc164502200"/>
      <w:bookmarkStart w:id="3722" w:name="_Toc266663002"/>
      <w:bookmarkStart w:id="3723" w:name="_Toc320555469"/>
      <w:bookmarkStart w:id="3724" w:name="_Toc517382603"/>
      <w:bookmarkStart w:id="3725" w:name="_Toc518376656"/>
      <w:bookmarkStart w:id="3726" w:name="_Toc521491978"/>
      <w:bookmarkStart w:id="3727" w:name="_Toc521492835"/>
      <w:bookmarkStart w:id="3728" w:name="_Toc521493509"/>
      <w:bookmarkStart w:id="3729" w:name="_Toc106883166"/>
      <w:r>
        <w:rPr>
          <w:rFonts w:ascii="宋体" w:hAnsi="宋体"/>
        </w:rPr>
        <w:t>3.8.11 混凝土中钢筋的保护层厚度</w:t>
      </w:r>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1280"/>
        <w:ind w:firstLine="440"/>
        <w:rPr>
          <w:rFonts w:ascii="宋体"/>
        </w:rPr>
      </w:pPr>
      <w:r>
        <w:rPr>
          <w:rFonts w:ascii="宋体"/>
        </w:rPr>
        <w:t>承包商应满足设计要求的混凝土中的钢筋保护层厚度的要求，若设计未明确，一般情况下可按以下混凝土中的钢筋保护层厚度的要求，除非项目监理或业主有特殊要求。</w:t>
      </w:r>
    </w:p>
    <w:p>
      <w:pPr>
        <w:pStyle w:val="1280"/>
        <w:ind w:firstLine="440"/>
        <w:rPr>
          <w:rFonts w:ascii="宋体"/>
        </w:rPr>
      </w:pPr>
      <w:r>
        <w:rPr>
          <w:rFonts w:ascii="宋体"/>
        </w:rPr>
        <w:t>在地面进行浇筑并长期外露于地面</w:t>
      </w:r>
      <w:r>
        <w:rPr>
          <w:rFonts w:ascii="宋体"/>
        </w:rPr>
        <w:tab/>
      </w:r>
      <w:r>
        <w:rPr>
          <w:rFonts w:ascii="宋体"/>
        </w:rPr>
        <w:tab/>
      </w:r>
      <w:r>
        <w:rPr>
          <w:rFonts w:ascii="宋体"/>
        </w:rPr>
        <w:t xml:space="preserve">    </w:t>
      </w:r>
      <w:r>
        <w:rPr>
          <w:rFonts w:ascii="宋体"/>
        </w:rPr>
        <w:tab/>
      </w:r>
      <w:r>
        <w:rPr>
          <w:rFonts w:ascii="宋体"/>
        </w:rPr>
        <w:t>75mm</w:t>
      </w:r>
    </w:p>
    <w:p>
      <w:pPr>
        <w:pStyle w:val="1280"/>
        <w:ind w:firstLine="440"/>
        <w:rPr>
          <w:rFonts w:ascii="宋体"/>
        </w:rPr>
      </w:pPr>
      <w:r>
        <w:rPr>
          <w:rFonts w:ascii="宋体"/>
        </w:rPr>
        <w:t>长期暴露于地面、大气或水中</w:t>
      </w:r>
      <w:r>
        <w:rPr>
          <w:rFonts w:ascii="宋体"/>
        </w:rPr>
        <w:tab/>
      </w:r>
    </w:p>
    <w:p>
      <w:pPr>
        <w:pStyle w:val="1280"/>
        <w:ind w:firstLine="440"/>
        <w:rPr>
          <w:rFonts w:ascii="宋体"/>
        </w:rPr>
      </w:pPr>
      <w:r>
        <w:rPr>
          <w:rFonts w:ascii="宋体"/>
        </w:rPr>
        <w:t>Φ20至Φ55钢筋</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50mm</w:t>
      </w:r>
    </w:p>
    <w:p>
      <w:pPr>
        <w:pStyle w:val="1280"/>
        <w:ind w:firstLine="440"/>
        <w:rPr>
          <w:rFonts w:ascii="宋体"/>
        </w:rPr>
      </w:pPr>
      <w:r>
        <w:rPr>
          <w:rFonts w:ascii="宋体"/>
        </w:rPr>
        <w:t>Φ15、Φ16或更小的钢筋</w:t>
      </w:r>
      <w:r>
        <w:rPr>
          <w:rFonts w:ascii="宋体"/>
        </w:rPr>
        <w:tab/>
      </w:r>
      <w:r>
        <w:rPr>
          <w:rFonts w:ascii="宋体"/>
        </w:rPr>
        <w:tab/>
      </w:r>
      <w:r>
        <w:rPr>
          <w:rFonts w:ascii="宋体"/>
        </w:rPr>
        <w:tab/>
      </w:r>
      <w:r>
        <w:rPr>
          <w:rFonts w:ascii="宋体"/>
        </w:rPr>
        <w:tab/>
      </w:r>
      <w:r>
        <w:rPr>
          <w:rFonts w:ascii="宋体"/>
        </w:rPr>
        <w:tab/>
      </w:r>
      <w:r>
        <w:rPr>
          <w:rFonts w:ascii="宋体"/>
        </w:rPr>
        <w:t xml:space="preserve">   40mm</w:t>
      </w:r>
    </w:p>
    <w:p>
      <w:pPr>
        <w:pStyle w:val="1280"/>
        <w:ind w:firstLine="440"/>
        <w:rPr>
          <w:rFonts w:ascii="宋体"/>
        </w:rPr>
      </w:pPr>
      <w:r>
        <w:rPr>
          <w:rFonts w:ascii="宋体"/>
        </w:rPr>
        <w:t>末暴露在大气中或末与地面接触的板</w:t>
      </w:r>
    </w:p>
    <w:p>
      <w:pPr>
        <w:pStyle w:val="1280"/>
        <w:ind w:firstLine="440"/>
        <w:rPr>
          <w:rFonts w:ascii="宋体"/>
        </w:rPr>
      </w:pPr>
      <w:r>
        <w:rPr>
          <w:rFonts w:ascii="宋体"/>
        </w:rPr>
        <w:t>Φ36钢筋或更小</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20mm</w:t>
      </w:r>
    </w:p>
    <w:p>
      <w:pPr>
        <w:pStyle w:val="1280"/>
        <w:ind w:firstLine="440"/>
        <w:rPr>
          <w:rFonts w:ascii="宋体"/>
        </w:rPr>
      </w:pPr>
      <w:r>
        <w:rPr>
          <w:rFonts w:ascii="宋体"/>
        </w:rPr>
        <w:t>大于Φ36钢筋</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40mm</w:t>
      </w:r>
    </w:p>
    <w:p>
      <w:pPr>
        <w:pStyle w:val="1280"/>
        <w:ind w:firstLine="440"/>
        <w:rPr>
          <w:rFonts w:ascii="宋体"/>
        </w:rPr>
      </w:pPr>
      <w:r>
        <w:rPr>
          <w:rFonts w:ascii="宋体"/>
        </w:rPr>
        <w:t>梁、柱</w:t>
      </w:r>
    </w:p>
    <w:p>
      <w:pPr>
        <w:pStyle w:val="1280"/>
        <w:ind w:firstLine="440"/>
        <w:rPr>
          <w:rFonts w:ascii="宋体"/>
        </w:rPr>
      </w:pPr>
      <w:r>
        <w:rPr>
          <w:rFonts w:ascii="宋体"/>
        </w:rPr>
        <w:t>受力钢筋、拉杆、螺纹钢筋</w:t>
      </w:r>
      <w:r>
        <w:rPr>
          <w:rFonts w:ascii="宋体"/>
        </w:rPr>
        <w:tab/>
      </w:r>
      <w:r>
        <w:rPr>
          <w:rFonts w:ascii="宋体"/>
        </w:rPr>
        <w:tab/>
      </w:r>
      <w:r>
        <w:rPr>
          <w:rFonts w:ascii="宋体"/>
        </w:rPr>
        <w:tab/>
      </w:r>
      <w:r>
        <w:rPr>
          <w:rFonts w:ascii="宋体"/>
        </w:rPr>
        <w:t xml:space="preserve">       25mm</w:t>
      </w:r>
    </w:p>
    <w:p>
      <w:pPr>
        <w:pStyle w:val="1280"/>
        <w:ind w:firstLine="440"/>
        <w:rPr>
          <w:rFonts w:ascii="宋体"/>
        </w:rPr>
      </w:pPr>
      <w:r>
        <w:rPr>
          <w:rFonts w:ascii="宋体"/>
        </w:rPr>
        <w:t>箍筋                                       15mm</w:t>
      </w:r>
    </w:p>
    <w:p>
      <w:pPr>
        <w:pStyle w:val="1280"/>
        <w:ind w:firstLine="440"/>
        <w:rPr>
          <w:rFonts w:ascii="宋体"/>
        </w:rPr>
      </w:pPr>
      <w:r>
        <w:rPr>
          <w:rFonts w:ascii="宋体"/>
        </w:rPr>
        <w:t>板</w:t>
      </w:r>
    </w:p>
    <w:p>
      <w:pPr>
        <w:pStyle w:val="1280"/>
        <w:ind w:firstLine="440"/>
        <w:rPr>
          <w:rFonts w:ascii="宋体"/>
        </w:rPr>
      </w:pPr>
      <w:r>
        <w:rPr>
          <w:rFonts w:ascii="宋体"/>
        </w:rPr>
        <w:t>Φ20或以上</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20mm</w:t>
      </w:r>
    </w:p>
    <w:p>
      <w:pPr>
        <w:pStyle w:val="1280"/>
        <w:ind w:firstLine="440"/>
        <w:rPr>
          <w:rFonts w:ascii="宋体"/>
        </w:rPr>
      </w:pPr>
      <w:r>
        <w:rPr>
          <w:rFonts w:ascii="宋体"/>
        </w:rPr>
        <w:t>Φ15、Φ16或更小的钢筋</w:t>
      </w:r>
      <w:r>
        <w:rPr>
          <w:rFonts w:ascii="宋体"/>
        </w:rPr>
        <w:tab/>
      </w:r>
      <w:r>
        <w:rPr>
          <w:rFonts w:ascii="宋体"/>
        </w:rPr>
        <w:tab/>
      </w:r>
      <w:r>
        <w:rPr>
          <w:rFonts w:ascii="宋体"/>
        </w:rPr>
        <w:tab/>
      </w:r>
      <w:r>
        <w:rPr>
          <w:rFonts w:ascii="宋体"/>
        </w:rPr>
        <w:tab/>
      </w:r>
      <w:r>
        <w:rPr>
          <w:rFonts w:ascii="宋体"/>
        </w:rPr>
        <w:tab/>
      </w:r>
      <w:r>
        <w:rPr>
          <w:rFonts w:ascii="宋体"/>
        </w:rPr>
        <w:t xml:space="preserve">   15mm</w:t>
      </w:r>
    </w:p>
    <w:p>
      <w:pPr>
        <w:pStyle w:val="1280"/>
        <w:ind w:firstLine="440"/>
        <w:rPr>
          <w:rFonts w:ascii="宋体"/>
        </w:rPr>
      </w:pPr>
      <w:r>
        <w:rPr>
          <w:rFonts w:ascii="宋体"/>
        </w:rPr>
        <w:t>带坡度的板(顶部表面)</w:t>
      </w:r>
      <w:r>
        <w:rPr>
          <w:rFonts w:ascii="宋体"/>
        </w:rPr>
        <w:tab/>
      </w:r>
      <w:r>
        <w:rPr>
          <w:rFonts w:ascii="宋体"/>
        </w:rPr>
        <w:tab/>
      </w:r>
      <w:r>
        <w:rPr>
          <w:rFonts w:ascii="宋体"/>
        </w:rPr>
        <w:tab/>
      </w:r>
      <w:r>
        <w:rPr>
          <w:rFonts w:ascii="宋体"/>
        </w:rPr>
        <w:tab/>
      </w:r>
      <w:r>
        <w:rPr>
          <w:rFonts w:ascii="宋体"/>
        </w:rPr>
        <w:tab/>
      </w:r>
      <w:r>
        <w:rPr>
          <w:rFonts w:ascii="宋体"/>
        </w:rPr>
        <w:t xml:space="preserve">       40mm</w:t>
      </w:r>
    </w:p>
    <w:p>
      <w:pPr>
        <w:pStyle w:val="1280"/>
        <w:ind w:firstLine="440"/>
        <w:rPr>
          <w:rFonts w:ascii="宋体"/>
        </w:rPr>
      </w:pPr>
      <w:r>
        <w:rPr>
          <w:rFonts w:ascii="宋体"/>
        </w:rPr>
        <w:t>桩基</w:t>
      </w:r>
    </w:p>
    <w:p>
      <w:pPr>
        <w:pStyle w:val="1280"/>
        <w:ind w:firstLine="440"/>
        <w:rPr>
          <w:rFonts w:ascii="宋体"/>
        </w:rPr>
      </w:pPr>
      <w:r>
        <w:rPr>
          <w:rFonts w:ascii="宋体"/>
        </w:rPr>
        <w:t>受力钢筋</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 xml:space="preserve">           35mm</w:t>
      </w:r>
    </w:p>
    <w:p>
      <w:pPr>
        <w:pStyle w:val="1280"/>
        <w:ind w:firstLine="440"/>
        <w:rPr>
          <w:rFonts w:ascii="宋体"/>
        </w:rPr>
      </w:pPr>
      <w:r>
        <w:rPr>
          <w:rFonts w:ascii="宋体"/>
        </w:rPr>
        <w:t xml:space="preserve">箍筋               </w:t>
      </w:r>
      <w:r>
        <w:rPr>
          <w:rFonts w:ascii="宋体"/>
        </w:rPr>
        <w:tab/>
      </w:r>
      <w:r>
        <w:rPr>
          <w:rFonts w:ascii="宋体"/>
        </w:rPr>
        <w:tab/>
      </w:r>
      <w:r>
        <w:rPr>
          <w:rFonts w:ascii="宋体"/>
        </w:rPr>
        <w:tab/>
      </w:r>
      <w:r>
        <w:rPr>
          <w:rFonts w:ascii="宋体"/>
        </w:rPr>
        <w:tab/>
      </w:r>
      <w:r>
        <w:rPr>
          <w:rFonts w:ascii="宋体"/>
        </w:rPr>
        <w:tab/>
      </w:r>
      <w:r>
        <w:rPr>
          <w:rFonts w:ascii="宋体"/>
        </w:rPr>
        <w:t xml:space="preserve">       25mm</w:t>
      </w:r>
    </w:p>
    <w:p>
      <w:pPr>
        <w:pStyle w:val="1284"/>
        <w:outlineLvl w:val="0"/>
        <w:rPr>
          <w:rFonts w:ascii="宋体" w:hAnsi="宋体"/>
        </w:rPr>
      </w:pPr>
      <w:bookmarkStart w:id="3730" w:name="_Toc124411506"/>
      <w:bookmarkStart w:id="3731" w:name="_Toc164502201"/>
      <w:bookmarkStart w:id="3732" w:name="_Toc311124675"/>
      <w:bookmarkStart w:id="3733" w:name="_Toc320555470"/>
      <w:bookmarkStart w:id="3734" w:name="_Toc517382604"/>
      <w:bookmarkStart w:id="3735" w:name="_Toc518376657"/>
      <w:bookmarkStart w:id="3736" w:name="_Toc521491979"/>
      <w:bookmarkStart w:id="3737" w:name="_Toc521492836"/>
      <w:bookmarkStart w:id="3738" w:name="_Toc521493510"/>
      <w:bookmarkStart w:id="3739" w:name="_Toc106883167"/>
      <w:r>
        <w:rPr>
          <w:rFonts w:ascii="宋体" w:hAnsi="宋体"/>
        </w:rPr>
        <w:t>3.8.12 计量和支付</w:t>
      </w:r>
      <w:bookmarkEnd w:id="3730"/>
      <w:bookmarkEnd w:id="3731"/>
      <w:bookmarkEnd w:id="3732"/>
      <w:bookmarkEnd w:id="3733"/>
      <w:bookmarkEnd w:id="3734"/>
      <w:bookmarkEnd w:id="3735"/>
      <w:bookmarkEnd w:id="3736"/>
      <w:bookmarkEnd w:id="3737"/>
      <w:bookmarkEnd w:id="3738"/>
      <w:bookmarkEnd w:id="3739"/>
    </w:p>
    <w:p>
      <w:pPr>
        <w:pStyle w:val="1280"/>
        <w:ind w:firstLine="440"/>
        <w:rPr>
          <w:rFonts w:ascii="宋体"/>
        </w:rPr>
      </w:pPr>
      <w:r>
        <w:rPr>
          <w:rFonts w:ascii="宋体"/>
        </w:rPr>
        <w:t>计量应于工程部位完成验收后，以下列方式计量，并计入当月支付申请。</w:t>
      </w:r>
    </w:p>
    <w:p>
      <w:pPr>
        <w:pStyle w:val="1280"/>
        <w:ind w:firstLine="440"/>
        <w:rPr>
          <w:rFonts w:ascii="宋体"/>
        </w:rPr>
      </w:pPr>
      <w:r>
        <w:rPr>
          <w:rFonts w:ascii="宋体"/>
        </w:rPr>
        <w:t>1、计量</w:t>
      </w:r>
    </w:p>
    <w:p>
      <w:pPr>
        <w:pStyle w:val="1280"/>
        <w:ind w:firstLine="440"/>
        <w:rPr>
          <w:rFonts w:ascii="宋体"/>
        </w:rPr>
      </w:pPr>
      <w:r>
        <w:rPr>
          <w:rFonts w:hint="eastAsia" w:ascii="宋体"/>
        </w:rPr>
        <w:t>（1）</w:t>
      </w:r>
      <w:r>
        <w:rPr>
          <w:rFonts w:ascii="宋体"/>
        </w:rPr>
        <w:t>根据图纸所示及钢筋表所列，按实际安设并经项目监理验收后的钢筋以公斤计量。其内容包括钢筋混凝土中的钢筋和预应力混凝土中的钢筋。</w:t>
      </w:r>
    </w:p>
    <w:p>
      <w:pPr>
        <w:pStyle w:val="1280"/>
        <w:ind w:firstLine="440"/>
        <w:rPr>
          <w:rFonts w:ascii="宋体"/>
        </w:rPr>
      </w:pPr>
      <w:r>
        <w:rPr>
          <w:rFonts w:hint="eastAsia" w:ascii="宋体"/>
        </w:rPr>
        <w:t>（2）</w:t>
      </w:r>
      <w:r>
        <w:rPr>
          <w:rFonts w:ascii="宋体"/>
        </w:rPr>
        <w:t>除图纸所示或项目监理另有认可外，因搭接而增加的钢筋不计入。</w:t>
      </w:r>
    </w:p>
    <w:p>
      <w:pPr>
        <w:pStyle w:val="1280"/>
        <w:ind w:firstLine="440"/>
        <w:rPr>
          <w:rFonts w:ascii="宋体"/>
        </w:rPr>
      </w:pPr>
      <w:r>
        <w:rPr>
          <w:rFonts w:hint="eastAsia" w:ascii="宋体"/>
        </w:rPr>
        <w:t>（3）</w:t>
      </w:r>
      <w:r>
        <w:rPr>
          <w:rFonts w:ascii="宋体"/>
        </w:rPr>
        <w:t>钢筋及钢筋骨架用的铁丝、钢板、套筒、焊接、钢筋垫块或其他固定支撑钢筋的材料，以及钢筋的防锈、截取、套丝、弯曲、运输、安装等，作为钢筋工程的附属工作，不另行计量。</w:t>
      </w:r>
    </w:p>
    <w:p>
      <w:pPr>
        <w:pStyle w:val="1280"/>
        <w:ind w:firstLine="440"/>
        <w:rPr>
          <w:rFonts w:ascii="宋体"/>
        </w:rPr>
      </w:pPr>
      <w:r>
        <w:rPr>
          <w:rFonts w:ascii="宋体"/>
        </w:rPr>
        <w:t>2、支付</w:t>
      </w:r>
    </w:p>
    <w:p>
      <w:pPr>
        <w:pStyle w:val="1280"/>
        <w:ind w:firstLine="440"/>
        <w:rPr>
          <w:rFonts w:ascii="宋体"/>
        </w:rPr>
      </w:pPr>
      <w:r>
        <w:rPr>
          <w:rFonts w:ascii="宋体"/>
        </w:rPr>
        <w:t>按上述规定计量，经项目监理验收列入了工程量清单支付细目的工程量，其每一计量单位，将以合同单价支付，此项支付包括材料、劳力、设备、检验、运输及其他为完成钢筋工程所必需的费用，是对完成工程的全部偿付。</w:t>
      </w:r>
    </w:p>
    <w:p>
      <w:pPr>
        <w:pStyle w:val="1280"/>
        <w:ind w:firstLine="440"/>
        <w:rPr>
          <w:rFonts w:ascii="宋体"/>
        </w:rPr>
      </w:pPr>
      <w:r>
        <w:rPr>
          <w:rFonts w:ascii="宋体"/>
        </w:rPr>
        <w:t>3、支付细目</w:t>
      </w:r>
    </w:p>
    <w:p>
      <w:pPr>
        <w:pStyle w:val="1280"/>
        <w:ind w:firstLine="440"/>
        <w:rPr>
          <w:rFonts w:ascii="宋体"/>
        </w:rPr>
      </w:pPr>
      <w:r>
        <w:rPr>
          <w:rFonts w:ascii="宋体"/>
        </w:rPr>
        <w:t>详见本技术规范有关章节混凝土中用有钢筋的细目。</w:t>
      </w:r>
    </w:p>
    <w:p>
      <w:pPr>
        <w:pStyle w:val="1281"/>
        <w:outlineLvl w:val="0"/>
        <w:rPr>
          <w:rFonts w:ascii="宋体" w:hAnsi="宋体"/>
          <w:color w:val="auto"/>
        </w:rPr>
      </w:pPr>
      <w:bookmarkStart w:id="3740" w:name="_Toc517382605"/>
      <w:bookmarkStart w:id="3741" w:name="_Toc518376658"/>
      <w:bookmarkStart w:id="3742" w:name="_Toc521491980"/>
      <w:bookmarkStart w:id="3743" w:name="_Toc521492837"/>
      <w:bookmarkStart w:id="3744" w:name="_Toc521493511"/>
      <w:bookmarkStart w:id="3745" w:name="_Toc106883168"/>
      <w:r>
        <w:rPr>
          <w:rFonts w:ascii="宋体" w:hAnsi="宋体"/>
          <w:color w:val="auto"/>
        </w:rPr>
        <w:t>3.9</w:t>
      </w:r>
      <w:r>
        <w:rPr>
          <w:rFonts w:hint="eastAsia" w:ascii="宋体" w:hAnsi="宋体"/>
          <w:color w:val="auto"/>
        </w:rPr>
        <w:t xml:space="preserve"> </w:t>
      </w:r>
      <w:r>
        <w:rPr>
          <w:rFonts w:ascii="宋体" w:hAnsi="宋体"/>
          <w:color w:val="auto"/>
        </w:rPr>
        <w:t>混凝土防腐防水涂层</w:t>
      </w:r>
      <w:bookmarkEnd w:id="3740"/>
      <w:bookmarkEnd w:id="3741"/>
      <w:bookmarkEnd w:id="3742"/>
      <w:bookmarkEnd w:id="3743"/>
      <w:bookmarkEnd w:id="3744"/>
      <w:bookmarkEnd w:id="3745"/>
    </w:p>
    <w:p>
      <w:pPr>
        <w:pStyle w:val="1284"/>
        <w:outlineLvl w:val="0"/>
        <w:rPr>
          <w:rFonts w:ascii="宋体" w:hAnsi="宋体"/>
        </w:rPr>
      </w:pPr>
      <w:bookmarkStart w:id="3746" w:name="_Toc517382606"/>
      <w:bookmarkStart w:id="3747" w:name="_Toc518376659"/>
      <w:bookmarkStart w:id="3748" w:name="_Toc521491981"/>
      <w:bookmarkStart w:id="3749" w:name="_Toc521492838"/>
      <w:bookmarkStart w:id="3750" w:name="_Toc521493512"/>
      <w:bookmarkStart w:id="3751" w:name="_Toc106883169"/>
      <w:r>
        <w:rPr>
          <w:rFonts w:ascii="宋体" w:hAnsi="宋体"/>
        </w:rPr>
        <w:t>3.9.1 总则</w:t>
      </w:r>
      <w:bookmarkEnd w:id="3746"/>
      <w:bookmarkEnd w:id="3747"/>
      <w:bookmarkEnd w:id="3748"/>
      <w:bookmarkEnd w:id="3749"/>
      <w:bookmarkEnd w:id="3750"/>
      <w:bookmarkEnd w:id="3751"/>
    </w:p>
    <w:p>
      <w:pPr>
        <w:pStyle w:val="1280"/>
        <w:ind w:firstLine="440"/>
        <w:rPr>
          <w:rFonts w:ascii="宋体"/>
        </w:rPr>
      </w:pPr>
      <w:r>
        <w:rPr>
          <w:rFonts w:ascii="宋体"/>
        </w:rPr>
        <w:t>承包商应将防腐保护涂层及可用于饮用水的水泥基渗透结晶型防水涂层的全部资料提交项目监理批准。涂层应适用于混凝土表面免受污水介质及气体的侵蚀。</w:t>
      </w:r>
    </w:p>
    <w:p>
      <w:pPr>
        <w:pStyle w:val="1280"/>
        <w:ind w:firstLine="440"/>
        <w:rPr>
          <w:rFonts w:ascii="宋体"/>
        </w:rPr>
      </w:pPr>
      <w:r>
        <w:rPr>
          <w:rFonts w:ascii="宋体"/>
        </w:rPr>
        <w:t>保护涂层材料要求应按</w:t>
      </w:r>
      <w:r>
        <w:rPr>
          <w:rFonts w:hint="eastAsia" w:ascii="宋体"/>
        </w:rPr>
        <w:t>《地下防水工程质量验收规范》（</w:t>
      </w:r>
      <w:r>
        <w:rPr>
          <w:rFonts w:ascii="宋体"/>
        </w:rPr>
        <w:t>GB</w:t>
      </w:r>
      <w:r>
        <w:rPr>
          <w:rFonts w:hint="eastAsia" w:ascii="宋体"/>
        </w:rPr>
        <w:t xml:space="preserve"> </w:t>
      </w:r>
      <w:r>
        <w:rPr>
          <w:rFonts w:ascii="宋体"/>
        </w:rPr>
        <w:t>50208-2011</w:t>
      </w:r>
      <w:r>
        <w:rPr>
          <w:rFonts w:hint="eastAsia" w:ascii="宋体"/>
        </w:rPr>
        <w:t>）</w:t>
      </w:r>
      <w:r>
        <w:rPr>
          <w:rFonts w:ascii="宋体"/>
        </w:rPr>
        <w:t>规范进行。</w:t>
      </w:r>
    </w:p>
    <w:p>
      <w:pPr>
        <w:pStyle w:val="1280"/>
        <w:ind w:firstLine="440"/>
        <w:rPr>
          <w:rFonts w:ascii="宋体"/>
        </w:rPr>
      </w:pPr>
      <w:r>
        <w:rPr>
          <w:rFonts w:ascii="宋体"/>
        </w:rPr>
        <w:t>承包商应在有项目监理在场的情况下对拟用的材料做部分指标试验，项目监理应在材料至少满足这些要求时，方能批准该材料的使用。涂料使用方法应提交项目监理审批。</w:t>
      </w:r>
    </w:p>
    <w:p>
      <w:pPr>
        <w:pStyle w:val="5"/>
        <w:keepNext w:val="0"/>
        <w:keepLines w:val="0"/>
        <w:adjustRightInd w:val="0"/>
        <w:snapToGrid w:val="0"/>
        <w:spacing w:before="0" w:after="0" w:line="360" w:lineRule="auto"/>
        <w:jc w:val="left"/>
        <w:rPr>
          <w:rFonts w:ascii="宋体" w:hAnsi="宋体" w:eastAsia="宋体"/>
          <w:bCs/>
          <w:sz w:val="24"/>
        </w:rPr>
      </w:pPr>
      <w:bookmarkStart w:id="3752" w:name="_Toc517382607"/>
      <w:bookmarkStart w:id="3753" w:name="_Toc518376660"/>
      <w:bookmarkStart w:id="3754" w:name="_Toc521491982"/>
      <w:bookmarkStart w:id="3755" w:name="_Toc521492839"/>
      <w:bookmarkStart w:id="3756" w:name="_Toc521493513"/>
      <w:bookmarkStart w:id="3757" w:name="_Toc106883170"/>
      <w:r>
        <w:rPr>
          <w:rFonts w:ascii="宋体" w:hAnsi="宋体" w:eastAsia="宋体"/>
          <w:bCs/>
          <w:sz w:val="24"/>
        </w:rPr>
        <w:t>3.9.2 计量与支付</w:t>
      </w:r>
      <w:bookmarkEnd w:id="3752"/>
      <w:bookmarkEnd w:id="3753"/>
      <w:bookmarkEnd w:id="3754"/>
      <w:bookmarkEnd w:id="3755"/>
      <w:bookmarkEnd w:id="3756"/>
      <w:bookmarkEnd w:id="3757"/>
    </w:p>
    <w:p>
      <w:pPr>
        <w:adjustRightInd w:val="0"/>
        <w:snapToGrid w:val="0"/>
        <w:spacing w:line="360" w:lineRule="auto"/>
        <w:ind w:firstLine="500" w:firstLineChars="200"/>
        <w:rPr>
          <w:rFonts w:ascii="宋体" w:hAnsi="宋体"/>
          <w:szCs w:val="21"/>
        </w:rPr>
      </w:pPr>
      <w:r>
        <w:rPr>
          <w:rFonts w:ascii="宋体" w:hAnsi="宋体"/>
          <w:szCs w:val="21"/>
        </w:rPr>
        <w:t>本节不单独计量支付。</w:t>
      </w:r>
    </w:p>
    <w:p>
      <w:pPr>
        <w:pStyle w:val="1328"/>
        <w:rPr>
          <w:rFonts w:ascii="宋体" w:hAnsi="宋体"/>
        </w:rPr>
      </w:pPr>
      <w:r>
        <w:rPr>
          <w:rFonts w:ascii="宋体" w:hAnsi="宋体"/>
        </w:rPr>
        <w:br w:type="page"/>
      </w:r>
      <w:bookmarkStart w:id="3758" w:name="_Toc521492260"/>
      <w:bookmarkStart w:id="3759" w:name="_Toc521493117"/>
      <w:bookmarkStart w:id="3760" w:name="_Toc521493791"/>
      <w:bookmarkStart w:id="3761" w:name="_Toc106883171"/>
      <w:r>
        <w:rPr>
          <w:rFonts w:hint="eastAsia" w:ascii="宋体" w:hAnsi="宋体"/>
        </w:rPr>
        <w:t>4</w:t>
      </w:r>
      <w:r>
        <w:rPr>
          <w:rFonts w:ascii="宋体" w:hAnsi="宋体"/>
        </w:rPr>
        <w:t xml:space="preserve"> </w:t>
      </w:r>
      <w:r>
        <w:rPr>
          <w:rFonts w:hint="eastAsia" w:ascii="宋体" w:hAnsi="宋体"/>
        </w:rPr>
        <w:t>供水工程</w:t>
      </w:r>
      <w:bookmarkEnd w:id="3758"/>
      <w:bookmarkEnd w:id="3759"/>
      <w:bookmarkEnd w:id="3760"/>
      <w:bookmarkEnd w:id="3761"/>
    </w:p>
    <w:p>
      <w:pPr>
        <w:pStyle w:val="1281"/>
        <w:outlineLvl w:val="0"/>
        <w:rPr>
          <w:rFonts w:ascii="宋体" w:hAnsi="宋体"/>
          <w:color w:val="auto"/>
        </w:rPr>
      </w:pPr>
      <w:bookmarkStart w:id="3762" w:name="_Toc521492261"/>
      <w:bookmarkStart w:id="3763" w:name="_Toc521493118"/>
      <w:bookmarkStart w:id="3764" w:name="_Toc521493792"/>
      <w:bookmarkStart w:id="3765" w:name="_Toc106883172"/>
      <w:r>
        <w:rPr>
          <w:rFonts w:hint="eastAsia" w:ascii="宋体" w:hAnsi="宋体"/>
          <w:color w:val="auto"/>
        </w:rPr>
        <w:t>4.1 建筑部分</w:t>
      </w:r>
      <w:bookmarkEnd w:id="3762"/>
      <w:bookmarkEnd w:id="3763"/>
      <w:bookmarkEnd w:id="3764"/>
      <w:bookmarkEnd w:id="3765"/>
    </w:p>
    <w:p>
      <w:pPr>
        <w:pStyle w:val="1284"/>
        <w:outlineLvl w:val="0"/>
        <w:rPr>
          <w:rFonts w:ascii="宋体" w:hAnsi="宋体"/>
        </w:rPr>
      </w:pPr>
      <w:bookmarkStart w:id="3766" w:name="_Toc521492262"/>
      <w:bookmarkStart w:id="3767" w:name="_Toc521493119"/>
      <w:bookmarkStart w:id="3768" w:name="_Toc521493793"/>
      <w:bookmarkStart w:id="3769" w:name="_Toc106883173"/>
      <w:r>
        <w:rPr>
          <w:rFonts w:hint="eastAsia" w:ascii="宋体" w:hAnsi="宋体"/>
        </w:rPr>
        <w:t>4</w:t>
      </w:r>
      <w:r>
        <w:rPr>
          <w:rFonts w:ascii="宋体" w:hAnsi="宋体"/>
        </w:rPr>
        <w:t>.</w:t>
      </w:r>
      <w:r>
        <w:rPr>
          <w:rFonts w:hint="eastAsia" w:ascii="宋体" w:hAnsi="宋体"/>
        </w:rPr>
        <w:t>1.</w:t>
      </w:r>
      <w:r>
        <w:rPr>
          <w:rFonts w:ascii="宋体" w:hAnsi="宋体"/>
        </w:rPr>
        <w:t>1  建筑地面</w:t>
      </w:r>
      <w:bookmarkEnd w:id="3766"/>
      <w:bookmarkEnd w:id="3767"/>
      <w:bookmarkEnd w:id="3768"/>
      <w:bookmarkEnd w:id="3769"/>
    </w:p>
    <w:p>
      <w:pPr>
        <w:pStyle w:val="1288"/>
        <w:outlineLvl w:val="0"/>
        <w:rPr>
          <w:rFonts w:ascii="宋体" w:hAnsi="宋体"/>
          <w:color w:val="auto"/>
        </w:rPr>
      </w:pPr>
      <w:bookmarkStart w:id="3770" w:name="_Toc106049911"/>
      <w:bookmarkStart w:id="3771" w:name="_Toc106883174"/>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1.1  范围</w:t>
      </w:r>
      <w:bookmarkEnd w:id="3770"/>
      <w:bookmarkEnd w:id="3771"/>
    </w:p>
    <w:p>
      <w:pPr>
        <w:pStyle w:val="1280"/>
        <w:ind w:firstLine="440"/>
        <w:rPr>
          <w:rFonts w:ascii="宋体"/>
        </w:rPr>
      </w:pPr>
      <w:r>
        <w:rPr>
          <w:rFonts w:ascii="宋体"/>
        </w:rPr>
        <w:t>建筑地面包括建筑物底层地面和楼层地面，并包含室外散水、排水、踏步、台阶、坡道等。</w:t>
      </w:r>
    </w:p>
    <w:p>
      <w:pPr>
        <w:pStyle w:val="1288"/>
        <w:outlineLvl w:val="0"/>
        <w:rPr>
          <w:rFonts w:ascii="宋体" w:hAnsi="宋体"/>
          <w:color w:val="auto"/>
        </w:rPr>
      </w:pPr>
      <w:bookmarkStart w:id="3772" w:name="_Toc106049912"/>
      <w:bookmarkStart w:id="3773" w:name="_Toc106883175"/>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1.2  参照标准</w:t>
      </w:r>
      <w:bookmarkEnd w:id="3772"/>
      <w:bookmarkEnd w:id="3773"/>
    </w:p>
    <w:p>
      <w:pPr>
        <w:pStyle w:val="1280"/>
        <w:ind w:firstLine="440"/>
        <w:rPr>
          <w:rFonts w:ascii="宋体"/>
        </w:rPr>
      </w:pPr>
      <w:r>
        <w:rPr>
          <w:rFonts w:ascii="宋体"/>
        </w:rPr>
        <w:t>GB50209-2010  建筑地面工程施工及验收规范</w:t>
      </w:r>
    </w:p>
    <w:p>
      <w:pPr>
        <w:pStyle w:val="1280"/>
        <w:ind w:firstLine="440"/>
        <w:rPr>
          <w:rFonts w:ascii="宋体"/>
        </w:rPr>
      </w:pPr>
      <w:r>
        <w:rPr>
          <w:rFonts w:ascii="宋体"/>
        </w:rPr>
        <w:t>GB50212-20</w:t>
      </w:r>
      <w:r>
        <w:rPr>
          <w:rFonts w:hint="eastAsia" w:ascii="宋体"/>
        </w:rPr>
        <w:t>14</w:t>
      </w:r>
      <w:r>
        <w:rPr>
          <w:rFonts w:ascii="宋体"/>
        </w:rPr>
        <w:t xml:space="preserve">  建筑防腐蚀工程</w:t>
      </w:r>
      <w:r>
        <w:rPr>
          <w:rFonts w:hint="eastAsia" w:ascii="宋体"/>
        </w:rPr>
        <w:t>施工</w:t>
      </w:r>
      <w:r>
        <w:rPr>
          <w:rFonts w:ascii="宋体"/>
        </w:rPr>
        <w:t>规范</w:t>
      </w:r>
    </w:p>
    <w:p>
      <w:pPr>
        <w:pStyle w:val="1280"/>
        <w:ind w:firstLine="440"/>
        <w:rPr>
          <w:rFonts w:ascii="宋体"/>
        </w:rPr>
      </w:pPr>
      <w:r>
        <w:rPr>
          <w:rFonts w:ascii="宋体"/>
        </w:rPr>
        <w:t>所应用的</w:t>
      </w:r>
      <w:r>
        <w:rPr>
          <w:rFonts w:hint="eastAsia" w:ascii="宋体"/>
        </w:rPr>
        <w:t>规范</w:t>
      </w:r>
      <w:r>
        <w:rPr>
          <w:rFonts w:ascii="宋体"/>
        </w:rPr>
        <w:t>应是最新的且已实施的版本，必须在本招标截止日期之前28天尚在通用的版本。</w:t>
      </w:r>
    </w:p>
    <w:p>
      <w:pPr>
        <w:pStyle w:val="1288"/>
        <w:outlineLvl w:val="0"/>
        <w:rPr>
          <w:rFonts w:ascii="宋体" w:hAnsi="宋体"/>
          <w:color w:val="auto"/>
        </w:rPr>
      </w:pPr>
      <w:bookmarkStart w:id="3774" w:name="_Toc106049913"/>
      <w:bookmarkStart w:id="3775" w:name="_Toc106883176"/>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1.3  提交的文件</w:t>
      </w:r>
      <w:bookmarkEnd w:id="3774"/>
      <w:bookmarkEnd w:id="3775"/>
    </w:p>
    <w:p>
      <w:pPr>
        <w:pStyle w:val="1280"/>
        <w:ind w:firstLine="440"/>
        <w:rPr>
          <w:rFonts w:ascii="宋体"/>
        </w:rPr>
      </w:pPr>
      <w:r>
        <w:rPr>
          <w:rFonts w:ascii="宋体"/>
        </w:rPr>
        <w:t>承包人应在楼、地面施工前7日提供施工作业文件，以征得项目监理的同意，文件需包括以下内容：</w:t>
      </w:r>
    </w:p>
    <w:p>
      <w:pPr>
        <w:pStyle w:val="1280"/>
        <w:ind w:firstLine="440"/>
        <w:rPr>
          <w:rFonts w:ascii="宋体"/>
        </w:rPr>
      </w:pPr>
      <w:r>
        <w:rPr>
          <w:rFonts w:ascii="宋体"/>
        </w:rPr>
        <w:t>（1）现场定位，标高资料。</w:t>
      </w:r>
    </w:p>
    <w:p>
      <w:pPr>
        <w:pStyle w:val="1280"/>
        <w:ind w:firstLine="440"/>
        <w:rPr>
          <w:rFonts w:ascii="宋体"/>
        </w:rPr>
      </w:pPr>
      <w:r>
        <w:rPr>
          <w:rFonts w:ascii="宋体"/>
        </w:rPr>
        <w:t>（2）立模、支撑系统、脚手架的安全、稳定计算和设计。</w:t>
      </w:r>
    </w:p>
    <w:p>
      <w:pPr>
        <w:pStyle w:val="1280"/>
        <w:ind w:firstLine="440"/>
        <w:rPr>
          <w:rFonts w:ascii="宋体"/>
        </w:rPr>
      </w:pPr>
      <w:r>
        <w:rPr>
          <w:rFonts w:ascii="宋体"/>
        </w:rPr>
        <w:t>（3）各种材料和设备的来源、证明。</w:t>
      </w:r>
    </w:p>
    <w:p>
      <w:pPr>
        <w:pStyle w:val="1280"/>
        <w:ind w:firstLine="440"/>
        <w:rPr>
          <w:rFonts w:ascii="宋体"/>
        </w:rPr>
      </w:pPr>
      <w:r>
        <w:rPr>
          <w:rFonts w:ascii="宋体"/>
        </w:rPr>
        <w:t>（4）施工进度的计划和质量控制。</w:t>
      </w:r>
    </w:p>
    <w:p>
      <w:pPr>
        <w:pStyle w:val="1280"/>
        <w:ind w:firstLine="440"/>
        <w:rPr>
          <w:rFonts w:ascii="宋体"/>
        </w:rPr>
      </w:pPr>
      <w:r>
        <w:rPr>
          <w:rFonts w:ascii="宋体"/>
        </w:rPr>
        <w:t>（3）施工验收所需的各种表格、资料的准备。</w:t>
      </w:r>
    </w:p>
    <w:p>
      <w:pPr>
        <w:spacing w:line="360" w:lineRule="auto"/>
        <w:outlineLvl w:val="0"/>
        <w:rPr>
          <w:rFonts w:ascii="宋体" w:hAnsi="宋体"/>
        </w:rPr>
      </w:pPr>
      <w:bookmarkStart w:id="3776" w:name="_Toc106049914"/>
      <w:bookmarkStart w:id="3777" w:name="_Toc106883177"/>
      <w:r>
        <w:rPr>
          <w:rFonts w:hint="eastAsia" w:ascii="宋体" w:hAnsi="宋体"/>
        </w:rPr>
        <w:t>4</w:t>
      </w:r>
      <w:r>
        <w:rPr>
          <w:rFonts w:ascii="宋体" w:hAnsi="宋体"/>
        </w:rPr>
        <w:t>.</w:t>
      </w:r>
      <w:r>
        <w:rPr>
          <w:rFonts w:hint="eastAsia" w:ascii="宋体" w:hAnsi="宋体"/>
        </w:rPr>
        <w:t>1.</w:t>
      </w:r>
      <w:r>
        <w:rPr>
          <w:rFonts w:ascii="宋体" w:hAnsi="宋体"/>
        </w:rPr>
        <w:t>1.4  一般规定</w:t>
      </w:r>
      <w:bookmarkEnd w:id="3776"/>
      <w:bookmarkEnd w:id="3777"/>
    </w:p>
    <w:p>
      <w:pPr>
        <w:pStyle w:val="1280"/>
        <w:ind w:firstLine="440"/>
        <w:rPr>
          <w:rFonts w:ascii="宋体"/>
        </w:rPr>
      </w:pPr>
      <w:r>
        <w:rPr>
          <w:rFonts w:ascii="宋体"/>
        </w:rPr>
        <w:t>（1）建筑地面各构造层采用的材料、建筑产品的品种、规格、配合比、标号或强度等级等，应按设计要求和本规范的规定选用，并应符合现行的有关产品标准的规定。对进场产品、材料的质量应抽样复验，确认合格后方可使用。</w:t>
      </w:r>
    </w:p>
    <w:p>
      <w:pPr>
        <w:pStyle w:val="1280"/>
        <w:ind w:firstLine="440"/>
        <w:rPr>
          <w:rFonts w:ascii="宋体"/>
        </w:rPr>
      </w:pPr>
      <w:r>
        <w:rPr>
          <w:rFonts w:ascii="宋体"/>
        </w:rPr>
        <w:t>各层采用拌和料的配合比或强度等级应由试验确定。</w:t>
      </w:r>
    </w:p>
    <w:p>
      <w:pPr>
        <w:pStyle w:val="1280"/>
        <w:ind w:firstLine="440"/>
        <w:rPr>
          <w:rFonts w:ascii="宋体"/>
        </w:rPr>
      </w:pPr>
      <w:r>
        <w:rPr>
          <w:rFonts w:ascii="宋体"/>
        </w:rPr>
        <w:t>（2）建筑地面各层的厚度和连接件（接合用的、镶边用的等）构造，应符合设计要求和本规范的规定。</w:t>
      </w:r>
    </w:p>
    <w:p>
      <w:pPr>
        <w:pStyle w:val="1280"/>
        <w:ind w:firstLine="440"/>
        <w:rPr>
          <w:rFonts w:ascii="宋体"/>
        </w:rPr>
      </w:pPr>
      <w:r>
        <w:rPr>
          <w:rFonts w:ascii="宋体"/>
        </w:rPr>
        <w:t>（3）位于建筑地面工程下部的沟槽、暗管等，应待该项工程完工，经检验合格并做隐蔽工程记录后，方可进行上部工程的施工。</w:t>
      </w:r>
    </w:p>
    <w:p>
      <w:pPr>
        <w:pStyle w:val="1280"/>
        <w:ind w:firstLine="440"/>
        <w:rPr>
          <w:rFonts w:ascii="宋体"/>
        </w:rPr>
      </w:pPr>
      <w:r>
        <w:rPr>
          <w:rFonts w:ascii="宋体"/>
        </w:rPr>
        <w:t>（4）建筑地面工程各层的铺设，应待其下一层符合本规范的有关规定后进行施工。</w:t>
      </w:r>
    </w:p>
    <w:p>
      <w:pPr>
        <w:pStyle w:val="1280"/>
        <w:ind w:firstLine="440"/>
        <w:rPr>
          <w:rFonts w:ascii="宋体"/>
        </w:rPr>
      </w:pPr>
      <w:r>
        <w:rPr>
          <w:rFonts w:ascii="宋体"/>
        </w:rPr>
        <w:t>（5）混凝土和水泥砂浆试块的制作、养护及强度检验，应符合现行的国家标准《混凝土结构工程施工质量验收规范》和《砌体工程施工质量验收规范》的规定。</w:t>
      </w:r>
    </w:p>
    <w:p>
      <w:pPr>
        <w:pStyle w:val="1280"/>
        <w:ind w:firstLine="440"/>
        <w:rPr>
          <w:rFonts w:ascii="宋体"/>
        </w:rPr>
      </w:pPr>
      <w:r>
        <w:rPr>
          <w:rFonts w:ascii="宋体"/>
        </w:rPr>
        <w:t>试块的组数，按每一层建筑地面工程不应少于一组。</w:t>
      </w:r>
    </w:p>
    <w:p>
      <w:pPr>
        <w:pStyle w:val="1280"/>
        <w:ind w:firstLine="440"/>
        <w:rPr>
          <w:rFonts w:ascii="宋体"/>
        </w:rPr>
      </w:pPr>
      <w:r>
        <w:rPr>
          <w:rFonts w:ascii="宋体"/>
        </w:rPr>
        <w:t>（6）在夯实的基土上铺设有坡度的地面，应修整基土高差达到设计所要求的坡度。</w:t>
      </w:r>
    </w:p>
    <w:p>
      <w:pPr>
        <w:pStyle w:val="1280"/>
        <w:ind w:firstLine="440"/>
        <w:rPr>
          <w:rFonts w:ascii="宋体"/>
        </w:rPr>
      </w:pPr>
      <w:r>
        <w:rPr>
          <w:rFonts w:ascii="宋体"/>
        </w:rPr>
        <w:t>在钢筋混凝土板上铺设有坡度的地面或楼面，应按结构起坡或利用填充层（或找平层）找坡达到设计所要求的坡度。</w:t>
      </w:r>
    </w:p>
    <w:p>
      <w:pPr>
        <w:pStyle w:val="1280"/>
        <w:ind w:firstLine="440"/>
        <w:rPr>
          <w:rFonts w:ascii="宋体"/>
        </w:rPr>
      </w:pPr>
      <w:r>
        <w:rPr>
          <w:rFonts w:ascii="宋体"/>
        </w:rPr>
        <w:t>（7）建筑地面工程完工后，应对面层采取保护措施。</w:t>
      </w:r>
    </w:p>
    <w:p>
      <w:pPr>
        <w:pStyle w:val="1288"/>
        <w:outlineLvl w:val="0"/>
        <w:rPr>
          <w:rFonts w:ascii="宋体" w:hAnsi="宋体"/>
          <w:color w:val="auto"/>
        </w:rPr>
      </w:pPr>
      <w:bookmarkStart w:id="3778" w:name="_Toc106049915"/>
      <w:bookmarkStart w:id="3779" w:name="_Toc106883178"/>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1.5  基土</w:t>
      </w:r>
      <w:bookmarkEnd w:id="3778"/>
      <w:bookmarkEnd w:id="3779"/>
    </w:p>
    <w:p>
      <w:pPr>
        <w:pStyle w:val="1280"/>
        <w:ind w:firstLine="440"/>
        <w:rPr>
          <w:rFonts w:ascii="宋体"/>
        </w:rPr>
      </w:pPr>
      <w:r>
        <w:rPr>
          <w:rFonts w:ascii="宋体"/>
        </w:rPr>
        <w:t>（1）地面应铺设在均匀密实的基土上。填土或土层结构被挠动的基土，应予分层压（夯）实。砂和砂石的含泥量不超过5%，砂石的最大粒径不宜大于50mm。</w:t>
      </w:r>
    </w:p>
    <w:p>
      <w:pPr>
        <w:pStyle w:val="1280"/>
        <w:ind w:firstLine="440"/>
        <w:rPr>
          <w:rFonts w:ascii="宋体"/>
        </w:rPr>
      </w:pPr>
      <w:r>
        <w:rPr>
          <w:rFonts w:ascii="宋体"/>
        </w:rPr>
        <w:t>（2）在杂填土等软弱土层上施工时，应按设计要求对基土进行更换或加固；并应符合国家现行的《建筑地基基础工程施工质量验收规范》和《建筑地基处理技术规范》的有关规定。</w:t>
      </w:r>
    </w:p>
    <w:p>
      <w:pPr>
        <w:pStyle w:val="1280"/>
        <w:ind w:firstLine="440"/>
        <w:rPr>
          <w:rFonts w:ascii="宋体"/>
        </w:rPr>
      </w:pPr>
      <w:r>
        <w:rPr>
          <w:rFonts w:ascii="宋体"/>
        </w:rPr>
        <w:t>填土的质量应符合现行国家标准《建筑地基基础工程施工质量验收规范》的有关规定。淤泥、腐植物、耕植土和有机物含量大于8％的土，均不得用作填土。</w:t>
      </w:r>
    </w:p>
    <w:p>
      <w:pPr>
        <w:pStyle w:val="1280"/>
        <w:ind w:firstLine="440"/>
        <w:rPr>
          <w:rFonts w:ascii="宋体"/>
        </w:rPr>
      </w:pPr>
      <w:r>
        <w:rPr>
          <w:rFonts w:ascii="宋体"/>
        </w:rPr>
        <w:t>（3）填土的施工应采用机械或人工方法分层压（夯）实，土块的粒径不应大于50mm。每层虚铺厚度：机械压实时，不宜大于300mm；用蛙式打夯机夯实时，不应大于250mm；人工夯实时，不应大于200mm。每层压（夯）实后土的压实系数应符合设计要求，但不应小于0.9。填土前宜取土样用击实试验确定最优含水量与相应的最大干密度。</w:t>
      </w:r>
    </w:p>
    <w:p>
      <w:pPr>
        <w:pStyle w:val="1280"/>
        <w:ind w:firstLine="440"/>
        <w:rPr>
          <w:rFonts w:ascii="宋体"/>
        </w:rPr>
      </w:pPr>
      <w:r>
        <w:rPr>
          <w:rFonts w:ascii="宋体"/>
        </w:rPr>
        <w:t>（4）填土宜控制在最优含水量的情况下施工；过干的土在压实前应加以湿润，过湿的土应予晾干。</w:t>
      </w:r>
    </w:p>
    <w:p>
      <w:pPr>
        <w:pStyle w:val="1280"/>
        <w:ind w:firstLine="440"/>
        <w:rPr>
          <w:rFonts w:ascii="宋体"/>
        </w:rPr>
      </w:pPr>
      <w:r>
        <w:rPr>
          <w:rFonts w:ascii="宋体"/>
        </w:rPr>
        <w:t>当工业厂房的填土时，在施工前应通过试验确定其最优含水量和施工含水量的控制范围。</w:t>
      </w:r>
    </w:p>
    <w:p>
      <w:pPr>
        <w:pStyle w:val="1280"/>
        <w:ind w:firstLine="440"/>
        <w:rPr>
          <w:rFonts w:ascii="宋体"/>
        </w:rPr>
      </w:pPr>
      <w:r>
        <w:rPr>
          <w:rFonts w:ascii="宋体"/>
        </w:rPr>
        <w:t>（5）当墙、柱基础处填土时，应重叠夯填密实。在填土与墙柱相连处，亦可采取设缝进行技术处理。</w:t>
      </w:r>
    </w:p>
    <w:p>
      <w:pPr>
        <w:pStyle w:val="1280"/>
        <w:ind w:firstLine="440"/>
        <w:rPr>
          <w:rFonts w:ascii="宋体"/>
        </w:rPr>
      </w:pPr>
      <w:r>
        <w:rPr>
          <w:rFonts w:ascii="宋体"/>
        </w:rPr>
        <w:t>（6）采用碎石、卵石等作基土表层加强时，应均匀铺成一层。粒径宜为40mm，并应压（夯）入湿润的土层中。</w:t>
      </w:r>
    </w:p>
    <w:p>
      <w:pPr>
        <w:pStyle w:val="1280"/>
        <w:ind w:firstLine="440"/>
        <w:rPr>
          <w:rFonts w:ascii="宋体"/>
        </w:rPr>
      </w:pPr>
      <w:r>
        <w:rPr>
          <w:rFonts w:ascii="宋体"/>
        </w:rPr>
        <w:t>（7）回填房心和管沟土时，如遇管道处，应先用人工将管道周围填土夯实。当填至管顶以上500mm时，方可采用打夯机夯实，填夯时应注意保护管道。</w:t>
      </w:r>
    </w:p>
    <w:p>
      <w:pPr>
        <w:pStyle w:val="1280"/>
        <w:ind w:firstLine="440"/>
        <w:rPr>
          <w:rFonts w:ascii="宋体"/>
        </w:rPr>
      </w:pPr>
      <w:r>
        <w:rPr>
          <w:rFonts w:ascii="宋体"/>
        </w:rPr>
        <w:t>（8）如在冬季施工，当有较长时间室外温度处于0℃以下，在按规定的土壤标准冻深和冻胀性分类土壤上铺设地面时，应采用防止冻胀的措施。</w:t>
      </w:r>
    </w:p>
    <w:p>
      <w:pPr>
        <w:pStyle w:val="1288"/>
        <w:outlineLvl w:val="0"/>
        <w:rPr>
          <w:rFonts w:ascii="宋体" w:hAnsi="宋体"/>
          <w:color w:val="auto"/>
        </w:rPr>
      </w:pPr>
      <w:bookmarkStart w:id="3780" w:name="_Toc106049916"/>
      <w:bookmarkStart w:id="3781" w:name="_Toc106883179"/>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1.6  垫层</w:t>
      </w:r>
      <w:bookmarkEnd w:id="3780"/>
      <w:bookmarkEnd w:id="3781"/>
    </w:p>
    <w:p>
      <w:pPr>
        <w:pStyle w:val="1280"/>
        <w:ind w:firstLine="440"/>
        <w:outlineLvl w:val="0"/>
        <w:rPr>
          <w:rFonts w:ascii="宋体"/>
        </w:rPr>
      </w:pPr>
      <w:bookmarkStart w:id="3782" w:name="_Toc106049917"/>
      <w:bookmarkStart w:id="3783" w:name="_Toc106883180"/>
      <w:r>
        <w:rPr>
          <w:rFonts w:hint="eastAsia" w:ascii="宋体"/>
        </w:rPr>
        <w:t>4</w:t>
      </w:r>
      <w:r>
        <w:rPr>
          <w:rFonts w:ascii="宋体"/>
        </w:rPr>
        <w:t>.1.1.6.1  碎石垫层和碎砖垫层</w:t>
      </w:r>
      <w:bookmarkEnd w:id="3782"/>
      <w:bookmarkEnd w:id="3783"/>
    </w:p>
    <w:p>
      <w:pPr>
        <w:pStyle w:val="1280"/>
        <w:ind w:firstLine="440"/>
        <w:rPr>
          <w:rFonts w:ascii="宋体"/>
        </w:rPr>
      </w:pPr>
      <w:r>
        <w:rPr>
          <w:rFonts w:ascii="宋体"/>
        </w:rPr>
        <w:t>（1）碎石垫层厚度不应小于60mm；碎砖垫层厚度不宜小于100mm。</w:t>
      </w:r>
    </w:p>
    <w:p>
      <w:pPr>
        <w:pStyle w:val="1280"/>
        <w:ind w:firstLine="440"/>
        <w:rPr>
          <w:rFonts w:ascii="宋体"/>
        </w:rPr>
      </w:pPr>
      <w:r>
        <w:rPr>
          <w:rFonts w:ascii="宋体"/>
        </w:rPr>
        <w:t>碎石应选用强度均匀和未风化的石料，其最大粒径不得大于垫层厚度的2/3。</w:t>
      </w:r>
    </w:p>
    <w:p>
      <w:pPr>
        <w:pStyle w:val="1280"/>
        <w:ind w:firstLine="440"/>
        <w:rPr>
          <w:rFonts w:ascii="宋体"/>
        </w:rPr>
      </w:pPr>
      <w:r>
        <w:rPr>
          <w:rFonts w:ascii="宋体"/>
        </w:rPr>
        <w:t>碎石不得采用风化、酥松、夹有瓦片和有机杂质的砖料，其粒径不应大于50mm。</w:t>
      </w:r>
    </w:p>
    <w:p>
      <w:pPr>
        <w:pStyle w:val="1280"/>
        <w:ind w:firstLine="440"/>
        <w:rPr>
          <w:rFonts w:ascii="宋体"/>
        </w:rPr>
      </w:pPr>
      <w:r>
        <w:rPr>
          <w:rFonts w:ascii="宋体"/>
        </w:rPr>
        <w:t>（2）碎石垫层应摊铺均匀，表面空隙应以粒径为5～25mm的细石子填补，其施工应符合本节有关的规定。</w:t>
      </w:r>
    </w:p>
    <w:p>
      <w:pPr>
        <w:pStyle w:val="1280"/>
        <w:ind w:firstLine="440"/>
        <w:outlineLvl w:val="0"/>
        <w:rPr>
          <w:rFonts w:ascii="宋体"/>
        </w:rPr>
      </w:pPr>
      <w:bookmarkStart w:id="3784" w:name="_Toc106049918"/>
      <w:bookmarkStart w:id="3785" w:name="_Toc106883181"/>
      <w:r>
        <w:rPr>
          <w:rFonts w:hint="eastAsia" w:ascii="宋体"/>
        </w:rPr>
        <w:t>4</w:t>
      </w:r>
      <w:r>
        <w:rPr>
          <w:rFonts w:ascii="宋体"/>
        </w:rPr>
        <w:t>.</w:t>
      </w:r>
      <w:r>
        <w:rPr>
          <w:rFonts w:hint="eastAsia" w:ascii="宋体"/>
        </w:rPr>
        <w:t>1.</w:t>
      </w:r>
      <w:r>
        <w:rPr>
          <w:rFonts w:ascii="宋体"/>
        </w:rPr>
        <w:t>1.6.2  混凝土垫层</w:t>
      </w:r>
      <w:bookmarkEnd w:id="3784"/>
      <w:bookmarkEnd w:id="3785"/>
    </w:p>
    <w:p>
      <w:pPr>
        <w:pStyle w:val="1280"/>
        <w:ind w:firstLine="440"/>
        <w:rPr>
          <w:rFonts w:ascii="宋体"/>
        </w:rPr>
      </w:pPr>
      <w:r>
        <w:rPr>
          <w:rFonts w:ascii="宋体"/>
        </w:rPr>
        <w:t>（1）混凝土垫层厚度不得小于60mm；其强度等级不应小于C10。</w:t>
      </w:r>
    </w:p>
    <w:p>
      <w:pPr>
        <w:pStyle w:val="1280"/>
        <w:ind w:firstLine="440"/>
        <w:rPr>
          <w:rFonts w:ascii="宋体"/>
        </w:rPr>
      </w:pPr>
      <w:r>
        <w:rPr>
          <w:rFonts w:ascii="宋体"/>
        </w:rPr>
        <w:t>混凝土的配合比按设计要求的强度等级通过计算和试配确定。浇筑时坍落度宜为10-30mm。</w:t>
      </w:r>
    </w:p>
    <w:p>
      <w:pPr>
        <w:pStyle w:val="1280"/>
        <w:ind w:firstLine="440"/>
        <w:rPr>
          <w:rFonts w:ascii="宋体"/>
        </w:rPr>
      </w:pPr>
      <w:r>
        <w:rPr>
          <w:rFonts w:ascii="宋体"/>
        </w:rPr>
        <w:t>（2）混凝土垫层应分区段进行浇筑。分区段应结合变形缝位置、不同材料的建筑地面连接处和设备基础的位置进行划分。浇筑前，垫层的下一层表面应予湿润。</w:t>
      </w:r>
    </w:p>
    <w:p>
      <w:pPr>
        <w:pStyle w:val="1280"/>
        <w:ind w:firstLine="440"/>
        <w:rPr>
          <w:rFonts w:ascii="宋体"/>
        </w:rPr>
      </w:pPr>
      <w:r>
        <w:rPr>
          <w:rFonts w:ascii="宋体"/>
        </w:rPr>
        <w:t>浇筑混凝土垫层前应按设计要求和施工埋设锚栓或木砖等要求预留孔洞。</w:t>
      </w:r>
    </w:p>
    <w:p>
      <w:pPr>
        <w:pStyle w:val="1288"/>
        <w:outlineLvl w:val="0"/>
        <w:rPr>
          <w:rFonts w:ascii="宋体" w:hAnsi="宋体"/>
          <w:color w:val="auto"/>
        </w:rPr>
      </w:pPr>
      <w:bookmarkStart w:id="3786" w:name="_Toc106049919"/>
      <w:bookmarkStart w:id="3787" w:name="_Toc106883182"/>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1.7  找平层</w:t>
      </w:r>
      <w:bookmarkEnd w:id="3786"/>
      <w:bookmarkEnd w:id="3787"/>
    </w:p>
    <w:p>
      <w:pPr>
        <w:pStyle w:val="1280"/>
        <w:ind w:firstLine="440"/>
        <w:rPr>
          <w:rFonts w:ascii="宋体"/>
        </w:rPr>
      </w:pPr>
      <w:r>
        <w:rPr>
          <w:rFonts w:ascii="宋体"/>
        </w:rPr>
        <w:t>（1）找平层应采用水泥砂浆、混凝土，其采用的碎石或卵石的粒径不应大于找平层厚度的2/3。</w:t>
      </w:r>
    </w:p>
    <w:p>
      <w:pPr>
        <w:pStyle w:val="1280"/>
        <w:ind w:firstLine="440"/>
        <w:rPr>
          <w:rFonts w:ascii="宋体"/>
        </w:rPr>
      </w:pPr>
      <w:r>
        <w:rPr>
          <w:rFonts w:ascii="宋体"/>
        </w:rPr>
        <w:t>水泥砂浆体积比不宜小于1：3；混凝土强度等级不应小于C15。</w:t>
      </w:r>
    </w:p>
    <w:p>
      <w:pPr>
        <w:pStyle w:val="1280"/>
        <w:ind w:firstLine="440"/>
        <w:rPr>
          <w:rFonts w:ascii="宋体"/>
        </w:rPr>
      </w:pPr>
      <w:r>
        <w:rPr>
          <w:rFonts w:ascii="宋体"/>
        </w:rPr>
        <w:t>（2）在铺设找平层前，应将下一层表面清理干净。当找平层下有松散填充料时，应予铺平振实。</w:t>
      </w:r>
    </w:p>
    <w:p>
      <w:pPr>
        <w:pStyle w:val="1280"/>
        <w:ind w:firstLine="440"/>
        <w:rPr>
          <w:rFonts w:ascii="宋体"/>
        </w:rPr>
      </w:pPr>
      <w:r>
        <w:rPr>
          <w:rFonts w:ascii="宋体"/>
        </w:rPr>
        <w:t>用水泥砂浆或混凝土铺设找平层，其下一层为混凝土垫层时，应予湿润，当表面光滑时，应划（凿）毛。铺设时先刷一遍水泥浆，其水灰比宜为0.4～0.5，并应随刷随铺。</w:t>
      </w:r>
    </w:p>
    <w:p>
      <w:pPr>
        <w:pStyle w:val="1280"/>
        <w:ind w:firstLine="440"/>
        <w:rPr>
          <w:rFonts w:ascii="宋体"/>
        </w:rPr>
      </w:pPr>
      <w:r>
        <w:rPr>
          <w:rFonts w:ascii="宋体"/>
        </w:rPr>
        <w:t>（3）有防水要求的楼面工程，在铺设找平层前，应对立管、套管和地漏与楼板节点之间进行密封处理。并应在管四周留出深8～10mm的沟槽，采用防水卷材或防水涂料裹在住管口和地漏。</w:t>
      </w:r>
    </w:p>
    <w:p>
      <w:pPr>
        <w:pStyle w:val="1280"/>
        <w:ind w:firstLine="440"/>
        <w:rPr>
          <w:rFonts w:ascii="宋体"/>
        </w:rPr>
      </w:pPr>
      <w:r>
        <w:rPr>
          <w:rFonts w:ascii="宋体"/>
        </w:rPr>
        <w:t>（4）水泥砂浆和沥青砂浆不应小于20mm，水泥混凝土和沥青混凝土不应小于30mm。</w:t>
      </w:r>
    </w:p>
    <w:p>
      <w:pPr>
        <w:pStyle w:val="1288"/>
        <w:outlineLvl w:val="0"/>
        <w:rPr>
          <w:rFonts w:ascii="宋体" w:hAnsi="宋体"/>
          <w:color w:val="auto"/>
        </w:rPr>
      </w:pPr>
      <w:bookmarkStart w:id="3788" w:name="_Toc106049920"/>
      <w:bookmarkStart w:id="3789" w:name="_Toc106883183"/>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1.8  面层</w:t>
      </w:r>
      <w:bookmarkEnd w:id="3788"/>
      <w:bookmarkEnd w:id="3789"/>
    </w:p>
    <w:p>
      <w:pPr>
        <w:pStyle w:val="1280"/>
        <w:ind w:firstLine="440"/>
        <w:outlineLvl w:val="0"/>
        <w:rPr>
          <w:rFonts w:ascii="宋体"/>
        </w:rPr>
      </w:pPr>
      <w:bookmarkStart w:id="3790" w:name="_Toc106049921"/>
      <w:bookmarkStart w:id="3791" w:name="_Toc106883184"/>
      <w:r>
        <w:rPr>
          <w:rFonts w:hint="eastAsia" w:ascii="宋体"/>
        </w:rPr>
        <w:t>4</w:t>
      </w:r>
      <w:r>
        <w:rPr>
          <w:rFonts w:ascii="宋体"/>
        </w:rPr>
        <w:t>.</w:t>
      </w:r>
      <w:r>
        <w:rPr>
          <w:rFonts w:hint="eastAsia" w:ascii="宋体"/>
        </w:rPr>
        <w:t>1.</w:t>
      </w:r>
      <w:r>
        <w:rPr>
          <w:rFonts w:ascii="宋体"/>
        </w:rPr>
        <w:t>1.8.1  一般规定</w:t>
      </w:r>
      <w:bookmarkEnd w:id="3790"/>
      <w:bookmarkEnd w:id="3791"/>
    </w:p>
    <w:p>
      <w:pPr>
        <w:pStyle w:val="1280"/>
        <w:ind w:firstLine="440"/>
        <w:rPr>
          <w:rFonts w:ascii="宋体"/>
        </w:rPr>
      </w:pPr>
      <w:r>
        <w:rPr>
          <w:rFonts w:ascii="宋体"/>
        </w:rPr>
        <w:t>（1）各类面层的铺设宜在室内装饰工程基本完成后进行，并应做建筑地面工程的基层处理工作。</w:t>
      </w:r>
    </w:p>
    <w:p>
      <w:pPr>
        <w:pStyle w:val="1280"/>
        <w:ind w:firstLine="440"/>
        <w:rPr>
          <w:rFonts w:ascii="宋体"/>
        </w:rPr>
      </w:pPr>
      <w:r>
        <w:rPr>
          <w:rFonts w:ascii="宋体"/>
        </w:rPr>
        <w:t>当铺设活动地板面层时，应待室内抹灰工程等可能造成建筑地面潮湿的施工工序完成后进行。并应在铺设上述面层之前，使房间干燥，避免在气候潮湿的情况下施工。</w:t>
      </w:r>
    </w:p>
    <w:p>
      <w:pPr>
        <w:pStyle w:val="1280"/>
        <w:ind w:firstLine="440"/>
        <w:rPr>
          <w:rFonts w:ascii="宋体"/>
        </w:rPr>
      </w:pPr>
      <w:r>
        <w:rPr>
          <w:rFonts w:ascii="宋体"/>
        </w:rPr>
        <w:t>（2）结合层和板块面层的填缝采用的水泥砂浆，应符合下列规定：</w:t>
      </w:r>
    </w:p>
    <w:p>
      <w:pPr>
        <w:pStyle w:val="1280"/>
        <w:ind w:firstLine="440"/>
        <w:rPr>
          <w:rFonts w:ascii="宋体"/>
        </w:rPr>
      </w:pPr>
      <w:r>
        <w:rPr>
          <w:rFonts w:ascii="宋体"/>
        </w:rPr>
        <w:t>a. 配置水泥砂浆应采用硅酸盐水泥、普通硅酸盐水泥或矿渣硅酸盐水泥，其标号不宜小于425号；</w:t>
      </w:r>
    </w:p>
    <w:p>
      <w:pPr>
        <w:pStyle w:val="1280"/>
        <w:ind w:firstLine="440"/>
        <w:rPr>
          <w:rFonts w:ascii="宋体"/>
        </w:rPr>
      </w:pPr>
      <w:r>
        <w:rPr>
          <w:rFonts w:ascii="宋体"/>
        </w:rPr>
        <w:t>b. 水泥砂浆采用的砂应符合现行的行业标准《普通混凝土用砂质量标准及检验方法》的规定。</w:t>
      </w:r>
    </w:p>
    <w:p>
      <w:pPr>
        <w:pStyle w:val="1280"/>
        <w:ind w:firstLine="440"/>
        <w:rPr>
          <w:rFonts w:ascii="宋体"/>
        </w:rPr>
      </w:pPr>
      <w:r>
        <w:rPr>
          <w:rFonts w:ascii="宋体"/>
        </w:rPr>
        <w:t>（3）踢脚板施工时，除应执行本章同类面层规定外，尚应符合下列规定：</w:t>
      </w:r>
    </w:p>
    <w:p>
      <w:pPr>
        <w:pStyle w:val="1280"/>
        <w:ind w:firstLine="440"/>
        <w:rPr>
          <w:rFonts w:ascii="宋体"/>
        </w:rPr>
      </w:pPr>
      <w:r>
        <w:rPr>
          <w:rFonts w:ascii="宋体"/>
        </w:rPr>
        <w:t>a. 当采用掺有水泥的拌合料踢脚板施工时，严禁采用石灰砂浆打底；</w:t>
      </w:r>
    </w:p>
    <w:p>
      <w:pPr>
        <w:pStyle w:val="1280"/>
        <w:ind w:firstLine="440"/>
        <w:rPr>
          <w:rFonts w:ascii="宋体"/>
        </w:rPr>
      </w:pPr>
      <w:r>
        <w:rPr>
          <w:rFonts w:ascii="宋体"/>
        </w:rPr>
        <w:t>b. 踢脚板宜在面层基本完工及墙面最后一遍抹灰（或刷涂料）前完成。当墙面采用机械喷涂抹灰时，应先做踢脚板；</w:t>
      </w:r>
    </w:p>
    <w:p>
      <w:pPr>
        <w:pStyle w:val="1280"/>
        <w:ind w:firstLine="440"/>
        <w:rPr>
          <w:rFonts w:ascii="宋体"/>
        </w:rPr>
      </w:pPr>
      <w:r>
        <w:rPr>
          <w:rFonts w:ascii="宋体"/>
        </w:rPr>
        <w:t>（4）厕浴间和有防水要求的建筑地面的结构层标高，应结合房间内外标高差、坡度流向以及隔离层能裹住地漏等进行施工。面层铺设后不应出现倒泛水和地漏处渗漏。房间内外高差宜不小于20mm。</w:t>
      </w:r>
    </w:p>
    <w:p>
      <w:pPr>
        <w:pStyle w:val="1280"/>
        <w:ind w:firstLine="440"/>
        <w:rPr>
          <w:rFonts w:ascii="宋体"/>
        </w:rPr>
      </w:pPr>
      <w:r>
        <w:rPr>
          <w:rFonts w:ascii="宋体"/>
        </w:rPr>
        <w:t>（5）楼梯踏步的高度，应以楼梯间结构层的标高结合楼梯上、下级踏步与平台、走道连接处面层的做法，进行划分。铺设后每级踏步的高度与上一级踏步和下一级踏步的高度差不应大于20mm。</w:t>
      </w:r>
    </w:p>
    <w:p>
      <w:pPr>
        <w:pStyle w:val="1280"/>
        <w:ind w:firstLine="440"/>
        <w:rPr>
          <w:rFonts w:ascii="宋体"/>
        </w:rPr>
      </w:pPr>
      <w:r>
        <w:rPr>
          <w:rFonts w:ascii="宋体"/>
        </w:rPr>
        <w:t>（6）室外散水、排水、踏步、台阶、坡道等各构造层均应符合设计要求，施工时应符合本规范基土和同类垫层、面层的规定。</w:t>
      </w:r>
    </w:p>
    <w:p>
      <w:pPr>
        <w:pStyle w:val="1280"/>
        <w:ind w:firstLine="440"/>
        <w:rPr>
          <w:rFonts w:ascii="宋体"/>
        </w:rPr>
      </w:pPr>
      <w:r>
        <w:rPr>
          <w:rFonts w:ascii="宋体"/>
        </w:rPr>
        <w:t>混凝土的散水和排水，应设置伸缩缝，其间距宜按各地气候条件和传统做法确定，但间距不应大于10m；房屋转角处亦应设置伸缩缝；混凝土的散水、排水和台阶与建筑物连接处应设缝进行技术处理；上述缝宽应为20mm，缝内应填沥青胶结料。</w:t>
      </w:r>
    </w:p>
    <w:p>
      <w:pPr>
        <w:pStyle w:val="1280"/>
        <w:ind w:firstLine="440"/>
        <w:outlineLvl w:val="0"/>
        <w:rPr>
          <w:rFonts w:ascii="宋体"/>
        </w:rPr>
      </w:pPr>
      <w:bookmarkStart w:id="3792" w:name="_Toc106049922"/>
      <w:bookmarkStart w:id="3793" w:name="_Toc106883185"/>
      <w:r>
        <w:rPr>
          <w:rFonts w:hint="eastAsia" w:ascii="宋体"/>
        </w:rPr>
        <w:t>4</w:t>
      </w:r>
      <w:r>
        <w:rPr>
          <w:rFonts w:ascii="宋体"/>
        </w:rPr>
        <w:t>.</w:t>
      </w:r>
      <w:r>
        <w:rPr>
          <w:rFonts w:hint="eastAsia" w:ascii="宋体"/>
        </w:rPr>
        <w:t>1.</w:t>
      </w:r>
      <w:r>
        <w:rPr>
          <w:rFonts w:ascii="宋体"/>
        </w:rPr>
        <w:t>1.8.2  水泥砂浆面层</w:t>
      </w:r>
      <w:bookmarkEnd w:id="3792"/>
      <w:bookmarkEnd w:id="3793"/>
    </w:p>
    <w:p>
      <w:pPr>
        <w:pStyle w:val="1280"/>
        <w:ind w:firstLine="440"/>
        <w:rPr>
          <w:rFonts w:ascii="宋体"/>
        </w:rPr>
      </w:pPr>
      <w:r>
        <w:rPr>
          <w:rFonts w:ascii="宋体"/>
        </w:rPr>
        <w:t>（1）水泥砂浆面层厚度不应小于20mm。水泥砂浆的体积比宜为1：2（水泥：砂），其稠度不应大于35mm，强度等级不应小于M15。</w:t>
      </w:r>
    </w:p>
    <w:p>
      <w:pPr>
        <w:pStyle w:val="1280"/>
        <w:ind w:firstLine="440"/>
        <w:rPr>
          <w:rFonts w:ascii="宋体"/>
        </w:rPr>
      </w:pPr>
      <w:r>
        <w:rPr>
          <w:rFonts w:ascii="宋体"/>
        </w:rPr>
        <w:t>（2）水泥砂浆面层采用的水泥宜为硅酸盐水泥、普通硅酸盐水泥，其标号不应小于425号，并严禁混用不同品种、不同标号的水泥。采用的砂应为中粗砂，其含泥量不应大于3％。</w:t>
      </w:r>
    </w:p>
    <w:p>
      <w:pPr>
        <w:pStyle w:val="1280"/>
        <w:ind w:firstLine="440"/>
        <w:rPr>
          <w:rFonts w:ascii="宋体"/>
        </w:rPr>
      </w:pPr>
      <w:r>
        <w:rPr>
          <w:rFonts w:ascii="宋体"/>
        </w:rPr>
        <w:t>（3）水泥砂浆应拌合均匀，施工时应随铺随拍实；抹平工作应在水泥初凝前完成；压光工作应在水泥终凝前完成。</w:t>
      </w:r>
    </w:p>
    <w:p>
      <w:pPr>
        <w:pStyle w:val="1280"/>
        <w:ind w:firstLine="440"/>
        <w:rPr>
          <w:rFonts w:ascii="宋体"/>
        </w:rPr>
      </w:pPr>
      <w:r>
        <w:rPr>
          <w:rFonts w:ascii="宋体"/>
        </w:rPr>
        <w:t>（4）当水泥砂浆面层内埋设管线等出现局部厚度减薄时，应按设计要求做防止面层开裂处理后方可施工。</w:t>
      </w:r>
    </w:p>
    <w:p>
      <w:pPr>
        <w:pStyle w:val="1280"/>
        <w:ind w:firstLine="440"/>
        <w:rPr>
          <w:rFonts w:ascii="宋体"/>
        </w:rPr>
      </w:pPr>
      <w:r>
        <w:rPr>
          <w:rFonts w:ascii="宋体"/>
        </w:rPr>
        <w:t>（5）当采用石屑代砂铺设水泥石屑面层时，施工除应执行本节有关的规定外，尚应符合下列规定：</w:t>
      </w:r>
    </w:p>
    <w:p>
      <w:pPr>
        <w:pStyle w:val="1280"/>
        <w:ind w:firstLine="440"/>
        <w:rPr>
          <w:rFonts w:ascii="宋体"/>
        </w:rPr>
      </w:pPr>
      <w:r>
        <w:rPr>
          <w:rFonts w:ascii="宋体"/>
        </w:rPr>
        <w:t>a. 采用的石屑粒径宜为3～5mm，其含粉量不应大于3％；</w:t>
      </w:r>
    </w:p>
    <w:p>
      <w:pPr>
        <w:pStyle w:val="1280"/>
        <w:ind w:firstLine="440"/>
        <w:rPr>
          <w:rFonts w:ascii="宋体"/>
        </w:rPr>
      </w:pPr>
      <w:r>
        <w:rPr>
          <w:rFonts w:ascii="宋体"/>
        </w:rPr>
        <w:t>b. 水泥宜采用硅酸盐水泥、普通硅酸盐水泥，其标号不宜小于425号；</w:t>
      </w:r>
    </w:p>
    <w:p>
      <w:pPr>
        <w:pStyle w:val="1280"/>
        <w:ind w:firstLine="440"/>
        <w:rPr>
          <w:rFonts w:ascii="宋体"/>
        </w:rPr>
      </w:pPr>
      <w:r>
        <w:rPr>
          <w:rFonts w:ascii="宋体"/>
        </w:rPr>
        <w:t>c. 水泥与石屑的体积比宜为1：2，其水灰比宜控制在0.4；</w:t>
      </w:r>
    </w:p>
    <w:p>
      <w:pPr>
        <w:pStyle w:val="1280"/>
        <w:ind w:firstLine="440"/>
        <w:rPr>
          <w:rFonts w:ascii="宋体"/>
        </w:rPr>
      </w:pPr>
      <w:r>
        <w:rPr>
          <w:rFonts w:ascii="宋体"/>
        </w:rPr>
        <w:t>d. 面层的压光工作不应小于两次，并做好养护工作。</w:t>
      </w:r>
    </w:p>
    <w:p>
      <w:pPr>
        <w:pStyle w:val="1280"/>
        <w:ind w:firstLine="440"/>
        <w:outlineLvl w:val="0"/>
        <w:rPr>
          <w:rFonts w:ascii="宋体"/>
        </w:rPr>
      </w:pPr>
      <w:bookmarkStart w:id="3794" w:name="_Toc106049923"/>
      <w:bookmarkStart w:id="3795" w:name="_Toc106883186"/>
      <w:r>
        <w:rPr>
          <w:rFonts w:hint="eastAsia" w:ascii="宋体"/>
        </w:rPr>
        <w:t>4</w:t>
      </w:r>
      <w:r>
        <w:rPr>
          <w:rFonts w:ascii="宋体"/>
        </w:rPr>
        <w:t>.</w:t>
      </w:r>
      <w:r>
        <w:rPr>
          <w:rFonts w:hint="eastAsia" w:ascii="宋体"/>
        </w:rPr>
        <w:t>1.</w:t>
      </w:r>
      <w:r>
        <w:rPr>
          <w:rFonts w:ascii="宋体"/>
        </w:rPr>
        <w:t>1.8.3  砖面层</w:t>
      </w:r>
      <w:bookmarkEnd w:id="3794"/>
      <w:bookmarkEnd w:id="3795"/>
    </w:p>
    <w:p>
      <w:pPr>
        <w:pStyle w:val="1280"/>
        <w:ind w:firstLine="440"/>
        <w:rPr>
          <w:rFonts w:ascii="宋体"/>
        </w:rPr>
      </w:pPr>
      <w:r>
        <w:rPr>
          <w:rFonts w:ascii="宋体"/>
        </w:rPr>
        <w:t>（1）砖面层应按设计要求采用陶瓷地砖在结合层上铺设。</w:t>
      </w:r>
    </w:p>
    <w:p>
      <w:pPr>
        <w:pStyle w:val="1280"/>
        <w:ind w:firstLine="440"/>
        <w:rPr>
          <w:rFonts w:ascii="宋体"/>
        </w:rPr>
      </w:pPr>
      <w:r>
        <w:rPr>
          <w:rFonts w:ascii="宋体"/>
        </w:rPr>
        <w:t>（2）陶瓷地砖的质量要求应符合现行的产品标准的规定；陶瓷锦砖的技术等级、外观质量要求应符合现行的国家标准《建筑陶瓷锦砖产品》的规定。</w:t>
      </w:r>
    </w:p>
    <w:p>
      <w:pPr>
        <w:pStyle w:val="1280"/>
        <w:ind w:firstLine="440"/>
        <w:rPr>
          <w:rFonts w:ascii="宋体"/>
        </w:rPr>
      </w:pPr>
      <w:r>
        <w:rPr>
          <w:rFonts w:ascii="宋体"/>
        </w:rPr>
        <w:t>（3）结合层厚度采用水泥砂浆铺设时应为10～15mm；采用沥青胶结料铺设时应为2～5mm；采用胶粘剂铺设时应为2～3mm。</w:t>
      </w:r>
    </w:p>
    <w:p>
      <w:pPr>
        <w:pStyle w:val="1280"/>
        <w:ind w:firstLine="440"/>
        <w:rPr>
          <w:rFonts w:ascii="宋体"/>
        </w:rPr>
      </w:pPr>
      <w:r>
        <w:rPr>
          <w:rFonts w:ascii="宋体"/>
        </w:rPr>
        <w:t>（4）结合层采用的水泥砂浆（含面层的填缝），应符合本节有关的规定。</w:t>
      </w:r>
    </w:p>
    <w:p>
      <w:pPr>
        <w:pStyle w:val="1280"/>
        <w:ind w:firstLine="440"/>
        <w:rPr>
          <w:rFonts w:ascii="宋体"/>
        </w:rPr>
      </w:pPr>
      <w:r>
        <w:rPr>
          <w:rFonts w:ascii="宋体"/>
        </w:rPr>
        <w:t>（5）在水泥砂浆结合层上铺贴陶瓷地砖面层时，其结合层的下一层应符合本节有关的规定。</w:t>
      </w:r>
    </w:p>
    <w:p>
      <w:pPr>
        <w:pStyle w:val="1280"/>
        <w:ind w:firstLine="440"/>
        <w:rPr>
          <w:rFonts w:ascii="宋体"/>
        </w:rPr>
      </w:pPr>
      <w:r>
        <w:rPr>
          <w:rFonts w:ascii="宋体"/>
        </w:rPr>
        <w:t>（6）在水泥砂浆结合层上铺贴陶瓷地砖面层时，应符合下列要求：</w:t>
      </w:r>
    </w:p>
    <w:p>
      <w:pPr>
        <w:pStyle w:val="1280"/>
        <w:ind w:firstLine="440"/>
        <w:rPr>
          <w:rFonts w:ascii="宋体"/>
        </w:rPr>
      </w:pPr>
      <w:r>
        <w:rPr>
          <w:rFonts w:ascii="宋体"/>
        </w:rPr>
        <w:t>a. 在铺贴前，应对砖的规格尺寸、外观质量、色泽等进行预选，并应浸水湿润后晾干待用；</w:t>
      </w:r>
    </w:p>
    <w:p>
      <w:pPr>
        <w:pStyle w:val="1280"/>
        <w:ind w:firstLine="440"/>
        <w:rPr>
          <w:rFonts w:ascii="宋体"/>
        </w:rPr>
      </w:pPr>
      <w:r>
        <w:rPr>
          <w:rFonts w:ascii="宋体"/>
        </w:rPr>
        <w:t>b. 铺贴时宜采用干硬性水泥砂浆，面砖应紧密、坚实、砂浆饱满，并严格控制标高；</w:t>
      </w:r>
    </w:p>
    <w:p>
      <w:pPr>
        <w:pStyle w:val="1280"/>
        <w:ind w:firstLine="440"/>
        <w:rPr>
          <w:rFonts w:ascii="宋体"/>
        </w:rPr>
      </w:pPr>
      <w:r>
        <w:rPr>
          <w:rFonts w:ascii="宋体"/>
        </w:rPr>
        <w:t>c. 面砖的缝隙宽度应符合设计要求。当设计无规定时，紧密铺贴缝隙宽度不宜大于1mm；虚缝铺贴缝隙宽度宜为5～10mm；</w:t>
      </w:r>
    </w:p>
    <w:p>
      <w:pPr>
        <w:pStyle w:val="1280"/>
        <w:ind w:firstLine="440"/>
        <w:rPr>
          <w:rFonts w:ascii="宋体"/>
        </w:rPr>
      </w:pPr>
      <w:r>
        <w:rPr>
          <w:rFonts w:ascii="宋体"/>
        </w:rPr>
        <w:t>d. 大面积施工时，应采取分段按顺序铺贴，按标准拉线镶贴，并做各道工序的检查和复验工作；</w:t>
      </w:r>
    </w:p>
    <w:p>
      <w:pPr>
        <w:pStyle w:val="1280"/>
        <w:ind w:firstLine="440"/>
        <w:rPr>
          <w:rFonts w:ascii="宋体"/>
        </w:rPr>
      </w:pPr>
      <w:r>
        <w:rPr>
          <w:rFonts w:ascii="宋体"/>
        </w:rPr>
        <w:t>e. 面层铺贴应在24h内进行擦缝、勾缝和压缝工作。缝的深度宜为砖厚的1/3；擦缝和勾缝应采用同品种、同标号、同颜色水泥，随做随清理水泥，并做好养护和保护。</w:t>
      </w:r>
    </w:p>
    <w:p>
      <w:pPr>
        <w:pStyle w:val="1280"/>
        <w:ind w:firstLine="440"/>
        <w:rPr>
          <w:rFonts w:ascii="宋体"/>
        </w:rPr>
      </w:pPr>
      <w:r>
        <w:rPr>
          <w:rFonts w:ascii="宋体"/>
        </w:rPr>
        <w:t>（8）在砖面层铺完后，面层应坚实、平整、洁净、线路顺直，不应有空鼓、松动、脱落和裂缝、缺棱、掉角、污染等缺陷。</w:t>
      </w:r>
    </w:p>
    <w:p>
      <w:pPr>
        <w:pStyle w:val="1280"/>
        <w:ind w:firstLine="440"/>
        <w:outlineLvl w:val="0"/>
        <w:rPr>
          <w:rFonts w:ascii="宋体"/>
        </w:rPr>
      </w:pPr>
      <w:bookmarkStart w:id="3796" w:name="_Toc106049924"/>
      <w:bookmarkStart w:id="3797" w:name="_Toc106883187"/>
      <w:r>
        <w:rPr>
          <w:rFonts w:hint="eastAsia" w:ascii="宋体"/>
        </w:rPr>
        <w:t>4</w:t>
      </w:r>
      <w:r>
        <w:rPr>
          <w:rFonts w:ascii="宋体"/>
        </w:rPr>
        <w:t>.</w:t>
      </w:r>
      <w:r>
        <w:rPr>
          <w:rFonts w:hint="eastAsia" w:ascii="宋体"/>
        </w:rPr>
        <w:t>1.</w:t>
      </w:r>
      <w:r>
        <w:rPr>
          <w:rFonts w:ascii="宋体"/>
        </w:rPr>
        <w:t>1.8.4  花岗石面层</w:t>
      </w:r>
      <w:bookmarkEnd w:id="3796"/>
      <w:bookmarkEnd w:id="3797"/>
    </w:p>
    <w:p>
      <w:pPr>
        <w:pStyle w:val="1280"/>
        <w:ind w:firstLine="440"/>
        <w:rPr>
          <w:rFonts w:ascii="宋体"/>
        </w:rPr>
      </w:pPr>
      <w:r>
        <w:rPr>
          <w:rFonts w:ascii="宋体"/>
        </w:rPr>
        <w:t>（1）花岗石面层应采用花岗石板材在结合层上铺设。</w:t>
      </w:r>
    </w:p>
    <w:p>
      <w:pPr>
        <w:pStyle w:val="1280"/>
        <w:ind w:firstLine="440"/>
        <w:rPr>
          <w:rFonts w:ascii="宋体"/>
        </w:rPr>
      </w:pPr>
      <w:r>
        <w:rPr>
          <w:rFonts w:ascii="宋体"/>
        </w:rPr>
        <w:t>（2）花岗石的技术等级（应包括：规格公差、平度偏差、角度偏差、光泽度、棱角缺陷、裂纹、划痕、色调、色斑等）、光泽度、外观等质量要求，应符合国家现行的标准《花岗石建筑板材》的规定。</w:t>
      </w:r>
    </w:p>
    <w:p>
      <w:pPr>
        <w:pStyle w:val="1280"/>
        <w:ind w:firstLine="440"/>
        <w:rPr>
          <w:rFonts w:ascii="宋体"/>
        </w:rPr>
      </w:pPr>
      <w:r>
        <w:rPr>
          <w:rFonts w:ascii="宋体"/>
        </w:rPr>
        <w:t>（3）在铺设前，板材应按设计要求，根据石材的颜色、花纹、图案、纹理等试拼编号；当板材有裂缝、掉角、翘曲和表面有缺陷时应予剔除，品种不同的板材不得混杂使用。</w:t>
      </w:r>
    </w:p>
    <w:p>
      <w:pPr>
        <w:pStyle w:val="1280"/>
        <w:ind w:firstLine="440"/>
        <w:rPr>
          <w:rFonts w:ascii="宋体"/>
        </w:rPr>
      </w:pPr>
      <w:r>
        <w:rPr>
          <w:rFonts w:ascii="宋体"/>
        </w:rPr>
        <w:t>（4）结合层的厚度：当采用水泥砂（其体积比为1：4～1：6，水泥：砂）时应为20～30mm，当采用水泥砂浆时应为10～15mm。水泥采用普通硅酸盐水泥，标号不得低于425号，受潮结块的水泥禁用。</w:t>
      </w:r>
    </w:p>
    <w:p>
      <w:pPr>
        <w:pStyle w:val="1280"/>
        <w:ind w:firstLine="440"/>
        <w:rPr>
          <w:rFonts w:ascii="宋体"/>
        </w:rPr>
      </w:pPr>
      <w:r>
        <w:rPr>
          <w:rFonts w:ascii="宋体"/>
        </w:rPr>
        <w:t>（5）在铺砌花岗石面层时，板材应先用水浸湿，待擦干或表面晾干后方可铺设；结合层与板材应分段同时铺砌，铺砌时宜采用水泥浆或干铺水泥洒水作粘结。</w:t>
      </w:r>
    </w:p>
    <w:p>
      <w:pPr>
        <w:pStyle w:val="1280"/>
        <w:ind w:firstLine="440"/>
        <w:rPr>
          <w:rFonts w:ascii="宋体"/>
        </w:rPr>
      </w:pPr>
      <w:r>
        <w:rPr>
          <w:rFonts w:ascii="宋体"/>
        </w:rPr>
        <w:t>铺砌的板材应平整，线路顺直，镶嵌正确；板材间、板材与结合层以及在墙角、镶边和靠墙处均应紧密砌合，不得有空隙。</w:t>
      </w:r>
    </w:p>
    <w:p>
      <w:pPr>
        <w:pStyle w:val="1280"/>
        <w:ind w:firstLine="440"/>
        <w:rPr>
          <w:rFonts w:ascii="宋体"/>
        </w:rPr>
      </w:pPr>
      <w:r>
        <w:rPr>
          <w:rFonts w:ascii="宋体"/>
        </w:rPr>
        <w:t>（6）花岗石面层的表面应洁净、平整、坚实；板材间的缝隙宽度当设计无规定时不应大于1mm。铺砌后，方可打蜡达到光滑洁亮。</w:t>
      </w:r>
    </w:p>
    <w:p>
      <w:pPr>
        <w:pStyle w:val="1280"/>
        <w:ind w:firstLine="440"/>
        <w:outlineLvl w:val="0"/>
        <w:rPr>
          <w:rFonts w:ascii="宋体"/>
        </w:rPr>
      </w:pPr>
      <w:bookmarkStart w:id="3798" w:name="_Toc106049925"/>
      <w:bookmarkStart w:id="3799" w:name="_Toc106883188"/>
      <w:r>
        <w:rPr>
          <w:rFonts w:hint="eastAsia" w:ascii="宋体"/>
        </w:rPr>
        <w:t>4</w:t>
      </w:r>
      <w:r>
        <w:rPr>
          <w:rFonts w:ascii="宋体"/>
        </w:rPr>
        <w:t>.</w:t>
      </w:r>
      <w:r>
        <w:rPr>
          <w:rFonts w:hint="eastAsia" w:ascii="宋体"/>
        </w:rPr>
        <w:t>1.</w:t>
      </w:r>
      <w:r>
        <w:rPr>
          <w:rFonts w:ascii="宋体"/>
        </w:rPr>
        <w:t>1.8.5  活动地板面层</w:t>
      </w:r>
      <w:bookmarkEnd w:id="3798"/>
      <w:bookmarkEnd w:id="3799"/>
    </w:p>
    <w:p>
      <w:pPr>
        <w:pStyle w:val="1280"/>
        <w:ind w:firstLine="440"/>
        <w:rPr>
          <w:rFonts w:ascii="宋体"/>
        </w:rPr>
      </w:pPr>
      <w:r>
        <w:rPr>
          <w:rFonts w:ascii="宋体"/>
        </w:rPr>
        <w:t>（1）活动地板面层适用于防尘和导静电要求的专业用房地面，应以特制的平压刨花板为基材，表面饰以装饰板和底层用镀锌钢板经粘结胶合组成的活动板块，配以横梁、橡胶垫条和可供调节高度的金属支架组装的架空地板在水泥类基层上铺设。面层下可敷设管道和导线。</w:t>
      </w:r>
    </w:p>
    <w:p>
      <w:pPr>
        <w:pStyle w:val="1280"/>
        <w:ind w:firstLine="440"/>
        <w:rPr>
          <w:rFonts w:ascii="宋体"/>
        </w:rPr>
      </w:pPr>
      <w:r>
        <w:rPr>
          <w:rFonts w:ascii="宋体"/>
        </w:rPr>
        <w:t>（2）活动地板面层承载力不应小于7.5MPa，其体积电阻率宜为105～109Ω。</w:t>
      </w:r>
    </w:p>
    <w:p>
      <w:pPr>
        <w:pStyle w:val="1280"/>
        <w:ind w:firstLine="440"/>
        <w:rPr>
          <w:rFonts w:ascii="宋体"/>
        </w:rPr>
      </w:pPr>
      <w:r>
        <w:rPr>
          <w:rFonts w:ascii="宋体"/>
        </w:rPr>
        <w:t>活动地板面层应包括标准地板、异形地板和地板附件（即支架和横梁组件）。采用的活动板块应平整、坚实，并具有耐磨、防潮、阻燃、耐污染、耐老化和导静电等特点，其技术性能与技术指标应符合现行的有关产品标准的规定。</w:t>
      </w:r>
    </w:p>
    <w:p>
      <w:pPr>
        <w:pStyle w:val="1280"/>
        <w:ind w:firstLine="440"/>
        <w:rPr>
          <w:rFonts w:ascii="宋体"/>
        </w:rPr>
      </w:pPr>
      <w:r>
        <w:rPr>
          <w:rFonts w:ascii="宋体"/>
        </w:rPr>
        <w:t>（3）在铺设活动地板面层时，应待室内各项工程完工和超过地板承载力的设备进入房间预定位置以及相邻房间内部也全部完工后，方可进行。不得交叉施工，亦不得在室内加工活动板块和地板附件。</w:t>
      </w:r>
    </w:p>
    <w:p>
      <w:pPr>
        <w:pStyle w:val="1280"/>
        <w:ind w:firstLine="440"/>
        <w:rPr>
          <w:rFonts w:ascii="宋体"/>
        </w:rPr>
      </w:pPr>
      <w:r>
        <w:rPr>
          <w:rFonts w:ascii="宋体"/>
        </w:rPr>
        <w:t>（4）活动地板面层的金属支架应支撑在现浇混凝土基层上，其表面应平整、光洁、不起灰。安装前应清扫干净，并根据需要，在基层表面上涂刷清漆。</w:t>
      </w:r>
    </w:p>
    <w:p>
      <w:pPr>
        <w:pStyle w:val="1280"/>
        <w:ind w:firstLine="440"/>
        <w:rPr>
          <w:rFonts w:ascii="宋体"/>
        </w:rPr>
      </w:pPr>
      <w:r>
        <w:rPr>
          <w:rFonts w:ascii="宋体"/>
        </w:rPr>
        <w:t>（5）铺设活动地板面层房间的建筑地面标高，应符合设计要求。当房间平面是矩形时，其相邻墙体应相互垂直。</w:t>
      </w:r>
    </w:p>
    <w:p>
      <w:pPr>
        <w:pStyle w:val="1280"/>
        <w:ind w:firstLine="440"/>
        <w:rPr>
          <w:rFonts w:ascii="宋体"/>
        </w:rPr>
      </w:pPr>
      <w:r>
        <w:rPr>
          <w:rFonts w:ascii="宋体"/>
        </w:rPr>
        <w:t>根据房间平面尺寸和设备等情况，应按活动地板模数选择板块的铺设方向。当平面尺寸符合活动地板模数，而室内无控制柜设备时，宜由里向外铺设；当平面尺寸不符合活动地板板块模数时，宜由外向里铺设。当室内有控制柜设备且需要预留洞口模数时，铺设方向和先后顺序应综合考虑选定。</w:t>
      </w:r>
    </w:p>
    <w:p>
      <w:pPr>
        <w:pStyle w:val="1280"/>
        <w:ind w:firstLine="440"/>
        <w:rPr>
          <w:rFonts w:ascii="宋体"/>
        </w:rPr>
      </w:pPr>
      <w:r>
        <w:rPr>
          <w:rFonts w:ascii="宋体"/>
        </w:rPr>
        <w:t>（6）在铺设活动地板面层前，室内四周的墙应划出标高控制位置，并按选定的铺设方向和顺序设基准点。在基层表面上应按板块尺寸弹线并形成方格网，标出地板块的安装位置和高度，并标明设备预留部位。</w:t>
      </w:r>
    </w:p>
    <w:p>
      <w:pPr>
        <w:pStyle w:val="1280"/>
        <w:ind w:firstLine="440"/>
        <w:rPr>
          <w:rFonts w:ascii="宋体"/>
        </w:rPr>
      </w:pPr>
      <w:r>
        <w:rPr>
          <w:rFonts w:ascii="宋体"/>
        </w:rPr>
        <w:t>（7）按标出地板块的位置，应在方格网交点处安放支座和横梁，并应转动支座螺杆，用水平尺调整每个支座面的高度至全室等高，待所有支座柱和横梁构成框架一体后，应用水平仪抄平。支座与基层面之间的空隙应灌注环氧树脂并连接牢固，亦可用膨胀栓连接。</w:t>
      </w:r>
    </w:p>
    <w:p>
      <w:pPr>
        <w:pStyle w:val="1280"/>
        <w:ind w:firstLine="440"/>
        <w:rPr>
          <w:rFonts w:ascii="宋体"/>
        </w:rPr>
      </w:pPr>
      <w:r>
        <w:rPr>
          <w:rFonts w:ascii="宋体"/>
        </w:rPr>
        <w:t>在横梁上铺放缓冲胶条时，应采用乳胶液与横梁粘合。当铺设活动板块时，应调整水平度保证四角接触处平整、严密，不得采用加垫的方法。</w:t>
      </w:r>
    </w:p>
    <w:p>
      <w:pPr>
        <w:pStyle w:val="1280"/>
        <w:ind w:firstLine="440"/>
        <w:rPr>
          <w:rFonts w:ascii="宋体"/>
        </w:rPr>
      </w:pPr>
      <w:r>
        <w:rPr>
          <w:rFonts w:ascii="宋体"/>
        </w:rPr>
        <w:t>（8）当铺设的活动地板不符合模数时，其不足部分可根据实际尺寸将板面切割后镶补，并配装相应的可调支撑和横梁。切割的边应采用清漆或环氧树脂胶加滑石粉按比例调成腻子封边，或用防潮腻子封边；亦可采用铝型材镶嵌。当切割边处理后方可安装。</w:t>
      </w:r>
    </w:p>
    <w:p>
      <w:pPr>
        <w:pStyle w:val="1280"/>
        <w:ind w:firstLine="440"/>
        <w:rPr>
          <w:rFonts w:ascii="宋体"/>
        </w:rPr>
      </w:pPr>
      <w:r>
        <w:rPr>
          <w:rFonts w:ascii="宋体"/>
        </w:rPr>
        <w:t>在与墙边的接缝处，应根据接缝宽窄分别采用活动地板或木条镶嵌，窄缝隙宜采用泡沫塑料镶嵌。</w:t>
      </w:r>
    </w:p>
    <w:p>
      <w:pPr>
        <w:pStyle w:val="1280"/>
        <w:ind w:firstLine="440"/>
        <w:rPr>
          <w:rFonts w:ascii="宋体"/>
        </w:rPr>
      </w:pPr>
      <w:r>
        <w:rPr>
          <w:rFonts w:ascii="宋体"/>
        </w:rPr>
        <w:t>（9）在检查活动地板下铺设的管线和导线后，方可铺放活动地板块。</w:t>
      </w:r>
    </w:p>
    <w:p>
      <w:pPr>
        <w:pStyle w:val="1280"/>
        <w:ind w:firstLine="440"/>
        <w:rPr>
          <w:rFonts w:ascii="宋体"/>
        </w:rPr>
      </w:pPr>
      <w:r>
        <w:rPr>
          <w:rFonts w:ascii="宋体"/>
        </w:rPr>
        <w:t>（10）活动地板面层的质量应符合下列规定：</w:t>
      </w:r>
    </w:p>
    <w:p>
      <w:pPr>
        <w:pStyle w:val="1280"/>
        <w:ind w:firstLine="440"/>
        <w:rPr>
          <w:rFonts w:ascii="宋体"/>
        </w:rPr>
      </w:pPr>
      <w:r>
        <w:rPr>
          <w:rFonts w:ascii="宋体"/>
        </w:rPr>
        <w:t>a. 表面应平整，用2m直尺检查时，其允许空隙不应大于2mm；</w:t>
      </w:r>
    </w:p>
    <w:p>
      <w:pPr>
        <w:pStyle w:val="1280"/>
        <w:ind w:firstLine="440"/>
        <w:rPr>
          <w:rFonts w:ascii="宋体"/>
        </w:rPr>
      </w:pPr>
      <w:r>
        <w:rPr>
          <w:rFonts w:ascii="宋体"/>
        </w:rPr>
        <w:t>b. 相邻板块间缝隙不应大于0.3mm；相邻板块的不平度不应大于0.4mm；板块与四周墙面间的缝隙不应大于3mm；</w:t>
      </w:r>
    </w:p>
    <w:p>
      <w:pPr>
        <w:pStyle w:val="1280"/>
        <w:ind w:firstLine="440"/>
        <w:rPr>
          <w:rFonts w:ascii="宋体"/>
        </w:rPr>
      </w:pPr>
      <w:r>
        <w:rPr>
          <w:rFonts w:ascii="宋体"/>
        </w:rPr>
        <w:t>c. 板块间的板缝直线度不应大于0.5‰；</w:t>
      </w:r>
    </w:p>
    <w:p>
      <w:pPr>
        <w:pStyle w:val="1280"/>
        <w:ind w:firstLine="440"/>
        <w:rPr>
          <w:rFonts w:ascii="宋体"/>
        </w:rPr>
      </w:pPr>
      <w:r>
        <w:rPr>
          <w:rFonts w:ascii="宋体"/>
        </w:rPr>
        <w:t>d. 活动地板面层应排列整齐，行走时应无声响、摆动。</w:t>
      </w:r>
    </w:p>
    <w:p>
      <w:pPr>
        <w:pStyle w:val="1280"/>
        <w:ind w:firstLine="440"/>
        <w:outlineLvl w:val="0"/>
        <w:rPr>
          <w:rFonts w:ascii="宋体"/>
        </w:rPr>
      </w:pPr>
      <w:bookmarkStart w:id="3800" w:name="_Toc106049926"/>
      <w:bookmarkStart w:id="3801" w:name="_Toc106883189"/>
      <w:r>
        <w:rPr>
          <w:rFonts w:hint="eastAsia" w:ascii="宋体"/>
        </w:rPr>
        <w:t>4</w:t>
      </w:r>
      <w:r>
        <w:rPr>
          <w:rFonts w:ascii="宋体"/>
        </w:rPr>
        <w:t>.</w:t>
      </w:r>
      <w:r>
        <w:rPr>
          <w:rFonts w:hint="eastAsia" w:ascii="宋体"/>
        </w:rPr>
        <w:t>1.</w:t>
      </w:r>
      <w:r>
        <w:rPr>
          <w:rFonts w:ascii="宋体"/>
        </w:rPr>
        <w:t>1.8.6  复合木地板面层</w:t>
      </w:r>
      <w:bookmarkEnd w:id="3800"/>
      <w:bookmarkEnd w:id="3801"/>
    </w:p>
    <w:p>
      <w:pPr>
        <w:pStyle w:val="1280"/>
        <w:ind w:firstLine="440"/>
        <w:rPr>
          <w:rFonts w:ascii="宋体"/>
        </w:rPr>
      </w:pPr>
      <w:r>
        <w:rPr>
          <w:rFonts w:ascii="宋体"/>
        </w:rPr>
        <w:t>（1）木地板应采用不易腐朽，不易变形，不干裂且干燥的防潮性能良好的木地板，顶面应平滑光洁，侧面带有企口，且材质应符合现行标准的优等品和一级品规定。</w:t>
      </w:r>
    </w:p>
    <w:p>
      <w:pPr>
        <w:pStyle w:val="1280"/>
        <w:ind w:firstLine="440"/>
        <w:rPr>
          <w:rFonts w:ascii="宋体"/>
        </w:rPr>
      </w:pPr>
      <w:r>
        <w:rPr>
          <w:rFonts w:ascii="宋体"/>
        </w:rPr>
        <w:t>（2）复合木地板的厚度尺寸从7～20mm不等，厚度不同其结构及铺装方法也不同。</w:t>
      </w:r>
    </w:p>
    <w:p>
      <w:pPr>
        <w:pStyle w:val="1280"/>
        <w:ind w:firstLine="440"/>
        <w:rPr>
          <w:rFonts w:ascii="宋体"/>
        </w:rPr>
      </w:pPr>
      <w:r>
        <w:rPr>
          <w:rFonts w:ascii="宋体"/>
        </w:rPr>
        <w:t>（3）复合木地板的厚度尺寸在7～20mm之间的可直接铺在干燥水平地面上，并加铺专业防潮垫层。</w:t>
      </w:r>
    </w:p>
    <w:p>
      <w:pPr>
        <w:pStyle w:val="1280"/>
        <w:ind w:firstLine="440"/>
        <w:rPr>
          <w:rFonts w:ascii="宋体"/>
        </w:rPr>
      </w:pPr>
      <w:r>
        <w:rPr>
          <w:rFonts w:ascii="宋体"/>
        </w:rPr>
        <w:t>（4）现阶段木地板胶应采用厂家生产专业胶水，质量稳定可靠的产品。地板胶应打在凸槽的上方，且涂胶应均匀不得漏涂，多余胶处应用湿棉丝擦清，面上不得有胶痕。</w:t>
      </w:r>
    </w:p>
    <w:p>
      <w:pPr>
        <w:pStyle w:val="1280"/>
        <w:ind w:firstLine="440"/>
        <w:rPr>
          <w:rFonts w:ascii="宋体"/>
        </w:rPr>
      </w:pPr>
      <w:r>
        <w:rPr>
          <w:rFonts w:ascii="宋体"/>
        </w:rPr>
        <w:t>（5）木地板铺装时其木纹走向应朝向房间光照射方向，并应沿房间长边铺设。</w:t>
      </w:r>
    </w:p>
    <w:p>
      <w:pPr>
        <w:pStyle w:val="1280"/>
        <w:ind w:firstLine="440"/>
        <w:rPr>
          <w:rFonts w:ascii="宋体"/>
        </w:rPr>
      </w:pPr>
      <w:r>
        <w:rPr>
          <w:rFonts w:ascii="宋体"/>
        </w:rPr>
        <w:t>（6）铺设木地板时板端接缝应间隔错开，错开长度不小于300mm。木地板边长边铺设。两侧面层与墙体之间应预留5～10mm缝隙（预留缝根据不同木地板面层材质的物理伸缩比率而不同）。</w:t>
      </w:r>
    </w:p>
    <w:p>
      <w:pPr>
        <w:pStyle w:val="1280"/>
        <w:ind w:firstLine="440"/>
        <w:outlineLvl w:val="0"/>
        <w:rPr>
          <w:rFonts w:ascii="宋体"/>
        </w:rPr>
      </w:pPr>
      <w:bookmarkStart w:id="3802" w:name="_Toc106883190"/>
      <w:bookmarkStart w:id="3803" w:name="_Toc106049927"/>
      <w:r>
        <w:rPr>
          <w:rFonts w:hint="eastAsia" w:ascii="宋体"/>
        </w:rPr>
        <w:t>4</w:t>
      </w:r>
      <w:r>
        <w:rPr>
          <w:rFonts w:ascii="宋体"/>
        </w:rPr>
        <w:t>.</w:t>
      </w:r>
      <w:r>
        <w:rPr>
          <w:rFonts w:hint="eastAsia" w:ascii="宋体"/>
        </w:rPr>
        <w:t>1.</w:t>
      </w:r>
      <w:r>
        <w:rPr>
          <w:rFonts w:ascii="宋体"/>
        </w:rPr>
        <w:t>1.8.7  面层涂饰</w:t>
      </w:r>
      <w:bookmarkEnd w:id="3802"/>
      <w:bookmarkEnd w:id="3803"/>
    </w:p>
    <w:p>
      <w:pPr>
        <w:pStyle w:val="1280"/>
        <w:ind w:firstLine="440"/>
        <w:rPr>
          <w:rFonts w:ascii="宋体"/>
        </w:rPr>
      </w:pPr>
      <w:r>
        <w:rPr>
          <w:rFonts w:ascii="宋体"/>
        </w:rPr>
        <w:t>（1）面层涂饰应采用地面涂料或弹性多功能地面涂料涂刷在水泥类面层上。地面涂料宜采用环氧面层涂料。</w:t>
      </w:r>
    </w:p>
    <w:p>
      <w:pPr>
        <w:pStyle w:val="1280"/>
        <w:ind w:firstLine="440"/>
        <w:rPr>
          <w:rFonts w:ascii="宋体"/>
        </w:rPr>
      </w:pPr>
      <w:r>
        <w:rPr>
          <w:rFonts w:ascii="宋体"/>
        </w:rPr>
        <w:t>（2）面层涂饰的施涂顺序应为：底层处理、打底、主涂层、罩面和打蜡养护。</w:t>
      </w:r>
    </w:p>
    <w:p>
      <w:pPr>
        <w:pStyle w:val="1280"/>
        <w:ind w:firstLine="440"/>
        <w:rPr>
          <w:rFonts w:ascii="宋体"/>
        </w:rPr>
      </w:pPr>
      <w:r>
        <w:rPr>
          <w:rFonts w:ascii="宋体"/>
        </w:rPr>
        <w:t>（3）水泥类面层的表面应平整、坚实洁净、干燥；并不空鼓、不起砂、不开裂、无油脂；含水率不应大于9％。用2m直尺检查，其允许空隙为2mm。</w:t>
      </w:r>
    </w:p>
    <w:p>
      <w:pPr>
        <w:pStyle w:val="1280"/>
        <w:ind w:firstLine="440"/>
        <w:rPr>
          <w:rFonts w:ascii="宋体"/>
        </w:rPr>
      </w:pPr>
      <w:r>
        <w:rPr>
          <w:rFonts w:ascii="宋体"/>
        </w:rPr>
        <w:t>（4）在打底时，应采用稀释胶粘剂或水泥胶粘剂腻子涂刷（刮涂）1～3遍，干燥后打磨并清除粉尘。</w:t>
      </w:r>
    </w:p>
    <w:p>
      <w:pPr>
        <w:pStyle w:val="1280"/>
        <w:ind w:firstLine="440"/>
        <w:rPr>
          <w:rFonts w:ascii="宋体"/>
        </w:rPr>
      </w:pPr>
      <w:r>
        <w:rPr>
          <w:rFonts w:ascii="宋体"/>
        </w:rPr>
        <w:t>（5）面层涂饰的质量，表面应平整、洁净，用2m直尺检查，其允许空隙为2mm。其颜色、光泽应符合要求。</w:t>
      </w:r>
    </w:p>
    <w:p>
      <w:pPr>
        <w:pStyle w:val="1280"/>
        <w:ind w:firstLine="440"/>
        <w:outlineLvl w:val="0"/>
        <w:rPr>
          <w:rFonts w:ascii="宋体"/>
        </w:rPr>
      </w:pPr>
      <w:bookmarkStart w:id="3804" w:name="_Toc106883191"/>
      <w:bookmarkStart w:id="3805" w:name="_Toc106049928"/>
      <w:r>
        <w:rPr>
          <w:rFonts w:hint="eastAsia" w:ascii="宋体"/>
        </w:rPr>
        <w:t>4</w:t>
      </w:r>
      <w:r>
        <w:rPr>
          <w:rFonts w:ascii="宋体"/>
        </w:rPr>
        <w:t>.</w:t>
      </w:r>
      <w:r>
        <w:rPr>
          <w:rFonts w:hint="eastAsia" w:ascii="宋体"/>
        </w:rPr>
        <w:t>1.</w:t>
      </w:r>
      <w:r>
        <w:rPr>
          <w:rFonts w:ascii="宋体"/>
        </w:rPr>
        <w:t>1.9  工程验收</w:t>
      </w:r>
      <w:bookmarkEnd w:id="3804"/>
      <w:bookmarkEnd w:id="3805"/>
    </w:p>
    <w:p>
      <w:pPr>
        <w:pStyle w:val="1280"/>
        <w:ind w:firstLine="440"/>
        <w:rPr>
          <w:rFonts w:ascii="宋体"/>
        </w:rPr>
      </w:pPr>
      <w:r>
        <w:rPr>
          <w:rFonts w:ascii="宋体"/>
        </w:rPr>
        <w:t>（1）对完成的地面下的基土，各种防护层以及防腐处理的结构或连接件，应做工程中间验收，并应提供隐蔽工程和浸水试验记录。</w:t>
      </w:r>
    </w:p>
    <w:p>
      <w:pPr>
        <w:pStyle w:val="1280"/>
        <w:ind w:firstLine="440"/>
        <w:rPr>
          <w:rFonts w:ascii="宋体"/>
        </w:rPr>
      </w:pPr>
      <w:r>
        <w:rPr>
          <w:rFonts w:ascii="宋体"/>
        </w:rPr>
        <w:t>（2）已完工工程的验收，应检查下列项目：</w:t>
      </w:r>
    </w:p>
    <w:p>
      <w:pPr>
        <w:pStyle w:val="1280"/>
        <w:ind w:firstLine="440"/>
        <w:rPr>
          <w:rFonts w:ascii="宋体"/>
        </w:rPr>
      </w:pPr>
      <w:r>
        <w:rPr>
          <w:rFonts w:ascii="宋体"/>
        </w:rPr>
        <w:t>a. 建筑地面各层的强度和密度以及上下层结合的牢固性；</w:t>
      </w:r>
    </w:p>
    <w:p>
      <w:pPr>
        <w:pStyle w:val="1280"/>
        <w:ind w:firstLine="440"/>
        <w:rPr>
          <w:rFonts w:ascii="宋体"/>
        </w:rPr>
      </w:pPr>
      <w:r>
        <w:rPr>
          <w:rFonts w:ascii="宋体"/>
        </w:rPr>
        <w:t>b. 建筑地面各层的坡度、厚度、标高和平整度；</w:t>
      </w:r>
    </w:p>
    <w:p>
      <w:pPr>
        <w:pStyle w:val="1280"/>
        <w:ind w:firstLine="440"/>
        <w:rPr>
          <w:rFonts w:ascii="宋体"/>
        </w:rPr>
      </w:pPr>
      <w:r>
        <w:rPr>
          <w:rFonts w:ascii="宋体"/>
        </w:rPr>
        <w:t>c. 变形缝的位置和宽度，板、块材间缝隙的大小，以及填缝的质量；</w:t>
      </w:r>
    </w:p>
    <w:p>
      <w:pPr>
        <w:pStyle w:val="1280"/>
        <w:ind w:firstLine="440"/>
        <w:rPr>
          <w:rFonts w:ascii="宋体"/>
        </w:rPr>
      </w:pPr>
      <w:r>
        <w:rPr>
          <w:rFonts w:ascii="宋体"/>
        </w:rPr>
        <w:t>d. 不同类型面层的连接，面层与墙和其它构筑物（地沟、管道等）的结合以及图案等。</w:t>
      </w:r>
    </w:p>
    <w:p>
      <w:pPr>
        <w:pStyle w:val="1280"/>
        <w:ind w:firstLine="440"/>
        <w:rPr>
          <w:rFonts w:ascii="宋体"/>
        </w:rPr>
      </w:pPr>
      <w:r>
        <w:rPr>
          <w:rFonts w:ascii="宋体"/>
        </w:rPr>
        <w:t>（3）各层表面与水平面或与设计坡度的允许偏差，为房间相应尺寸的0.2%，但最大偏差应为30mm。</w:t>
      </w:r>
    </w:p>
    <w:p>
      <w:pPr>
        <w:pStyle w:val="1280"/>
        <w:ind w:firstLine="440"/>
        <w:rPr>
          <w:rFonts w:ascii="宋体"/>
        </w:rPr>
      </w:pPr>
      <w:r>
        <w:rPr>
          <w:rFonts w:ascii="宋体"/>
        </w:rPr>
        <w:t>供排除液体的带有坡度的面层应做泼水检验，并以能排除液体为合格。不得有倒泛水和积水现象。</w:t>
      </w:r>
    </w:p>
    <w:p>
      <w:pPr>
        <w:pStyle w:val="1280"/>
        <w:ind w:firstLine="440"/>
        <w:rPr>
          <w:rFonts w:ascii="宋体"/>
        </w:rPr>
      </w:pPr>
      <w:r>
        <w:rPr>
          <w:rFonts w:ascii="宋体"/>
        </w:rPr>
        <w:t>（4）水泥砂浆等现浇整体面层和铺设在水泥砂浆胶粘剂上的板块面层以及铺贴在胶粘剂上的木板、复合板面层，其与下一层的结合应用敲击方法检查，不得有空鼓。</w:t>
      </w:r>
    </w:p>
    <w:p>
      <w:pPr>
        <w:pStyle w:val="1280"/>
        <w:ind w:firstLine="440"/>
        <w:rPr>
          <w:rFonts w:ascii="宋体"/>
        </w:rPr>
      </w:pPr>
      <w:r>
        <w:rPr>
          <w:rFonts w:ascii="宋体"/>
        </w:rPr>
        <w:t>（5）各类现浇整体面层的表面不应有裂纹、脱皮、麻面和起砂等现象。踢脚板应与墙面（板面）紧密贴合。</w:t>
      </w:r>
    </w:p>
    <w:p>
      <w:pPr>
        <w:pStyle w:val="1280"/>
        <w:ind w:firstLine="440"/>
        <w:rPr>
          <w:rFonts w:ascii="宋体"/>
        </w:rPr>
      </w:pPr>
      <w:r>
        <w:rPr>
          <w:rFonts w:ascii="宋体"/>
        </w:rPr>
        <w:t>（6）在铺设建筑地面时，应检查各层厚度与设计厚度的偏差。其允许偏差为该层厚度的10％。</w:t>
      </w:r>
    </w:p>
    <w:p>
      <w:pPr>
        <w:pStyle w:val="1280"/>
        <w:ind w:firstLine="440"/>
        <w:rPr>
          <w:rFonts w:ascii="宋体"/>
        </w:rPr>
      </w:pPr>
      <w:r>
        <w:rPr>
          <w:rFonts w:ascii="宋体"/>
        </w:rPr>
        <w:t>（7）建筑地面各层表面的平整度，应采用2m直尺检查，当为斜面时，应采用水平尺或样尺检查。</w:t>
      </w:r>
    </w:p>
    <w:p>
      <w:pPr>
        <w:pStyle w:val="1280"/>
        <w:ind w:firstLine="440"/>
        <w:rPr>
          <w:rFonts w:ascii="宋体"/>
        </w:rPr>
      </w:pPr>
      <w:r>
        <w:rPr>
          <w:rFonts w:ascii="宋体"/>
        </w:rPr>
        <w:t>板块面层的允许偏差应符合GB50209-2010表6.1.8的规定。</w:t>
      </w:r>
    </w:p>
    <w:p>
      <w:pPr>
        <w:pStyle w:val="1284"/>
        <w:outlineLvl w:val="0"/>
        <w:rPr>
          <w:rFonts w:ascii="宋体" w:hAnsi="宋体"/>
        </w:rPr>
      </w:pPr>
      <w:bookmarkStart w:id="3806" w:name="_Toc521492263"/>
      <w:bookmarkStart w:id="3807" w:name="_Toc521493120"/>
      <w:bookmarkStart w:id="3808" w:name="_Toc521493794"/>
      <w:bookmarkStart w:id="3809" w:name="_Toc106883192"/>
      <w:r>
        <w:rPr>
          <w:rFonts w:hint="eastAsia" w:ascii="宋体" w:hAnsi="宋体"/>
        </w:rPr>
        <w:t>4.1</w:t>
      </w:r>
      <w:r>
        <w:rPr>
          <w:rFonts w:ascii="宋体" w:hAnsi="宋体"/>
        </w:rPr>
        <w:t>.2  建筑屋面</w:t>
      </w:r>
      <w:bookmarkEnd w:id="3806"/>
      <w:bookmarkEnd w:id="3807"/>
      <w:bookmarkEnd w:id="3808"/>
      <w:bookmarkEnd w:id="3809"/>
    </w:p>
    <w:p>
      <w:pPr>
        <w:pStyle w:val="1288"/>
        <w:outlineLvl w:val="0"/>
        <w:rPr>
          <w:rFonts w:ascii="宋体" w:hAnsi="宋体"/>
          <w:color w:val="auto"/>
        </w:rPr>
      </w:pPr>
      <w:bookmarkStart w:id="3810" w:name="_Toc106049930"/>
      <w:bookmarkStart w:id="3811" w:name="_Toc106883193"/>
      <w:r>
        <w:rPr>
          <w:rFonts w:hint="eastAsia" w:ascii="宋体" w:hAnsi="宋体"/>
          <w:color w:val="auto"/>
        </w:rPr>
        <w:t>4.1</w:t>
      </w:r>
      <w:r>
        <w:rPr>
          <w:rFonts w:ascii="宋体" w:hAnsi="宋体"/>
          <w:color w:val="auto"/>
        </w:rPr>
        <w:t>.2.1  范围</w:t>
      </w:r>
      <w:bookmarkEnd w:id="3810"/>
      <w:bookmarkEnd w:id="3811"/>
    </w:p>
    <w:p>
      <w:pPr>
        <w:pStyle w:val="1280"/>
        <w:ind w:firstLine="440"/>
        <w:rPr>
          <w:rFonts w:ascii="宋体"/>
        </w:rPr>
      </w:pPr>
      <w:r>
        <w:rPr>
          <w:rFonts w:ascii="宋体"/>
        </w:rPr>
        <w:t>本节包括屋面防水材料、保温隔热材料、屋面施工、质量检验的要求。</w:t>
      </w:r>
    </w:p>
    <w:p>
      <w:pPr>
        <w:pStyle w:val="1288"/>
        <w:outlineLvl w:val="0"/>
        <w:rPr>
          <w:rFonts w:ascii="宋体" w:hAnsi="宋体"/>
          <w:color w:val="auto"/>
        </w:rPr>
      </w:pPr>
      <w:bookmarkStart w:id="3812" w:name="_Toc106049931"/>
      <w:bookmarkStart w:id="3813" w:name="_Toc106883194"/>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2.2  参照标准</w:t>
      </w:r>
      <w:bookmarkEnd w:id="3812"/>
      <w:bookmarkEnd w:id="3813"/>
    </w:p>
    <w:p>
      <w:pPr>
        <w:pStyle w:val="1280"/>
        <w:ind w:firstLine="440"/>
        <w:rPr>
          <w:rFonts w:ascii="宋体"/>
        </w:rPr>
      </w:pPr>
      <w:r>
        <w:rPr>
          <w:rFonts w:ascii="宋体"/>
        </w:rPr>
        <w:t>GB 50207-20</w:t>
      </w:r>
      <w:r>
        <w:rPr>
          <w:rFonts w:hint="eastAsia" w:ascii="宋体"/>
        </w:rPr>
        <w:t>1</w:t>
      </w:r>
      <w:r>
        <w:rPr>
          <w:rFonts w:ascii="宋体"/>
        </w:rPr>
        <w:t>2   屋面工程质量验收规范</w:t>
      </w:r>
    </w:p>
    <w:p>
      <w:pPr>
        <w:pStyle w:val="1280"/>
        <w:ind w:firstLine="440"/>
        <w:rPr>
          <w:rFonts w:ascii="宋体"/>
        </w:rPr>
      </w:pPr>
      <w:r>
        <w:rPr>
          <w:rFonts w:hint="eastAsia" w:ascii="宋体"/>
        </w:rPr>
        <w:t>GB50300-2013</w:t>
      </w:r>
      <w:r>
        <w:rPr>
          <w:rFonts w:ascii="宋体"/>
        </w:rPr>
        <w:t xml:space="preserve">   </w:t>
      </w:r>
      <w:r>
        <w:rPr>
          <w:rFonts w:hint="eastAsia" w:ascii="宋体"/>
        </w:rPr>
        <w:t>建筑工程施工质量验收统一标准</w:t>
      </w:r>
    </w:p>
    <w:p>
      <w:pPr>
        <w:pStyle w:val="1280"/>
        <w:ind w:firstLine="440"/>
        <w:rPr>
          <w:rFonts w:ascii="宋体"/>
        </w:rPr>
      </w:pPr>
      <w:r>
        <w:rPr>
          <w:rFonts w:ascii="宋体"/>
        </w:rPr>
        <w:t>所应用的</w:t>
      </w:r>
      <w:r>
        <w:rPr>
          <w:rFonts w:hint="eastAsia" w:ascii="宋体"/>
        </w:rPr>
        <w:t>规范</w:t>
      </w:r>
      <w:r>
        <w:rPr>
          <w:rFonts w:ascii="宋体"/>
        </w:rPr>
        <w:t>应是最新的且已实施的版本，必须在本招标截止日期之前28天尚在通用的版本。</w:t>
      </w:r>
    </w:p>
    <w:p>
      <w:pPr>
        <w:pStyle w:val="1288"/>
        <w:outlineLvl w:val="0"/>
        <w:rPr>
          <w:rFonts w:ascii="宋体" w:hAnsi="宋体"/>
          <w:color w:val="auto"/>
        </w:rPr>
      </w:pPr>
      <w:bookmarkStart w:id="3814" w:name="_Toc106049932"/>
      <w:bookmarkStart w:id="3815" w:name="_Toc106883195"/>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2.3  提交的文件</w:t>
      </w:r>
      <w:bookmarkEnd w:id="3814"/>
      <w:bookmarkEnd w:id="3815"/>
    </w:p>
    <w:p>
      <w:pPr>
        <w:pStyle w:val="1280"/>
        <w:ind w:firstLine="440"/>
        <w:rPr>
          <w:rFonts w:ascii="宋体"/>
        </w:rPr>
      </w:pPr>
      <w:r>
        <w:rPr>
          <w:rFonts w:ascii="宋体"/>
        </w:rPr>
        <w:t>承包人应在屋面施工前7天，提供屋面的施工作业文件。以征得项目监理同意。</w:t>
      </w:r>
    </w:p>
    <w:p>
      <w:pPr>
        <w:pStyle w:val="1280"/>
        <w:ind w:firstLine="440"/>
        <w:rPr>
          <w:rFonts w:ascii="宋体"/>
        </w:rPr>
      </w:pPr>
      <w:r>
        <w:rPr>
          <w:rFonts w:ascii="宋体"/>
        </w:rPr>
        <w:t>文件需包括以下内容。</w:t>
      </w:r>
    </w:p>
    <w:p>
      <w:pPr>
        <w:pStyle w:val="1280"/>
        <w:ind w:firstLine="440"/>
        <w:rPr>
          <w:rFonts w:ascii="宋体"/>
        </w:rPr>
      </w:pPr>
      <w:r>
        <w:rPr>
          <w:rFonts w:ascii="宋体"/>
        </w:rPr>
        <w:t>（1）混凝土基层的基本情况</w:t>
      </w:r>
    </w:p>
    <w:p>
      <w:pPr>
        <w:pStyle w:val="1280"/>
        <w:ind w:firstLine="440"/>
        <w:rPr>
          <w:rFonts w:ascii="宋体"/>
        </w:rPr>
      </w:pPr>
      <w:r>
        <w:rPr>
          <w:rFonts w:ascii="宋体"/>
        </w:rPr>
        <w:t>（2）原材料、半成品的质量证明文件，实验报告。</w:t>
      </w:r>
    </w:p>
    <w:p>
      <w:pPr>
        <w:pStyle w:val="1280"/>
        <w:ind w:firstLine="440"/>
        <w:rPr>
          <w:rFonts w:ascii="宋体"/>
        </w:rPr>
      </w:pPr>
      <w:r>
        <w:rPr>
          <w:rFonts w:ascii="宋体"/>
        </w:rPr>
        <w:t>（3）作业计划与质量控制。</w:t>
      </w:r>
    </w:p>
    <w:p>
      <w:pPr>
        <w:pStyle w:val="1280"/>
        <w:ind w:firstLine="440"/>
        <w:rPr>
          <w:rFonts w:ascii="宋体"/>
        </w:rPr>
      </w:pPr>
      <w:r>
        <w:rPr>
          <w:rFonts w:ascii="宋体"/>
        </w:rPr>
        <w:t>（4）供验收的各种表格、资料的准备。</w:t>
      </w:r>
    </w:p>
    <w:p>
      <w:pPr>
        <w:pStyle w:val="1288"/>
        <w:outlineLvl w:val="0"/>
        <w:rPr>
          <w:rFonts w:ascii="宋体" w:hAnsi="宋体"/>
          <w:color w:val="auto"/>
        </w:rPr>
      </w:pPr>
      <w:bookmarkStart w:id="3816" w:name="_Toc106049933"/>
      <w:bookmarkStart w:id="3817" w:name="_Toc106883196"/>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2.4  基本规定</w:t>
      </w:r>
      <w:bookmarkEnd w:id="3816"/>
      <w:bookmarkEnd w:id="3817"/>
    </w:p>
    <w:p>
      <w:pPr>
        <w:pStyle w:val="1280"/>
        <w:ind w:firstLine="440"/>
        <w:rPr>
          <w:rFonts w:ascii="宋体"/>
        </w:rPr>
      </w:pPr>
      <w:r>
        <w:rPr>
          <w:rFonts w:ascii="宋体"/>
        </w:rPr>
        <w:t>（1）屋面工程施工前，承包人应掌握施工图中细部构造及有关技术要求，并应编制防水工程的施工方案或技术措施供项目监理批准。</w:t>
      </w:r>
    </w:p>
    <w:p>
      <w:pPr>
        <w:pStyle w:val="1280"/>
        <w:ind w:firstLine="440"/>
        <w:rPr>
          <w:rFonts w:ascii="宋体"/>
        </w:rPr>
      </w:pPr>
      <w:r>
        <w:rPr>
          <w:rFonts w:ascii="宋体"/>
        </w:rPr>
        <w:t>（2）屋面工程施工中，应按施工工序、层次进行检验，合格后方可进行下道工序、层次的作业。</w:t>
      </w:r>
    </w:p>
    <w:p>
      <w:pPr>
        <w:pStyle w:val="1280"/>
        <w:ind w:firstLine="440"/>
        <w:rPr>
          <w:rFonts w:ascii="宋体"/>
        </w:rPr>
      </w:pPr>
      <w:r>
        <w:rPr>
          <w:rFonts w:ascii="宋体"/>
        </w:rPr>
        <w:t>（3）屋面工程的防水必须由防水专业队伍或防水工施工。严禁非防水专业队伍或非防水工进行屋面工程的防水施工。</w:t>
      </w:r>
    </w:p>
    <w:p>
      <w:pPr>
        <w:pStyle w:val="1280"/>
        <w:ind w:firstLine="440"/>
        <w:rPr>
          <w:rFonts w:ascii="宋体"/>
        </w:rPr>
      </w:pPr>
      <w:r>
        <w:rPr>
          <w:rFonts w:ascii="宋体"/>
        </w:rPr>
        <w:t>（4）屋面工程所采用的防水、保温隔热材料应有材料质量证明文件，并经指定质量检测部门认证，确保其质量符合技术要求。</w:t>
      </w:r>
    </w:p>
    <w:p>
      <w:pPr>
        <w:pStyle w:val="1280"/>
        <w:ind w:firstLine="440"/>
        <w:rPr>
          <w:rFonts w:ascii="宋体"/>
        </w:rPr>
      </w:pPr>
      <w:r>
        <w:rPr>
          <w:rFonts w:ascii="宋体"/>
        </w:rPr>
        <w:t>材料进场后，施工单位应按规定取样复试，提出试验报告，严禁在工程中使用不合格的材料。</w:t>
      </w:r>
    </w:p>
    <w:p>
      <w:pPr>
        <w:pStyle w:val="1280"/>
        <w:ind w:firstLine="440"/>
        <w:rPr>
          <w:rFonts w:ascii="宋体"/>
        </w:rPr>
      </w:pPr>
      <w:r>
        <w:rPr>
          <w:rFonts w:ascii="宋体"/>
        </w:rPr>
        <w:t>（5）当下道工序或相邻工程施工时，对屋面工程已完成的部分应采取保护措施，防止损坏。</w:t>
      </w:r>
    </w:p>
    <w:p>
      <w:pPr>
        <w:pStyle w:val="1280"/>
        <w:ind w:firstLine="440"/>
        <w:rPr>
          <w:rFonts w:ascii="宋体"/>
        </w:rPr>
      </w:pPr>
      <w:r>
        <w:rPr>
          <w:rFonts w:ascii="宋体"/>
        </w:rPr>
        <w:t>（6）伸出屋面的管道、设备或预埋件等，应在防水层施工前安设完毕。屋面防水层完工后，应避免在其上凿孔打洞。</w:t>
      </w:r>
    </w:p>
    <w:p>
      <w:pPr>
        <w:pStyle w:val="1280"/>
        <w:ind w:firstLine="440"/>
        <w:rPr>
          <w:rFonts w:ascii="宋体"/>
        </w:rPr>
      </w:pPr>
      <w:r>
        <w:rPr>
          <w:rFonts w:ascii="宋体"/>
        </w:rPr>
        <w:t>（7）所有穿过屋面防水层的管子应设防水环。防水环器四周应嵌进防水层至少150mm。嵌在墙面、楼面凹槽里及埋在结构中的所有管子应用一种批准的强化油浸沥青丝麻基带包裹予以保护。每根管子均应包裹并用镀锌钢丝系紧。</w:t>
      </w:r>
    </w:p>
    <w:p>
      <w:pPr>
        <w:pStyle w:val="1280"/>
        <w:ind w:firstLine="440"/>
        <w:rPr>
          <w:rFonts w:ascii="宋体"/>
        </w:rPr>
      </w:pPr>
      <w:r>
        <w:rPr>
          <w:rFonts w:ascii="宋体"/>
        </w:rPr>
        <w:t>（8）屋面工程应建立管理、维修、保养制度，由专人负责定期进行检查维修。</w:t>
      </w:r>
    </w:p>
    <w:p>
      <w:pPr>
        <w:pStyle w:val="1288"/>
        <w:outlineLvl w:val="0"/>
        <w:rPr>
          <w:rFonts w:ascii="宋体" w:hAnsi="宋体"/>
          <w:color w:val="auto"/>
        </w:rPr>
      </w:pPr>
      <w:bookmarkStart w:id="3818" w:name="_Toc106049934"/>
      <w:bookmarkStart w:id="3819" w:name="_Toc106883197"/>
      <w:r>
        <w:rPr>
          <w:rFonts w:hint="eastAsia" w:ascii="宋体" w:hAnsi="宋体"/>
          <w:color w:val="auto"/>
        </w:rPr>
        <w:t>4.1.</w:t>
      </w:r>
      <w:r>
        <w:rPr>
          <w:rFonts w:ascii="宋体" w:hAnsi="宋体"/>
          <w:color w:val="auto"/>
        </w:rPr>
        <w:t>2.5  卷材防水屋面</w:t>
      </w:r>
      <w:bookmarkEnd w:id="3818"/>
      <w:bookmarkEnd w:id="3819"/>
    </w:p>
    <w:p>
      <w:pPr>
        <w:pStyle w:val="1280"/>
        <w:ind w:firstLine="440"/>
        <w:rPr>
          <w:rFonts w:ascii="宋体"/>
        </w:rPr>
      </w:pPr>
      <w:r>
        <w:rPr>
          <w:rFonts w:ascii="宋体"/>
        </w:rPr>
        <w:t>（1）屋面找平层表面应压实平整，排水坡度应符合设计要求。采用水泥砂浆找平层时，水泥砂浆抹平收水后应二次压光，充分养护，不得有酥松、起砂、起皮现象。</w:t>
      </w:r>
    </w:p>
    <w:p>
      <w:pPr>
        <w:pStyle w:val="1280"/>
        <w:ind w:firstLine="440"/>
        <w:rPr>
          <w:rFonts w:ascii="宋体"/>
        </w:rPr>
      </w:pPr>
      <w:r>
        <w:rPr>
          <w:rFonts w:ascii="宋体"/>
        </w:rPr>
        <w:t>（2）基层与突出屋面结构（女儿墙、立墙、变形缝等）的连接处，以及基层的转角处（水落口、檐口、天沟、檐沟、屋脊等），均应做成圆弧。圆弧半径应根据卷材种类按下表选用。内部排水的水落口周围应做成略低的凹坑。</w:t>
      </w:r>
    </w:p>
    <w:p>
      <w:pPr>
        <w:pStyle w:val="1286"/>
        <w:rPr>
          <w:rFonts w:ascii="宋体" w:hAnsi="宋体"/>
          <w:color w:val="auto"/>
        </w:rPr>
      </w:pPr>
      <w:r>
        <w:rPr>
          <w:rFonts w:ascii="宋体" w:hAnsi="宋体"/>
          <w:color w:val="auto"/>
        </w:rPr>
        <w:t>转角处圆弧半径</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030"/>
        <w:gridCol w:w="4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54" w:type="pct"/>
            <w:shd w:val="clear" w:color="auto" w:fill="auto"/>
            <w:vAlign w:val="center"/>
          </w:tcPr>
          <w:p>
            <w:pPr>
              <w:pStyle w:val="1286"/>
              <w:rPr>
                <w:rFonts w:ascii="宋体" w:hAnsi="宋体"/>
                <w:color w:val="auto"/>
              </w:rPr>
            </w:pPr>
            <w:r>
              <w:rPr>
                <w:rFonts w:ascii="宋体" w:hAnsi="宋体"/>
                <w:color w:val="auto"/>
              </w:rPr>
              <w:t>卷材种类</w:t>
            </w:r>
          </w:p>
        </w:tc>
        <w:tc>
          <w:tcPr>
            <w:tcW w:w="2646" w:type="pct"/>
            <w:shd w:val="clear" w:color="auto" w:fill="auto"/>
            <w:vAlign w:val="center"/>
          </w:tcPr>
          <w:p>
            <w:pPr>
              <w:pStyle w:val="1286"/>
              <w:rPr>
                <w:rFonts w:ascii="宋体" w:hAnsi="宋体"/>
                <w:color w:val="auto"/>
              </w:rPr>
            </w:pPr>
            <w:r>
              <w:rPr>
                <w:rFonts w:ascii="宋体" w:hAnsi="宋体"/>
                <w:color w:val="auto"/>
              </w:rPr>
              <w:t>圆弧半径（mm）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2354" w:type="pct"/>
            <w:shd w:val="clear" w:color="auto" w:fill="auto"/>
            <w:vAlign w:val="center"/>
          </w:tcPr>
          <w:p>
            <w:pPr>
              <w:pStyle w:val="1286"/>
              <w:rPr>
                <w:rFonts w:ascii="宋体" w:hAnsi="宋体"/>
                <w:color w:val="auto"/>
              </w:rPr>
            </w:pPr>
            <w:r>
              <w:rPr>
                <w:rFonts w:ascii="宋体" w:hAnsi="宋体"/>
                <w:color w:val="auto"/>
              </w:rPr>
              <w:t>沥青防水卷材</w:t>
            </w:r>
          </w:p>
          <w:p>
            <w:pPr>
              <w:pStyle w:val="1286"/>
              <w:rPr>
                <w:rFonts w:ascii="宋体" w:hAnsi="宋体"/>
                <w:color w:val="auto"/>
              </w:rPr>
            </w:pPr>
            <w:r>
              <w:rPr>
                <w:rFonts w:ascii="宋体" w:hAnsi="宋体"/>
                <w:color w:val="auto"/>
              </w:rPr>
              <w:t>高聚物改性沥青防水卷材</w:t>
            </w:r>
          </w:p>
          <w:p>
            <w:pPr>
              <w:pStyle w:val="1286"/>
              <w:rPr>
                <w:rFonts w:ascii="宋体" w:hAnsi="宋体"/>
                <w:color w:val="auto"/>
              </w:rPr>
            </w:pPr>
            <w:r>
              <w:rPr>
                <w:rFonts w:ascii="宋体" w:hAnsi="宋体"/>
                <w:color w:val="auto"/>
              </w:rPr>
              <w:t>合成高分子防水卷材</w:t>
            </w:r>
          </w:p>
        </w:tc>
        <w:tc>
          <w:tcPr>
            <w:tcW w:w="2646" w:type="pct"/>
            <w:shd w:val="clear" w:color="auto" w:fill="auto"/>
            <w:vAlign w:val="center"/>
          </w:tcPr>
          <w:p>
            <w:pPr>
              <w:pStyle w:val="1286"/>
              <w:rPr>
                <w:rFonts w:ascii="宋体" w:hAnsi="宋体"/>
                <w:color w:val="auto"/>
              </w:rPr>
            </w:pPr>
            <w:r>
              <w:rPr>
                <w:rFonts w:ascii="宋体" w:hAnsi="宋体"/>
                <w:color w:val="auto"/>
              </w:rPr>
              <w:t>100～150</w:t>
            </w:r>
          </w:p>
          <w:p>
            <w:pPr>
              <w:pStyle w:val="1286"/>
              <w:rPr>
                <w:rFonts w:ascii="宋体" w:hAnsi="宋体"/>
                <w:color w:val="auto"/>
              </w:rPr>
            </w:pPr>
            <w:r>
              <w:rPr>
                <w:rFonts w:ascii="宋体" w:hAnsi="宋体"/>
                <w:color w:val="auto"/>
              </w:rPr>
              <w:t>50</w:t>
            </w:r>
          </w:p>
          <w:p>
            <w:pPr>
              <w:pStyle w:val="1286"/>
              <w:rPr>
                <w:rFonts w:ascii="宋体" w:hAnsi="宋体"/>
                <w:color w:val="auto"/>
              </w:rPr>
            </w:pPr>
            <w:r>
              <w:rPr>
                <w:rFonts w:ascii="宋体" w:hAnsi="宋体"/>
                <w:color w:val="auto"/>
              </w:rPr>
              <w:t>20</w:t>
            </w:r>
          </w:p>
        </w:tc>
      </w:tr>
    </w:tbl>
    <w:p>
      <w:pPr>
        <w:pStyle w:val="1280"/>
        <w:ind w:firstLine="440"/>
        <w:rPr>
          <w:rFonts w:ascii="宋体"/>
        </w:rPr>
      </w:pPr>
      <w:r>
        <w:rPr>
          <w:rFonts w:ascii="宋体"/>
        </w:rPr>
        <w:t>（3）铺设屋面隔汽层和防水层，基层必须干净、干燥。</w:t>
      </w:r>
    </w:p>
    <w:p>
      <w:pPr>
        <w:pStyle w:val="1280"/>
        <w:ind w:firstLine="440"/>
        <w:rPr>
          <w:rFonts w:ascii="宋体"/>
        </w:rPr>
      </w:pPr>
      <w:r>
        <w:rPr>
          <w:rFonts w:ascii="宋体"/>
        </w:rPr>
        <w:t>注：干燥程度的简易检验方法，是将1m</w:t>
      </w:r>
      <w:r>
        <w:rPr>
          <w:rFonts w:ascii="宋体"/>
          <w:vertAlign w:val="superscript"/>
        </w:rPr>
        <w:t>2</w:t>
      </w:r>
      <w:r>
        <w:rPr>
          <w:rFonts w:ascii="宋体"/>
        </w:rPr>
        <w:t>卷材平坦地干铺在找平层上，静置3～4h后掀开检查，找平层覆盖部位与卷材上未见水印即可铺设隔汽层或防水层。找平层表面应平整光滑，均匀一致。其平整度用2m长的直尺检查，基层与直尺间的最大空隙不应超过5mm，空隙允许平缓变化。在进行防水层施工前，基层表面的突起物、砂浆块应铲除干净，尘土杂物彻底清除干净。对阴角、管道根、水落口必须清除油污、铁锈。</w:t>
      </w:r>
    </w:p>
    <w:p>
      <w:pPr>
        <w:pStyle w:val="1280"/>
        <w:ind w:firstLine="440"/>
        <w:rPr>
          <w:rFonts w:ascii="宋体"/>
        </w:rPr>
      </w:pPr>
      <w:r>
        <w:rPr>
          <w:rFonts w:ascii="宋体"/>
        </w:rPr>
        <w:t>（4）采用基层处理剂时，其配制与施工应符合下列规定：</w:t>
      </w:r>
    </w:p>
    <w:p>
      <w:pPr>
        <w:pStyle w:val="1280"/>
        <w:ind w:firstLine="440"/>
        <w:rPr>
          <w:rFonts w:ascii="宋体"/>
        </w:rPr>
      </w:pPr>
      <w:r>
        <w:rPr>
          <w:rFonts w:ascii="宋体"/>
        </w:rPr>
        <w:t>a. 基层处理剂的选择应与卷材的材性相容。</w:t>
      </w:r>
    </w:p>
    <w:p>
      <w:pPr>
        <w:pStyle w:val="1280"/>
        <w:ind w:firstLine="440"/>
        <w:rPr>
          <w:rFonts w:ascii="宋体"/>
        </w:rPr>
      </w:pPr>
      <w:r>
        <w:rPr>
          <w:rFonts w:ascii="宋体"/>
        </w:rPr>
        <w:t>b. 基层处理剂可采取喷涂法或涂刷法施工。喷、涂应均匀一致。当喷。涂二遍时，第二遍喷、涂应在第一遍干燥后进行。待最后一遍喷、涂干燥后，方可铺贴卷材。</w:t>
      </w:r>
    </w:p>
    <w:p>
      <w:pPr>
        <w:pStyle w:val="1280"/>
        <w:ind w:firstLine="440"/>
        <w:rPr>
          <w:rFonts w:ascii="宋体"/>
        </w:rPr>
      </w:pPr>
      <w:r>
        <w:rPr>
          <w:rFonts w:ascii="宋体"/>
        </w:rPr>
        <w:t>c. 喷、涂基层处理剂前，应用毛刷对屋面节点、周边、拐角等处先行涂刷。</w:t>
      </w:r>
    </w:p>
    <w:p>
      <w:pPr>
        <w:pStyle w:val="1280"/>
        <w:ind w:firstLine="440"/>
        <w:rPr>
          <w:rFonts w:ascii="宋体"/>
        </w:rPr>
      </w:pPr>
      <w:r>
        <w:rPr>
          <w:rFonts w:ascii="宋体"/>
        </w:rPr>
        <w:t>（5）卷材铺设方向应符合下列规定：</w:t>
      </w:r>
    </w:p>
    <w:p>
      <w:pPr>
        <w:pStyle w:val="1280"/>
        <w:ind w:firstLine="440"/>
        <w:rPr>
          <w:rFonts w:ascii="宋体"/>
        </w:rPr>
      </w:pPr>
      <w:r>
        <w:rPr>
          <w:rFonts w:ascii="宋体"/>
        </w:rPr>
        <w:t>a. 屋面坡度小于3％时，卷材宜平行屋脊铺贴。</w:t>
      </w:r>
    </w:p>
    <w:p>
      <w:pPr>
        <w:pStyle w:val="1280"/>
        <w:ind w:firstLine="440"/>
        <w:rPr>
          <w:rFonts w:ascii="宋体"/>
        </w:rPr>
      </w:pPr>
      <w:r>
        <w:rPr>
          <w:rFonts w:ascii="宋体"/>
        </w:rPr>
        <w:t>b. 屋面坡度在3％～15％之间时，卷材可平行或垂直屋脊铺贴。</w:t>
      </w:r>
    </w:p>
    <w:p>
      <w:pPr>
        <w:pStyle w:val="1280"/>
        <w:ind w:firstLine="440"/>
        <w:rPr>
          <w:rFonts w:ascii="宋体"/>
        </w:rPr>
      </w:pPr>
      <w:r>
        <w:rPr>
          <w:rFonts w:ascii="宋体"/>
        </w:rPr>
        <w:t>c. 屋面坡度大于15％或屋面受震动时，沥青防水卷材应垂直屋脊铺贴；高聚物改性沥青防水卷材和合成高分子防水卷材可平行或垂直屋脊铺贴。</w:t>
      </w:r>
    </w:p>
    <w:p>
      <w:pPr>
        <w:pStyle w:val="1280"/>
        <w:ind w:firstLine="440"/>
        <w:rPr>
          <w:rFonts w:ascii="宋体"/>
        </w:rPr>
      </w:pPr>
      <w:r>
        <w:rPr>
          <w:rFonts w:ascii="宋体"/>
        </w:rPr>
        <w:t>d. 上下层卷材不得相互垂直铺贴。</w:t>
      </w:r>
    </w:p>
    <w:p>
      <w:pPr>
        <w:pStyle w:val="1280"/>
        <w:ind w:firstLine="440"/>
        <w:rPr>
          <w:rFonts w:ascii="宋体"/>
        </w:rPr>
      </w:pPr>
      <w:r>
        <w:rPr>
          <w:rFonts w:ascii="宋体"/>
        </w:rPr>
        <w:t>（6）屋面防水层施工时，应先做好节点、附加层和屋面排水比较集中部位（屋面与水落口连接处、檐口、檐沟、屋面转角处、板端缝等）的处理，然后由屋面最低标高处向上施工。铺贴天沟、檐沟卷材时，宜顺天沟、檐沟方向，减少搭接。</w:t>
      </w:r>
    </w:p>
    <w:p>
      <w:pPr>
        <w:pStyle w:val="1280"/>
        <w:ind w:firstLine="440"/>
        <w:rPr>
          <w:rFonts w:ascii="宋体"/>
        </w:rPr>
      </w:pPr>
      <w:r>
        <w:rPr>
          <w:rFonts w:ascii="宋体"/>
        </w:rPr>
        <w:t>（7）卷材搭接的方法、宽度和要求，应根据屋面坡度、年最大频率风向和卷材的材性决定。</w:t>
      </w:r>
    </w:p>
    <w:p>
      <w:pPr>
        <w:pStyle w:val="1280"/>
        <w:ind w:firstLine="440"/>
        <w:rPr>
          <w:rFonts w:ascii="宋体"/>
        </w:rPr>
      </w:pPr>
      <w:r>
        <w:rPr>
          <w:rFonts w:ascii="宋体"/>
        </w:rPr>
        <w:t>a. 铺贴卷材应采用搭接法，上下层及相邻两幅卷材的搭接缝应错开。平行于屋脊的搭接缝应顺流水方向搭接；垂直于屋脊的搭接缝应顺年最大频率风向搭接。</w:t>
      </w:r>
    </w:p>
    <w:p>
      <w:pPr>
        <w:pStyle w:val="1280"/>
        <w:ind w:firstLine="440"/>
        <w:rPr>
          <w:rFonts w:ascii="宋体"/>
        </w:rPr>
      </w:pPr>
      <w:r>
        <w:rPr>
          <w:rFonts w:ascii="宋体"/>
        </w:rPr>
        <w:t>b. 各种卷材搭接宽度应符合GB50207-2002表4.3.7的要求。</w:t>
      </w:r>
    </w:p>
    <w:p>
      <w:pPr>
        <w:pStyle w:val="1280"/>
        <w:ind w:firstLine="440"/>
        <w:rPr>
          <w:rFonts w:ascii="宋体"/>
        </w:rPr>
      </w:pPr>
      <w:r>
        <w:rPr>
          <w:rFonts w:ascii="宋体"/>
        </w:rPr>
        <w:t>c. 高聚物改性沥青防水卷材和合成高分子防水卷材的搭接缝，宜用材性相容的密封材料封严。</w:t>
      </w:r>
    </w:p>
    <w:p>
      <w:pPr>
        <w:pStyle w:val="1280"/>
        <w:ind w:firstLine="440"/>
        <w:rPr>
          <w:rFonts w:ascii="宋体"/>
        </w:rPr>
      </w:pPr>
      <w:r>
        <w:rPr>
          <w:rFonts w:ascii="宋体"/>
        </w:rPr>
        <w:t>d. 叠层铺设的各层卷材，在天沟与屋面的连接处，应采用叉接法搭接，搭接缝应错开；接缝宜留在屋面或天沟侧面，不宜留在沟底。</w:t>
      </w:r>
    </w:p>
    <w:p>
      <w:pPr>
        <w:pStyle w:val="1280"/>
        <w:ind w:firstLine="440"/>
        <w:rPr>
          <w:rFonts w:ascii="宋体"/>
        </w:rPr>
      </w:pPr>
      <w:r>
        <w:rPr>
          <w:rFonts w:ascii="宋体"/>
        </w:rPr>
        <w:t>（8）在铺贴卷材时，不得污染檐口的外侧和墙面。</w:t>
      </w:r>
    </w:p>
    <w:p>
      <w:pPr>
        <w:pStyle w:val="1280"/>
        <w:ind w:firstLine="440"/>
        <w:rPr>
          <w:rFonts w:ascii="宋体"/>
        </w:rPr>
      </w:pPr>
      <w:r>
        <w:rPr>
          <w:rFonts w:ascii="宋体"/>
        </w:rPr>
        <w:t>（9）折痕、杂质、胶块、缺胶、孔洞、弯曲等应符合合成高分子防水卷材的外观质量要求。</w:t>
      </w:r>
    </w:p>
    <w:p>
      <w:pPr>
        <w:pStyle w:val="1288"/>
        <w:outlineLvl w:val="0"/>
        <w:rPr>
          <w:rFonts w:ascii="宋体" w:hAnsi="宋体"/>
          <w:color w:val="auto"/>
        </w:rPr>
      </w:pPr>
      <w:bookmarkStart w:id="3820" w:name="_Toc106049935"/>
      <w:bookmarkStart w:id="3821" w:name="_Toc106883198"/>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2.6  材料要求</w:t>
      </w:r>
      <w:bookmarkEnd w:id="3820"/>
      <w:bookmarkEnd w:id="3821"/>
    </w:p>
    <w:p>
      <w:pPr>
        <w:pStyle w:val="1280"/>
        <w:ind w:firstLine="440"/>
        <w:rPr>
          <w:rFonts w:ascii="宋体"/>
        </w:rPr>
      </w:pPr>
      <w:r>
        <w:rPr>
          <w:rFonts w:ascii="宋体"/>
        </w:rPr>
        <w:t>（1）高聚物改性沥青防水卷材的质量应符合下列要求：</w:t>
      </w:r>
    </w:p>
    <w:p>
      <w:pPr>
        <w:pStyle w:val="1280"/>
        <w:ind w:firstLine="440"/>
        <w:rPr>
          <w:rFonts w:ascii="宋体"/>
        </w:rPr>
      </w:pPr>
      <w:r>
        <w:rPr>
          <w:rFonts w:ascii="宋体"/>
        </w:rPr>
        <w:t>高聚物改性沥青防水卷材的外观质量和物理性能应符合GB50207-20</w:t>
      </w:r>
      <w:r>
        <w:rPr>
          <w:rFonts w:hint="eastAsia" w:ascii="宋体"/>
        </w:rPr>
        <w:t>1</w:t>
      </w:r>
      <w:r>
        <w:rPr>
          <w:rFonts w:ascii="宋体"/>
        </w:rPr>
        <w:t>2表A.0.1-1.1和表A.0.1-1.2的要求。</w:t>
      </w:r>
    </w:p>
    <w:p>
      <w:pPr>
        <w:pStyle w:val="1280"/>
        <w:ind w:firstLine="440"/>
        <w:rPr>
          <w:rFonts w:ascii="宋体"/>
        </w:rPr>
      </w:pPr>
      <w:r>
        <w:rPr>
          <w:rFonts w:ascii="宋体"/>
        </w:rPr>
        <w:t>（2）卷材的贮运、保管应符合下列规定：</w:t>
      </w:r>
    </w:p>
    <w:p>
      <w:pPr>
        <w:pStyle w:val="1280"/>
        <w:ind w:firstLine="440"/>
        <w:rPr>
          <w:rFonts w:ascii="宋体"/>
        </w:rPr>
      </w:pPr>
      <w:r>
        <w:rPr>
          <w:rFonts w:ascii="宋体"/>
        </w:rPr>
        <w:t>a. 不同品种、标号、规格和等级的产品应分别堆放。</w:t>
      </w:r>
    </w:p>
    <w:p>
      <w:pPr>
        <w:pStyle w:val="1280"/>
        <w:ind w:firstLine="440"/>
        <w:rPr>
          <w:rFonts w:ascii="宋体"/>
        </w:rPr>
      </w:pPr>
      <w:r>
        <w:rPr>
          <w:rFonts w:ascii="宋体"/>
        </w:rPr>
        <w:t>b. 应贮存在阴凉通风的室内，避免雨淋、日晒和受潮，严禁接近火源。沥青防水卷材贮存环境温度不得高于45℃。</w:t>
      </w:r>
    </w:p>
    <w:p>
      <w:pPr>
        <w:pStyle w:val="1280"/>
        <w:ind w:firstLine="440"/>
        <w:rPr>
          <w:rFonts w:ascii="宋体"/>
        </w:rPr>
      </w:pPr>
      <w:r>
        <w:rPr>
          <w:rFonts w:ascii="宋体"/>
        </w:rPr>
        <w:t>c. 卷材宜直立堆放，其高度不宜超过两层，并不得倾斜或横压，短途运输平放不宜超过四层。</w:t>
      </w:r>
    </w:p>
    <w:p>
      <w:pPr>
        <w:pStyle w:val="1280"/>
        <w:ind w:firstLine="440"/>
        <w:rPr>
          <w:rFonts w:ascii="宋体"/>
        </w:rPr>
      </w:pPr>
      <w:r>
        <w:rPr>
          <w:rFonts w:ascii="宋体"/>
        </w:rPr>
        <w:t>d. 应避免与化学介质及有机溶剂等有害物质接触。</w:t>
      </w:r>
    </w:p>
    <w:p>
      <w:pPr>
        <w:pStyle w:val="1280"/>
        <w:ind w:firstLine="440"/>
        <w:rPr>
          <w:rFonts w:ascii="宋体"/>
        </w:rPr>
      </w:pPr>
      <w:r>
        <w:rPr>
          <w:rFonts w:ascii="宋体"/>
        </w:rPr>
        <w:t>（3）卷材胶粘剂的直立应符合下列要求：</w:t>
      </w:r>
    </w:p>
    <w:p>
      <w:pPr>
        <w:pStyle w:val="1280"/>
        <w:ind w:firstLine="440"/>
        <w:rPr>
          <w:rFonts w:ascii="宋体"/>
        </w:rPr>
      </w:pPr>
      <w:r>
        <w:rPr>
          <w:rFonts w:ascii="宋体"/>
        </w:rPr>
        <w:t>a. 改性沥青胶粘剂的粘结剥离强度不应小于8N/10mm。</w:t>
      </w:r>
    </w:p>
    <w:p>
      <w:pPr>
        <w:pStyle w:val="1280"/>
        <w:ind w:firstLine="440"/>
        <w:rPr>
          <w:rFonts w:ascii="宋体"/>
        </w:rPr>
      </w:pPr>
      <w:r>
        <w:rPr>
          <w:rFonts w:ascii="宋体"/>
        </w:rPr>
        <w:t>b. 合成高分子胶粘剂的粘结剥离强度不应小于15N/10mm，浸水168h后粘结剥离强度保持率不应小于70％。</w:t>
      </w:r>
    </w:p>
    <w:p>
      <w:pPr>
        <w:pStyle w:val="1280"/>
        <w:ind w:firstLine="440"/>
        <w:rPr>
          <w:rFonts w:ascii="宋体"/>
        </w:rPr>
      </w:pPr>
      <w:r>
        <w:rPr>
          <w:rFonts w:ascii="宋体"/>
        </w:rPr>
        <w:t>（4）卷材胶粘剂的贮运、保管应符合下列规定：</w:t>
      </w:r>
    </w:p>
    <w:p>
      <w:pPr>
        <w:pStyle w:val="1280"/>
        <w:ind w:firstLine="440"/>
        <w:rPr>
          <w:rFonts w:ascii="宋体"/>
        </w:rPr>
      </w:pPr>
      <w:r>
        <w:rPr>
          <w:rFonts w:ascii="宋体"/>
        </w:rPr>
        <w:t>a. 不同品种、规格的胶粘剂应分别用密封桶包装。</w:t>
      </w:r>
    </w:p>
    <w:p>
      <w:pPr>
        <w:pStyle w:val="1280"/>
        <w:ind w:firstLine="440"/>
        <w:rPr>
          <w:rFonts w:ascii="宋体"/>
        </w:rPr>
      </w:pPr>
      <w:r>
        <w:rPr>
          <w:rFonts w:ascii="宋体"/>
        </w:rPr>
        <w:t>b. 胶粘剂应贮存在阴凉通风的室内，严禁接近火源和热源。</w:t>
      </w:r>
    </w:p>
    <w:p>
      <w:pPr>
        <w:pStyle w:val="1280"/>
        <w:ind w:firstLine="440"/>
        <w:rPr>
          <w:rFonts w:ascii="宋体"/>
        </w:rPr>
      </w:pPr>
      <w:r>
        <w:rPr>
          <w:rFonts w:ascii="宋体"/>
        </w:rPr>
        <w:t>（5）进场材料抽样复验应符合下列规定：</w:t>
      </w:r>
    </w:p>
    <w:p>
      <w:pPr>
        <w:pStyle w:val="1280"/>
        <w:ind w:firstLine="440"/>
        <w:rPr>
          <w:rFonts w:ascii="宋体"/>
        </w:rPr>
      </w:pPr>
      <w:r>
        <w:rPr>
          <w:rFonts w:ascii="宋体"/>
        </w:rPr>
        <w:t>a. 同一品种、牌号和规格的卷材，抽验数量为：大于1000卷抽取5卷；500～1000卷抽取4卷；100～499卷抽取3卷；小于100卷抽取2卷。</w:t>
      </w:r>
    </w:p>
    <w:p>
      <w:pPr>
        <w:pStyle w:val="1280"/>
        <w:ind w:firstLine="440"/>
        <w:rPr>
          <w:rFonts w:ascii="宋体"/>
        </w:rPr>
      </w:pPr>
      <w:r>
        <w:rPr>
          <w:rFonts w:ascii="宋体"/>
        </w:rPr>
        <w:t>b. 将抽验的卷材开卷进行规格和外观质量检验，全部指标达到标准规定时，即为合格。其中如有一项指标达不到要求，应在受检产品中加倍取样复检，全部达到标准规定为合格。复检时有一项指标不合格，则判定该产品外观质量为不合格。</w:t>
      </w:r>
    </w:p>
    <w:p>
      <w:pPr>
        <w:pStyle w:val="1280"/>
        <w:ind w:firstLine="440"/>
        <w:rPr>
          <w:rFonts w:ascii="宋体"/>
        </w:rPr>
      </w:pPr>
      <w:r>
        <w:rPr>
          <w:rFonts w:ascii="宋体"/>
        </w:rPr>
        <w:t>c. 卷材物理性能应检验。</w:t>
      </w:r>
    </w:p>
    <w:p>
      <w:pPr>
        <w:pStyle w:val="1280"/>
        <w:ind w:firstLine="440"/>
        <w:rPr>
          <w:rFonts w:ascii="宋体"/>
        </w:rPr>
      </w:pPr>
      <w:r>
        <w:rPr>
          <w:rFonts w:ascii="宋体"/>
        </w:rPr>
        <w:t>d. 胶粘剂物理性能应检验。</w:t>
      </w:r>
    </w:p>
    <w:p>
      <w:pPr>
        <w:pStyle w:val="1288"/>
        <w:outlineLvl w:val="0"/>
        <w:rPr>
          <w:rFonts w:ascii="宋体" w:hAnsi="宋体"/>
          <w:color w:val="auto"/>
        </w:rPr>
      </w:pPr>
      <w:bookmarkStart w:id="3822" w:name="_Toc106049936"/>
      <w:bookmarkStart w:id="3823" w:name="_Toc106883199"/>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2.7  高聚物改性沥青防水卷材施工</w:t>
      </w:r>
      <w:bookmarkEnd w:id="3822"/>
      <w:bookmarkEnd w:id="3823"/>
    </w:p>
    <w:p>
      <w:pPr>
        <w:pStyle w:val="1280"/>
        <w:ind w:firstLine="440"/>
        <w:rPr>
          <w:rFonts w:ascii="宋体"/>
        </w:rPr>
      </w:pPr>
      <w:r>
        <w:rPr>
          <w:rFonts w:ascii="宋体"/>
        </w:rPr>
        <w:t>（1）水落口、天沟、檐沟、檐口等施工应符合下列规定：</w:t>
      </w:r>
    </w:p>
    <w:p>
      <w:pPr>
        <w:pStyle w:val="1280"/>
        <w:ind w:firstLine="440"/>
        <w:rPr>
          <w:rFonts w:ascii="宋体"/>
        </w:rPr>
      </w:pPr>
      <w:r>
        <w:rPr>
          <w:rFonts w:ascii="宋体"/>
        </w:rPr>
        <w:t>a. 水落口杯应牢固地固定在承重结构上，当采用铸铁制品时，所有零件均应除锈，并涂刷防锈漆；</w:t>
      </w:r>
    </w:p>
    <w:p>
      <w:pPr>
        <w:pStyle w:val="1280"/>
        <w:ind w:firstLine="440"/>
        <w:rPr>
          <w:rFonts w:ascii="宋体"/>
        </w:rPr>
      </w:pPr>
      <w:r>
        <w:rPr>
          <w:rFonts w:ascii="宋体"/>
        </w:rPr>
        <w:t>b. 铺至混凝土檐口的卷材端头应裁齐后压入凹槽。当采用压条或带垫片钉子固定时，最大钉距不应大于900mm。凹槽内用密封材料嵌填封严；</w:t>
      </w:r>
    </w:p>
    <w:p>
      <w:pPr>
        <w:pStyle w:val="1280"/>
        <w:ind w:firstLine="440"/>
        <w:rPr>
          <w:rFonts w:ascii="宋体"/>
        </w:rPr>
      </w:pPr>
      <w:r>
        <w:rPr>
          <w:rFonts w:ascii="宋体"/>
        </w:rPr>
        <w:t>c. 天沟、檐沟铺贴卷材应从沟底开始。当沟底过宽，卷材需纵向搭接时，搭接缝应用密封材料封口。</w:t>
      </w:r>
    </w:p>
    <w:p>
      <w:pPr>
        <w:pStyle w:val="1280"/>
        <w:ind w:firstLine="440"/>
        <w:rPr>
          <w:rFonts w:ascii="宋体"/>
        </w:rPr>
      </w:pPr>
      <w:r>
        <w:rPr>
          <w:rFonts w:ascii="宋体"/>
        </w:rPr>
        <w:t>（2）立面或大坡面铺贴高聚物改性沥青防水卷材时，应采用满粘法，并宜减少短边搭接。</w:t>
      </w:r>
    </w:p>
    <w:p>
      <w:pPr>
        <w:pStyle w:val="1280"/>
        <w:ind w:firstLine="440"/>
        <w:rPr>
          <w:rFonts w:ascii="宋体"/>
        </w:rPr>
      </w:pPr>
      <w:r>
        <w:rPr>
          <w:rFonts w:ascii="宋体"/>
        </w:rPr>
        <w:t>（3）立面卷材收头的端部应裁齐，压入预留凹槽内，用压条或垫片钉压固定，最大钉距不应大于900mm，然后用密封材料将凹槽嵌填封严。</w:t>
      </w:r>
    </w:p>
    <w:p>
      <w:pPr>
        <w:pStyle w:val="1280"/>
        <w:ind w:firstLine="440"/>
        <w:rPr>
          <w:rFonts w:ascii="宋体"/>
        </w:rPr>
      </w:pPr>
      <w:r>
        <w:rPr>
          <w:rFonts w:ascii="宋体"/>
        </w:rPr>
        <w:t>（4）排汽屋面施工应符合下列规定：</w:t>
      </w:r>
    </w:p>
    <w:p>
      <w:pPr>
        <w:pStyle w:val="1280"/>
        <w:ind w:firstLine="440"/>
        <w:rPr>
          <w:rFonts w:ascii="宋体"/>
        </w:rPr>
      </w:pPr>
      <w:r>
        <w:rPr>
          <w:rFonts w:ascii="宋体"/>
        </w:rPr>
        <w:t>a. 排汽道应纵横贯通，不得堵塞。铺贴卷材时，应避免玛蹄脂流入排汽道；</w:t>
      </w:r>
    </w:p>
    <w:p>
      <w:pPr>
        <w:pStyle w:val="1280"/>
        <w:ind w:firstLine="440"/>
        <w:rPr>
          <w:rFonts w:ascii="宋体"/>
        </w:rPr>
      </w:pPr>
      <w:r>
        <w:rPr>
          <w:rFonts w:ascii="宋体"/>
        </w:rPr>
        <w:t>b. 采用条粘、点粘、空铺第一层卷材或第一层为打孔卷材时，在檐口、屋脊和屋面的转角处及突出屋面的连接处，卷材应满涂玛碲脂，其宽度不得小于800mm。当采用热玛碲脂时，应涂刷冷底子油。</w:t>
      </w:r>
    </w:p>
    <w:p>
      <w:pPr>
        <w:pStyle w:val="1280"/>
        <w:ind w:firstLine="440"/>
        <w:rPr>
          <w:rFonts w:ascii="宋体"/>
        </w:rPr>
      </w:pPr>
      <w:r>
        <w:rPr>
          <w:rFonts w:ascii="宋体"/>
        </w:rPr>
        <w:t>（5）冷粘法铺贴卷材应符合下列规定：</w:t>
      </w:r>
    </w:p>
    <w:p>
      <w:pPr>
        <w:pStyle w:val="1280"/>
        <w:ind w:firstLine="440"/>
        <w:rPr>
          <w:rFonts w:ascii="宋体"/>
        </w:rPr>
      </w:pPr>
      <w:r>
        <w:rPr>
          <w:rFonts w:ascii="宋体"/>
        </w:rPr>
        <w:t>a. 胶粘剂涂刷应均匀、不漏底、不堆积。空铺法、条粘法、点粘法应按规定的位置与面积涂刷胶粘剂。</w:t>
      </w:r>
    </w:p>
    <w:p>
      <w:pPr>
        <w:pStyle w:val="1280"/>
        <w:ind w:firstLine="440"/>
        <w:rPr>
          <w:rFonts w:ascii="宋体"/>
        </w:rPr>
      </w:pPr>
      <w:r>
        <w:rPr>
          <w:rFonts w:ascii="宋体"/>
        </w:rPr>
        <w:t>b. 根据胶粘剂的性能，应控制胶粘剂涂刷与卷材铺贴的间隔时间。</w:t>
      </w:r>
    </w:p>
    <w:p>
      <w:pPr>
        <w:pStyle w:val="1280"/>
        <w:ind w:firstLine="440"/>
        <w:rPr>
          <w:rFonts w:ascii="宋体"/>
        </w:rPr>
      </w:pPr>
      <w:r>
        <w:rPr>
          <w:rFonts w:ascii="宋体"/>
        </w:rPr>
        <w:t>c. 铺贴卷材时，应排除卷材下面的空气，并辊压粘贴牢固。</w:t>
      </w:r>
    </w:p>
    <w:p>
      <w:pPr>
        <w:pStyle w:val="1280"/>
        <w:ind w:firstLine="440"/>
        <w:rPr>
          <w:rFonts w:ascii="宋体"/>
        </w:rPr>
      </w:pPr>
      <w:r>
        <w:rPr>
          <w:rFonts w:ascii="宋体"/>
        </w:rPr>
        <w:t>d. 铺贴卷材时应平整顺直，搭接尺寸准确，不得扭曲、皱折。搭接部位的接缝应满涂胶粘剂，辊压粘结牢固，溢出的胶粘剂随即刮平封口；也可采用热熔法接缝。</w:t>
      </w:r>
    </w:p>
    <w:p>
      <w:pPr>
        <w:pStyle w:val="1280"/>
        <w:ind w:firstLine="440"/>
        <w:rPr>
          <w:rFonts w:ascii="宋体"/>
        </w:rPr>
      </w:pPr>
      <w:r>
        <w:rPr>
          <w:rFonts w:ascii="宋体"/>
        </w:rPr>
        <w:t>e. 接缝口应用密封材料封严，宽度不应小于10mm。</w:t>
      </w:r>
    </w:p>
    <w:p>
      <w:pPr>
        <w:pStyle w:val="1280"/>
        <w:ind w:firstLine="440"/>
        <w:rPr>
          <w:rFonts w:ascii="宋体"/>
        </w:rPr>
      </w:pPr>
      <w:r>
        <w:rPr>
          <w:rFonts w:ascii="宋体"/>
        </w:rPr>
        <w:t>（6）热熔法铺贴卷材应符合下列规定：</w:t>
      </w:r>
    </w:p>
    <w:p>
      <w:pPr>
        <w:pStyle w:val="1280"/>
        <w:ind w:firstLine="440"/>
        <w:rPr>
          <w:rFonts w:ascii="宋体"/>
        </w:rPr>
      </w:pPr>
      <w:r>
        <w:rPr>
          <w:rFonts w:ascii="宋体"/>
        </w:rPr>
        <w:t>a. 火焰加热器的喷嘴距卷材面的距离应适中；幅宽内加热应均匀，以卷材表面熔融至光亮黑色为度，不得过份加热或烧穿卷材。</w:t>
      </w:r>
    </w:p>
    <w:p>
      <w:pPr>
        <w:pStyle w:val="1280"/>
        <w:ind w:firstLine="440"/>
        <w:rPr>
          <w:rFonts w:ascii="宋体"/>
        </w:rPr>
      </w:pPr>
      <w:r>
        <w:rPr>
          <w:rFonts w:ascii="宋体"/>
        </w:rPr>
        <w:t>b. 卷材表面热熔后应立即滚铺卷材，滚铺时应排除卷材下面的空气，使之平展，不得皱折，并应辊压粘结牢固。</w:t>
      </w:r>
    </w:p>
    <w:p>
      <w:pPr>
        <w:pStyle w:val="1280"/>
        <w:ind w:firstLine="440"/>
        <w:rPr>
          <w:rFonts w:ascii="宋体"/>
        </w:rPr>
      </w:pPr>
      <w:r>
        <w:rPr>
          <w:rFonts w:ascii="宋体"/>
        </w:rPr>
        <w:t>c. 搭接缝部位宜为溢出热熔的改性沥青为度，并应随即刮封接口。</w:t>
      </w:r>
    </w:p>
    <w:p>
      <w:pPr>
        <w:pStyle w:val="1280"/>
        <w:ind w:firstLine="440"/>
        <w:rPr>
          <w:rFonts w:ascii="宋体"/>
        </w:rPr>
      </w:pPr>
      <w:r>
        <w:rPr>
          <w:rFonts w:ascii="宋体"/>
        </w:rPr>
        <w:t>d. 铺贴卷材时应平整顺直，搭接尺寸准确，不得扭曲。</w:t>
      </w:r>
    </w:p>
    <w:p>
      <w:pPr>
        <w:pStyle w:val="1280"/>
        <w:ind w:firstLine="440"/>
        <w:rPr>
          <w:rFonts w:ascii="宋体"/>
        </w:rPr>
      </w:pPr>
      <w:r>
        <w:rPr>
          <w:rFonts w:ascii="宋体"/>
        </w:rPr>
        <w:t>e. 采用条粘法时，每幅卷材的每边粘贴宽度不应小于150mm。</w:t>
      </w:r>
    </w:p>
    <w:p>
      <w:pPr>
        <w:pStyle w:val="1280"/>
        <w:ind w:firstLine="440"/>
        <w:rPr>
          <w:rFonts w:ascii="宋体"/>
        </w:rPr>
      </w:pPr>
      <w:r>
        <w:rPr>
          <w:rFonts w:ascii="宋体"/>
        </w:rPr>
        <w:t>（7）铺贴自粘高聚物改性沥青防水卷材应符合下列规定：</w:t>
      </w:r>
    </w:p>
    <w:p>
      <w:pPr>
        <w:pStyle w:val="1280"/>
        <w:ind w:firstLine="440"/>
        <w:rPr>
          <w:rFonts w:ascii="宋体"/>
        </w:rPr>
      </w:pPr>
      <w:r>
        <w:rPr>
          <w:rFonts w:ascii="宋体"/>
        </w:rPr>
        <w:t>a. 铺贴卷材前，基层表面应均匀涂刷基层处理剂，干燥后应及时铺贴卷材。</w:t>
      </w:r>
    </w:p>
    <w:p>
      <w:pPr>
        <w:pStyle w:val="1280"/>
        <w:ind w:firstLine="440"/>
        <w:rPr>
          <w:rFonts w:ascii="宋体"/>
        </w:rPr>
      </w:pPr>
      <w:r>
        <w:rPr>
          <w:rFonts w:ascii="宋体"/>
        </w:rPr>
        <w:t>b. 铺贴卷材时，应将自粘胶底面隔离纸完全撕净。</w:t>
      </w:r>
    </w:p>
    <w:p>
      <w:pPr>
        <w:pStyle w:val="1280"/>
        <w:ind w:firstLine="440"/>
        <w:rPr>
          <w:rFonts w:ascii="宋体"/>
        </w:rPr>
      </w:pPr>
      <w:r>
        <w:rPr>
          <w:rFonts w:ascii="宋体"/>
        </w:rPr>
        <w:t>c. 铺贴卷材时，应排除卷材下面的空气，并辊压粘结牢固。</w:t>
      </w:r>
    </w:p>
    <w:p>
      <w:pPr>
        <w:pStyle w:val="1280"/>
        <w:ind w:firstLine="440"/>
        <w:rPr>
          <w:rFonts w:ascii="宋体"/>
        </w:rPr>
      </w:pPr>
      <w:r>
        <w:rPr>
          <w:rFonts w:ascii="宋体"/>
        </w:rPr>
        <w:t>d. 铺贴的卷材应平整顺直；搭接尺寸应准确，不得扭曲、皱折。搭接部位宜采用热风焊枪加热，加热后随即粘贴牢固，溢出的自粘胶随即刮平封口。</w:t>
      </w:r>
    </w:p>
    <w:p>
      <w:pPr>
        <w:pStyle w:val="1280"/>
        <w:ind w:firstLine="440"/>
        <w:rPr>
          <w:rFonts w:ascii="宋体"/>
        </w:rPr>
      </w:pPr>
      <w:r>
        <w:rPr>
          <w:rFonts w:ascii="宋体"/>
        </w:rPr>
        <w:t>e. 接缝口应用密封材料封严，宽度不应小于10mm。</w:t>
      </w:r>
    </w:p>
    <w:p>
      <w:pPr>
        <w:pStyle w:val="1280"/>
        <w:ind w:firstLine="440"/>
        <w:rPr>
          <w:rFonts w:ascii="宋体"/>
        </w:rPr>
      </w:pPr>
      <w:r>
        <w:rPr>
          <w:rFonts w:ascii="宋体"/>
        </w:rPr>
        <w:t>f. 铺贴立面、大坡面卷材时，应加热后粘贴牢固。</w:t>
      </w:r>
    </w:p>
    <w:p>
      <w:pPr>
        <w:pStyle w:val="1280"/>
        <w:ind w:firstLine="440"/>
        <w:rPr>
          <w:rFonts w:ascii="宋体"/>
        </w:rPr>
      </w:pPr>
      <w:r>
        <w:rPr>
          <w:rFonts w:ascii="宋体"/>
        </w:rPr>
        <w:t>（8）高聚物改性沥青防水卷材保护层施工应符合下列规定：</w:t>
      </w:r>
    </w:p>
    <w:p>
      <w:pPr>
        <w:pStyle w:val="1280"/>
        <w:ind w:firstLine="440"/>
        <w:rPr>
          <w:rFonts w:ascii="宋体"/>
        </w:rPr>
      </w:pPr>
      <w:r>
        <w:rPr>
          <w:rFonts w:ascii="宋体"/>
        </w:rPr>
        <w:t>a. 采用浅色涂料作保护层时，应待卷材铺贴完成，并经检验合格，清扫干净后涂刷。涂层应与卷材粘结牢固、厚薄均匀，不得漏涂。</w:t>
      </w:r>
    </w:p>
    <w:p>
      <w:pPr>
        <w:pStyle w:val="1280"/>
        <w:ind w:firstLine="440"/>
        <w:rPr>
          <w:rFonts w:ascii="宋体"/>
        </w:rPr>
      </w:pPr>
      <w:r>
        <w:rPr>
          <w:rFonts w:ascii="宋体"/>
        </w:rPr>
        <w:t>b. 用水泥砂浆作保护层时，表面应抹平压光，并应设表面分格缝，分格面积宜为1m</w:t>
      </w:r>
      <w:r>
        <w:rPr>
          <w:rFonts w:ascii="宋体"/>
          <w:vertAlign w:val="superscript"/>
        </w:rPr>
        <w:t>2</w:t>
      </w:r>
      <w:r>
        <w:rPr>
          <w:rFonts w:ascii="宋体"/>
        </w:rPr>
        <w:t>。</w:t>
      </w:r>
    </w:p>
    <w:p>
      <w:pPr>
        <w:pStyle w:val="1280"/>
        <w:ind w:firstLine="440"/>
        <w:rPr>
          <w:rFonts w:ascii="宋体"/>
        </w:rPr>
      </w:pPr>
      <w:r>
        <w:rPr>
          <w:rFonts w:ascii="宋体"/>
        </w:rPr>
        <w:t>c. 用块体材料作保护层时，宜留设分格缝。分格面积不宜大于100m</w:t>
      </w:r>
      <w:r>
        <w:rPr>
          <w:rFonts w:ascii="宋体"/>
          <w:vertAlign w:val="superscript"/>
        </w:rPr>
        <w:t>2</w:t>
      </w:r>
      <w:r>
        <w:rPr>
          <w:rFonts w:ascii="宋体"/>
        </w:rPr>
        <w:t>；分格缝宽度不宜小于20min。</w:t>
      </w:r>
    </w:p>
    <w:p>
      <w:pPr>
        <w:pStyle w:val="1280"/>
        <w:ind w:firstLine="440"/>
        <w:rPr>
          <w:rFonts w:ascii="宋体"/>
        </w:rPr>
      </w:pPr>
      <w:r>
        <w:rPr>
          <w:rFonts w:ascii="宋体"/>
        </w:rPr>
        <w:t>d. 用细石混凝土作保护层时，混凝土应振捣密实，表面抹平压光，并留设分格缝。分格面积不宜大于36m</w:t>
      </w:r>
      <w:r>
        <w:rPr>
          <w:rFonts w:ascii="宋体"/>
          <w:vertAlign w:val="superscript"/>
        </w:rPr>
        <w:t>2</w:t>
      </w:r>
      <w:r>
        <w:rPr>
          <w:rFonts w:ascii="宋体"/>
        </w:rPr>
        <w:t>。</w:t>
      </w:r>
    </w:p>
    <w:p>
      <w:pPr>
        <w:pStyle w:val="1280"/>
        <w:ind w:firstLine="440"/>
        <w:rPr>
          <w:rFonts w:ascii="宋体"/>
        </w:rPr>
      </w:pPr>
      <w:r>
        <w:rPr>
          <w:rFonts w:ascii="宋体"/>
        </w:rPr>
        <w:t>e. 刚性保护层与女儿墙之间应预留宽度为30mm的空隙并嵌填密封材料。</w:t>
      </w:r>
    </w:p>
    <w:p>
      <w:pPr>
        <w:pStyle w:val="1280"/>
        <w:ind w:firstLine="440"/>
        <w:rPr>
          <w:rFonts w:ascii="宋体"/>
        </w:rPr>
      </w:pPr>
      <w:r>
        <w:rPr>
          <w:rFonts w:ascii="宋体"/>
        </w:rPr>
        <w:t>f. 水泥砂浆、块材或细石混凝土保护层与防水层之间设置的隔离层应平整，起到完全隔离的作用。</w:t>
      </w:r>
    </w:p>
    <w:p>
      <w:pPr>
        <w:pStyle w:val="1280"/>
        <w:ind w:firstLine="440"/>
        <w:rPr>
          <w:rFonts w:ascii="宋体"/>
        </w:rPr>
      </w:pPr>
      <w:r>
        <w:rPr>
          <w:rFonts w:ascii="宋体"/>
        </w:rPr>
        <w:t>（9）高聚物改性沥青防水卷材严禁在雨天、雪天施工；五级风及其以上时不得施工；气温低于0℃时不宜施工。</w:t>
      </w:r>
    </w:p>
    <w:p>
      <w:pPr>
        <w:pStyle w:val="1280"/>
        <w:ind w:firstLine="440"/>
        <w:rPr>
          <w:rFonts w:ascii="宋体"/>
        </w:rPr>
      </w:pPr>
      <w:r>
        <w:rPr>
          <w:rFonts w:ascii="宋体"/>
        </w:rPr>
        <w:t>施工中途下雨、下雪，应做好已铺卷材周边的防护工作。</w:t>
      </w:r>
    </w:p>
    <w:p>
      <w:pPr>
        <w:pStyle w:val="1280"/>
        <w:ind w:firstLine="440"/>
        <w:rPr>
          <w:rFonts w:ascii="宋体"/>
        </w:rPr>
      </w:pPr>
      <w:r>
        <w:rPr>
          <w:rFonts w:ascii="宋体"/>
        </w:rPr>
        <w:t>注：热熔法施工气温不宜低于-10℃。</w:t>
      </w:r>
    </w:p>
    <w:p>
      <w:pPr>
        <w:pStyle w:val="1280"/>
        <w:ind w:firstLine="440"/>
        <w:rPr>
          <w:rFonts w:ascii="宋体"/>
        </w:rPr>
      </w:pPr>
      <w:r>
        <w:rPr>
          <w:rFonts w:ascii="宋体"/>
        </w:rPr>
        <w:t>（10）屋面透气孔的设置应符合</w:t>
      </w:r>
      <w:r>
        <w:rPr>
          <w:rFonts w:hint="eastAsia" w:ascii="宋体"/>
        </w:rPr>
        <w:t>雅安市</w:t>
      </w:r>
      <w:r>
        <w:rPr>
          <w:rFonts w:ascii="宋体"/>
        </w:rPr>
        <w:t>有关规定。</w:t>
      </w:r>
    </w:p>
    <w:p>
      <w:pPr>
        <w:pStyle w:val="1288"/>
        <w:outlineLvl w:val="0"/>
        <w:rPr>
          <w:rFonts w:ascii="宋体" w:hAnsi="宋体"/>
          <w:color w:val="auto"/>
        </w:rPr>
      </w:pPr>
      <w:bookmarkStart w:id="3824" w:name="_Toc106049937"/>
      <w:bookmarkStart w:id="3825" w:name="_Toc106883200"/>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2.8  保温隔热材料</w:t>
      </w:r>
      <w:bookmarkEnd w:id="3824"/>
      <w:bookmarkEnd w:id="3825"/>
    </w:p>
    <w:p>
      <w:pPr>
        <w:pStyle w:val="1280"/>
        <w:ind w:firstLine="440"/>
        <w:rPr>
          <w:rFonts w:ascii="宋体"/>
        </w:rPr>
      </w:pPr>
      <w:r>
        <w:rPr>
          <w:rFonts w:ascii="宋体"/>
        </w:rPr>
        <w:t>（1）保温层应干燥，封闭式保温层的含水率应相当于该材料在当地自然风干状态下的平衡含水率。</w:t>
      </w:r>
    </w:p>
    <w:p>
      <w:pPr>
        <w:pStyle w:val="1280"/>
        <w:ind w:firstLine="440"/>
        <w:rPr>
          <w:rFonts w:ascii="宋体"/>
        </w:rPr>
      </w:pPr>
      <w:r>
        <w:rPr>
          <w:rFonts w:ascii="宋体"/>
        </w:rPr>
        <w:t>（2）保温层施工应符合下列规定：</w:t>
      </w:r>
    </w:p>
    <w:p>
      <w:pPr>
        <w:pStyle w:val="1280"/>
        <w:ind w:firstLine="440"/>
        <w:rPr>
          <w:rFonts w:ascii="宋体"/>
        </w:rPr>
      </w:pPr>
      <w:r>
        <w:rPr>
          <w:rFonts w:ascii="宋体"/>
        </w:rPr>
        <w:t>a.保温层的基层应平整、干燥和干净。</w:t>
      </w:r>
    </w:p>
    <w:p>
      <w:pPr>
        <w:pStyle w:val="1280"/>
        <w:ind w:firstLine="440"/>
        <w:rPr>
          <w:rFonts w:ascii="宋体"/>
        </w:rPr>
      </w:pPr>
      <w:r>
        <w:rPr>
          <w:rFonts w:ascii="宋体"/>
        </w:rPr>
        <w:t>b. 保温砂浆施工期间，环境空气温度不得低于5℃，在5级以上大风天气及雨天不得施工。</w:t>
      </w:r>
    </w:p>
    <w:p>
      <w:pPr>
        <w:pStyle w:val="1280"/>
        <w:ind w:firstLine="440"/>
        <w:rPr>
          <w:rFonts w:ascii="宋体"/>
        </w:rPr>
      </w:pPr>
      <w:r>
        <w:rPr>
          <w:rFonts w:ascii="宋体"/>
        </w:rPr>
        <w:t>c. 保温砂浆施工时要分层施工，保温层及基层之间及各层之间的粘结必须牢固、不得脱层，空鼓开裂。</w:t>
      </w:r>
    </w:p>
    <w:p>
      <w:pPr>
        <w:pStyle w:val="1280"/>
        <w:ind w:firstLine="440"/>
        <w:rPr>
          <w:rFonts w:ascii="宋体"/>
        </w:rPr>
      </w:pPr>
      <w:r>
        <w:rPr>
          <w:rFonts w:ascii="宋体"/>
        </w:rPr>
        <w:t>（3）保温砂浆的导热系数、干表观密度、抗压强度等必须符合相关规范的要求。</w:t>
      </w:r>
    </w:p>
    <w:p>
      <w:pPr>
        <w:pStyle w:val="1280"/>
        <w:ind w:firstLine="440"/>
        <w:rPr>
          <w:rFonts w:ascii="宋体"/>
        </w:rPr>
      </w:pPr>
      <w:r>
        <w:rPr>
          <w:rFonts w:ascii="宋体"/>
        </w:rPr>
        <w:t>检验方法：检查出厂合格证、质量检验报告和现场抽样复验报告。</w:t>
      </w:r>
    </w:p>
    <w:p>
      <w:pPr>
        <w:pStyle w:val="1288"/>
        <w:outlineLvl w:val="0"/>
        <w:rPr>
          <w:rFonts w:ascii="宋体" w:hAnsi="宋体"/>
          <w:color w:val="auto"/>
        </w:rPr>
      </w:pPr>
      <w:bookmarkStart w:id="3826" w:name="_Toc106049938"/>
      <w:bookmarkStart w:id="3827" w:name="_Toc106883201"/>
      <w:r>
        <w:rPr>
          <w:rFonts w:hint="eastAsia" w:ascii="宋体" w:hAnsi="宋体"/>
          <w:color w:val="auto"/>
        </w:rPr>
        <w:t>4</w:t>
      </w:r>
      <w:r>
        <w:rPr>
          <w:rFonts w:ascii="宋体" w:hAnsi="宋体"/>
          <w:color w:val="auto"/>
        </w:rPr>
        <w:t>.1.2.9  雨水管</w:t>
      </w:r>
      <w:bookmarkEnd w:id="3826"/>
      <w:bookmarkEnd w:id="3827"/>
    </w:p>
    <w:p>
      <w:pPr>
        <w:pStyle w:val="1280"/>
        <w:ind w:firstLine="440"/>
        <w:rPr>
          <w:rFonts w:ascii="宋体"/>
        </w:rPr>
      </w:pPr>
      <w:r>
        <w:rPr>
          <w:rFonts w:ascii="宋体"/>
        </w:rPr>
        <w:t>雨水管采用UPVC管，应用管夹固定，间距不大于2m。</w:t>
      </w:r>
    </w:p>
    <w:p>
      <w:pPr>
        <w:pStyle w:val="1284"/>
        <w:outlineLvl w:val="0"/>
        <w:rPr>
          <w:rFonts w:ascii="宋体" w:hAnsi="宋体"/>
        </w:rPr>
      </w:pPr>
      <w:bookmarkStart w:id="3828" w:name="_Toc521492264"/>
      <w:bookmarkStart w:id="3829" w:name="_Toc521493121"/>
      <w:bookmarkStart w:id="3830" w:name="_Toc521493795"/>
      <w:bookmarkStart w:id="3831" w:name="_Toc106883202"/>
      <w:r>
        <w:rPr>
          <w:rFonts w:hint="eastAsia" w:ascii="宋体" w:hAnsi="宋体"/>
        </w:rPr>
        <w:t>4.1</w:t>
      </w:r>
      <w:r>
        <w:rPr>
          <w:rFonts w:ascii="宋体" w:hAnsi="宋体"/>
        </w:rPr>
        <w:t>.3  砌体结构</w:t>
      </w:r>
      <w:bookmarkEnd w:id="3828"/>
      <w:bookmarkEnd w:id="3829"/>
      <w:bookmarkEnd w:id="3830"/>
      <w:bookmarkEnd w:id="3831"/>
    </w:p>
    <w:p>
      <w:pPr>
        <w:pStyle w:val="1288"/>
        <w:outlineLvl w:val="0"/>
        <w:rPr>
          <w:rFonts w:ascii="宋体" w:hAnsi="宋体"/>
          <w:color w:val="auto"/>
        </w:rPr>
      </w:pPr>
      <w:bookmarkStart w:id="3832" w:name="_Toc106049940"/>
      <w:bookmarkStart w:id="3833" w:name="_Toc106883203"/>
      <w:r>
        <w:rPr>
          <w:rFonts w:hint="eastAsia" w:ascii="宋体" w:hAnsi="宋体"/>
          <w:color w:val="auto"/>
        </w:rPr>
        <w:t>4.1</w:t>
      </w:r>
      <w:r>
        <w:rPr>
          <w:rFonts w:ascii="宋体" w:hAnsi="宋体"/>
          <w:color w:val="auto"/>
        </w:rPr>
        <w:t>.3.1  范围</w:t>
      </w:r>
      <w:bookmarkEnd w:id="3832"/>
      <w:bookmarkEnd w:id="3833"/>
    </w:p>
    <w:p>
      <w:pPr>
        <w:pStyle w:val="1280"/>
        <w:ind w:firstLine="440"/>
        <w:rPr>
          <w:rFonts w:ascii="宋体"/>
        </w:rPr>
      </w:pPr>
      <w:r>
        <w:rPr>
          <w:rFonts w:ascii="宋体"/>
        </w:rPr>
        <w:t>砌体工程包括建筑房屋、地下排水井、</w:t>
      </w:r>
      <w:r>
        <w:rPr>
          <w:rFonts w:hint="eastAsia" w:ascii="宋体"/>
        </w:rPr>
        <w:t>阀门井、</w:t>
      </w:r>
      <w:r>
        <w:rPr>
          <w:rFonts w:ascii="宋体"/>
        </w:rPr>
        <w:t>围墙的砖或混凝土砌块砌体。</w:t>
      </w:r>
    </w:p>
    <w:p>
      <w:pPr>
        <w:pStyle w:val="1288"/>
        <w:outlineLvl w:val="0"/>
        <w:rPr>
          <w:rFonts w:ascii="宋体" w:hAnsi="宋体"/>
          <w:color w:val="auto"/>
        </w:rPr>
      </w:pPr>
      <w:bookmarkStart w:id="3834" w:name="_Toc106049941"/>
      <w:bookmarkStart w:id="3835" w:name="_Toc106883204"/>
      <w:r>
        <w:rPr>
          <w:rFonts w:hint="eastAsia" w:ascii="宋体" w:hAnsi="宋体"/>
          <w:color w:val="auto"/>
        </w:rPr>
        <w:t>4.1</w:t>
      </w:r>
      <w:r>
        <w:rPr>
          <w:rFonts w:ascii="宋体" w:hAnsi="宋体"/>
          <w:color w:val="auto"/>
        </w:rPr>
        <w:t>.3.2  参照标准</w:t>
      </w:r>
      <w:bookmarkEnd w:id="3834"/>
      <w:bookmarkEnd w:id="3835"/>
    </w:p>
    <w:p>
      <w:pPr>
        <w:pStyle w:val="1280"/>
        <w:ind w:firstLine="440"/>
        <w:rPr>
          <w:rFonts w:ascii="宋体"/>
        </w:rPr>
      </w:pPr>
      <w:r>
        <w:rPr>
          <w:rFonts w:hint="eastAsia" w:ascii="宋体"/>
        </w:rPr>
        <w:t>GB 50003-2011</w:t>
      </w:r>
      <w:r>
        <w:rPr>
          <w:rFonts w:ascii="宋体"/>
        </w:rPr>
        <w:t xml:space="preserve">  砌体结构设计规范</w:t>
      </w:r>
    </w:p>
    <w:p>
      <w:pPr>
        <w:pStyle w:val="1280"/>
        <w:ind w:firstLine="440"/>
        <w:rPr>
          <w:rFonts w:ascii="宋体"/>
        </w:rPr>
      </w:pPr>
      <w:r>
        <w:rPr>
          <w:rFonts w:ascii="宋体"/>
        </w:rPr>
        <w:t>GB 50203-2011  砌体工程施工质量验收规范</w:t>
      </w:r>
    </w:p>
    <w:p>
      <w:pPr>
        <w:pStyle w:val="1280"/>
        <w:ind w:firstLine="440"/>
        <w:rPr>
          <w:rFonts w:ascii="宋体"/>
        </w:rPr>
      </w:pPr>
      <w:r>
        <w:rPr>
          <w:rFonts w:ascii="宋体"/>
        </w:rPr>
        <w:t>JGJ 98-2010   砌筑砂浆配合比设计规程</w:t>
      </w:r>
    </w:p>
    <w:p>
      <w:pPr>
        <w:pStyle w:val="1280"/>
        <w:ind w:firstLine="440"/>
        <w:rPr>
          <w:rFonts w:ascii="宋体"/>
        </w:rPr>
      </w:pPr>
      <w:r>
        <w:rPr>
          <w:rFonts w:ascii="宋体"/>
        </w:rPr>
        <w:t>所应用的</w:t>
      </w:r>
      <w:r>
        <w:rPr>
          <w:rFonts w:hint="eastAsia" w:ascii="宋体"/>
        </w:rPr>
        <w:t>规范</w:t>
      </w:r>
      <w:r>
        <w:rPr>
          <w:rFonts w:ascii="宋体"/>
        </w:rPr>
        <w:t>应是最新的且已实施的版本，必须在本招标截止日期之前28天尚在通用的版本。</w:t>
      </w:r>
    </w:p>
    <w:p>
      <w:pPr>
        <w:pStyle w:val="1288"/>
        <w:outlineLvl w:val="0"/>
        <w:rPr>
          <w:rFonts w:ascii="宋体" w:hAnsi="宋体"/>
          <w:color w:val="auto"/>
        </w:rPr>
      </w:pPr>
      <w:bookmarkStart w:id="3836" w:name="_Toc106049942"/>
      <w:bookmarkStart w:id="3837" w:name="_Toc106883205"/>
      <w:r>
        <w:rPr>
          <w:rFonts w:hint="eastAsia" w:ascii="宋体" w:hAnsi="宋体"/>
          <w:color w:val="auto"/>
        </w:rPr>
        <w:t>4.1</w:t>
      </w:r>
      <w:r>
        <w:rPr>
          <w:rFonts w:ascii="宋体" w:hAnsi="宋体"/>
          <w:color w:val="auto"/>
        </w:rPr>
        <w:t>.3.3  提交的文件</w:t>
      </w:r>
      <w:bookmarkEnd w:id="3836"/>
      <w:bookmarkEnd w:id="3837"/>
    </w:p>
    <w:p>
      <w:pPr>
        <w:pStyle w:val="1280"/>
        <w:ind w:firstLine="440"/>
        <w:rPr>
          <w:rFonts w:ascii="宋体"/>
        </w:rPr>
      </w:pPr>
      <w:r>
        <w:rPr>
          <w:rFonts w:ascii="宋体"/>
        </w:rPr>
        <w:t>承包人应在砌体结构施工前7天，提交施工作业计划文件，以征得项目监理同意，文件需包括以下内容：</w:t>
      </w:r>
    </w:p>
    <w:p>
      <w:pPr>
        <w:pStyle w:val="1280"/>
        <w:ind w:firstLine="440"/>
        <w:rPr>
          <w:rFonts w:ascii="宋体"/>
        </w:rPr>
      </w:pPr>
      <w:r>
        <w:rPr>
          <w:rFonts w:ascii="宋体"/>
        </w:rPr>
        <w:t>（1）现场资料，结构形式等。</w:t>
      </w:r>
    </w:p>
    <w:p>
      <w:pPr>
        <w:pStyle w:val="1280"/>
        <w:ind w:firstLine="440"/>
        <w:rPr>
          <w:rFonts w:ascii="宋体"/>
        </w:rPr>
      </w:pPr>
      <w:r>
        <w:rPr>
          <w:rFonts w:ascii="宋体"/>
        </w:rPr>
        <w:t>（2）砌体出厂证明和砂浆试块强度报告。</w:t>
      </w:r>
    </w:p>
    <w:p>
      <w:pPr>
        <w:pStyle w:val="1280"/>
        <w:ind w:firstLine="440"/>
        <w:rPr>
          <w:rFonts w:ascii="宋体"/>
        </w:rPr>
      </w:pPr>
      <w:r>
        <w:rPr>
          <w:rFonts w:ascii="宋体"/>
        </w:rPr>
        <w:t>（3）施工进度计划与质量控制措施。</w:t>
      </w:r>
    </w:p>
    <w:p>
      <w:pPr>
        <w:pStyle w:val="1280"/>
        <w:ind w:firstLine="440"/>
        <w:rPr>
          <w:rFonts w:ascii="宋体"/>
        </w:rPr>
      </w:pPr>
      <w:r>
        <w:rPr>
          <w:rFonts w:ascii="宋体"/>
        </w:rPr>
        <w:t>（4）施工验收所需的各种表格资料的准备。</w:t>
      </w:r>
    </w:p>
    <w:p>
      <w:pPr>
        <w:pStyle w:val="1288"/>
        <w:outlineLvl w:val="0"/>
        <w:rPr>
          <w:rFonts w:ascii="宋体" w:hAnsi="宋体"/>
          <w:color w:val="auto"/>
        </w:rPr>
      </w:pPr>
      <w:bookmarkStart w:id="3838" w:name="_Toc106049943"/>
      <w:bookmarkStart w:id="3839" w:name="_Toc106883206"/>
      <w:r>
        <w:rPr>
          <w:rFonts w:hint="eastAsia" w:ascii="宋体" w:hAnsi="宋体"/>
          <w:color w:val="auto"/>
        </w:rPr>
        <w:t>4.1</w:t>
      </w:r>
      <w:r>
        <w:rPr>
          <w:rFonts w:ascii="宋体" w:hAnsi="宋体"/>
          <w:color w:val="auto"/>
        </w:rPr>
        <w:t>.3.4  基本规定</w:t>
      </w:r>
      <w:bookmarkEnd w:id="3838"/>
      <w:bookmarkEnd w:id="3839"/>
    </w:p>
    <w:p>
      <w:pPr>
        <w:pStyle w:val="1280"/>
        <w:ind w:firstLine="440"/>
        <w:rPr>
          <w:rFonts w:ascii="宋体"/>
        </w:rPr>
      </w:pPr>
      <w:r>
        <w:rPr>
          <w:rFonts w:ascii="宋体"/>
        </w:rPr>
        <w:t>（1）砌体工程所用的材料应具有质量证明书，并符合地方政府关于粘土砖的使用范围和规定，并应符合设计要求。有复试要求的应在复试合格后方可使用。</w:t>
      </w:r>
    </w:p>
    <w:p>
      <w:pPr>
        <w:pStyle w:val="1280"/>
        <w:ind w:firstLine="440"/>
        <w:rPr>
          <w:rFonts w:ascii="宋体"/>
        </w:rPr>
      </w:pPr>
      <w:r>
        <w:rPr>
          <w:rFonts w:ascii="宋体"/>
        </w:rPr>
        <w:t>（2）砌体工程应在地基或基础工程验评合格后，方可施工。</w:t>
      </w:r>
    </w:p>
    <w:p>
      <w:pPr>
        <w:pStyle w:val="1280"/>
        <w:ind w:firstLine="440"/>
        <w:rPr>
          <w:rFonts w:ascii="宋体"/>
        </w:rPr>
      </w:pPr>
      <w:r>
        <w:rPr>
          <w:rFonts w:ascii="宋体"/>
        </w:rPr>
        <w:t>（3）建筑物或构筑物的标高，应引自标准水准点或设计指定的水准点。</w:t>
      </w:r>
    </w:p>
    <w:p>
      <w:pPr>
        <w:pStyle w:val="1280"/>
        <w:ind w:firstLine="440"/>
        <w:rPr>
          <w:rFonts w:ascii="宋体"/>
        </w:rPr>
      </w:pPr>
      <w:r>
        <w:rPr>
          <w:rFonts w:ascii="宋体"/>
        </w:rPr>
        <w:t>（4）基础施工前，应在建筑物的主要轴线部位设置标志板。标志板上应标明基础、墙身和轴线的位置及标高。</w:t>
      </w:r>
    </w:p>
    <w:p>
      <w:pPr>
        <w:pStyle w:val="1280"/>
        <w:ind w:firstLine="440"/>
        <w:rPr>
          <w:rFonts w:ascii="宋体"/>
        </w:rPr>
      </w:pPr>
      <w:r>
        <w:rPr>
          <w:rFonts w:ascii="宋体"/>
        </w:rPr>
        <w:t>外形或构造简单的建筑物，可用控制轴线的引桩代替标志板。</w:t>
      </w:r>
    </w:p>
    <w:p>
      <w:pPr>
        <w:pStyle w:val="1280"/>
        <w:ind w:firstLine="440"/>
        <w:rPr>
          <w:rFonts w:ascii="宋体"/>
        </w:rPr>
      </w:pPr>
      <w:r>
        <w:rPr>
          <w:rFonts w:ascii="宋体"/>
        </w:rPr>
        <w:t>（5）砌筑基础前，应先用钢尺校核放线尺寸，允许偏差应符合GB50203-2011表3.0.2的规定。</w:t>
      </w:r>
    </w:p>
    <w:p>
      <w:pPr>
        <w:pStyle w:val="1280"/>
        <w:ind w:firstLine="440"/>
        <w:rPr>
          <w:rFonts w:ascii="宋体"/>
        </w:rPr>
      </w:pPr>
      <w:r>
        <w:rPr>
          <w:rFonts w:ascii="宋体"/>
        </w:rPr>
        <w:t>（6）砌体施工，应设置皮数杆，并应根据设计要求、块材规格和灰缝厚度在皮数杆上标明皮数及竖向构造的变化部位。</w:t>
      </w:r>
    </w:p>
    <w:p>
      <w:pPr>
        <w:pStyle w:val="1280"/>
        <w:ind w:firstLine="440"/>
        <w:rPr>
          <w:rFonts w:ascii="宋体"/>
        </w:rPr>
      </w:pPr>
      <w:r>
        <w:rPr>
          <w:rFonts w:ascii="宋体"/>
        </w:rPr>
        <w:t>（7）砌筑顺序，应符合下列规定：</w:t>
      </w:r>
    </w:p>
    <w:p>
      <w:pPr>
        <w:pStyle w:val="1280"/>
        <w:ind w:firstLine="440"/>
        <w:rPr>
          <w:rFonts w:ascii="宋体"/>
        </w:rPr>
      </w:pPr>
      <w:r>
        <w:rPr>
          <w:rFonts w:ascii="宋体"/>
        </w:rPr>
        <w:t>a. 基底标高不同时，应从低处砌起，并应由高处向低处搭接。当设计无要求时，搭接长度不应小于基础扩大部分的高度。</w:t>
      </w:r>
    </w:p>
    <w:p>
      <w:pPr>
        <w:pStyle w:val="1280"/>
        <w:ind w:firstLine="440"/>
        <w:rPr>
          <w:rFonts w:ascii="宋体"/>
        </w:rPr>
      </w:pPr>
      <w:r>
        <w:rPr>
          <w:rFonts w:ascii="宋体"/>
        </w:rPr>
        <w:t>b. 内外墙应同时砌筑。当不能同时砌筑时，应按规定留槎并做好接槎处理。</w:t>
      </w:r>
    </w:p>
    <w:p>
      <w:pPr>
        <w:pStyle w:val="1280"/>
        <w:ind w:firstLine="440"/>
        <w:rPr>
          <w:rFonts w:ascii="宋体"/>
        </w:rPr>
      </w:pPr>
      <w:r>
        <w:rPr>
          <w:rFonts w:ascii="宋体"/>
        </w:rPr>
        <w:t>（8）砌完基础后，应及时双侧回填。回填土的施工应符合现行国家标准《建筑地基基础工程施工质量验收规范》GB50202-2002的有关规定。单侧填土应在砌体达到侧向承载能力要求后进行。</w:t>
      </w:r>
    </w:p>
    <w:p>
      <w:pPr>
        <w:pStyle w:val="1280"/>
        <w:ind w:firstLine="440"/>
        <w:rPr>
          <w:rFonts w:ascii="宋体"/>
        </w:rPr>
      </w:pPr>
      <w:r>
        <w:rPr>
          <w:rFonts w:ascii="宋体"/>
        </w:rPr>
        <w:t>（9）基础墙的防潮层，当设计无具体要求，宜用1：2.5的水泥砂浆加适量的防水剂铺设，其厚度宜为20mm。</w:t>
      </w:r>
    </w:p>
    <w:p>
      <w:pPr>
        <w:pStyle w:val="1280"/>
        <w:ind w:firstLine="440"/>
        <w:rPr>
          <w:rFonts w:ascii="宋体"/>
        </w:rPr>
      </w:pPr>
      <w:r>
        <w:rPr>
          <w:rFonts w:ascii="宋体"/>
        </w:rPr>
        <w:t>抗震设防地区建筑物，不应采用卷材作基础墙的水平防潮层。</w:t>
      </w:r>
    </w:p>
    <w:p>
      <w:pPr>
        <w:pStyle w:val="1280"/>
        <w:ind w:firstLine="440"/>
        <w:rPr>
          <w:rFonts w:ascii="宋体"/>
        </w:rPr>
      </w:pPr>
      <w:r>
        <w:rPr>
          <w:rFonts w:ascii="宋体"/>
        </w:rPr>
        <w:t>（10）砌筑前，应将砌筑部位的砂浆和杂物等清除干净，并应浇水湿润。</w:t>
      </w:r>
    </w:p>
    <w:p>
      <w:pPr>
        <w:pStyle w:val="1280"/>
        <w:ind w:firstLine="440"/>
        <w:rPr>
          <w:rFonts w:ascii="宋体"/>
        </w:rPr>
      </w:pPr>
      <w:r>
        <w:rPr>
          <w:rFonts w:ascii="宋体"/>
        </w:rPr>
        <w:t>（11）伸缩缝、沉降缝、防震缝中，不得夹有砂浆、块材碎渣和杂物等。</w:t>
      </w:r>
    </w:p>
    <w:p>
      <w:pPr>
        <w:pStyle w:val="1280"/>
        <w:ind w:firstLine="440"/>
        <w:rPr>
          <w:rFonts w:ascii="宋体"/>
        </w:rPr>
      </w:pPr>
      <w:r>
        <w:rPr>
          <w:rFonts w:ascii="宋体"/>
        </w:rPr>
        <w:t>（12）不得在下列墙体或部位中设置脚手眼：</w:t>
      </w:r>
    </w:p>
    <w:p>
      <w:pPr>
        <w:pStyle w:val="1280"/>
        <w:ind w:firstLine="440"/>
        <w:rPr>
          <w:rFonts w:ascii="宋体"/>
        </w:rPr>
      </w:pPr>
      <w:r>
        <w:rPr>
          <w:rFonts w:ascii="宋体"/>
        </w:rPr>
        <w:t>a. 空斗墙、120mm厚砖墙、料石清水墙和独立柱。</w:t>
      </w:r>
    </w:p>
    <w:p>
      <w:pPr>
        <w:pStyle w:val="1280"/>
        <w:ind w:firstLine="440"/>
        <w:rPr>
          <w:rFonts w:ascii="宋体"/>
        </w:rPr>
      </w:pPr>
      <w:r>
        <w:rPr>
          <w:rFonts w:ascii="宋体"/>
        </w:rPr>
        <w:t>b. 过梁上与过梁成600角的三角形范围及过梁净跨度1/2的高度范围内。</w:t>
      </w:r>
    </w:p>
    <w:p>
      <w:pPr>
        <w:pStyle w:val="1280"/>
        <w:ind w:firstLine="440"/>
        <w:rPr>
          <w:rFonts w:ascii="宋体"/>
        </w:rPr>
      </w:pPr>
      <w:r>
        <w:rPr>
          <w:rFonts w:ascii="宋体"/>
        </w:rPr>
        <w:t>c. 宽度小于1m的窗间墙。</w:t>
      </w:r>
    </w:p>
    <w:p>
      <w:pPr>
        <w:pStyle w:val="1280"/>
        <w:ind w:firstLine="440"/>
        <w:rPr>
          <w:rFonts w:ascii="宋体"/>
        </w:rPr>
      </w:pPr>
      <w:r>
        <w:rPr>
          <w:rFonts w:ascii="宋体"/>
        </w:rPr>
        <w:t>d. 砌体的门窗洞口两侧200mm和转角处450mm的范围内。石砌体的门窗洞口两侧300mm和转角处600mm范围内。</w:t>
      </w:r>
    </w:p>
    <w:p>
      <w:pPr>
        <w:pStyle w:val="1280"/>
        <w:ind w:firstLine="440"/>
        <w:rPr>
          <w:rFonts w:ascii="宋体"/>
        </w:rPr>
      </w:pPr>
      <w:r>
        <w:rPr>
          <w:rFonts w:ascii="宋体"/>
        </w:rPr>
        <w:t>e. 梁或梁垫下及其左右各500mm范围内。</w:t>
      </w:r>
    </w:p>
    <w:p>
      <w:pPr>
        <w:pStyle w:val="1280"/>
        <w:ind w:firstLine="440"/>
        <w:rPr>
          <w:rFonts w:ascii="宋体"/>
        </w:rPr>
      </w:pPr>
      <w:r>
        <w:rPr>
          <w:rFonts w:ascii="宋体"/>
        </w:rPr>
        <w:t>f. 设计不允许设置脚手眼的部位。</w:t>
      </w:r>
    </w:p>
    <w:p>
      <w:pPr>
        <w:pStyle w:val="1280"/>
        <w:ind w:firstLine="440"/>
        <w:rPr>
          <w:rFonts w:ascii="宋体"/>
        </w:rPr>
      </w:pPr>
      <w:r>
        <w:rPr>
          <w:rFonts w:ascii="宋体"/>
        </w:rPr>
        <w:t>g. 在一个不足1.5m的窗间墙上留2个脚手眼。</w:t>
      </w:r>
    </w:p>
    <w:p>
      <w:pPr>
        <w:pStyle w:val="1280"/>
        <w:ind w:firstLine="440"/>
        <w:rPr>
          <w:rFonts w:ascii="宋体"/>
        </w:rPr>
      </w:pPr>
      <w:r>
        <w:rPr>
          <w:rFonts w:ascii="宋体"/>
        </w:rPr>
        <w:t>（13）砌体表面的平整度、垂直度、灰缝厚度及砂浆饱满度等均应按本规范规定随时检查并校正。</w:t>
      </w:r>
    </w:p>
    <w:p>
      <w:pPr>
        <w:pStyle w:val="1280"/>
        <w:ind w:firstLine="440"/>
        <w:rPr>
          <w:rFonts w:ascii="宋体"/>
        </w:rPr>
      </w:pPr>
      <w:r>
        <w:rPr>
          <w:rFonts w:ascii="宋体"/>
        </w:rPr>
        <w:t>砌体表面平整度、垂直度校正必须在砂浆终凝前进行。</w:t>
      </w:r>
    </w:p>
    <w:p>
      <w:pPr>
        <w:pStyle w:val="1280"/>
        <w:ind w:firstLine="440"/>
        <w:rPr>
          <w:rFonts w:ascii="宋体"/>
        </w:rPr>
      </w:pPr>
      <w:r>
        <w:rPr>
          <w:rFonts w:ascii="宋体"/>
        </w:rPr>
        <w:t>（14）砌体工程工作段的分段位置，宜设在伸缩缝、沉降缝、防震缝、构造柱或门窗洞口处，相邻工作段的砌筑高度差不得超过一个楼层的高度，也不宜大于4m。</w:t>
      </w:r>
    </w:p>
    <w:p>
      <w:pPr>
        <w:pStyle w:val="1280"/>
        <w:ind w:firstLine="440"/>
        <w:rPr>
          <w:rFonts w:ascii="宋体"/>
        </w:rPr>
      </w:pPr>
      <w:r>
        <w:rPr>
          <w:rFonts w:ascii="宋体"/>
        </w:rPr>
        <w:t>（15）砌体临时间断处的高度差，不得超过一步脚手架的高度。临时施工洞口顶部宜设置过梁，普通砌体也可在洞口上部采取逐层挑砖的方法封口，并应预埋水平拉结筋，洞口净宽度不应超过1m。</w:t>
      </w:r>
    </w:p>
    <w:p>
      <w:pPr>
        <w:pStyle w:val="1280"/>
        <w:ind w:firstLine="440"/>
        <w:rPr>
          <w:rFonts w:ascii="宋体"/>
        </w:rPr>
      </w:pPr>
      <w:r>
        <w:rPr>
          <w:rFonts w:ascii="宋体"/>
        </w:rPr>
        <w:t>（16）设计要求的洞口、管道、沟槽和预埋件等应于砌筑时正确留出或预埋。宽度超过300mm的洞口，应砌筑成平拱或设置过梁。多孔砖墙体表面不得留置水平沟槽。</w:t>
      </w:r>
    </w:p>
    <w:p>
      <w:pPr>
        <w:pStyle w:val="1280"/>
        <w:ind w:firstLine="440"/>
        <w:rPr>
          <w:rFonts w:ascii="宋体"/>
        </w:rPr>
      </w:pPr>
      <w:r>
        <w:rPr>
          <w:rFonts w:ascii="宋体"/>
        </w:rPr>
        <w:t>注：砌体中的预埋件应作防腐处理。预埋木砖的木纹应与钉子垂直。</w:t>
      </w:r>
    </w:p>
    <w:p>
      <w:pPr>
        <w:pStyle w:val="1280"/>
        <w:ind w:firstLine="440"/>
        <w:rPr>
          <w:rFonts w:ascii="宋体"/>
        </w:rPr>
      </w:pPr>
      <w:r>
        <w:rPr>
          <w:rFonts w:ascii="宋体"/>
        </w:rPr>
        <w:t>（17）通气道等采用水泥制品时，接缝处外侧宜带有槽口，安装时除座浆外，尚应采用1：2水泥砂浆将槽口填封密实。</w:t>
      </w:r>
    </w:p>
    <w:p>
      <w:pPr>
        <w:pStyle w:val="1280"/>
        <w:ind w:firstLine="440"/>
        <w:rPr>
          <w:rFonts w:ascii="宋体"/>
        </w:rPr>
      </w:pPr>
      <w:r>
        <w:rPr>
          <w:rFonts w:ascii="宋体"/>
        </w:rPr>
        <w:t>（18）砌体施工质量控制等级，应符合下列规定：</w:t>
      </w:r>
    </w:p>
    <w:p>
      <w:pPr>
        <w:pStyle w:val="1280"/>
        <w:ind w:firstLine="440"/>
        <w:rPr>
          <w:rFonts w:ascii="宋体"/>
        </w:rPr>
      </w:pPr>
      <w:r>
        <w:rPr>
          <w:rFonts w:ascii="宋体"/>
        </w:rPr>
        <w:t>砌体工程施工质量控制等级，依据施工技术和质量控制状况应划分为三级，并应符合GB50203-2011表3.0.10的规定。</w:t>
      </w:r>
    </w:p>
    <w:p>
      <w:pPr>
        <w:pStyle w:val="1280"/>
        <w:ind w:firstLine="440"/>
        <w:rPr>
          <w:rFonts w:ascii="宋体"/>
        </w:rPr>
      </w:pPr>
      <w:r>
        <w:rPr>
          <w:rFonts w:ascii="宋体"/>
        </w:rPr>
        <w:t>（19）砌筑完基础或每一楼层后，应校核砌体的轴线和标高，在允许偏差范围内，其偏差可在基础顶面或楼面上校正。标高偏差宜通过调整上部灰缝厚度逐步校正。</w:t>
      </w:r>
    </w:p>
    <w:p>
      <w:pPr>
        <w:pStyle w:val="1280"/>
        <w:ind w:firstLine="440"/>
        <w:rPr>
          <w:rFonts w:ascii="宋体"/>
        </w:rPr>
      </w:pPr>
      <w:r>
        <w:rPr>
          <w:rFonts w:ascii="宋体"/>
        </w:rPr>
        <w:t>（20）砌体施工时，楼面和屋面堆载不得超过楼板的允许荷载值。施工层进料口楼板下，宜采取临时加撑措施。</w:t>
      </w:r>
    </w:p>
    <w:p>
      <w:pPr>
        <w:pStyle w:val="1280"/>
        <w:ind w:firstLine="440"/>
        <w:rPr>
          <w:rFonts w:ascii="宋体"/>
        </w:rPr>
      </w:pPr>
      <w:r>
        <w:rPr>
          <w:rFonts w:ascii="宋体"/>
        </w:rPr>
        <w:t>（21）搁置预制梁、板的砌体顶面应找平，并应在安装时座浆。</w:t>
      </w:r>
    </w:p>
    <w:p>
      <w:pPr>
        <w:pStyle w:val="1280"/>
        <w:ind w:firstLine="440"/>
        <w:rPr>
          <w:rFonts w:ascii="宋体"/>
        </w:rPr>
      </w:pPr>
      <w:r>
        <w:rPr>
          <w:rFonts w:ascii="宋体"/>
        </w:rPr>
        <w:t>（22）尚未安装楼板或屋面的墙和柱，当可能遇大风时，其允许自由高度不得超过GB50203-2011表3.0.8的规定。如超过表列限值，必须采用临时支撑等有效措施。</w:t>
      </w:r>
    </w:p>
    <w:p>
      <w:pPr>
        <w:pStyle w:val="1280"/>
        <w:ind w:firstLine="440"/>
        <w:rPr>
          <w:rFonts w:ascii="宋体"/>
        </w:rPr>
      </w:pPr>
      <w:r>
        <w:rPr>
          <w:rFonts w:ascii="宋体"/>
        </w:rPr>
        <w:t>（23）雨期施工应防止基槽灌水和雨水冲刷砂浆，砂浆稠度应适当减小，每日砌筑高度不宜超过1.2m。收工时，应采用防雨材料覆盖新砌体的表面。对蒸压（养）灰砂砖、粉煤灰砖及混凝土小型空心砌块砌体，雨天不宜施工。</w:t>
      </w:r>
    </w:p>
    <w:p>
      <w:pPr>
        <w:pStyle w:val="1280"/>
        <w:ind w:firstLine="440"/>
        <w:rPr>
          <w:rFonts w:ascii="宋体"/>
        </w:rPr>
      </w:pPr>
      <w:r>
        <w:rPr>
          <w:rFonts w:ascii="宋体"/>
        </w:rPr>
        <w:t>（24）墙面勾缝前，应做好下列准备工作：</w:t>
      </w:r>
    </w:p>
    <w:p>
      <w:pPr>
        <w:pStyle w:val="1280"/>
        <w:ind w:firstLine="440"/>
        <w:rPr>
          <w:rFonts w:ascii="宋体"/>
        </w:rPr>
      </w:pPr>
      <w:r>
        <w:rPr>
          <w:rFonts w:ascii="宋体"/>
        </w:rPr>
        <w:t>a. 清除墙面粘结的砂浆、泥浆和杂物等，并洒水湿润。</w:t>
      </w:r>
    </w:p>
    <w:p>
      <w:pPr>
        <w:pStyle w:val="1280"/>
        <w:ind w:firstLine="440"/>
        <w:rPr>
          <w:rFonts w:ascii="宋体"/>
        </w:rPr>
      </w:pPr>
      <w:r>
        <w:rPr>
          <w:rFonts w:ascii="宋体"/>
        </w:rPr>
        <w:t>b. 开凿瞎缝，并对缺棱掉角的部位用与墙面相同颜色的砂浆修复齐整。</w:t>
      </w:r>
    </w:p>
    <w:p>
      <w:pPr>
        <w:pStyle w:val="1280"/>
        <w:ind w:firstLine="440"/>
        <w:rPr>
          <w:rFonts w:ascii="宋体"/>
        </w:rPr>
      </w:pPr>
      <w:r>
        <w:rPr>
          <w:rFonts w:ascii="宋体"/>
        </w:rPr>
        <w:t>c. 将脚手眼内清理干净并洒水湿润，后采用与原墙相同的块材补砌严密。</w:t>
      </w:r>
    </w:p>
    <w:p>
      <w:pPr>
        <w:pStyle w:val="1280"/>
        <w:ind w:firstLine="440"/>
        <w:rPr>
          <w:rFonts w:ascii="宋体"/>
        </w:rPr>
      </w:pPr>
      <w:r>
        <w:rPr>
          <w:rFonts w:ascii="宋体"/>
        </w:rPr>
        <w:t>（25）墙面勾缝应采用加浆勾缝，并宜采用细纱拌制的1：1.5水泥砂浆。</w:t>
      </w:r>
    </w:p>
    <w:p>
      <w:pPr>
        <w:pStyle w:val="1280"/>
        <w:ind w:firstLine="440"/>
        <w:rPr>
          <w:rFonts w:ascii="宋体"/>
        </w:rPr>
      </w:pPr>
      <w:r>
        <w:rPr>
          <w:rFonts w:ascii="宋体"/>
        </w:rPr>
        <w:t>注：内墙面也可采用原浆勾缝，但必须随砌随勾，并使灰缝光滑密实。</w:t>
      </w:r>
    </w:p>
    <w:p>
      <w:pPr>
        <w:pStyle w:val="1280"/>
        <w:ind w:firstLine="440"/>
        <w:rPr>
          <w:rFonts w:ascii="宋体"/>
        </w:rPr>
      </w:pPr>
      <w:r>
        <w:rPr>
          <w:rFonts w:ascii="宋体"/>
        </w:rPr>
        <w:t>（26）墙面勾缝应横平竖直、深浅一致、搭接平整并压实抹光，不得有丢缝、开裂、粘结不牢和污染墙面等现象。</w:t>
      </w:r>
    </w:p>
    <w:p>
      <w:pPr>
        <w:pStyle w:val="1280"/>
        <w:ind w:firstLine="440"/>
        <w:rPr>
          <w:rFonts w:ascii="宋体"/>
        </w:rPr>
      </w:pPr>
      <w:r>
        <w:rPr>
          <w:rFonts w:ascii="宋体"/>
        </w:rPr>
        <w:t>当设计无特殊要求时，砖墙勾缝宜采用凹缝或平缝，毛石墙勾缝应保持砌合的自然缝。</w:t>
      </w:r>
    </w:p>
    <w:p>
      <w:pPr>
        <w:pStyle w:val="1280"/>
        <w:ind w:firstLine="440"/>
        <w:rPr>
          <w:rFonts w:ascii="宋体"/>
        </w:rPr>
      </w:pPr>
      <w:r>
        <w:rPr>
          <w:rFonts w:ascii="宋体"/>
        </w:rPr>
        <w:t>勾缝完毕，应清扫墙面。</w:t>
      </w:r>
    </w:p>
    <w:p>
      <w:pPr>
        <w:pStyle w:val="1280"/>
        <w:ind w:firstLine="440"/>
        <w:outlineLvl w:val="0"/>
        <w:rPr>
          <w:rFonts w:ascii="宋体"/>
        </w:rPr>
      </w:pPr>
      <w:bookmarkStart w:id="3840" w:name="_Toc106049944"/>
      <w:bookmarkStart w:id="3841" w:name="_Toc106883207"/>
      <w:r>
        <w:rPr>
          <w:rFonts w:hint="eastAsia" w:ascii="宋体"/>
        </w:rPr>
        <w:t>4.1</w:t>
      </w:r>
      <w:r>
        <w:rPr>
          <w:rFonts w:ascii="宋体"/>
        </w:rPr>
        <w:t>.3.5  砌砖工程</w:t>
      </w:r>
      <w:bookmarkEnd w:id="3840"/>
      <w:bookmarkEnd w:id="3841"/>
    </w:p>
    <w:p>
      <w:pPr>
        <w:pStyle w:val="1280"/>
        <w:ind w:firstLine="440"/>
        <w:outlineLvl w:val="0"/>
        <w:rPr>
          <w:rFonts w:ascii="宋体"/>
        </w:rPr>
      </w:pPr>
      <w:bookmarkStart w:id="3842" w:name="_Toc106049945"/>
      <w:bookmarkStart w:id="3843" w:name="_Toc106883208"/>
      <w:r>
        <w:rPr>
          <w:rFonts w:hint="eastAsia" w:ascii="宋体"/>
        </w:rPr>
        <w:t>4</w:t>
      </w:r>
      <w:r>
        <w:rPr>
          <w:rFonts w:ascii="宋体"/>
        </w:rPr>
        <w:t>.</w:t>
      </w:r>
      <w:r>
        <w:rPr>
          <w:rFonts w:hint="eastAsia" w:ascii="宋体"/>
        </w:rPr>
        <w:t>1.</w:t>
      </w:r>
      <w:r>
        <w:rPr>
          <w:rFonts w:ascii="宋体"/>
        </w:rPr>
        <w:t>3.5.1  一般规定</w:t>
      </w:r>
      <w:bookmarkEnd w:id="3842"/>
      <w:bookmarkEnd w:id="3843"/>
    </w:p>
    <w:p>
      <w:pPr>
        <w:pStyle w:val="1280"/>
        <w:ind w:firstLine="440"/>
        <w:rPr>
          <w:rFonts w:ascii="宋体"/>
        </w:rPr>
      </w:pPr>
      <w:r>
        <w:rPr>
          <w:rFonts w:ascii="宋体"/>
        </w:rPr>
        <w:t>（1）在常温施工时，砖应提前1～2天浇水湿润，程度以10-15mm为宜。雨季和冬季不宜浇砖。</w:t>
      </w:r>
    </w:p>
    <w:p>
      <w:pPr>
        <w:pStyle w:val="1280"/>
        <w:ind w:firstLine="440"/>
        <w:rPr>
          <w:rFonts w:ascii="宋体"/>
        </w:rPr>
      </w:pPr>
      <w:r>
        <w:rPr>
          <w:rFonts w:ascii="宋体"/>
        </w:rPr>
        <w:t>（2）砌体的灰缝应横平竖直、厚薄均匀，并应填满砂浆。墙厚370mm及以上的砌体宜采用双面挂线砌筑。</w:t>
      </w:r>
    </w:p>
    <w:p>
      <w:pPr>
        <w:pStyle w:val="1280"/>
        <w:ind w:firstLine="440"/>
        <w:rPr>
          <w:rFonts w:ascii="宋体"/>
        </w:rPr>
      </w:pPr>
      <w:r>
        <w:rPr>
          <w:rFonts w:ascii="宋体"/>
        </w:rPr>
        <w:t>（3）砌砖工程宜采用“三一”砌砖法。当采用铺浆法砌筑时，铺浆长度不得超过750mm；施工期间气温超过30℃时，铺浆长度不得超过500mm。</w:t>
      </w:r>
    </w:p>
    <w:p>
      <w:pPr>
        <w:pStyle w:val="1280"/>
        <w:ind w:firstLine="440"/>
        <w:rPr>
          <w:rFonts w:ascii="宋体"/>
        </w:rPr>
      </w:pPr>
      <w:r>
        <w:rPr>
          <w:rFonts w:ascii="宋体"/>
        </w:rPr>
        <w:t>注：“三一”砌筑法即为一铲灰、一块砖、一揉压的砌筑方法。</w:t>
      </w:r>
    </w:p>
    <w:p>
      <w:pPr>
        <w:pStyle w:val="1280"/>
        <w:ind w:firstLine="440"/>
        <w:rPr>
          <w:rFonts w:ascii="宋体"/>
        </w:rPr>
      </w:pPr>
      <w:r>
        <w:rPr>
          <w:rFonts w:ascii="宋体"/>
        </w:rPr>
        <w:t>（4）埋入砌体中的拉结筋，应设置正确、平直，其外露部分在施工中不得任意弯折。</w:t>
      </w:r>
    </w:p>
    <w:p>
      <w:pPr>
        <w:pStyle w:val="1280"/>
        <w:ind w:firstLine="440"/>
        <w:rPr>
          <w:rFonts w:ascii="宋体"/>
        </w:rPr>
      </w:pPr>
      <w:r>
        <w:rPr>
          <w:rFonts w:ascii="宋体"/>
        </w:rPr>
        <w:t>（5）非直角砌体的角砖宜采用无齿锯加工制作。</w:t>
      </w:r>
    </w:p>
    <w:p>
      <w:pPr>
        <w:pStyle w:val="1280"/>
        <w:ind w:firstLine="440"/>
        <w:rPr>
          <w:rFonts w:ascii="宋体"/>
        </w:rPr>
      </w:pPr>
      <w:r>
        <w:rPr>
          <w:rFonts w:ascii="宋体"/>
        </w:rPr>
        <w:t>（6）砌体的尺寸和位置的允许偏差，不应超过GB50203-2011表4.1.8的规定。</w:t>
      </w:r>
    </w:p>
    <w:p>
      <w:pPr>
        <w:pStyle w:val="1280"/>
        <w:ind w:firstLine="440"/>
        <w:rPr>
          <w:rFonts w:ascii="宋体"/>
        </w:rPr>
      </w:pPr>
      <w:r>
        <w:rPr>
          <w:rFonts w:ascii="宋体"/>
        </w:rPr>
        <w:t>（7）砌体的转角处和交接处应同时砌筑，严禁无可靠措施的内外墙分砌施工。对不能同时砌筑而又必须留置的临时间断处，应砌成斜槎。烧结普通砌体的斜槎长度不应小于高度的2/3，多孔砌体的斜槎长高比应按砖的规格尺寸做适当调整。</w:t>
      </w:r>
    </w:p>
    <w:p>
      <w:pPr>
        <w:pStyle w:val="1280"/>
        <w:ind w:firstLine="440"/>
        <w:rPr>
          <w:rFonts w:ascii="宋体"/>
        </w:rPr>
      </w:pPr>
      <w:r>
        <w:rPr>
          <w:rFonts w:ascii="宋体"/>
        </w:rPr>
        <w:t>施工中不能留斜槎时，除转角处外，可留直槎，但直槎必须做成凸槎，并应加设拉结钢筋。拉结钢筋的数量为每120mm墙厚放置1根直径6mm的钢筋；间距沿墙高不得超过500mm；埋入长度从墙的留槎处算起，每边均不应小于500mm；末端应有90°弯钩。</w:t>
      </w:r>
    </w:p>
    <w:p>
      <w:pPr>
        <w:pStyle w:val="1280"/>
        <w:ind w:firstLine="440"/>
        <w:rPr>
          <w:rFonts w:ascii="宋体"/>
        </w:rPr>
      </w:pPr>
      <w:r>
        <w:rPr>
          <w:rFonts w:ascii="宋体"/>
        </w:rPr>
        <w:t>抗震设防地区建筑物的砌砖工程不得留直槎。</w:t>
      </w:r>
    </w:p>
    <w:p>
      <w:pPr>
        <w:pStyle w:val="1280"/>
        <w:ind w:firstLine="440"/>
        <w:rPr>
          <w:rFonts w:ascii="宋体"/>
        </w:rPr>
      </w:pPr>
      <w:r>
        <w:rPr>
          <w:rFonts w:ascii="宋体"/>
        </w:rPr>
        <w:t>注：拉结筋不得穿过通气孔道。如遇通气孔道时，拉结筋应分成两股沿孔道两侧平行设置。</w:t>
      </w:r>
    </w:p>
    <w:p>
      <w:pPr>
        <w:pStyle w:val="1280"/>
        <w:ind w:firstLine="440"/>
        <w:rPr>
          <w:rFonts w:ascii="宋体"/>
        </w:rPr>
      </w:pPr>
      <w:r>
        <w:rPr>
          <w:rFonts w:ascii="宋体"/>
        </w:rPr>
        <w:t>（8）隔墙与墙或柱不能同时砌筑而又留不成斜槎时，可于墙或柱中引出凸槎。对抗震设防区，灰缝中还应预埋拉结筋，且每道墙不得少于2根。</w:t>
      </w:r>
    </w:p>
    <w:p>
      <w:pPr>
        <w:pStyle w:val="1280"/>
        <w:ind w:firstLine="440"/>
        <w:rPr>
          <w:rFonts w:ascii="宋体"/>
        </w:rPr>
      </w:pPr>
      <w:r>
        <w:rPr>
          <w:rFonts w:ascii="宋体"/>
        </w:rPr>
        <w:t>（9）砌体接槎时，必须将接槎处的表面清理干净，浇水湿润，并应填实砂浆，保持灰缝平直。</w:t>
      </w:r>
    </w:p>
    <w:p>
      <w:pPr>
        <w:pStyle w:val="1280"/>
        <w:ind w:firstLine="440"/>
        <w:outlineLvl w:val="0"/>
        <w:rPr>
          <w:rFonts w:ascii="宋体"/>
        </w:rPr>
      </w:pPr>
      <w:bookmarkStart w:id="3844" w:name="_Toc106049946"/>
      <w:bookmarkStart w:id="3845" w:name="_Toc106883209"/>
      <w:r>
        <w:rPr>
          <w:rFonts w:hint="eastAsia" w:ascii="宋体"/>
        </w:rPr>
        <w:t>4</w:t>
      </w:r>
      <w:r>
        <w:rPr>
          <w:rFonts w:ascii="宋体"/>
        </w:rPr>
        <w:t>.</w:t>
      </w:r>
      <w:r>
        <w:rPr>
          <w:rFonts w:hint="eastAsia" w:ascii="宋体"/>
        </w:rPr>
        <w:t>1.</w:t>
      </w:r>
      <w:r>
        <w:rPr>
          <w:rFonts w:ascii="宋体"/>
        </w:rPr>
        <w:t>3.5.2  混凝土实心砖</w:t>
      </w:r>
      <w:bookmarkEnd w:id="3844"/>
      <w:bookmarkEnd w:id="3845"/>
    </w:p>
    <w:p>
      <w:pPr>
        <w:pStyle w:val="1280"/>
        <w:ind w:firstLine="440"/>
        <w:rPr>
          <w:rFonts w:ascii="宋体"/>
        </w:rPr>
      </w:pPr>
      <w:r>
        <w:rPr>
          <w:rFonts w:ascii="宋体"/>
        </w:rPr>
        <w:t>（1）砌体应上、下错缝，内外搭接。实心砌体宜采用一顺一丁、梅花丁或三顺一丁的砌筑形式。砖柱不得采用包心砌法。</w:t>
      </w:r>
    </w:p>
    <w:p>
      <w:pPr>
        <w:pStyle w:val="1280"/>
        <w:ind w:firstLine="440"/>
        <w:rPr>
          <w:rFonts w:ascii="宋体"/>
        </w:rPr>
      </w:pPr>
      <w:r>
        <w:rPr>
          <w:rFonts w:ascii="宋体"/>
        </w:rPr>
        <w:t>（2）砌体水平灰缝的砂浆饱满度不得小于80％；竖缝宜采用挤浆或加浆方法，不得出现透明缝，严禁用水冲浆灌缝。有特殊要求的砌体，灰缝的砂浆饱满度应符合设计要求。</w:t>
      </w:r>
    </w:p>
    <w:p>
      <w:pPr>
        <w:pStyle w:val="1280"/>
        <w:ind w:firstLine="440"/>
        <w:rPr>
          <w:rFonts w:ascii="宋体"/>
        </w:rPr>
      </w:pPr>
      <w:r>
        <w:rPr>
          <w:rFonts w:ascii="宋体"/>
        </w:rPr>
        <w:t>（3）砌体的水平灰缝厚度和竖向灰缝宽度宜为10mm，但不应小于8mm，也不应大于12mm。</w:t>
      </w:r>
    </w:p>
    <w:p>
      <w:pPr>
        <w:pStyle w:val="1280"/>
        <w:ind w:firstLine="440"/>
        <w:rPr>
          <w:rFonts w:ascii="宋体"/>
        </w:rPr>
      </w:pPr>
      <w:r>
        <w:rPr>
          <w:rFonts w:ascii="宋体"/>
        </w:rPr>
        <w:t>（4）每层承重墙的最上1皮砖，240mm厚墙应是整砖丁砌层。在梁或梁垫的下面，砌体的阶台水平面上以及砌体的挑出层（挑檐、腰线等）中，也应是整砖丁砌层。</w:t>
      </w:r>
    </w:p>
    <w:p>
      <w:pPr>
        <w:pStyle w:val="1280"/>
        <w:ind w:firstLine="440"/>
        <w:rPr>
          <w:rFonts w:ascii="宋体"/>
        </w:rPr>
      </w:pPr>
      <w:r>
        <w:rPr>
          <w:rFonts w:ascii="宋体"/>
        </w:rPr>
        <w:t>（5）砖柱和宽度小于1m的窗间墙，应选用整砖砌筑。半砖和破损的砖应分散使用在受力较小的砖体中和墙心。</w:t>
      </w:r>
    </w:p>
    <w:p>
      <w:pPr>
        <w:pStyle w:val="1280"/>
        <w:ind w:firstLine="440"/>
        <w:rPr>
          <w:rFonts w:ascii="宋体"/>
        </w:rPr>
      </w:pPr>
      <w:r>
        <w:rPr>
          <w:rFonts w:ascii="宋体"/>
        </w:rPr>
        <w:t>（6）在墙上留置临时施工洞口，其侧边离交接处的墙面不应小于500mm。</w:t>
      </w:r>
    </w:p>
    <w:p>
      <w:pPr>
        <w:pStyle w:val="1280"/>
        <w:ind w:firstLine="440"/>
        <w:rPr>
          <w:rFonts w:ascii="宋体"/>
        </w:rPr>
      </w:pPr>
      <w:r>
        <w:rPr>
          <w:rFonts w:ascii="宋体"/>
        </w:rPr>
        <w:t>临时施工洞口的补砌，洞口周围砖块表面应清理干净，并浇水湿润，再用与原墙相同的材料补砌严密。</w:t>
      </w:r>
    </w:p>
    <w:p>
      <w:pPr>
        <w:pStyle w:val="1280"/>
        <w:ind w:firstLine="440"/>
        <w:rPr>
          <w:rFonts w:ascii="宋体"/>
        </w:rPr>
      </w:pPr>
      <w:r>
        <w:rPr>
          <w:rFonts w:ascii="宋体"/>
        </w:rPr>
        <w:t>（7）实心砖平拱过梁的灰缝应砌成楔形缝。灰缝的宽度，在过梁的底面不应小于5mm；在过梁的顶面不应大于15mm。</w:t>
      </w:r>
    </w:p>
    <w:p>
      <w:pPr>
        <w:pStyle w:val="1280"/>
        <w:ind w:firstLine="440"/>
        <w:rPr>
          <w:rFonts w:ascii="宋体"/>
        </w:rPr>
      </w:pPr>
      <w:r>
        <w:rPr>
          <w:rFonts w:ascii="宋体"/>
        </w:rPr>
        <w:t>拱脚下面应伸入墙内不小于20mm，拱底应有1％的起拱。</w:t>
      </w:r>
    </w:p>
    <w:p>
      <w:pPr>
        <w:pStyle w:val="1280"/>
        <w:ind w:firstLine="440"/>
        <w:rPr>
          <w:rFonts w:ascii="宋体"/>
        </w:rPr>
      </w:pPr>
      <w:r>
        <w:rPr>
          <w:rFonts w:ascii="宋体"/>
        </w:rPr>
        <w:t>（8）砖过梁底部的模板，应在灰缝砂浆强度不低于设计强度的75％时，方可拆除。</w:t>
      </w:r>
    </w:p>
    <w:p>
      <w:pPr>
        <w:pStyle w:val="1280"/>
        <w:ind w:firstLine="440"/>
        <w:rPr>
          <w:rFonts w:ascii="宋体"/>
        </w:rPr>
      </w:pPr>
      <w:r>
        <w:rPr>
          <w:rFonts w:ascii="宋体"/>
        </w:rPr>
        <w:t>（9）设有钢筋混凝土抗风柱的房屋，应在柱顶与屋架以及屋架间的支撑均已连接固定后，方可砌筑山墙。</w:t>
      </w:r>
    </w:p>
    <w:p>
      <w:pPr>
        <w:pStyle w:val="1280"/>
        <w:ind w:firstLine="440"/>
        <w:rPr>
          <w:rFonts w:ascii="宋体"/>
        </w:rPr>
      </w:pPr>
      <w:r>
        <w:rPr>
          <w:rFonts w:ascii="宋体"/>
        </w:rPr>
        <w:t>（10）砌筑、化粪池、窨井和检查井，尚应符合下列规定：</w:t>
      </w:r>
    </w:p>
    <w:p>
      <w:pPr>
        <w:pStyle w:val="1280"/>
        <w:ind w:firstLine="440"/>
        <w:rPr>
          <w:rFonts w:ascii="宋体"/>
        </w:rPr>
      </w:pPr>
      <w:r>
        <w:rPr>
          <w:rFonts w:ascii="宋体"/>
        </w:rPr>
        <w:t>a, 如设计无要求时，一般应采用混凝土实心砖和水泥砂浆，并砌筑严实。</w:t>
      </w:r>
    </w:p>
    <w:p>
      <w:pPr>
        <w:pStyle w:val="1280"/>
        <w:ind w:firstLine="440"/>
        <w:rPr>
          <w:rFonts w:ascii="宋体"/>
        </w:rPr>
      </w:pPr>
      <w:r>
        <w:rPr>
          <w:rFonts w:ascii="宋体"/>
        </w:rPr>
        <w:t>b. 砌体应同时砌筑，如同时砌筑有困难时，必须砌成斜槎。</w:t>
      </w:r>
    </w:p>
    <w:p>
      <w:pPr>
        <w:pStyle w:val="1280"/>
        <w:ind w:firstLine="440"/>
        <w:rPr>
          <w:rFonts w:ascii="宋体"/>
        </w:rPr>
      </w:pPr>
      <w:r>
        <w:rPr>
          <w:rFonts w:ascii="宋体"/>
        </w:rPr>
        <w:t>c. 各种管道及附件，必须在砌筑时按设计要求埋设。</w:t>
      </w:r>
    </w:p>
    <w:p>
      <w:pPr>
        <w:pStyle w:val="1280"/>
        <w:ind w:firstLine="440"/>
        <w:rPr>
          <w:rFonts w:ascii="宋体"/>
        </w:rPr>
      </w:pPr>
      <w:r>
        <w:rPr>
          <w:rFonts w:ascii="宋体"/>
        </w:rPr>
        <w:t>d. 防水部分的施工，应符合现行国家标准《地下防水工程质量验收规范》GB50208-2011中的有关规定。</w:t>
      </w:r>
    </w:p>
    <w:p>
      <w:pPr>
        <w:pStyle w:val="1280"/>
        <w:ind w:firstLine="440"/>
        <w:outlineLvl w:val="0"/>
        <w:rPr>
          <w:rFonts w:ascii="宋体"/>
        </w:rPr>
      </w:pPr>
      <w:bookmarkStart w:id="3846" w:name="_Toc106049947"/>
      <w:bookmarkStart w:id="3847" w:name="_Toc106883210"/>
      <w:r>
        <w:rPr>
          <w:rFonts w:hint="eastAsia" w:ascii="宋体"/>
        </w:rPr>
        <w:t>4</w:t>
      </w:r>
      <w:r>
        <w:rPr>
          <w:rFonts w:ascii="宋体"/>
        </w:rPr>
        <w:t>.</w:t>
      </w:r>
      <w:r>
        <w:rPr>
          <w:rFonts w:hint="eastAsia" w:ascii="宋体"/>
        </w:rPr>
        <w:t>1.</w:t>
      </w:r>
      <w:r>
        <w:rPr>
          <w:rFonts w:ascii="宋体"/>
        </w:rPr>
        <w:t>3.5.3  混凝土多孔砖</w:t>
      </w:r>
      <w:bookmarkEnd w:id="3846"/>
      <w:bookmarkEnd w:id="3847"/>
    </w:p>
    <w:p>
      <w:pPr>
        <w:pStyle w:val="1280"/>
        <w:ind w:firstLine="440"/>
        <w:rPr>
          <w:rFonts w:ascii="宋体"/>
        </w:rPr>
      </w:pPr>
      <w:r>
        <w:rPr>
          <w:rFonts w:ascii="宋体"/>
        </w:rPr>
        <w:t>（1）基础工程不得使用混凝土多孔砖。</w:t>
      </w:r>
    </w:p>
    <w:p>
      <w:pPr>
        <w:pStyle w:val="1280"/>
        <w:ind w:firstLine="440"/>
        <w:rPr>
          <w:rFonts w:ascii="宋体"/>
        </w:rPr>
      </w:pPr>
      <w:r>
        <w:rPr>
          <w:rFonts w:ascii="宋体"/>
        </w:rPr>
        <w:t>（2）多孔砖在运输装卸过程中，严禁倾倒和抛掷。进场后应按强度等级分类堆放整齐，堆置高度不宜超过2m。</w:t>
      </w:r>
    </w:p>
    <w:p>
      <w:pPr>
        <w:pStyle w:val="1280"/>
        <w:ind w:firstLine="440"/>
        <w:rPr>
          <w:rFonts w:ascii="宋体"/>
        </w:rPr>
      </w:pPr>
      <w:r>
        <w:rPr>
          <w:rFonts w:ascii="宋体"/>
        </w:rPr>
        <w:t>（3）砌体宜采用一顺一丁或梅花丁的砌筑形式。</w:t>
      </w:r>
    </w:p>
    <w:p>
      <w:pPr>
        <w:pStyle w:val="1280"/>
        <w:ind w:firstLine="440"/>
        <w:rPr>
          <w:rFonts w:ascii="宋体"/>
        </w:rPr>
      </w:pPr>
      <w:r>
        <w:rPr>
          <w:rFonts w:ascii="宋体"/>
        </w:rPr>
        <w:t>（4）砌筑砌体时，多孔砖的孔洞应垂直于受压面，砌筑前应试摆。</w:t>
      </w:r>
    </w:p>
    <w:p>
      <w:pPr>
        <w:pStyle w:val="1280"/>
        <w:ind w:firstLine="440"/>
        <w:rPr>
          <w:rFonts w:ascii="宋体"/>
        </w:rPr>
      </w:pPr>
      <w:r>
        <w:rPr>
          <w:rFonts w:ascii="宋体"/>
        </w:rPr>
        <w:t>砌体灰缝应横平竖直，水平灰缝和竖向灰缝宽度应符合GB50203-2011规范第4.2.3条的规定。</w:t>
      </w:r>
    </w:p>
    <w:p>
      <w:pPr>
        <w:pStyle w:val="1280"/>
        <w:ind w:firstLine="440"/>
        <w:rPr>
          <w:rFonts w:ascii="宋体"/>
        </w:rPr>
      </w:pPr>
      <w:r>
        <w:rPr>
          <w:rFonts w:ascii="宋体"/>
        </w:rPr>
        <w:t>（5）砌体水平灰缝砂浆饱满度不得小于80％。竖缝砌筑应刮浆适宜并加浆填灌，不得出现透明缝，严禁用水冲浆灌缝。</w:t>
      </w:r>
    </w:p>
    <w:p>
      <w:pPr>
        <w:pStyle w:val="1280"/>
        <w:ind w:firstLine="440"/>
        <w:rPr>
          <w:rFonts w:ascii="宋体"/>
        </w:rPr>
      </w:pPr>
      <w:r>
        <w:rPr>
          <w:rFonts w:ascii="宋体"/>
        </w:rPr>
        <w:t>（6）门窗洞口的预埋木砖、铁件等应采用与多孔砖横截面一致的规格。</w:t>
      </w:r>
    </w:p>
    <w:p>
      <w:pPr>
        <w:pStyle w:val="1288"/>
        <w:outlineLvl w:val="0"/>
        <w:rPr>
          <w:rFonts w:ascii="宋体" w:hAnsi="宋体"/>
          <w:color w:val="auto"/>
        </w:rPr>
      </w:pPr>
      <w:bookmarkStart w:id="3848" w:name="_Toc106049948"/>
      <w:bookmarkStart w:id="3849" w:name="_Toc106883211"/>
      <w:r>
        <w:rPr>
          <w:rFonts w:hint="eastAsia" w:ascii="宋体" w:hAnsi="宋体"/>
          <w:color w:val="auto"/>
        </w:rPr>
        <w:t>4</w:t>
      </w:r>
      <w:r>
        <w:rPr>
          <w:rFonts w:ascii="宋体" w:hAnsi="宋体"/>
          <w:color w:val="auto"/>
        </w:rPr>
        <w:t>.</w:t>
      </w:r>
      <w:r>
        <w:rPr>
          <w:rFonts w:hint="eastAsia" w:ascii="宋体" w:hAnsi="宋体"/>
          <w:color w:val="auto"/>
        </w:rPr>
        <w:t>1</w:t>
      </w:r>
      <w:r>
        <w:rPr>
          <w:rFonts w:ascii="宋体" w:hAnsi="宋体"/>
          <w:color w:val="auto"/>
        </w:rPr>
        <w:t>.3.6  混凝土多孔砖工程</w:t>
      </w:r>
      <w:bookmarkEnd w:id="3848"/>
      <w:bookmarkEnd w:id="3849"/>
    </w:p>
    <w:p>
      <w:pPr>
        <w:pStyle w:val="1280"/>
        <w:ind w:firstLine="440"/>
        <w:outlineLvl w:val="0"/>
        <w:rPr>
          <w:rFonts w:ascii="宋体"/>
        </w:rPr>
      </w:pPr>
      <w:bookmarkStart w:id="3850" w:name="_Toc106049949"/>
      <w:bookmarkStart w:id="3851" w:name="_Toc106883212"/>
      <w:r>
        <w:rPr>
          <w:rFonts w:hint="eastAsia" w:ascii="宋体"/>
        </w:rPr>
        <w:t>4</w:t>
      </w:r>
      <w:r>
        <w:rPr>
          <w:rFonts w:ascii="宋体"/>
        </w:rPr>
        <w:t>.</w:t>
      </w:r>
      <w:r>
        <w:rPr>
          <w:rFonts w:hint="eastAsia" w:ascii="宋体"/>
        </w:rPr>
        <w:t>1.</w:t>
      </w:r>
      <w:r>
        <w:rPr>
          <w:rFonts w:ascii="宋体"/>
        </w:rPr>
        <w:t>3.6.1  一般规定</w:t>
      </w:r>
      <w:bookmarkEnd w:id="3850"/>
      <w:bookmarkEnd w:id="3851"/>
    </w:p>
    <w:p>
      <w:pPr>
        <w:pStyle w:val="1280"/>
        <w:ind w:firstLine="440"/>
        <w:rPr>
          <w:rFonts w:ascii="宋体"/>
        </w:rPr>
      </w:pPr>
      <w:r>
        <w:rPr>
          <w:rFonts w:ascii="宋体"/>
        </w:rPr>
        <w:t>（1）承重墙体严禁使用断裂砌块或壁肋中有竖向裂缝的砌块。</w:t>
      </w:r>
    </w:p>
    <w:p>
      <w:pPr>
        <w:pStyle w:val="1280"/>
        <w:ind w:firstLine="440"/>
        <w:rPr>
          <w:rFonts w:ascii="宋体"/>
        </w:rPr>
      </w:pPr>
      <w:r>
        <w:rPr>
          <w:rFonts w:ascii="宋体"/>
        </w:rPr>
        <w:t>（2）基础和底层墙体施工前，应分别用钢尺校核房屋的放线尺寸，并根据砌块尺寸和灰缝厚度确定皮数和排数。砌体的尺寸和位置的允许偏差应符合现行行业标准《混凝土多孔砖建筑技术规程》的规定。</w:t>
      </w:r>
    </w:p>
    <w:p>
      <w:pPr>
        <w:pStyle w:val="1280"/>
        <w:ind w:firstLine="440"/>
        <w:rPr>
          <w:rFonts w:ascii="宋体"/>
        </w:rPr>
      </w:pPr>
      <w:r>
        <w:rPr>
          <w:rFonts w:ascii="宋体"/>
        </w:rPr>
        <w:t>（3）底层室内底面以下或防潮层以下的砌体，应采用强度等级不低于C15的混凝土灌实砌体孔洞或为混凝土实心砖。</w:t>
      </w:r>
    </w:p>
    <w:p>
      <w:pPr>
        <w:pStyle w:val="1280"/>
        <w:ind w:firstLine="440"/>
        <w:rPr>
          <w:rFonts w:ascii="宋体"/>
        </w:rPr>
      </w:pPr>
      <w:r>
        <w:rPr>
          <w:rFonts w:ascii="宋体"/>
        </w:rPr>
        <w:t>（4）砌块砌筑时的含水率，对普通混凝土砌块，宜为自然含水率；当天气干燥炎热时，可提前喷水湿润。严禁雨天施工；砌块表面有浮水时，亦不得施工。</w:t>
      </w:r>
    </w:p>
    <w:p>
      <w:pPr>
        <w:pStyle w:val="1280"/>
        <w:ind w:firstLine="440"/>
        <w:rPr>
          <w:rFonts w:ascii="宋体"/>
        </w:rPr>
      </w:pPr>
      <w:r>
        <w:rPr>
          <w:rFonts w:ascii="宋体"/>
        </w:rPr>
        <w:t>（5）防潮层以上的砌块砌体，应采用水泥混合砂浆或专用砂砌筑，并宜采取改善砂浆和易性和粘接性的措施。</w:t>
      </w:r>
    </w:p>
    <w:p>
      <w:pPr>
        <w:pStyle w:val="1280"/>
        <w:ind w:firstLine="440"/>
        <w:outlineLvl w:val="0"/>
        <w:rPr>
          <w:rFonts w:ascii="宋体"/>
        </w:rPr>
      </w:pPr>
      <w:bookmarkStart w:id="3852" w:name="_Toc106049950"/>
      <w:bookmarkStart w:id="3853" w:name="_Toc106883213"/>
      <w:r>
        <w:rPr>
          <w:rFonts w:hint="eastAsia" w:ascii="宋体"/>
        </w:rPr>
        <w:t>4</w:t>
      </w:r>
      <w:r>
        <w:rPr>
          <w:rFonts w:ascii="宋体"/>
        </w:rPr>
        <w:t>.</w:t>
      </w:r>
      <w:r>
        <w:rPr>
          <w:rFonts w:hint="eastAsia" w:ascii="宋体"/>
        </w:rPr>
        <w:t>1.</w:t>
      </w:r>
      <w:r>
        <w:rPr>
          <w:rFonts w:ascii="宋体"/>
        </w:rPr>
        <w:t>3.6.2  砌筑</w:t>
      </w:r>
      <w:bookmarkEnd w:id="3852"/>
      <w:bookmarkEnd w:id="3853"/>
    </w:p>
    <w:p>
      <w:pPr>
        <w:pStyle w:val="1280"/>
        <w:ind w:firstLine="440"/>
        <w:rPr>
          <w:rFonts w:ascii="宋体"/>
        </w:rPr>
      </w:pPr>
      <w:r>
        <w:rPr>
          <w:rFonts w:ascii="宋体"/>
        </w:rPr>
        <w:t>（1）砌筑墙体时，砌块的生产龄期不应小于28天，并应清除表面污物，提除外观质量不合格的砌块。</w:t>
      </w:r>
    </w:p>
    <w:p>
      <w:pPr>
        <w:pStyle w:val="1280"/>
        <w:ind w:firstLine="440"/>
        <w:rPr>
          <w:rFonts w:ascii="宋体"/>
        </w:rPr>
      </w:pPr>
      <w:r>
        <w:rPr>
          <w:rFonts w:ascii="宋体"/>
        </w:rPr>
        <w:t>（2）使用单排孔砌块砌筑墙体时，应对孔错缝搭砌；使用多排孔砌块砌筑墙体时，应错缝搭砌，搭接长度不应小于120mm。墙体的个别部位不能满足上述要求时，应在灰缝中设置拉结钢筋或钢筋网片，但竖向通缝仍不得超过两皮砌块。</w:t>
      </w:r>
    </w:p>
    <w:p>
      <w:pPr>
        <w:pStyle w:val="1280"/>
        <w:ind w:firstLine="440"/>
        <w:rPr>
          <w:rFonts w:ascii="宋体"/>
        </w:rPr>
      </w:pPr>
      <w:r>
        <w:rPr>
          <w:rFonts w:ascii="宋体"/>
        </w:rPr>
        <w:t>砌块应底面朝上反砌于墙体上。</w:t>
      </w:r>
    </w:p>
    <w:p>
      <w:pPr>
        <w:pStyle w:val="1280"/>
        <w:ind w:firstLine="440"/>
        <w:rPr>
          <w:rFonts w:ascii="宋体"/>
        </w:rPr>
      </w:pPr>
      <w:r>
        <w:rPr>
          <w:rFonts w:ascii="宋体"/>
        </w:rPr>
        <w:t>（3）墙体的转角处和内外墙交接处应同时砌筑。墙体临时间断处应砌成斜槎，斜槎长度与高度比应按砌块的规格尺寸确定。</w:t>
      </w:r>
    </w:p>
    <w:p>
      <w:pPr>
        <w:pStyle w:val="1280"/>
        <w:ind w:firstLine="440"/>
        <w:rPr>
          <w:rFonts w:ascii="宋体"/>
        </w:rPr>
      </w:pPr>
      <w:r>
        <w:rPr>
          <w:rFonts w:ascii="宋体"/>
        </w:rPr>
        <w:t>除外墙转角处外，墙体临时间断处可从墙面伸出200mm砌成直槎，并应沿墙高每隔600mm设2Φ6拉结筋或钢筋网片；拉结筋或钢筋网片必须准确埋入灰缝或芯柱内；埋入长度，从留槎处算起，每边均不应小于600mm，外露部分不得随意弯折。</w:t>
      </w:r>
    </w:p>
    <w:p>
      <w:pPr>
        <w:pStyle w:val="1280"/>
        <w:ind w:firstLine="440"/>
        <w:rPr>
          <w:rFonts w:ascii="宋体"/>
        </w:rPr>
      </w:pPr>
      <w:r>
        <w:rPr>
          <w:rFonts w:ascii="宋体"/>
        </w:rPr>
        <w:t>（4）砌块砌体的水平灰缝应平直，按净面积计算的砂浆饱满度不应低于90%。</w:t>
      </w:r>
    </w:p>
    <w:p>
      <w:pPr>
        <w:pStyle w:val="1280"/>
        <w:ind w:firstLine="440"/>
        <w:rPr>
          <w:rFonts w:ascii="宋体"/>
        </w:rPr>
      </w:pPr>
      <w:r>
        <w:rPr>
          <w:rFonts w:ascii="宋体"/>
        </w:rPr>
        <w:t>竖向灰缝应采用加浆方法，使其砂浆饱满，严禁用水冲缝；不得出现瞎缝、透明缝；竖缝的砂浆饱满度不宜低于90％。</w:t>
      </w:r>
    </w:p>
    <w:p>
      <w:pPr>
        <w:pStyle w:val="1280"/>
        <w:ind w:firstLine="440"/>
        <w:rPr>
          <w:rFonts w:ascii="宋体"/>
        </w:rPr>
      </w:pPr>
      <w:r>
        <w:rPr>
          <w:rFonts w:ascii="宋体"/>
        </w:rPr>
        <w:t>（5）砌块砌体的水平灰缝厚度和竖向灰缝宽度宜为10mm，但不应小于8mm，也不应大于12mm。砌筑时的一次铺灰长度不宜超过2块主规格块体的长度。</w:t>
      </w:r>
    </w:p>
    <w:p>
      <w:pPr>
        <w:pStyle w:val="1280"/>
        <w:ind w:firstLine="440"/>
        <w:rPr>
          <w:rFonts w:ascii="宋体"/>
        </w:rPr>
      </w:pPr>
      <w:r>
        <w:rPr>
          <w:rFonts w:ascii="宋体"/>
        </w:rPr>
        <w:t>（6）需要移动砌体中的砌块或被撞动的砌块时，应重新铺砌。</w:t>
      </w:r>
    </w:p>
    <w:p>
      <w:pPr>
        <w:pStyle w:val="1280"/>
        <w:ind w:firstLine="440"/>
        <w:rPr>
          <w:rFonts w:ascii="宋体"/>
        </w:rPr>
      </w:pPr>
      <w:r>
        <w:rPr>
          <w:rFonts w:ascii="宋体"/>
        </w:rPr>
        <w:t>（7）对设计规定的洞口、管道、沟槽和预埋件，应在砌筑墙体时预留和预埋，不得随意打凿已砌好的墙体。</w:t>
      </w:r>
    </w:p>
    <w:p>
      <w:pPr>
        <w:pStyle w:val="1280"/>
        <w:ind w:firstLine="440"/>
        <w:rPr>
          <w:rFonts w:ascii="宋体"/>
        </w:rPr>
      </w:pPr>
      <w:r>
        <w:rPr>
          <w:rFonts w:ascii="宋体"/>
        </w:rPr>
        <w:t>（8）需要在墙上设置脚手眼时，可用辅助规格的砌块侧砌，利用其孔洞作脚手眼，墙体完工后应采用不低于强度等级为C15的混凝土填实。空心砌块墙的下列部位不得留置脚手眼：</w:t>
      </w:r>
    </w:p>
    <w:p>
      <w:pPr>
        <w:pStyle w:val="1280"/>
        <w:ind w:firstLine="440"/>
        <w:rPr>
          <w:rFonts w:ascii="宋体"/>
        </w:rPr>
      </w:pPr>
      <w:r>
        <w:rPr>
          <w:rFonts w:ascii="宋体"/>
        </w:rPr>
        <w:t>a. 过梁上部与过梁成60度角的三角形范围</w:t>
      </w:r>
    </w:p>
    <w:p>
      <w:pPr>
        <w:pStyle w:val="1280"/>
        <w:ind w:firstLine="440"/>
        <w:rPr>
          <w:rFonts w:ascii="宋体"/>
        </w:rPr>
      </w:pPr>
      <w:r>
        <w:rPr>
          <w:rFonts w:ascii="宋体"/>
        </w:rPr>
        <w:t>b. 宽度小于800mm的窗间墙</w:t>
      </w:r>
    </w:p>
    <w:p>
      <w:pPr>
        <w:pStyle w:val="1280"/>
        <w:ind w:firstLine="440"/>
        <w:rPr>
          <w:rFonts w:ascii="宋体"/>
        </w:rPr>
      </w:pPr>
      <w:r>
        <w:rPr>
          <w:rFonts w:ascii="宋体"/>
        </w:rPr>
        <w:t>c. 门窗洞口两侧200mm和墙体交接处400mm范围内</w:t>
      </w:r>
    </w:p>
    <w:p>
      <w:pPr>
        <w:pStyle w:val="1280"/>
        <w:ind w:firstLine="440"/>
        <w:rPr>
          <w:rFonts w:ascii="宋体"/>
        </w:rPr>
      </w:pPr>
      <w:r>
        <w:rPr>
          <w:rFonts w:ascii="宋体"/>
        </w:rPr>
        <w:t>d. 梁或梁垫下及左右各500mm范围内</w:t>
      </w:r>
    </w:p>
    <w:p>
      <w:pPr>
        <w:pStyle w:val="1280"/>
        <w:ind w:firstLine="440"/>
        <w:rPr>
          <w:rFonts w:ascii="宋体"/>
        </w:rPr>
      </w:pPr>
      <w:r>
        <w:rPr>
          <w:rFonts w:ascii="宋体"/>
        </w:rPr>
        <w:t>e. 设计规定不允许</w:t>
      </w:r>
    </w:p>
    <w:p>
      <w:pPr>
        <w:pStyle w:val="1280"/>
        <w:ind w:firstLine="440"/>
        <w:rPr>
          <w:rFonts w:ascii="宋体"/>
        </w:rPr>
      </w:pPr>
      <w:r>
        <w:rPr>
          <w:rFonts w:ascii="宋体"/>
        </w:rPr>
        <w:t>（9）墙体中作为施工通道的临时洞口，其侧边离交接处的墙面不应小于600mm，并在顶部设过梁；填砌临时洞口的砌筑砂浆强度等级宜提高一级。</w:t>
      </w:r>
    </w:p>
    <w:p>
      <w:pPr>
        <w:pStyle w:val="1280"/>
        <w:ind w:firstLine="440"/>
        <w:rPr>
          <w:rFonts w:ascii="宋体"/>
        </w:rPr>
      </w:pPr>
      <w:r>
        <w:rPr>
          <w:rFonts w:ascii="宋体"/>
        </w:rPr>
        <w:t>（10）常温条件下，砌块墙体的日砌筑高度，宜控制在1.5m或一步脚手架高度内。</w:t>
      </w:r>
    </w:p>
    <w:p>
      <w:pPr>
        <w:pStyle w:val="1280"/>
        <w:ind w:firstLine="440"/>
        <w:outlineLvl w:val="0"/>
        <w:rPr>
          <w:rFonts w:ascii="宋体"/>
        </w:rPr>
      </w:pPr>
      <w:bookmarkStart w:id="3854" w:name="_Toc106049951"/>
      <w:bookmarkStart w:id="3855" w:name="_Toc106883214"/>
      <w:r>
        <w:rPr>
          <w:rFonts w:hint="eastAsia" w:ascii="宋体"/>
        </w:rPr>
        <w:t>4</w:t>
      </w:r>
      <w:r>
        <w:rPr>
          <w:rFonts w:ascii="宋体"/>
        </w:rPr>
        <w:t>.</w:t>
      </w:r>
      <w:r>
        <w:rPr>
          <w:rFonts w:hint="eastAsia" w:ascii="宋体"/>
        </w:rPr>
        <w:t>1.</w:t>
      </w:r>
      <w:r>
        <w:rPr>
          <w:rFonts w:ascii="宋体"/>
        </w:rPr>
        <w:t>3.6.3  围墙砌筑</w:t>
      </w:r>
      <w:bookmarkEnd w:id="3854"/>
      <w:bookmarkEnd w:id="3855"/>
    </w:p>
    <w:p>
      <w:pPr>
        <w:pStyle w:val="1280"/>
        <w:ind w:firstLine="440"/>
        <w:rPr>
          <w:rFonts w:ascii="宋体"/>
        </w:rPr>
      </w:pPr>
      <w:r>
        <w:rPr>
          <w:rFonts w:ascii="宋体"/>
        </w:rPr>
        <w:t>（1）围墙采用砖砌</w:t>
      </w:r>
      <w:r>
        <w:rPr>
          <w:rFonts w:hint="eastAsia" w:ascii="宋体"/>
        </w:rPr>
        <w:t>和金属组合</w:t>
      </w:r>
      <w:r>
        <w:rPr>
          <w:rFonts w:ascii="宋体"/>
        </w:rPr>
        <w:t>围墙或者混凝土砌块，局部现浇混凝土，砌块强度等级不得低于MU5。</w:t>
      </w:r>
    </w:p>
    <w:p>
      <w:pPr>
        <w:pStyle w:val="1280"/>
        <w:ind w:firstLine="440"/>
        <w:rPr>
          <w:rFonts w:ascii="宋体"/>
        </w:rPr>
      </w:pPr>
      <w:r>
        <w:rPr>
          <w:rFonts w:ascii="宋体"/>
        </w:rPr>
        <w:t>（2）室外地坪以下应采用不低于M10的水泥砂浆砌筑，砌块孔洞混凝土灌实至地上200；室外地坪以上的砌体一般采用混合砂浆砌筑，砂浆强度等级不得低于M5。</w:t>
      </w:r>
    </w:p>
    <w:p>
      <w:pPr>
        <w:pStyle w:val="1280"/>
        <w:ind w:firstLine="440"/>
        <w:rPr>
          <w:rFonts w:ascii="宋体"/>
        </w:rPr>
      </w:pPr>
      <w:r>
        <w:rPr>
          <w:rFonts w:ascii="宋体"/>
        </w:rPr>
        <w:t>（3）混凝土强度等级均采用C15。</w:t>
      </w:r>
    </w:p>
    <w:p>
      <w:pPr>
        <w:pStyle w:val="1280"/>
        <w:ind w:firstLine="440"/>
        <w:rPr>
          <w:rFonts w:ascii="宋体"/>
        </w:rPr>
      </w:pPr>
      <w:r>
        <w:rPr>
          <w:rFonts w:ascii="宋体"/>
        </w:rPr>
        <w:t>（4）预埋铁件均应进行防锈处理。</w:t>
      </w:r>
    </w:p>
    <w:p>
      <w:pPr>
        <w:pStyle w:val="1280"/>
        <w:ind w:firstLine="440"/>
        <w:rPr>
          <w:rFonts w:ascii="宋体"/>
        </w:rPr>
      </w:pPr>
      <w:r>
        <w:rPr>
          <w:rFonts w:ascii="宋体"/>
        </w:rPr>
        <w:t>（5）围墙伸缩间距宜为3倍围墙高度，且不应大于15米。</w:t>
      </w:r>
    </w:p>
    <w:p>
      <w:pPr>
        <w:pStyle w:val="1280"/>
        <w:ind w:firstLine="440"/>
        <w:rPr>
          <w:rFonts w:ascii="宋体"/>
        </w:rPr>
      </w:pPr>
      <w:r>
        <w:rPr>
          <w:rFonts w:ascii="宋体"/>
        </w:rPr>
        <w:t>（</w:t>
      </w:r>
      <w:r>
        <w:rPr>
          <w:rFonts w:hint="eastAsia" w:ascii="宋体"/>
        </w:rPr>
        <w:t>6</w:t>
      </w:r>
      <w:r>
        <w:rPr>
          <w:rFonts w:ascii="宋体"/>
        </w:rPr>
        <w:t>）柱与墙，墙与墙交接处凡出现通缝时，均应采用长1000，2￠6@400钢筋拉结。</w:t>
      </w:r>
    </w:p>
    <w:p>
      <w:pPr>
        <w:pStyle w:val="1280"/>
        <w:ind w:firstLine="440"/>
        <w:rPr>
          <w:rFonts w:ascii="宋体"/>
        </w:rPr>
      </w:pPr>
      <w:r>
        <w:rPr>
          <w:rFonts w:ascii="宋体"/>
        </w:rPr>
        <w:t>（</w:t>
      </w:r>
      <w:r>
        <w:rPr>
          <w:rFonts w:hint="eastAsia" w:ascii="宋体"/>
        </w:rPr>
        <w:t>7</w:t>
      </w:r>
      <w:r>
        <w:rPr>
          <w:rFonts w:ascii="宋体"/>
        </w:rPr>
        <w:t>）围墙每隔一皮砌块在水平灰缝内配2￠4焊接钢筋网片，分布筋间距400。</w:t>
      </w:r>
    </w:p>
    <w:p>
      <w:pPr>
        <w:pStyle w:val="1280"/>
        <w:ind w:firstLine="440"/>
        <w:outlineLvl w:val="0"/>
        <w:rPr>
          <w:rFonts w:ascii="宋体"/>
        </w:rPr>
      </w:pPr>
      <w:bookmarkStart w:id="3856" w:name="_Toc106049952"/>
      <w:bookmarkStart w:id="3857" w:name="_Toc106883215"/>
      <w:r>
        <w:rPr>
          <w:rFonts w:hint="eastAsia" w:ascii="宋体"/>
        </w:rPr>
        <w:t>4</w:t>
      </w:r>
      <w:r>
        <w:rPr>
          <w:rFonts w:ascii="宋体"/>
        </w:rPr>
        <w:t>.</w:t>
      </w:r>
      <w:r>
        <w:rPr>
          <w:rFonts w:hint="eastAsia" w:ascii="宋体"/>
        </w:rPr>
        <w:t>1.</w:t>
      </w:r>
      <w:r>
        <w:rPr>
          <w:rFonts w:ascii="宋体"/>
        </w:rPr>
        <w:t>3.6.4  花坛砌筑</w:t>
      </w:r>
      <w:bookmarkEnd w:id="3856"/>
      <w:bookmarkEnd w:id="3857"/>
    </w:p>
    <w:p>
      <w:pPr>
        <w:pStyle w:val="1280"/>
        <w:ind w:firstLine="440"/>
        <w:rPr>
          <w:rFonts w:ascii="宋体"/>
        </w:rPr>
      </w:pPr>
      <w:r>
        <w:rPr>
          <w:rFonts w:ascii="宋体"/>
        </w:rPr>
        <w:t>（1）花坛紧靠建筑物外墙必须设防潮层。做法为外墙抹20厚1：2水泥砂浆内渗3%防水粉，再附加一层防水卷材至地下1200。</w:t>
      </w:r>
    </w:p>
    <w:p>
      <w:pPr>
        <w:pStyle w:val="1280"/>
        <w:ind w:firstLine="440"/>
        <w:rPr>
          <w:rFonts w:ascii="宋体"/>
        </w:rPr>
      </w:pPr>
      <w:r>
        <w:rPr>
          <w:rFonts w:ascii="宋体"/>
        </w:rPr>
        <w:t>（2）花坛深度大于等于冰冻线深度。</w:t>
      </w:r>
    </w:p>
    <w:p>
      <w:pPr>
        <w:pStyle w:val="1280"/>
        <w:ind w:firstLine="440"/>
        <w:rPr>
          <w:rFonts w:ascii="宋体"/>
        </w:rPr>
      </w:pPr>
      <w:r>
        <w:rPr>
          <w:rFonts w:ascii="宋体"/>
        </w:rPr>
        <w:t>（3）花坛内种植土高度宜低于池边50mm。</w:t>
      </w:r>
    </w:p>
    <w:p>
      <w:pPr>
        <w:pStyle w:val="1280"/>
        <w:ind w:firstLine="440"/>
        <w:rPr>
          <w:rFonts w:ascii="宋体"/>
        </w:rPr>
      </w:pPr>
      <w:r>
        <w:rPr>
          <w:rFonts w:ascii="宋体"/>
        </w:rPr>
        <w:t>（4）选用砌体时，不得采用不适于做基础的多孔吸水性砌块。</w:t>
      </w:r>
    </w:p>
    <w:p>
      <w:pPr>
        <w:pStyle w:val="1284"/>
        <w:outlineLvl w:val="0"/>
        <w:rPr>
          <w:rFonts w:ascii="宋体" w:hAnsi="宋体"/>
        </w:rPr>
      </w:pPr>
      <w:bookmarkStart w:id="3858" w:name="_Toc521492265"/>
      <w:bookmarkStart w:id="3859" w:name="_Toc521493122"/>
      <w:bookmarkStart w:id="3860" w:name="_Toc521493796"/>
      <w:bookmarkStart w:id="3861" w:name="_Toc106883216"/>
      <w:r>
        <w:rPr>
          <w:rFonts w:hint="eastAsia" w:ascii="宋体" w:hAnsi="宋体"/>
        </w:rPr>
        <w:t>4</w:t>
      </w:r>
      <w:r>
        <w:rPr>
          <w:rFonts w:ascii="宋体" w:hAnsi="宋体"/>
        </w:rPr>
        <w:t>.1.4  建筑装饰</w:t>
      </w:r>
      <w:bookmarkEnd w:id="3858"/>
      <w:bookmarkEnd w:id="3859"/>
      <w:bookmarkEnd w:id="3860"/>
      <w:bookmarkEnd w:id="3861"/>
    </w:p>
    <w:p>
      <w:pPr>
        <w:pStyle w:val="1288"/>
        <w:outlineLvl w:val="0"/>
        <w:rPr>
          <w:rFonts w:ascii="宋体" w:hAnsi="宋体"/>
          <w:color w:val="auto"/>
        </w:rPr>
      </w:pPr>
      <w:bookmarkStart w:id="3862" w:name="_Toc106049954"/>
      <w:bookmarkStart w:id="3863" w:name="_Toc106883217"/>
      <w:r>
        <w:rPr>
          <w:rFonts w:hint="eastAsia" w:ascii="宋体" w:hAnsi="宋体"/>
          <w:color w:val="auto"/>
        </w:rPr>
        <w:t>4</w:t>
      </w:r>
      <w:r>
        <w:rPr>
          <w:rFonts w:ascii="宋体" w:hAnsi="宋体"/>
          <w:color w:val="auto"/>
        </w:rPr>
        <w:t>.1.4.1  范围</w:t>
      </w:r>
      <w:bookmarkEnd w:id="3862"/>
      <w:bookmarkEnd w:id="3863"/>
    </w:p>
    <w:p>
      <w:pPr>
        <w:pStyle w:val="1280"/>
        <w:ind w:firstLine="440"/>
        <w:rPr>
          <w:rFonts w:ascii="宋体"/>
        </w:rPr>
      </w:pPr>
      <w:r>
        <w:rPr>
          <w:rFonts w:ascii="宋体"/>
        </w:rPr>
        <w:t>本节适用于建筑装饰工程的施工及验收。</w:t>
      </w:r>
    </w:p>
    <w:p>
      <w:pPr>
        <w:pStyle w:val="1288"/>
        <w:outlineLvl w:val="0"/>
        <w:rPr>
          <w:rFonts w:ascii="宋体" w:hAnsi="宋体"/>
          <w:color w:val="auto"/>
        </w:rPr>
      </w:pPr>
      <w:bookmarkStart w:id="3864" w:name="_Toc106049955"/>
      <w:bookmarkStart w:id="3865" w:name="_Toc106883218"/>
      <w:r>
        <w:rPr>
          <w:rFonts w:hint="eastAsia" w:ascii="宋体" w:hAnsi="宋体"/>
          <w:color w:val="auto"/>
        </w:rPr>
        <w:t>4</w:t>
      </w:r>
      <w:r>
        <w:rPr>
          <w:rFonts w:ascii="宋体" w:hAnsi="宋体"/>
          <w:color w:val="auto"/>
        </w:rPr>
        <w:t>.1.4.2  参照标准</w:t>
      </w:r>
      <w:bookmarkEnd w:id="3864"/>
      <w:bookmarkEnd w:id="3865"/>
    </w:p>
    <w:p>
      <w:pPr>
        <w:pStyle w:val="1280"/>
        <w:ind w:firstLine="440"/>
        <w:rPr>
          <w:rFonts w:ascii="宋体"/>
        </w:rPr>
      </w:pPr>
      <w:r>
        <w:rPr>
          <w:rFonts w:ascii="宋体"/>
        </w:rPr>
        <w:t>GB50210-2002  建筑装饰装修工程质量验收规范</w:t>
      </w:r>
    </w:p>
    <w:p>
      <w:pPr>
        <w:pStyle w:val="1280"/>
        <w:ind w:firstLine="440"/>
        <w:rPr>
          <w:rFonts w:ascii="宋体"/>
        </w:rPr>
      </w:pPr>
      <w:r>
        <w:rPr>
          <w:rFonts w:hint="eastAsia" w:ascii="宋体"/>
          <w:bCs/>
        </w:rPr>
        <w:t>JGJ/T 110-2017</w:t>
      </w:r>
      <w:r>
        <w:rPr>
          <w:rFonts w:ascii="宋体"/>
        </w:rPr>
        <w:t xml:space="preserve">   建筑工程装饰转粘结强度检验标准</w:t>
      </w:r>
    </w:p>
    <w:p>
      <w:pPr>
        <w:pStyle w:val="1280"/>
        <w:ind w:firstLine="440"/>
        <w:rPr>
          <w:rFonts w:ascii="宋体"/>
        </w:rPr>
      </w:pPr>
      <w:r>
        <w:rPr>
          <w:rFonts w:ascii="宋体"/>
        </w:rPr>
        <w:t>JGJ52-2006    普通混凝土用砂、石质量及检验方法标准</w:t>
      </w:r>
    </w:p>
    <w:p>
      <w:pPr>
        <w:pStyle w:val="1280"/>
        <w:ind w:firstLine="440"/>
        <w:rPr>
          <w:rFonts w:ascii="宋体"/>
        </w:rPr>
      </w:pPr>
      <w:r>
        <w:rPr>
          <w:rFonts w:ascii="宋体"/>
        </w:rPr>
        <w:t>所应用的标准</w:t>
      </w:r>
      <w:r>
        <w:rPr>
          <w:rFonts w:hint="eastAsia" w:ascii="宋体"/>
        </w:rPr>
        <w:t>和规范</w:t>
      </w:r>
      <w:r>
        <w:rPr>
          <w:rFonts w:ascii="宋体"/>
        </w:rPr>
        <w:t>应是最新的且已实施的版本，必须在本招标截止日期之前28天尚在通用的版本。</w:t>
      </w:r>
    </w:p>
    <w:p>
      <w:pPr>
        <w:pStyle w:val="1280"/>
        <w:ind w:firstLine="440"/>
        <w:rPr>
          <w:rFonts w:ascii="宋体"/>
        </w:rPr>
      </w:pPr>
      <w:r>
        <w:rPr>
          <w:rFonts w:ascii="宋体"/>
        </w:rPr>
        <w:t>提交的文件</w:t>
      </w:r>
    </w:p>
    <w:p>
      <w:pPr>
        <w:pStyle w:val="1280"/>
        <w:ind w:firstLine="440"/>
        <w:rPr>
          <w:rFonts w:ascii="宋体"/>
        </w:rPr>
      </w:pPr>
      <w:r>
        <w:rPr>
          <w:rFonts w:ascii="宋体"/>
        </w:rPr>
        <w:t>承包人应在工程装饰前7天，提供施工作业文件，以征得项目监理的同意，文件需包括以下内容：</w:t>
      </w:r>
    </w:p>
    <w:p>
      <w:pPr>
        <w:pStyle w:val="1280"/>
        <w:ind w:firstLine="440"/>
        <w:rPr>
          <w:rFonts w:ascii="宋体"/>
        </w:rPr>
      </w:pPr>
      <w:r>
        <w:rPr>
          <w:rFonts w:ascii="宋体"/>
        </w:rPr>
        <w:t>◆ 宜选择同标准的多种供货商产品供项目监理选择。</w:t>
      </w:r>
    </w:p>
    <w:p>
      <w:pPr>
        <w:pStyle w:val="1280"/>
        <w:ind w:firstLine="440"/>
        <w:rPr>
          <w:rFonts w:ascii="宋体"/>
        </w:rPr>
      </w:pPr>
      <w:r>
        <w:rPr>
          <w:rFonts w:ascii="宋体"/>
        </w:rPr>
        <w:t>◆ 选定产品应提供证明和质保书、维修卡。</w:t>
      </w:r>
    </w:p>
    <w:p>
      <w:pPr>
        <w:pStyle w:val="1280"/>
        <w:ind w:firstLine="440"/>
        <w:rPr>
          <w:rFonts w:ascii="宋体"/>
        </w:rPr>
      </w:pPr>
      <w:r>
        <w:rPr>
          <w:rFonts w:ascii="宋体"/>
        </w:rPr>
        <w:t>◆ 项目监理认为必要的产品试验。</w:t>
      </w:r>
    </w:p>
    <w:p>
      <w:pPr>
        <w:pStyle w:val="1280"/>
        <w:ind w:firstLine="440"/>
        <w:rPr>
          <w:rFonts w:ascii="宋体"/>
        </w:rPr>
      </w:pPr>
      <w:r>
        <w:rPr>
          <w:rFonts w:ascii="宋体"/>
        </w:rPr>
        <w:t>◆ 施工验收所需的各种表格资料的准备。</w:t>
      </w:r>
    </w:p>
    <w:p>
      <w:pPr>
        <w:pStyle w:val="1288"/>
        <w:outlineLvl w:val="0"/>
        <w:rPr>
          <w:rFonts w:ascii="宋体" w:hAnsi="宋体"/>
          <w:color w:val="auto"/>
        </w:rPr>
      </w:pPr>
      <w:bookmarkStart w:id="3866" w:name="_Toc106049956"/>
      <w:bookmarkStart w:id="3867" w:name="_Toc106883219"/>
      <w:r>
        <w:rPr>
          <w:rFonts w:hint="eastAsia" w:ascii="宋体" w:hAnsi="宋体"/>
          <w:color w:val="auto"/>
        </w:rPr>
        <w:t>4</w:t>
      </w:r>
      <w:r>
        <w:rPr>
          <w:rFonts w:ascii="宋体" w:hAnsi="宋体"/>
          <w:color w:val="auto"/>
        </w:rPr>
        <w:t>.1.4.3  基本规定</w:t>
      </w:r>
      <w:bookmarkEnd w:id="3866"/>
      <w:bookmarkEnd w:id="3867"/>
    </w:p>
    <w:p>
      <w:pPr>
        <w:pStyle w:val="1280"/>
        <w:ind w:firstLine="440"/>
        <w:rPr>
          <w:rFonts w:ascii="宋体"/>
        </w:rPr>
      </w:pPr>
      <w:r>
        <w:rPr>
          <w:rFonts w:ascii="宋体"/>
        </w:rPr>
        <w:t>（1）装饰工程所用的材料，应按设计要求选用，并应符合现行材料标准的规定。承包人应在施工前28日提供符合投标书描述的2～3个品牌的样品，供业主和项目监理选择。业主和项目监理选定后，样品封存，作为验收进货品质质量的实物依据。对于品质质量低于样品的，业主和项目监理有权拒收。涉及费用损失，由承包人承担。</w:t>
      </w:r>
    </w:p>
    <w:p>
      <w:pPr>
        <w:pStyle w:val="1280"/>
        <w:ind w:firstLine="440"/>
        <w:rPr>
          <w:rFonts w:ascii="宋体"/>
        </w:rPr>
      </w:pPr>
      <w:r>
        <w:rPr>
          <w:rFonts w:ascii="宋体"/>
        </w:rPr>
        <w:t>（2）对材料质量发生怀疑时，项目监理有权抽样检查，合格后方可使用。</w:t>
      </w:r>
    </w:p>
    <w:p>
      <w:pPr>
        <w:pStyle w:val="1280"/>
        <w:ind w:firstLine="440"/>
        <w:rPr>
          <w:rFonts w:ascii="宋体"/>
        </w:rPr>
      </w:pPr>
      <w:r>
        <w:rPr>
          <w:rFonts w:ascii="宋体"/>
        </w:rPr>
        <w:t>（3）装饰工程所用的砂浆、石灰膏、玻璃、涂料等，宜集中加工和配制。</w:t>
      </w:r>
    </w:p>
    <w:p>
      <w:pPr>
        <w:pStyle w:val="1280"/>
        <w:ind w:firstLine="440"/>
        <w:rPr>
          <w:rFonts w:ascii="宋体"/>
        </w:rPr>
      </w:pPr>
      <w:r>
        <w:rPr>
          <w:rFonts w:ascii="宋体"/>
        </w:rPr>
        <w:t>（4）装饰材料和饰件以及有饰面的构件，在运输、保管和施工过程中，必须采取措施防止损坏和变质。</w:t>
      </w:r>
    </w:p>
    <w:p>
      <w:pPr>
        <w:pStyle w:val="1280"/>
        <w:ind w:firstLine="440"/>
        <w:rPr>
          <w:rFonts w:ascii="宋体"/>
        </w:rPr>
      </w:pPr>
      <w:r>
        <w:rPr>
          <w:rFonts w:ascii="宋体"/>
        </w:rPr>
        <w:t>（5）抹灰、涂料和刷浆工程的等级及适用范围，应符合设计要求。</w:t>
      </w:r>
    </w:p>
    <w:p>
      <w:pPr>
        <w:pStyle w:val="1280"/>
        <w:ind w:firstLine="440"/>
        <w:rPr>
          <w:rFonts w:ascii="宋体"/>
        </w:rPr>
      </w:pPr>
      <w:r>
        <w:rPr>
          <w:rFonts w:ascii="宋体"/>
        </w:rPr>
        <w:t>（6）装饰工程应在基体或基层的质量检验合格后，方可施工。</w:t>
      </w:r>
    </w:p>
    <w:p>
      <w:pPr>
        <w:pStyle w:val="1280"/>
        <w:ind w:firstLine="440"/>
        <w:rPr>
          <w:rFonts w:ascii="宋体"/>
        </w:rPr>
      </w:pPr>
      <w:r>
        <w:rPr>
          <w:rFonts w:ascii="宋体"/>
        </w:rPr>
        <w:t>（7）如项目监理或施工图另有要求，装饰工程施工前，应预先做样板（样品或标准间），并经认可后，方可进行。</w:t>
      </w:r>
    </w:p>
    <w:p>
      <w:pPr>
        <w:pStyle w:val="1280"/>
        <w:ind w:firstLine="440"/>
        <w:rPr>
          <w:rFonts w:ascii="宋体"/>
        </w:rPr>
      </w:pPr>
      <w:r>
        <w:rPr>
          <w:rFonts w:ascii="宋体"/>
        </w:rPr>
        <w:t>（8）室外抹灰和饰面工程的施工，一般应自上而下进行。</w:t>
      </w:r>
    </w:p>
    <w:p>
      <w:pPr>
        <w:pStyle w:val="1280"/>
        <w:ind w:firstLine="440"/>
        <w:rPr>
          <w:rFonts w:ascii="宋体"/>
        </w:rPr>
      </w:pPr>
      <w:r>
        <w:rPr>
          <w:rFonts w:ascii="宋体"/>
        </w:rPr>
        <w:t>（9）室内装饰工程的施工，应待屋面防水工程完工后，并在不致被后继工程所损坏和玷污的条件下进行。</w:t>
      </w:r>
    </w:p>
    <w:p>
      <w:pPr>
        <w:pStyle w:val="1280"/>
        <w:ind w:firstLine="440"/>
        <w:rPr>
          <w:rFonts w:ascii="宋体"/>
        </w:rPr>
      </w:pPr>
      <w:r>
        <w:rPr>
          <w:rFonts w:ascii="宋体"/>
        </w:rPr>
        <w:t>室内抹灰在屋面防水工程完工前施工时，必须采取防护措施。</w:t>
      </w:r>
    </w:p>
    <w:p>
      <w:pPr>
        <w:pStyle w:val="1280"/>
        <w:ind w:firstLine="440"/>
        <w:rPr>
          <w:rFonts w:ascii="宋体"/>
        </w:rPr>
      </w:pPr>
      <w:r>
        <w:rPr>
          <w:rFonts w:ascii="宋体"/>
        </w:rPr>
        <w:t>（10）室内吊顶、隔断的罩面板和花饰等工程，应待室内地（楼）面湿作业完工后施工。</w:t>
      </w:r>
    </w:p>
    <w:p>
      <w:pPr>
        <w:pStyle w:val="1280"/>
        <w:ind w:firstLine="440"/>
        <w:rPr>
          <w:rFonts w:ascii="宋体"/>
        </w:rPr>
      </w:pPr>
      <w:r>
        <w:rPr>
          <w:rFonts w:ascii="宋体"/>
        </w:rPr>
        <w:t>（11）室内装饰工程的施工顺序，应符合下列规定：</w:t>
      </w:r>
    </w:p>
    <w:p>
      <w:pPr>
        <w:pStyle w:val="1280"/>
        <w:ind w:firstLine="440"/>
        <w:rPr>
          <w:rFonts w:ascii="宋体"/>
        </w:rPr>
      </w:pPr>
      <w:r>
        <w:rPr>
          <w:rFonts w:ascii="宋体"/>
        </w:rPr>
        <w:t>a. 抹灰、饰面、吊顶和隔断工程，应待隔墙、钢木门窗框、暗装的管道、电线管和电气预埋件、预制钢筋混凝土楼板灌缝等完工后进行；</w:t>
      </w:r>
    </w:p>
    <w:p>
      <w:pPr>
        <w:pStyle w:val="1280"/>
        <w:ind w:firstLine="440"/>
        <w:rPr>
          <w:rFonts w:ascii="宋体"/>
        </w:rPr>
      </w:pPr>
      <w:r>
        <w:rPr>
          <w:rFonts w:ascii="宋体"/>
        </w:rPr>
        <w:t>b. 钢木门窗及其玻璃工程，根据地区气候条件和抹灰工程的要求，可在湿作业前进行；铝合金、塑料、涂色镀锌钢板门窗及其玻璃工程，宜在湿作业完工后进行，如需在湿作业前进行，必须加强保护；</w:t>
      </w:r>
    </w:p>
    <w:p>
      <w:pPr>
        <w:pStyle w:val="1280"/>
        <w:ind w:firstLine="440"/>
        <w:rPr>
          <w:rFonts w:ascii="宋体"/>
        </w:rPr>
      </w:pPr>
      <w:r>
        <w:rPr>
          <w:rFonts w:ascii="宋体"/>
        </w:rPr>
        <w:t>c. 有抹灰基层的饰面板工程、吊顶及轻型花饰安装工程，应待抹灰工程完工后进行；</w:t>
      </w:r>
    </w:p>
    <w:p>
      <w:pPr>
        <w:pStyle w:val="1280"/>
        <w:ind w:firstLine="440"/>
        <w:rPr>
          <w:rFonts w:ascii="宋体"/>
        </w:rPr>
      </w:pPr>
      <w:r>
        <w:rPr>
          <w:rFonts w:ascii="宋体"/>
        </w:rPr>
        <w:t>d. 涂料、刷浆工程，以及吊顶、隔断罩面板的安装，应在塑料地板、硬质纤维板等地（楼）面的面层和明装电线施工前，以及管道设备试压后进行。木地（楼）板面层的最后一遍涂料，应待裱糊工程完工后进行；</w:t>
      </w:r>
    </w:p>
    <w:p>
      <w:pPr>
        <w:pStyle w:val="1280"/>
        <w:ind w:firstLine="440"/>
        <w:rPr>
          <w:rFonts w:ascii="宋体"/>
        </w:rPr>
      </w:pPr>
      <w:r>
        <w:rPr>
          <w:rFonts w:ascii="宋体"/>
        </w:rPr>
        <w:t>（12）室内外装饰工程施工的环境温度，应符合下列规定：</w:t>
      </w:r>
    </w:p>
    <w:p>
      <w:pPr>
        <w:pStyle w:val="1280"/>
        <w:ind w:firstLine="440"/>
        <w:rPr>
          <w:rFonts w:ascii="宋体"/>
        </w:rPr>
      </w:pPr>
      <w:r>
        <w:rPr>
          <w:rFonts w:ascii="宋体"/>
        </w:rPr>
        <w:t>a. 刷浆、饰面和花饰工程以及高级的抹灰，溶剂型混色涂料工程不应低于5℃；</w:t>
      </w:r>
    </w:p>
    <w:p>
      <w:pPr>
        <w:pStyle w:val="1280"/>
        <w:ind w:firstLine="440"/>
        <w:rPr>
          <w:rFonts w:ascii="宋体"/>
        </w:rPr>
      </w:pPr>
      <w:r>
        <w:rPr>
          <w:rFonts w:ascii="宋体"/>
        </w:rPr>
        <w:t>b. 中级和普通的抹灰，溶剂型混色涂料工程，以及玻璃工程应在0℃以上；</w:t>
      </w:r>
    </w:p>
    <w:p>
      <w:pPr>
        <w:pStyle w:val="1280"/>
        <w:ind w:firstLine="440"/>
        <w:rPr>
          <w:rFonts w:ascii="宋体"/>
        </w:rPr>
      </w:pPr>
      <w:r>
        <w:rPr>
          <w:rFonts w:ascii="宋体"/>
        </w:rPr>
        <w:t>c. 使用胶粘剂时，应按胶粘剂产品说明要求的温度施工；</w:t>
      </w:r>
    </w:p>
    <w:p>
      <w:pPr>
        <w:pStyle w:val="1280"/>
        <w:ind w:firstLine="440"/>
        <w:rPr>
          <w:rFonts w:ascii="宋体"/>
        </w:rPr>
      </w:pPr>
      <w:r>
        <w:rPr>
          <w:rFonts w:ascii="宋体"/>
        </w:rPr>
        <w:t>d. 涂刷清漆不应低于80C，乳胶涂料应按产品说明要求的温度施工；</w:t>
      </w:r>
    </w:p>
    <w:p>
      <w:pPr>
        <w:pStyle w:val="1280"/>
        <w:ind w:firstLine="440"/>
        <w:rPr>
          <w:rFonts w:ascii="宋体"/>
        </w:rPr>
      </w:pPr>
      <w:r>
        <w:rPr>
          <w:rFonts w:ascii="宋体"/>
        </w:rPr>
        <w:t>注：环境温度是指施工现场最低温度。</w:t>
      </w:r>
    </w:p>
    <w:p>
      <w:pPr>
        <w:pStyle w:val="1280"/>
        <w:ind w:firstLine="440"/>
        <w:rPr>
          <w:rFonts w:ascii="宋体"/>
        </w:rPr>
      </w:pPr>
      <w:r>
        <w:rPr>
          <w:rFonts w:ascii="宋体"/>
        </w:rPr>
        <w:t>室内温度应在靠近外墙地面高500mm处测量。</w:t>
      </w:r>
    </w:p>
    <w:p>
      <w:pPr>
        <w:pStyle w:val="1280"/>
        <w:ind w:firstLine="440"/>
        <w:rPr>
          <w:rFonts w:ascii="宋体"/>
        </w:rPr>
      </w:pPr>
      <w:r>
        <w:rPr>
          <w:rFonts w:ascii="宋体"/>
        </w:rPr>
        <w:t>（13）装饰工程必须做好成品保护，施工用水和管道设备试压的水，不得污损装饰工程。</w:t>
      </w:r>
    </w:p>
    <w:p>
      <w:pPr>
        <w:pStyle w:val="1280"/>
        <w:ind w:firstLine="440"/>
        <w:rPr>
          <w:rFonts w:ascii="宋体"/>
        </w:rPr>
      </w:pPr>
      <w:r>
        <w:rPr>
          <w:rFonts w:ascii="宋体"/>
        </w:rPr>
        <w:t>（14）装饰工程施工安全技术、劳动保护、防火、防毒等的要求，应按国家现行的有关规定执行。其材料堆放应注意安全防火。</w:t>
      </w:r>
    </w:p>
    <w:p>
      <w:pPr>
        <w:pStyle w:val="1288"/>
        <w:outlineLvl w:val="0"/>
        <w:rPr>
          <w:rFonts w:ascii="宋体" w:hAnsi="宋体"/>
          <w:color w:val="auto"/>
        </w:rPr>
      </w:pPr>
      <w:bookmarkStart w:id="3868" w:name="_Toc106883220"/>
      <w:bookmarkStart w:id="3869" w:name="_Toc106049957"/>
      <w:r>
        <w:rPr>
          <w:rFonts w:hint="eastAsia" w:ascii="宋体" w:hAnsi="宋体"/>
          <w:color w:val="auto"/>
        </w:rPr>
        <w:t>4</w:t>
      </w:r>
      <w:r>
        <w:rPr>
          <w:rFonts w:ascii="宋体" w:hAnsi="宋体"/>
          <w:color w:val="auto"/>
        </w:rPr>
        <w:t>.1.4.4  抹灰工程</w:t>
      </w:r>
      <w:bookmarkEnd w:id="3868"/>
      <w:bookmarkEnd w:id="3869"/>
    </w:p>
    <w:p>
      <w:pPr>
        <w:pStyle w:val="1280"/>
        <w:ind w:firstLine="440"/>
        <w:rPr>
          <w:rFonts w:ascii="宋体"/>
        </w:rPr>
      </w:pPr>
      <w:r>
        <w:rPr>
          <w:rFonts w:ascii="宋体"/>
        </w:rPr>
        <w:t>本章适用于一般抹灰和装饰抹灰。</w:t>
      </w:r>
    </w:p>
    <w:p>
      <w:pPr>
        <w:pStyle w:val="1280"/>
        <w:ind w:firstLine="440"/>
        <w:outlineLvl w:val="0"/>
        <w:rPr>
          <w:rFonts w:ascii="宋体"/>
        </w:rPr>
      </w:pPr>
      <w:bookmarkStart w:id="3870" w:name="_Toc106049958"/>
      <w:bookmarkStart w:id="3871" w:name="_Toc106883221"/>
      <w:r>
        <w:rPr>
          <w:rFonts w:hint="eastAsia" w:ascii="宋体"/>
        </w:rPr>
        <w:t>4</w:t>
      </w:r>
      <w:r>
        <w:rPr>
          <w:rFonts w:ascii="宋体"/>
        </w:rPr>
        <w:t>.1.4.4.1  一般规定</w:t>
      </w:r>
      <w:bookmarkEnd w:id="3870"/>
      <w:bookmarkEnd w:id="3871"/>
    </w:p>
    <w:p>
      <w:pPr>
        <w:pStyle w:val="1280"/>
        <w:ind w:firstLine="440"/>
        <w:rPr>
          <w:rFonts w:ascii="宋体"/>
        </w:rPr>
      </w:pPr>
      <w:r>
        <w:rPr>
          <w:rFonts w:ascii="宋体"/>
        </w:rPr>
        <w:t>（1）抹灰工程采用的砂浆品种，应按设计要求选用，如设计无要求，应符合下列规定：</w:t>
      </w:r>
    </w:p>
    <w:p>
      <w:pPr>
        <w:pStyle w:val="1280"/>
        <w:ind w:firstLine="440"/>
        <w:rPr>
          <w:rFonts w:ascii="宋体"/>
        </w:rPr>
      </w:pPr>
      <w:r>
        <w:rPr>
          <w:rFonts w:ascii="宋体"/>
        </w:rPr>
        <w:t>a. 外墙门窗洞口的外侧壁、屋檐、勒脚、压檐墙等的抹灰——水泥砂浆或水泥混合砂浆；</w:t>
      </w:r>
    </w:p>
    <w:p>
      <w:pPr>
        <w:pStyle w:val="1280"/>
        <w:ind w:firstLine="440"/>
        <w:rPr>
          <w:rFonts w:ascii="宋体"/>
        </w:rPr>
      </w:pPr>
      <w:r>
        <w:rPr>
          <w:rFonts w:ascii="宋体"/>
        </w:rPr>
        <w:t>b. 湿度较大的房间和车间的抹灰--水泥砂浆或水泥混合砂浆；</w:t>
      </w:r>
    </w:p>
    <w:p>
      <w:pPr>
        <w:pStyle w:val="1280"/>
        <w:ind w:firstLine="440"/>
        <w:rPr>
          <w:rFonts w:ascii="宋体"/>
        </w:rPr>
      </w:pPr>
      <w:r>
        <w:rPr>
          <w:rFonts w:ascii="宋体"/>
        </w:rPr>
        <w:t>c. 混凝土板和墙的底层抹灰--水泥混合砂浆、水泥砂浆或聚合物水泥砂浆；</w:t>
      </w:r>
    </w:p>
    <w:p>
      <w:pPr>
        <w:pStyle w:val="1280"/>
        <w:ind w:firstLine="440"/>
        <w:rPr>
          <w:rFonts w:ascii="宋体"/>
        </w:rPr>
      </w:pPr>
      <w:r>
        <w:rPr>
          <w:rFonts w:ascii="宋体"/>
        </w:rPr>
        <w:t>d. 硅酸盐砌块、加气混凝土块和板的底层抹灰--水泥混合砂浆或聚合物水泥砂浆；</w:t>
      </w:r>
    </w:p>
    <w:p>
      <w:pPr>
        <w:pStyle w:val="1280"/>
        <w:ind w:firstLine="440"/>
        <w:rPr>
          <w:rFonts w:ascii="宋体"/>
        </w:rPr>
      </w:pPr>
      <w:r>
        <w:rPr>
          <w:rFonts w:ascii="宋体"/>
        </w:rPr>
        <w:t>e. 板条、金属网顶棚和墙的底层和中层抹灰——麻刀石灰砂浆。</w:t>
      </w:r>
    </w:p>
    <w:p>
      <w:pPr>
        <w:pStyle w:val="1280"/>
        <w:ind w:firstLine="440"/>
        <w:rPr>
          <w:rFonts w:ascii="宋体"/>
        </w:rPr>
      </w:pPr>
      <w:r>
        <w:rPr>
          <w:rFonts w:ascii="宋体"/>
        </w:rPr>
        <w:t>（2）抹灰砂浆的配合比和稠度等应检查合格后，方可使用。</w:t>
      </w:r>
    </w:p>
    <w:p>
      <w:pPr>
        <w:pStyle w:val="1280"/>
        <w:ind w:firstLine="440"/>
        <w:rPr>
          <w:rFonts w:ascii="宋体"/>
        </w:rPr>
      </w:pPr>
      <w:r>
        <w:rPr>
          <w:rFonts w:ascii="宋体"/>
        </w:rPr>
        <w:t>水泥砂浆及掺有水泥或石膏拌制的砂浆，应控制在初凝前用完。</w:t>
      </w:r>
    </w:p>
    <w:p>
      <w:pPr>
        <w:pStyle w:val="1280"/>
        <w:ind w:firstLine="440"/>
        <w:rPr>
          <w:rFonts w:ascii="宋体"/>
        </w:rPr>
      </w:pPr>
      <w:r>
        <w:rPr>
          <w:rFonts w:ascii="宋体"/>
        </w:rPr>
        <w:t>（3）砂浆中掺用外加剂时，其掺入量应由试验确定。</w:t>
      </w:r>
    </w:p>
    <w:p>
      <w:pPr>
        <w:pStyle w:val="1280"/>
        <w:ind w:firstLine="440"/>
        <w:rPr>
          <w:rFonts w:ascii="宋体"/>
        </w:rPr>
      </w:pPr>
      <w:r>
        <w:rPr>
          <w:rFonts w:ascii="宋体"/>
        </w:rPr>
        <w:t>（4）砖石结构、混凝土结构等相接处基体表面的抹灰，应先铺钉金属网，并绷紧牢固。金属网与各基体的搭接宽度不应小于100mm。</w:t>
      </w:r>
    </w:p>
    <w:p>
      <w:pPr>
        <w:pStyle w:val="1280"/>
        <w:ind w:firstLine="440"/>
        <w:rPr>
          <w:rFonts w:ascii="宋体"/>
        </w:rPr>
      </w:pPr>
      <w:r>
        <w:rPr>
          <w:rFonts w:ascii="宋体"/>
        </w:rPr>
        <w:t>（5）抹灰前，砖石、混凝土等基体表面的灰尘、污斑和油渍等，应清除干净，并洒水润湿。</w:t>
      </w:r>
    </w:p>
    <w:p>
      <w:pPr>
        <w:pStyle w:val="1280"/>
        <w:ind w:firstLine="440"/>
        <w:rPr>
          <w:rFonts w:ascii="宋体"/>
        </w:rPr>
      </w:pPr>
      <w:r>
        <w:rPr>
          <w:rFonts w:ascii="宋体"/>
        </w:rPr>
        <w:t>（6）平整光滑的混凝土表面，如设计无要求时，可不抹灰，用刮腻子处理。墙体太光的抹灰前应凿毛，或掺用界面剂。</w:t>
      </w:r>
    </w:p>
    <w:p>
      <w:pPr>
        <w:pStyle w:val="1280"/>
        <w:ind w:firstLine="440"/>
        <w:rPr>
          <w:rFonts w:ascii="宋体"/>
        </w:rPr>
      </w:pPr>
      <w:r>
        <w:rPr>
          <w:rFonts w:ascii="宋体"/>
        </w:rPr>
        <w:t>（7）抹灰前，应先检查基体表面的平整度，并用与抹灰层相同砂浆设置标志或标筋。对不平的基层表面应剔平，或用1：3水泥砂浆补平。</w:t>
      </w:r>
    </w:p>
    <w:p>
      <w:pPr>
        <w:pStyle w:val="1280"/>
        <w:ind w:firstLine="440"/>
        <w:rPr>
          <w:rFonts w:ascii="宋体"/>
        </w:rPr>
      </w:pPr>
      <w:r>
        <w:rPr>
          <w:rFonts w:ascii="宋体"/>
        </w:rPr>
        <w:t>（8）抹灰前，应检查门窗框位置是否正确，与墙连接是否牢固。连接处的缝隙应用水泥砂浆或水泥混合砂浆（加少量麻刀）分层嵌塞密实。</w:t>
      </w:r>
    </w:p>
    <w:p>
      <w:pPr>
        <w:pStyle w:val="1280"/>
        <w:ind w:firstLine="440"/>
        <w:rPr>
          <w:rFonts w:ascii="宋体"/>
        </w:rPr>
      </w:pPr>
      <w:r>
        <w:rPr>
          <w:rFonts w:ascii="宋体"/>
        </w:rPr>
        <w:t>（9）室内墙面、柱面和门洞口的阳角，宜用1：2水泥砂浆做护角，其高度不应低于2m，每侧宽度不应小于5mm。</w:t>
      </w:r>
    </w:p>
    <w:p>
      <w:pPr>
        <w:pStyle w:val="1280"/>
        <w:ind w:firstLine="440"/>
        <w:rPr>
          <w:rFonts w:ascii="宋体"/>
        </w:rPr>
      </w:pPr>
      <w:r>
        <w:rPr>
          <w:rFonts w:ascii="宋体"/>
        </w:rPr>
        <w:t>（10）室内抹灰工程，应待上下水、煤气等管道安装后进行。抹灰前必须将管道穿越的墙洞和楼板洞填嵌密实。散热器和密集管道等背后的墙面抹灰，宜在散热器和管道安装前进行，抹灰面接槎应顺平。</w:t>
      </w:r>
    </w:p>
    <w:p>
      <w:pPr>
        <w:pStyle w:val="1280"/>
        <w:ind w:firstLine="440"/>
        <w:rPr>
          <w:rFonts w:ascii="宋体"/>
        </w:rPr>
      </w:pPr>
      <w:r>
        <w:rPr>
          <w:rFonts w:ascii="宋体"/>
        </w:rPr>
        <w:t>（11）外墙抹灰工程施工前，应安装好钢木门窗框、阳台栏杆和预埋铁件等，并将墙上的施工孔洞赌塞密实。</w:t>
      </w:r>
    </w:p>
    <w:p>
      <w:pPr>
        <w:pStyle w:val="1280"/>
        <w:ind w:firstLine="440"/>
        <w:rPr>
          <w:rFonts w:ascii="宋体"/>
        </w:rPr>
      </w:pPr>
      <w:r>
        <w:rPr>
          <w:rFonts w:ascii="宋体"/>
        </w:rPr>
        <w:t>（12）外墙窗台、窗楣、雨篷、阳台、压顶和突出腰线等，上面应做流水坡度，下面应做滴水线或滴水槽，滴水槽的深度和宽度均不应小于10mm，并整齐一致。</w:t>
      </w:r>
    </w:p>
    <w:p>
      <w:pPr>
        <w:pStyle w:val="1280"/>
        <w:ind w:firstLine="440"/>
        <w:rPr>
          <w:rFonts w:ascii="宋体"/>
        </w:rPr>
      </w:pPr>
      <w:r>
        <w:rPr>
          <w:rFonts w:ascii="宋体"/>
        </w:rPr>
        <w:t>（13）各种砂浆的抹灰层，在凝结前，应防止快干、水冲、撞击和振动；凝结后，应采取措施防止玷污和损坏。</w:t>
      </w:r>
    </w:p>
    <w:p>
      <w:pPr>
        <w:pStyle w:val="1280"/>
        <w:ind w:firstLine="440"/>
        <w:rPr>
          <w:rFonts w:ascii="宋体"/>
        </w:rPr>
      </w:pPr>
      <w:r>
        <w:rPr>
          <w:rFonts w:ascii="宋体"/>
        </w:rPr>
        <w:t>（14）水泥砂浆的抹灰层，应在湿润的条件下养护。</w:t>
      </w:r>
    </w:p>
    <w:p>
      <w:pPr>
        <w:pStyle w:val="1280"/>
        <w:ind w:firstLine="440"/>
        <w:rPr>
          <w:rFonts w:ascii="宋体"/>
        </w:rPr>
      </w:pPr>
      <w:r>
        <w:rPr>
          <w:rFonts w:ascii="宋体"/>
        </w:rPr>
        <w:t>（15）冬期施工，抹灰砂浆应采取保温措施。涂抹时，砂浆的温度不宜低于5</w:t>
      </w:r>
      <w:r>
        <w:rPr>
          <w:rFonts w:hint="eastAsia" w:ascii="宋体" w:cs="宋体"/>
        </w:rPr>
        <w:t>℃</w:t>
      </w:r>
      <w:r>
        <w:rPr>
          <w:rFonts w:ascii="宋体"/>
        </w:rPr>
        <w:t>。</w:t>
      </w:r>
    </w:p>
    <w:p>
      <w:pPr>
        <w:pStyle w:val="1280"/>
        <w:ind w:firstLine="440"/>
        <w:rPr>
          <w:rFonts w:ascii="宋体"/>
        </w:rPr>
      </w:pPr>
      <w:r>
        <w:rPr>
          <w:rFonts w:ascii="宋体"/>
        </w:rPr>
        <w:t>（16）砂浆抹灰层硬化初期不得受冻。</w:t>
      </w:r>
    </w:p>
    <w:p>
      <w:pPr>
        <w:pStyle w:val="1280"/>
        <w:ind w:firstLine="440"/>
        <w:rPr>
          <w:rFonts w:ascii="宋体"/>
        </w:rPr>
      </w:pPr>
      <w:r>
        <w:rPr>
          <w:rFonts w:ascii="宋体"/>
        </w:rPr>
        <w:t>气温低于5</w:t>
      </w:r>
      <w:r>
        <w:rPr>
          <w:rFonts w:hint="eastAsia" w:ascii="宋体" w:cs="宋体"/>
        </w:rPr>
        <w:t>℃</w:t>
      </w:r>
      <w:r>
        <w:rPr>
          <w:rFonts w:ascii="宋体"/>
        </w:rPr>
        <w:t>时，室外抹灰所用的砂浆可掺入混凝土防冻剂，其掺量应由试验确定。做涂料墙面的抹灰砂浆中，不得掺入含氯盐的防冻剂。</w:t>
      </w:r>
    </w:p>
    <w:p>
      <w:pPr>
        <w:pStyle w:val="1280"/>
        <w:ind w:firstLine="440"/>
        <w:rPr>
          <w:rFonts w:ascii="宋体"/>
        </w:rPr>
      </w:pPr>
      <w:r>
        <w:rPr>
          <w:rFonts w:ascii="宋体"/>
        </w:rPr>
        <w:t>（17）冬期施工，抹灰层可采取加温措施加速干燥。如采用热空气时，应设通风设备排除湿气。</w:t>
      </w:r>
    </w:p>
    <w:p>
      <w:pPr>
        <w:pStyle w:val="1280"/>
        <w:ind w:firstLine="440"/>
        <w:rPr>
          <w:rFonts w:ascii="宋体"/>
        </w:rPr>
      </w:pPr>
      <w:r>
        <w:rPr>
          <w:rFonts w:ascii="宋体"/>
        </w:rPr>
        <w:t>（18）各抹灰层厚度应根据设计图纸，如涂饰无要求，参考如下：</w:t>
      </w:r>
    </w:p>
    <w:p>
      <w:pPr>
        <w:pStyle w:val="1280"/>
        <w:ind w:firstLine="440"/>
        <w:rPr>
          <w:rFonts w:ascii="宋体"/>
        </w:rPr>
      </w:pPr>
      <w:r>
        <w:rPr>
          <w:rFonts w:hint="eastAsia" w:ascii="宋体" w:cs="宋体"/>
        </w:rPr>
        <w:t>◆</w:t>
      </w:r>
      <w:r>
        <w:rPr>
          <w:rFonts w:ascii="宋体"/>
        </w:rPr>
        <w:t xml:space="preserve"> 石灰砂浆和水泥混合砂浆每遍厚度宜5-7mm</w:t>
      </w:r>
    </w:p>
    <w:p>
      <w:pPr>
        <w:pStyle w:val="1280"/>
        <w:ind w:firstLine="440"/>
        <w:rPr>
          <w:rFonts w:ascii="宋体"/>
        </w:rPr>
      </w:pPr>
      <w:r>
        <w:rPr>
          <w:rFonts w:hint="eastAsia" w:ascii="宋体" w:cs="宋体"/>
        </w:rPr>
        <w:t>◆</w:t>
      </w:r>
      <w:r>
        <w:rPr>
          <w:rFonts w:ascii="宋体"/>
        </w:rPr>
        <w:t xml:space="preserve"> 水泥砂浆每遍厚度宜7-10mm</w:t>
      </w:r>
    </w:p>
    <w:p>
      <w:pPr>
        <w:pStyle w:val="1280"/>
        <w:ind w:firstLine="440"/>
        <w:rPr>
          <w:rFonts w:ascii="宋体"/>
        </w:rPr>
      </w:pPr>
      <w:r>
        <w:rPr>
          <w:rFonts w:hint="eastAsia" w:ascii="宋体" w:cs="宋体"/>
        </w:rPr>
        <w:t>◆</w:t>
      </w:r>
      <w:r>
        <w:rPr>
          <w:rFonts w:ascii="宋体"/>
        </w:rPr>
        <w:t xml:space="preserve"> 麻刀灰、纸筋灰、石膏灰作抹灰面层，压实后不大于3mm</w:t>
      </w:r>
    </w:p>
    <w:p>
      <w:pPr>
        <w:pStyle w:val="1280"/>
        <w:ind w:firstLine="440"/>
        <w:rPr>
          <w:rFonts w:ascii="宋体"/>
        </w:rPr>
      </w:pPr>
      <w:r>
        <w:rPr>
          <w:rFonts w:hint="eastAsia" w:ascii="宋体" w:cs="宋体"/>
        </w:rPr>
        <w:t>◆</w:t>
      </w:r>
      <w:r>
        <w:rPr>
          <w:rFonts w:ascii="宋体"/>
        </w:rPr>
        <w:t xml:space="preserve"> 顶棚为预制混凝土板时抹灰层总厚度不大于18mm</w:t>
      </w:r>
    </w:p>
    <w:p>
      <w:pPr>
        <w:pStyle w:val="1280"/>
        <w:ind w:firstLine="440"/>
        <w:rPr>
          <w:rFonts w:ascii="宋体"/>
        </w:rPr>
      </w:pPr>
      <w:r>
        <w:rPr>
          <w:rFonts w:hint="eastAsia" w:ascii="宋体" w:cs="宋体"/>
        </w:rPr>
        <w:t>◆</w:t>
      </w:r>
      <w:r>
        <w:rPr>
          <w:rFonts w:ascii="宋体"/>
        </w:rPr>
        <w:t xml:space="preserve"> 内墙一般抹灰总厚度不大于20mm</w:t>
      </w:r>
    </w:p>
    <w:p>
      <w:pPr>
        <w:pStyle w:val="1280"/>
        <w:ind w:firstLine="440"/>
        <w:rPr>
          <w:rFonts w:ascii="宋体"/>
        </w:rPr>
      </w:pPr>
      <w:r>
        <w:rPr>
          <w:rFonts w:hint="eastAsia" w:ascii="宋体" w:cs="宋体"/>
        </w:rPr>
        <w:t>◆</w:t>
      </w:r>
      <w:r>
        <w:rPr>
          <w:rFonts w:ascii="宋体"/>
        </w:rPr>
        <w:t xml:space="preserve"> 勒脚、突出部位抹灰层总厚度不大于25mm</w:t>
      </w:r>
    </w:p>
    <w:p>
      <w:pPr>
        <w:pStyle w:val="1280"/>
        <w:ind w:firstLine="440"/>
        <w:rPr>
          <w:rFonts w:ascii="宋体"/>
        </w:rPr>
      </w:pPr>
      <w:r>
        <w:rPr>
          <w:rFonts w:hint="eastAsia" w:ascii="宋体" w:cs="宋体"/>
        </w:rPr>
        <w:t>◆</w:t>
      </w:r>
      <w:r>
        <w:rPr>
          <w:rFonts w:ascii="宋体"/>
        </w:rPr>
        <w:t xml:space="preserve"> 光面刮腻子处理后，表面刷浆总厚度2-3mm</w:t>
      </w:r>
    </w:p>
    <w:p>
      <w:pPr>
        <w:pStyle w:val="1280"/>
        <w:ind w:firstLine="440"/>
        <w:outlineLvl w:val="0"/>
        <w:rPr>
          <w:rFonts w:ascii="宋体"/>
        </w:rPr>
      </w:pPr>
      <w:bookmarkStart w:id="3872" w:name="_Toc106049959"/>
      <w:bookmarkStart w:id="3873" w:name="_Toc106883222"/>
      <w:r>
        <w:rPr>
          <w:rFonts w:hint="eastAsia" w:ascii="宋体"/>
        </w:rPr>
        <w:t>4.</w:t>
      </w:r>
      <w:r>
        <w:rPr>
          <w:rFonts w:ascii="宋体"/>
        </w:rPr>
        <w:t>1.4.4.2  材料质量要求</w:t>
      </w:r>
      <w:bookmarkEnd w:id="3872"/>
      <w:bookmarkEnd w:id="3873"/>
    </w:p>
    <w:p>
      <w:pPr>
        <w:pStyle w:val="1280"/>
        <w:ind w:firstLine="440"/>
        <w:rPr>
          <w:rFonts w:ascii="宋体"/>
        </w:rPr>
      </w:pPr>
      <w:r>
        <w:rPr>
          <w:rFonts w:ascii="宋体"/>
        </w:rPr>
        <w:t>（1）石灰膏应用块状淋制，淋制时必须用孔径不大于3×3mm的筛过滤，并贮存在沉淀池中。</w:t>
      </w:r>
    </w:p>
    <w:p>
      <w:pPr>
        <w:pStyle w:val="1280"/>
        <w:ind w:firstLine="440"/>
        <w:rPr>
          <w:rFonts w:ascii="宋体"/>
        </w:rPr>
      </w:pPr>
      <w:r>
        <w:rPr>
          <w:rFonts w:ascii="宋体"/>
        </w:rPr>
        <w:t>熟化时间，常温下一般不少于15天；用于罩面时，不应少于30天。使用时，石灰膏内不得含有未熟化的颗粒和其它杂质。</w:t>
      </w:r>
    </w:p>
    <w:p>
      <w:pPr>
        <w:pStyle w:val="1280"/>
        <w:ind w:firstLine="440"/>
        <w:rPr>
          <w:rFonts w:ascii="宋体"/>
        </w:rPr>
      </w:pPr>
      <w:r>
        <w:rPr>
          <w:rFonts w:ascii="宋体"/>
        </w:rPr>
        <w:t>（2）在沉淀池中的石灰膏应加以保护。防止其干燥、冻结和污染。</w:t>
      </w:r>
    </w:p>
    <w:p>
      <w:pPr>
        <w:pStyle w:val="1280"/>
        <w:ind w:firstLine="440"/>
        <w:rPr>
          <w:rFonts w:ascii="宋体"/>
        </w:rPr>
      </w:pPr>
      <w:r>
        <w:rPr>
          <w:rFonts w:ascii="宋体"/>
        </w:rPr>
        <w:t>（3）抹灰用的石灰膏可用磨细生石灰粉代替，其细度应通过4900孔/cm</w:t>
      </w:r>
      <w:r>
        <w:rPr>
          <w:rFonts w:ascii="宋体"/>
          <w:vertAlign w:val="superscript"/>
        </w:rPr>
        <w:t>2</w:t>
      </w:r>
      <w:r>
        <w:rPr>
          <w:rFonts w:ascii="宋体"/>
        </w:rPr>
        <w:t>筛。</w:t>
      </w:r>
    </w:p>
    <w:p>
      <w:pPr>
        <w:pStyle w:val="1280"/>
        <w:ind w:firstLine="440"/>
        <w:rPr>
          <w:rFonts w:ascii="宋体"/>
        </w:rPr>
      </w:pPr>
      <w:r>
        <w:rPr>
          <w:rFonts w:ascii="宋体"/>
        </w:rPr>
        <w:t>用于罩面时，热化时间不应小于3天。</w:t>
      </w:r>
    </w:p>
    <w:p>
      <w:pPr>
        <w:pStyle w:val="1280"/>
        <w:ind w:firstLine="440"/>
        <w:rPr>
          <w:rFonts w:ascii="宋体"/>
        </w:rPr>
      </w:pPr>
      <w:r>
        <w:rPr>
          <w:rFonts w:ascii="宋体"/>
        </w:rPr>
        <w:t>（4）抹灰用的砂子应过筛，不得含有杂质。</w:t>
      </w:r>
    </w:p>
    <w:p>
      <w:pPr>
        <w:pStyle w:val="1280"/>
        <w:ind w:firstLine="440"/>
        <w:rPr>
          <w:rFonts w:ascii="宋体"/>
        </w:rPr>
      </w:pPr>
      <w:r>
        <w:rPr>
          <w:rFonts w:ascii="宋体"/>
        </w:rPr>
        <w:t>装饰抹灰用的骨料（石粒、砾石等），应耐光、坚硬，使用前必须冲洗干净。干粘石用的石粒应干燥。膨胀珍珠岩，宜采用中级粗细粒径混合级配。</w:t>
      </w:r>
    </w:p>
    <w:p>
      <w:pPr>
        <w:pStyle w:val="1280"/>
        <w:ind w:firstLine="440"/>
        <w:rPr>
          <w:rFonts w:ascii="宋体"/>
        </w:rPr>
      </w:pPr>
      <w:r>
        <w:rPr>
          <w:rFonts w:ascii="宋体"/>
        </w:rPr>
        <w:t>（5）掺入装饰砂浆的颜料，应用耐碱、耐光的颜料。</w:t>
      </w:r>
    </w:p>
    <w:p>
      <w:pPr>
        <w:pStyle w:val="1280"/>
        <w:ind w:firstLine="440"/>
        <w:outlineLvl w:val="0"/>
        <w:rPr>
          <w:rFonts w:ascii="宋体"/>
        </w:rPr>
      </w:pPr>
      <w:bookmarkStart w:id="3874" w:name="_Toc106049960"/>
      <w:bookmarkStart w:id="3875" w:name="_Toc106883223"/>
      <w:r>
        <w:rPr>
          <w:rFonts w:hint="eastAsia" w:ascii="宋体"/>
        </w:rPr>
        <w:t>4</w:t>
      </w:r>
      <w:r>
        <w:rPr>
          <w:rFonts w:ascii="宋体"/>
        </w:rPr>
        <w:t>.1.4.4.3  一般抹灰</w:t>
      </w:r>
      <w:bookmarkEnd w:id="3874"/>
      <w:bookmarkEnd w:id="3875"/>
    </w:p>
    <w:p>
      <w:pPr>
        <w:pStyle w:val="1280"/>
        <w:ind w:firstLine="440"/>
        <w:rPr>
          <w:rFonts w:ascii="宋体"/>
        </w:rPr>
      </w:pPr>
      <w:r>
        <w:rPr>
          <w:rFonts w:ascii="宋体"/>
        </w:rPr>
        <w:t>本节适用于石灰砂浆、水泥混合砂浆、水泥砂浆、聚合物水泥砂浆、麻刀石灰、石膏灰等抹灰工程的施工。</w:t>
      </w:r>
    </w:p>
    <w:p>
      <w:pPr>
        <w:pStyle w:val="1280"/>
        <w:ind w:firstLine="440"/>
        <w:rPr>
          <w:rFonts w:ascii="宋体"/>
        </w:rPr>
      </w:pPr>
      <w:r>
        <w:rPr>
          <w:rFonts w:ascii="宋体"/>
        </w:rPr>
        <w:t>（1）板条、金属网顶棚和墙的抹灰，尚应符合下列规定：</w:t>
      </w:r>
    </w:p>
    <w:p>
      <w:pPr>
        <w:pStyle w:val="1280"/>
        <w:ind w:firstLine="440"/>
        <w:rPr>
          <w:rFonts w:ascii="宋体"/>
        </w:rPr>
      </w:pPr>
      <w:r>
        <w:rPr>
          <w:rFonts w:ascii="宋体"/>
        </w:rPr>
        <w:t>a. 板条、金属网装钉完成，必须经检查合格后，方可抹灰；</w:t>
      </w:r>
    </w:p>
    <w:p>
      <w:pPr>
        <w:pStyle w:val="1280"/>
        <w:ind w:firstLine="440"/>
        <w:rPr>
          <w:rFonts w:ascii="宋体"/>
        </w:rPr>
      </w:pPr>
      <w:r>
        <w:rPr>
          <w:rFonts w:ascii="宋体"/>
        </w:rPr>
        <w:t>b. 底层和中层宜用麻刀石灰砂浆，各层应分遍成活，每遍厚度为3～6mm；</w:t>
      </w:r>
    </w:p>
    <w:p>
      <w:pPr>
        <w:pStyle w:val="1280"/>
        <w:ind w:firstLine="440"/>
        <w:rPr>
          <w:rFonts w:ascii="宋体"/>
        </w:rPr>
      </w:pPr>
      <w:r>
        <w:rPr>
          <w:rFonts w:ascii="宋体"/>
        </w:rPr>
        <w:t>c. 底层砂浆应压入板条缝或网眼内，形成转脚以使结合牢固。</w:t>
      </w:r>
    </w:p>
    <w:p>
      <w:pPr>
        <w:pStyle w:val="1280"/>
        <w:ind w:firstLine="440"/>
        <w:rPr>
          <w:rFonts w:ascii="宋体"/>
        </w:rPr>
      </w:pPr>
      <w:r>
        <w:rPr>
          <w:rFonts w:ascii="宋体"/>
        </w:rPr>
        <w:t>（2）灰线抹灰尚应符合下列规定：</w:t>
      </w:r>
    </w:p>
    <w:p>
      <w:pPr>
        <w:pStyle w:val="1280"/>
        <w:ind w:firstLine="440"/>
        <w:rPr>
          <w:rFonts w:ascii="宋体"/>
        </w:rPr>
      </w:pPr>
      <w:r>
        <w:rPr>
          <w:rFonts w:ascii="宋体"/>
        </w:rPr>
        <w:t>a. 抹灰线用的抹子，其线型、棱角等应符合设计要求，并按墙面、柱面找平后的水平线确定灰线位置；</w:t>
      </w:r>
    </w:p>
    <w:p>
      <w:pPr>
        <w:pStyle w:val="1280"/>
        <w:ind w:firstLine="440"/>
        <w:rPr>
          <w:rFonts w:ascii="宋体"/>
        </w:rPr>
      </w:pPr>
      <w:r>
        <w:rPr>
          <w:rFonts w:ascii="宋体"/>
        </w:rPr>
        <w:t>b. 简单的灰线抹灰，应待墙面、柱面、顶棚的中层砂浆抹完后进行。多线条的灰线挂灰，应在墙面、柱面的中层砂浆抹完后，顶棚抹灰前进行；</w:t>
      </w:r>
    </w:p>
    <w:p>
      <w:pPr>
        <w:pStyle w:val="1280"/>
        <w:ind w:firstLine="440"/>
        <w:rPr>
          <w:rFonts w:ascii="宋体"/>
        </w:rPr>
      </w:pPr>
      <w:r>
        <w:rPr>
          <w:rFonts w:ascii="宋体"/>
        </w:rPr>
        <w:t>c. 灰线抹灰应分遍成活，底层、中层砂浆中宜掺入少量麻刀。罩面灰应分遍连续涂抹，表面应赶平、修整、压光。</w:t>
      </w:r>
    </w:p>
    <w:p>
      <w:pPr>
        <w:pStyle w:val="1280"/>
        <w:ind w:firstLine="440"/>
        <w:rPr>
          <w:rFonts w:ascii="宋体"/>
        </w:rPr>
      </w:pPr>
      <w:r>
        <w:rPr>
          <w:rFonts w:ascii="宋体"/>
        </w:rPr>
        <w:t>（3）抹灰的面层应在踢脚板、门窗贴脸板和挂镜线等安装前涂抹。安装后与抹灰面相接处如有缝隙，应用砂浆或腻子填补。</w:t>
      </w:r>
    </w:p>
    <w:p>
      <w:pPr>
        <w:pStyle w:val="1280"/>
        <w:ind w:firstLine="440"/>
        <w:rPr>
          <w:rFonts w:ascii="宋体"/>
        </w:rPr>
      </w:pPr>
      <w:r>
        <w:rPr>
          <w:rFonts w:ascii="宋体"/>
        </w:rPr>
        <w:t>（4）采用机械喷涂抹灰，尚应符合下列规定：</w:t>
      </w:r>
    </w:p>
    <w:p>
      <w:pPr>
        <w:pStyle w:val="1280"/>
        <w:ind w:firstLine="440"/>
        <w:rPr>
          <w:rFonts w:ascii="宋体"/>
        </w:rPr>
      </w:pPr>
      <w:r>
        <w:rPr>
          <w:rFonts w:ascii="宋体"/>
        </w:rPr>
        <w:t>a. 喷涂石灰砂浆前，宜先做水泥砂浆护角、踢脚板、墙裙、窗台板的抹灰，以及混凝土过梁等底层的抹灰；</w:t>
      </w:r>
    </w:p>
    <w:p>
      <w:pPr>
        <w:pStyle w:val="1280"/>
        <w:ind w:firstLine="440"/>
        <w:rPr>
          <w:rFonts w:ascii="宋体"/>
        </w:rPr>
      </w:pPr>
      <w:r>
        <w:rPr>
          <w:rFonts w:ascii="宋体"/>
        </w:rPr>
        <w:t>b. 喷涂时，应防止玷污门窗、管道和设备，被玷污的部位应及时清理干净；</w:t>
      </w:r>
    </w:p>
    <w:p>
      <w:pPr>
        <w:pStyle w:val="1280"/>
        <w:ind w:firstLine="440"/>
        <w:rPr>
          <w:rFonts w:ascii="宋体"/>
        </w:rPr>
      </w:pPr>
      <w:r>
        <w:rPr>
          <w:rFonts w:ascii="宋体"/>
        </w:rPr>
        <w:t>c. 砂浆稠度：用于混凝土面为90～100mm，用于砖墙面为100～120mm。</w:t>
      </w:r>
    </w:p>
    <w:p>
      <w:pPr>
        <w:pStyle w:val="1280"/>
        <w:ind w:firstLine="440"/>
        <w:rPr>
          <w:rFonts w:ascii="宋体"/>
        </w:rPr>
      </w:pPr>
      <w:r>
        <w:rPr>
          <w:rFonts w:ascii="宋体"/>
        </w:rPr>
        <w:t>（5）混凝土表面的抹灰，宜使用机械喷涂，用手工涂抹时，宜先凿毛刮水泥浆（水灰比为0.37～0.40），洒水泥砂浆或用界面处理剂处理。</w:t>
      </w:r>
    </w:p>
    <w:p>
      <w:pPr>
        <w:pStyle w:val="1280"/>
        <w:ind w:firstLine="440"/>
        <w:rPr>
          <w:rFonts w:ascii="宋体"/>
        </w:rPr>
      </w:pPr>
      <w:r>
        <w:rPr>
          <w:rFonts w:ascii="宋体"/>
        </w:rPr>
        <w:t>（6）一般抹灰表面平整度用2m直尺和塞尺检查，除顶棚外，其余部位抹灰允许偏差不大于5mm。</w:t>
      </w:r>
    </w:p>
    <w:p>
      <w:pPr>
        <w:pStyle w:val="1280"/>
        <w:ind w:firstLine="440"/>
        <w:outlineLvl w:val="0"/>
        <w:rPr>
          <w:rFonts w:ascii="宋体"/>
        </w:rPr>
      </w:pPr>
      <w:bookmarkStart w:id="3876" w:name="_Toc106049961"/>
      <w:bookmarkStart w:id="3877" w:name="_Toc106883224"/>
      <w:r>
        <w:rPr>
          <w:rFonts w:hint="eastAsia" w:ascii="宋体"/>
        </w:rPr>
        <w:t>4</w:t>
      </w:r>
      <w:r>
        <w:rPr>
          <w:rFonts w:ascii="宋体"/>
        </w:rPr>
        <w:t>.1.4.4.4  装饰抹灰</w:t>
      </w:r>
      <w:bookmarkEnd w:id="3876"/>
      <w:bookmarkEnd w:id="3877"/>
    </w:p>
    <w:p>
      <w:pPr>
        <w:pStyle w:val="1280"/>
        <w:ind w:firstLine="440"/>
        <w:rPr>
          <w:rFonts w:ascii="宋体"/>
        </w:rPr>
      </w:pPr>
      <w:r>
        <w:rPr>
          <w:rFonts w:ascii="宋体"/>
        </w:rPr>
        <w:t>装饰抹灰指墙面面砖或是设计施工图指明的材料。</w:t>
      </w:r>
    </w:p>
    <w:p>
      <w:pPr>
        <w:pStyle w:val="1280"/>
        <w:ind w:firstLine="440"/>
        <w:rPr>
          <w:rFonts w:ascii="宋体"/>
        </w:rPr>
      </w:pPr>
      <w:r>
        <w:rPr>
          <w:rFonts w:ascii="宋体"/>
        </w:rPr>
        <w:t>在抹灰前，承包人必须作好样板，经业主和项目监理批准。</w:t>
      </w:r>
    </w:p>
    <w:p>
      <w:pPr>
        <w:pStyle w:val="1280"/>
        <w:ind w:firstLine="440"/>
        <w:rPr>
          <w:rFonts w:ascii="宋体"/>
        </w:rPr>
      </w:pPr>
      <w:r>
        <w:rPr>
          <w:rFonts w:ascii="宋体"/>
        </w:rPr>
        <w:t>材料配比、做法除了图上注明者外，均按《建筑装饰工程质量验收规范》，在砂浆中掺入适量的107胶，以增加粘接强度。除非图纸另有要求。</w:t>
      </w:r>
    </w:p>
    <w:p>
      <w:pPr>
        <w:pStyle w:val="1327"/>
        <w:outlineLvl w:val="0"/>
        <w:rPr>
          <w:rFonts w:ascii="宋体"/>
        </w:rPr>
      </w:pPr>
      <w:bookmarkStart w:id="3878" w:name="_Toc106049962"/>
      <w:bookmarkStart w:id="3879" w:name="_Toc106883225"/>
      <w:r>
        <w:rPr>
          <w:rFonts w:hint="eastAsia" w:ascii="宋体"/>
        </w:rPr>
        <w:t>4</w:t>
      </w:r>
      <w:r>
        <w:rPr>
          <w:rFonts w:ascii="宋体"/>
        </w:rPr>
        <w:t>.1.4.4.5  工程验收</w:t>
      </w:r>
      <w:bookmarkEnd w:id="3878"/>
      <w:bookmarkEnd w:id="3879"/>
    </w:p>
    <w:p>
      <w:pPr>
        <w:pStyle w:val="1280"/>
        <w:ind w:firstLine="440"/>
        <w:rPr>
          <w:rFonts w:ascii="宋体"/>
        </w:rPr>
      </w:pPr>
      <w:r>
        <w:rPr>
          <w:rFonts w:ascii="宋体"/>
        </w:rPr>
        <w:t>（1）检查数量 室外，以4m左右高为一检查层，每20m长，抽查1处（每处3延长米），但不少于3处；室内，按有代表性的自然间抽查10％，过道按10延长米，可按两轴线为1间，但不少于3间。</w:t>
      </w:r>
    </w:p>
    <w:p>
      <w:pPr>
        <w:pStyle w:val="1280"/>
        <w:ind w:firstLine="440"/>
        <w:rPr>
          <w:rFonts w:ascii="宋体"/>
        </w:rPr>
      </w:pPr>
      <w:r>
        <w:rPr>
          <w:rFonts w:ascii="宋体"/>
        </w:rPr>
        <w:t>（2）检查所用材料的品种、面层的颜色及花纹等是否符合设计要求。</w:t>
      </w:r>
    </w:p>
    <w:p>
      <w:pPr>
        <w:pStyle w:val="1280"/>
        <w:ind w:firstLine="440"/>
        <w:rPr>
          <w:rFonts w:ascii="宋体"/>
        </w:rPr>
      </w:pPr>
      <w:r>
        <w:rPr>
          <w:rFonts w:ascii="宋体"/>
        </w:rPr>
        <w:t>（3）抹灰工程的面层，不得有爆灰和裂缝。各抹灰层之间及抹灰层与基体之间应粘结牢固，不得有脱层、空鼓等缺陷。</w:t>
      </w:r>
    </w:p>
    <w:p>
      <w:pPr>
        <w:pStyle w:val="1280"/>
        <w:ind w:firstLine="440"/>
        <w:rPr>
          <w:rFonts w:ascii="宋体"/>
        </w:rPr>
      </w:pPr>
      <w:r>
        <w:rPr>
          <w:rFonts w:ascii="宋体"/>
        </w:rPr>
        <w:t>（4）抹灰分格缝的宽度应均匀一致，表面光滑、无砂眼，不得有错缝，缺棱掉角。</w:t>
      </w:r>
    </w:p>
    <w:p>
      <w:pPr>
        <w:pStyle w:val="1280"/>
        <w:ind w:firstLine="440"/>
        <w:rPr>
          <w:rFonts w:ascii="宋体"/>
        </w:rPr>
      </w:pPr>
      <w:r>
        <w:rPr>
          <w:rFonts w:ascii="宋体"/>
        </w:rPr>
        <w:t>（5）一般抹灰面层的外观质量，应符合表面光滑、洁净、接槎平整、灰线清晰顺直。</w:t>
      </w:r>
    </w:p>
    <w:p>
      <w:pPr>
        <w:pStyle w:val="1280"/>
        <w:ind w:firstLine="440"/>
        <w:rPr>
          <w:rFonts w:ascii="宋体"/>
        </w:rPr>
      </w:pPr>
      <w:r>
        <w:rPr>
          <w:rFonts w:ascii="宋体"/>
        </w:rPr>
        <w:t>（6）一般抹灰工程质量的允许偏差，应符合GB50210-2002表4.2.11的规定。</w:t>
      </w:r>
    </w:p>
    <w:p>
      <w:pPr>
        <w:pStyle w:val="1280"/>
        <w:ind w:firstLine="440"/>
        <w:rPr>
          <w:rFonts w:ascii="宋体"/>
        </w:rPr>
      </w:pPr>
      <w:r>
        <w:rPr>
          <w:rFonts w:ascii="宋体"/>
        </w:rPr>
        <w:t>（7）装饰抹灰工程质量的允许偏差，应符合GB50210-2002表4.3.9的规定。</w:t>
      </w:r>
    </w:p>
    <w:p>
      <w:pPr>
        <w:pStyle w:val="1288"/>
        <w:outlineLvl w:val="0"/>
        <w:rPr>
          <w:rFonts w:ascii="宋体" w:hAnsi="宋体"/>
          <w:color w:val="auto"/>
        </w:rPr>
      </w:pPr>
      <w:bookmarkStart w:id="3880" w:name="_Toc106049963"/>
      <w:bookmarkStart w:id="3881" w:name="_Toc106883226"/>
      <w:r>
        <w:rPr>
          <w:rFonts w:hint="eastAsia" w:ascii="宋体" w:hAnsi="宋体"/>
          <w:color w:val="auto"/>
        </w:rPr>
        <w:t>4</w:t>
      </w:r>
      <w:r>
        <w:rPr>
          <w:rFonts w:ascii="宋体" w:hAnsi="宋体"/>
          <w:color w:val="auto"/>
        </w:rPr>
        <w:t>.1.4.5  门窗工程</w:t>
      </w:r>
      <w:bookmarkEnd w:id="3880"/>
      <w:bookmarkEnd w:id="388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本章适用于工业与民用建筑塑钢门窗、木门窗的安装及验收。</w:t>
      </w:r>
    </w:p>
    <w:p>
      <w:pPr>
        <w:pStyle w:val="1327"/>
        <w:outlineLvl w:val="0"/>
        <w:rPr>
          <w:rFonts w:ascii="宋体"/>
        </w:rPr>
      </w:pPr>
      <w:bookmarkStart w:id="3882" w:name="_Toc106049964"/>
      <w:bookmarkStart w:id="3883" w:name="_Toc106883227"/>
      <w:r>
        <w:rPr>
          <w:rFonts w:hint="eastAsia" w:ascii="宋体"/>
        </w:rPr>
        <w:t>4</w:t>
      </w:r>
      <w:r>
        <w:rPr>
          <w:rFonts w:ascii="宋体"/>
        </w:rPr>
        <w:t>.1.4.5.1  一般规定</w:t>
      </w:r>
      <w:bookmarkEnd w:id="3882"/>
      <w:bookmarkEnd w:id="3883"/>
    </w:p>
    <w:p>
      <w:pPr>
        <w:pStyle w:val="1280"/>
        <w:ind w:firstLine="440"/>
        <w:rPr>
          <w:rFonts w:ascii="宋体"/>
        </w:rPr>
      </w:pPr>
      <w:r>
        <w:rPr>
          <w:rFonts w:ascii="宋体"/>
        </w:rPr>
        <w:t>（1）门窗安装前应按下列要求进行检查：</w:t>
      </w:r>
    </w:p>
    <w:p>
      <w:pPr>
        <w:pStyle w:val="1280"/>
        <w:ind w:firstLine="440"/>
        <w:rPr>
          <w:rFonts w:ascii="宋体"/>
        </w:rPr>
      </w:pPr>
      <w:r>
        <w:rPr>
          <w:rFonts w:ascii="宋体"/>
        </w:rPr>
        <w:t>a. 根据门窗图纸，检查门窗的品种、规格、开启方向及组合杆、附件，并对其外形及平整度检查校正，合格后方可安装；</w:t>
      </w:r>
    </w:p>
    <w:p>
      <w:pPr>
        <w:pStyle w:val="1280"/>
        <w:ind w:firstLine="440"/>
        <w:rPr>
          <w:rFonts w:ascii="宋体"/>
        </w:rPr>
      </w:pPr>
      <w:r>
        <w:rPr>
          <w:rFonts w:ascii="宋体"/>
        </w:rPr>
        <w:t>b. 按设计要求检查洞口尺寸，如与设计不符合应予以纠正。</w:t>
      </w:r>
    </w:p>
    <w:p>
      <w:pPr>
        <w:pStyle w:val="1280"/>
        <w:ind w:firstLine="440"/>
        <w:rPr>
          <w:rFonts w:ascii="宋体"/>
        </w:rPr>
      </w:pPr>
      <w:r>
        <w:rPr>
          <w:rFonts w:ascii="宋体"/>
        </w:rPr>
        <w:t>（2）门窗的存放、运输应符合下列规定：</w:t>
      </w:r>
    </w:p>
    <w:p>
      <w:pPr>
        <w:pStyle w:val="1280"/>
        <w:ind w:firstLine="440"/>
        <w:rPr>
          <w:rFonts w:ascii="宋体"/>
        </w:rPr>
      </w:pPr>
      <w:r>
        <w:rPr>
          <w:rFonts w:ascii="宋体"/>
        </w:rPr>
        <w:t>a. 门窗应在室内竖直排放，并用枕木垫平。严禁与酸碱等物一起存放，室内应清洁、干燥、通风；</w:t>
      </w:r>
    </w:p>
    <w:p>
      <w:pPr>
        <w:pStyle w:val="1280"/>
        <w:ind w:firstLine="440"/>
        <w:rPr>
          <w:rFonts w:ascii="宋体"/>
        </w:rPr>
      </w:pPr>
      <w:r>
        <w:rPr>
          <w:rFonts w:ascii="宋体"/>
        </w:rPr>
        <w:t>b. 门窗应存放在设有靠架的室内并与热源隔开，以免受热变形；</w:t>
      </w:r>
    </w:p>
    <w:p>
      <w:pPr>
        <w:pStyle w:val="1280"/>
        <w:ind w:firstLine="440"/>
        <w:rPr>
          <w:rFonts w:ascii="宋体"/>
        </w:rPr>
      </w:pPr>
      <w:r>
        <w:rPr>
          <w:rFonts w:ascii="宋体"/>
        </w:rPr>
        <w:t>c. 门窗露天存放时，应采取措施避免日晒雨淋；</w:t>
      </w:r>
    </w:p>
    <w:p>
      <w:pPr>
        <w:pStyle w:val="1280"/>
        <w:ind w:firstLine="440"/>
        <w:rPr>
          <w:rFonts w:ascii="宋体"/>
        </w:rPr>
      </w:pPr>
      <w:r>
        <w:rPr>
          <w:rFonts w:ascii="宋体"/>
        </w:rPr>
        <w:t>d. 门窗运输时，应竖立排放并固定牢靠。樘与樘间应用非金属软质材料隔开，防止相互磨损及压坏玻璃和五金件。</w:t>
      </w:r>
    </w:p>
    <w:p>
      <w:pPr>
        <w:pStyle w:val="1280"/>
        <w:ind w:firstLine="440"/>
        <w:rPr>
          <w:rFonts w:ascii="宋体"/>
        </w:rPr>
      </w:pPr>
      <w:r>
        <w:rPr>
          <w:rFonts w:ascii="宋体"/>
        </w:rPr>
        <w:t>（3）门窗框扇安装过程中，应符合下列规定：</w:t>
      </w:r>
    </w:p>
    <w:p>
      <w:pPr>
        <w:pStyle w:val="1280"/>
        <w:ind w:firstLine="440"/>
        <w:rPr>
          <w:rFonts w:ascii="宋体"/>
        </w:rPr>
      </w:pPr>
      <w:r>
        <w:rPr>
          <w:rFonts w:ascii="宋体"/>
        </w:rPr>
        <w:t>a. 不得在门窗框扇上安放脚手架、悬挂重物或在框扇内穿物起吊，以防门窗   变形和损坏；</w:t>
      </w:r>
    </w:p>
    <w:p>
      <w:pPr>
        <w:pStyle w:val="1280"/>
        <w:ind w:firstLine="440"/>
        <w:rPr>
          <w:rFonts w:ascii="宋体"/>
        </w:rPr>
      </w:pPr>
      <w:r>
        <w:rPr>
          <w:rFonts w:ascii="宋体"/>
        </w:rPr>
        <w:t>b. 吊运时，表面应用非金属软质材料衬垫，选择牢靠平稳的着力点，以免门窗表面擦伤。</w:t>
      </w:r>
    </w:p>
    <w:p>
      <w:pPr>
        <w:pStyle w:val="1280"/>
        <w:ind w:firstLine="440"/>
        <w:rPr>
          <w:rFonts w:ascii="宋体"/>
        </w:rPr>
      </w:pPr>
      <w:r>
        <w:rPr>
          <w:rFonts w:ascii="宋体"/>
        </w:rPr>
        <w:t>（4）安装门窗必须采用预留洞口的方法，严禁采用边安装边砌口或先安装后砌口。门窗固定可采用焊接、膨胀螺栓或射钉等方式，但砖墙严禁用射钉固定。</w:t>
      </w:r>
    </w:p>
    <w:p>
      <w:pPr>
        <w:pStyle w:val="1280"/>
        <w:ind w:firstLine="440"/>
        <w:rPr>
          <w:rFonts w:ascii="宋体"/>
        </w:rPr>
      </w:pPr>
      <w:r>
        <w:rPr>
          <w:rFonts w:ascii="宋体"/>
        </w:rPr>
        <w:t>（5）安装过程中应及时清理门窗表面的水泥砂浆、密封膏等，以保护表面质量。</w:t>
      </w:r>
    </w:p>
    <w:p>
      <w:pPr>
        <w:pStyle w:val="1280"/>
        <w:ind w:firstLine="440"/>
        <w:outlineLvl w:val="0"/>
        <w:rPr>
          <w:rFonts w:ascii="宋体"/>
        </w:rPr>
      </w:pPr>
      <w:bookmarkStart w:id="3884" w:name="_Toc106049965"/>
      <w:bookmarkStart w:id="3885" w:name="_Toc106883228"/>
      <w:r>
        <w:rPr>
          <w:rFonts w:hint="eastAsia" w:ascii="宋体"/>
        </w:rPr>
        <w:t>4</w:t>
      </w:r>
      <w:r>
        <w:rPr>
          <w:rFonts w:ascii="宋体"/>
        </w:rPr>
        <w:t>.1.4.5.2  门窗质量要求</w:t>
      </w:r>
      <w:bookmarkEnd w:id="3884"/>
      <w:bookmarkEnd w:id="3885"/>
    </w:p>
    <w:p>
      <w:pPr>
        <w:pStyle w:val="1280"/>
        <w:ind w:firstLine="440"/>
        <w:rPr>
          <w:rFonts w:ascii="宋体"/>
        </w:rPr>
      </w:pPr>
      <w:r>
        <w:rPr>
          <w:rFonts w:ascii="宋体"/>
        </w:rPr>
        <w:t>门窗及零附件质量均应符合现行国家标准、行业标准的规定，按设计要求选用。不得使用不合格产品。</w:t>
      </w:r>
    </w:p>
    <w:p>
      <w:pPr>
        <w:pStyle w:val="1280"/>
        <w:ind w:firstLine="440"/>
        <w:outlineLvl w:val="0"/>
        <w:rPr>
          <w:rFonts w:ascii="宋体"/>
        </w:rPr>
      </w:pPr>
      <w:bookmarkStart w:id="3886" w:name="_Toc106049966"/>
      <w:bookmarkStart w:id="3887" w:name="_Toc106883229"/>
      <w:r>
        <w:rPr>
          <w:rFonts w:hint="eastAsia" w:ascii="宋体"/>
        </w:rPr>
        <w:t>4</w:t>
      </w:r>
      <w:r>
        <w:rPr>
          <w:rFonts w:ascii="宋体"/>
        </w:rPr>
        <w:t>.1.4.5.3  塑钢门窗安装</w:t>
      </w:r>
      <w:bookmarkEnd w:id="3886"/>
      <w:bookmarkEnd w:id="3887"/>
    </w:p>
    <w:p>
      <w:pPr>
        <w:pStyle w:val="1280"/>
        <w:ind w:firstLine="440"/>
        <w:rPr>
          <w:rFonts w:ascii="宋体"/>
        </w:rPr>
      </w:pPr>
      <w:r>
        <w:rPr>
          <w:rFonts w:ascii="宋体"/>
        </w:rPr>
        <w:t>（1）塑钢门窗安装时，应先把塑钢门窗在洞口内摆正，用木楔临时固定，横平竖直。门窗地脚与预埋件宜采用焊接牢固，如不采用焊接，应在安装完地脚后，用水泥砂浆或豆石混凝土将洞口缝隙填实。</w:t>
      </w:r>
    </w:p>
    <w:p>
      <w:pPr>
        <w:pStyle w:val="1280"/>
        <w:ind w:firstLine="440"/>
        <w:rPr>
          <w:rFonts w:ascii="宋体"/>
        </w:rPr>
      </w:pPr>
      <w:r>
        <w:rPr>
          <w:rFonts w:ascii="宋体"/>
        </w:rPr>
        <w:t>（2）水泥砂浆凝固前，不得取出定位木楔或钢门窗上安装五金零件，应待凝固后取出木楔并用水泥砂浆抹缝。</w:t>
      </w:r>
    </w:p>
    <w:p>
      <w:pPr>
        <w:pStyle w:val="1280"/>
        <w:ind w:firstLine="440"/>
        <w:rPr>
          <w:rFonts w:ascii="宋体"/>
        </w:rPr>
      </w:pPr>
      <w:r>
        <w:rPr>
          <w:rFonts w:ascii="宋体"/>
        </w:rPr>
        <w:t>（3）塑钢门窗零附件安装应符合下列规定：</w:t>
      </w:r>
    </w:p>
    <w:p>
      <w:pPr>
        <w:pStyle w:val="1280"/>
        <w:ind w:firstLine="440"/>
        <w:rPr>
          <w:rFonts w:ascii="宋体"/>
        </w:rPr>
      </w:pPr>
      <w:r>
        <w:rPr>
          <w:rFonts w:ascii="宋体"/>
        </w:rPr>
        <w:t>a. 安装零附件前，应检查钢门窗开启是否灵活，关闭后是否严密，否则应予以调整后才能安装；</w:t>
      </w:r>
    </w:p>
    <w:p>
      <w:pPr>
        <w:pStyle w:val="1280"/>
        <w:ind w:firstLine="440"/>
        <w:rPr>
          <w:rFonts w:ascii="宋体"/>
        </w:rPr>
      </w:pPr>
      <w:r>
        <w:rPr>
          <w:rFonts w:ascii="宋体"/>
        </w:rPr>
        <w:t>b. 安装零附件宜在墙面装饰后进行，安装时，应按生产厂方的说明进行；</w:t>
      </w:r>
    </w:p>
    <w:p>
      <w:pPr>
        <w:pStyle w:val="1280"/>
        <w:ind w:firstLine="440"/>
        <w:rPr>
          <w:rFonts w:ascii="宋体"/>
        </w:rPr>
      </w:pPr>
      <w:r>
        <w:rPr>
          <w:rFonts w:ascii="宋体"/>
        </w:rPr>
        <w:t>c. 密封条应在门窗涂料干燥后，按型号进行安装和压实。</w:t>
      </w:r>
    </w:p>
    <w:p>
      <w:pPr>
        <w:pStyle w:val="1280"/>
        <w:ind w:firstLine="440"/>
        <w:outlineLvl w:val="0"/>
        <w:rPr>
          <w:rFonts w:ascii="宋体"/>
        </w:rPr>
      </w:pPr>
      <w:bookmarkStart w:id="3888" w:name="_Toc106049967"/>
      <w:bookmarkStart w:id="3889" w:name="_Toc106883230"/>
      <w:r>
        <w:rPr>
          <w:rFonts w:hint="eastAsia" w:ascii="宋体"/>
        </w:rPr>
        <w:t>4</w:t>
      </w:r>
      <w:r>
        <w:rPr>
          <w:rFonts w:ascii="宋体"/>
        </w:rPr>
        <w:t>.1.4.5.4  塑料门窗安装</w:t>
      </w:r>
      <w:bookmarkEnd w:id="3888"/>
      <w:bookmarkEnd w:id="3889"/>
    </w:p>
    <w:p>
      <w:pPr>
        <w:pStyle w:val="1280"/>
        <w:ind w:firstLine="440"/>
        <w:rPr>
          <w:rFonts w:ascii="宋体"/>
        </w:rPr>
      </w:pPr>
      <w:r>
        <w:rPr>
          <w:rFonts w:ascii="宋体"/>
        </w:rPr>
        <w:t>在塑料门窗上安装五金零件时，必须先钻孔后，用自攻螺钉拧入，严禁直接捶击钉入，以防损坏门窗。</w:t>
      </w:r>
    </w:p>
    <w:p>
      <w:pPr>
        <w:pStyle w:val="1280"/>
        <w:ind w:firstLine="440"/>
        <w:rPr>
          <w:rFonts w:ascii="宋体"/>
        </w:rPr>
      </w:pPr>
      <w:r>
        <w:rPr>
          <w:rFonts w:ascii="宋体"/>
        </w:rPr>
        <w:t>与墙体连接的固定件应用自攻螺钉等紧固于门窗框上，将门窗框装入洞口并用木楔临时固定，调整至横平竖直。固定件与墙体宜用尼龙胀管螺栓连接牢固。</w:t>
      </w:r>
    </w:p>
    <w:p>
      <w:pPr>
        <w:pStyle w:val="1280"/>
        <w:ind w:firstLine="440"/>
        <w:rPr>
          <w:rFonts w:ascii="宋体"/>
        </w:rPr>
      </w:pPr>
      <w:r>
        <w:rPr>
          <w:rFonts w:ascii="宋体"/>
        </w:rPr>
        <w:t>门窗框与洞口的间距应用泡沫塑料条或油毡卷条填塞，填塞不宜过紧，以免框架变形。门窗框四周的内外接缝应用密封膏嵌缝严密。</w:t>
      </w:r>
    </w:p>
    <w:p>
      <w:pPr>
        <w:pStyle w:val="1280"/>
        <w:ind w:firstLine="440"/>
        <w:outlineLvl w:val="0"/>
        <w:rPr>
          <w:rFonts w:ascii="宋体"/>
        </w:rPr>
      </w:pPr>
      <w:bookmarkStart w:id="3890" w:name="_Toc106049968"/>
      <w:bookmarkStart w:id="3891" w:name="_Toc106883231"/>
      <w:r>
        <w:rPr>
          <w:rFonts w:hint="eastAsia" w:ascii="宋体"/>
        </w:rPr>
        <w:t>4</w:t>
      </w:r>
      <w:r>
        <w:rPr>
          <w:rFonts w:ascii="宋体"/>
        </w:rPr>
        <w:t>.1.4.5.5  木门窗安装</w:t>
      </w:r>
      <w:bookmarkEnd w:id="3890"/>
      <w:bookmarkEnd w:id="3891"/>
    </w:p>
    <w:p>
      <w:pPr>
        <w:pStyle w:val="1280"/>
        <w:ind w:firstLine="440"/>
        <w:rPr>
          <w:rFonts w:ascii="宋体"/>
        </w:rPr>
      </w:pPr>
      <w:r>
        <w:rPr>
          <w:rFonts w:ascii="宋体"/>
        </w:rPr>
        <w:t>（1）门窗选用木材应符合JG/T122-2000《建筑木门、木窗》标准及GB50206-2002《木结构工程施工质量验收规范》标准。木材干燥含水率严格控制在8%~10%范围内。内框骨架采用指接工艺，榫接胶合严密，符合国家Ⅰ级标准。填充芯料选用电热拉伸定型蜂窝纸芯，保证木门整体强度与刚度，减少翘曲变形。</w:t>
      </w:r>
    </w:p>
    <w:p>
      <w:pPr>
        <w:pStyle w:val="1280"/>
        <w:ind w:firstLine="440"/>
        <w:rPr>
          <w:rFonts w:ascii="宋体"/>
        </w:rPr>
      </w:pPr>
      <w:r>
        <w:rPr>
          <w:rFonts w:ascii="宋体"/>
        </w:rPr>
        <w:t>（2）门窗套基材选用特级优质密度板，质量符合GB11718-1999《中密度纤维板》国家标准，背面覆贴防潮平衡层。基材饰面材料选用0.6mm优质天然实木单板。</w:t>
      </w:r>
    </w:p>
    <w:p>
      <w:pPr>
        <w:pStyle w:val="1280"/>
        <w:ind w:firstLine="440"/>
        <w:outlineLvl w:val="0"/>
        <w:rPr>
          <w:rFonts w:ascii="宋体"/>
        </w:rPr>
      </w:pPr>
      <w:bookmarkStart w:id="3892" w:name="_Toc106049969"/>
      <w:bookmarkStart w:id="3893" w:name="_Toc106883232"/>
      <w:r>
        <w:rPr>
          <w:rFonts w:hint="eastAsia" w:ascii="宋体"/>
        </w:rPr>
        <w:t>4</w:t>
      </w:r>
      <w:r>
        <w:rPr>
          <w:rFonts w:ascii="宋体"/>
        </w:rPr>
        <w:t>.1.4.5.6  工程验收</w:t>
      </w:r>
      <w:bookmarkEnd w:id="3892"/>
      <w:bookmarkEnd w:id="3893"/>
    </w:p>
    <w:p>
      <w:pPr>
        <w:pStyle w:val="1280"/>
        <w:ind w:firstLine="440"/>
        <w:rPr>
          <w:rFonts w:ascii="宋体"/>
        </w:rPr>
      </w:pPr>
      <w:r>
        <w:rPr>
          <w:rFonts w:ascii="宋体"/>
        </w:rPr>
        <w:t>（1）检查数量 按不同门窗品种、类型的樘数各抽查5％，但均不少于3樘。</w:t>
      </w:r>
    </w:p>
    <w:p>
      <w:pPr>
        <w:pStyle w:val="1280"/>
        <w:ind w:firstLine="440"/>
        <w:rPr>
          <w:rFonts w:ascii="宋体"/>
        </w:rPr>
      </w:pPr>
      <w:r>
        <w:rPr>
          <w:rFonts w:ascii="宋体"/>
        </w:rPr>
        <w:t>（2）所用门窗的品种、规格、开启方向及安装位置应符合设计要求。</w:t>
      </w:r>
    </w:p>
    <w:p>
      <w:pPr>
        <w:pStyle w:val="1280"/>
        <w:ind w:firstLine="440"/>
        <w:rPr>
          <w:rFonts w:ascii="宋体"/>
        </w:rPr>
      </w:pPr>
      <w:r>
        <w:rPr>
          <w:rFonts w:ascii="宋体"/>
        </w:rPr>
        <w:t>（3）门窗安装必须牢固，横平竖直，高低一致。框与墙体缝隙应填嵌饱满密实，表面平整光滑，无裂缝，填塞材料与方法等应符合设计要求。</w:t>
      </w:r>
    </w:p>
    <w:p>
      <w:pPr>
        <w:pStyle w:val="1280"/>
        <w:ind w:firstLine="440"/>
        <w:rPr>
          <w:rFonts w:ascii="宋体"/>
        </w:rPr>
      </w:pPr>
      <w:r>
        <w:rPr>
          <w:rFonts w:ascii="宋体"/>
        </w:rPr>
        <w:t>（4）预埋件的数量、位置、埋设连接方法必须符合设计要求。</w:t>
      </w:r>
    </w:p>
    <w:p>
      <w:pPr>
        <w:pStyle w:val="1280"/>
        <w:ind w:firstLine="440"/>
        <w:rPr>
          <w:rFonts w:ascii="宋体"/>
        </w:rPr>
      </w:pPr>
      <w:r>
        <w:rPr>
          <w:rFonts w:ascii="宋体"/>
        </w:rPr>
        <w:t>（5）门窗扇应开启灵活，无倒翘、阻滞及反弹现象。五金配件应齐全，位置正确。关闭后密封条应处于压缩状态。</w:t>
      </w:r>
    </w:p>
    <w:p>
      <w:pPr>
        <w:pStyle w:val="1280"/>
        <w:ind w:firstLine="440"/>
        <w:rPr>
          <w:rFonts w:ascii="宋体"/>
        </w:rPr>
      </w:pPr>
      <w:r>
        <w:rPr>
          <w:rFonts w:ascii="宋体"/>
        </w:rPr>
        <w:t>（6）门窗安装后外观质量应表面洁净。大面无划痕、碰伤、锈蚀；涂膜大面平整光滑、厚度均匀、无气孔。</w:t>
      </w:r>
    </w:p>
    <w:p>
      <w:pPr>
        <w:pStyle w:val="1288"/>
        <w:outlineLvl w:val="0"/>
        <w:rPr>
          <w:rFonts w:ascii="宋体" w:hAnsi="宋体"/>
          <w:color w:val="auto"/>
        </w:rPr>
      </w:pPr>
      <w:bookmarkStart w:id="3894" w:name="_Toc106049970"/>
      <w:bookmarkStart w:id="3895" w:name="_Toc106883233"/>
      <w:r>
        <w:rPr>
          <w:rFonts w:hint="eastAsia" w:ascii="宋体" w:hAnsi="宋体"/>
          <w:color w:val="auto"/>
        </w:rPr>
        <w:t>4</w:t>
      </w:r>
      <w:r>
        <w:rPr>
          <w:rFonts w:ascii="宋体" w:hAnsi="宋体"/>
          <w:color w:val="auto"/>
        </w:rPr>
        <w:t>.1.4.6  玻璃工程</w:t>
      </w:r>
      <w:bookmarkEnd w:id="3894"/>
      <w:bookmarkEnd w:id="3895"/>
    </w:p>
    <w:p>
      <w:pPr>
        <w:pStyle w:val="1327"/>
        <w:outlineLvl w:val="0"/>
        <w:rPr>
          <w:rFonts w:ascii="宋体"/>
        </w:rPr>
      </w:pPr>
      <w:bookmarkStart w:id="3896" w:name="_Toc106049971"/>
      <w:bookmarkStart w:id="3897" w:name="_Toc106883234"/>
      <w:r>
        <w:rPr>
          <w:rFonts w:hint="eastAsia" w:ascii="宋体"/>
        </w:rPr>
        <w:t>4</w:t>
      </w:r>
      <w:r>
        <w:rPr>
          <w:rFonts w:ascii="宋体"/>
        </w:rPr>
        <w:t>.1.4.6.1  一般规定</w:t>
      </w:r>
      <w:bookmarkEnd w:id="3896"/>
      <w:bookmarkEnd w:id="3897"/>
    </w:p>
    <w:p>
      <w:pPr>
        <w:pStyle w:val="1280"/>
        <w:ind w:firstLine="440"/>
        <w:rPr>
          <w:rFonts w:ascii="宋体"/>
        </w:rPr>
      </w:pPr>
      <w:r>
        <w:rPr>
          <w:rFonts w:ascii="宋体"/>
        </w:rPr>
        <w:t>本章适用于平板、吸热、热反射、中空、夹层、夹丝、磨砂、钢化、压花、彩色玻璃和玻璃砖等的安装及验收。</w:t>
      </w:r>
    </w:p>
    <w:p>
      <w:pPr>
        <w:pStyle w:val="1280"/>
        <w:ind w:firstLine="440"/>
        <w:rPr>
          <w:rFonts w:ascii="宋体"/>
        </w:rPr>
      </w:pPr>
      <w:r>
        <w:rPr>
          <w:rFonts w:ascii="宋体"/>
        </w:rPr>
        <w:t>（1）玻璃工程应在框、扇校正和五金件安装完毕后，以及框、扇最后一遍涂料前进行。</w:t>
      </w:r>
    </w:p>
    <w:p>
      <w:pPr>
        <w:pStyle w:val="1280"/>
        <w:ind w:firstLine="440"/>
        <w:rPr>
          <w:rFonts w:ascii="宋体"/>
        </w:rPr>
      </w:pPr>
      <w:r>
        <w:rPr>
          <w:rFonts w:ascii="宋体"/>
        </w:rPr>
        <w:t>（2）冬期施工，从寒冷处运到暖和处的玻璃和镶嵌用的合成橡胶等型材应待其缓暖后方可进行裁割和安装。</w:t>
      </w:r>
    </w:p>
    <w:p>
      <w:pPr>
        <w:pStyle w:val="1280"/>
        <w:ind w:firstLine="440"/>
        <w:rPr>
          <w:rFonts w:ascii="宋体"/>
        </w:rPr>
      </w:pPr>
      <w:r>
        <w:rPr>
          <w:rFonts w:ascii="宋体"/>
        </w:rPr>
        <w:t>预装门窗玻璃，宜在采暖房间内进行。</w:t>
      </w:r>
    </w:p>
    <w:p>
      <w:pPr>
        <w:pStyle w:val="1280"/>
        <w:ind w:firstLine="440"/>
        <w:rPr>
          <w:rFonts w:ascii="宋体"/>
        </w:rPr>
      </w:pPr>
      <w:r>
        <w:rPr>
          <w:rFonts w:ascii="宋体"/>
        </w:rPr>
        <w:t>外墙塑料框不宜在冬期安装。</w:t>
      </w:r>
    </w:p>
    <w:p>
      <w:pPr>
        <w:pStyle w:val="1280"/>
        <w:ind w:firstLine="440"/>
        <w:rPr>
          <w:rFonts w:ascii="宋体"/>
        </w:rPr>
      </w:pPr>
      <w:r>
        <w:rPr>
          <w:rFonts w:ascii="宋体"/>
        </w:rPr>
        <w:t>（3）玻璃的运输和存放应符合下列规定：</w:t>
      </w:r>
    </w:p>
    <w:p>
      <w:pPr>
        <w:pStyle w:val="1280"/>
        <w:ind w:firstLine="440"/>
        <w:rPr>
          <w:rFonts w:ascii="宋体"/>
        </w:rPr>
      </w:pPr>
      <w:r>
        <w:rPr>
          <w:rFonts w:ascii="宋体"/>
        </w:rPr>
        <w:t>玻璃的运输和存放应符合现行《普通平板玻璃》（GB4871）的有关规定；</w:t>
      </w:r>
    </w:p>
    <w:p>
      <w:pPr>
        <w:pStyle w:val="1280"/>
        <w:ind w:firstLine="440"/>
        <w:rPr>
          <w:rFonts w:ascii="宋体"/>
        </w:rPr>
      </w:pPr>
      <w:r>
        <w:rPr>
          <w:rFonts w:ascii="宋体"/>
        </w:rPr>
        <w:t>玻璃不应搁置和倚靠在可能损伤玻璃边缘和玻璃面的物体上；</w:t>
      </w:r>
    </w:p>
    <w:p>
      <w:pPr>
        <w:pStyle w:val="1280"/>
        <w:ind w:firstLine="440"/>
        <w:rPr>
          <w:rFonts w:ascii="宋体"/>
        </w:rPr>
      </w:pPr>
      <w:r>
        <w:rPr>
          <w:rFonts w:ascii="宋体"/>
        </w:rPr>
        <w:t>应防止玻璃被风吹倒。</w:t>
      </w:r>
    </w:p>
    <w:p>
      <w:pPr>
        <w:pStyle w:val="1280"/>
        <w:ind w:firstLine="440"/>
        <w:rPr>
          <w:rFonts w:ascii="宋体"/>
        </w:rPr>
      </w:pPr>
      <w:r>
        <w:rPr>
          <w:rFonts w:ascii="宋体"/>
        </w:rPr>
        <w:t>（4）玻璃宜集中裁割，边缘不得有缺口和斜曲。</w:t>
      </w:r>
    </w:p>
    <w:p>
      <w:pPr>
        <w:pStyle w:val="1280"/>
        <w:ind w:firstLine="440"/>
        <w:rPr>
          <w:rFonts w:ascii="宋体"/>
        </w:rPr>
      </w:pPr>
      <w:r>
        <w:rPr>
          <w:rFonts w:ascii="宋体"/>
        </w:rPr>
        <w:t>钢木框、扇玻璃按设计尺寸或实测尺寸，长宽各应缩小一个裁口宽度的1/4裁割。</w:t>
      </w:r>
    </w:p>
    <w:p>
      <w:pPr>
        <w:pStyle w:val="1280"/>
        <w:ind w:firstLine="440"/>
        <w:rPr>
          <w:rFonts w:ascii="宋体"/>
        </w:rPr>
      </w:pPr>
      <w:r>
        <w:rPr>
          <w:rFonts w:ascii="宋体"/>
        </w:rPr>
        <w:t>塑料框的裁割尺寸应符合现行国家标准对玻璃与玻璃槽之间配合尺寸的规定，并满足设计和安装的要求。</w:t>
      </w:r>
    </w:p>
    <w:p>
      <w:pPr>
        <w:pStyle w:val="1280"/>
        <w:ind w:firstLine="440"/>
        <w:rPr>
          <w:rFonts w:ascii="宋体"/>
        </w:rPr>
      </w:pPr>
      <w:r>
        <w:rPr>
          <w:rFonts w:ascii="宋体"/>
        </w:rPr>
        <w:t>（5）当焊接、切割、喷砂等作业可能损伤玻璃时，应采取措施予以保护。严禁焊接等火花溅到玻璃上。</w:t>
      </w:r>
    </w:p>
    <w:p>
      <w:pPr>
        <w:pStyle w:val="1280"/>
        <w:ind w:firstLine="440"/>
        <w:rPr>
          <w:rFonts w:ascii="宋体"/>
        </w:rPr>
      </w:pPr>
      <w:r>
        <w:rPr>
          <w:rFonts w:ascii="宋体"/>
        </w:rPr>
        <w:t>（6）玻璃安装后，应对玻璃与框、扇同时进行清洁工作。严禁用酸性洗涤剂或含研磨粉的去污粉清洗热反射玻璃的镀膜面层。</w:t>
      </w:r>
    </w:p>
    <w:p>
      <w:pPr>
        <w:pStyle w:val="1327"/>
        <w:outlineLvl w:val="0"/>
        <w:rPr>
          <w:rFonts w:ascii="宋体"/>
        </w:rPr>
      </w:pPr>
      <w:bookmarkStart w:id="3898" w:name="_Toc106049972"/>
      <w:bookmarkStart w:id="3899" w:name="_Toc106883235"/>
      <w:r>
        <w:rPr>
          <w:rFonts w:hint="eastAsia" w:ascii="宋体"/>
        </w:rPr>
        <w:t>4</w:t>
      </w:r>
      <w:r>
        <w:rPr>
          <w:rFonts w:ascii="宋体"/>
        </w:rPr>
        <w:t>.1.4.6.2  材料质量要求</w:t>
      </w:r>
      <w:bookmarkEnd w:id="3898"/>
      <w:bookmarkEnd w:id="3899"/>
    </w:p>
    <w:p>
      <w:pPr>
        <w:pStyle w:val="1280"/>
        <w:ind w:firstLine="440"/>
        <w:rPr>
          <w:rFonts w:ascii="宋体"/>
        </w:rPr>
      </w:pPr>
      <w:r>
        <w:rPr>
          <w:rFonts w:ascii="宋体"/>
        </w:rPr>
        <w:t>（1）玻璃品种、规格和颜色应符合设计要求；质量应符合有关产品标准。</w:t>
      </w:r>
    </w:p>
    <w:p>
      <w:pPr>
        <w:pStyle w:val="1280"/>
        <w:ind w:firstLine="440"/>
        <w:rPr>
          <w:rFonts w:ascii="宋体"/>
        </w:rPr>
      </w:pPr>
      <w:r>
        <w:rPr>
          <w:rFonts w:ascii="宋体"/>
        </w:rPr>
        <w:t>（2）油灰应用熟桐油等天然干性油拌制，用其它油料拌制的油灰，必须经试验合格后，方可使用。</w:t>
      </w:r>
    </w:p>
    <w:p>
      <w:pPr>
        <w:pStyle w:val="1280"/>
        <w:ind w:firstLine="440"/>
        <w:rPr>
          <w:rFonts w:ascii="宋体"/>
        </w:rPr>
      </w:pPr>
      <w:r>
        <w:rPr>
          <w:rFonts w:ascii="宋体"/>
        </w:rPr>
        <w:t>（3）油灰应具有塑性，嵌抹时不断裂、不出麻面，在常温下，应在20昼夜内硬化。用于钢门窗玻璃的油灰，应具有防锈性。</w:t>
      </w:r>
    </w:p>
    <w:p>
      <w:pPr>
        <w:pStyle w:val="1280"/>
        <w:ind w:firstLine="440"/>
        <w:rPr>
          <w:rFonts w:ascii="宋体"/>
        </w:rPr>
      </w:pPr>
      <w:r>
        <w:rPr>
          <w:rFonts w:ascii="宋体"/>
        </w:rPr>
        <w:t>（4）夹丝玻璃的裁割边缘上宜刷涂防锈涂料。</w:t>
      </w:r>
    </w:p>
    <w:p>
      <w:pPr>
        <w:pStyle w:val="1280"/>
        <w:ind w:firstLine="440"/>
        <w:rPr>
          <w:rFonts w:ascii="宋体"/>
        </w:rPr>
      </w:pPr>
      <w:r>
        <w:rPr>
          <w:rFonts w:ascii="宋体"/>
        </w:rPr>
        <w:t>（5）镶嵌条、定位垫块和隔片、填充料、密封膏等的品种、规格、断面尺寸、颜色、物理及化学性质应符合设计要求。</w:t>
      </w:r>
    </w:p>
    <w:p>
      <w:pPr>
        <w:pStyle w:val="1280"/>
        <w:ind w:firstLine="440"/>
        <w:rPr>
          <w:rFonts w:ascii="宋体"/>
        </w:rPr>
      </w:pPr>
      <w:r>
        <w:rPr>
          <w:rFonts w:ascii="宋体"/>
        </w:rPr>
        <w:t>上述材料配套使用时，其相互间的材料性质必须相容。</w:t>
      </w:r>
    </w:p>
    <w:p>
      <w:pPr>
        <w:pStyle w:val="1280"/>
        <w:ind w:firstLine="440"/>
        <w:rPr>
          <w:rFonts w:ascii="宋体"/>
        </w:rPr>
      </w:pPr>
      <w:r>
        <w:rPr>
          <w:rFonts w:ascii="宋体"/>
        </w:rPr>
        <w:t>当安装中空玻璃或夹层玻璃时，上述材料和中空玻璃的密封膏或玻璃 的夹层材料，在材料性质方面必须相容。</w:t>
      </w:r>
    </w:p>
    <w:p>
      <w:pPr>
        <w:pStyle w:val="1280"/>
        <w:ind w:firstLine="440"/>
        <w:rPr>
          <w:rFonts w:ascii="宋体"/>
        </w:rPr>
      </w:pPr>
      <w:r>
        <w:rPr>
          <w:rFonts w:ascii="宋体"/>
        </w:rPr>
        <w:t>安装中空玻璃使用的橡胶定位垫块的硬度宜为邵氏硬度80度以上。</w:t>
      </w:r>
    </w:p>
    <w:p>
      <w:pPr>
        <w:pStyle w:val="1327"/>
        <w:outlineLvl w:val="0"/>
        <w:rPr>
          <w:rFonts w:ascii="宋体"/>
        </w:rPr>
      </w:pPr>
      <w:bookmarkStart w:id="3900" w:name="_Toc106049973"/>
      <w:bookmarkStart w:id="3901" w:name="_Toc106883236"/>
      <w:r>
        <w:rPr>
          <w:rFonts w:hint="eastAsia" w:ascii="宋体"/>
        </w:rPr>
        <w:t>4</w:t>
      </w:r>
      <w:r>
        <w:rPr>
          <w:rFonts w:ascii="宋体"/>
        </w:rPr>
        <w:t>.1.4.6.3  钢木框、扇玻璃安装</w:t>
      </w:r>
      <w:bookmarkEnd w:id="3900"/>
      <w:bookmarkEnd w:id="3901"/>
    </w:p>
    <w:p>
      <w:pPr>
        <w:pStyle w:val="1280"/>
        <w:ind w:firstLine="440"/>
        <w:rPr>
          <w:rFonts w:ascii="宋体"/>
        </w:rPr>
      </w:pPr>
      <w:r>
        <w:rPr>
          <w:rFonts w:ascii="宋体"/>
        </w:rPr>
        <w:t>（1）安装玻璃前，应将裁口内的污垢清除干净，并沿裁口的全长均匀涂抹1～3mm厚的底油灰。</w:t>
      </w:r>
    </w:p>
    <w:p>
      <w:pPr>
        <w:pStyle w:val="1280"/>
        <w:ind w:firstLine="440"/>
        <w:rPr>
          <w:rFonts w:ascii="宋体"/>
        </w:rPr>
      </w:pPr>
      <w:r>
        <w:rPr>
          <w:rFonts w:ascii="宋体"/>
        </w:rPr>
        <w:t>（2）安装长边大于1.5m或短边大于1m的玻璃，应用橡胶垫并用压条和螺钉镶嵌固定。</w:t>
      </w:r>
    </w:p>
    <w:p>
      <w:pPr>
        <w:pStyle w:val="1280"/>
        <w:ind w:firstLine="440"/>
        <w:rPr>
          <w:rFonts w:ascii="宋体"/>
        </w:rPr>
      </w:pPr>
      <w:r>
        <w:rPr>
          <w:rFonts w:ascii="宋体"/>
        </w:rPr>
        <w:t>（3）安装木框、扇玻璃，应用钉子固定，钉距不得大于300mm，且每边不少于两个，并用油灰填实抹光；用木压条固定时，应先涂干性油，并不应将玻璃压得过紧。</w:t>
      </w:r>
    </w:p>
    <w:p>
      <w:pPr>
        <w:pStyle w:val="1280"/>
        <w:ind w:firstLine="440"/>
        <w:rPr>
          <w:rFonts w:ascii="宋体"/>
        </w:rPr>
      </w:pPr>
      <w:r>
        <w:rPr>
          <w:rFonts w:ascii="宋体"/>
        </w:rPr>
        <w:t>（4）安装钢框、扇玻璃，应用钢丝卡固定，间距不得大于300mm，且每边不少于两个，并用油灰填实抹光；采用橡胶垫时，应先将橡胶垫嵌入裁口内，并用压条和螺钉固定。</w:t>
      </w:r>
    </w:p>
    <w:p>
      <w:pPr>
        <w:pStyle w:val="1280"/>
        <w:ind w:firstLine="440"/>
        <w:rPr>
          <w:rFonts w:ascii="宋体"/>
        </w:rPr>
      </w:pPr>
      <w:r>
        <w:rPr>
          <w:rFonts w:ascii="宋体"/>
        </w:rPr>
        <w:t>（5）如采用平板玻璃，应在玻璃下面加设一层保护网。</w:t>
      </w:r>
    </w:p>
    <w:p>
      <w:pPr>
        <w:pStyle w:val="1280"/>
        <w:ind w:firstLine="440"/>
        <w:rPr>
          <w:rFonts w:ascii="宋体"/>
        </w:rPr>
      </w:pPr>
      <w:r>
        <w:rPr>
          <w:rFonts w:ascii="宋体"/>
        </w:rPr>
        <w:t>（6）楼梯间和阳台等的围护结构安装钢化玻璃时，应用卡紧螺丝或压条镶嵌固定。玻璃与围护结构的金属框格相接处，应衬橡胶垫或塑料垫。</w:t>
      </w:r>
    </w:p>
    <w:p>
      <w:pPr>
        <w:pStyle w:val="1280"/>
        <w:ind w:firstLine="440"/>
        <w:rPr>
          <w:rFonts w:ascii="宋体"/>
        </w:rPr>
      </w:pPr>
      <w:r>
        <w:rPr>
          <w:rFonts w:ascii="宋体"/>
        </w:rPr>
        <w:t>（7）安装磨砂玻璃和压花玻璃时，磨砂玻璃的磨砂面应向室内，压花玻璃的花纹宜向室外。</w:t>
      </w:r>
    </w:p>
    <w:p>
      <w:pPr>
        <w:pStyle w:val="1327"/>
        <w:outlineLvl w:val="0"/>
        <w:rPr>
          <w:rFonts w:ascii="宋体"/>
        </w:rPr>
      </w:pPr>
      <w:bookmarkStart w:id="3902" w:name="_Toc106049974"/>
      <w:bookmarkStart w:id="3903" w:name="_Toc106883237"/>
      <w:r>
        <w:rPr>
          <w:rFonts w:hint="eastAsia" w:ascii="宋体"/>
        </w:rPr>
        <w:t>4</w:t>
      </w:r>
      <w:r>
        <w:rPr>
          <w:rFonts w:ascii="宋体"/>
        </w:rPr>
        <w:t>.1.4.6.4  五金器具</w:t>
      </w:r>
      <w:bookmarkEnd w:id="3902"/>
      <w:bookmarkEnd w:id="3903"/>
    </w:p>
    <w:p>
      <w:pPr>
        <w:pStyle w:val="1280"/>
        <w:ind w:firstLine="440"/>
        <w:rPr>
          <w:rFonts w:ascii="宋体"/>
        </w:rPr>
      </w:pPr>
      <w:r>
        <w:rPr>
          <w:rFonts w:ascii="宋体"/>
        </w:rPr>
        <w:t>包括拉手、弹簧铰链、插销、合页、锁等，应按项目监理的要求。安装位置合适、齐全、牢固、动作灵活，并且在任何位置都能保持稳定。</w:t>
      </w:r>
    </w:p>
    <w:p>
      <w:pPr>
        <w:pStyle w:val="1327"/>
        <w:outlineLvl w:val="0"/>
        <w:rPr>
          <w:rFonts w:ascii="宋体"/>
        </w:rPr>
      </w:pPr>
      <w:bookmarkStart w:id="3904" w:name="_Toc106049975"/>
      <w:bookmarkStart w:id="3905" w:name="_Toc106883238"/>
      <w:r>
        <w:rPr>
          <w:rFonts w:hint="eastAsia" w:ascii="宋体"/>
        </w:rPr>
        <w:t>4</w:t>
      </w:r>
      <w:r>
        <w:rPr>
          <w:rFonts w:ascii="宋体"/>
        </w:rPr>
        <w:t>.1.4.6.5  工程验收</w:t>
      </w:r>
      <w:bookmarkEnd w:id="3904"/>
      <w:bookmarkEnd w:id="3905"/>
    </w:p>
    <w:p>
      <w:pPr>
        <w:pStyle w:val="1280"/>
        <w:ind w:firstLine="440"/>
        <w:rPr>
          <w:rFonts w:ascii="宋体"/>
        </w:rPr>
      </w:pPr>
      <w:r>
        <w:rPr>
          <w:rFonts w:ascii="宋体"/>
        </w:rPr>
        <w:t>（1）检查数量按有代表性的自然间抽查10％，过道按10延长米，厂房等大间按两轴线为1间，但不少于3间。</w:t>
      </w:r>
    </w:p>
    <w:p>
      <w:pPr>
        <w:pStyle w:val="1280"/>
        <w:ind w:firstLine="440"/>
        <w:rPr>
          <w:rFonts w:ascii="宋体"/>
        </w:rPr>
      </w:pPr>
      <w:r>
        <w:rPr>
          <w:rFonts w:ascii="宋体"/>
        </w:rPr>
        <w:t>（2）验收时应检查玻璃品种、规格、色彩、朝向及安装质量等是否符合设计和本规范规定的要求。</w:t>
      </w:r>
    </w:p>
    <w:p>
      <w:pPr>
        <w:pStyle w:val="1280"/>
        <w:ind w:firstLine="440"/>
        <w:rPr>
          <w:rFonts w:ascii="宋体"/>
        </w:rPr>
      </w:pPr>
      <w:r>
        <w:rPr>
          <w:rFonts w:ascii="宋体"/>
        </w:rPr>
        <w:t>（3）玻璃工程质量应符合下列规定：</w:t>
      </w:r>
    </w:p>
    <w:p>
      <w:pPr>
        <w:pStyle w:val="1280"/>
        <w:ind w:firstLine="440"/>
        <w:rPr>
          <w:rFonts w:ascii="宋体"/>
        </w:rPr>
      </w:pPr>
      <w:r>
        <w:rPr>
          <w:rFonts w:ascii="宋体"/>
        </w:rPr>
        <w:t>a. 安装好的玻璃应平整、牢固，不得有松动现象；</w:t>
      </w:r>
    </w:p>
    <w:p>
      <w:pPr>
        <w:pStyle w:val="1280"/>
        <w:ind w:firstLine="440"/>
        <w:rPr>
          <w:rFonts w:ascii="宋体"/>
        </w:rPr>
      </w:pPr>
      <w:r>
        <w:rPr>
          <w:rFonts w:ascii="宋体"/>
        </w:rPr>
        <w:t>b. 油灰与玻璃及裁口应粘贴牢固，四角成八字形，表面不得有裂缝、麻面和皱皮；</w:t>
      </w:r>
    </w:p>
    <w:p>
      <w:pPr>
        <w:pStyle w:val="1280"/>
        <w:ind w:firstLine="440"/>
        <w:rPr>
          <w:rFonts w:ascii="宋体"/>
        </w:rPr>
      </w:pPr>
      <w:r>
        <w:rPr>
          <w:rFonts w:ascii="宋体"/>
        </w:rPr>
        <w:t>c. 油灰与玻璃及裁口接触的边缘应齐平，钉子、钢丝卡不得露出油灰表面；</w:t>
      </w:r>
    </w:p>
    <w:p>
      <w:pPr>
        <w:pStyle w:val="1280"/>
        <w:ind w:firstLine="440"/>
        <w:rPr>
          <w:rFonts w:ascii="宋体"/>
        </w:rPr>
      </w:pPr>
      <w:r>
        <w:rPr>
          <w:rFonts w:ascii="宋体"/>
        </w:rPr>
        <w:t>d. 木压条接触玻璃处，应与裁口边缘齐平。木压条应互相紧密连接，并与裁口紧贴；</w:t>
      </w:r>
    </w:p>
    <w:p>
      <w:pPr>
        <w:pStyle w:val="1280"/>
        <w:ind w:firstLine="440"/>
        <w:rPr>
          <w:rFonts w:ascii="宋体"/>
        </w:rPr>
      </w:pPr>
      <w:r>
        <w:rPr>
          <w:rFonts w:ascii="宋体"/>
        </w:rPr>
        <w:t>e. 密封条与玻璃、玻璃槽口的接触应紧密、平整，并不得露在玻璃槽口外面，用橡胶垫镶嵌玻璃，橡胶垫应与裁口、玻璃一压条紧贴，并不得露在压条外面；密封膏与玻璃、玻璃槽口的边缘应粘结牢固，接缝齐平；</w:t>
      </w:r>
    </w:p>
    <w:p>
      <w:pPr>
        <w:pStyle w:val="1280"/>
        <w:ind w:firstLine="440"/>
        <w:rPr>
          <w:rFonts w:ascii="宋体"/>
        </w:rPr>
      </w:pPr>
      <w:r>
        <w:rPr>
          <w:rFonts w:ascii="宋体"/>
        </w:rPr>
        <w:t>f. 墙、隔断及顶棚安装的玻璃砖，不得移位、翘曲和松动，其接缝应均匀、平直、密实；</w:t>
      </w:r>
    </w:p>
    <w:p>
      <w:pPr>
        <w:pStyle w:val="1280"/>
        <w:ind w:firstLine="440"/>
        <w:rPr>
          <w:rFonts w:ascii="宋体"/>
        </w:rPr>
      </w:pPr>
      <w:r>
        <w:rPr>
          <w:rFonts w:ascii="宋体"/>
        </w:rPr>
        <w:t>g. 拼接彩色玻璃、压花玻璃的接缝应吻合，颜色、图案应符合设计要求。</w:t>
      </w:r>
    </w:p>
    <w:p>
      <w:pPr>
        <w:pStyle w:val="1280"/>
        <w:ind w:firstLine="440"/>
        <w:rPr>
          <w:rFonts w:ascii="宋体"/>
        </w:rPr>
      </w:pPr>
      <w:r>
        <w:rPr>
          <w:rFonts w:ascii="宋体"/>
        </w:rPr>
        <w:t>（4）竣工后的玻璃工程，表面应洁净，不得留有油灰、浆水、密封膏、涂料等斑污。</w:t>
      </w:r>
    </w:p>
    <w:p>
      <w:pPr>
        <w:pStyle w:val="1280"/>
        <w:ind w:firstLine="440"/>
        <w:rPr>
          <w:rFonts w:ascii="宋体"/>
        </w:rPr>
      </w:pPr>
      <w:r>
        <w:rPr>
          <w:rFonts w:ascii="宋体"/>
        </w:rPr>
        <w:t>（5）竣工时，所有的锁、制动装置等均应擦拭干净，调试及上油润滑，所有的钥匙应用金属标签或高压板标签标明固定在钥匙上，标签尺寸为100×50×2mm。</w:t>
      </w:r>
    </w:p>
    <w:p>
      <w:pPr>
        <w:pStyle w:val="1288"/>
        <w:outlineLvl w:val="0"/>
        <w:rPr>
          <w:rFonts w:ascii="宋体" w:hAnsi="宋体"/>
          <w:color w:val="auto"/>
        </w:rPr>
      </w:pPr>
      <w:bookmarkStart w:id="3906" w:name="_Toc106049976"/>
      <w:bookmarkStart w:id="3907" w:name="_Toc106883239"/>
      <w:r>
        <w:rPr>
          <w:rFonts w:hint="eastAsia" w:ascii="宋体" w:hAnsi="宋体"/>
          <w:color w:val="auto"/>
        </w:rPr>
        <w:t>4</w:t>
      </w:r>
      <w:r>
        <w:rPr>
          <w:rFonts w:ascii="宋体" w:hAnsi="宋体"/>
          <w:color w:val="auto"/>
        </w:rPr>
        <w:t>.1.4.7  吊顶工程</w:t>
      </w:r>
      <w:bookmarkEnd w:id="3906"/>
      <w:bookmarkEnd w:id="3907"/>
    </w:p>
    <w:p>
      <w:pPr>
        <w:pStyle w:val="1280"/>
        <w:ind w:firstLine="440"/>
        <w:rPr>
          <w:rFonts w:ascii="宋体"/>
        </w:rPr>
      </w:pPr>
      <w:r>
        <w:rPr>
          <w:rFonts w:ascii="宋体"/>
        </w:rPr>
        <w:t>本章适用于以轻钢龙骨、铝合金龙骨、为骨架，以无机防火装饰罩面板的吊顶工程的安装及验收。</w:t>
      </w:r>
    </w:p>
    <w:p>
      <w:pPr>
        <w:pStyle w:val="1327"/>
        <w:outlineLvl w:val="0"/>
        <w:rPr>
          <w:rFonts w:ascii="宋体"/>
        </w:rPr>
      </w:pPr>
      <w:bookmarkStart w:id="3908" w:name="_Toc106049977"/>
      <w:bookmarkStart w:id="3909" w:name="_Toc106883240"/>
      <w:r>
        <w:rPr>
          <w:rFonts w:hint="eastAsia" w:ascii="宋体"/>
        </w:rPr>
        <w:t>4</w:t>
      </w:r>
      <w:r>
        <w:rPr>
          <w:rFonts w:ascii="宋体"/>
        </w:rPr>
        <w:t>.1.4.7.1 一般规定</w:t>
      </w:r>
      <w:bookmarkEnd w:id="3908"/>
      <w:bookmarkEnd w:id="3909"/>
    </w:p>
    <w:p>
      <w:pPr>
        <w:pStyle w:val="1280"/>
        <w:ind w:firstLine="440"/>
        <w:rPr>
          <w:rFonts w:ascii="宋体"/>
        </w:rPr>
      </w:pPr>
      <w:r>
        <w:rPr>
          <w:rFonts w:ascii="宋体"/>
        </w:rPr>
        <w:t>（1）吊顶龙骨在运输安装时，不得扔摔、碰撞。龙骨应平放，防止变形。</w:t>
      </w:r>
    </w:p>
    <w:p>
      <w:pPr>
        <w:pStyle w:val="1280"/>
        <w:ind w:firstLine="440"/>
        <w:rPr>
          <w:rFonts w:ascii="宋体"/>
        </w:rPr>
      </w:pPr>
      <w:r>
        <w:rPr>
          <w:rFonts w:ascii="宋体"/>
        </w:rPr>
        <w:t>罩面板应按品种、规格分类存放，不得损坏板材的表面和边角。运输时应采取相应措施，防止变形。</w:t>
      </w:r>
    </w:p>
    <w:p>
      <w:pPr>
        <w:pStyle w:val="1280"/>
        <w:ind w:firstLine="440"/>
        <w:rPr>
          <w:rFonts w:ascii="宋体"/>
        </w:rPr>
      </w:pPr>
      <w:r>
        <w:rPr>
          <w:rFonts w:ascii="宋体"/>
        </w:rPr>
        <w:t>（2）吊顶龙骨宜存放在地面平整的室内，并应采取措施，防止龙骨变形、生锈；罩面板应按品种、规格分类存放于地面平整、干燥、通风处，并根据不同罩面板的性质，分别采取措施，防止受潮变形。</w:t>
      </w:r>
    </w:p>
    <w:p>
      <w:pPr>
        <w:pStyle w:val="1280"/>
        <w:ind w:firstLine="440"/>
        <w:rPr>
          <w:rFonts w:ascii="宋体"/>
        </w:rPr>
      </w:pPr>
      <w:r>
        <w:rPr>
          <w:rFonts w:ascii="宋体"/>
        </w:rPr>
        <w:t>（3）罩面板安装前的准备工作应符合下列规定：</w:t>
      </w:r>
    </w:p>
    <w:p>
      <w:pPr>
        <w:pStyle w:val="1280"/>
        <w:ind w:firstLine="440"/>
        <w:rPr>
          <w:rFonts w:ascii="宋体"/>
        </w:rPr>
      </w:pPr>
      <w:r>
        <w:rPr>
          <w:rFonts w:ascii="宋体"/>
        </w:rPr>
        <w:t>a. 在现浇板或预制板缝中，按设计要求设置预埋件或吊杆；</w:t>
      </w:r>
    </w:p>
    <w:p>
      <w:pPr>
        <w:pStyle w:val="1280"/>
        <w:ind w:firstLine="440"/>
        <w:rPr>
          <w:rFonts w:ascii="宋体"/>
        </w:rPr>
      </w:pPr>
      <w:r>
        <w:rPr>
          <w:rFonts w:ascii="宋体"/>
        </w:rPr>
        <w:t>b. 吊顶内的通风、水电管道，应安装完毕。消防管道安装并试压完毕；</w:t>
      </w:r>
    </w:p>
    <w:p>
      <w:pPr>
        <w:pStyle w:val="1280"/>
        <w:ind w:firstLine="440"/>
        <w:rPr>
          <w:rFonts w:ascii="宋体"/>
        </w:rPr>
      </w:pPr>
      <w:r>
        <w:rPr>
          <w:rFonts w:ascii="宋体"/>
        </w:rPr>
        <w:t>c. 吊顶内的灯槽、斜撑、剪刀撑等，应根据工程情况适当布置。轻型灯具应吊在主龙骨或附加龙骨上，重型灯具或电扇不得与吊顶龙骨联结，应另设吊钩。</w:t>
      </w:r>
    </w:p>
    <w:p>
      <w:pPr>
        <w:pStyle w:val="1280"/>
        <w:ind w:firstLine="440"/>
        <w:rPr>
          <w:rFonts w:ascii="宋体"/>
        </w:rPr>
      </w:pPr>
      <w:r>
        <w:rPr>
          <w:rFonts w:ascii="宋体"/>
        </w:rPr>
        <w:t>（4）罩面板安装前，应根据构造需要分块弹线。带装饰图案罩面板的布置应符合设计要求。若设计无要求，宜由顶棚中间向两边对称排列安装。地面与顶棚的接缝应交圈一致。</w:t>
      </w:r>
    </w:p>
    <w:p>
      <w:pPr>
        <w:pStyle w:val="1280"/>
        <w:ind w:firstLine="440"/>
        <w:rPr>
          <w:rFonts w:ascii="宋体"/>
        </w:rPr>
      </w:pPr>
      <w:r>
        <w:rPr>
          <w:rFonts w:ascii="宋体"/>
        </w:rPr>
        <w:t>（2）罩面板与墙面、窗帘盒、灯具等交接处应严密，不得有漏缝现象。吊杆与膨胀螺栓固定后，有对焊缝及吊杆进行防锈处理，防锈漆至少涂刷二遍。</w:t>
      </w:r>
    </w:p>
    <w:p>
      <w:pPr>
        <w:pStyle w:val="1280"/>
        <w:ind w:firstLine="440"/>
        <w:rPr>
          <w:rFonts w:ascii="宋体"/>
        </w:rPr>
      </w:pPr>
      <w:r>
        <w:rPr>
          <w:rFonts w:ascii="宋体"/>
        </w:rPr>
        <w:t>（6）搁置式的轻质罩面板，应按设计要求设置压卡装置。</w:t>
      </w:r>
    </w:p>
    <w:p>
      <w:pPr>
        <w:pStyle w:val="1280"/>
        <w:ind w:firstLine="440"/>
        <w:rPr>
          <w:rFonts w:ascii="宋体"/>
        </w:rPr>
      </w:pPr>
      <w:r>
        <w:rPr>
          <w:rFonts w:ascii="宋体"/>
        </w:rPr>
        <w:t>（7）罩面板不得有悬臂现象，应增设附加龙骨固定。</w:t>
      </w:r>
    </w:p>
    <w:p>
      <w:pPr>
        <w:pStyle w:val="1280"/>
        <w:ind w:firstLine="440"/>
        <w:rPr>
          <w:rFonts w:ascii="宋体"/>
        </w:rPr>
      </w:pPr>
      <w:r>
        <w:rPr>
          <w:rFonts w:ascii="宋体"/>
        </w:rPr>
        <w:t>（8）施工用的临时马道应架设或吊挂在结构受力构件上，严禁以吊顶龙骨作为支撑点。</w:t>
      </w:r>
    </w:p>
    <w:p>
      <w:pPr>
        <w:pStyle w:val="1280"/>
        <w:ind w:firstLine="440"/>
        <w:rPr>
          <w:rFonts w:ascii="宋体"/>
        </w:rPr>
      </w:pPr>
      <w:r>
        <w:rPr>
          <w:rFonts w:ascii="宋体"/>
        </w:rPr>
        <w:t>（9）吊顶施工过程中，土建与电气设备等安装作业应密切配合，特别是预留孔洞、吊灯等处的补强应符合设计要求，以保证安全。</w:t>
      </w:r>
    </w:p>
    <w:p>
      <w:pPr>
        <w:pStyle w:val="1280"/>
        <w:ind w:firstLine="440"/>
        <w:rPr>
          <w:rFonts w:ascii="宋体"/>
        </w:rPr>
      </w:pPr>
      <w:r>
        <w:rPr>
          <w:rFonts w:ascii="宋体"/>
        </w:rPr>
        <w:t>（10）罩面板安装后，应采取保护措施，防止损坏。</w:t>
      </w:r>
    </w:p>
    <w:p>
      <w:pPr>
        <w:pStyle w:val="1327"/>
        <w:outlineLvl w:val="0"/>
        <w:rPr>
          <w:rFonts w:ascii="宋体"/>
        </w:rPr>
      </w:pPr>
      <w:bookmarkStart w:id="3910" w:name="_Toc106049978"/>
      <w:bookmarkStart w:id="3911" w:name="_Toc106883241"/>
      <w:r>
        <w:rPr>
          <w:rFonts w:hint="eastAsia" w:ascii="宋体"/>
        </w:rPr>
        <w:t>4</w:t>
      </w:r>
      <w:r>
        <w:rPr>
          <w:rFonts w:ascii="宋体"/>
        </w:rPr>
        <w:t>.1.4.7.2  材料质量要求</w:t>
      </w:r>
      <w:bookmarkEnd w:id="3910"/>
      <w:bookmarkEnd w:id="3911"/>
    </w:p>
    <w:p>
      <w:pPr>
        <w:pStyle w:val="1280"/>
        <w:ind w:firstLine="440"/>
        <w:rPr>
          <w:rFonts w:ascii="宋体"/>
        </w:rPr>
      </w:pPr>
      <w:r>
        <w:rPr>
          <w:rFonts w:ascii="宋体"/>
        </w:rPr>
        <w:t>（1）无机防火装饰罩面板不应有气泡、起皮、裂纹、缺角、污垢等缺陷，表面应平整，边缘应整齐，色泽应一致。穿孔板的孔距应排列整齐，暗装的吸声材料应有防散落措施。罩面板的质量均应符合现行国家标准、行业标准的规定。</w:t>
      </w:r>
    </w:p>
    <w:p>
      <w:pPr>
        <w:pStyle w:val="1280"/>
        <w:ind w:firstLine="440"/>
        <w:rPr>
          <w:rFonts w:ascii="宋体"/>
        </w:rPr>
      </w:pPr>
      <w:r>
        <w:rPr>
          <w:rFonts w:ascii="宋体"/>
        </w:rPr>
        <w:t>无机防火装饰罩面板技术性能：</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46"/>
        <w:gridCol w:w="4193"/>
        <w:gridCol w:w="2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序号</w:t>
            </w:r>
          </w:p>
        </w:tc>
        <w:tc>
          <w:tcPr>
            <w:tcW w:w="2449" w:type="pct"/>
            <w:shd w:val="clear" w:color="auto" w:fill="auto"/>
            <w:vAlign w:val="center"/>
          </w:tcPr>
          <w:p>
            <w:pPr>
              <w:pStyle w:val="1286"/>
              <w:rPr>
                <w:rFonts w:ascii="宋体" w:hAnsi="宋体"/>
                <w:color w:val="auto"/>
              </w:rPr>
            </w:pPr>
            <w:r>
              <w:rPr>
                <w:rFonts w:ascii="宋体" w:hAnsi="宋体"/>
                <w:color w:val="auto"/>
              </w:rPr>
              <w:t>项  目</w:t>
            </w:r>
          </w:p>
        </w:tc>
        <w:tc>
          <w:tcPr>
            <w:tcW w:w="1531" w:type="pct"/>
            <w:shd w:val="clear" w:color="auto" w:fill="auto"/>
            <w:vAlign w:val="center"/>
          </w:tcPr>
          <w:p>
            <w:pPr>
              <w:pStyle w:val="1286"/>
              <w:rPr>
                <w:rFonts w:ascii="宋体" w:hAnsi="宋体"/>
                <w:color w:val="auto"/>
              </w:rPr>
            </w:pPr>
            <w:r>
              <w:rPr>
                <w:rFonts w:ascii="宋体" w:hAnsi="宋体"/>
                <w:color w:val="auto"/>
              </w:rPr>
              <w:t>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1</w:t>
            </w:r>
          </w:p>
        </w:tc>
        <w:tc>
          <w:tcPr>
            <w:tcW w:w="2449" w:type="pct"/>
            <w:shd w:val="clear" w:color="auto" w:fill="auto"/>
            <w:vAlign w:val="center"/>
          </w:tcPr>
          <w:p>
            <w:pPr>
              <w:pStyle w:val="1286"/>
              <w:rPr>
                <w:rFonts w:ascii="宋体" w:hAnsi="宋体"/>
                <w:color w:val="auto"/>
              </w:rPr>
            </w:pPr>
            <w:r>
              <w:rPr>
                <w:rFonts w:ascii="宋体" w:hAnsi="宋体"/>
                <w:color w:val="auto"/>
              </w:rPr>
              <w:t>物理力学性能</w:t>
            </w:r>
          </w:p>
        </w:tc>
        <w:tc>
          <w:tcPr>
            <w:tcW w:w="1531" w:type="pct"/>
            <w:shd w:val="clear" w:color="auto" w:fill="auto"/>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a</w:t>
            </w:r>
          </w:p>
        </w:tc>
        <w:tc>
          <w:tcPr>
            <w:tcW w:w="2449" w:type="pct"/>
            <w:shd w:val="clear" w:color="auto" w:fill="auto"/>
            <w:vAlign w:val="center"/>
          </w:tcPr>
          <w:p>
            <w:pPr>
              <w:pStyle w:val="1286"/>
              <w:rPr>
                <w:rFonts w:ascii="宋体" w:hAnsi="宋体"/>
                <w:color w:val="auto"/>
              </w:rPr>
            </w:pPr>
            <w:r>
              <w:rPr>
                <w:rFonts w:ascii="宋体" w:hAnsi="宋体"/>
                <w:color w:val="auto"/>
              </w:rPr>
              <w:t>密度  g/cm</w:t>
            </w:r>
            <w:r>
              <w:rPr>
                <w:rFonts w:ascii="宋体" w:hAnsi="宋体"/>
                <w:color w:val="auto"/>
                <w:vertAlign w:val="superscript"/>
              </w:rPr>
              <w:t>3</w:t>
            </w:r>
          </w:p>
        </w:tc>
        <w:tc>
          <w:tcPr>
            <w:tcW w:w="1531" w:type="pct"/>
            <w:shd w:val="clear" w:color="auto" w:fill="auto"/>
            <w:vAlign w:val="center"/>
          </w:tcPr>
          <w:p>
            <w:pPr>
              <w:pStyle w:val="1286"/>
              <w:rPr>
                <w:rFonts w:ascii="宋体" w:hAnsi="宋体"/>
                <w:color w:val="auto"/>
              </w:rPr>
            </w:pPr>
            <w:r>
              <w:rPr>
                <w:rFonts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b</w:t>
            </w:r>
          </w:p>
        </w:tc>
        <w:tc>
          <w:tcPr>
            <w:tcW w:w="2449" w:type="pct"/>
            <w:shd w:val="clear" w:color="auto" w:fill="auto"/>
            <w:vAlign w:val="center"/>
          </w:tcPr>
          <w:p>
            <w:pPr>
              <w:pStyle w:val="1286"/>
              <w:rPr>
                <w:rFonts w:ascii="宋体" w:hAnsi="宋体"/>
                <w:color w:val="auto"/>
              </w:rPr>
            </w:pPr>
            <w:r>
              <w:rPr>
                <w:rFonts w:ascii="宋体" w:hAnsi="宋体"/>
                <w:color w:val="auto"/>
              </w:rPr>
              <w:t>干态抗弯强度  MPa</w:t>
            </w:r>
          </w:p>
        </w:tc>
        <w:tc>
          <w:tcPr>
            <w:tcW w:w="1531" w:type="pct"/>
            <w:shd w:val="clear" w:color="auto" w:fill="auto"/>
            <w:vAlign w:val="center"/>
          </w:tcPr>
          <w:p>
            <w:pPr>
              <w:pStyle w:val="1286"/>
              <w:rPr>
                <w:rFonts w:ascii="宋体" w:hAnsi="宋体"/>
                <w:color w:val="auto"/>
              </w:rPr>
            </w:pPr>
            <w:r>
              <w:rPr>
                <w:rFonts w:ascii="宋体" w:hAnsi="宋体"/>
                <w:color w:val="auto"/>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c</w:t>
            </w:r>
          </w:p>
        </w:tc>
        <w:tc>
          <w:tcPr>
            <w:tcW w:w="2449" w:type="pct"/>
            <w:shd w:val="clear" w:color="auto" w:fill="auto"/>
            <w:vAlign w:val="center"/>
          </w:tcPr>
          <w:p>
            <w:pPr>
              <w:pStyle w:val="1286"/>
              <w:rPr>
                <w:rFonts w:ascii="宋体" w:hAnsi="宋体"/>
                <w:color w:val="auto"/>
              </w:rPr>
            </w:pPr>
            <w:r>
              <w:rPr>
                <w:rFonts w:ascii="宋体" w:hAnsi="宋体"/>
                <w:color w:val="auto"/>
              </w:rPr>
              <w:t>吸水饱和态抗弯强度  MPa</w:t>
            </w:r>
          </w:p>
        </w:tc>
        <w:tc>
          <w:tcPr>
            <w:tcW w:w="1531" w:type="pct"/>
            <w:shd w:val="clear" w:color="auto" w:fill="auto"/>
            <w:vAlign w:val="center"/>
          </w:tcPr>
          <w:p>
            <w:pPr>
              <w:pStyle w:val="1286"/>
              <w:rPr>
                <w:rFonts w:ascii="宋体" w:hAnsi="宋体"/>
                <w:color w:val="auto"/>
              </w:rPr>
            </w:pPr>
            <w:r>
              <w:rPr>
                <w:rFonts w:ascii="宋体" w:hAnsi="宋体"/>
                <w:color w:val="auto"/>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d</w:t>
            </w:r>
          </w:p>
        </w:tc>
        <w:tc>
          <w:tcPr>
            <w:tcW w:w="2449" w:type="pct"/>
            <w:shd w:val="clear" w:color="auto" w:fill="auto"/>
            <w:vAlign w:val="center"/>
          </w:tcPr>
          <w:p>
            <w:pPr>
              <w:pStyle w:val="1286"/>
              <w:rPr>
                <w:rFonts w:ascii="宋体" w:hAnsi="宋体"/>
                <w:color w:val="auto"/>
              </w:rPr>
            </w:pPr>
            <w:r>
              <w:rPr>
                <w:rFonts w:ascii="宋体" w:hAnsi="宋体"/>
                <w:color w:val="auto"/>
              </w:rPr>
              <w:t>吸湿变形率  ％</w:t>
            </w:r>
          </w:p>
        </w:tc>
        <w:tc>
          <w:tcPr>
            <w:tcW w:w="1531" w:type="pct"/>
            <w:shd w:val="clear" w:color="auto" w:fill="auto"/>
            <w:vAlign w:val="center"/>
          </w:tcPr>
          <w:p>
            <w:pPr>
              <w:pStyle w:val="1286"/>
              <w:rPr>
                <w:rFonts w:ascii="宋体" w:hAnsi="宋体"/>
                <w:color w:val="auto"/>
              </w:rPr>
            </w:pPr>
            <w:r>
              <w:rPr>
                <w:rFonts w:ascii="宋体" w:hAnsi="宋体"/>
                <w:color w:val="auto"/>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e</w:t>
            </w:r>
          </w:p>
        </w:tc>
        <w:tc>
          <w:tcPr>
            <w:tcW w:w="2449" w:type="pct"/>
            <w:shd w:val="clear" w:color="auto" w:fill="auto"/>
            <w:vAlign w:val="center"/>
          </w:tcPr>
          <w:p>
            <w:pPr>
              <w:pStyle w:val="1286"/>
              <w:rPr>
                <w:rFonts w:ascii="宋体" w:hAnsi="宋体"/>
                <w:color w:val="auto"/>
              </w:rPr>
            </w:pPr>
            <w:r>
              <w:rPr>
                <w:rFonts w:ascii="宋体" w:hAnsi="宋体"/>
                <w:color w:val="auto"/>
              </w:rPr>
              <w:t>受热尺寸收缩率  ％</w:t>
            </w:r>
          </w:p>
        </w:tc>
        <w:tc>
          <w:tcPr>
            <w:tcW w:w="1531" w:type="pct"/>
            <w:shd w:val="clear" w:color="auto" w:fill="auto"/>
            <w:vAlign w:val="center"/>
          </w:tcPr>
          <w:p>
            <w:pPr>
              <w:pStyle w:val="1286"/>
              <w:rPr>
                <w:rFonts w:ascii="宋体" w:hAnsi="宋体"/>
                <w:color w:val="auto"/>
              </w:rPr>
            </w:pPr>
            <w:r>
              <w:rPr>
                <w:rFonts w:ascii="宋体" w:hAnsi="宋体"/>
                <w:color w:val="auto"/>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2</w:t>
            </w:r>
          </w:p>
        </w:tc>
        <w:tc>
          <w:tcPr>
            <w:tcW w:w="2449" w:type="pct"/>
            <w:shd w:val="clear" w:color="auto" w:fill="auto"/>
            <w:vAlign w:val="center"/>
          </w:tcPr>
          <w:p>
            <w:pPr>
              <w:pStyle w:val="1286"/>
              <w:rPr>
                <w:rFonts w:ascii="宋体" w:hAnsi="宋体"/>
                <w:color w:val="auto"/>
              </w:rPr>
            </w:pPr>
            <w:r>
              <w:rPr>
                <w:rFonts w:ascii="宋体" w:hAnsi="宋体"/>
                <w:color w:val="auto"/>
              </w:rPr>
              <w:t>燃烧性能</w:t>
            </w:r>
          </w:p>
        </w:tc>
        <w:tc>
          <w:tcPr>
            <w:tcW w:w="1531" w:type="pct"/>
            <w:shd w:val="clear" w:color="auto" w:fill="auto"/>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a</w:t>
            </w:r>
          </w:p>
        </w:tc>
        <w:tc>
          <w:tcPr>
            <w:tcW w:w="2449" w:type="pct"/>
            <w:shd w:val="clear" w:color="auto" w:fill="auto"/>
            <w:vAlign w:val="center"/>
          </w:tcPr>
          <w:p>
            <w:pPr>
              <w:pStyle w:val="1286"/>
              <w:rPr>
                <w:rFonts w:ascii="宋体" w:hAnsi="宋体"/>
                <w:color w:val="auto"/>
              </w:rPr>
            </w:pPr>
            <w:r>
              <w:rPr>
                <w:rFonts w:ascii="宋体" w:hAnsi="宋体"/>
                <w:color w:val="auto"/>
              </w:rPr>
              <w:t xml:space="preserve">炉内温升  </w:t>
            </w:r>
            <w:r>
              <w:rPr>
                <w:rFonts w:hint="eastAsia" w:ascii="宋体" w:hAnsi="宋体" w:cs="宋体"/>
                <w:color w:val="auto"/>
              </w:rPr>
              <w:t>℃</w:t>
            </w:r>
          </w:p>
        </w:tc>
        <w:tc>
          <w:tcPr>
            <w:tcW w:w="1531" w:type="pct"/>
            <w:shd w:val="clear" w:color="auto" w:fill="auto"/>
            <w:vAlign w:val="center"/>
          </w:tcPr>
          <w:p>
            <w:pPr>
              <w:pStyle w:val="1286"/>
              <w:rPr>
                <w:rFonts w:ascii="宋体" w:hAnsi="宋体"/>
                <w:color w:val="auto"/>
              </w:rPr>
            </w:pPr>
            <w:r>
              <w:rPr>
                <w:rFonts w:ascii="宋体" w:hAnsi="宋体"/>
                <w:color w:val="auto"/>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b</w:t>
            </w:r>
          </w:p>
        </w:tc>
        <w:tc>
          <w:tcPr>
            <w:tcW w:w="2449" w:type="pct"/>
            <w:shd w:val="clear" w:color="auto" w:fill="auto"/>
            <w:vAlign w:val="center"/>
          </w:tcPr>
          <w:p>
            <w:pPr>
              <w:pStyle w:val="1286"/>
              <w:rPr>
                <w:rFonts w:ascii="宋体" w:hAnsi="宋体"/>
                <w:color w:val="auto"/>
              </w:rPr>
            </w:pPr>
            <w:r>
              <w:rPr>
                <w:rFonts w:ascii="宋体" w:hAnsi="宋体"/>
                <w:color w:val="auto"/>
              </w:rPr>
              <w:t>持续燃烧时间  s</w:t>
            </w:r>
          </w:p>
        </w:tc>
        <w:tc>
          <w:tcPr>
            <w:tcW w:w="1531" w:type="pct"/>
            <w:shd w:val="clear" w:color="auto" w:fill="auto"/>
            <w:vAlign w:val="center"/>
          </w:tcPr>
          <w:p>
            <w:pPr>
              <w:pStyle w:val="1286"/>
              <w:rPr>
                <w:rFonts w:ascii="宋体" w:hAnsi="宋体"/>
                <w:color w:val="auto"/>
              </w:rPr>
            </w:pPr>
            <w:r>
              <w:rPr>
                <w:rFonts w:ascii="宋体" w:hAnsi="宋体"/>
                <w:color w:val="auto"/>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020" w:type="pct"/>
            <w:shd w:val="clear" w:color="auto" w:fill="auto"/>
            <w:vAlign w:val="center"/>
          </w:tcPr>
          <w:p>
            <w:pPr>
              <w:pStyle w:val="1286"/>
              <w:rPr>
                <w:rFonts w:ascii="宋体" w:hAnsi="宋体"/>
                <w:color w:val="auto"/>
              </w:rPr>
            </w:pPr>
            <w:r>
              <w:rPr>
                <w:rFonts w:ascii="宋体" w:hAnsi="宋体"/>
                <w:color w:val="auto"/>
              </w:rPr>
              <w:t>c</w:t>
            </w:r>
          </w:p>
        </w:tc>
        <w:tc>
          <w:tcPr>
            <w:tcW w:w="2449" w:type="pct"/>
            <w:shd w:val="clear" w:color="auto" w:fill="auto"/>
            <w:vAlign w:val="center"/>
          </w:tcPr>
          <w:p>
            <w:pPr>
              <w:pStyle w:val="1286"/>
              <w:rPr>
                <w:rFonts w:ascii="宋体" w:hAnsi="宋体"/>
                <w:color w:val="auto"/>
              </w:rPr>
            </w:pPr>
            <w:r>
              <w:rPr>
                <w:rFonts w:ascii="宋体" w:hAnsi="宋体"/>
                <w:color w:val="auto"/>
              </w:rPr>
              <w:t>质量损失率  ％</w:t>
            </w:r>
          </w:p>
        </w:tc>
        <w:tc>
          <w:tcPr>
            <w:tcW w:w="1531" w:type="pct"/>
            <w:shd w:val="clear" w:color="auto" w:fill="auto"/>
            <w:vAlign w:val="center"/>
          </w:tcPr>
          <w:p>
            <w:pPr>
              <w:pStyle w:val="1286"/>
              <w:rPr>
                <w:rFonts w:ascii="宋体" w:hAnsi="宋体"/>
                <w:color w:val="auto"/>
              </w:rPr>
            </w:pPr>
            <w:r>
              <w:rPr>
                <w:rFonts w:ascii="宋体" w:hAnsi="宋体"/>
                <w:color w:val="auto"/>
              </w:rPr>
              <w:t>≤45</w:t>
            </w:r>
          </w:p>
        </w:tc>
      </w:tr>
    </w:tbl>
    <w:p>
      <w:pPr>
        <w:pStyle w:val="1280"/>
        <w:ind w:firstLine="440"/>
        <w:rPr>
          <w:rFonts w:ascii="宋体"/>
        </w:rPr>
      </w:pPr>
      <w:r>
        <w:rPr>
          <w:rFonts w:ascii="宋体"/>
        </w:rPr>
        <w:t>（2）吊顶工程所用的轻钢龙骨、铝合金龙骨及其配件应符合有关现行国家标准。</w:t>
      </w:r>
    </w:p>
    <w:p>
      <w:pPr>
        <w:pStyle w:val="1280"/>
        <w:ind w:firstLine="440"/>
        <w:rPr>
          <w:rFonts w:ascii="宋体"/>
        </w:rPr>
      </w:pPr>
      <w:r>
        <w:rPr>
          <w:rFonts w:ascii="宋体"/>
        </w:rPr>
        <w:t>（3）安装罩面板的紧固件，宜采用镀锌制品，预埋的木砖应作防腐处理。</w:t>
      </w:r>
    </w:p>
    <w:p>
      <w:pPr>
        <w:pStyle w:val="1280"/>
        <w:ind w:firstLine="440"/>
        <w:rPr>
          <w:rFonts w:ascii="宋体"/>
        </w:rPr>
      </w:pPr>
      <w:r>
        <w:rPr>
          <w:rFonts w:ascii="宋体"/>
        </w:rPr>
        <w:t>（4）胶粘剂的类型应按所用罩面板的品种配套选用，现场配制的胶粘剂，其配合比应由试验确定。</w:t>
      </w:r>
    </w:p>
    <w:p>
      <w:pPr>
        <w:adjustRightInd w:val="0"/>
        <w:snapToGrid w:val="0"/>
        <w:spacing w:line="360" w:lineRule="auto"/>
        <w:textAlignment w:val="baseline"/>
        <w:outlineLvl w:val="0"/>
        <w:rPr>
          <w:rFonts w:ascii="宋体" w:hAnsi="宋体"/>
          <w:b/>
          <w:kern w:val="0"/>
          <w:szCs w:val="21"/>
        </w:rPr>
      </w:pPr>
      <w:bookmarkStart w:id="3912" w:name="_Toc106883242"/>
      <w:bookmarkStart w:id="3913" w:name="_Toc106049979"/>
      <w:r>
        <w:rPr>
          <w:rFonts w:hint="eastAsia" w:ascii="宋体" w:hAnsi="宋体"/>
          <w:b/>
          <w:kern w:val="0"/>
          <w:szCs w:val="21"/>
        </w:rPr>
        <w:t>4</w:t>
      </w:r>
      <w:r>
        <w:rPr>
          <w:rFonts w:ascii="宋体" w:hAnsi="宋体"/>
          <w:b/>
          <w:kern w:val="0"/>
          <w:szCs w:val="21"/>
        </w:rPr>
        <w:t>.1.4.7.3  龙骨安装</w:t>
      </w:r>
      <w:bookmarkEnd w:id="3912"/>
      <w:bookmarkEnd w:id="3913"/>
    </w:p>
    <w:p>
      <w:pPr>
        <w:pStyle w:val="1280"/>
        <w:ind w:firstLine="440"/>
        <w:rPr>
          <w:rFonts w:ascii="宋体"/>
        </w:rPr>
      </w:pPr>
      <w:r>
        <w:rPr>
          <w:rFonts w:ascii="宋体"/>
        </w:rPr>
        <w:t>（1）安装吊顶龙骨的基体质量，应符合有关现行国家标准的规定。</w:t>
      </w:r>
    </w:p>
    <w:p>
      <w:pPr>
        <w:pStyle w:val="1280"/>
        <w:ind w:firstLine="440"/>
        <w:rPr>
          <w:rFonts w:ascii="宋体"/>
        </w:rPr>
      </w:pPr>
      <w:r>
        <w:rPr>
          <w:rFonts w:ascii="宋体"/>
        </w:rPr>
        <w:t>（2）根据吊顶的设计标高在四周墙上弹线。弹线应清楚，位置准确，其水平允许偏差±5mm。</w:t>
      </w:r>
    </w:p>
    <w:p>
      <w:pPr>
        <w:pStyle w:val="1280"/>
        <w:ind w:firstLine="440"/>
        <w:rPr>
          <w:rFonts w:ascii="宋体"/>
        </w:rPr>
      </w:pPr>
      <w:r>
        <w:rPr>
          <w:rFonts w:ascii="宋体"/>
        </w:rPr>
        <w:t>（3）主龙骨吊点间距，应按设计推荐系列选择，中间部分应起拱，金属龙骨起拱高度应不小于房间短向跨度的1/200，主龙骨安装后应及时校正其位置和标高。</w:t>
      </w:r>
    </w:p>
    <w:p>
      <w:pPr>
        <w:pStyle w:val="1280"/>
        <w:ind w:firstLine="440"/>
        <w:rPr>
          <w:rFonts w:ascii="宋体"/>
        </w:rPr>
      </w:pPr>
      <w:r>
        <w:rPr>
          <w:rFonts w:ascii="宋体"/>
        </w:rPr>
        <w:t>（4）吊杆距主龙骨端部距离不得超过300mm，否则应增设吊杆，以免主龙骨下坠。</w:t>
      </w:r>
    </w:p>
    <w:p>
      <w:pPr>
        <w:pStyle w:val="1280"/>
        <w:ind w:firstLine="440"/>
        <w:rPr>
          <w:rFonts w:ascii="宋体"/>
        </w:rPr>
      </w:pPr>
      <w:r>
        <w:rPr>
          <w:rFonts w:ascii="宋体"/>
        </w:rPr>
        <w:t>当吊杆与设备相遇时，应调整吊点构造或增设吊杆，以保证吊顶质量。</w:t>
      </w:r>
    </w:p>
    <w:p>
      <w:pPr>
        <w:pStyle w:val="1280"/>
        <w:ind w:firstLine="440"/>
        <w:rPr>
          <w:rFonts w:ascii="宋体"/>
        </w:rPr>
      </w:pPr>
      <w:r>
        <w:rPr>
          <w:rFonts w:ascii="宋体"/>
        </w:rPr>
        <w:t>（5）吊杆应通直并有足够的承载能力。当预埋的吊杆需接长时，必须搭接焊牢，焊缝均匀饱满。</w:t>
      </w:r>
    </w:p>
    <w:p>
      <w:pPr>
        <w:pStyle w:val="1280"/>
        <w:ind w:firstLine="440"/>
        <w:rPr>
          <w:rFonts w:ascii="宋体"/>
        </w:rPr>
      </w:pPr>
      <w:r>
        <w:rPr>
          <w:rFonts w:ascii="宋体"/>
        </w:rPr>
        <w:t>（6）次龙骨（中或小龙骨，下同）应紧贴主龙骨安装。当用自攻螺钉安装板材时，板材的接缝处，必须安装在宽度不小于40mm的次龙骨上。</w:t>
      </w:r>
    </w:p>
    <w:p>
      <w:pPr>
        <w:pStyle w:val="1280"/>
        <w:ind w:firstLine="440"/>
        <w:rPr>
          <w:rFonts w:ascii="宋体"/>
        </w:rPr>
      </w:pPr>
      <w:r>
        <w:rPr>
          <w:rFonts w:ascii="宋体"/>
        </w:rPr>
        <w:t>（7）根据板材布置的需要，应事先准备尺寸合格的横撑龙骨，用连接件将其两端连接在通长次龙骨上。明龙骨系列的横撑龙骨与通长次龙骨的间隙不得大于1mm。</w:t>
      </w:r>
    </w:p>
    <w:p>
      <w:pPr>
        <w:pStyle w:val="1280"/>
        <w:ind w:firstLine="440"/>
        <w:rPr>
          <w:rFonts w:ascii="宋体"/>
        </w:rPr>
      </w:pPr>
      <w:r>
        <w:rPr>
          <w:rFonts w:ascii="宋体"/>
        </w:rPr>
        <w:t>（8）边龙骨应按设计要求弹线，固定在四周墙上。</w:t>
      </w:r>
    </w:p>
    <w:p>
      <w:pPr>
        <w:pStyle w:val="1280"/>
        <w:ind w:firstLine="440"/>
        <w:rPr>
          <w:rFonts w:ascii="宋体"/>
        </w:rPr>
      </w:pPr>
      <w:r>
        <w:rPr>
          <w:rFonts w:ascii="宋体"/>
        </w:rPr>
        <w:t>（9）全面校正主、次龙骨的位置及水平度。连接件应错位安装。明龙骨应目测无明显弯曲。通长次龙骨连接处的对接错位偏差不得超过2mm。</w:t>
      </w:r>
    </w:p>
    <w:p>
      <w:pPr>
        <w:pStyle w:val="1280"/>
        <w:ind w:firstLine="440"/>
        <w:rPr>
          <w:rFonts w:ascii="宋体"/>
        </w:rPr>
      </w:pPr>
      <w:r>
        <w:rPr>
          <w:rFonts w:ascii="宋体"/>
        </w:rPr>
        <w:t>校正后应将龙骨的所有吊挂件、连接件拧夹紧。</w:t>
      </w:r>
    </w:p>
    <w:p>
      <w:pPr>
        <w:pStyle w:val="1280"/>
        <w:ind w:firstLine="440"/>
        <w:rPr>
          <w:rFonts w:ascii="宋体"/>
        </w:rPr>
      </w:pPr>
      <w:r>
        <w:rPr>
          <w:rFonts w:ascii="宋体"/>
        </w:rPr>
        <w:t>（10）检查安装好吊顶骨架，应牢固可靠。</w:t>
      </w:r>
    </w:p>
    <w:p>
      <w:pPr>
        <w:pStyle w:val="1280"/>
        <w:ind w:firstLine="440"/>
        <w:rPr>
          <w:rFonts w:ascii="宋体"/>
        </w:rPr>
      </w:pPr>
      <w:r>
        <w:rPr>
          <w:rFonts w:ascii="宋体"/>
        </w:rPr>
        <w:t>（11）吊顶的安装，应按现行《木结构工程施工质量验收规范》的有关规定执行。</w:t>
      </w:r>
    </w:p>
    <w:p>
      <w:pPr>
        <w:pStyle w:val="1327"/>
        <w:outlineLvl w:val="0"/>
        <w:rPr>
          <w:rFonts w:ascii="宋体"/>
        </w:rPr>
      </w:pPr>
      <w:bookmarkStart w:id="3914" w:name="_Toc106049980"/>
      <w:bookmarkStart w:id="3915" w:name="_Toc106883243"/>
      <w:r>
        <w:rPr>
          <w:rFonts w:hint="eastAsia" w:ascii="宋体"/>
        </w:rPr>
        <w:t>4</w:t>
      </w:r>
      <w:r>
        <w:rPr>
          <w:rFonts w:ascii="宋体"/>
        </w:rPr>
        <w:t>.1.4.7.4  无机防火装饰罩面板的安装</w:t>
      </w:r>
      <w:bookmarkEnd w:id="3914"/>
      <w:bookmarkEnd w:id="3915"/>
    </w:p>
    <w:p>
      <w:pPr>
        <w:pStyle w:val="1280"/>
        <w:ind w:firstLine="440"/>
        <w:rPr>
          <w:rFonts w:ascii="宋体"/>
        </w:rPr>
      </w:pPr>
      <w:r>
        <w:rPr>
          <w:rFonts w:ascii="宋体"/>
        </w:rPr>
        <w:t>无机防火板的安装（包括平板、穿孔板以及半穿孔吸声板等），应符合下列规定：</w:t>
      </w:r>
    </w:p>
    <w:p>
      <w:pPr>
        <w:pStyle w:val="1280"/>
        <w:ind w:firstLine="440"/>
        <w:rPr>
          <w:rFonts w:ascii="宋体"/>
        </w:rPr>
      </w:pPr>
      <w:r>
        <w:rPr>
          <w:rFonts w:ascii="宋体"/>
        </w:rPr>
        <w:t>（1）钉固法安装，螺钉与板边距离应不小于15mm，螺钉间距以150～170mm为宜，均匀布置，并与板面垂直。钉头嵌入无机防火板深度以0.5～1mm为宜，钉帽应涂刷防锈涂料，并用石膏腻子抹平；</w:t>
      </w:r>
    </w:p>
    <w:p>
      <w:pPr>
        <w:pStyle w:val="1280"/>
        <w:ind w:firstLine="440"/>
        <w:rPr>
          <w:rFonts w:ascii="宋体"/>
        </w:rPr>
      </w:pPr>
      <w:r>
        <w:rPr>
          <w:rFonts w:ascii="宋体"/>
        </w:rPr>
        <w:t>（2）粘结法安装，胶粘剂应涂抹均匀，不得漏涂，粘实粘牢。</w:t>
      </w:r>
    </w:p>
    <w:p>
      <w:pPr>
        <w:pStyle w:val="1327"/>
        <w:outlineLvl w:val="0"/>
        <w:rPr>
          <w:rFonts w:ascii="宋体"/>
        </w:rPr>
      </w:pPr>
      <w:bookmarkStart w:id="3916" w:name="_Toc106049981"/>
      <w:bookmarkStart w:id="3917" w:name="_Toc106883244"/>
      <w:r>
        <w:rPr>
          <w:rFonts w:hint="eastAsia" w:ascii="宋体"/>
        </w:rPr>
        <w:t>4</w:t>
      </w:r>
      <w:r>
        <w:rPr>
          <w:rFonts w:ascii="宋体"/>
        </w:rPr>
        <w:t>.1.4.7.5  工程验收</w:t>
      </w:r>
      <w:bookmarkEnd w:id="3916"/>
      <w:bookmarkEnd w:id="3917"/>
    </w:p>
    <w:p>
      <w:pPr>
        <w:pStyle w:val="1280"/>
        <w:ind w:firstLine="440"/>
        <w:rPr>
          <w:rFonts w:ascii="宋体"/>
        </w:rPr>
      </w:pPr>
      <w:r>
        <w:rPr>
          <w:rFonts w:ascii="宋体"/>
        </w:rPr>
        <w:t>（1）检查数量 按有代表性的自然间抽查10％，过道按10延长米，厂房等大间按两轴线为1间，但不少于3间。</w:t>
      </w:r>
    </w:p>
    <w:p>
      <w:pPr>
        <w:pStyle w:val="1280"/>
        <w:ind w:firstLine="440"/>
        <w:rPr>
          <w:rFonts w:ascii="宋体"/>
        </w:rPr>
      </w:pPr>
      <w:r>
        <w:rPr>
          <w:rFonts w:ascii="宋体"/>
        </w:rPr>
        <w:t>（2）检查吊顶工程所用材料的品种、规格、颜色以及基层构造、固定方法等是否符合设计要求。</w:t>
      </w:r>
    </w:p>
    <w:p>
      <w:pPr>
        <w:pStyle w:val="1280"/>
        <w:ind w:firstLine="440"/>
        <w:rPr>
          <w:rFonts w:ascii="宋体"/>
        </w:rPr>
      </w:pPr>
      <w:r>
        <w:rPr>
          <w:rFonts w:ascii="宋体"/>
        </w:rPr>
        <w:t>（3）罩面板与龙骨应连接紧密，表面应平整，不得有污染、折裂、缺棱掉脚、捶伤等缺陷，接缝应均匀一致，粘贴的罩面板不得有脱层。</w:t>
      </w:r>
    </w:p>
    <w:p>
      <w:pPr>
        <w:pStyle w:val="1280"/>
        <w:ind w:firstLine="440"/>
        <w:rPr>
          <w:rFonts w:ascii="宋体"/>
        </w:rPr>
      </w:pPr>
      <w:r>
        <w:rPr>
          <w:rFonts w:ascii="宋体"/>
        </w:rPr>
        <w:t>（4）搁置的罩面板不得有漏、透、翘角现象。</w:t>
      </w:r>
    </w:p>
    <w:p>
      <w:pPr>
        <w:pStyle w:val="1288"/>
        <w:outlineLvl w:val="0"/>
        <w:rPr>
          <w:rFonts w:ascii="宋体" w:hAnsi="宋体"/>
          <w:color w:val="auto"/>
        </w:rPr>
      </w:pPr>
      <w:bookmarkStart w:id="3918" w:name="_Toc106049982"/>
      <w:bookmarkStart w:id="3919" w:name="_Toc106883245"/>
      <w:r>
        <w:rPr>
          <w:rFonts w:hint="eastAsia" w:ascii="宋体" w:hAnsi="宋体"/>
          <w:color w:val="auto"/>
        </w:rPr>
        <w:t>4</w:t>
      </w:r>
      <w:r>
        <w:rPr>
          <w:rFonts w:ascii="宋体" w:hAnsi="宋体"/>
          <w:color w:val="auto"/>
        </w:rPr>
        <w:t>.1.4.8  隔断工程</w:t>
      </w:r>
      <w:bookmarkEnd w:id="3918"/>
      <w:bookmarkEnd w:id="3919"/>
    </w:p>
    <w:p>
      <w:pPr>
        <w:pStyle w:val="1280"/>
        <w:ind w:firstLine="440"/>
        <w:rPr>
          <w:rFonts w:ascii="宋体"/>
        </w:rPr>
      </w:pPr>
      <w:r>
        <w:rPr>
          <w:rFonts w:ascii="宋体"/>
        </w:rPr>
        <w:t>本章适用于以轻钢龙骨为骨架，以为无机防火装饰罩面板的隔断工程的施工及验收。</w:t>
      </w:r>
    </w:p>
    <w:p>
      <w:pPr>
        <w:pStyle w:val="1327"/>
        <w:outlineLvl w:val="0"/>
        <w:rPr>
          <w:rFonts w:ascii="宋体"/>
        </w:rPr>
      </w:pPr>
      <w:bookmarkStart w:id="3920" w:name="_Toc106049983"/>
      <w:bookmarkStart w:id="3921" w:name="_Toc106883246"/>
      <w:r>
        <w:rPr>
          <w:rFonts w:hint="eastAsia" w:ascii="宋体"/>
        </w:rPr>
        <w:t>4</w:t>
      </w:r>
      <w:r>
        <w:rPr>
          <w:rFonts w:ascii="宋体"/>
        </w:rPr>
        <w:t>.1.4.6.1  一般规定</w:t>
      </w:r>
      <w:bookmarkEnd w:id="3920"/>
      <w:bookmarkEnd w:id="3921"/>
    </w:p>
    <w:p>
      <w:pPr>
        <w:pStyle w:val="1280"/>
        <w:ind w:firstLine="440"/>
        <w:rPr>
          <w:rFonts w:ascii="宋体"/>
        </w:rPr>
      </w:pPr>
      <w:r>
        <w:rPr>
          <w:rFonts w:ascii="宋体"/>
        </w:rPr>
        <w:t>（1）隔断工程所用材料的品种、规格、颜色以及隔断的构造、固定方法，应符合设计要求。</w:t>
      </w:r>
    </w:p>
    <w:p>
      <w:pPr>
        <w:pStyle w:val="1280"/>
        <w:ind w:firstLine="440"/>
        <w:rPr>
          <w:rFonts w:ascii="宋体"/>
        </w:rPr>
      </w:pPr>
      <w:r>
        <w:rPr>
          <w:rFonts w:ascii="宋体"/>
        </w:rPr>
        <w:t>（2）隔断龙骨在运输和安装时，不得扔摔、碰撞。龙骨应平放，防止变形；</w:t>
      </w:r>
    </w:p>
    <w:p>
      <w:pPr>
        <w:pStyle w:val="1280"/>
        <w:ind w:firstLine="440"/>
        <w:rPr>
          <w:rFonts w:ascii="宋体"/>
        </w:rPr>
      </w:pPr>
      <w:r>
        <w:rPr>
          <w:rFonts w:ascii="宋体"/>
        </w:rPr>
        <w:t>罩面板及条板在运输和安装时，应轻拿轻放，不得损坏板材的表面和边角，运输时应采取措施，防止受潮变形。</w:t>
      </w:r>
    </w:p>
    <w:p>
      <w:pPr>
        <w:pStyle w:val="1280"/>
        <w:ind w:firstLine="440"/>
        <w:rPr>
          <w:rFonts w:ascii="宋体"/>
        </w:rPr>
      </w:pPr>
      <w:r>
        <w:rPr>
          <w:rFonts w:ascii="宋体"/>
        </w:rPr>
        <w:t>（3）隔断龙骨宜存放在地面平整的室内，并应采取措施，防止龙骨变形、生锈；</w:t>
      </w:r>
    </w:p>
    <w:p>
      <w:pPr>
        <w:pStyle w:val="1280"/>
        <w:ind w:firstLine="440"/>
        <w:rPr>
          <w:rFonts w:ascii="宋体"/>
        </w:rPr>
      </w:pPr>
      <w:r>
        <w:rPr>
          <w:rFonts w:ascii="宋体"/>
        </w:rPr>
        <w:t>无机防火板应按品种、规格分类存放于地面平整、干燥、通风处，并根据不同罩面板的性质分别采取措施，防止受潮变形；</w:t>
      </w:r>
    </w:p>
    <w:p>
      <w:pPr>
        <w:pStyle w:val="1280"/>
        <w:ind w:firstLine="440"/>
        <w:rPr>
          <w:rFonts w:ascii="宋体"/>
        </w:rPr>
      </w:pPr>
      <w:r>
        <w:rPr>
          <w:rFonts w:ascii="宋体"/>
        </w:rPr>
        <w:t>无机防火条板堆放场地应平整、清洁、干燥，并应采取措施，防止条板浸水损坏，受潮变形。</w:t>
      </w:r>
    </w:p>
    <w:p>
      <w:pPr>
        <w:pStyle w:val="1280"/>
        <w:ind w:firstLine="440"/>
        <w:rPr>
          <w:rFonts w:ascii="宋体"/>
        </w:rPr>
      </w:pPr>
      <w:r>
        <w:rPr>
          <w:rFonts w:ascii="宋体"/>
        </w:rPr>
        <w:t>（4）民用电器等的底座，应装嵌牢固，其表面应与罩面的地面齐平。</w:t>
      </w:r>
    </w:p>
    <w:p>
      <w:pPr>
        <w:pStyle w:val="1280"/>
        <w:ind w:firstLine="440"/>
        <w:rPr>
          <w:rFonts w:ascii="宋体"/>
        </w:rPr>
      </w:pPr>
      <w:r>
        <w:rPr>
          <w:rFonts w:ascii="宋体"/>
        </w:rPr>
        <w:t>（5）口窗框或筒子板与隔断相接处应符合设计要求。</w:t>
      </w:r>
    </w:p>
    <w:p>
      <w:pPr>
        <w:pStyle w:val="1280"/>
        <w:ind w:firstLine="440"/>
        <w:rPr>
          <w:rFonts w:ascii="宋体"/>
        </w:rPr>
      </w:pPr>
      <w:r>
        <w:rPr>
          <w:rFonts w:ascii="宋体"/>
        </w:rPr>
        <w:t>（6）隔断的下端如用踢脚板覆盖，罩面板应离地面20～30mm；用大理石，水磨石踢脚板时，罩面板下端应与踢脚板上口齐平，接缝严密。</w:t>
      </w:r>
    </w:p>
    <w:p>
      <w:pPr>
        <w:pStyle w:val="1280"/>
        <w:ind w:firstLine="440"/>
        <w:rPr>
          <w:rFonts w:ascii="宋体"/>
        </w:rPr>
      </w:pPr>
      <w:r>
        <w:rPr>
          <w:rFonts w:ascii="宋体"/>
        </w:rPr>
        <w:t>（7）罩面板安装前，应按其品种、规格、颜色等进行分类选配；安装后，应采取保护措施，防止损坏。</w:t>
      </w:r>
    </w:p>
    <w:p>
      <w:pPr>
        <w:pStyle w:val="1327"/>
        <w:outlineLvl w:val="0"/>
        <w:rPr>
          <w:rFonts w:ascii="宋体"/>
        </w:rPr>
      </w:pPr>
      <w:bookmarkStart w:id="3922" w:name="_Toc106049984"/>
      <w:bookmarkStart w:id="3923" w:name="_Toc106883247"/>
      <w:r>
        <w:rPr>
          <w:rFonts w:hint="eastAsia" w:ascii="宋体"/>
        </w:rPr>
        <w:t>4</w:t>
      </w:r>
      <w:r>
        <w:rPr>
          <w:rFonts w:ascii="宋体"/>
        </w:rPr>
        <w:t>.1.4.6.2  材料质量要求</w:t>
      </w:r>
      <w:bookmarkEnd w:id="3922"/>
      <w:bookmarkEnd w:id="3923"/>
    </w:p>
    <w:p>
      <w:pPr>
        <w:pStyle w:val="1280"/>
        <w:ind w:firstLine="440"/>
        <w:rPr>
          <w:rFonts w:ascii="宋体"/>
        </w:rPr>
      </w:pPr>
      <w:r>
        <w:rPr>
          <w:rFonts w:ascii="宋体"/>
        </w:rPr>
        <w:t>（1）隔断工程所用轻钢龙骨及其配件应符合有关的现行国家和行业标准。</w:t>
      </w:r>
    </w:p>
    <w:p>
      <w:pPr>
        <w:pStyle w:val="1280"/>
        <w:ind w:firstLine="440"/>
        <w:rPr>
          <w:rFonts w:ascii="宋体"/>
        </w:rPr>
      </w:pPr>
      <w:r>
        <w:rPr>
          <w:rFonts w:ascii="宋体"/>
        </w:rPr>
        <w:t>（2）无机防火条板的质量应符合设计要求及产品质量的有关规定。</w:t>
      </w:r>
    </w:p>
    <w:p>
      <w:pPr>
        <w:pStyle w:val="1280"/>
        <w:ind w:firstLine="440"/>
        <w:rPr>
          <w:rFonts w:ascii="宋体"/>
        </w:rPr>
      </w:pPr>
      <w:r>
        <w:rPr>
          <w:rFonts w:ascii="宋体"/>
        </w:rPr>
        <w:t>（3）安装罩面板宜使用镀锌的螺钉、钉子。接触砖石、混凝土的预埋的木砖应作防腐处理。</w:t>
      </w:r>
    </w:p>
    <w:p>
      <w:pPr>
        <w:pStyle w:val="1280"/>
        <w:ind w:firstLine="440"/>
        <w:rPr>
          <w:rFonts w:ascii="宋体"/>
        </w:rPr>
      </w:pPr>
      <w:r>
        <w:rPr>
          <w:rFonts w:ascii="宋体"/>
        </w:rPr>
        <w:t>（4）胶粘剂应按罩面板的品种选用，现场配制胶粘剂，其配合比应由试验确定。</w:t>
      </w:r>
    </w:p>
    <w:p>
      <w:pPr>
        <w:pStyle w:val="1327"/>
        <w:outlineLvl w:val="0"/>
        <w:rPr>
          <w:rFonts w:ascii="宋体"/>
        </w:rPr>
      </w:pPr>
      <w:bookmarkStart w:id="3924" w:name="_Toc106049985"/>
      <w:bookmarkStart w:id="3925" w:name="_Toc106883248"/>
      <w:r>
        <w:rPr>
          <w:rFonts w:hint="eastAsia" w:ascii="宋体"/>
        </w:rPr>
        <w:t>4</w:t>
      </w:r>
      <w:r>
        <w:rPr>
          <w:rFonts w:ascii="宋体"/>
        </w:rPr>
        <w:t>.1.4.6.3  龙骨安装</w:t>
      </w:r>
      <w:bookmarkEnd w:id="3924"/>
      <w:bookmarkEnd w:id="3925"/>
    </w:p>
    <w:p>
      <w:pPr>
        <w:pStyle w:val="1280"/>
        <w:ind w:firstLine="440"/>
        <w:rPr>
          <w:rFonts w:ascii="宋体"/>
        </w:rPr>
      </w:pPr>
      <w:r>
        <w:rPr>
          <w:rFonts w:ascii="宋体"/>
        </w:rPr>
        <w:t>（1）安装隔断龙骨的基体质量，应符合现行国家标准的规定。</w:t>
      </w:r>
    </w:p>
    <w:p>
      <w:pPr>
        <w:pStyle w:val="1280"/>
        <w:ind w:firstLine="440"/>
        <w:rPr>
          <w:rFonts w:ascii="宋体"/>
        </w:rPr>
      </w:pPr>
      <w:r>
        <w:rPr>
          <w:rFonts w:ascii="宋体"/>
        </w:rPr>
        <w:t>（2）在隔断上、下及两边基体的相接处，应按龙骨的宽度弹线。弹线清楚，位置准确。</w:t>
      </w:r>
    </w:p>
    <w:p>
      <w:pPr>
        <w:pStyle w:val="1280"/>
        <w:ind w:firstLine="440"/>
        <w:rPr>
          <w:rFonts w:ascii="宋体"/>
        </w:rPr>
      </w:pPr>
      <w:r>
        <w:rPr>
          <w:rFonts w:ascii="宋体"/>
        </w:rPr>
        <w:t>（3）沿弹线位置固定沿顶、沿地龙骨，各自交接后的龙骨，应保持平直。</w:t>
      </w:r>
    </w:p>
    <w:p>
      <w:pPr>
        <w:pStyle w:val="1280"/>
        <w:ind w:firstLine="440"/>
        <w:rPr>
          <w:rFonts w:ascii="宋体"/>
        </w:rPr>
      </w:pPr>
      <w:r>
        <w:rPr>
          <w:rFonts w:ascii="宋体"/>
        </w:rPr>
        <w:t>（4）沿弹线位置固定边框龙骨，龙骨的边线应与弹线重合。龙骨的端部应固定，固定点间距应不大于1m，固定应牢固。</w:t>
      </w:r>
    </w:p>
    <w:p>
      <w:pPr>
        <w:pStyle w:val="1280"/>
        <w:ind w:firstLine="440"/>
        <w:rPr>
          <w:rFonts w:ascii="宋体"/>
        </w:rPr>
      </w:pPr>
      <w:r>
        <w:rPr>
          <w:rFonts w:ascii="宋体"/>
        </w:rPr>
        <w:t>边框龙骨与基体之间，应按设计要求安装密封条。</w:t>
      </w:r>
    </w:p>
    <w:p>
      <w:pPr>
        <w:pStyle w:val="1280"/>
        <w:ind w:firstLine="440"/>
        <w:rPr>
          <w:rFonts w:ascii="宋体"/>
        </w:rPr>
      </w:pPr>
      <w:r>
        <w:rPr>
          <w:rFonts w:ascii="宋体"/>
        </w:rPr>
        <w:t>（5）选用支撑卡系列龙骨时，应先将支撑卡安装在竖向龙骨的开口上，卡距为400～600mm，距龙骨两端的距离为20～25mm。</w:t>
      </w:r>
    </w:p>
    <w:p>
      <w:pPr>
        <w:pStyle w:val="1280"/>
        <w:ind w:firstLine="440"/>
        <w:rPr>
          <w:rFonts w:ascii="宋体"/>
        </w:rPr>
      </w:pPr>
      <w:r>
        <w:rPr>
          <w:rFonts w:ascii="宋体"/>
        </w:rPr>
        <w:t>（6）安装竖向龙骨应垂直，龙骨间距应按设计要求布置。</w:t>
      </w:r>
    </w:p>
    <w:p>
      <w:pPr>
        <w:pStyle w:val="1280"/>
        <w:ind w:firstLine="440"/>
        <w:rPr>
          <w:rFonts w:ascii="宋体"/>
        </w:rPr>
      </w:pPr>
      <w:r>
        <w:rPr>
          <w:rFonts w:ascii="宋体"/>
        </w:rPr>
        <w:t>（7）选用通贯系列龙骨时，低于3m的隔断安装一道；3～5m隔断安装两道；5m以上安装三道。</w:t>
      </w:r>
    </w:p>
    <w:p>
      <w:pPr>
        <w:pStyle w:val="1280"/>
        <w:ind w:firstLine="440"/>
        <w:rPr>
          <w:rFonts w:ascii="宋体"/>
        </w:rPr>
      </w:pPr>
      <w:r>
        <w:rPr>
          <w:rFonts w:ascii="宋体"/>
        </w:rPr>
        <w:t>（8）罩面板横向接缝处，如不在沿顶沿地龙骨上，应加横撑龙骨固定板缝。</w:t>
      </w:r>
    </w:p>
    <w:p>
      <w:pPr>
        <w:pStyle w:val="1280"/>
        <w:ind w:firstLine="440"/>
        <w:rPr>
          <w:rFonts w:ascii="宋体"/>
        </w:rPr>
      </w:pPr>
      <w:r>
        <w:rPr>
          <w:rFonts w:ascii="宋体"/>
        </w:rPr>
        <w:t>（9）门窗或特殊节点处，使用附加龙骨，安装应符合设计要求。</w:t>
      </w:r>
    </w:p>
    <w:p>
      <w:pPr>
        <w:pStyle w:val="1280"/>
        <w:ind w:firstLine="440"/>
        <w:rPr>
          <w:rFonts w:ascii="宋体"/>
        </w:rPr>
      </w:pPr>
      <w:r>
        <w:rPr>
          <w:rFonts w:ascii="宋体"/>
        </w:rPr>
        <w:t>（10）对于特殊结构的隔断龙骨安装（如曲面、斜面隔断等）应符合设计要求。</w:t>
      </w:r>
    </w:p>
    <w:p>
      <w:pPr>
        <w:pStyle w:val="1280"/>
        <w:ind w:firstLine="440"/>
        <w:rPr>
          <w:rFonts w:ascii="宋体"/>
        </w:rPr>
      </w:pPr>
      <w:r>
        <w:rPr>
          <w:rFonts w:ascii="宋体"/>
        </w:rPr>
        <w:t>（11）安装罩面板前，应检查隔断骨架的牢固程度，如有不牢固处应进行加固。</w:t>
      </w:r>
    </w:p>
    <w:p>
      <w:pPr>
        <w:pStyle w:val="1327"/>
        <w:outlineLvl w:val="0"/>
        <w:rPr>
          <w:rFonts w:ascii="宋体"/>
        </w:rPr>
      </w:pPr>
      <w:bookmarkStart w:id="3926" w:name="_Toc106049986"/>
      <w:bookmarkStart w:id="3927" w:name="_Toc106883249"/>
      <w:r>
        <w:rPr>
          <w:rFonts w:hint="eastAsia" w:ascii="宋体"/>
        </w:rPr>
        <w:t>4</w:t>
      </w:r>
      <w:r>
        <w:rPr>
          <w:rFonts w:ascii="宋体"/>
        </w:rPr>
        <w:t>.1.4.6.4  罩面板安装</w:t>
      </w:r>
      <w:bookmarkEnd w:id="3926"/>
      <w:bookmarkEnd w:id="3927"/>
    </w:p>
    <w:p>
      <w:pPr>
        <w:pStyle w:val="1280"/>
        <w:ind w:firstLine="440"/>
        <w:rPr>
          <w:rFonts w:ascii="宋体"/>
        </w:rPr>
      </w:pPr>
      <w:r>
        <w:rPr>
          <w:rFonts w:ascii="宋体"/>
        </w:rPr>
        <w:t>无机防火板安装应符合下列规定：</w:t>
      </w:r>
    </w:p>
    <w:p>
      <w:pPr>
        <w:pStyle w:val="1280"/>
        <w:ind w:firstLine="440"/>
        <w:rPr>
          <w:rFonts w:ascii="宋体"/>
        </w:rPr>
      </w:pPr>
      <w:r>
        <w:rPr>
          <w:rFonts w:ascii="宋体"/>
        </w:rPr>
        <w:t>（1）安装无机防火板前，应对预埋隔断中的管道和有关附墙设备采取局部加强措施；</w:t>
      </w:r>
    </w:p>
    <w:p>
      <w:pPr>
        <w:pStyle w:val="1280"/>
        <w:ind w:firstLine="440"/>
        <w:rPr>
          <w:rFonts w:ascii="宋体"/>
        </w:rPr>
      </w:pPr>
      <w:r>
        <w:rPr>
          <w:rFonts w:ascii="宋体"/>
        </w:rPr>
        <w:t>（2）无机防火板宜竖向铺设，长边（即包封边）接缝宜落在竖龙骨上。但隔断为防火墙，无机防火板应竖向铺设；曲面墙所用无机防火板宜横向铺设；</w:t>
      </w:r>
    </w:p>
    <w:p>
      <w:pPr>
        <w:pStyle w:val="1280"/>
        <w:ind w:firstLine="440"/>
        <w:rPr>
          <w:rFonts w:ascii="宋体"/>
        </w:rPr>
      </w:pPr>
      <w:r>
        <w:rPr>
          <w:rFonts w:ascii="宋体"/>
        </w:rPr>
        <w:t>（3）龙骨两侧的无机防火板及龙骨一侧的内外两层无机防火板应错缝排列，接缝不得落在同一根龙骨上；</w:t>
      </w:r>
    </w:p>
    <w:p>
      <w:pPr>
        <w:pStyle w:val="1280"/>
        <w:ind w:firstLine="440"/>
        <w:rPr>
          <w:rFonts w:ascii="宋体"/>
        </w:rPr>
      </w:pPr>
      <w:r>
        <w:rPr>
          <w:rFonts w:ascii="宋体"/>
        </w:rPr>
        <w:t>（4）无机防火板用自攻螺钉固定。沿无机防火板周边螺钉间距不应大于200mm，中间部分螺钉间距不应大于300mm，螺钉与板边缘的距离应为10～16mm；</w:t>
      </w:r>
    </w:p>
    <w:p>
      <w:pPr>
        <w:pStyle w:val="1280"/>
        <w:ind w:firstLine="440"/>
        <w:rPr>
          <w:rFonts w:ascii="宋体"/>
        </w:rPr>
      </w:pPr>
      <w:r>
        <w:rPr>
          <w:rFonts w:ascii="宋体"/>
        </w:rPr>
        <w:t>（5）安装无机防火板时，应从板的中部向板的四边固定。钉头略埋入板内，但不得损坏纸面。钉眼应用石膏腻子抹平；</w:t>
      </w:r>
    </w:p>
    <w:p>
      <w:pPr>
        <w:pStyle w:val="1280"/>
        <w:ind w:firstLine="440"/>
        <w:rPr>
          <w:rFonts w:ascii="宋体"/>
        </w:rPr>
      </w:pPr>
      <w:r>
        <w:rPr>
          <w:rFonts w:ascii="宋体"/>
        </w:rPr>
        <w:t>（6）无机防火板宜使用整板。如需对接时，应靠紧，但不得强压就位；</w:t>
      </w:r>
    </w:p>
    <w:p>
      <w:pPr>
        <w:pStyle w:val="1280"/>
        <w:ind w:firstLine="440"/>
        <w:rPr>
          <w:rFonts w:ascii="宋体"/>
        </w:rPr>
      </w:pPr>
      <w:r>
        <w:rPr>
          <w:rFonts w:ascii="宋体"/>
        </w:rPr>
        <w:t>（7）无机防火板的接缝，应按设计要求进行板缝处理；</w:t>
      </w:r>
    </w:p>
    <w:p>
      <w:pPr>
        <w:pStyle w:val="1280"/>
        <w:ind w:firstLine="440"/>
        <w:rPr>
          <w:rFonts w:ascii="宋体"/>
        </w:rPr>
      </w:pPr>
      <w:r>
        <w:rPr>
          <w:rFonts w:ascii="宋体"/>
        </w:rPr>
        <w:t>（8）隔断端部的无机防火板与周围的墙或柱应留有3mm槽口。施工时，先在槽口处加注嵌缝膏，然后铺板，挤压嵌缝膏使其和邻近表层紧紧接触；</w:t>
      </w:r>
    </w:p>
    <w:p>
      <w:pPr>
        <w:pStyle w:val="1280"/>
        <w:ind w:firstLine="440"/>
        <w:rPr>
          <w:rFonts w:ascii="宋体"/>
        </w:rPr>
      </w:pPr>
      <w:r>
        <w:rPr>
          <w:rFonts w:ascii="宋体"/>
        </w:rPr>
        <w:t>（9）无机防火板隔断以丁字或十字形相接时，阴角处应用腻子嵌满，贴上接缝带；阳角处应做护角；</w:t>
      </w:r>
    </w:p>
    <w:p>
      <w:pPr>
        <w:pStyle w:val="1280"/>
        <w:ind w:firstLine="440"/>
        <w:rPr>
          <w:rFonts w:ascii="宋体"/>
        </w:rPr>
      </w:pPr>
      <w:r>
        <w:rPr>
          <w:rFonts w:ascii="宋体"/>
        </w:rPr>
        <w:t>（10）安装防火墙无机防火板时，无机防火板不得固定在沿顶、沿地龙骨上，应另设横撑龙骨加以固定。</w:t>
      </w:r>
    </w:p>
    <w:p>
      <w:pPr>
        <w:pStyle w:val="1327"/>
        <w:outlineLvl w:val="0"/>
        <w:rPr>
          <w:rFonts w:ascii="宋体"/>
        </w:rPr>
      </w:pPr>
      <w:bookmarkStart w:id="3928" w:name="_Toc106049987"/>
      <w:bookmarkStart w:id="3929" w:name="_Toc106883250"/>
      <w:r>
        <w:rPr>
          <w:rFonts w:hint="eastAsia" w:ascii="宋体"/>
        </w:rPr>
        <w:t>4</w:t>
      </w:r>
      <w:r>
        <w:rPr>
          <w:rFonts w:ascii="宋体"/>
        </w:rPr>
        <w:t>.1.4.6.5  无机防火条板安装</w:t>
      </w:r>
      <w:bookmarkEnd w:id="3928"/>
      <w:bookmarkEnd w:id="3929"/>
    </w:p>
    <w:p>
      <w:pPr>
        <w:pStyle w:val="1280"/>
        <w:ind w:firstLine="440"/>
        <w:rPr>
          <w:rFonts w:ascii="宋体"/>
        </w:rPr>
      </w:pPr>
      <w:r>
        <w:rPr>
          <w:rFonts w:ascii="宋体"/>
        </w:rPr>
        <w:t>（1）无机防火条板安装前，应进行合理选配，将厚度误差大或因受潮变形的无机防火条板挑出，以保证隔断（墙）的质量。</w:t>
      </w:r>
    </w:p>
    <w:p>
      <w:pPr>
        <w:pStyle w:val="1280"/>
        <w:ind w:firstLine="440"/>
        <w:rPr>
          <w:rFonts w:ascii="宋体"/>
        </w:rPr>
      </w:pPr>
      <w:r>
        <w:rPr>
          <w:rFonts w:ascii="宋体"/>
        </w:rPr>
        <w:t>（2）墙位放线应弹线清楚、位置准确。隔墙下端光滑的楼（地）面表面应先凿毛，在填细石混凝土前应把杂物清扫干净。</w:t>
      </w:r>
    </w:p>
    <w:p>
      <w:pPr>
        <w:pStyle w:val="1280"/>
        <w:ind w:firstLine="440"/>
        <w:rPr>
          <w:rFonts w:ascii="宋体"/>
        </w:rPr>
      </w:pPr>
      <w:r>
        <w:rPr>
          <w:rFonts w:ascii="宋体"/>
        </w:rPr>
        <w:t>（3）安装无机防火条板时，宜使用简易支架。</w:t>
      </w:r>
    </w:p>
    <w:p>
      <w:pPr>
        <w:pStyle w:val="1280"/>
        <w:ind w:firstLine="440"/>
        <w:rPr>
          <w:rFonts w:ascii="宋体"/>
        </w:rPr>
      </w:pPr>
      <w:r>
        <w:rPr>
          <w:rFonts w:ascii="宋体"/>
        </w:rPr>
        <w:t>（4）使用下楔法立板时，应使板垂直向上挤压严实。</w:t>
      </w:r>
    </w:p>
    <w:p>
      <w:pPr>
        <w:pStyle w:val="1327"/>
        <w:outlineLvl w:val="0"/>
        <w:rPr>
          <w:rFonts w:ascii="宋体"/>
        </w:rPr>
      </w:pPr>
      <w:bookmarkStart w:id="3930" w:name="_Toc106049988"/>
      <w:bookmarkStart w:id="3931" w:name="_Toc106883251"/>
      <w:r>
        <w:rPr>
          <w:rFonts w:hint="eastAsia" w:ascii="宋体"/>
        </w:rPr>
        <w:t>4</w:t>
      </w:r>
      <w:r>
        <w:rPr>
          <w:rFonts w:ascii="宋体"/>
        </w:rPr>
        <w:t>.1.4.6.6  防火板卫生间隔断</w:t>
      </w:r>
      <w:bookmarkEnd w:id="3930"/>
      <w:bookmarkEnd w:id="3931"/>
    </w:p>
    <w:p>
      <w:pPr>
        <w:pStyle w:val="1280"/>
        <w:ind w:firstLine="440"/>
        <w:rPr>
          <w:rFonts w:ascii="宋体"/>
        </w:rPr>
      </w:pPr>
      <w:r>
        <w:rPr>
          <w:rFonts w:ascii="宋体"/>
        </w:rPr>
        <w:t>防火板贴面板是选用较好芯材表面覆盖优质防火板制成的，厚度15－25mm厚，具有较好的耐磨性、防火、耐酸碱、耐污染、易清洗。</w:t>
      </w:r>
    </w:p>
    <w:p>
      <w:pPr>
        <w:pStyle w:val="1327"/>
        <w:outlineLvl w:val="0"/>
        <w:rPr>
          <w:rFonts w:ascii="宋体"/>
        </w:rPr>
      </w:pPr>
      <w:bookmarkStart w:id="3932" w:name="_Toc106049989"/>
      <w:bookmarkStart w:id="3933" w:name="_Toc106883252"/>
      <w:r>
        <w:rPr>
          <w:rFonts w:hint="eastAsia" w:ascii="宋体"/>
        </w:rPr>
        <w:t>4</w:t>
      </w:r>
      <w:r>
        <w:rPr>
          <w:rFonts w:ascii="宋体"/>
        </w:rPr>
        <w:t>.1.4.6.7  工程验收</w:t>
      </w:r>
      <w:bookmarkEnd w:id="3932"/>
      <w:bookmarkEnd w:id="3933"/>
    </w:p>
    <w:p>
      <w:pPr>
        <w:pStyle w:val="1280"/>
        <w:ind w:firstLine="440"/>
        <w:rPr>
          <w:rFonts w:ascii="宋体"/>
        </w:rPr>
      </w:pPr>
      <w:r>
        <w:rPr>
          <w:rFonts w:ascii="宋体"/>
        </w:rPr>
        <w:t>（1）检查数量 按有代表性的自然间抽查10％，过道按10延长米，厂房等大间按两轴线为一间，但不少于3间。</w:t>
      </w:r>
    </w:p>
    <w:p>
      <w:pPr>
        <w:pStyle w:val="1280"/>
        <w:ind w:firstLine="440"/>
        <w:rPr>
          <w:rFonts w:ascii="宋体"/>
        </w:rPr>
      </w:pPr>
      <w:r>
        <w:rPr>
          <w:rFonts w:ascii="宋体"/>
        </w:rPr>
        <w:t>（2）检查隔断工程所用材料的品种、规格、式样以及隔断的构造、固定方法等是否符合设计要求。</w:t>
      </w:r>
    </w:p>
    <w:p>
      <w:pPr>
        <w:pStyle w:val="1280"/>
        <w:ind w:firstLine="440"/>
        <w:rPr>
          <w:rFonts w:ascii="宋体"/>
        </w:rPr>
      </w:pPr>
      <w:r>
        <w:rPr>
          <w:rFonts w:ascii="宋体"/>
        </w:rPr>
        <w:t>（3）隔断工程的质量，应符合下列规定：</w:t>
      </w:r>
    </w:p>
    <w:p>
      <w:pPr>
        <w:pStyle w:val="1280"/>
        <w:ind w:firstLine="440"/>
        <w:rPr>
          <w:rFonts w:ascii="宋体"/>
        </w:rPr>
      </w:pPr>
      <w:r>
        <w:rPr>
          <w:rFonts w:ascii="宋体"/>
        </w:rPr>
        <w:t>a. 隔断骨架与基体结构的连接应牢固，无松动现象；</w:t>
      </w:r>
    </w:p>
    <w:p>
      <w:pPr>
        <w:pStyle w:val="1280"/>
        <w:ind w:firstLine="440"/>
        <w:rPr>
          <w:rFonts w:ascii="宋体"/>
        </w:rPr>
      </w:pPr>
      <w:r>
        <w:rPr>
          <w:rFonts w:ascii="宋体"/>
        </w:rPr>
        <w:t>b. 粘贴和用钉子或螺钉固定罩面板，表面应平整，粘贴的罩面板不得脱层；</w:t>
      </w:r>
    </w:p>
    <w:p>
      <w:pPr>
        <w:pStyle w:val="1280"/>
        <w:ind w:firstLine="440"/>
        <w:rPr>
          <w:rFonts w:ascii="宋体"/>
        </w:rPr>
      </w:pPr>
      <w:r>
        <w:rPr>
          <w:rFonts w:ascii="宋体"/>
        </w:rPr>
        <w:t>c. 无机防火板表面不得有污染、折裂、缺棱、掉角、捶伤等缺陷；</w:t>
      </w:r>
    </w:p>
    <w:p>
      <w:pPr>
        <w:pStyle w:val="1280"/>
        <w:ind w:firstLine="440"/>
        <w:rPr>
          <w:rFonts w:ascii="宋体"/>
        </w:rPr>
      </w:pPr>
      <w:r>
        <w:rPr>
          <w:rFonts w:ascii="宋体"/>
        </w:rPr>
        <w:t>d. 铺设方向应正确，安装牢固，接缝密实、光滑、表面平整；</w:t>
      </w:r>
    </w:p>
    <w:p>
      <w:pPr>
        <w:pStyle w:val="1280"/>
        <w:ind w:firstLine="440"/>
        <w:rPr>
          <w:rFonts w:ascii="宋体"/>
        </w:rPr>
      </w:pPr>
      <w:r>
        <w:rPr>
          <w:rFonts w:ascii="宋体"/>
        </w:rPr>
        <w:t>e. 无机防火条板板与板之间及板与主体结构之间应粘结密实、牢固，接缝平整；</w:t>
      </w:r>
    </w:p>
    <w:p>
      <w:pPr>
        <w:pStyle w:val="1280"/>
        <w:ind w:firstLine="440"/>
        <w:rPr>
          <w:rFonts w:ascii="宋体"/>
        </w:rPr>
      </w:pPr>
      <w:r>
        <w:rPr>
          <w:rFonts w:ascii="宋体"/>
        </w:rPr>
        <w:t>f. 粘贴的踢脚板不得有大面积空鼓。</w:t>
      </w:r>
    </w:p>
    <w:p>
      <w:pPr>
        <w:pStyle w:val="1280"/>
        <w:ind w:firstLine="440"/>
        <w:rPr>
          <w:rFonts w:ascii="宋体"/>
        </w:rPr>
      </w:pPr>
      <w:r>
        <w:rPr>
          <w:rFonts w:ascii="宋体"/>
        </w:rPr>
        <w:t>（4）隔断罩面板工程质量的允许偏差，应符合GB50210-2002表6.6.4的规定。</w:t>
      </w:r>
    </w:p>
    <w:p>
      <w:pPr>
        <w:pStyle w:val="1288"/>
        <w:outlineLvl w:val="0"/>
        <w:rPr>
          <w:rFonts w:ascii="宋体" w:hAnsi="宋体"/>
          <w:color w:val="auto"/>
        </w:rPr>
      </w:pPr>
      <w:bookmarkStart w:id="3934" w:name="_Toc106049990"/>
      <w:bookmarkStart w:id="3935" w:name="_Toc106883253"/>
      <w:r>
        <w:rPr>
          <w:rFonts w:hint="eastAsia" w:ascii="宋体" w:hAnsi="宋体"/>
          <w:color w:val="auto"/>
        </w:rPr>
        <w:t>4</w:t>
      </w:r>
      <w:r>
        <w:rPr>
          <w:rFonts w:ascii="宋体" w:hAnsi="宋体"/>
          <w:color w:val="auto"/>
        </w:rPr>
        <w:t>.1.4.9  饰面板（砖）工程</w:t>
      </w:r>
      <w:bookmarkEnd w:id="3934"/>
      <w:bookmarkEnd w:id="3935"/>
    </w:p>
    <w:p>
      <w:pPr>
        <w:pStyle w:val="1280"/>
        <w:ind w:firstLine="440"/>
        <w:rPr>
          <w:rFonts w:ascii="宋体"/>
        </w:rPr>
      </w:pPr>
      <w:r>
        <w:rPr>
          <w:rFonts w:ascii="宋体"/>
        </w:rPr>
        <w:t>本章适用于天然石饰面板、人造石饰面和饰面砖镶贴的室内外饰面工程的施工及验收。</w:t>
      </w:r>
    </w:p>
    <w:p>
      <w:pPr>
        <w:pStyle w:val="1327"/>
        <w:outlineLvl w:val="0"/>
        <w:rPr>
          <w:rFonts w:ascii="宋体"/>
        </w:rPr>
      </w:pPr>
      <w:bookmarkStart w:id="3936" w:name="_Toc106049991"/>
      <w:bookmarkStart w:id="3937" w:name="_Toc106883254"/>
      <w:r>
        <w:rPr>
          <w:rFonts w:hint="eastAsia" w:ascii="宋体"/>
        </w:rPr>
        <w:t>4</w:t>
      </w:r>
      <w:r>
        <w:rPr>
          <w:rFonts w:ascii="宋体"/>
        </w:rPr>
        <w:t>.1.4.9.1  一般规定</w:t>
      </w:r>
      <w:bookmarkEnd w:id="3936"/>
      <w:bookmarkEnd w:id="3937"/>
    </w:p>
    <w:p>
      <w:pPr>
        <w:pStyle w:val="1280"/>
        <w:ind w:firstLine="440"/>
        <w:rPr>
          <w:rFonts w:ascii="宋体"/>
        </w:rPr>
      </w:pPr>
      <w:r>
        <w:rPr>
          <w:rFonts w:ascii="宋体"/>
        </w:rPr>
        <w:t>（1）饰面工程的材料品种、规格、图案、固定方法和砂浆种类，应符合设计要求。</w:t>
      </w:r>
    </w:p>
    <w:p>
      <w:pPr>
        <w:pStyle w:val="1280"/>
        <w:ind w:firstLine="440"/>
        <w:rPr>
          <w:rFonts w:ascii="宋体"/>
        </w:rPr>
      </w:pPr>
      <w:r>
        <w:rPr>
          <w:rFonts w:ascii="宋体"/>
        </w:rPr>
        <w:t>（2）镶贴、安装饰面的基体，应具有足够的强度、稳定性和刚度，其表面质量应符合现行《砌体工程施工质量验收规范》、《混凝土结构工程施工质量验收规范》以及本规范的有关规定。</w:t>
      </w:r>
    </w:p>
    <w:p>
      <w:pPr>
        <w:pStyle w:val="1280"/>
        <w:ind w:firstLine="440"/>
        <w:rPr>
          <w:rFonts w:ascii="宋体"/>
        </w:rPr>
      </w:pPr>
      <w:r>
        <w:rPr>
          <w:rFonts w:ascii="宋体"/>
        </w:rPr>
        <w:t>（3）饰面板应镶贴在粗糙的基体或基层上；用胶粘剂粘贴的饰面薄板基层应平整；饰面砖应镶贴在平整粗糙的基层上。光滑的基体或基层表面，镶贴前应处理。残留的砂浆、尘土和油渍等应清除干净。</w:t>
      </w:r>
    </w:p>
    <w:p>
      <w:pPr>
        <w:pStyle w:val="1280"/>
        <w:ind w:firstLine="440"/>
        <w:rPr>
          <w:rFonts w:ascii="宋体"/>
        </w:rPr>
      </w:pPr>
      <w:r>
        <w:rPr>
          <w:rFonts w:ascii="宋体"/>
        </w:rPr>
        <w:t>（4）饰面板、饰面砖应镶贴平整，接缝宽度应符合设计要求，并填嵌密实，以防渗水。</w:t>
      </w:r>
    </w:p>
    <w:p>
      <w:pPr>
        <w:pStyle w:val="1280"/>
        <w:ind w:firstLine="440"/>
        <w:rPr>
          <w:rFonts w:ascii="宋体"/>
        </w:rPr>
      </w:pPr>
      <w:r>
        <w:rPr>
          <w:rFonts w:ascii="宋体"/>
        </w:rPr>
        <w:t>（5）金属饰面板应安装牢固，且板的压茬尺寸及方向应符合设计要求。</w:t>
      </w:r>
    </w:p>
    <w:p>
      <w:pPr>
        <w:pStyle w:val="1280"/>
        <w:ind w:firstLine="440"/>
        <w:rPr>
          <w:rFonts w:ascii="宋体"/>
        </w:rPr>
      </w:pPr>
      <w:r>
        <w:rPr>
          <w:rFonts w:ascii="宋体"/>
        </w:rPr>
        <w:t>（6）镶贴室外突出的檐口、腰线、窗口、雨篷等饰面，必须有流水坡度和滴水线（槽）。</w:t>
      </w:r>
    </w:p>
    <w:p>
      <w:pPr>
        <w:pStyle w:val="1280"/>
        <w:ind w:firstLine="440"/>
        <w:rPr>
          <w:rFonts w:ascii="宋体"/>
        </w:rPr>
      </w:pPr>
      <w:r>
        <w:rPr>
          <w:rFonts w:ascii="宋体"/>
        </w:rPr>
        <w:t>（7）装饰式挑檐、托座等的下部与墙或柱相连接处，镶贴饰面板、饰面砖应留有适量的缝隙。</w:t>
      </w:r>
    </w:p>
    <w:p>
      <w:pPr>
        <w:pStyle w:val="1280"/>
        <w:ind w:firstLine="440"/>
        <w:rPr>
          <w:rFonts w:ascii="宋体"/>
        </w:rPr>
      </w:pPr>
      <w:r>
        <w:rPr>
          <w:rFonts w:ascii="宋体"/>
        </w:rPr>
        <w:t>镶贴变形缝处的饰面板、饰面砖的留缝宽度，应符合设计要求。</w:t>
      </w:r>
    </w:p>
    <w:p>
      <w:pPr>
        <w:pStyle w:val="1280"/>
        <w:ind w:firstLine="440"/>
        <w:rPr>
          <w:rFonts w:ascii="宋体"/>
        </w:rPr>
      </w:pPr>
      <w:r>
        <w:rPr>
          <w:rFonts w:ascii="宋体"/>
        </w:rPr>
        <w:t>（8）夏期镶贴室外饰面板、饰面砖应防止暴晒。</w:t>
      </w:r>
    </w:p>
    <w:p>
      <w:pPr>
        <w:pStyle w:val="1280"/>
        <w:ind w:firstLine="440"/>
        <w:rPr>
          <w:rFonts w:ascii="宋体"/>
        </w:rPr>
      </w:pPr>
      <w:r>
        <w:rPr>
          <w:rFonts w:ascii="宋体"/>
        </w:rPr>
        <w:t>（9）冬期施工，砂浆的使用温度不得低于5℃。砂浆硬化前，应采取防冻措施。</w:t>
      </w:r>
    </w:p>
    <w:p>
      <w:pPr>
        <w:pStyle w:val="1280"/>
        <w:ind w:firstLine="440"/>
        <w:rPr>
          <w:rFonts w:ascii="宋体"/>
        </w:rPr>
      </w:pPr>
      <w:r>
        <w:rPr>
          <w:rFonts w:ascii="宋体"/>
        </w:rPr>
        <w:t>（10）饰面工程镶贴后，应采取保护措施。</w:t>
      </w:r>
    </w:p>
    <w:p>
      <w:pPr>
        <w:pStyle w:val="1327"/>
        <w:outlineLvl w:val="0"/>
        <w:rPr>
          <w:rFonts w:ascii="宋体"/>
        </w:rPr>
      </w:pPr>
      <w:bookmarkStart w:id="3938" w:name="_Toc106049992"/>
      <w:bookmarkStart w:id="3939" w:name="_Toc106883255"/>
      <w:r>
        <w:rPr>
          <w:rFonts w:hint="eastAsia" w:ascii="宋体"/>
        </w:rPr>
        <w:t>4</w:t>
      </w:r>
      <w:r>
        <w:rPr>
          <w:rFonts w:ascii="宋体"/>
        </w:rPr>
        <w:t>.1.4.9.2  材料质量要求</w:t>
      </w:r>
      <w:bookmarkEnd w:id="3938"/>
      <w:bookmarkEnd w:id="3939"/>
    </w:p>
    <w:p>
      <w:pPr>
        <w:pStyle w:val="1280"/>
        <w:ind w:firstLine="440"/>
        <w:rPr>
          <w:rFonts w:ascii="宋体"/>
        </w:rPr>
      </w:pPr>
      <w:r>
        <w:rPr>
          <w:rFonts w:ascii="宋体"/>
        </w:rPr>
        <w:t>（1）饰面板、饰面砖应表面平整、边缘整齐；棱角不得损坏，并应具有产品合格证。</w:t>
      </w:r>
    </w:p>
    <w:p>
      <w:pPr>
        <w:pStyle w:val="1280"/>
        <w:ind w:firstLine="440"/>
        <w:rPr>
          <w:rFonts w:ascii="宋体"/>
        </w:rPr>
      </w:pPr>
      <w:r>
        <w:rPr>
          <w:rFonts w:ascii="宋体"/>
        </w:rPr>
        <w:t>（2）装饰面板用的铁制锚固件、连接件，应镀锌或经防锈处理。镜面和光面的大理石，花岗石饰面板，应用铜或不锈钢制的连接件。</w:t>
      </w:r>
    </w:p>
    <w:p>
      <w:pPr>
        <w:pStyle w:val="1280"/>
        <w:ind w:firstLine="440"/>
        <w:rPr>
          <w:rFonts w:ascii="宋体"/>
        </w:rPr>
      </w:pPr>
      <w:r>
        <w:rPr>
          <w:rFonts w:ascii="宋体"/>
        </w:rPr>
        <w:t>（3）天然大理石、花岗石饰面板，表面不得有隐伤、风化等缺陷。不宜采用易褪色的材料包装。</w:t>
      </w:r>
    </w:p>
    <w:p>
      <w:pPr>
        <w:pStyle w:val="1280"/>
        <w:ind w:firstLine="440"/>
        <w:rPr>
          <w:rFonts w:ascii="宋体"/>
        </w:rPr>
      </w:pPr>
      <w:r>
        <w:rPr>
          <w:rFonts w:ascii="宋体"/>
        </w:rPr>
        <w:t>注：天然大理石、光面花岗石饰面板镶贴后，如有轻微损坏处，经有关单位同意，可用胶粘剂或腻子修补。</w:t>
      </w:r>
    </w:p>
    <w:p>
      <w:pPr>
        <w:pStyle w:val="1280"/>
        <w:ind w:firstLine="440"/>
        <w:rPr>
          <w:rFonts w:ascii="宋体"/>
        </w:rPr>
      </w:pPr>
      <w:r>
        <w:rPr>
          <w:rFonts w:ascii="宋体"/>
        </w:rPr>
        <w:t>（4）外墙釉面砖、无釉面砖，表面应光洁，质地坚固，尺寸、色泽一致，不得有暗痕和裂纹，其性能指标均应符合现行国家标准的规定，吸水率不得大于10％。</w:t>
      </w:r>
    </w:p>
    <w:p>
      <w:pPr>
        <w:pStyle w:val="1280"/>
        <w:ind w:firstLine="440"/>
        <w:rPr>
          <w:rFonts w:ascii="宋体"/>
        </w:rPr>
      </w:pPr>
      <w:r>
        <w:rPr>
          <w:rFonts w:ascii="宋体"/>
        </w:rPr>
        <w:t>（5）陶瓷锦砖及玻璃锦砖应质地坚硬，边棱整齐，尺寸正确。锦砖脱纸时间不得大于40min。</w:t>
      </w:r>
    </w:p>
    <w:p>
      <w:pPr>
        <w:pStyle w:val="1280"/>
        <w:ind w:firstLine="440"/>
        <w:rPr>
          <w:rFonts w:ascii="宋体"/>
        </w:rPr>
      </w:pPr>
      <w:r>
        <w:rPr>
          <w:rFonts w:ascii="宋体"/>
        </w:rPr>
        <w:t>（6）施工时所用胶结材料的品种、参合比例应符合设计要求并具有产品合格证。</w:t>
      </w:r>
    </w:p>
    <w:p>
      <w:pPr>
        <w:pStyle w:val="1280"/>
        <w:ind w:firstLine="440"/>
        <w:rPr>
          <w:rFonts w:ascii="宋体"/>
        </w:rPr>
      </w:pPr>
      <w:r>
        <w:rPr>
          <w:rFonts w:ascii="宋体"/>
        </w:rPr>
        <w:t>（7）拌制砂浆应用不含有害物质的洁净水。</w:t>
      </w:r>
    </w:p>
    <w:p>
      <w:pPr>
        <w:pStyle w:val="1327"/>
        <w:outlineLvl w:val="0"/>
        <w:rPr>
          <w:rFonts w:ascii="宋体"/>
        </w:rPr>
      </w:pPr>
      <w:bookmarkStart w:id="3940" w:name="_Toc106049993"/>
      <w:bookmarkStart w:id="3941" w:name="_Toc106883256"/>
      <w:r>
        <w:rPr>
          <w:rFonts w:hint="eastAsia" w:ascii="宋体"/>
        </w:rPr>
        <w:t>4</w:t>
      </w:r>
      <w:r>
        <w:rPr>
          <w:rFonts w:ascii="宋体"/>
        </w:rPr>
        <w:t>.1.4.9.3  饰面板安装</w:t>
      </w:r>
      <w:bookmarkEnd w:id="3940"/>
      <w:bookmarkEnd w:id="3941"/>
    </w:p>
    <w:p>
      <w:pPr>
        <w:pStyle w:val="1280"/>
        <w:ind w:firstLine="440"/>
        <w:rPr>
          <w:rFonts w:ascii="宋体"/>
        </w:rPr>
      </w:pPr>
      <w:r>
        <w:rPr>
          <w:rFonts w:ascii="宋体"/>
        </w:rPr>
        <w:t>（1）墙面和柱面安装饰面板，应先抄平，分块弹线，并按弹线尺寸及花纹图案预拼和编号。</w:t>
      </w:r>
    </w:p>
    <w:p>
      <w:pPr>
        <w:pStyle w:val="1280"/>
        <w:ind w:firstLine="440"/>
        <w:rPr>
          <w:rFonts w:ascii="宋体"/>
        </w:rPr>
      </w:pPr>
      <w:r>
        <w:rPr>
          <w:rFonts w:ascii="宋体"/>
        </w:rPr>
        <w:t>（2）系固饰面板用的钢筋网，应与锚固件连接牢固。锚固件宜在结构施工时埋设。</w:t>
      </w:r>
    </w:p>
    <w:p>
      <w:pPr>
        <w:pStyle w:val="1280"/>
        <w:ind w:firstLine="440"/>
        <w:rPr>
          <w:rFonts w:ascii="宋体"/>
        </w:rPr>
      </w:pPr>
      <w:r>
        <w:rPr>
          <w:rFonts w:ascii="宋体"/>
        </w:rPr>
        <w:t>固定饰面板的连接件，其直径或厚度大于饰面板的接缝宽度时，应凿埋置。预留孔洞，不得大于设计孔径2mm。</w:t>
      </w:r>
    </w:p>
    <w:p>
      <w:pPr>
        <w:pStyle w:val="1280"/>
        <w:ind w:firstLine="440"/>
        <w:rPr>
          <w:rFonts w:ascii="宋体"/>
        </w:rPr>
      </w:pPr>
      <w:r>
        <w:rPr>
          <w:rFonts w:ascii="宋体"/>
        </w:rPr>
        <w:t>（3）饰面板安装前，应按厂牌、品种、规格和颜色进行分类选配，并将其侧面和背面清扫干净，修边打眼，每块板的上、下边打眼数量均不得少于两个。并用防锈金属丝穿入孔内，以作系固之用。</w:t>
      </w:r>
    </w:p>
    <w:p>
      <w:pPr>
        <w:pStyle w:val="1280"/>
        <w:ind w:firstLine="440"/>
        <w:rPr>
          <w:rFonts w:ascii="宋体"/>
        </w:rPr>
      </w:pPr>
      <w:r>
        <w:rPr>
          <w:rFonts w:ascii="宋体"/>
        </w:rPr>
        <w:t>（4）饰面板的接缝宽度如设计无要求时，应符合GB50210-2002表7.3.4的规定。</w:t>
      </w:r>
    </w:p>
    <w:p>
      <w:pPr>
        <w:pStyle w:val="1280"/>
        <w:ind w:firstLine="440"/>
        <w:rPr>
          <w:rFonts w:ascii="宋体"/>
        </w:rPr>
      </w:pPr>
      <w:r>
        <w:rPr>
          <w:rFonts w:ascii="宋体"/>
        </w:rPr>
        <w:t>（5）饰面板安装，应找正吊直后采取临时固定措施，以防灌注砂浆时板位移动。</w:t>
      </w:r>
    </w:p>
    <w:p>
      <w:pPr>
        <w:pStyle w:val="1280"/>
        <w:ind w:firstLine="440"/>
        <w:rPr>
          <w:rFonts w:ascii="宋体"/>
        </w:rPr>
      </w:pPr>
      <w:r>
        <w:rPr>
          <w:rFonts w:ascii="宋体"/>
        </w:rPr>
        <w:t>（6）饰面板安装，接缝宽度可垫木楔调整。并应确保外表面的平整、垂直及板的上沿平顺。灌注砂浆时，应先在竖缝内填塞15～20mm深的麻丝或泡沫塑料条以防漏浆，待砂浆硬化后，将填缝材料清除。</w:t>
      </w:r>
    </w:p>
    <w:p>
      <w:pPr>
        <w:pStyle w:val="1280"/>
        <w:ind w:firstLine="440"/>
        <w:rPr>
          <w:rFonts w:ascii="宋体"/>
        </w:rPr>
      </w:pPr>
      <w:r>
        <w:rPr>
          <w:rFonts w:ascii="宋体"/>
        </w:rPr>
        <w:t>注：光面、镜面和水磨石饰面板的竖缝，可用石膏灰临时封闭，并在缝内填塞泡沫塑料条，待灌注砂浆硬化后去掉石膏灰和泡沫塑料条，清洗板面。</w:t>
      </w:r>
    </w:p>
    <w:p>
      <w:pPr>
        <w:pStyle w:val="1280"/>
        <w:ind w:firstLine="440"/>
        <w:rPr>
          <w:rFonts w:ascii="宋体"/>
        </w:rPr>
      </w:pPr>
      <w:r>
        <w:rPr>
          <w:rFonts w:ascii="宋体"/>
        </w:rPr>
        <w:t>（7）灌注砂浆前，应浇水将饰面板肯面和基体表面润湿，再分层灌注1：2.5水泥砂浆，每层灌注高度为150～200mm，且不得大于板高的1/3，插捣密实，待其初凝后，应检查板面位置，如移动错位应拆除重新安装；若无移动，方可灌注上层砂浆，施工缝应留在饰面板水平接缝以下50～100mm处。</w:t>
      </w:r>
    </w:p>
    <w:p>
      <w:pPr>
        <w:pStyle w:val="1280"/>
        <w:ind w:firstLine="440"/>
        <w:rPr>
          <w:rFonts w:ascii="宋体"/>
        </w:rPr>
      </w:pPr>
      <w:r>
        <w:rPr>
          <w:rFonts w:ascii="宋体"/>
        </w:rPr>
        <w:t>（8）突出墙面勒脚的饰面板安装，应待上层的饰面工程完工后进行。</w:t>
      </w:r>
    </w:p>
    <w:p>
      <w:pPr>
        <w:pStyle w:val="1280"/>
        <w:ind w:firstLine="440"/>
        <w:rPr>
          <w:rFonts w:ascii="宋体"/>
        </w:rPr>
      </w:pPr>
      <w:r>
        <w:rPr>
          <w:rFonts w:ascii="宋体"/>
        </w:rPr>
        <w:t>（9）楼梯栏杆、栏板及墙裙的饰面板安装，应在楼梯踏步地（楼）面层完工后进行。</w:t>
      </w:r>
    </w:p>
    <w:p>
      <w:pPr>
        <w:pStyle w:val="1280"/>
        <w:ind w:firstLine="440"/>
        <w:rPr>
          <w:rFonts w:ascii="宋体"/>
        </w:rPr>
      </w:pPr>
      <w:r>
        <w:rPr>
          <w:rFonts w:ascii="宋体"/>
        </w:rPr>
        <w:t>（10）天然石饰面板的接缝，应符合下列规定：</w:t>
      </w:r>
    </w:p>
    <w:p>
      <w:pPr>
        <w:pStyle w:val="1280"/>
        <w:ind w:firstLine="440"/>
        <w:rPr>
          <w:rFonts w:ascii="宋体"/>
        </w:rPr>
      </w:pPr>
      <w:r>
        <w:rPr>
          <w:rFonts w:ascii="宋体"/>
        </w:rPr>
        <w:t>a. 室内安装光面和镜面的饰面板，接缝应干接，接缝处宜用与饰面板相同颜色的水泥浆填抹；</w:t>
      </w:r>
    </w:p>
    <w:p>
      <w:pPr>
        <w:pStyle w:val="1280"/>
        <w:ind w:firstLine="440"/>
        <w:rPr>
          <w:rFonts w:ascii="宋体"/>
        </w:rPr>
      </w:pPr>
      <w:r>
        <w:rPr>
          <w:rFonts w:ascii="宋体"/>
        </w:rPr>
        <w:t>b. 室外安装光面和镜面的饰面板，接缝可干接或在水平缝中垫硬塑料板条，垫塑料板条时，应将压出部分保留，待砂浆硬化后，将塑料板条剔出，用水泥细砂浆勾缝。干接缝应用与饰面板相同颜色水泥浆填平。</w:t>
      </w:r>
    </w:p>
    <w:p>
      <w:pPr>
        <w:pStyle w:val="1280"/>
        <w:ind w:firstLine="440"/>
        <w:rPr>
          <w:rFonts w:ascii="宋体"/>
        </w:rPr>
      </w:pPr>
      <w:r>
        <w:rPr>
          <w:rFonts w:ascii="宋体"/>
        </w:rPr>
        <w:t>c. 粗磨面、麻面、条纹面、天然面饰面板的接缝在勾缝应用水泥砂浆。勾缝深度应符合设计要求。</w:t>
      </w:r>
    </w:p>
    <w:p>
      <w:pPr>
        <w:pStyle w:val="1280"/>
        <w:ind w:firstLine="440"/>
        <w:rPr>
          <w:rFonts w:ascii="宋体"/>
        </w:rPr>
      </w:pPr>
      <w:r>
        <w:rPr>
          <w:rFonts w:ascii="宋体"/>
        </w:rPr>
        <w:t>（11）人造石饰面板的接缝宽度、深度应符合设计要求，接缝宜用与饰面板相同颜色的水淀浆或水泥砂浆抹勾严实。</w:t>
      </w:r>
    </w:p>
    <w:p>
      <w:pPr>
        <w:pStyle w:val="1280"/>
        <w:ind w:firstLine="440"/>
        <w:rPr>
          <w:rFonts w:ascii="宋体"/>
        </w:rPr>
      </w:pPr>
      <w:r>
        <w:rPr>
          <w:rFonts w:ascii="宋体"/>
        </w:rPr>
        <w:t>（12）碎拼大理石饰面施工前，应进行试拼，宜先拼图案，后拼其它部位。拼缝应协调，不得有通缝，缝宽为5～20mm。</w:t>
      </w:r>
    </w:p>
    <w:p>
      <w:pPr>
        <w:pStyle w:val="1280"/>
        <w:ind w:firstLine="440"/>
        <w:rPr>
          <w:rFonts w:ascii="宋体"/>
        </w:rPr>
      </w:pPr>
      <w:r>
        <w:rPr>
          <w:rFonts w:ascii="宋体"/>
        </w:rPr>
        <w:t>（13）花岗石薄板或厚度为10～12mm的镜面大理石，宜采用挂钩或胶粘法施工。</w:t>
      </w:r>
    </w:p>
    <w:p>
      <w:pPr>
        <w:pStyle w:val="1280"/>
        <w:ind w:firstLine="440"/>
        <w:rPr>
          <w:rFonts w:ascii="宋体"/>
        </w:rPr>
      </w:pPr>
      <w:r>
        <w:rPr>
          <w:rFonts w:ascii="宋体"/>
        </w:rPr>
        <w:t>（14）饰面板完工后，表面应清洗干净。光面和镜面的饰面板经清洗晾干后，方可打蜡擦亮。</w:t>
      </w:r>
    </w:p>
    <w:p>
      <w:pPr>
        <w:pStyle w:val="1280"/>
        <w:ind w:firstLine="440"/>
        <w:rPr>
          <w:rFonts w:ascii="宋体"/>
        </w:rPr>
      </w:pPr>
      <w:r>
        <w:rPr>
          <w:rFonts w:ascii="宋体"/>
        </w:rPr>
        <w:t>（15）冬期饰面工程宜采用暖棚法施工。无条件搭设暖棚时，亦可采用冷作法施工。但应根据室外气温，在灌注砂浆或豆石混凝土内掺入无氧盐抗冻剂，其掺量应根据试验确定，严禁砂浆及混凝土在硬化前受冻。</w:t>
      </w:r>
    </w:p>
    <w:p>
      <w:pPr>
        <w:pStyle w:val="1280"/>
        <w:ind w:firstLine="440"/>
        <w:rPr>
          <w:rFonts w:ascii="宋体"/>
        </w:rPr>
      </w:pPr>
      <w:r>
        <w:rPr>
          <w:rFonts w:ascii="宋体"/>
        </w:rPr>
        <w:t>（16）冬期施工，在采取措施的情况下，每块板的灌浆次数可改为二次，缩短灌注时间，及时裹挂保温层，保温养护7～9天。</w:t>
      </w:r>
    </w:p>
    <w:p>
      <w:pPr>
        <w:pStyle w:val="1327"/>
        <w:outlineLvl w:val="0"/>
        <w:rPr>
          <w:rFonts w:ascii="宋体"/>
        </w:rPr>
      </w:pPr>
      <w:bookmarkStart w:id="3942" w:name="_Toc106049994"/>
      <w:bookmarkStart w:id="3943" w:name="_Toc106883257"/>
      <w:r>
        <w:rPr>
          <w:rFonts w:hint="eastAsia" w:ascii="宋体"/>
        </w:rPr>
        <w:t>4</w:t>
      </w:r>
      <w:r>
        <w:rPr>
          <w:rFonts w:ascii="宋体"/>
        </w:rPr>
        <w:t>.1.4.9.4  饰面砖镶贴</w:t>
      </w:r>
      <w:bookmarkEnd w:id="3942"/>
      <w:bookmarkEnd w:id="3943"/>
    </w:p>
    <w:p>
      <w:pPr>
        <w:pStyle w:val="1280"/>
        <w:ind w:firstLine="440"/>
        <w:rPr>
          <w:rFonts w:ascii="宋体"/>
        </w:rPr>
      </w:pPr>
      <w:r>
        <w:rPr>
          <w:rFonts w:ascii="宋体"/>
        </w:rPr>
        <w:t>（1）饰面砖应镶贴在湿润、干净的基层上，并应根据不同的基体，进行如下处理：</w:t>
      </w:r>
    </w:p>
    <w:p>
      <w:pPr>
        <w:pStyle w:val="1280"/>
        <w:ind w:firstLine="440"/>
        <w:rPr>
          <w:rFonts w:ascii="宋体"/>
        </w:rPr>
      </w:pPr>
      <w:r>
        <w:rPr>
          <w:rFonts w:ascii="宋体"/>
        </w:rPr>
        <w:t>1）纸面石膏板基体：将板缝用嵌缝腻子。嵌填密实，并在其上粘贴玻璃丝网格布（或穿孔纸带）使之形成整体；</w:t>
      </w:r>
    </w:p>
    <w:p>
      <w:pPr>
        <w:pStyle w:val="1280"/>
        <w:ind w:firstLine="440"/>
        <w:rPr>
          <w:rFonts w:ascii="宋体"/>
        </w:rPr>
      </w:pPr>
      <w:r>
        <w:rPr>
          <w:rFonts w:ascii="宋体"/>
        </w:rPr>
        <w:t>2）砖墙基体：将基体用水湿透后，用1：3水泥砂浆打底，木抹子搓平，隔天浇水养护；</w:t>
      </w:r>
    </w:p>
    <w:p>
      <w:pPr>
        <w:pStyle w:val="1280"/>
        <w:ind w:firstLine="440"/>
        <w:rPr>
          <w:rFonts w:ascii="宋体"/>
        </w:rPr>
      </w:pPr>
      <w:r>
        <w:rPr>
          <w:rFonts w:ascii="宋体"/>
        </w:rPr>
        <w:t>3）混凝土基体（可酌情选用下述三种方法中的一种）：</w:t>
      </w:r>
    </w:p>
    <w:p>
      <w:pPr>
        <w:pStyle w:val="1280"/>
        <w:ind w:firstLine="440"/>
        <w:rPr>
          <w:rFonts w:ascii="宋体"/>
        </w:rPr>
      </w:pPr>
      <w:r>
        <w:rPr>
          <w:rFonts w:ascii="宋体"/>
        </w:rPr>
        <w:t>a. 将混凝土表面凿毛后用水湿润，刷一道聚合物水泥浆，抹1：3水泥砂浆打底，木抹子搓平，隔天浇水养护；</w:t>
      </w:r>
    </w:p>
    <w:p>
      <w:pPr>
        <w:pStyle w:val="1280"/>
        <w:ind w:firstLine="440"/>
        <w:rPr>
          <w:rFonts w:ascii="宋体"/>
        </w:rPr>
      </w:pPr>
      <w:r>
        <w:rPr>
          <w:rFonts w:ascii="宋体"/>
        </w:rPr>
        <w:t>b. 将1：1水泥细砂浆（内掺20％107胶）喷或甩到混凝土基体上，作“毛化处理”，待其凝固后，用1：3水泥砂浆打底，木抹子搓平，隔天浇水养护；</w:t>
      </w:r>
    </w:p>
    <w:p>
      <w:pPr>
        <w:pStyle w:val="1280"/>
        <w:ind w:firstLine="440"/>
        <w:rPr>
          <w:rFonts w:ascii="宋体"/>
        </w:rPr>
      </w:pPr>
      <w:r>
        <w:rPr>
          <w:rFonts w:ascii="宋体"/>
        </w:rPr>
        <w:t>c. 用界面处理剂处理基体表面，待表干后，用1：3水泥砂浆打底，木抹子搓平，隔天浇水养护。</w:t>
      </w:r>
    </w:p>
    <w:p>
      <w:pPr>
        <w:pStyle w:val="1280"/>
        <w:ind w:firstLine="440"/>
        <w:rPr>
          <w:rFonts w:ascii="宋体"/>
        </w:rPr>
      </w:pPr>
      <w:r>
        <w:rPr>
          <w:rFonts w:ascii="宋体"/>
        </w:rPr>
        <w:t>（2）饰面砖镶贴前应先选砖预排，以使拼缝均匀。在同一墙面上的横竖排列，不宜有一行以上的非整砖。非整砖行应排在次要部位或阴角处。</w:t>
      </w:r>
    </w:p>
    <w:p>
      <w:pPr>
        <w:pStyle w:val="1280"/>
        <w:ind w:firstLine="440"/>
        <w:rPr>
          <w:rFonts w:ascii="宋体"/>
        </w:rPr>
      </w:pPr>
      <w:r>
        <w:rPr>
          <w:rFonts w:ascii="宋体"/>
        </w:rPr>
        <w:t>（3）饰面砖的镶贴形式和接缝宽度应符合设计要求。如设计无要求时可做样板，以决定镶贴形式和接缝宽度。</w:t>
      </w:r>
    </w:p>
    <w:p>
      <w:pPr>
        <w:pStyle w:val="1280"/>
        <w:ind w:firstLine="440"/>
        <w:rPr>
          <w:rFonts w:ascii="宋体"/>
        </w:rPr>
      </w:pPr>
      <w:r>
        <w:rPr>
          <w:rFonts w:ascii="宋体"/>
        </w:rPr>
        <w:t>（4）釉面砖和外墙面砖，镶贴前应将砖的肯面清理干净，并浸水两小时以上，待表面晾干后方可使用。冬期施工宜在掺入2％盐的温水中浸泡两小时，晾干后方可使用。</w:t>
      </w:r>
    </w:p>
    <w:p>
      <w:pPr>
        <w:pStyle w:val="1280"/>
        <w:ind w:firstLine="440"/>
        <w:rPr>
          <w:rFonts w:ascii="宋体"/>
        </w:rPr>
      </w:pPr>
      <w:r>
        <w:rPr>
          <w:rFonts w:ascii="宋体"/>
        </w:rPr>
        <w:t>（5）釉面砖和外墙面砖宜采用1：2水泥砂浆镶贴，砂浆厚度为6～10mm。</w:t>
      </w:r>
    </w:p>
    <w:p>
      <w:pPr>
        <w:pStyle w:val="1280"/>
        <w:ind w:firstLine="440"/>
        <w:rPr>
          <w:rFonts w:ascii="宋体"/>
        </w:rPr>
      </w:pPr>
      <w:r>
        <w:rPr>
          <w:rFonts w:ascii="宋体"/>
        </w:rPr>
        <w:t>镶贴用的水泥砂浆，可掺入不大于水泥重量15％的石灰膏以改善砂浆的和易性。</w:t>
      </w:r>
    </w:p>
    <w:p>
      <w:pPr>
        <w:pStyle w:val="1280"/>
        <w:ind w:firstLine="440"/>
        <w:rPr>
          <w:rFonts w:ascii="宋体"/>
        </w:rPr>
      </w:pPr>
      <w:r>
        <w:rPr>
          <w:rFonts w:ascii="宋体"/>
        </w:rPr>
        <w:t>（6）釉面砖和外墙面砖也可采用胶粘剂或聚合物水泥砂浆镶贴；采用聚合物水泥砂浆时，其配合比由试验确定。</w:t>
      </w:r>
    </w:p>
    <w:p>
      <w:pPr>
        <w:pStyle w:val="1280"/>
        <w:ind w:firstLine="440"/>
        <w:rPr>
          <w:rFonts w:ascii="宋体"/>
        </w:rPr>
      </w:pPr>
      <w:r>
        <w:rPr>
          <w:rFonts w:ascii="宋体"/>
        </w:rPr>
        <w:t>（7）镶贴饰面砖基层表面，如遇有突出的管线、灯具、卫生设备的支撑等，应用整砖套割吻合，不得用非整砖拼凑镶贴。</w:t>
      </w:r>
    </w:p>
    <w:p>
      <w:pPr>
        <w:pStyle w:val="1280"/>
        <w:ind w:firstLine="440"/>
        <w:rPr>
          <w:rFonts w:ascii="宋体"/>
        </w:rPr>
      </w:pPr>
      <w:r>
        <w:rPr>
          <w:rFonts w:ascii="宋体"/>
        </w:rPr>
        <w:t>（8）镶贴饰面砖前必须找准标高，垫好底尺，确定水平位置及垂直竖向标志，挂线镶贴，做到表面平整，不显接茬，接缝平直，宽度符合设计要求。</w:t>
      </w:r>
    </w:p>
    <w:p>
      <w:pPr>
        <w:pStyle w:val="1280"/>
        <w:ind w:firstLine="440"/>
        <w:rPr>
          <w:rFonts w:ascii="宋体"/>
        </w:rPr>
      </w:pPr>
      <w:r>
        <w:rPr>
          <w:rFonts w:ascii="宋体"/>
        </w:rPr>
        <w:t>（9）镶贴釉面砖和外墙面砖墙裙、浴盆、水池等上口和阴阳角处应使用配件砖。</w:t>
      </w:r>
    </w:p>
    <w:p>
      <w:pPr>
        <w:pStyle w:val="1280"/>
        <w:ind w:firstLine="440"/>
        <w:rPr>
          <w:rFonts w:ascii="宋体"/>
        </w:rPr>
      </w:pPr>
      <w:r>
        <w:rPr>
          <w:rFonts w:ascii="宋体"/>
        </w:rPr>
        <w:t>（10）釉面砖和外墙面砖的接缝，应符合下列规定：</w:t>
      </w:r>
    </w:p>
    <w:p>
      <w:pPr>
        <w:pStyle w:val="1280"/>
        <w:ind w:firstLine="440"/>
        <w:rPr>
          <w:rFonts w:ascii="宋体"/>
        </w:rPr>
      </w:pPr>
      <w:r>
        <w:rPr>
          <w:rFonts w:ascii="宋体"/>
        </w:rPr>
        <w:t>1）室外接缝应用水泥浆或水泥砂浆勾缝；</w:t>
      </w:r>
    </w:p>
    <w:p>
      <w:pPr>
        <w:pStyle w:val="1280"/>
        <w:ind w:firstLine="440"/>
        <w:rPr>
          <w:rFonts w:ascii="宋体"/>
        </w:rPr>
      </w:pPr>
      <w:r>
        <w:rPr>
          <w:rFonts w:ascii="宋体"/>
        </w:rPr>
        <w:t>2）室内接缝宜用与釉面砖相同颜色的石膏灰或水泥浆嵌缝。</w:t>
      </w:r>
    </w:p>
    <w:p>
      <w:pPr>
        <w:pStyle w:val="1280"/>
        <w:ind w:firstLine="440"/>
        <w:rPr>
          <w:rFonts w:ascii="宋体"/>
        </w:rPr>
      </w:pPr>
      <w:r>
        <w:rPr>
          <w:rFonts w:ascii="宋体"/>
        </w:rPr>
        <w:t>注：潮湿的房间不得用石膏灰嵌缝。</w:t>
      </w:r>
    </w:p>
    <w:p>
      <w:pPr>
        <w:pStyle w:val="1280"/>
        <w:ind w:firstLine="440"/>
        <w:rPr>
          <w:rFonts w:ascii="宋体"/>
        </w:rPr>
      </w:pPr>
      <w:r>
        <w:rPr>
          <w:rFonts w:ascii="宋体"/>
        </w:rPr>
        <w:t>（11）镶贴陶瓷、玻璃锦砖尚应符合下列规定：</w:t>
      </w:r>
    </w:p>
    <w:p>
      <w:pPr>
        <w:pStyle w:val="1280"/>
        <w:ind w:firstLine="440"/>
        <w:rPr>
          <w:rFonts w:ascii="宋体"/>
        </w:rPr>
      </w:pPr>
      <w:r>
        <w:rPr>
          <w:rFonts w:ascii="宋体"/>
        </w:rPr>
        <w:t>1）宜用水泥浆或聚合物水泥浆镶贴；</w:t>
      </w:r>
    </w:p>
    <w:p>
      <w:pPr>
        <w:pStyle w:val="1280"/>
        <w:ind w:firstLine="440"/>
        <w:rPr>
          <w:rFonts w:ascii="宋体"/>
        </w:rPr>
      </w:pPr>
      <w:r>
        <w:rPr>
          <w:rFonts w:ascii="宋体"/>
        </w:rPr>
        <w:t>2）镶贴应自上而下进行，每段施工时应自下而上进行，整间或独立部位宜一次完成。一次不能完成者，可将茬口留在施工缝或阴角处；</w:t>
      </w:r>
    </w:p>
    <w:p>
      <w:pPr>
        <w:pStyle w:val="1280"/>
        <w:ind w:firstLine="440"/>
        <w:rPr>
          <w:rFonts w:ascii="宋体"/>
        </w:rPr>
      </w:pPr>
      <w:r>
        <w:rPr>
          <w:rFonts w:ascii="宋体"/>
        </w:rPr>
        <w:t>3）镶贴时应位置准确，仔细拍实，使其表面平整，待稳固后，将纸面湿润、揭净；</w:t>
      </w:r>
    </w:p>
    <w:p>
      <w:pPr>
        <w:pStyle w:val="1280"/>
        <w:ind w:firstLine="440"/>
        <w:rPr>
          <w:rFonts w:ascii="宋体"/>
        </w:rPr>
      </w:pPr>
      <w:r>
        <w:rPr>
          <w:rFonts w:ascii="宋体"/>
        </w:rPr>
        <w:t>4）接缝宽度的调整应在水泥浆初凝前进行，干后用与面层同颜色的水泥浆将缝嵌平。</w:t>
      </w:r>
    </w:p>
    <w:p>
      <w:pPr>
        <w:pStyle w:val="1280"/>
        <w:ind w:firstLine="440"/>
        <w:rPr>
          <w:rFonts w:ascii="宋体"/>
        </w:rPr>
      </w:pPr>
      <w:r>
        <w:rPr>
          <w:rFonts w:ascii="宋体"/>
        </w:rPr>
        <w:t>（12）嵌缝后，应及时将面层残存的水泥浆清洗干净，并做好成品保护。</w:t>
      </w:r>
    </w:p>
    <w:p>
      <w:pPr>
        <w:pStyle w:val="1280"/>
        <w:ind w:firstLine="440"/>
        <w:rPr>
          <w:rFonts w:ascii="宋体"/>
        </w:rPr>
      </w:pPr>
      <w:r>
        <w:rPr>
          <w:rFonts w:ascii="宋体"/>
        </w:rPr>
        <w:t>（13）冬季施工注意：室内铺贴釉面砖环境温度不低于5℃。砂浆温度不低于5℃。应保持室内通风透气，并监测温度。</w:t>
      </w:r>
    </w:p>
    <w:p>
      <w:pPr>
        <w:pStyle w:val="1327"/>
        <w:outlineLvl w:val="0"/>
        <w:rPr>
          <w:rFonts w:ascii="宋体"/>
        </w:rPr>
      </w:pPr>
      <w:bookmarkStart w:id="3944" w:name="_Toc106049995"/>
      <w:bookmarkStart w:id="3945" w:name="_Toc106883258"/>
      <w:r>
        <w:rPr>
          <w:rFonts w:hint="eastAsia" w:ascii="宋体"/>
        </w:rPr>
        <w:t>4</w:t>
      </w:r>
      <w:r>
        <w:rPr>
          <w:rFonts w:ascii="宋体"/>
        </w:rPr>
        <w:t>.1.4.9.5  工程验收</w:t>
      </w:r>
      <w:bookmarkEnd w:id="3944"/>
      <w:bookmarkEnd w:id="3945"/>
    </w:p>
    <w:p>
      <w:pPr>
        <w:pStyle w:val="1280"/>
        <w:ind w:firstLine="440"/>
        <w:rPr>
          <w:rFonts w:ascii="宋体"/>
        </w:rPr>
      </w:pPr>
      <w:r>
        <w:rPr>
          <w:rFonts w:ascii="宋体"/>
        </w:rPr>
        <w:t>（1）检查数量 室外，以4m左右高为一检查层，每20m长抽查1处（每处3延长米），但不少于3处；室内，按有代表性的自然间抽查10％，过道按10延长米，厂房等大间按两轴线为1间，但不少于3间。</w:t>
      </w:r>
    </w:p>
    <w:p>
      <w:pPr>
        <w:pStyle w:val="1280"/>
        <w:ind w:firstLine="440"/>
        <w:rPr>
          <w:rFonts w:ascii="宋体"/>
        </w:rPr>
      </w:pPr>
      <w:r>
        <w:rPr>
          <w:rFonts w:ascii="宋体"/>
        </w:rPr>
        <w:t>（2）饰面板（砖）的品种、规格、颜色和图案必须符合设计要求。</w:t>
      </w:r>
    </w:p>
    <w:p>
      <w:pPr>
        <w:pStyle w:val="1280"/>
        <w:ind w:firstLine="440"/>
        <w:rPr>
          <w:rFonts w:ascii="宋体"/>
        </w:rPr>
      </w:pPr>
      <w:r>
        <w:rPr>
          <w:rFonts w:ascii="宋体"/>
        </w:rPr>
        <w:t>（3）饰面板（砖）安装（镶贴）必须牢固，无歪斜、缺棱掉角和裂缝等缺陷。</w:t>
      </w:r>
    </w:p>
    <w:p>
      <w:pPr>
        <w:pStyle w:val="1280"/>
        <w:ind w:firstLine="440"/>
        <w:rPr>
          <w:rFonts w:ascii="宋体"/>
        </w:rPr>
      </w:pPr>
      <w:r>
        <w:rPr>
          <w:rFonts w:ascii="宋体"/>
        </w:rPr>
        <w:t>（4）饰面板（砖）表面应平整、洁净，色泽协调，无变色、泛碱、污痕和显著的光泽受损处。</w:t>
      </w:r>
    </w:p>
    <w:p>
      <w:pPr>
        <w:pStyle w:val="1280"/>
        <w:ind w:firstLine="440"/>
        <w:rPr>
          <w:rFonts w:ascii="宋体"/>
        </w:rPr>
      </w:pPr>
      <w:r>
        <w:rPr>
          <w:rFonts w:ascii="宋体"/>
        </w:rPr>
        <w:t>（5）饰面板（砖）接缝应填嵌密实、平直、宽窄均匀、颜色一致。阴阳角处的板（砖）搭接方向正确，非整砖使用部位适宜。</w:t>
      </w:r>
    </w:p>
    <w:p>
      <w:pPr>
        <w:pStyle w:val="1280"/>
        <w:ind w:firstLine="440"/>
        <w:rPr>
          <w:rFonts w:ascii="宋体"/>
        </w:rPr>
      </w:pPr>
      <w:r>
        <w:rPr>
          <w:rFonts w:ascii="宋体"/>
        </w:rPr>
        <w:t>（6）突出物周围的板（砖）用整砖套割吻合、边缘整齐；墙裙、贴脸等突出墙面的厚度一致。</w:t>
      </w:r>
    </w:p>
    <w:p>
      <w:pPr>
        <w:pStyle w:val="1280"/>
        <w:ind w:firstLine="440"/>
        <w:rPr>
          <w:rFonts w:ascii="宋体"/>
        </w:rPr>
      </w:pPr>
      <w:r>
        <w:rPr>
          <w:rFonts w:ascii="宋体"/>
        </w:rPr>
        <w:t>（7）流水坡向正确，滴水线（槽）顺直。</w:t>
      </w:r>
    </w:p>
    <w:p>
      <w:pPr>
        <w:pStyle w:val="1288"/>
        <w:outlineLvl w:val="0"/>
        <w:rPr>
          <w:rFonts w:ascii="宋体" w:hAnsi="宋体"/>
          <w:color w:val="auto"/>
        </w:rPr>
      </w:pPr>
      <w:bookmarkStart w:id="3946" w:name="_Toc106049996"/>
      <w:bookmarkStart w:id="3947" w:name="_Toc106883259"/>
      <w:r>
        <w:rPr>
          <w:rFonts w:hint="eastAsia" w:ascii="宋体" w:hAnsi="宋体"/>
          <w:color w:val="auto"/>
        </w:rPr>
        <w:t>4</w:t>
      </w:r>
      <w:r>
        <w:rPr>
          <w:rFonts w:ascii="宋体" w:hAnsi="宋体"/>
          <w:color w:val="auto"/>
        </w:rPr>
        <w:t>.1.4.10  涂料工程</w:t>
      </w:r>
      <w:bookmarkEnd w:id="3946"/>
      <w:bookmarkEnd w:id="3947"/>
    </w:p>
    <w:p>
      <w:pPr>
        <w:pStyle w:val="1280"/>
        <w:ind w:firstLine="440"/>
        <w:rPr>
          <w:rFonts w:ascii="宋体"/>
        </w:rPr>
      </w:pPr>
      <w:r>
        <w:rPr>
          <w:rFonts w:ascii="宋体"/>
        </w:rPr>
        <w:t>本章适用于室内外各种水性涂料、乳液型涂料、溶剂型涂料（包括油性涂料）、清漆等涂料工程的施工及验收。</w:t>
      </w:r>
    </w:p>
    <w:p>
      <w:pPr>
        <w:pStyle w:val="1280"/>
        <w:ind w:firstLine="440"/>
        <w:rPr>
          <w:rFonts w:ascii="宋体"/>
        </w:rPr>
      </w:pPr>
      <w:r>
        <w:rPr>
          <w:rFonts w:ascii="宋体"/>
        </w:rPr>
        <w:t>注：刷涂大漆和硝基喷漆等，应按有关规定执行。</w:t>
      </w:r>
    </w:p>
    <w:p>
      <w:pPr>
        <w:pStyle w:val="1327"/>
        <w:outlineLvl w:val="0"/>
        <w:rPr>
          <w:rFonts w:ascii="宋体"/>
        </w:rPr>
      </w:pPr>
      <w:bookmarkStart w:id="3948" w:name="_Toc106049997"/>
      <w:bookmarkStart w:id="3949" w:name="_Toc106883260"/>
      <w:r>
        <w:rPr>
          <w:rFonts w:hint="eastAsia" w:ascii="宋体"/>
        </w:rPr>
        <w:t>4</w:t>
      </w:r>
      <w:r>
        <w:rPr>
          <w:rFonts w:ascii="宋体"/>
        </w:rPr>
        <w:t>.1.4.10.1  一般规定</w:t>
      </w:r>
      <w:bookmarkEnd w:id="3948"/>
      <w:bookmarkEnd w:id="3949"/>
    </w:p>
    <w:p>
      <w:pPr>
        <w:pStyle w:val="1280"/>
        <w:ind w:firstLine="440"/>
        <w:rPr>
          <w:rFonts w:ascii="宋体"/>
        </w:rPr>
      </w:pPr>
      <w:r>
        <w:rPr>
          <w:rFonts w:ascii="宋体"/>
        </w:rPr>
        <w:t>（1）涂料工程的等级和产品的品种应符合设计要求和现行有关产品国家标准的规定。</w:t>
      </w:r>
    </w:p>
    <w:p>
      <w:pPr>
        <w:pStyle w:val="1280"/>
        <w:ind w:firstLine="440"/>
        <w:rPr>
          <w:rFonts w:ascii="宋体"/>
        </w:rPr>
      </w:pPr>
      <w:r>
        <w:rPr>
          <w:rFonts w:ascii="宋体"/>
        </w:rPr>
        <w:t>（2）涂料工程基本或基层的含水率：混凝土和抹灰表面施涂溶剂型涂料时，含水率不得大于8％，施涂水性和乳液涂料时，含水率不得大于10％；木料制品含水率不得大于12％。</w:t>
      </w:r>
    </w:p>
    <w:p>
      <w:pPr>
        <w:pStyle w:val="1280"/>
        <w:ind w:firstLine="440"/>
        <w:rPr>
          <w:rFonts w:ascii="宋体"/>
        </w:rPr>
      </w:pPr>
      <w:r>
        <w:rPr>
          <w:rFonts w:ascii="宋体"/>
        </w:rPr>
        <w:t>（3）涂料干燥前，应防止雨淋、尘土玷污和热空气的侵袭。</w:t>
      </w:r>
    </w:p>
    <w:p>
      <w:pPr>
        <w:pStyle w:val="1280"/>
        <w:ind w:firstLine="440"/>
        <w:rPr>
          <w:rFonts w:ascii="宋体"/>
        </w:rPr>
      </w:pPr>
      <w:r>
        <w:rPr>
          <w:rFonts w:ascii="宋体"/>
        </w:rPr>
        <w:t>（4）涂料工程使用的腻子，应坚实牢固，不得粉化、起皮和裂纹。腻子干燥后，应打磨平整光滑，并清理干净。</w:t>
      </w:r>
    </w:p>
    <w:p>
      <w:pPr>
        <w:pStyle w:val="1280"/>
        <w:ind w:firstLine="440"/>
        <w:rPr>
          <w:rFonts w:ascii="宋体"/>
        </w:rPr>
      </w:pPr>
      <w:r>
        <w:rPr>
          <w:rFonts w:ascii="宋体"/>
        </w:rPr>
        <w:t>外墙、厨房、浴室及厕所等需要使用涂料的部位和木地（楼）板表面需使用涂料时，应使用具有耐水性能的腻子。</w:t>
      </w:r>
    </w:p>
    <w:p>
      <w:pPr>
        <w:pStyle w:val="1280"/>
        <w:ind w:firstLine="440"/>
        <w:rPr>
          <w:rFonts w:ascii="宋体"/>
        </w:rPr>
      </w:pPr>
      <w:r>
        <w:rPr>
          <w:rFonts w:ascii="宋体"/>
        </w:rPr>
        <w:t>（5）涂料的工作粘度或稠度，必须加以控制，使其在涂料施涂时不流坠、不显刷纹。施涂过程中不得任意稀释。</w:t>
      </w:r>
    </w:p>
    <w:p>
      <w:pPr>
        <w:pStyle w:val="1280"/>
        <w:ind w:firstLine="440"/>
        <w:rPr>
          <w:rFonts w:ascii="宋体"/>
        </w:rPr>
      </w:pPr>
      <w:r>
        <w:rPr>
          <w:rFonts w:ascii="宋体"/>
        </w:rPr>
        <w:t>（6）双组份或多组份涂料在施涂前，应按产品说明规定的配合比，根据使用情况分批混合，并在规定的时间内用完。所有涂料在施涂前和施涂过程中，均应充分搅拌。</w:t>
      </w:r>
    </w:p>
    <w:p>
      <w:pPr>
        <w:pStyle w:val="1280"/>
        <w:ind w:firstLine="440"/>
        <w:rPr>
          <w:rFonts w:ascii="宋体"/>
        </w:rPr>
      </w:pPr>
      <w:r>
        <w:rPr>
          <w:rFonts w:ascii="宋体"/>
        </w:rPr>
        <w:t>（7）施涂溶剂型涂料时，后一遍涂料必须在前一遍涂料干燥后进行；施涂水性和乳液涂料时，后一遍涂料必须在前一遍涂料表干后进行。每一遍涂料应施涂均匀，各层必须结合牢固。</w:t>
      </w:r>
    </w:p>
    <w:p>
      <w:pPr>
        <w:pStyle w:val="1280"/>
        <w:ind w:firstLine="440"/>
        <w:rPr>
          <w:rFonts w:ascii="宋体"/>
        </w:rPr>
      </w:pPr>
      <w:r>
        <w:rPr>
          <w:rFonts w:ascii="宋体"/>
        </w:rPr>
        <w:t>（8）水性和乳液涂料施涂时的环境温度，应按产品说明书的温度控制。冬期室内施涂涂料时，应在采暖条件下进行，室温应保持均衡，不得突然变化。</w:t>
      </w:r>
    </w:p>
    <w:p>
      <w:pPr>
        <w:pStyle w:val="1280"/>
        <w:ind w:firstLine="440"/>
        <w:rPr>
          <w:rFonts w:ascii="宋体"/>
        </w:rPr>
      </w:pPr>
      <w:r>
        <w:rPr>
          <w:rFonts w:ascii="宋体"/>
        </w:rPr>
        <w:t>（9）建筑物中的细木制品、金属构件和制品，如为工厂制作组装，其涂料宜在生产制作阶段施涂，最后一遍涂料宜在安装后施涂；如为现场制作组装，组装前应先施涂一遍底子油（干性油、防锈涂料），安装后再施涂涂料。</w:t>
      </w:r>
    </w:p>
    <w:p>
      <w:pPr>
        <w:pStyle w:val="1280"/>
        <w:ind w:firstLine="440"/>
        <w:rPr>
          <w:rFonts w:ascii="宋体"/>
        </w:rPr>
      </w:pPr>
      <w:r>
        <w:rPr>
          <w:rFonts w:ascii="宋体"/>
        </w:rPr>
        <w:t>（10）采用机械喷涂涂料时，应将不喷涂的部位遮盖，以防玷污。</w:t>
      </w:r>
    </w:p>
    <w:p>
      <w:pPr>
        <w:pStyle w:val="1280"/>
        <w:ind w:firstLine="440"/>
        <w:rPr>
          <w:rFonts w:ascii="宋体"/>
        </w:rPr>
      </w:pPr>
      <w:r>
        <w:rPr>
          <w:rFonts w:ascii="宋体"/>
        </w:rPr>
        <w:t>（11）施涂工具使用完毕后，应及时清洗或浸泡在相应的溶剂中。</w:t>
      </w:r>
    </w:p>
    <w:p>
      <w:pPr>
        <w:pStyle w:val="1327"/>
        <w:outlineLvl w:val="0"/>
        <w:rPr>
          <w:rFonts w:ascii="宋体"/>
        </w:rPr>
      </w:pPr>
      <w:bookmarkStart w:id="3950" w:name="_Toc106049998"/>
      <w:bookmarkStart w:id="3951" w:name="_Toc106883261"/>
      <w:r>
        <w:rPr>
          <w:rFonts w:hint="eastAsia" w:ascii="宋体"/>
        </w:rPr>
        <w:t>4</w:t>
      </w:r>
      <w:r>
        <w:rPr>
          <w:rFonts w:ascii="宋体"/>
        </w:rPr>
        <w:t>.1.4.10.2  材料质量要求</w:t>
      </w:r>
      <w:bookmarkEnd w:id="3950"/>
      <w:bookmarkEnd w:id="3951"/>
    </w:p>
    <w:p>
      <w:pPr>
        <w:pStyle w:val="1280"/>
        <w:ind w:firstLine="440"/>
        <w:rPr>
          <w:rFonts w:ascii="宋体"/>
        </w:rPr>
      </w:pPr>
      <w:r>
        <w:rPr>
          <w:rFonts w:hint="eastAsia" w:ascii="宋体"/>
        </w:rPr>
        <w:t>（1）饰面板、饰面砖应表面平整、边缘整齐；棱角不得损坏，并应具有产品合格证。</w:t>
      </w:r>
    </w:p>
    <w:p>
      <w:pPr>
        <w:pStyle w:val="1280"/>
        <w:ind w:firstLine="440"/>
        <w:rPr>
          <w:rFonts w:ascii="宋体"/>
        </w:rPr>
      </w:pPr>
      <w:r>
        <w:rPr>
          <w:rFonts w:hint="eastAsia" w:ascii="宋体"/>
        </w:rPr>
        <w:t>（2）装饰面板用的铁制锚固件、连接件，应镀锌或经防锈处理。镜面和光面的大理石，花岗石饰面板，应用铜或不锈钢制的连接件。</w:t>
      </w:r>
    </w:p>
    <w:p>
      <w:pPr>
        <w:pStyle w:val="1280"/>
        <w:ind w:firstLine="440"/>
        <w:rPr>
          <w:rFonts w:ascii="宋体"/>
        </w:rPr>
      </w:pPr>
      <w:r>
        <w:rPr>
          <w:rFonts w:hint="eastAsia" w:ascii="宋体"/>
        </w:rPr>
        <w:t>（3）天然大理石、花岗石饰面板，表面不得有隐伤、风化等缺陷。不宜采用易褪色的材料包装。</w:t>
      </w:r>
    </w:p>
    <w:p>
      <w:pPr>
        <w:pStyle w:val="1280"/>
        <w:ind w:firstLine="440"/>
        <w:rPr>
          <w:rFonts w:ascii="宋体"/>
        </w:rPr>
      </w:pPr>
      <w:r>
        <w:rPr>
          <w:rFonts w:hint="eastAsia" w:ascii="宋体"/>
        </w:rPr>
        <w:t>注：天然大理石、光面花岗石饰面板镶贴后，如有轻微损坏处，经有关单位同意，可用胶粘剂或腻子修补。</w:t>
      </w:r>
    </w:p>
    <w:p>
      <w:pPr>
        <w:pStyle w:val="1280"/>
        <w:ind w:firstLine="440"/>
        <w:rPr>
          <w:rFonts w:ascii="宋体"/>
        </w:rPr>
      </w:pPr>
      <w:r>
        <w:rPr>
          <w:rFonts w:hint="eastAsia" w:ascii="宋体"/>
        </w:rPr>
        <w:t>（4）外墙釉面砖、无釉面砖，表面应光洁，质地坚固，尺寸、色泽一致，不得有暗痕和裂纹，其性能指标均应符合现行国家标准的规定，吸水率不得大于10％。</w:t>
      </w:r>
    </w:p>
    <w:p>
      <w:pPr>
        <w:pStyle w:val="1280"/>
        <w:ind w:firstLine="440"/>
        <w:rPr>
          <w:rFonts w:ascii="宋体"/>
        </w:rPr>
      </w:pPr>
      <w:r>
        <w:rPr>
          <w:rFonts w:hint="eastAsia" w:ascii="宋体"/>
        </w:rPr>
        <w:t>（5）陶瓷锦砖及玻璃锦砖应质地坚硬，边棱整齐，尺寸正确。锦砖脱纸时间不得大于40min。</w:t>
      </w:r>
    </w:p>
    <w:p>
      <w:pPr>
        <w:pStyle w:val="1280"/>
        <w:ind w:firstLine="440"/>
        <w:rPr>
          <w:rFonts w:ascii="宋体"/>
        </w:rPr>
      </w:pPr>
      <w:r>
        <w:rPr>
          <w:rFonts w:hint="eastAsia" w:ascii="宋体"/>
        </w:rPr>
        <w:t>（6）施工时所用胶结材料的品种、参合比例应符合设计要求并具有产品合格证。</w:t>
      </w:r>
    </w:p>
    <w:p>
      <w:pPr>
        <w:pStyle w:val="1280"/>
        <w:ind w:firstLine="440"/>
        <w:rPr>
          <w:rFonts w:ascii="宋体"/>
          <w:b/>
        </w:rPr>
      </w:pPr>
      <w:r>
        <w:rPr>
          <w:rFonts w:hint="eastAsia" w:ascii="宋体"/>
        </w:rPr>
        <w:t>（7）拌制砂浆应用不含有害物质的洁净水。</w:t>
      </w:r>
    </w:p>
    <w:p>
      <w:pPr>
        <w:pStyle w:val="1327"/>
        <w:outlineLvl w:val="0"/>
        <w:rPr>
          <w:rFonts w:ascii="宋体"/>
        </w:rPr>
      </w:pPr>
      <w:bookmarkStart w:id="3952" w:name="_Toc106049999"/>
      <w:bookmarkStart w:id="3953" w:name="_Toc106883262"/>
      <w:r>
        <w:rPr>
          <w:rFonts w:hint="eastAsia" w:ascii="宋体"/>
        </w:rPr>
        <w:t>4</w:t>
      </w:r>
      <w:r>
        <w:rPr>
          <w:rFonts w:ascii="宋体"/>
        </w:rPr>
        <w:t>.1.4.10.3  混凝土表面和抹灰表面施涂</w:t>
      </w:r>
      <w:bookmarkEnd w:id="3952"/>
      <w:bookmarkEnd w:id="3953"/>
    </w:p>
    <w:p>
      <w:pPr>
        <w:pStyle w:val="1280"/>
        <w:ind w:firstLine="440"/>
        <w:rPr>
          <w:rFonts w:ascii="宋体"/>
        </w:rPr>
      </w:pPr>
      <w:r>
        <w:rPr>
          <w:rFonts w:ascii="宋体"/>
        </w:rPr>
        <w:t>本节适用于混凝土表面和抹灰表面施涂薄涂料、厚涂料和复层建筑涂料等涂料工程。</w:t>
      </w:r>
    </w:p>
    <w:p>
      <w:pPr>
        <w:pStyle w:val="1280"/>
        <w:ind w:firstLine="440"/>
        <w:rPr>
          <w:rFonts w:ascii="宋体"/>
        </w:rPr>
      </w:pPr>
      <w:r>
        <w:rPr>
          <w:rFonts w:ascii="宋体"/>
        </w:rPr>
        <w:t>（1）施涂前应将基体或基层的缺棱掉角处，用1：3的水泥砂浆（或聚合物水泥砂浆）修补；表面麻面及缝隙应用腻子填补齐平。</w:t>
      </w:r>
    </w:p>
    <w:p>
      <w:pPr>
        <w:pStyle w:val="1280"/>
        <w:ind w:firstLine="440"/>
        <w:rPr>
          <w:rFonts w:ascii="宋体"/>
        </w:rPr>
      </w:pPr>
      <w:r>
        <w:rPr>
          <w:rFonts w:ascii="宋体"/>
        </w:rPr>
        <w:t>基层表面上的灰尘、污垢、溅沫和砂浆流痕应清除干净。</w:t>
      </w:r>
    </w:p>
    <w:p>
      <w:pPr>
        <w:pStyle w:val="1280"/>
        <w:ind w:firstLine="440"/>
        <w:rPr>
          <w:rFonts w:ascii="宋体"/>
        </w:rPr>
      </w:pPr>
      <w:r>
        <w:rPr>
          <w:rFonts w:ascii="宋体"/>
        </w:rPr>
        <w:t>（2）外墙涂料工程分段进行时，应以分格缝、墙的阴角处或水落管等为分界线。</w:t>
      </w:r>
    </w:p>
    <w:p>
      <w:pPr>
        <w:pStyle w:val="1280"/>
        <w:ind w:firstLine="440"/>
        <w:rPr>
          <w:rFonts w:ascii="宋体"/>
        </w:rPr>
      </w:pPr>
      <w:r>
        <w:rPr>
          <w:rFonts w:ascii="宋体"/>
        </w:rPr>
        <w:t>（3）外墙涂料工程，同一墙面应用同一批号的涂料；每遍涂料不宜施涂过厚；涂层应均匀，颜色一致。</w:t>
      </w:r>
    </w:p>
    <w:p>
      <w:pPr>
        <w:pStyle w:val="1280"/>
        <w:ind w:firstLine="440"/>
        <w:rPr>
          <w:rFonts w:ascii="宋体"/>
        </w:rPr>
      </w:pPr>
      <w:r>
        <w:rPr>
          <w:rFonts w:ascii="宋体"/>
        </w:rPr>
        <w:t>（4）施涂复层涂料尚应符合下列规定：</w:t>
      </w:r>
    </w:p>
    <w:p>
      <w:pPr>
        <w:pStyle w:val="1280"/>
        <w:ind w:firstLine="440"/>
        <w:rPr>
          <w:rFonts w:ascii="宋体"/>
        </w:rPr>
      </w:pPr>
      <w:r>
        <w:rPr>
          <w:rFonts w:ascii="宋体"/>
        </w:rPr>
        <w:t>a. 复层涂料一般是以封底涂料、主层涂料和罩面涂料组成。施涂时应先喷涂或刷涂封底涂料，待其干燥后再喷涂主层涂料，干燥后再施涂两遍罩面涂料。</w:t>
      </w:r>
    </w:p>
    <w:p>
      <w:pPr>
        <w:pStyle w:val="1280"/>
        <w:ind w:firstLine="440"/>
        <w:rPr>
          <w:rFonts w:ascii="宋体"/>
        </w:rPr>
      </w:pPr>
      <w:r>
        <w:rPr>
          <w:rFonts w:ascii="宋体"/>
        </w:rPr>
        <w:t>b. 喷涂主层涂料时，其点状大小和疏密程度应均匀一致，不得连成片状；</w:t>
      </w:r>
    </w:p>
    <w:p>
      <w:pPr>
        <w:pStyle w:val="1280"/>
        <w:ind w:firstLine="440"/>
        <w:rPr>
          <w:rFonts w:ascii="宋体"/>
        </w:rPr>
      </w:pPr>
      <w:r>
        <w:rPr>
          <w:rFonts w:ascii="宋体"/>
        </w:rPr>
        <w:t>c. 水泥系主层涂料喷涂后，应先干燥12h，然后洒水养护24h，再干燥12h后，才能施涂罩面涂料；</w:t>
      </w:r>
    </w:p>
    <w:p>
      <w:pPr>
        <w:pStyle w:val="1280"/>
        <w:ind w:firstLine="440"/>
        <w:rPr>
          <w:rFonts w:ascii="宋体"/>
        </w:rPr>
      </w:pPr>
      <w:r>
        <w:rPr>
          <w:rFonts w:ascii="宋体"/>
        </w:rPr>
        <w:t>d. 施涂罩面涂料时，不得有漏涂和流坠现象，待第一遍罩面涂料干燥后，才能施涂第二遍罩面涂料。</w:t>
      </w:r>
    </w:p>
    <w:p>
      <w:pPr>
        <w:pStyle w:val="1327"/>
        <w:outlineLvl w:val="0"/>
        <w:rPr>
          <w:rFonts w:ascii="宋体"/>
        </w:rPr>
      </w:pPr>
      <w:bookmarkStart w:id="3954" w:name="_Toc106050000"/>
      <w:bookmarkStart w:id="3955" w:name="_Toc106883263"/>
      <w:r>
        <w:rPr>
          <w:rFonts w:hint="eastAsia" w:ascii="宋体"/>
        </w:rPr>
        <w:t>4</w:t>
      </w:r>
      <w:r>
        <w:rPr>
          <w:rFonts w:ascii="宋体"/>
        </w:rPr>
        <w:t>.1.4.10.4  木料表面施涂</w:t>
      </w:r>
      <w:bookmarkEnd w:id="3954"/>
      <w:bookmarkEnd w:id="3955"/>
    </w:p>
    <w:p>
      <w:pPr>
        <w:pStyle w:val="1280"/>
        <w:ind w:firstLine="440"/>
        <w:rPr>
          <w:rFonts w:ascii="宋体"/>
        </w:rPr>
      </w:pPr>
      <w:r>
        <w:rPr>
          <w:rFonts w:ascii="宋体"/>
        </w:rPr>
        <w:t>（1）施涂涂料前，应将木料表面上的灰尘、污垢等清除干净。</w:t>
      </w:r>
    </w:p>
    <w:p>
      <w:pPr>
        <w:pStyle w:val="1280"/>
        <w:ind w:firstLine="440"/>
        <w:rPr>
          <w:rFonts w:ascii="宋体"/>
        </w:rPr>
      </w:pPr>
      <w:r>
        <w:rPr>
          <w:rFonts w:ascii="宋体"/>
        </w:rPr>
        <w:t>木料表面的缝隙、毛刺、掀岔和脂囊修整后，应用腻子填补，并用砂纸磨光。较大的脂囊应用木纹相同的材料用胶囊嵌。节疤处应点漆片2～3遍。</w:t>
      </w:r>
    </w:p>
    <w:p>
      <w:pPr>
        <w:pStyle w:val="1280"/>
        <w:ind w:firstLine="440"/>
        <w:rPr>
          <w:rFonts w:ascii="宋体"/>
        </w:rPr>
      </w:pPr>
      <w:r>
        <w:rPr>
          <w:rFonts w:ascii="宋体"/>
        </w:rPr>
        <w:t>（2）门窗扇施涂涂料时，上冒头顶面和下冒头底面不得漏施涂料。</w:t>
      </w:r>
    </w:p>
    <w:p>
      <w:pPr>
        <w:pStyle w:val="1327"/>
        <w:outlineLvl w:val="0"/>
        <w:rPr>
          <w:rFonts w:ascii="宋体"/>
        </w:rPr>
      </w:pPr>
      <w:bookmarkStart w:id="3956" w:name="_Toc106050001"/>
      <w:bookmarkStart w:id="3957" w:name="_Toc106883264"/>
      <w:r>
        <w:rPr>
          <w:rFonts w:hint="eastAsia" w:ascii="宋体"/>
        </w:rPr>
        <w:t>4</w:t>
      </w:r>
      <w:r>
        <w:rPr>
          <w:rFonts w:ascii="宋体"/>
        </w:rPr>
        <w:t>.1.4.10.5  工程验收</w:t>
      </w:r>
      <w:bookmarkEnd w:id="3956"/>
      <w:bookmarkEnd w:id="3957"/>
    </w:p>
    <w:p>
      <w:pPr>
        <w:pStyle w:val="1280"/>
        <w:ind w:firstLine="440"/>
        <w:rPr>
          <w:rFonts w:ascii="宋体"/>
        </w:rPr>
      </w:pPr>
      <w:r>
        <w:rPr>
          <w:rFonts w:ascii="宋体"/>
        </w:rPr>
        <w:t>（1）涂料工程应待涂层完全干燥后，方可进行验收。</w:t>
      </w:r>
    </w:p>
    <w:p>
      <w:pPr>
        <w:pStyle w:val="1280"/>
        <w:ind w:firstLine="440"/>
        <w:rPr>
          <w:rFonts w:ascii="宋体"/>
        </w:rPr>
      </w:pPr>
      <w:r>
        <w:rPr>
          <w:rFonts w:ascii="宋体"/>
        </w:rPr>
        <w:t>检查数量 室外，按施涂面积抽查10％；室内，按有代表性的自然间（过道按10延长米，礼堂、厂房等大间可按两轴线为1间）抽查10％，但不得少于3间。</w:t>
      </w:r>
    </w:p>
    <w:p>
      <w:pPr>
        <w:pStyle w:val="1280"/>
        <w:ind w:firstLine="440"/>
        <w:rPr>
          <w:rFonts w:ascii="宋体"/>
        </w:rPr>
      </w:pPr>
      <w:r>
        <w:rPr>
          <w:rFonts w:ascii="宋体"/>
        </w:rPr>
        <w:t>（2）验收时，应检查所有的材料品种、颜色应符合设计和选定的样品要求。</w:t>
      </w:r>
    </w:p>
    <w:p>
      <w:pPr>
        <w:pStyle w:val="1280"/>
        <w:ind w:firstLine="440"/>
        <w:rPr>
          <w:rFonts w:ascii="宋体"/>
        </w:rPr>
      </w:pPr>
      <w:r>
        <w:rPr>
          <w:rFonts w:ascii="宋体"/>
        </w:rPr>
        <w:t>（3）施涂薄涂料表面的质量，应符合GB50210-2002表10.2.6的规定。</w:t>
      </w:r>
    </w:p>
    <w:p>
      <w:pPr>
        <w:pStyle w:val="1280"/>
        <w:ind w:firstLine="440"/>
        <w:rPr>
          <w:rFonts w:ascii="宋体"/>
        </w:rPr>
      </w:pPr>
      <w:r>
        <w:rPr>
          <w:rFonts w:ascii="宋体"/>
        </w:rPr>
        <w:t>（4）施涂厚涂料表面的质量，应符合GB50210-2002表10.2.7的规定。</w:t>
      </w:r>
    </w:p>
    <w:p>
      <w:pPr>
        <w:pStyle w:val="1280"/>
        <w:ind w:firstLine="440"/>
        <w:rPr>
          <w:rFonts w:ascii="宋体"/>
        </w:rPr>
      </w:pPr>
      <w:r>
        <w:rPr>
          <w:rFonts w:ascii="宋体"/>
        </w:rPr>
        <w:t>（5）施涂复层涂料表面的质量，应符合GB50210-2002表10.2.8的规定。</w:t>
      </w:r>
    </w:p>
    <w:p>
      <w:pPr>
        <w:pStyle w:val="1280"/>
        <w:ind w:firstLine="440"/>
        <w:rPr>
          <w:rFonts w:ascii="宋体"/>
        </w:rPr>
      </w:pPr>
      <w:r>
        <w:rPr>
          <w:rFonts w:ascii="宋体"/>
        </w:rPr>
        <w:t>（6）施涂溶剂型混色涂料表面的质量，应符合GB50210-2002表12.3.6的规定。</w:t>
      </w:r>
    </w:p>
    <w:p>
      <w:pPr>
        <w:pStyle w:val="1280"/>
        <w:ind w:firstLine="440"/>
        <w:rPr>
          <w:rFonts w:ascii="宋体"/>
        </w:rPr>
      </w:pPr>
      <w:r>
        <w:rPr>
          <w:rFonts w:ascii="宋体"/>
        </w:rPr>
        <w:t>（7）施涂清漆表面的质量，应符合GB50210-2002表10.3.7的规定。</w:t>
      </w:r>
    </w:p>
    <w:p>
      <w:pPr>
        <w:pStyle w:val="1281"/>
        <w:rPr>
          <w:rFonts w:ascii="宋体" w:hAnsi="宋体"/>
          <w:color w:val="auto"/>
        </w:rPr>
      </w:pPr>
      <w:r>
        <w:rPr>
          <w:rFonts w:ascii="宋体" w:hAnsi="宋体"/>
          <w:color w:val="auto"/>
          <w:sz w:val="30"/>
          <w:szCs w:val="30"/>
          <w14:shadow w14:blurRad="50800" w14:dist="38100" w14:dir="2700000" w14:sx="100000" w14:sy="100000" w14:kx="0" w14:ky="0" w14:algn="tl">
            <w14:srgbClr w14:val="000000">
              <w14:alpha w14:val="60000"/>
            </w14:srgbClr>
          </w14:shadow>
        </w:rPr>
        <w:br w:type="page"/>
      </w:r>
      <w:bookmarkStart w:id="3958" w:name="_Toc521492266"/>
      <w:bookmarkStart w:id="3959" w:name="_Toc521493123"/>
      <w:bookmarkStart w:id="3960" w:name="_Toc521493797"/>
      <w:bookmarkStart w:id="3961" w:name="_Toc106883265"/>
      <w:r>
        <w:rPr>
          <w:rFonts w:hint="eastAsia" w:ascii="宋体" w:hAnsi="宋体"/>
          <w:color w:val="auto"/>
        </w:rPr>
        <w:t>4.2  钢及金属结构工程</w:t>
      </w:r>
      <w:bookmarkEnd w:id="3958"/>
      <w:bookmarkEnd w:id="3959"/>
      <w:bookmarkEnd w:id="3960"/>
      <w:bookmarkEnd w:id="3961"/>
    </w:p>
    <w:p>
      <w:pPr>
        <w:pStyle w:val="1284"/>
        <w:outlineLvl w:val="0"/>
        <w:rPr>
          <w:rFonts w:ascii="宋体" w:hAnsi="宋体"/>
        </w:rPr>
      </w:pPr>
      <w:bookmarkStart w:id="3962" w:name="_Toc521493124"/>
      <w:bookmarkStart w:id="3963" w:name="_Toc521493798"/>
      <w:bookmarkStart w:id="3964" w:name="_Toc521492267"/>
      <w:bookmarkStart w:id="3965" w:name="_Toc106883266"/>
      <w:r>
        <w:rPr>
          <w:rFonts w:hint="eastAsia" w:ascii="宋体" w:hAnsi="宋体"/>
        </w:rPr>
        <w:t>4.2.1</w:t>
      </w:r>
      <w:r>
        <w:rPr>
          <w:rFonts w:ascii="宋体" w:hAnsi="宋体"/>
        </w:rPr>
        <w:t xml:space="preserve">  钢结构件</w:t>
      </w:r>
      <w:bookmarkEnd w:id="3962"/>
      <w:bookmarkEnd w:id="3963"/>
      <w:bookmarkEnd w:id="3964"/>
      <w:bookmarkEnd w:id="3965"/>
    </w:p>
    <w:p>
      <w:pPr>
        <w:pStyle w:val="1288"/>
        <w:outlineLvl w:val="0"/>
        <w:rPr>
          <w:rFonts w:ascii="宋体" w:hAnsi="宋体"/>
          <w:color w:val="auto"/>
        </w:rPr>
      </w:pPr>
      <w:bookmarkStart w:id="3966" w:name="_Toc106050004"/>
      <w:bookmarkStart w:id="3967" w:name="_Toc106883267"/>
      <w:r>
        <w:rPr>
          <w:rFonts w:hint="eastAsia" w:ascii="宋体" w:hAnsi="宋体"/>
          <w:color w:val="auto"/>
        </w:rPr>
        <w:t>4.2.1</w:t>
      </w:r>
      <w:r>
        <w:rPr>
          <w:rFonts w:ascii="宋体" w:hAnsi="宋体"/>
          <w:color w:val="auto"/>
        </w:rPr>
        <w:t>.1  范围</w:t>
      </w:r>
      <w:bookmarkEnd w:id="3966"/>
      <w:bookmarkEnd w:id="3967"/>
    </w:p>
    <w:p>
      <w:pPr>
        <w:pStyle w:val="1280"/>
        <w:ind w:firstLine="440"/>
        <w:rPr>
          <w:rFonts w:ascii="宋体"/>
        </w:rPr>
      </w:pPr>
      <w:r>
        <w:rPr>
          <w:rFonts w:ascii="宋体"/>
        </w:rPr>
        <w:t>本节叙述了用于支承建筑物结构、土建为其它专业配套的钢制预埋件、螺栓、管和起重机梁和导轨的钢组件的制造，供应和安装方面的要求。这些应按图纸上表明的或是设计规定要求的去做。</w:t>
      </w:r>
    </w:p>
    <w:p>
      <w:pPr>
        <w:pStyle w:val="1288"/>
        <w:outlineLvl w:val="0"/>
        <w:rPr>
          <w:rFonts w:ascii="宋体" w:hAnsi="宋体"/>
          <w:color w:val="auto"/>
        </w:rPr>
      </w:pPr>
      <w:bookmarkStart w:id="3968" w:name="_Toc106050005"/>
      <w:bookmarkStart w:id="3969" w:name="_Toc106883268"/>
      <w:r>
        <w:rPr>
          <w:rFonts w:hint="eastAsia" w:ascii="宋体" w:hAnsi="宋体"/>
          <w:color w:val="auto"/>
        </w:rPr>
        <w:t>4.2.1</w:t>
      </w:r>
      <w:r>
        <w:rPr>
          <w:rFonts w:ascii="宋体" w:hAnsi="宋体"/>
          <w:color w:val="auto"/>
        </w:rPr>
        <w:t>.2  参考标准</w:t>
      </w:r>
      <w:bookmarkEnd w:id="3968"/>
      <w:bookmarkEnd w:id="3969"/>
    </w:p>
    <w:p>
      <w:pPr>
        <w:pStyle w:val="1280"/>
        <w:ind w:firstLine="440"/>
        <w:rPr>
          <w:rFonts w:ascii="宋体"/>
        </w:rPr>
      </w:pPr>
      <w:r>
        <w:rPr>
          <w:rFonts w:ascii="宋体"/>
        </w:rPr>
        <w:t>除非本技术规定中另有说明，所有钢及金属结构工程及其试验均应符合下列参照标准中的有关条款（不局限于这些标准）。若下列参照标准有新的国家及行业标准颁布，则应符合新的国家及行业标准：</w:t>
      </w:r>
    </w:p>
    <w:p>
      <w:pPr>
        <w:pStyle w:val="1280"/>
        <w:ind w:firstLine="440"/>
        <w:rPr>
          <w:rFonts w:ascii="宋体"/>
        </w:rPr>
      </w:pPr>
      <w:r>
        <w:rPr>
          <w:rFonts w:ascii="宋体"/>
        </w:rPr>
        <w:t>GB50017-2003   钢结构设计规范</w:t>
      </w:r>
    </w:p>
    <w:p>
      <w:pPr>
        <w:pStyle w:val="1280"/>
        <w:ind w:firstLine="440"/>
        <w:rPr>
          <w:rFonts w:ascii="宋体"/>
        </w:rPr>
      </w:pPr>
      <w:r>
        <w:rPr>
          <w:rFonts w:ascii="宋体"/>
        </w:rPr>
        <w:t>DBJ08-68-97   轻型钢结构设计规程</w:t>
      </w:r>
    </w:p>
    <w:p>
      <w:pPr>
        <w:pStyle w:val="1280"/>
        <w:ind w:firstLine="440"/>
        <w:rPr>
          <w:rFonts w:ascii="宋体"/>
        </w:rPr>
      </w:pPr>
      <w:r>
        <w:rPr>
          <w:rFonts w:ascii="宋体"/>
        </w:rPr>
        <w:t>GB700-2006    普通碳钢的一般技术要求</w:t>
      </w:r>
    </w:p>
    <w:p>
      <w:pPr>
        <w:pStyle w:val="1280"/>
        <w:ind w:firstLine="440"/>
        <w:rPr>
          <w:rFonts w:ascii="宋体"/>
        </w:rPr>
      </w:pPr>
      <w:r>
        <w:rPr>
          <w:rFonts w:ascii="宋体"/>
        </w:rPr>
        <w:t>GB704-88    热轧扁钢</w:t>
      </w:r>
    </w:p>
    <w:p>
      <w:pPr>
        <w:pStyle w:val="1280"/>
        <w:ind w:firstLine="440"/>
        <w:rPr>
          <w:rFonts w:ascii="宋体"/>
        </w:rPr>
      </w:pPr>
      <w:r>
        <w:rPr>
          <w:rFonts w:ascii="宋体"/>
        </w:rPr>
        <w:t>GB706-88    热轧工字钢</w:t>
      </w:r>
    </w:p>
    <w:p>
      <w:pPr>
        <w:pStyle w:val="1280"/>
        <w:ind w:firstLine="440"/>
        <w:rPr>
          <w:rFonts w:ascii="宋体"/>
        </w:rPr>
      </w:pPr>
      <w:r>
        <w:rPr>
          <w:rFonts w:ascii="宋体"/>
        </w:rPr>
        <w:t>GB707-88    热轧槽钢</w:t>
      </w:r>
    </w:p>
    <w:p>
      <w:pPr>
        <w:pStyle w:val="1280"/>
        <w:ind w:firstLine="440"/>
        <w:rPr>
          <w:rFonts w:ascii="宋体"/>
        </w:rPr>
      </w:pPr>
      <w:r>
        <w:rPr>
          <w:rFonts w:ascii="宋体"/>
        </w:rPr>
        <w:t>GB5782-2016    六角头螺栓</w:t>
      </w:r>
    </w:p>
    <w:p>
      <w:pPr>
        <w:pStyle w:val="1280"/>
        <w:ind w:firstLine="440"/>
        <w:rPr>
          <w:rFonts w:ascii="宋体"/>
        </w:rPr>
      </w:pPr>
      <w:r>
        <w:rPr>
          <w:rFonts w:ascii="宋体"/>
        </w:rPr>
        <w:t>GB6170-2000    六角螺母</w:t>
      </w:r>
    </w:p>
    <w:p>
      <w:pPr>
        <w:pStyle w:val="1280"/>
        <w:ind w:firstLine="440"/>
        <w:rPr>
          <w:rFonts w:ascii="宋体"/>
        </w:rPr>
      </w:pPr>
      <w:r>
        <w:rPr>
          <w:rFonts w:ascii="宋体"/>
        </w:rPr>
        <w:t>GB41-2016    六角螺母（四级精度）</w:t>
      </w:r>
    </w:p>
    <w:p>
      <w:pPr>
        <w:pStyle w:val="1280"/>
        <w:ind w:firstLine="440"/>
        <w:rPr>
          <w:rFonts w:ascii="宋体"/>
        </w:rPr>
      </w:pPr>
      <w:r>
        <w:rPr>
          <w:rFonts w:ascii="宋体"/>
        </w:rPr>
        <w:t>GB97-85    平垫圈</w:t>
      </w:r>
    </w:p>
    <w:p>
      <w:pPr>
        <w:pStyle w:val="1280"/>
        <w:ind w:firstLine="440"/>
        <w:rPr>
          <w:rFonts w:ascii="宋体"/>
        </w:rPr>
      </w:pPr>
      <w:r>
        <w:rPr>
          <w:rFonts w:ascii="宋体"/>
        </w:rPr>
        <w:t>GB1220-2007    不锈钢筋</w:t>
      </w:r>
    </w:p>
    <w:p>
      <w:pPr>
        <w:pStyle w:val="1280"/>
        <w:ind w:firstLine="440"/>
        <w:rPr>
          <w:rFonts w:ascii="宋体"/>
        </w:rPr>
      </w:pPr>
      <w:r>
        <w:rPr>
          <w:rFonts w:ascii="宋体"/>
        </w:rPr>
        <w:t>GB50205-2001   钢结构工程施工质量验收规范</w:t>
      </w:r>
    </w:p>
    <w:p>
      <w:pPr>
        <w:pStyle w:val="1280"/>
        <w:ind w:firstLine="440"/>
        <w:rPr>
          <w:rFonts w:ascii="宋体"/>
        </w:rPr>
      </w:pPr>
      <w:r>
        <w:rPr>
          <w:rFonts w:ascii="宋体"/>
        </w:rPr>
        <w:t>GB5117、GB5118  用于低碳钢和低合金高强度钢的电焊条</w:t>
      </w:r>
    </w:p>
    <w:p>
      <w:pPr>
        <w:pStyle w:val="1280"/>
        <w:ind w:firstLine="440"/>
        <w:rPr>
          <w:rFonts w:ascii="宋体"/>
        </w:rPr>
      </w:pPr>
      <w:r>
        <w:rPr>
          <w:rFonts w:ascii="宋体"/>
        </w:rPr>
        <w:t>GB2649-81    焊接的检查方法</w:t>
      </w:r>
    </w:p>
    <w:p>
      <w:pPr>
        <w:pStyle w:val="1280"/>
        <w:ind w:firstLine="440"/>
        <w:rPr>
          <w:rFonts w:ascii="宋体"/>
        </w:rPr>
      </w:pPr>
      <w:r>
        <w:rPr>
          <w:rFonts w:ascii="宋体"/>
        </w:rPr>
        <w:t>IB928-67    用X射线拍照检查焊接的标准</w:t>
      </w:r>
    </w:p>
    <w:p>
      <w:pPr>
        <w:pStyle w:val="1280"/>
        <w:ind w:firstLine="440"/>
        <w:rPr>
          <w:rFonts w:ascii="宋体"/>
        </w:rPr>
      </w:pPr>
      <w:r>
        <w:rPr>
          <w:rFonts w:ascii="宋体"/>
        </w:rPr>
        <w:t>VB/T4004-1998   钢格栅板</w:t>
      </w:r>
    </w:p>
    <w:p>
      <w:pPr>
        <w:pStyle w:val="1280"/>
        <w:ind w:firstLine="440"/>
        <w:rPr>
          <w:rFonts w:ascii="宋体"/>
        </w:rPr>
      </w:pPr>
      <w:r>
        <w:rPr>
          <w:rFonts w:ascii="宋体"/>
        </w:rPr>
        <w:t>所应用的标准</w:t>
      </w:r>
      <w:r>
        <w:rPr>
          <w:rFonts w:hint="eastAsia" w:ascii="宋体"/>
        </w:rPr>
        <w:t>和规范</w:t>
      </w:r>
      <w:r>
        <w:rPr>
          <w:rFonts w:ascii="宋体"/>
        </w:rPr>
        <w:t>应是最新的且已实施的版本，必须在本招标截止日期之前28天尚在通用的版本。</w:t>
      </w:r>
    </w:p>
    <w:p>
      <w:pPr>
        <w:pStyle w:val="1288"/>
        <w:outlineLvl w:val="0"/>
        <w:rPr>
          <w:rFonts w:ascii="宋体" w:hAnsi="宋体"/>
          <w:color w:val="auto"/>
        </w:rPr>
      </w:pPr>
      <w:bookmarkStart w:id="3970" w:name="_Toc106050006"/>
      <w:bookmarkStart w:id="3971" w:name="_Toc106883269"/>
      <w:r>
        <w:rPr>
          <w:rFonts w:hint="eastAsia" w:ascii="宋体" w:hAnsi="宋体"/>
          <w:color w:val="auto"/>
        </w:rPr>
        <w:t>4.2.1</w:t>
      </w:r>
      <w:r>
        <w:rPr>
          <w:rFonts w:ascii="宋体" w:hAnsi="宋体"/>
          <w:color w:val="auto"/>
        </w:rPr>
        <w:t>.3  提交的文件</w:t>
      </w:r>
      <w:bookmarkEnd w:id="3970"/>
      <w:bookmarkEnd w:id="3971"/>
    </w:p>
    <w:p>
      <w:pPr>
        <w:pStyle w:val="1280"/>
        <w:ind w:firstLine="440"/>
        <w:rPr>
          <w:rFonts w:ascii="宋体"/>
        </w:rPr>
      </w:pPr>
      <w:r>
        <w:rPr>
          <w:rFonts w:ascii="宋体"/>
        </w:rPr>
        <w:t>在本节中需要下列文件提交给项目监理审批：</w:t>
      </w:r>
    </w:p>
    <w:p>
      <w:pPr>
        <w:pStyle w:val="1280"/>
        <w:ind w:firstLine="440"/>
        <w:rPr>
          <w:rFonts w:ascii="宋体"/>
        </w:rPr>
      </w:pPr>
      <w:r>
        <w:rPr>
          <w:rFonts w:ascii="宋体"/>
        </w:rPr>
        <w:t>（1）能说明下列问题的图纸：</w:t>
      </w:r>
    </w:p>
    <w:p>
      <w:pPr>
        <w:pStyle w:val="1280"/>
        <w:ind w:firstLine="440"/>
        <w:rPr>
          <w:rFonts w:ascii="宋体"/>
        </w:rPr>
      </w:pPr>
      <w:r>
        <w:rPr>
          <w:rFonts w:ascii="宋体"/>
        </w:rPr>
        <w:t>a. 详细的制造情况。（包括所制造部件的重量）；</w:t>
      </w:r>
    </w:p>
    <w:p>
      <w:pPr>
        <w:pStyle w:val="1280"/>
        <w:ind w:firstLine="440"/>
        <w:rPr>
          <w:rFonts w:ascii="宋体"/>
        </w:rPr>
      </w:pPr>
      <w:r>
        <w:rPr>
          <w:rFonts w:ascii="宋体"/>
        </w:rPr>
        <w:t>b. 总装和连接详图；</w:t>
      </w:r>
    </w:p>
    <w:p>
      <w:pPr>
        <w:pStyle w:val="1280"/>
        <w:ind w:firstLine="440"/>
        <w:rPr>
          <w:rFonts w:ascii="宋体"/>
        </w:rPr>
      </w:pPr>
      <w:r>
        <w:rPr>
          <w:rFonts w:ascii="宋体"/>
        </w:rPr>
        <w:t>c. 总布置和建造（包括临时工程）；</w:t>
      </w:r>
    </w:p>
    <w:p>
      <w:pPr>
        <w:pStyle w:val="1280"/>
        <w:ind w:firstLine="440"/>
        <w:rPr>
          <w:rFonts w:ascii="宋体"/>
        </w:rPr>
      </w:pPr>
      <w:r>
        <w:rPr>
          <w:rFonts w:ascii="宋体"/>
        </w:rPr>
        <w:t>（2）下列证书：</w:t>
      </w:r>
    </w:p>
    <w:p>
      <w:pPr>
        <w:pStyle w:val="1280"/>
        <w:ind w:firstLine="440"/>
        <w:rPr>
          <w:rFonts w:ascii="宋体"/>
        </w:rPr>
      </w:pPr>
      <w:r>
        <w:rPr>
          <w:rFonts w:ascii="宋体"/>
        </w:rPr>
        <w:t>a. 材料试验；</w:t>
      </w:r>
    </w:p>
    <w:p>
      <w:pPr>
        <w:pStyle w:val="1280"/>
        <w:ind w:firstLine="440"/>
        <w:rPr>
          <w:rFonts w:ascii="宋体"/>
        </w:rPr>
      </w:pPr>
      <w:r>
        <w:rPr>
          <w:rFonts w:ascii="宋体"/>
        </w:rPr>
        <w:t>b. 检查证书；</w:t>
      </w:r>
    </w:p>
    <w:p>
      <w:pPr>
        <w:pStyle w:val="1280"/>
        <w:ind w:firstLine="440"/>
        <w:rPr>
          <w:rFonts w:ascii="宋体"/>
        </w:rPr>
      </w:pPr>
      <w:r>
        <w:rPr>
          <w:rFonts w:ascii="宋体"/>
        </w:rPr>
        <w:t>c. 合格证书。</w:t>
      </w:r>
    </w:p>
    <w:p>
      <w:pPr>
        <w:pStyle w:val="1280"/>
        <w:ind w:firstLine="440"/>
        <w:rPr>
          <w:rFonts w:ascii="宋体"/>
        </w:rPr>
      </w:pPr>
      <w:r>
        <w:rPr>
          <w:rFonts w:ascii="宋体"/>
        </w:rPr>
        <w:t>（3）资料</w:t>
      </w:r>
    </w:p>
    <w:p>
      <w:pPr>
        <w:pStyle w:val="1280"/>
        <w:ind w:firstLine="440"/>
        <w:rPr>
          <w:rFonts w:ascii="宋体"/>
        </w:rPr>
      </w:pPr>
      <w:r>
        <w:rPr>
          <w:rFonts w:ascii="宋体"/>
        </w:rPr>
        <w:t>a. 焊接工序说明书</w:t>
      </w:r>
    </w:p>
    <w:p>
      <w:pPr>
        <w:pStyle w:val="1280"/>
        <w:ind w:firstLine="440"/>
        <w:rPr>
          <w:rFonts w:ascii="宋体"/>
        </w:rPr>
      </w:pPr>
      <w:r>
        <w:rPr>
          <w:rFonts w:ascii="宋体"/>
        </w:rPr>
        <w:t>b. 专有固定螺栓的产品样本目录和试验数据</w:t>
      </w:r>
    </w:p>
    <w:p>
      <w:pPr>
        <w:pStyle w:val="1288"/>
        <w:outlineLvl w:val="0"/>
        <w:rPr>
          <w:rFonts w:ascii="宋体" w:hAnsi="宋体"/>
          <w:color w:val="auto"/>
        </w:rPr>
      </w:pPr>
      <w:bookmarkStart w:id="3972" w:name="_Toc106050007"/>
      <w:bookmarkStart w:id="3973" w:name="_Toc106883270"/>
      <w:r>
        <w:rPr>
          <w:rFonts w:hint="eastAsia" w:ascii="宋体" w:hAnsi="宋体"/>
          <w:color w:val="auto"/>
        </w:rPr>
        <w:t>4.2.1</w:t>
      </w:r>
      <w:r>
        <w:rPr>
          <w:rFonts w:ascii="宋体" w:hAnsi="宋体"/>
          <w:color w:val="auto"/>
        </w:rPr>
        <w:t>.4  材料</w:t>
      </w:r>
      <w:bookmarkEnd w:id="3972"/>
      <w:bookmarkEnd w:id="3973"/>
    </w:p>
    <w:p>
      <w:pPr>
        <w:pStyle w:val="1327"/>
        <w:outlineLvl w:val="0"/>
        <w:rPr>
          <w:rFonts w:ascii="宋体"/>
        </w:rPr>
      </w:pPr>
      <w:bookmarkStart w:id="3974" w:name="_Toc106883271"/>
      <w:bookmarkStart w:id="3975" w:name="_Toc106050008"/>
      <w:r>
        <w:rPr>
          <w:rFonts w:hint="eastAsia" w:ascii="宋体"/>
        </w:rPr>
        <w:t>4.2.1</w:t>
      </w:r>
      <w:r>
        <w:rPr>
          <w:rFonts w:ascii="宋体"/>
        </w:rPr>
        <w:t>.4.1  钢结构概述</w:t>
      </w:r>
      <w:bookmarkEnd w:id="3974"/>
      <w:bookmarkEnd w:id="3975"/>
    </w:p>
    <w:p>
      <w:pPr>
        <w:pStyle w:val="1280"/>
        <w:ind w:firstLine="440"/>
        <w:rPr>
          <w:rFonts w:ascii="宋体"/>
        </w:rPr>
      </w:pPr>
      <w:r>
        <w:rPr>
          <w:rFonts w:ascii="宋体"/>
        </w:rPr>
        <w:t>轧制结构钢材应是Q235级低碳钢，符合国标GB700-2006。结构轧钢材的尺寸、公差和性质应符合GB704-88，GB706-88和GB707-88。</w:t>
      </w:r>
    </w:p>
    <w:p>
      <w:pPr>
        <w:pStyle w:val="1327"/>
        <w:outlineLvl w:val="0"/>
        <w:rPr>
          <w:rFonts w:ascii="宋体"/>
        </w:rPr>
      </w:pPr>
      <w:bookmarkStart w:id="3976" w:name="_Toc106050009"/>
      <w:bookmarkStart w:id="3977" w:name="_Toc106883272"/>
      <w:r>
        <w:rPr>
          <w:rFonts w:hint="eastAsia" w:ascii="宋体"/>
        </w:rPr>
        <w:t>4.2.1</w:t>
      </w:r>
      <w:r>
        <w:rPr>
          <w:rFonts w:ascii="宋体"/>
        </w:rPr>
        <w:t>.4.2  螺栓和螺帽</w:t>
      </w:r>
      <w:bookmarkEnd w:id="3976"/>
      <w:bookmarkEnd w:id="3977"/>
    </w:p>
    <w:p>
      <w:pPr>
        <w:pStyle w:val="1280"/>
        <w:ind w:firstLine="440"/>
        <w:rPr>
          <w:rFonts w:ascii="宋体"/>
        </w:rPr>
      </w:pPr>
      <w:r>
        <w:rPr>
          <w:rFonts w:ascii="宋体"/>
        </w:rPr>
        <w:t>钢制螺栓和螺母应是符合GB5782-2016和GB6170-2000的高强度摩擦夹紧螺栓或符合GB5780-2016的粗制螺栓。垫片应符合GB97-85和GB95-85。</w:t>
      </w:r>
    </w:p>
    <w:p>
      <w:pPr>
        <w:pStyle w:val="1280"/>
        <w:ind w:firstLine="440"/>
        <w:rPr>
          <w:rFonts w:ascii="宋体"/>
        </w:rPr>
      </w:pPr>
      <w:r>
        <w:rPr>
          <w:rFonts w:ascii="宋体"/>
        </w:rPr>
        <w:t>高强度摩擦夹紧螺栓应与合格的专有载荷示压垫片一起使用。</w:t>
      </w:r>
    </w:p>
    <w:p>
      <w:pPr>
        <w:pStyle w:val="1280"/>
        <w:ind w:firstLine="440"/>
        <w:rPr>
          <w:rFonts w:ascii="宋体"/>
        </w:rPr>
      </w:pPr>
      <w:r>
        <w:rPr>
          <w:rFonts w:ascii="宋体"/>
        </w:rPr>
        <w:t>所有的粗制螺栓、螺母和垫片及垫板应是镀锌的，在装配好和上紧过后，应按规定予以打底和上漆。</w:t>
      </w:r>
    </w:p>
    <w:p>
      <w:pPr>
        <w:pStyle w:val="1327"/>
        <w:outlineLvl w:val="0"/>
        <w:rPr>
          <w:rFonts w:ascii="宋体"/>
        </w:rPr>
      </w:pPr>
      <w:bookmarkStart w:id="3978" w:name="_Toc106050010"/>
      <w:bookmarkStart w:id="3979" w:name="_Toc106883273"/>
      <w:r>
        <w:rPr>
          <w:rFonts w:hint="eastAsia" w:ascii="宋体"/>
        </w:rPr>
        <w:t>4.2.1</w:t>
      </w:r>
      <w:r>
        <w:rPr>
          <w:rFonts w:ascii="宋体"/>
        </w:rPr>
        <w:t>.4.3  压栓和地脚螺栓</w:t>
      </w:r>
      <w:bookmarkEnd w:id="3978"/>
      <w:bookmarkEnd w:id="3979"/>
    </w:p>
    <w:p>
      <w:pPr>
        <w:pStyle w:val="1280"/>
        <w:ind w:firstLine="440"/>
        <w:rPr>
          <w:rFonts w:ascii="宋体"/>
        </w:rPr>
      </w:pPr>
      <w:r>
        <w:rPr>
          <w:rFonts w:ascii="宋体"/>
        </w:rPr>
        <w:t>在管道、各种井、闸门，水处理构筑物和其它要接触废水、污水和处于腐蚀性的环境中的一切压栓、地脚螺栓、螺母、垫片和垫板应是符合GB1220-2007的不锈钢。在所有其它地方使用的压栓、地脚螺栓、螺母、垫片和垫板应该是镀锌的，打底和上过漆的。</w:t>
      </w:r>
    </w:p>
    <w:p>
      <w:pPr>
        <w:pStyle w:val="1280"/>
        <w:ind w:firstLine="440"/>
        <w:rPr>
          <w:rFonts w:ascii="宋体"/>
        </w:rPr>
      </w:pPr>
      <w:r>
        <w:rPr>
          <w:rFonts w:ascii="宋体"/>
        </w:rPr>
        <w:t>用于混凝土结构上的钻孔固定接头应是经过项目监理代表认可的类型，并只应用于经项目监理代表认可的地方。</w:t>
      </w:r>
    </w:p>
    <w:p>
      <w:pPr>
        <w:pStyle w:val="1280"/>
        <w:ind w:firstLine="440"/>
        <w:rPr>
          <w:rFonts w:ascii="宋体"/>
        </w:rPr>
      </w:pPr>
      <w:r>
        <w:rPr>
          <w:rFonts w:ascii="宋体"/>
        </w:rPr>
        <w:t>固定螺栓专用的粘接材料应按照制造厂商的说明来进行。在安装时，粘接材料应完全充满螺栓与混凝土表面上洞孔之间的空隙。</w:t>
      </w:r>
    </w:p>
    <w:p>
      <w:pPr>
        <w:pStyle w:val="1327"/>
        <w:outlineLvl w:val="0"/>
        <w:rPr>
          <w:rFonts w:ascii="宋体"/>
        </w:rPr>
      </w:pPr>
      <w:bookmarkStart w:id="3980" w:name="_Toc106050011"/>
      <w:bookmarkStart w:id="3981" w:name="_Toc106883274"/>
      <w:r>
        <w:rPr>
          <w:rFonts w:hint="eastAsia" w:ascii="宋体"/>
        </w:rPr>
        <w:t>4.2.1</w:t>
      </w:r>
      <w:r>
        <w:rPr>
          <w:rFonts w:ascii="宋体"/>
        </w:rPr>
        <w:t>.4.4  焊接易耗物</w:t>
      </w:r>
      <w:bookmarkEnd w:id="3980"/>
      <w:bookmarkEnd w:id="3981"/>
    </w:p>
    <w:p>
      <w:pPr>
        <w:pStyle w:val="1280"/>
        <w:ind w:firstLine="440"/>
        <w:rPr>
          <w:rFonts w:ascii="宋体"/>
        </w:rPr>
      </w:pPr>
      <w:r>
        <w:rPr>
          <w:rFonts w:ascii="宋体"/>
        </w:rPr>
        <w:t>所有的焊接易耗物（电螺极，金属丝，焊条，助焊剂，保护气体等）应符合GBS5135的要求。</w:t>
      </w:r>
    </w:p>
    <w:p>
      <w:pPr>
        <w:pStyle w:val="1280"/>
        <w:ind w:firstLine="440"/>
        <w:rPr>
          <w:rFonts w:ascii="宋体"/>
        </w:rPr>
      </w:pPr>
      <w:r>
        <w:rPr>
          <w:rFonts w:ascii="宋体"/>
        </w:rPr>
        <w:t>此外，用于金属电弧焊的电焊极应遵照[BS6391] 并符合相应焊接工序的要求。</w:t>
      </w:r>
    </w:p>
    <w:p>
      <w:pPr>
        <w:pStyle w:val="1288"/>
        <w:outlineLvl w:val="0"/>
        <w:rPr>
          <w:rFonts w:ascii="宋体" w:hAnsi="宋体"/>
          <w:color w:val="auto"/>
        </w:rPr>
      </w:pPr>
      <w:bookmarkStart w:id="3982" w:name="_Toc106050012"/>
      <w:bookmarkStart w:id="3983" w:name="_Toc106883275"/>
      <w:r>
        <w:rPr>
          <w:rFonts w:hint="eastAsia" w:ascii="宋体" w:hAnsi="宋体"/>
          <w:color w:val="auto"/>
        </w:rPr>
        <w:t>4.2.1</w:t>
      </w:r>
      <w:r>
        <w:rPr>
          <w:rFonts w:ascii="宋体" w:hAnsi="宋体"/>
          <w:color w:val="auto"/>
        </w:rPr>
        <w:t>.5  工艺</w:t>
      </w:r>
      <w:bookmarkEnd w:id="3982"/>
      <w:bookmarkEnd w:id="3983"/>
    </w:p>
    <w:p>
      <w:pPr>
        <w:pStyle w:val="1327"/>
        <w:outlineLvl w:val="0"/>
        <w:rPr>
          <w:rFonts w:ascii="宋体"/>
        </w:rPr>
      </w:pPr>
      <w:bookmarkStart w:id="3984" w:name="_Toc106050013"/>
      <w:bookmarkStart w:id="3985" w:name="_Toc106883276"/>
      <w:r>
        <w:rPr>
          <w:rFonts w:hint="eastAsia" w:ascii="宋体"/>
        </w:rPr>
        <w:t>4.2.1</w:t>
      </w:r>
      <w:r>
        <w:rPr>
          <w:rFonts w:ascii="宋体"/>
        </w:rPr>
        <w:t>.5.1  细部设计</w:t>
      </w:r>
      <w:bookmarkEnd w:id="3984"/>
      <w:bookmarkEnd w:id="3985"/>
    </w:p>
    <w:p>
      <w:pPr>
        <w:pStyle w:val="1280"/>
        <w:ind w:firstLine="440"/>
        <w:rPr>
          <w:rFonts w:ascii="宋体"/>
        </w:rPr>
      </w:pPr>
      <w:r>
        <w:rPr>
          <w:rFonts w:ascii="宋体"/>
        </w:rPr>
        <w:t>制作钢结构应使现场焊接工作量达最低限量。诸如桁架，组合架和梁这样的结构件和组件应在工厂内加工，并以使局部装配的最大实际尺寸适合于运输、操作、安装。</w:t>
      </w:r>
    </w:p>
    <w:p>
      <w:pPr>
        <w:pStyle w:val="1280"/>
        <w:ind w:firstLine="440"/>
        <w:rPr>
          <w:rFonts w:ascii="宋体"/>
        </w:rPr>
      </w:pPr>
      <w:r>
        <w:rPr>
          <w:rFonts w:ascii="宋体"/>
        </w:rPr>
        <w:t>钢结构制作尽量避免形成易冷凝物，水和污物的凹处。在这样的凹处不可避免时，应提供适当的排水沟。</w:t>
      </w:r>
    </w:p>
    <w:p>
      <w:pPr>
        <w:pStyle w:val="1327"/>
        <w:outlineLvl w:val="0"/>
        <w:rPr>
          <w:rFonts w:ascii="宋体"/>
        </w:rPr>
      </w:pPr>
      <w:bookmarkStart w:id="3986" w:name="_Toc106050014"/>
      <w:bookmarkStart w:id="3987" w:name="_Toc106883277"/>
      <w:r>
        <w:rPr>
          <w:rFonts w:hint="eastAsia" w:ascii="宋体"/>
        </w:rPr>
        <w:t>4.2.1</w:t>
      </w:r>
      <w:r>
        <w:rPr>
          <w:rFonts w:ascii="宋体"/>
        </w:rPr>
        <w:t>.5.2  详图和焊接工序</w:t>
      </w:r>
      <w:bookmarkEnd w:id="3986"/>
      <w:bookmarkEnd w:id="3987"/>
    </w:p>
    <w:p>
      <w:pPr>
        <w:pStyle w:val="1280"/>
        <w:ind w:firstLine="440"/>
        <w:rPr>
          <w:rFonts w:ascii="宋体"/>
        </w:rPr>
      </w:pPr>
      <w:r>
        <w:rPr>
          <w:rFonts w:ascii="宋体"/>
        </w:rPr>
        <w:t>承包人应准备所有钢结构的详细装配、安装图及焊接工序表，并在开始制作前将它们递交项目监理审核。递交的顺序应与制作和安装的次序相配。</w:t>
      </w:r>
    </w:p>
    <w:p>
      <w:pPr>
        <w:pStyle w:val="1280"/>
        <w:ind w:firstLine="440"/>
        <w:rPr>
          <w:rFonts w:ascii="宋体"/>
        </w:rPr>
      </w:pPr>
      <w:r>
        <w:rPr>
          <w:rFonts w:ascii="宋体"/>
        </w:rPr>
        <w:t>制造件的装配图应说明下列详细情况：钢的类型，构件的规格和尺寸，焊接详图，焊接顺序和消除焊接应力的一切要求。</w:t>
      </w:r>
    </w:p>
    <w:p>
      <w:pPr>
        <w:pStyle w:val="1280"/>
        <w:ind w:firstLine="440"/>
        <w:rPr>
          <w:rFonts w:ascii="宋体"/>
        </w:rPr>
      </w:pPr>
      <w:r>
        <w:rPr>
          <w:rFonts w:ascii="宋体"/>
        </w:rPr>
        <w:t>焊接工序表应说明焊接件的一切详细情况，包括：</w:t>
      </w:r>
    </w:p>
    <w:p>
      <w:pPr>
        <w:pStyle w:val="1280"/>
        <w:ind w:firstLine="440"/>
        <w:rPr>
          <w:rFonts w:ascii="宋体"/>
        </w:rPr>
      </w:pPr>
      <w:r>
        <w:rPr>
          <w:rFonts w:ascii="宋体"/>
        </w:rPr>
        <w:t>（1）焊接方法；</w:t>
      </w:r>
    </w:p>
    <w:p>
      <w:pPr>
        <w:pStyle w:val="1280"/>
        <w:ind w:firstLine="440"/>
        <w:rPr>
          <w:rFonts w:ascii="宋体"/>
        </w:rPr>
      </w:pPr>
      <w:r>
        <w:rPr>
          <w:rFonts w:ascii="宋体"/>
        </w:rPr>
        <w:t>（2）电流种类，电压和电流值；</w:t>
      </w:r>
    </w:p>
    <w:p>
      <w:pPr>
        <w:pStyle w:val="1280"/>
        <w:ind w:firstLine="440"/>
        <w:rPr>
          <w:rFonts w:ascii="宋体"/>
        </w:rPr>
      </w:pPr>
      <w:r>
        <w:rPr>
          <w:rFonts w:ascii="宋体"/>
        </w:rPr>
        <w:t>（3）加工角度和方法；</w:t>
      </w:r>
    </w:p>
    <w:p>
      <w:pPr>
        <w:pStyle w:val="1280"/>
        <w:ind w:firstLine="440"/>
        <w:rPr>
          <w:rFonts w:ascii="宋体"/>
        </w:rPr>
      </w:pPr>
      <w:r>
        <w:rPr>
          <w:rFonts w:ascii="宋体"/>
        </w:rPr>
        <w:t>（4）焊缝数及焊接位置；</w:t>
      </w:r>
    </w:p>
    <w:p>
      <w:pPr>
        <w:pStyle w:val="1280"/>
        <w:ind w:firstLine="440"/>
        <w:rPr>
          <w:rFonts w:ascii="宋体"/>
        </w:rPr>
      </w:pPr>
      <w:r>
        <w:rPr>
          <w:rFonts w:ascii="宋体"/>
        </w:rPr>
        <w:t>（5）电焊极的类型、尺寸和等级；</w:t>
      </w:r>
    </w:p>
    <w:p>
      <w:pPr>
        <w:pStyle w:val="1280"/>
        <w:ind w:firstLine="440"/>
        <w:rPr>
          <w:rFonts w:ascii="宋体"/>
        </w:rPr>
      </w:pPr>
      <w:r>
        <w:rPr>
          <w:rFonts w:ascii="宋体"/>
        </w:rPr>
        <w:t>（6）防护气体类型和流速（在适用的地方）；</w:t>
      </w:r>
    </w:p>
    <w:p>
      <w:pPr>
        <w:pStyle w:val="1280"/>
        <w:ind w:firstLine="440"/>
        <w:rPr>
          <w:rFonts w:ascii="宋体"/>
        </w:rPr>
      </w:pPr>
      <w:r>
        <w:rPr>
          <w:rFonts w:ascii="宋体"/>
        </w:rPr>
        <w:t>（7）非破坏性试验方法和恢复程度；</w:t>
      </w:r>
    </w:p>
    <w:p>
      <w:pPr>
        <w:pStyle w:val="1280"/>
        <w:ind w:firstLine="440"/>
        <w:rPr>
          <w:rFonts w:ascii="宋体"/>
        </w:rPr>
      </w:pPr>
      <w:r>
        <w:rPr>
          <w:rFonts w:ascii="宋体"/>
        </w:rPr>
        <w:t>（8）预热，后热和应力释放方法，温度等等。</w:t>
      </w:r>
    </w:p>
    <w:p>
      <w:pPr>
        <w:pStyle w:val="1280"/>
        <w:ind w:firstLine="440"/>
        <w:rPr>
          <w:rFonts w:ascii="宋体"/>
        </w:rPr>
      </w:pPr>
      <w:r>
        <w:rPr>
          <w:rFonts w:ascii="宋体"/>
        </w:rPr>
        <w:t>承包人在建议替换结构钢型或修改详细设计时，应准备好已修正的图纸，待项目监理批准。</w:t>
      </w:r>
    </w:p>
    <w:p>
      <w:pPr>
        <w:pStyle w:val="1280"/>
        <w:ind w:firstLine="440"/>
        <w:rPr>
          <w:rFonts w:ascii="宋体"/>
        </w:rPr>
      </w:pPr>
      <w:r>
        <w:rPr>
          <w:rFonts w:ascii="宋体"/>
        </w:rPr>
        <w:t>安装图应详述所有的连接，螺栓类型和尺寸，以及所有的现场焊接详图（如果适用的话）。</w:t>
      </w:r>
    </w:p>
    <w:p>
      <w:pPr>
        <w:pStyle w:val="1280"/>
        <w:ind w:firstLine="440"/>
        <w:rPr>
          <w:rFonts w:ascii="宋体"/>
        </w:rPr>
      </w:pPr>
      <w:r>
        <w:rPr>
          <w:rFonts w:ascii="宋体"/>
        </w:rPr>
        <w:t>装配和安装图应标出安装所必需的一切标记，图上所示标记应与制造物上所示的标记相同。</w:t>
      </w:r>
    </w:p>
    <w:p>
      <w:pPr>
        <w:pStyle w:val="1327"/>
        <w:outlineLvl w:val="0"/>
        <w:rPr>
          <w:rFonts w:ascii="宋体"/>
        </w:rPr>
      </w:pPr>
      <w:bookmarkStart w:id="3988" w:name="_Toc106050015"/>
      <w:bookmarkStart w:id="3989" w:name="_Toc106883278"/>
      <w:r>
        <w:rPr>
          <w:rFonts w:hint="eastAsia" w:ascii="宋体"/>
        </w:rPr>
        <w:t>4.2.1</w:t>
      </w:r>
      <w:r>
        <w:rPr>
          <w:rFonts w:ascii="宋体"/>
        </w:rPr>
        <w:t>.5.3  焊接</w:t>
      </w:r>
      <w:bookmarkEnd w:id="3988"/>
      <w:bookmarkEnd w:id="3989"/>
    </w:p>
    <w:p>
      <w:pPr>
        <w:pStyle w:val="1280"/>
        <w:ind w:firstLine="440"/>
        <w:rPr>
          <w:rFonts w:ascii="宋体"/>
        </w:rPr>
      </w:pPr>
      <w:r>
        <w:rPr>
          <w:rFonts w:ascii="宋体"/>
        </w:rPr>
        <w:t>在工厂内制造和现场安装期间进行的一切焊接工作应按GB50205-2001的要求和已认可的详图上所示的进行。 拟定的焊接程序细节应与详图同时送交项目监理代表待批。所有的连接处都应焊接得外表整齐平滑适于上涂料。焊渣均应去除，任何尖突处应磨平。</w:t>
      </w:r>
    </w:p>
    <w:p>
      <w:pPr>
        <w:pStyle w:val="1280"/>
        <w:ind w:firstLine="440"/>
        <w:rPr>
          <w:rFonts w:ascii="宋体"/>
        </w:rPr>
      </w:pPr>
      <w:r>
        <w:rPr>
          <w:rFonts w:ascii="宋体"/>
        </w:rPr>
        <w:t>无论在制造车间还是在现场，开始焊接之前，在有项目监理指导的情况下，均应按GB2649-2656-81进行焊接程序试验。</w:t>
      </w:r>
    </w:p>
    <w:p>
      <w:pPr>
        <w:pStyle w:val="1280"/>
        <w:ind w:firstLine="440"/>
        <w:rPr>
          <w:rFonts w:ascii="宋体"/>
        </w:rPr>
      </w:pPr>
      <w:r>
        <w:rPr>
          <w:rFonts w:ascii="宋体"/>
        </w:rPr>
        <w:t>无论在制造车间还是在现场雇用的电焊工，均应通过与GB50205-2001一致的关于焊接程序的资格考试。如果受雇于合同的任何电焊工的工作不能令人满意，承包人应作进一步的这种电焊工资格考试，这是证明电焊工的熟练程度所必需的。</w:t>
      </w:r>
    </w:p>
    <w:p>
      <w:pPr>
        <w:pStyle w:val="1280"/>
        <w:ind w:firstLine="440"/>
        <w:rPr>
          <w:rFonts w:ascii="宋体"/>
        </w:rPr>
      </w:pPr>
      <w:r>
        <w:rPr>
          <w:rFonts w:ascii="宋体"/>
        </w:rPr>
        <w:t>项目监理可安排由独立的试验实验室根据焊接的类型及其在结构中的位置用X射线方法对焊接作非破坏性试验。除非另经项目监理批准，否则这些试验均应按照JB928-67的要求进行。</w:t>
      </w:r>
    </w:p>
    <w:p>
      <w:pPr>
        <w:pStyle w:val="1280"/>
        <w:ind w:firstLine="440"/>
        <w:rPr>
          <w:rFonts w:ascii="宋体"/>
        </w:rPr>
      </w:pPr>
      <w:r>
        <w:rPr>
          <w:rFonts w:ascii="宋体"/>
        </w:rPr>
        <w:t>如有任何工件由于某种原因不符合认可的图纸或技术规范的要求而出现缺陷或不成功，应进行补救或放弃不用，即使是由合格的电焊工用认可的程序进行的，也应如此。</w:t>
      </w:r>
    </w:p>
    <w:p>
      <w:pPr>
        <w:pStyle w:val="1327"/>
        <w:outlineLvl w:val="0"/>
        <w:rPr>
          <w:rFonts w:ascii="宋体"/>
        </w:rPr>
      </w:pPr>
      <w:bookmarkStart w:id="3990" w:name="_Toc106050016"/>
      <w:bookmarkStart w:id="3991" w:name="_Toc106883279"/>
      <w:r>
        <w:rPr>
          <w:rFonts w:hint="eastAsia" w:ascii="宋体"/>
        </w:rPr>
        <w:t>4.2.1</w:t>
      </w:r>
      <w:r>
        <w:rPr>
          <w:rFonts w:ascii="宋体"/>
        </w:rPr>
        <w:t>.5.4  制作公差</w:t>
      </w:r>
      <w:bookmarkEnd w:id="3990"/>
      <w:bookmarkEnd w:id="3991"/>
    </w:p>
    <w:p>
      <w:pPr>
        <w:pStyle w:val="1280"/>
        <w:ind w:firstLine="440"/>
        <w:rPr>
          <w:rFonts w:ascii="宋体"/>
        </w:rPr>
      </w:pPr>
      <w:r>
        <w:rPr>
          <w:rFonts w:ascii="宋体"/>
        </w:rPr>
        <w:t>制件所有尺寸的一般公差应为±2mm。装配孔应对齐以保证紧固零件能以垂直于连结面的角度轻易地穿过构件。如有不对齐的孔，则会损坏构件，如项目监理代表不允许扩孔，则应作废品。任何结构组件在平直度或规定形状上的偏差不得超过：</w:t>
      </w:r>
    </w:p>
    <w:p>
      <w:pPr>
        <w:pStyle w:val="1280"/>
        <w:ind w:firstLine="440"/>
        <w:rPr>
          <w:rFonts w:ascii="宋体"/>
        </w:rPr>
      </w:pPr>
      <w:r>
        <w:rPr>
          <w:rFonts w:ascii="宋体"/>
        </w:rPr>
        <w:t>抗压构件及梁的侧向约束长度的1/1000；</w:t>
      </w:r>
    </w:p>
    <w:p>
      <w:pPr>
        <w:pStyle w:val="1280"/>
        <w:ind w:firstLine="440"/>
        <w:rPr>
          <w:rFonts w:ascii="宋体"/>
        </w:rPr>
      </w:pPr>
      <w:r>
        <w:rPr>
          <w:rFonts w:ascii="宋体"/>
        </w:rPr>
        <w:t>其他组件全长的1/500，但不能大于25mm。</w:t>
      </w:r>
    </w:p>
    <w:p>
      <w:pPr>
        <w:pStyle w:val="1280"/>
        <w:ind w:firstLine="440"/>
        <w:rPr>
          <w:rFonts w:ascii="宋体"/>
        </w:rPr>
      </w:pPr>
      <w:r>
        <w:rPr>
          <w:rFonts w:ascii="宋体"/>
        </w:rPr>
        <w:t>任何结构组件与设计长度的偏差不得超过：</w:t>
      </w:r>
    </w:p>
    <w:p>
      <w:pPr>
        <w:pStyle w:val="1280"/>
        <w:ind w:firstLine="440"/>
        <w:rPr>
          <w:rFonts w:ascii="宋体"/>
        </w:rPr>
      </w:pPr>
      <w:r>
        <w:rPr>
          <w:rFonts w:ascii="宋体"/>
        </w:rPr>
        <w:t>两端削平用以支承的抗压构件±1mm；或其他构件+0mm至-4mm。</w:t>
      </w:r>
    </w:p>
    <w:p>
      <w:pPr>
        <w:pStyle w:val="1280"/>
        <w:ind w:firstLine="440"/>
        <w:rPr>
          <w:rFonts w:ascii="宋体"/>
        </w:rPr>
      </w:pPr>
      <w:r>
        <w:rPr>
          <w:rFonts w:ascii="宋体"/>
        </w:rPr>
        <w:t>各组件长度的累积误差不得影响已装件的正确对齐。</w:t>
      </w:r>
    </w:p>
    <w:p>
      <w:pPr>
        <w:pStyle w:val="1280"/>
        <w:ind w:firstLine="440"/>
        <w:rPr>
          <w:rFonts w:ascii="宋体"/>
        </w:rPr>
      </w:pPr>
      <w:r>
        <w:rPr>
          <w:rFonts w:ascii="宋体"/>
        </w:rPr>
        <w:t>在要求两个钢表面相接以支承或作摩擦接触处，表面在无任何夹紧力时的接触面不得小于90％。</w:t>
      </w:r>
    </w:p>
    <w:p>
      <w:pPr>
        <w:pStyle w:val="1327"/>
        <w:outlineLvl w:val="0"/>
        <w:rPr>
          <w:rFonts w:ascii="宋体"/>
        </w:rPr>
      </w:pPr>
      <w:bookmarkStart w:id="3992" w:name="_Toc106050017"/>
      <w:bookmarkStart w:id="3993" w:name="_Toc106883280"/>
      <w:r>
        <w:rPr>
          <w:rFonts w:hint="eastAsia" w:ascii="宋体"/>
        </w:rPr>
        <w:t>4.2.1</w:t>
      </w:r>
      <w:r>
        <w:rPr>
          <w:rFonts w:ascii="宋体"/>
        </w:rPr>
        <w:t>.5.5  不同种金属</w:t>
      </w:r>
      <w:bookmarkEnd w:id="3992"/>
      <w:bookmarkEnd w:id="3993"/>
    </w:p>
    <w:p>
      <w:pPr>
        <w:pStyle w:val="1280"/>
        <w:ind w:firstLine="440"/>
        <w:rPr>
          <w:rFonts w:ascii="宋体"/>
        </w:rPr>
      </w:pPr>
      <w:r>
        <w:rPr>
          <w:rFonts w:ascii="宋体"/>
        </w:rPr>
        <w:t>不同种金属相接触易产生电池电流作用，应尽量避免采用。</w:t>
      </w:r>
    </w:p>
    <w:p>
      <w:pPr>
        <w:pStyle w:val="1280"/>
        <w:ind w:firstLine="440"/>
        <w:rPr>
          <w:rFonts w:ascii="宋体"/>
        </w:rPr>
      </w:pPr>
      <w:r>
        <w:rPr>
          <w:rFonts w:ascii="宋体"/>
        </w:rPr>
        <w:t>低碳钢镀锌后表面将与铝或铝合金接触应视为符合要求。</w:t>
      </w:r>
    </w:p>
    <w:p>
      <w:pPr>
        <w:pStyle w:val="1280"/>
        <w:ind w:firstLine="440"/>
        <w:rPr>
          <w:rFonts w:ascii="宋体"/>
        </w:rPr>
      </w:pPr>
      <w:r>
        <w:rPr>
          <w:rFonts w:ascii="宋体"/>
        </w:rPr>
        <w:t>在钢结构上装配铝制件的螺栓、螺帽、垫圈及螺钉应镀锌或镀镉。</w:t>
      </w:r>
    </w:p>
    <w:p>
      <w:pPr>
        <w:pStyle w:val="1280"/>
        <w:ind w:firstLine="440"/>
        <w:rPr>
          <w:rFonts w:ascii="宋体"/>
        </w:rPr>
      </w:pPr>
      <w:r>
        <w:rPr>
          <w:rFonts w:ascii="宋体"/>
        </w:rPr>
        <w:t>应注意确保可能被使用的镀锌零件不成为主结构的蚀耗阳极。</w:t>
      </w:r>
    </w:p>
    <w:p>
      <w:pPr>
        <w:pStyle w:val="1280"/>
        <w:ind w:firstLine="440"/>
        <w:rPr>
          <w:rFonts w:ascii="宋体"/>
        </w:rPr>
      </w:pPr>
      <w:r>
        <w:rPr>
          <w:rFonts w:ascii="宋体"/>
        </w:rPr>
        <w:t>如两构件电位差大于250mv处，零件应由足够强度的绝缘介质与主结构隔离。</w:t>
      </w:r>
    </w:p>
    <w:p>
      <w:pPr>
        <w:pStyle w:val="1327"/>
        <w:outlineLvl w:val="0"/>
        <w:rPr>
          <w:rFonts w:ascii="宋体"/>
        </w:rPr>
      </w:pPr>
      <w:bookmarkStart w:id="3994" w:name="_Toc106050018"/>
      <w:bookmarkStart w:id="3995" w:name="_Toc106883281"/>
      <w:r>
        <w:rPr>
          <w:rFonts w:hint="eastAsia" w:ascii="宋体"/>
        </w:rPr>
        <w:t>4.2.1</w:t>
      </w:r>
      <w:r>
        <w:rPr>
          <w:rFonts w:ascii="宋体"/>
        </w:rPr>
        <w:t>.5.6  组件标号</w:t>
      </w:r>
      <w:bookmarkEnd w:id="3994"/>
      <w:bookmarkEnd w:id="3995"/>
    </w:p>
    <w:p>
      <w:pPr>
        <w:pStyle w:val="1280"/>
        <w:ind w:firstLine="440"/>
        <w:rPr>
          <w:rFonts w:ascii="宋体"/>
        </w:rPr>
      </w:pPr>
      <w:r>
        <w:rPr>
          <w:rFonts w:ascii="宋体"/>
        </w:rPr>
        <w:t>所有安装组件应按已认可的图纸或零件单规定在工厂用区别数码、字母或符号作上标记。如系涂料前就打好的标记，则要求涂料后仍清晰可见。应该注意使工地安装用的临时螺栓容易区别于作永久连接用的高强度螺栓。</w:t>
      </w:r>
    </w:p>
    <w:p>
      <w:pPr>
        <w:pStyle w:val="1327"/>
        <w:outlineLvl w:val="0"/>
        <w:rPr>
          <w:rFonts w:ascii="宋体"/>
        </w:rPr>
      </w:pPr>
      <w:bookmarkStart w:id="3996" w:name="_Toc106050019"/>
      <w:bookmarkStart w:id="3997" w:name="_Toc106883282"/>
      <w:r>
        <w:rPr>
          <w:rFonts w:hint="eastAsia" w:ascii="宋体"/>
        </w:rPr>
        <w:t>4.2.1</w:t>
      </w:r>
      <w:r>
        <w:rPr>
          <w:rFonts w:ascii="宋体"/>
        </w:rPr>
        <w:t>.5.7  贮存</w:t>
      </w:r>
      <w:bookmarkEnd w:id="3996"/>
      <w:bookmarkEnd w:id="3997"/>
    </w:p>
    <w:p>
      <w:pPr>
        <w:pStyle w:val="1280"/>
        <w:ind w:firstLine="440"/>
        <w:rPr>
          <w:rFonts w:ascii="宋体"/>
        </w:rPr>
      </w:pPr>
      <w:r>
        <w:rPr>
          <w:rFonts w:ascii="宋体"/>
        </w:rPr>
        <w:t>一切结构元件及其他材料（无论在制作地或施工地）都不得直接与地面接触并防止任何因素造成的毁坏。</w:t>
      </w:r>
    </w:p>
    <w:p>
      <w:pPr>
        <w:pStyle w:val="1280"/>
        <w:ind w:firstLine="440"/>
        <w:rPr>
          <w:rFonts w:ascii="宋体"/>
        </w:rPr>
      </w:pPr>
      <w:r>
        <w:rPr>
          <w:rFonts w:ascii="宋体"/>
        </w:rPr>
        <w:t>任何在运输或作业中损坏的镀锌或热浸锌表面应立即通过清洗、刷锈及涂富锌底漆予以修复。</w:t>
      </w:r>
    </w:p>
    <w:p>
      <w:pPr>
        <w:pStyle w:val="1280"/>
        <w:ind w:firstLine="440"/>
        <w:rPr>
          <w:rFonts w:ascii="宋体"/>
        </w:rPr>
      </w:pPr>
      <w:r>
        <w:rPr>
          <w:rFonts w:ascii="宋体"/>
        </w:rPr>
        <w:t>任何在运输或作业中底漆损坏的表面应立即通过清洗刷锈及重涂底漆予以修复。重涂底漆应采用来自同一制造商的相同底漆作为原底漆。</w:t>
      </w:r>
    </w:p>
    <w:p>
      <w:pPr>
        <w:pStyle w:val="1327"/>
        <w:outlineLvl w:val="0"/>
        <w:rPr>
          <w:rFonts w:ascii="宋体"/>
        </w:rPr>
      </w:pPr>
      <w:bookmarkStart w:id="3998" w:name="_Toc106050020"/>
      <w:bookmarkStart w:id="3999" w:name="_Toc106883283"/>
      <w:r>
        <w:rPr>
          <w:rFonts w:hint="eastAsia" w:ascii="宋体"/>
        </w:rPr>
        <w:t>4.2.1</w:t>
      </w:r>
      <w:r>
        <w:rPr>
          <w:rFonts w:ascii="宋体"/>
        </w:rPr>
        <w:t>.5.8  安装</w:t>
      </w:r>
      <w:bookmarkEnd w:id="3998"/>
      <w:bookmarkEnd w:id="3999"/>
    </w:p>
    <w:p>
      <w:pPr>
        <w:pStyle w:val="1280"/>
        <w:ind w:firstLine="440"/>
        <w:rPr>
          <w:rFonts w:ascii="宋体"/>
        </w:rPr>
      </w:pPr>
      <w:r>
        <w:rPr>
          <w:rFonts w:ascii="宋体"/>
        </w:rPr>
        <w:t>安装施工须符合GB50205-2001的规定或经项目监理代表认可。同时应使用合适及安全的设备进行作业与安装。承包人应提供、维修及施工结束后撤去安装中钢构件时为工人及材料所采取的临时保护设施，并设置步行道及梯子以保证对已装结构各部的检验能安全进行。</w:t>
      </w:r>
    </w:p>
    <w:p>
      <w:pPr>
        <w:pStyle w:val="1280"/>
        <w:ind w:firstLine="440"/>
        <w:rPr>
          <w:rFonts w:ascii="宋体"/>
        </w:rPr>
      </w:pPr>
      <w:r>
        <w:rPr>
          <w:rFonts w:ascii="宋体"/>
        </w:rPr>
        <w:t>地脚螺栓应使用模板或其他经认可的方式正确安置，螺栓固定后应留有足够时间以容许混凝土强度的提高，最后拆除垫隙片并灌浆。</w:t>
      </w:r>
    </w:p>
    <w:p>
      <w:pPr>
        <w:pStyle w:val="1280"/>
        <w:ind w:firstLine="440"/>
        <w:rPr>
          <w:rFonts w:ascii="宋体"/>
        </w:rPr>
      </w:pPr>
      <w:r>
        <w:rPr>
          <w:rFonts w:ascii="宋体"/>
        </w:rPr>
        <w:t>所有钢构件应按认可图纸规定位置精确安装，最大公差为±5mm，但在钢构件支承铺面处，完工时相邻铺面节段间及铺面节段与相邻建筑物接面之间的水平误差不得超过3mm，铺面节段间隙不得超过3mm。</w:t>
      </w:r>
    </w:p>
    <w:p>
      <w:pPr>
        <w:pStyle w:val="1280"/>
        <w:ind w:firstLine="440"/>
        <w:rPr>
          <w:rFonts w:ascii="宋体"/>
        </w:rPr>
      </w:pPr>
      <w:r>
        <w:rPr>
          <w:rFonts w:ascii="宋体"/>
        </w:rPr>
        <w:t>构件在安装时应用螺栓或其他方式固定，必要时可临时拉紧，以应付安装时出现的各种应力和情况，包括由安装设备及其操作引起的情况。螺栓的永久性连接应在精确对齐后进行。</w:t>
      </w:r>
    </w:p>
    <w:p>
      <w:pPr>
        <w:pStyle w:val="1280"/>
        <w:ind w:firstLine="440"/>
        <w:rPr>
          <w:rFonts w:ascii="宋体"/>
        </w:rPr>
      </w:pPr>
      <w:r>
        <w:rPr>
          <w:rFonts w:ascii="宋体"/>
        </w:rPr>
        <w:t>受损表面及安装用的临时孔洞在安装完毕后应立即按上述条款规定予以修复。</w:t>
      </w:r>
    </w:p>
    <w:p>
      <w:pPr>
        <w:pStyle w:val="1280"/>
        <w:ind w:firstLine="440"/>
        <w:rPr>
          <w:rFonts w:ascii="宋体"/>
        </w:rPr>
      </w:pPr>
      <w:r>
        <w:rPr>
          <w:rFonts w:ascii="宋体"/>
        </w:rPr>
        <w:t>构件在工厂制作中出现差错或在作业和运输时产生影响零件合格装配的形变，承包人应立即报告项目监理代表。在采取纠正措施前，承包人应与项目监理就如何纠正这类差错及形变达成协议。</w:t>
      </w:r>
    </w:p>
    <w:p>
      <w:pPr>
        <w:pStyle w:val="1280"/>
        <w:ind w:firstLine="440"/>
        <w:rPr>
          <w:rFonts w:ascii="宋体"/>
        </w:rPr>
      </w:pPr>
      <w:r>
        <w:rPr>
          <w:rFonts w:ascii="宋体"/>
        </w:rPr>
        <w:t>承包人可使用尖冲钉连接各部件，但因此造成金属制件变形或损坏，则禁止使用。</w:t>
      </w:r>
    </w:p>
    <w:p>
      <w:pPr>
        <w:pStyle w:val="1327"/>
        <w:outlineLvl w:val="0"/>
        <w:rPr>
          <w:rFonts w:ascii="宋体"/>
        </w:rPr>
      </w:pPr>
      <w:bookmarkStart w:id="4000" w:name="_Toc106050021"/>
      <w:bookmarkStart w:id="4001" w:name="_Toc106883284"/>
      <w:r>
        <w:rPr>
          <w:rFonts w:hint="eastAsia" w:ascii="宋体"/>
        </w:rPr>
        <w:t>4.2.1</w:t>
      </w:r>
      <w:r>
        <w:rPr>
          <w:rFonts w:ascii="宋体"/>
        </w:rPr>
        <w:t>.5.9  螺栓连接</w:t>
      </w:r>
      <w:bookmarkEnd w:id="4000"/>
      <w:bookmarkEnd w:id="4001"/>
    </w:p>
    <w:p>
      <w:pPr>
        <w:pStyle w:val="1280"/>
        <w:ind w:firstLine="440"/>
        <w:rPr>
          <w:rFonts w:ascii="宋体"/>
        </w:rPr>
      </w:pPr>
      <w:r>
        <w:rPr>
          <w:rFonts w:ascii="宋体"/>
        </w:rPr>
        <w:t>安装完毕后，所有接合面包括那些与螺栓头、螺帽和垫圈相接的接合面均不应有毛口、污物、有害物质和疵点以保证部件处于适当的位置。承包人应根据装配安装图上的细节和GB700-2006进行螺栓连接。</w:t>
      </w:r>
    </w:p>
    <w:p>
      <w:pPr>
        <w:pStyle w:val="1280"/>
        <w:ind w:firstLine="440"/>
        <w:rPr>
          <w:rFonts w:ascii="宋体"/>
        </w:rPr>
      </w:pPr>
      <w:r>
        <w:rPr>
          <w:rFonts w:ascii="宋体"/>
        </w:rPr>
        <w:t>可用GB5782-2016，GB41-2016和GB47-76规定的高强度磨擦夹紧螺栓，也可如已认可的图纸上详细说明的那样，用GB5780-2016和GB41-2016规定的低碳钢粗制螺栓。在必要的地方，垫圈应弄成锥形或者其它适当的形状使得螺帽和螺栓头能成功发挥作用。</w:t>
      </w:r>
    </w:p>
    <w:p>
      <w:pPr>
        <w:pStyle w:val="1280"/>
        <w:ind w:firstLine="440"/>
        <w:rPr>
          <w:rFonts w:ascii="宋体"/>
        </w:rPr>
      </w:pPr>
      <w:r>
        <w:rPr>
          <w:rFonts w:ascii="宋体"/>
        </w:rPr>
        <w:t>所有螺栓的长度都应是：装上螺帽拧紧后，螺纹部分应拧满该螺帽，拧出部分又不能超过该螺帽直径的一半。</w:t>
      </w:r>
    </w:p>
    <w:p>
      <w:pPr>
        <w:pStyle w:val="1280"/>
        <w:ind w:firstLine="440"/>
        <w:rPr>
          <w:rFonts w:ascii="宋体"/>
        </w:rPr>
      </w:pPr>
      <w:r>
        <w:rPr>
          <w:rFonts w:ascii="宋体"/>
        </w:rPr>
        <w:t>承包人应确保接触表面（即：那些和高强度夹紧螺栓一起传递磨擦力的表面）不被油脂、铁锈、水分、尘土及诸如此类的东西弄脏。</w:t>
      </w:r>
    </w:p>
    <w:p>
      <w:pPr>
        <w:pStyle w:val="1280"/>
        <w:ind w:firstLine="440"/>
        <w:rPr>
          <w:rFonts w:ascii="宋体"/>
        </w:rPr>
      </w:pPr>
      <w:r>
        <w:rPr>
          <w:rFonts w:ascii="宋体"/>
        </w:rPr>
        <w:t>假如表面被弄脏，应采取适当方法把脏物去掉，如：</w:t>
      </w:r>
    </w:p>
    <w:p>
      <w:pPr>
        <w:pStyle w:val="1280"/>
        <w:ind w:firstLine="440"/>
        <w:rPr>
          <w:rFonts w:ascii="宋体"/>
        </w:rPr>
      </w:pPr>
      <w:r>
        <w:rPr>
          <w:rFonts w:ascii="宋体"/>
        </w:rPr>
        <w:t>在上过涂料的表面，用脱油脂除之，然后再洗净擦干；</w:t>
      </w:r>
    </w:p>
    <w:p>
      <w:pPr>
        <w:pStyle w:val="1280"/>
        <w:ind w:firstLine="440"/>
        <w:rPr>
          <w:rFonts w:ascii="宋体"/>
        </w:rPr>
      </w:pPr>
      <w:r>
        <w:rPr>
          <w:rFonts w:ascii="宋体"/>
        </w:rPr>
        <w:t>在没有上过涂料的表面，则用相同的方法，也可用喷砂清理或用钢丝刷清理来弄干净钢材。</w:t>
      </w:r>
    </w:p>
    <w:p>
      <w:pPr>
        <w:pStyle w:val="1280"/>
        <w:ind w:firstLine="440"/>
        <w:rPr>
          <w:rFonts w:ascii="宋体"/>
        </w:rPr>
      </w:pPr>
      <w:r>
        <w:rPr>
          <w:rFonts w:ascii="宋体"/>
        </w:rPr>
        <w:t>这些补救的办法应在表面拧紧之前立即进行。</w:t>
      </w:r>
    </w:p>
    <w:p>
      <w:pPr>
        <w:pStyle w:val="1280"/>
        <w:ind w:firstLine="440"/>
        <w:rPr>
          <w:rFonts w:ascii="宋体"/>
        </w:rPr>
      </w:pPr>
      <w:r>
        <w:rPr>
          <w:rFonts w:ascii="宋体"/>
        </w:rPr>
        <w:t>应根据GB5782-2016和GB6170-2000使用高强度磨擦夹紧螺栓，用获准的载荷指示垫圈来检查螺栓的张力。拧紧工作应根据厂商说明书进行，而且应在第一次拧紧后的三小时后再检查一次螺栓的张力。然后再将螺栓拧至设计载荷，这一切均应得到项目监理的批准。</w:t>
      </w:r>
    </w:p>
    <w:p>
      <w:pPr>
        <w:pStyle w:val="1327"/>
        <w:outlineLvl w:val="0"/>
        <w:rPr>
          <w:rFonts w:ascii="宋体"/>
        </w:rPr>
      </w:pPr>
      <w:bookmarkStart w:id="4002" w:name="_Toc106050022"/>
      <w:bookmarkStart w:id="4003" w:name="_Toc106883285"/>
      <w:r>
        <w:rPr>
          <w:rFonts w:hint="eastAsia" w:ascii="宋体"/>
        </w:rPr>
        <w:t>4.2.1</w:t>
      </w:r>
      <w:r>
        <w:rPr>
          <w:rFonts w:ascii="宋体"/>
        </w:rPr>
        <w:t>.5.10  起重机横梁和导轨</w:t>
      </w:r>
      <w:bookmarkEnd w:id="4002"/>
      <w:bookmarkEnd w:id="4003"/>
    </w:p>
    <w:p>
      <w:pPr>
        <w:pStyle w:val="1280"/>
        <w:ind w:firstLine="440"/>
        <w:rPr>
          <w:rFonts w:ascii="宋体"/>
        </w:rPr>
      </w:pPr>
      <w:r>
        <w:rPr>
          <w:rFonts w:ascii="宋体"/>
        </w:rPr>
        <w:t>起重机横梁应校直使之能在一切合理的情况下进行令人满意的操作，并且，在一般情况下，应符合制造商的要求。起重机导轨应用调节夹固定在梁上（假如与弹性垫片连用，则应处于松驰状态）。调节范围为±10mm，方向与导轨的纵向轴垂直。终端应设有制动，迎面应装有硬木块或类似的经认可的缓冲材料，制动设置应能使满荷载超速运行的起重机停下。并且能够承受以正常速度运行的满荷载起重机的撞击。</w:t>
      </w:r>
    </w:p>
    <w:p>
      <w:pPr>
        <w:adjustRightInd w:val="0"/>
        <w:snapToGrid w:val="0"/>
        <w:spacing w:line="360" w:lineRule="auto"/>
        <w:textAlignment w:val="baseline"/>
        <w:outlineLvl w:val="0"/>
        <w:rPr>
          <w:rFonts w:ascii="宋体" w:hAnsi="宋体"/>
          <w:b/>
          <w:kern w:val="0"/>
          <w:szCs w:val="21"/>
        </w:rPr>
      </w:pPr>
      <w:bookmarkStart w:id="4004" w:name="_Toc106050023"/>
      <w:bookmarkStart w:id="4005" w:name="_Toc106883286"/>
      <w:r>
        <w:rPr>
          <w:rFonts w:hint="eastAsia" w:ascii="宋体" w:hAnsi="宋体"/>
          <w:b/>
          <w:kern w:val="0"/>
          <w:szCs w:val="21"/>
        </w:rPr>
        <w:t>4.2.1</w:t>
      </w:r>
      <w:r>
        <w:rPr>
          <w:rFonts w:ascii="宋体" w:hAnsi="宋体"/>
          <w:b/>
          <w:kern w:val="0"/>
          <w:szCs w:val="21"/>
        </w:rPr>
        <w:t>.5.11  检查与测试</w:t>
      </w:r>
      <w:bookmarkEnd w:id="4004"/>
      <w:bookmarkEnd w:id="400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项目监理除现场施工外，还可以要求到制造厂家检查制作中的结构钢件及察看测试情况。承包人应提前通知项目监理有关工序的进行时间以便安排项目监理的检查。</w:t>
      </w:r>
    </w:p>
    <w:p>
      <w:pPr>
        <w:adjustRightInd w:val="0"/>
        <w:snapToGrid w:val="0"/>
        <w:spacing w:line="360" w:lineRule="auto"/>
        <w:jc w:val="left"/>
        <w:outlineLvl w:val="0"/>
        <w:rPr>
          <w:rFonts w:ascii="宋体" w:hAnsi="宋体"/>
          <w:b/>
          <w:bCs/>
          <w:szCs w:val="20"/>
        </w:rPr>
      </w:pPr>
      <w:bookmarkStart w:id="4006" w:name="_Toc521492268"/>
      <w:bookmarkStart w:id="4007" w:name="_Toc521493125"/>
      <w:bookmarkStart w:id="4008" w:name="_Toc521493799"/>
      <w:bookmarkStart w:id="4009" w:name="_Toc106883287"/>
      <w:r>
        <w:rPr>
          <w:rFonts w:hint="eastAsia" w:ascii="宋体" w:hAnsi="宋体"/>
          <w:b/>
          <w:bCs/>
          <w:szCs w:val="20"/>
        </w:rPr>
        <w:t>4.2.2</w:t>
      </w:r>
      <w:r>
        <w:rPr>
          <w:rFonts w:ascii="宋体" w:hAnsi="宋体"/>
          <w:b/>
          <w:bCs/>
          <w:szCs w:val="20"/>
        </w:rPr>
        <w:t xml:space="preserve">  工程金属</w:t>
      </w:r>
      <w:bookmarkEnd w:id="4006"/>
      <w:bookmarkEnd w:id="4007"/>
      <w:bookmarkEnd w:id="4008"/>
      <w:bookmarkEnd w:id="4009"/>
    </w:p>
    <w:p>
      <w:pPr>
        <w:spacing w:line="360" w:lineRule="auto"/>
        <w:outlineLvl w:val="3"/>
        <w:rPr>
          <w:rFonts w:ascii="宋体" w:hAnsi="宋体"/>
        </w:rPr>
      </w:pPr>
      <w:r>
        <w:rPr>
          <w:rFonts w:hint="eastAsia" w:ascii="宋体" w:hAnsi="宋体"/>
        </w:rPr>
        <w:t>4.2.2</w:t>
      </w:r>
      <w:r>
        <w:rPr>
          <w:rFonts w:ascii="宋体" w:hAnsi="宋体"/>
        </w:rPr>
        <w:t>.1  范围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本节包括土建工程金属的制造、供应与安装，其中包括平台、楼梯、台阶与支架、钢格栅板、钢制出入口的盖子、扶手、钢梯、铝合金配件、固定件和玻璃钢盖板、栏杆、爬梯。</w:t>
      </w:r>
    </w:p>
    <w:p>
      <w:pPr>
        <w:spacing w:line="360" w:lineRule="auto"/>
        <w:outlineLvl w:val="3"/>
        <w:rPr>
          <w:rFonts w:ascii="宋体" w:hAnsi="宋体"/>
        </w:rPr>
      </w:pPr>
      <w:r>
        <w:rPr>
          <w:rFonts w:hint="eastAsia" w:ascii="宋体" w:hAnsi="宋体"/>
        </w:rPr>
        <w:t>4.2.2</w:t>
      </w:r>
      <w:r>
        <w:rPr>
          <w:rFonts w:ascii="宋体" w:hAnsi="宋体"/>
        </w:rPr>
        <w:t>.2  参考标准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下列标准适用于本节或与本节有关：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GB9439-2010   灰铸铁件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GB1348-2009   球状石墨铸铁件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[S1]    给水排水标准图集 [中国出版]</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GB11352-2009  一般工程用铸造碳钢件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 3190-2008  熟铝的化学成分与铝合金的名称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 799-88   地脚螺栓（粗度）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JB/ZQ4363-97  地脚螺栓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T型头地脚螺栓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JB/ZQ4362-97  粗度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GB50205-2001  钢结构工程的施工质量验收规范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EJ175-78   不锈钢焊接技术规范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GB700-2006   碳素钢结构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GB1220-2007   不锈钢棒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GB4053.2-2009 固定式钢斜梯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GB4053.4-83  固定式工业钢平台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所应用的标准</w:t>
      </w:r>
      <w:r>
        <w:rPr>
          <w:rFonts w:hint="eastAsia" w:ascii="宋体" w:hAnsi="宋体"/>
          <w:kern w:val="0"/>
          <w:szCs w:val="21"/>
        </w:rPr>
        <w:t>和规范</w:t>
      </w:r>
      <w:r>
        <w:rPr>
          <w:rFonts w:ascii="宋体" w:hAnsi="宋体"/>
          <w:kern w:val="0"/>
          <w:szCs w:val="21"/>
        </w:rPr>
        <w:t>应是最新的且已实施的版本，必须在本招标截止日期之前28天尚在通用的版本。</w:t>
      </w:r>
    </w:p>
    <w:p>
      <w:pPr>
        <w:spacing w:line="360" w:lineRule="auto"/>
        <w:outlineLvl w:val="3"/>
        <w:rPr>
          <w:rFonts w:ascii="宋体" w:hAnsi="宋体"/>
        </w:rPr>
      </w:pPr>
      <w:r>
        <w:rPr>
          <w:rFonts w:hint="eastAsia" w:ascii="宋体" w:hAnsi="宋体"/>
        </w:rPr>
        <w:t>4.2.2</w:t>
      </w:r>
      <w:r>
        <w:rPr>
          <w:rFonts w:ascii="宋体" w:hAnsi="宋体"/>
        </w:rPr>
        <w:t>.3  提交文件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本节要求提交下列特殊文件：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（1）图纸</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材料试验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制造商的目录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拥有固定螺栓专利权的制造商目录与试验资料</w:t>
      </w:r>
    </w:p>
    <w:p>
      <w:pPr>
        <w:spacing w:line="360" w:lineRule="auto"/>
        <w:outlineLvl w:val="3"/>
        <w:rPr>
          <w:rFonts w:ascii="宋体" w:hAnsi="宋体"/>
        </w:rPr>
      </w:pPr>
      <w:r>
        <w:rPr>
          <w:rFonts w:hint="eastAsia" w:ascii="宋体" w:hAnsi="宋体"/>
        </w:rPr>
        <w:t>4.2.2</w:t>
      </w:r>
      <w:r>
        <w:rPr>
          <w:rFonts w:ascii="宋体" w:hAnsi="宋体"/>
        </w:rPr>
        <w:t>.4  材料</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.4.1  概述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承包人按要求供应与安装金属部件、所有固定件、装配架、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夹紧螺钉、提升器和为安装永久性固定与运行所需要的一切其它附件。承包人应在制作这些部件之前提交装配图纸，以取得项目监理代表的同意。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凡永久性接触的，易导致流电作用的不相同金属制成的固定件和其它部件，承包人均不得采用。</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.4.2  钢部件—概述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无有关标准的钢另件，须用规格为GB11352-2009，Q235钢材制造，采用Q/ZB74-73和YB 3208-80的程序焊接。如果没有另外说明，所有钢另件均须热浸锌处理。</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.4.3  钢楼梯和平台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钢楼梯应带有空心管扶手，有适当跨度及荷重的交叉面斜梁，和开口网眼铺面或花纹钢板的踏板。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除非另有说明，楼梯水平的上升角度应在30～45度之间，两踏板之间的级升距离应均匀，并在150～185mm之间。工程相同地区和在相似地区的楼梯的上升角度和级升距离都应相同。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踏板的宽度应在250～300mm之间。楼梯的宽度应不少于800mm。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斜梁安装应借助于带有长孔的角托架装配以调节直线和水平。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钢楼梯做法、材质按设计图。除非另有特别的详细说明。</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.4.4  钢铺面—概述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钢铺面应用花纹钢板或钢格栅制作。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钢铺面及其支撑物和制造应能承受4kN/m</w:t>
      </w:r>
      <w:r>
        <w:rPr>
          <w:rFonts w:ascii="宋体" w:hAnsi="宋体"/>
          <w:kern w:val="0"/>
          <w:szCs w:val="21"/>
          <w:vertAlign w:val="superscript"/>
        </w:rPr>
        <w:t>2</w:t>
      </w:r>
      <w:r>
        <w:rPr>
          <w:rFonts w:ascii="宋体" w:hAnsi="宋体"/>
          <w:kern w:val="0"/>
          <w:szCs w:val="21"/>
        </w:rPr>
        <w:t>均布动荷载或可能会承受的更高的负载。以便在承受指定设计的动负载时，其最大偏差不大于间距的0.005或10mm，只能小于此数， 并取其较小值。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另有相反的详细说明，铺面板应是可移动的，每块铺面板的最大重量不得超过50kg。操作与维修设备经常出入处，铺面板的重量不得超过25kg。铺面板的可移动板上应设有提升器孔并配有相应的提升器。铺板的制造应使之无需在现场切割，支撑的钢件应与结构钢件的技术规范的要求一致。托架上和座架上的螺孔应能进行线和面的调节。应设置钢制角铁路缘把铺面固定在混凝土上。做在混凝土上的路缘和其他支撑构件应以不大于600mm的间隔焊上凸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任何出入走道的宽度不得少于800mm。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所有安装的部件应在工厂里用不同的数字、字母或记号标明，这些数字、字母或记号应与图纸或部件一致。</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.4.5  花纹钢板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花纹钢板铺面应有突出的花纹，内中没有凹进处。最小的基面厚度是3mm。板应以埋头螺钉固定在支架上， 沿支架螺钉的间隔最大为1m。花纹钢板铺面应按要求带有焊接适当的棱，有关条款规定的偏差限制和公差。</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.4.6  热浸锌钢格栅铺面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（1）产品构造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钢格板由负载扁钢和扭纹方钢作横杆按一定的间距经纬排列而成格栅，经向为负载扁钢，即钢格板的长度方向；纬向为横杆，即钢格板的宽度方向。</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在负载扁钢和横杆的每个交点处，应通过焊接将其固定。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钢格板的焊接优先采用压力电阻焊，也可采用电弧焊。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钢格板应根据用户的需要，加工成各种尺寸的形状。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负载扁钢的间距和横杆的间距根据设计要求确定。作工业平台，负载扁钢的间距不得大于40mm，横杆最大中心间距为100mm。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在负载扁钢的端头，应使用与负载扁钢同规格的扁钢进行包边。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包边采用焊高不小于负载扁钢厚度的单面贴角焊，焊缝长度不得小于负载扁钢厚度的4倍。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在包边板不承受荷载的情况下，允许间隔4根负载扁钢焊接一处，但间距不得大于180mm。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在包边板承受荷载的情况下，不允许间隔焊接，而且必须满焊。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与负载扁钢同向的包边板，必须与每一根横杆焊接。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钢格板的切口、开孔等于或大于180mm的，应作包边处理。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钢格板的负载扁钢，可采用平面扁钢，Ⅰ型扁钢或纵剪带钢。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平台（走道）上的钢格板的最小宽度不得小于300mm。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（2）尺寸、外形及允许偏差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钢格板长度的允许偏差为 0~-5mm,宽度的允许偏差为±5mm。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任何一块钢格板的尺寸均受铺吊和搬运过程中的受力限制，可拆卸铺板的尺寸还需考虑到人工搬运的重量限制。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负载扁钢的不垂直度应不大于扁钢宽度的10%。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横杆位置偏差，横杆上表面不应超出负载扁钢上表面1.0mm；横杆两端均不应超过钢格板两侧扁钢的外端面3mm。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横杆偏斜及间距偏差：横杆边缘对钢格板中心的偏斜应不大于5mm，在任意1500mm长度内，两端横杆间距的允许偏差为±6mm。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纵向弯曲：钢格板的纵向弯曲挠度应不大于其长度的1/200。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横向弯曲：钢格板的横向弯曲挠度（在包边前）应小于其宽度的1/100。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对角线偏差：钢格板由于尺寸公差而引起对角线的相对偏差，不应大于±5mm。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负载扁钢：负载扁钢可采用碳素结构钢，其化学成分和力学性能应分别符合GB700-2006的Q235-A。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扁钢尺寸允许偏差应符合表1规定：</w:t>
      </w:r>
    </w:p>
    <w:p>
      <w:pPr>
        <w:adjustRightInd w:val="0"/>
        <w:jc w:val="center"/>
        <w:rPr>
          <w:rFonts w:ascii="宋体" w:hAnsi="宋体"/>
          <w:kern w:val="0"/>
        </w:rPr>
      </w:pPr>
      <w:r>
        <w:rPr>
          <w:rFonts w:ascii="宋体" w:hAnsi="宋体"/>
          <w:kern w:val="0"/>
        </w:rPr>
        <w:t>单位：mm                    扁钢尺寸允许偏差             表1</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801"/>
        <w:gridCol w:w="2921"/>
        <w:gridCol w:w="2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3342" w:type="pct"/>
            <w:gridSpan w:val="2"/>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尺寸规格</w:t>
            </w:r>
          </w:p>
        </w:tc>
        <w:tc>
          <w:tcPr>
            <w:tcW w:w="1658"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允许偏差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1636" w:type="pct"/>
            <w:vMerge w:val="restar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厚度</w:t>
            </w:r>
          </w:p>
        </w:tc>
        <w:tc>
          <w:tcPr>
            <w:tcW w:w="170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≤5</w:t>
            </w:r>
          </w:p>
        </w:tc>
        <w:tc>
          <w:tcPr>
            <w:tcW w:w="1658"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1636" w:type="pct"/>
            <w:vMerge w:val="continue"/>
            <w:shd w:val="clear" w:color="auto" w:fill="auto"/>
            <w:vAlign w:val="center"/>
          </w:tcPr>
          <w:p>
            <w:pPr>
              <w:widowControl/>
              <w:spacing w:line="240" w:lineRule="atLeast"/>
              <w:jc w:val="center"/>
              <w:rPr>
                <w:rFonts w:ascii="宋体" w:hAnsi="宋体"/>
                <w:sz w:val="18"/>
                <w:szCs w:val="18"/>
              </w:rPr>
            </w:pPr>
          </w:p>
        </w:tc>
        <w:tc>
          <w:tcPr>
            <w:tcW w:w="170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＞5~10</w:t>
            </w:r>
          </w:p>
        </w:tc>
        <w:tc>
          <w:tcPr>
            <w:tcW w:w="1658"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1636" w:type="pct"/>
            <w:vMerge w:val="continue"/>
            <w:shd w:val="clear" w:color="auto" w:fill="auto"/>
            <w:vAlign w:val="center"/>
          </w:tcPr>
          <w:p>
            <w:pPr>
              <w:widowControl/>
              <w:spacing w:line="240" w:lineRule="atLeast"/>
              <w:jc w:val="center"/>
              <w:rPr>
                <w:rFonts w:ascii="宋体" w:hAnsi="宋体"/>
                <w:sz w:val="18"/>
                <w:szCs w:val="18"/>
              </w:rPr>
            </w:pPr>
          </w:p>
        </w:tc>
        <w:tc>
          <w:tcPr>
            <w:tcW w:w="170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＞10~15</w:t>
            </w:r>
          </w:p>
        </w:tc>
        <w:tc>
          <w:tcPr>
            <w:tcW w:w="1658"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1636" w:type="pct"/>
            <w:vMerge w:val="restar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宽度</w:t>
            </w:r>
          </w:p>
        </w:tc>
        <w:tc>
          <w:tcPr>
            <w:tcW w:w="170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≤65</w:t>
            </w:r>
          </w:p>
        </w:tc>
        <w:tc>
          <w:tcPr>
            <w:tcW w:w="1658"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1636" w:type="pct"/>
            <w:vMerge w:val="continue"/>
            <w:shd w:val="clear" w:color="auto" w:fill="auto"/>
            <w:vAlign w:val="center"/>
          </w:tcPr>
          <w:p>
            <w:pPr>
              <w:widowControl/>
              <w:spacing w:line="240" w:lineRule="atLeast"/>
              <w:jc w:val="center"/>
              <w:rPr>
                <w:rFonts w:ascii="宋体" w:hAnsi="宋体"/>
                <w:sz w:val="18"/>
                <w:szCs w:val="18"/>
              </w:rPr>
            </w:pPr>
          </w:p>
        </w:tc>
        <w:tc>
          <w:tcPr>
            <w:tcW w:w="170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＞65~100</w:t>
            </w:r>
          </w:p>
        </w:tc>
        <w:tc>
          <w:tcPr>
            <w:tcW w:w="1658"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1636" w:type="pct"/>
            <w:vMerge w:val="continue"/>
            <w:shd w:val="clear" w:color="auto" w:fill="auto"/>
            <w:vAlign w:val="center"/>
          </w:tcPr>
          <w:p>
            <w:pPr>
              <w:widowControl/>
              <w:spacing w:line="240" w:lineRule="atLeast"/>
              <w:jc w:val="center"/>
              <w:rPr>
                <w:rFonts w:ascii="宋体" w:hAnsi="宋体"/>
                <w:sz w:val="18"/>
                <w:szCs w:val="18"/>
              </w:rPr>
            </w:pPr>
          </w:p>
        </w:tc>
        <w:tc>
          <w:tcPr>
            <w:tcW w:w="170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＞100~150</w:t>
            </w:r>
          </w:p>
        </w:tc>
        <w:tc>
          <w:tcPr>
            <w:tcW w:w="1658"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±1.5</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钢格板使用的负载扁钢最小厚度为2mm。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横杆：横杆采用与负载扁钢相同的材质，并符合上述材质标准的规定。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横杆的截面积：横杆为扭绞方钢，其截面积不得小于25mm</w:t>
      </w:r>
      <w:r>
        <w:rPr>
          <w:rFonts w:ascii="宋体" w:hAnsi="宋体"/>
          <w:kern w:val="0"/>
          <w:szCs w:val="21"/>
          <w:vertAlign w:val="superscript"/>
        </w:rPr>
        <w:t>2</w:t>
      </w:r>
      <w:r>
        <w:rPr>
          <w:rFonts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包边板：包边板采用与负载扁钢相同的材质，并符合上述材质标准的规定。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2）荷载要求：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钢格板的荷载能力应满足设计的安全荷载要求：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单人通行的走道板，其均布荷载能力不小于2.5kN/m</w:t>
      </w:r>
      <w:r>
        <w:rPr>
          <w:rFonts w:ascii="宋体" w:hAnsi="宋体"/>
          <w:kern w:val="0"/>
          <w:szCs w:val="21"/>
          <w:vertAlign w:val="superscript"/>
        </w:rPr>
        <w:t>2</w:t>
      </w:r>
      <w:r>
        <w:rPr>
          <w:rFonts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双向通行的走道板：其均布荷载能力不小于3.0kN/m</w:t>
      </w:r>
      <w:r>
        <w:rPr>
          <w:rFonts w:ascii="宋体" w:hAnsi="宋体"/>
          <w:kern w:val="0"/>
          <w:szCs w:val="21"/>
          <w:vertAlign w:val="superscript"/>
        </w:rPr>
        <w:t>2</w:t>
      </w:r>
      <w:r>
        <w:rPr>
          <w:rFonts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钢格板中如有切口，钢格板余下的面积应具有相等的荷载能力。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钢格板的荷载要求由设计选定规格。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钢格板的荷载、跨距和挠度之间的关系的计算，根据钢结构计算的原则进行。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3）钢格板的表面处理：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热浸镀锌：热浸镀锌一般在包边工作完成后进行。当负载扁钢厚度不小于5mm时，镀锌后的平均锌层重量不小于610g/m</w:t>
      </w:r>
      <w:r>
        <w:rPr>
          <w:rFonts w:ascii="宋体" w:hAnsi="宋体"/>
          <w:kern w:val="0"/>
          <w:szCs w:val="21"/>
          <w:vertAlign w:val="superscript"/>
        </w:rPr>
        <w:t>2</w:t>
      </w:r>
      <w:r>
        <w:rPr>
          <w:rFonts w:ascii="宋体" w:hAnsi="宋体"/>
          <w:kern w:val="0"/>
          <w:szCs w:val="21"/>
        </w:rPr>
        <w:t>；当负载扁钢厚度小于5mm时，镀锌后的平均锌层重量不小于460g/m</w:t>
      </w:r>
      <w:r>
        <w:rPr>
          <w:rFonts w:ascii="宋体" w:hAnsi="宋体"/>
          <w:kern w:val="0"/>
          <w:szCs w:val="21"/>
          <w:vertAlign w:val="superscript"/>
        </w:rPr>
        <w:t>2</w:t>
      </w:r>
      <w:r>
        <w:rPr>
          <w:rFonts w:ascii="宋体" w:hAnsi="宋体"/>
          <w:kern w:val="0"/>
          <w:szCs w:val="21"/>
        </w:rPr>
        <w:t>。镀锌后质量及要求应符合GB/T 13912规定。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4）检验规则：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外形检查：钢格板应逐件检查外形及平整度，不合格的不得验收入库。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性能检验：生产厂定期抽样做产品荷载性能试验，并应根据用户要求提供测试报告。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5）包装、标志及质量证明书：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钢格板的出厂包装一般用钢带打包，产品每捆重量由供需双方议定或由生产厂自定。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钢格板产品包装上应压入、喷写或粘贴标志，标明商标或生产厂代号、钢格板型号及标准号。每块钢格板上应标明自身号码。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产品的质量证明书应注明产品的标准号、用钢牌号、型号规格、表面处理情况、外观及性能检查结果、每批重量等。随产品装箱单一同交付用户，作为验收依据。如用户要求，可提供原材料质量保证书。</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.4.7  钢出入口盖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钢出入口盖应按钢铁铺面的规定制造。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最小净开口应为600×750mm。</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.4.8  不锈钢栏杆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所有金属制或者混凝土制走道、 楼梯和超出边缘700mm以上的人可及的露天地方的外沿均应安装杆栏。栏杆由均匀排列间隔的立柱和三根横杆组成。 上部横杆应距靠近的出面地板水平面和楼梯梯级突边线之上不小于1050mm。下部横杆应处于地面或梯级突边线与上部横杆之间等分处，栏杆下部设置100mm高踢脚板。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扶栏接头应牢靠。扶栏与墙壁的结合处要么采用合适的墙壁固定凸缘，要么用一根立柱（立柱与墙壁间的空隙不应超过100mm）。当混凝土结构的形状不能形成走道边缘处的竖柱时，就应该将100mm高的踢脚板装到扶栏立柱上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对于没有设置在底部混凝土竖板的高架平台或专道上的所有栏杆，应配置踢脚板。踢脚板高应是100mm，长度与立柱间距相配，用螺栓或其他可靠方法安装到固定于立柱的安装架上。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梯子和其它开口应用两根不锈钢悬链连接，悬链的一端应固定，另一端可拆卸。</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安全链的尺寸应是经项目监理代表认可的规格，包括短链节，光滑焊接链和适用的挂钩和按扣。开口任一侧的立柱均应在顶部和横杆中部高度处配有小孔，供与安全链相连之用。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除非有相反的规定，否则承包人应保证所有的扶栏在外观和制造上均一致。</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.4.9  钢梯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钢梯应按照图中详细说明制造，并符合相应的规范及制造标准。</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.4.10  栏杆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构筑物走道边缘及开洞无盖边缘，除非图纸上另有要求，否则均采用不锈钢栏杆。栏杆的立杆、横杆布置及踢脚板做法同不锈钢栏杆。</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.4.11  铝合金配件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铝合金配件的材料应符合GB3194-82，GB4436-84和GB3618-89的有关部分。</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.4.12  玻璃钢制品构件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本节适用于玻璃钢格栅板和玻璃钢平板。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（1）玻璃钢格栅板：搁置宽度≤1200mm，采用拉挤FRP型材料，玻璃钢材料应符合以下物理性能要求：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取样方向     拉挤FRP型材</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比重         &gt;1.85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拉伸强度（MPa）   经向  &gt;4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纬向  &gt;8</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拉伸弹性模量（MPa）  经向  &gt;250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纬向  &gt;70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弯曲强度（MPa）   经向  &gt;3</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纬向  &gt;12</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弯曲弹性模量（MPa）  经向  &gt;150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纬向  &gt;80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压缩强度（MPa）   经向  &gt;35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纬向  &gt;11</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（2）玻璃钢平板：搁置宽度＞1200mm，采用以玻璃纤维与不饱和树脂为原料经模塑成型的玻璃钢制品平板。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玻璃钢材料应符合以下主要物理性能指标：</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33"/>
        <w:gridCol w:w="2864"/>
        <w:gridCol w:w="1561"/>
        <w:gridCol w:w="2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7" w:type="pct"/>
            <w:shd w:val="clear" w:color="auto" w:fill="auto"/>
            <w:vAlign w:val="center"/>
          </w:tcPr>
          <w:p>
            <w:pPr>
              <w:spacing w:line="240" w:lineRule="exact"/>
              <w:jc w:val="center"/>
              <w:rPr>
                <w:rFonts w:ascii="宋体" w:hAnsi="宋体"/>
                <w:szCs w:val="21"/>
              </w:rPr>
            </w:pPr>
            <w:r>
              <w:rPr>
                <w:rFonts w:ascii="宋体" w:hAnsi="宋体"/>
                <w:szCs w:val="21"/>
              </w:rPr>
              <w:t>序号</w:t>
            </w:r>
          </w:p>
        </w:tc>
        <w:tc>
          <w:tcPr>
            <w:tcW w:w="1673" w:type="pct"/>
            <w:shd w:val="clear" w:color="auto" w:fill="auto"/>
            <w:vAlign w:val="center"/>
          </w:tcPr>
          <w:p>
            <w:pPr>
              <w:spacing w:line="240" w:lineRule="exact"/>
              <w:jc w:val="center"/>
              <w:rPr>
                <w:rFonts w:ascii="宋体" w:hAnsi="宋体"/>
                <w:szCs w:val="21"/>
              </w:rPr>
            </w:pPr>
            <w:r>
              <w:rPr>
                <w:rFonts w:ascii="宋体" w:hAnsi="宋体"/>
                <w:szCs w:val="21"/>
              </w:rPr>
              <w:t>项目</w:t>
            </w:r>
          </w:p>
        </w:tc>
        <w:tc>
          <w:tcPr>
            <w:tcW w:w="912" w:type="pct"/>
            <w:shd w:val="clear" w:color="auto" w:fill="auto"/>
            <w:vAlign w:val="center"/>
          </w:tcPr>
          <w:p>
            <w:pPr>
              <w:spacing w:line="240" w:lineRule="exact"/>
              <w:jc w:val="center"/>
              <w:rPr>
                <w:rFonts w:ascii="宋体" w:hAnsi="宋体"/>
                <w:szCs w:val="21"/>
              </w:rPr>
            </w:pPr>
            <w:r>
              <w:rPr>
                <w:rFonts w:ascii="宋体" w:hAnsi="宋体"/>
                <w:szCs w:val="21"/>
              </w:rPr>
              <w:t>指标</w:t>
            </w:r>
          </w:p>
        </w:tc>
        <w:tc>
          <w:tcPr>
            <w:tcW w:w="1578" w:type="pct"/>
            <w:shd w:val="clear" w:color="auto" w:fill="auto"/>
            <w:vAlign w:val="center"/>
          </w:tcPr>
          <w:p>
            <w:pPr>
              <w:spacing w:line="240" w:lineRule="exact"/>
              <w:jc w:val="center"/>
              <w:rPr>
                <w:rFonts w:ascii="宋体" w:hAnsi="宋体"/>
                <w:szCs w:val="21"/>
              </w:rPr>
            </w:pPr>
            <w:r>
              <w:rPr>
                <w:rFonts w:ascii="宋体" w:hAnsi="宋体"/>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7" w:type="pct"/>
            <w:shd w:val="clear" w:color="auto" w:fill="auto"/>
            <w:vAlign w:val="center"/>
          </w:tcPr>
          <w:p>
            <w:pPr>
              <w:spacing w:line="240" w:lineRule="exact"/>
              <w:jc w:val="center"/>
              <w:rPr>
                <w:rFonts w:ascii="宋体" w:hAnsi="宋体"/>
                <w:szCs w:val="21"/>
              </w:rPr>
            </w:pPr>
            <w:r>
              <w:rPr>
                <w:rFonts w:ascii="宋体" w:hAnsi="宋体"/>
                <w:szCs w:val="21"/>
              </w:rPr>
              <w:t>1</w:t>
            </w:r>
          </w:p>
        </w:tc>
        <w:tc>
          <w:tcPr>
            <w:tcW w:w="1673" w:type="pct"/>
            <w:shd w:val="clear" w:color="auto" w:fill="auto"/>
            <w:vAlign w:val="center"/>
          </w:tcPr>
          <w:p>
            <w:pPr>
              <w:spacing w:line="240" w:lineRule="exact"/>
              <w:jc w:val="center"/>
              <w:rPr>
                <w:rFonts w:ascii="宋体" w:hAnsi="宋体"/>
                <w:szCs w:val="21"/>
              </w:rPr>
            </w:pPr>
            <w:r>
              <w:rPr>
                <w:rFonts w:ascii="宋体" w:hAnsi="宋体"/>
                <w:szCs w:val="21"/>
              </w:rPr>
              <w:t>吸水率</w:t>
            </w:r>
          </w:p>
        </w:tc>
        <w:tc>
          <w:tcPr>
            <w:tcW w:w="912" w:type="pct"/>
            <w:shd w:val="clear" w:color="auto" w:fill="auto"/>
            <w:vAlign w:val="center"/>
          </w:tcPr>
          <w:p>
            <w:pPr>
              <w:spacing w:line="240" w:lineRule="exact"/>
              <w:jc w:val="center"/>
              <w:rPr>
                <w:rFonts w:ascii="宋体" w:hAnsi="宋体"/>
                <w:szCs w:val="21"/>
              </w:rPr>
            </w:pPr>
            <w:r>
              <w:rPr>
                <w:rFonts w:ascii="宋体" w:hAnsi="宋体"/>
                <w:szCs w:val="21"/>
              </w:rPr>
              <w:t>&lt;0.5</w:t>
            </w:r>
          </w:p>
        </w:tc>
        <w:tc>
          <w:tcPr>
            <w:tcW w:w="1578" w:type="pct"/>
            <w:shd w:val="clear" w:color="auto" w:fill="auto"/>
            <w:vAlign w:val="center"/>
          </w:tcPr>
          <w:p>
            <w:pPr>
              <w:spacing w:line="240" w:lineRule="exact"/>
              <w:jc w:val="center"/>
              <w:rPr>
                <w:rFonts w:ascii="宋体" w:hAnsi="宋体"/>
                <w:szCs w:val="21"/>
              </w:rPr>
            </w:pPr>
            <w:r>
              <w:rPr>
                <w:rFonts w:ascii="宋体" w:hAnsi="宋体"/>
                <w:szCs w:val="21"/>
              </w:rPr>
              <w:t>GB1462-78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7" w:type="pct"/>
            <w:shd w:val="clear" w:color="auto" w:fill="auto"/>
            <w:vAlign w:val="center"/>
          </w:tcPr>
          <w:p>
            <w:pPr>
              <w:spacing w:line="240" w:lineRule="exact"/>
              <w:jc w:val="center"/>
              <w:rPr>
                <w:rFonts w:ascii="宋体" w:hAnsi="宋体"/>
                <w:szCs w:val="21"/>
              </w:rPr>
            </w:pPr>
            <w:r>
              <w:rPr>
                <w:rFonts w:ascii="宋体" w:hAnsi="宋体"/>
                <w:szCs w:val="21"/>
              </w:rPr>
              <w:t>2</w:t>
            </w:r>
          </w:p>
        </w:tc>
        <w:tc>
          <w:tcPr>
            <w:tcW w:w="1673" w:type="pct"/>
            <w:shd w:val="clear" w:color="auto" w:fill="auto"/>
            <w:vAlign w:val="center"/>
          </w:tcPr>
          <w:p>
            <w:pPr>
              <w:spacing w:line="240" w:lineRule="exact"/>
              <w:jc w:val="center"/>
              <w:rPr>
                <w:rFonts w:ascii="宋体" w:hAnsi="宋体"/>
                <w:szCs w:val="21"/>
              </w:rPr>
            </w:pPr>
            <w:r>
              <w:rPr>
                <w:rFonts w:ascii="宋体" w:hAnsi="宋体"/>
                <w:szCs w:val="21"/>
              </w:rPr>
              <w:t>冲击强度KJ/m2</w:t>
            </w:r>
          </w:p>
        </w:tc>
        <w:tc>
          <w:tcPr>
            <w:tcW w:w="912" w:type="pct"/>
            <w:shd w:val="clear" w:color="auto" w:fill="auto"/>
            <w:vAlign w:val="center"/>
          </w:tcPr>
          <w:p>
            <w:pPr>
              <w:spacing w:line="240" w:lineRule="exact"/>
              <w:jc w:val="center"/>
              <w:rPr>
                <w:rFonts w:ascii="宋体" w:hAnsi="宋体"/>
                <w:szCs w:val="21"/>
              </w:rPr>
            </w:pPr>
            <w:r>
              <w:rPr>
                <w:rFonts w:ascii="宋体" w:hAnsi="宋体"/>
                <w:szCs w:val="21"/>
              </w:rPr>
              <w:t>&gt;5</w:t>
            </w:r>
          </w:p>
        </w:tc>
        <w:tc>
          <w:tcPr>
            <w:tcW w:w="1578" w:type="pct"/>
            <w:shd w:val="clear" w:color="auto" w:fill="auto"/>
            <w:vAlign w:val="center"/>
          </w:tcPr>
          <w:p>
            <w:pPr>
              <w:spacing w:line="240" w:lineRule="exact"/>
              <w:jc w:val="center"/>
              <w:rPr>
                <w:rFonts w:ascii="宋体" w:hAnsi="宋体"/>
                <w:szCs w:val="21"/>
              </w:rPr>
            </w:pPr>
            <w:r>
              <w:rPr>
                <w:rFonts w:ascii="宋体" w:hAnsi="宋体"/>
                <w:szCs w:val="21"/>
              </w:rPr>
              <w:t>GB1451-83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7" w:type="pct"/>
            <w:shd w:val="clear" w:color="auto" w:fill="auto"/>
            <w:vAlign w:val="center"/>
          </w:tcPr>
          <w:p>
            <w:pPr>
              <w:spacing w:line="240" w:lineRule="exact"/>
              <w:jc w:val="center"/>
              <w:rPr>
                <w:rFonts w:ascii="宋体" w:hAnsi="宋体"/>
                <w:szCs w:val="21"/>
              </w:rPr>
            </w:pPr>
            <w:r>
              <w:rPr>
                <w:rFonts w:ascii="宋体" w:hAnsi="宋体"/>
                <w:szCs w:val="21"/>
              </w:rPr>
              <w:t>3</w:t>
            </w:r>
          </w:p>
        </w:tc>
        <w:tc>
          <w:tcPr>
            <w:tcW w:w="1673" w:type="pct"/>
            <w:shd w:val="clear" w:color="auto" w:fill="auto"/>
            <w:vAlign w:val="center"/>
          </w:tcPr>
          <w:p>
            <w:pPr>
              <w:spacing w:line="240" w:lineRule="exact"/>
              <w:jc w:val="center"/>
              <w:rPr>
                <w:rFonts w:ascii="宋体" w:hAnsi="宋体"/>
                <w:szCs w:val="21"/>
              </w:rPr>
            </w:pPr>
            <w:r>
              <w:rPr>
                <w:rFonts w:ascii="宋体" w:hAnsi="宋体"/>
                <w:szCs w:val="21"/>
              </w:rPr>
              <w:t>弯曲强度Mpa</w:t>
            </w:r>
          </w:p>
        </w:tc>
        <w:tc>
          <w:tcPr>
            <w:tcW w:w="912" w:type="pct"/>
            <w:shd w:val="clear" w:color="auto" w:fill="auto"/>
            <w:vAlign w:val="center"/>
          </w:tcPr>
          <w:p>
            <w:pPr>
              <w:spacing w:line="240" w:lineRule="exact"/>
              <w:jc w:val="center"/>
              <w:rPr>
                <w:rFonts w:ascii="宋体" w:hAnsi="宋体"/>
                <w:szCs w:val="21"/>
              </w:rPr>
            </w:pPr>
            <w:r>
              <w:rPr>
                <w:rFonts w:ascii="宋体" w:hAnsi="宋体"/>
                <w:szCs w:val="21"/>
              </w:rPr>
              <w:t>&gt;150</w:t>
            </w:r>
          </w:p>
        </w:tc>
        <w:tc>
          <w:tcPr>
            <w:tcW w:w="1578" w:type="pct"/>
            <w:shd w:val="clear" w:color="auto" w:fill="auto"/>
            <w:vAlign w:val="center"/>
          </w:tcPr>
          <w:p>
            <w:pPr>
              <w:spacing w:line="240" w:lineRule="exact"/>
              <w:jc w:val="center"/>
              <w:rPr>
                <w:rFonts w:ascii="宋体" w:hAnsi="宋体"/>
                <w:szCs w:val="21"/>
              </w:rPr>
            </w:pPr>
            <w:r>
              <w:rPr>
                <w:rFonts w:ascii="宋体" w:hAnsi="宋体"/>
                <w:szCs w:val="21"/>
              </w:rPr>
              <w:t>GB1449-83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7" w:type="pct"/>
            <w:shd w:val="clear" w:color="auto" w:fill="auto"/>
            <w:vAlign w:val="center"/>
          </w:tcPr>
          <w:p>
            <w:pPr>
              <w:spacing w:line="240" w:lineRule="exact"/>
              <w:jc w:val="center"/>
              <w:rPr>
                <w:rFonts w:ascii="宋体" w:hAnsi="宋体"/>
                <w:szCs w:val="21"/>
              </w:rPr>
            </w:pPr>
            <w:r>
              <w:rPr>
                <w:rFonts w:ascii="宋体" w:hAnsi="宋体"/>
                <w:szCs w:val="21"/>
              </w:rPr>
              <w:t>4</w:t>
            </w:r>
          </w:p>
        </w:tc>
        <w:tc>
          <w:tcPr>
            <w:tcW w:w="1673" w:type="pct"/>
            <w:shd w:val="clear" w:color="auto" w:fill="auto"/>
            <w:vAlign w:val="center"/>
          </w:tcPr>
          <w:p>
            <w:pPr>
              <w:spacing w:line="240" w:lineRule="exact"/>
              <w:jc w:val="center"/>
              <w:rPr>
                <w:rFonts w:ascii="宋体" w:hAnsi="宋体"/>
                <w:szCs w:val="21"/>
              </w:rPr>
            </w:pPr>
            <w:r>
              <w:rPr>
                <w:rFonts w:ascii="宋体" w:hAnsi="宋体"/>
                <w:szCs w:val="21"/>
              </w:rPr>
              <w:t>弯曲弹性模量Mpa</w:t>
            </w:r>
          </w:p>
        </w:tc>
        <w:tc>
          <w:tcPr>
            <w:tcW w:w="912" w:type="pct"/>
            <w:shd w:val="clear" w:color="auto" w:fill="auto"/>
            <w:vAlign w:val="center"/>
          </w:tcPr>
          <w:p>
            <w:pPr>
              <w:spacing w:line="240" w:lineRule="exact"/>
              <w:jc w:val="center"/>
              <w:rPr>
                <w:rFonts w:ascii="宋体" w:hAnsi="宋体"/>
                <w:szCs w:val="21"/>
              </w:rPr>
            </w:pPr>
            <w:r>
              <w:rPr>
                <w:rFonts w:ascii="宋体" w:hAnsi="宋体"/>
                <w:szCs w:val="21"/>
              </w:rPr>
              <w:t>&gt;7000</w:t>
            </w:r>
          </w:p>
        </w:tc>
        <w:tc>
          <w:tcPr>
            <w:tcW w:w="1578" w:type="pct"/>
            <w:shd w:val="clear" w:color="auto" w:fill="auto"/>
            <w:vAlign w:val="center"/>
          </w:tcPr>
          <w:p>
            <w:pPr>
              <w:spacing w:line="240" w:lineRule="exact"/>
              <w:jc w:val="center"/>
              <w:rPr>
                <w:rFonts w:ascii="宋体" w:hAnsi="宋体"/>
                <w:szCs w:val="21"/>
              </w:rPr>
            </w:pPr>
            <w:r>
              <w:rPr>
                <w:rFonts w:ascii="宋体" w:hAnsi="宋体"/>
                <w:szCs w:val="21"/>
              </w:rPr>
              <w:t>GB1449-83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7" w:type="pct"/>
            <w:shd w:val="clear" w:color="auto" w:fill="auto"/>
            <w:vAlign w:val="center"/>
          </w:tcPr>
          <w:p>
            <w:pPr>
              <w:spacing w:line="240" w:lineRule="exact"/>
              <w:jc w:val="center"/>
              <w:rPr>
                <w:rFonts w:ascii="宋体" w:hAnsi="宋体"/>
                <w:szCs w:val="21"/>
              </w:rPr>
            </w:pPr>
            <w:r>
              <w:rPr>
                <w:rFonts w:ascii="宋体" w:hAnsi="宋体"/>
                <w:szCs w:val="21"/>
              </w:rPr>
              <w:t>5</w:t>
            </w:r>
          </w:p>
        </w:tc>
        <w:tc>
          <w:tcPr>
            <w:tcW w:w="1673" w:type="pct"/>
            <w:shd w:val="clear" w:color="auto" w:fill="auto"/>
            <w:vAlign w:val="center"/>
          </w:tcPr>
          <w:p>
            <w:pPr>
              <w:spacing w:line="240" w:lineRule="exact"/>
              <w:jc w:val="center"/>
              <w:rPr>
                <w:rFonts w:ascii="宋体" w:hAnsi="宋体"/>
                <w:szCs w:val="21"/>
              </w:rPr>
            </w:pPr>
            <w:r>
              <w:rPr>
                <w:rFonts w:ascii="宋体" w:hAnsi="宋体"/>
                <w:szCs w:val="21"/>
              </w:rPr>
              <w:t>拉伸强度Mpa</w:t>
            </w:r>
          </w:p>
        </w:tc>
        <w:tc>
          <w:tcPr>
            <w:tcW w:w="912" w:type="pct"/>
            <w:shd w:val="clear" w:color="auto" w:fill="auto"/>
            <w:vAlign w:val="center"/>
          </w:tcPr>
          <w:p>
            <w:pPr>
              <w:spacing w:line="240" w:lineRule="exact"/>
              <w:jc w:val="center"/>
              <w:rPr>
                <w:rFonts w:ascii="宋体" w:hAnsi="宋体"/>
                <w:szCs w:val="21"/>
              </w:rPr>
            </w:pPr>
            <w:r>
              <w:rPr>
                <w:rFonts w:ascii="宋体" w:hAnsi="宋体"/>
                <w:szCs w:val="21"/>
              </w:rPr>
              <w:t>&gt;100</w:t>
            </w:r>
          </w:p>
        </w:tc>
        <w:tc>
          <w:tcPr>
            <w:tcW w:w="1578" w:type="pct"/>
            <w:shd w:val="clear" w:color="auto" w:fill="auto"/>
            <w:vAlign w:val="center"/>
          </w:tcPr>
          <w:p>
            <w:pPr>
              <w:spacing w:line="240" w:lineRule="exact"/>
              <w:jc w:val="center"/>
              <w:rPr>
                <w:rFonts w:ascii="宋体" w:hAnsi="宋体"/>
                <w:szCs w:val="21"/>
              </w:rPr>
            </w:pPr>
            <w:r>
              <w:rPr>
                <w:rFonts w:ascii="宋体" w:hAnsi="宋体"/>
                <w:szCs w:val="21"/>
              </w:rPr>
              <w:t>GB1447-83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7" w:type="pct"/>
            <w:shd w:val="clear" w:color="auto" w:fill="auto"/>
            <w:vAlign w:val="center"/>
          </w:tcPr>
          <w:p>
            <w:pPr>
              <w:spacing w:line="240" w:lineRule="exact"/>
              <w:jc w:val="center"/>
              <w:rPr>
                <w:rFonts w:ascii="宋体" w:hAnsi="宋体"/>
                <w:szCs w:val="21"/>
              </w:rPr>
            </w:pPr>
            <w:r>
              <w:rPr>
                <w:rFonts w:ascii="宋体" w:hAnsi="宋体"/>
                <w:szCs w:val="21"/>
              </w:rPr>
              <w:t>6</w:t>
            </w:r>
          </w:p>
        </w:tc>
        <w:tc>
          <w:tcPr>
            <w:tcW w:w="1673" w:type="pct"/>
            <w:shd w:val="clear" w:color="auto" w:fill="auto"/>
            <w:vAlign w:val="center"/>
          </w:tcPr>
          <w:p>
            <w:pPr>
              <w:spacing w:line="240" w:lineRule="exact"/>
              <w:jc w:val="center"/>
              <w:rPr>
                <w:rFonts w:ascii="宋体" w:hAnsi="宋体"/>
                <w:szCs w:val="21"/>
              </w:rPr>
            </w:pPr>
            <w:r>
              <w:rPr>
                <w:rFonts w:ascii="宋体" w:hAnsi="宋体"/>
                <w:szCs w:val="21"/>
              </w:rPr>
              <w:t>拉伸弹性模量Mpa</w:t>
            </w:r>
          </w:p>
        </w:tc>
        <w:tc>
          <w:tcPr>
            <w:tcW w:w="912" w:type="pct"/>
            <w:shd w:val="clear" w:color="auto" w:fill="auto"/>
            <w:vAlign w:val="center"/>
          </w:tcPr>
          <w:p>
            <w:pPr>
              <w:spacing w:line="240" w:lineRule="exact"/>
              <w:jc w:val="center"/>
              <w:rPr>
                <w:rFonts w:ascii="宋体" w:hAnsi="宋体"/>
                <w:szCs w:val="21"/>
              </w:rPr>
            </w:pPr>
            <w:r>
              <w:rPr>
                <w:rFonts w:ascii="宋体" w:hAnsi="宋体"/>
                <w:szCs w:val="21"/>
              </w:rPr>
              <w:t>&gt;7000</w:t>
            </w:r>
          </w:p>
        </w:tc>
        <w:tc>
          <w:tcPr>
            <w:tcW w:w="1578" w:type="pct"/>
            <w:shd w:val="clear" w:color="auto" w:fill="auto"/>
            <w:vAlign w:val="center"/>
          </w:tcPr>
          <w:p>
            <w:pPr>
              <w:spacing w:line="240" w:lineRule="exact"/>
              <w:jc w:val="center"/>
              <w:rPr>
                <w:rFonts w:ascii="宋体" w:hAnsi="宋体"/>
                <w:szCs w:val="21"/>
              </w:rPr>
            </w:pPr>
            <w:r>
              <w:rPr>
                <w:rFonts w:ascii="宋体" w:hAnsi="宋体"/>
                <w:szCs w:val="21"/>
              </w:rPr>
              <w:t>GB1447-83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837" w:type="pct"/>
            <w:shd w:val="clear" w:color="auto" w:fill="auto"/>
            <w:vAlign w:val="center"/>
          </w:tcPr>
          <w:p>
            <w:pPr>
              <w:spacing w:line="240" w:lineRule="exact"/>
              <w:jc w:val="center"/>
              <w:rPr>
                <w:rFonts w:ascii="宋体" w:hAnsi="宋体"/>
                <w:szCs w:val="21"/>
              </w:rPr>
            </w:pPr>
            <w:r>
              <w:rPr>
                <w:rFonts w:ascii="宋体" w:hAnsi="宋体"/>
                <w:szCs w:val="21"/>
              </w:rPr>
              <w:t>7</w:t>
            </w:r>
          </w:p>
        </w:tc>
        <w:tc>
          <w:tcPr>
            <w:tcW w:w="1673" w:type="pct"/>
            <w:shd w:val="clear" w:color="auto" w:fill="auto"/>
            <w:vAlign w:val="center"/>
          </w:tcPr>
          <w:p>
            <w:pPr>
              <w:spacing w:line="240" w:lineRule="exact"/>
              <w:jc w:val="center"/>
              <w:rPr>
                <w:rFonts w:ascii="宋体" w:hAnsi="宋体"/>
                <w:szCs w:val="21"/>
              </w:rPr>
            </w:pPr>
            <w:r>
              <w:rPr>
                <w:rFonts w:ascii="宋体" w:hAnsi="宋体"/>
                <w:szCs w:val="21"/>
              </w:rPr>
              <w:t>巴氏硬度</w:t>
            </w:r>
          </w:p>
        </w:tc>
        <w:tc>
          <w:tcPr>
            <w:tcW w:w="912" w:type="pct"/>
            <w:shd w:val="clear" w:color="auto" w:fill="auto"/>
            <w:vAlign w:val="center"/>
          </w:tcPr>
          <w:p>
            <w:pPr>
              <w:spacing w:line="240" w:lineRule="exact"/>
              <w:jc w:val="center"/>
              <w:rPr>
                <w:rFonts w:ascii="宋体" w:hAnsi="宋体"/>
                <w:szCs w:val="21"/>
              </w:rPr>
            </w:pPr>
            <w:r>
              <w:rPr>
                <w:rFonts w:ascii="宋体" w:hAnsi="宋体"/>
                <w:szCs w:val="21"/>
              </w:rPr>
              <w:t>&gt;35</w:t>
            </w:r>
          </w:p>
        </w:tc>
        <w:tc>
          <w:tcPr>
            <w:tcW w:w="1578" w:type="pct"/>
            <w:shd w:val="clear" w:color="auto" w:fill="auto"/>
            <w:vAlign w:val="center"/>
          </w:tcPr>
          <w:p>
            <w:pPr>
              <w:spacing w:line="240" w:lineRule="exact"/>
              <w:jc w:val="center"/>
              <w:rPr>
                <w:rFonts w:ascii="宋体" w:hAnsi="宋体"/>
                <w:szCs w:val="21"/>
              </w:rPr>
            </w:pPr>
            <w:r>
              <w:rPr>
                <w:rFonts w:ascii="宋体" w:hAnsi="宋体"/>
                <w:szCs w:val="21"/>
              </w:rPr>
              <w:t>GB3854-83</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（3）制作玻璃钢制品技术要求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玻璃钢制品采用手工糊制成型，成型前必须对模具进行严格质检，误差不得大于1mm,玻璃钢制品在模具上成型四小时方可脱模，然后在室温固化二星期以上，达到充分固化。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不饱和聚脂树脂采用过氧化甲乙酮为引发剂，环烷酸钴为促进剂，规定过氧化甲乙酮的用量不得超过树脂的3%，环烷酸钴的用量夏季一般为2-3%左右，冬季一般为5%左右，以天气温度适宜控制。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玻璃钢制品平板制作时，为增强其刚度减少挠度，是在玻璃钢制品平板背面加钢肋。加钢肋的具体做法：底部肋采用方钢为20-40mm的A3方钢和不饱和聚脂树脂及玻璃纤维一起制作固化，A3方钢间距一般为200mm左右，A3方钢外包玻璃钢不得少于四层玻璃纤维布，跨度过大的玻璃钢制品平板A3方钢必须壁厚大于2.5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玻璃钢制品板厚度要求：跨度（沟宽）600mm以内厚度为35mm、跨度600mm-1200mm以内厚度为40mm、跨度1200mm-1800mm以内厚度为45mm、跨度1800mm-2500mm以内厚度为50mm、跨度2500mm-3500mm以内厚度为60mm。</w:t>
      </w:r>
    </w:p>
    <w:p>
      <w:pPr>
        <w:adjustRightInd w:val="0"/>
        <w:snapToGrid w:val="0"/>
        <w:spacing w:line="360" w:lineRule="auto"/>
        <w:ind w:firstLine="500" w:firstLineChars="200"/>
        <w:textAlignment w:val="baseline"/>
        <w:outlineLvl w:val="0"/>
        <w:rPr>
          <w:rFonts w:ascii="宋体" w:hAnsi="宋体"/>
          <w:kern w:val="0"/>
          <w:szCs w:val="21"/>
        </w:rPr>
      </w:pPr>
      <w:bookmarkStart w:id="4010" w:name="_Toc106050025"/>
      <w:bookmarkStart w:id="4011" w:name="_Toc106883288"/>
      <w:r>
        <w:rPr>
          <w:rFonts w:ascii="宋体" w:hAnsi="宋体"/>
          <w:kern w:val="0"/>
          <w:szCs w:val="21"/>
        </w:rPr>
        <w:t>（4）玻璃钢制品的检验与验收标准</w:t>
      </w:r>
      <w:bookmarkEnd w:id="4010"/>
      <w:bookmarkEnd w:id="401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外观：表面平整、颜色均匀一致、无斑点，目测无明显气泡，无裂纹，无纤维丝暴露和分层现象。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玻璃钢制品厚度误差控制在±1mm。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玻璃钢制品表面平整度控制在±1mm。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加强筋加强肋是否得体。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e. 表面花纹图案是否有缺陷。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f. 力学性能是否达到设计要求。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（5）包装、运输要求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玻璃钢制品走道包装时用木条间隔防止在运输中碰撞。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玻璃钢制品走道在运输、存放中不得暴晒。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露天存放时必须盖好油布。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（6）出厂、标志、合格证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玻璃钢制品走道必须标明生产厂、出厂合格证、标签、出厂日期及附说明书。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玻璃钢制品走道出厂产品必须有专职人员签章。</w:t>
      </w:r>
    </w:p>
    <w:p>
      <w:pPr>
        <w:spacing w:line="360" w:lineRule="auto"/>
        <w:outlineLvl w:val="3"/>
        <w:rPr>
          <w:rFonts w:ascii="宋体" w:hAnsi="宋体"/>
        </w:rPr>
      </w:pPr>
      <w:r>
        <w:rPr>
          <w:rFonts w:hint="eastAsia" w:ascii="宋体" w:hAnsi="宋体"/>
        </w:rPr>
        <w:t>4.2.2</w:t>
      </w:r>
      <w:r>
        <w:rPr>
          <w:rFonts w:ascii="宋体" w:hAnsi="宋体"/>
        </w:rPr>
        <w:t>.5  工艺</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.5.1  公差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制造和安装的金属构件和玻璃钢构件应在下列公差内：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在地平面的金属构件（例如：在铺面之间和在钢铺面和相邻的混凝土之间的连接）。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连接处高度的差异  3mm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结头间缝    3mm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在图纸上的尺寸      ±5mm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图纸上的水平   ±5mm</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.5.2  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如果金属构件和玻璃钢构件安装与固定在混凝土上，承包人应该用下列方法中的一种。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（1）将金属构件和玻璃钢构件预埋入混凝土结构中。</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（2）将金属构件和玻璃钢构件置于混凝土结构中的空槽或孔内灌浆。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（3）将金属构件焊接在混凝土预埋铁上。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（4）将金属构件和玻璃钢构件拴在钻孔内的自固定粘接剂固定螺栓上或膨胀螺栓上。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（5）将金属构件和玻璃钢构件铺在混凝土表面上的水泥砂浆上。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将最小级别为M10级的水泥砂浆用于小于100mm</w:t>
      </w:r>
      <w:r>
        <w:rPr>
          <w:rFonts w:ascii="宋体" w:hAnsi="宋体"/>
          <w:kern w:val="0"/>
          <w:szCs w:val="21"/>
          <w:vertAlign w:val="superscript"/>
        </w:rPr>
        <w:t>2</w:t>
      </w:r>
      <w:r>
        <w:rPr>
          <w:rFonts w:ascii="宋体" w:hAnsi="宋体"/>
          <w:kern w:val="0"/>
          <w:szCs w:val="21"/>
        </w:rPr>
        <w:t>的空槽或孔。对较大的孔，应使用与结构相同级别的混凝土而不是砂浆。金属构件的每种类型允许的安装方法如下表所述：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金属构件项目      允许安装的方法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阶梯、扶梯、铺面     1、3和4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爬梯        1、4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钢（不锈钢）栏杆     1、2、3</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出入口盖子、外壳体和沟渠格栅     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安装期间把根据需要应临时支撑每个金属构件和玻璃钢构件以承受住在安装、固定和内装时可能产生的力。在固定螺栓拧紧或空槽灌浆前，作为安装的一部分，要求栓上的接口密接并拧紧。灌浆过的螺帽或粘接剂固定的螺栓应在灌浆或粘接剂完全养护之后方可拧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可以用螺丝和固定在钻孔内的经获准的插头将小的或轻载的部件固定。</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4.2.2</w:t>
      </w:r>
      <w:r>
        <w:rPr>
          <w:rFonts w:ascii="宋体" w:hAnsi="宋体"/>
          <w:b/>
          <w:kern w:val="0"/>
          <w:szCs w:val="21"/>
        </w:rPr>
        <w:t>.5.3  检查和测试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装配期间，项目监理可以要求检查工程金属构件，除了在现场进行检查和测试外还可以要求在装配车间目睹测试，对项目监理向承包人提出的任何操作，承包人应预先28天通知项目监理代表以便项目监理能安排这些检查工作。</w:t>
      </w:r>
    </w:p>
    <w:p>
      <w:pPr>
        <w:adjustRightInd w:val="0"/>
        <w:snapToGrid w:val="0"/>
        <w:spacing w:line="360" w:lineRule="auto"/>
        <w:jc w:val="left"/>
        <w:outlineLvl w:val="0"/>
        <w:rPr>
          <w:rFonts w:ascii="宋体" w:hAnsi="宋体"/>
          <w:b/>
          <w:bCs/>
          <w:szCs w:val="20"/>
        </w:rPr>
      </w:pPr>
      <w:bookmarkStart w:id="4012" w:name="_Toc521492269"/>
      <w:bookmarkStart w:id="4013" w:name="_Toc521493126"/>
      <w:bookmarkStart w:id="4014" w:name="_Toc521493800"/>
      <w:bookmarkStart w:id="4015" w:name="_Toc106883289"/>
      <w:r>
        <w:rPr>
          <w:rFonts w:hint="eastAsia" w:ascii="宋体" w:hAnsi="宋体"/>
          <w:b/>
          <w:bCs/>
          <w:szCs w:val="20"/>
        </w:rPr>
        <w:t>4.2.3</w:t>
      </w:r>
      <w:r>
        <w:rPr>
          <w:rFonts w:ascii="宋体" w:hAnsi="宋体"/>
          <w:b/>
          <w:bCs/>
          <w:szCs w:val="20"/>
        </w:rPr>
        <w:t xml:space="preserve">  金属保护涂层</w:t>
      </w:r>
      <w:bookmarkEnd w:id="4012"/>
      <w:bookmarkEnd w:id="4013"/>
      <w:bookmarkEnd w:id="4014"/>
      <w:bookmarkEnd w:id="4015"/>
    </w:p>
    <w:p>
      <w:pPr>
        <w:spacing w:line="360" w:lineRule="auto"/>
        <w:outlineLvl w:val="3"/>
        <w:rPr>
          <w:rFonts w:ascii="宋体" w:hAnsi="宋体"/>
        </w:rPr>
      </w:pPr>
      <w:r>
        <w:rPr>
          <w:rFonts w:hint="eastAsia" w:ascii="宋体" w:hAnsi="宋体"/>
        </w:rPr>
        <w:t>4.2.3</w:t>
      </w:r>
      <w:r>
        <w:rPr>
          <w:rFonts w:ascii="宋体" w:hAnsi="宋体"/>
        </w:rPr>
        <w:t>.1  范围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本节包括如下内容：表面准备工作，提供并实施保护涂层措施、涂层以及用于金属表面的涂料系统。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本节不涉及被埋管子的保护，整体要求或设施的色彩，这些在技术规范的其他章节中有说明。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承包人应根据由承包人准备并获得项目监理代表批准的保护涂层和涂料系统一览表提供所有材料并实施所有工作。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承包人应对所有材料的可靠性负责，并对所有涂布地方的一切保护涂层系统的正确涂布负责。</w:t>
      </w:r>
    </w:p>
    <w:p>
      <w:pPr>
        <w:spacing w:line="360" w:lineRule="auto"/>
        <w:outlineLvl w:val="3"/>
        <w:rPr>
          <w:rFonts w:ascii="宋体" w:hAnsi="宋体"/>
        </w:rPr>
      </w:pPr>
      <w:r>
        <w:rPr>
          <w:rFonts w:hint="eastAsia" w:ascii="宋体" w:hAnsi="宋体"/>
        </w:rPr>
        <w:t>4.2.3</w:t>
      </w:r>
      <w:r>
        <w:rPr>
          <w:rFonts w:ascii="宋体" w:hAnsi="宋体"/>
        </w:rPr>
        <w:t>.2  参考标准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下列标准是同本章有关或是涉及本章的：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BA 5493   对钢铁结构防腐的保护涂层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BS 4129   焊接底涂料和全焊保护层的阻焊性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GB494-75   建筑物的油沥青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GB2290-80   煤焦油沥青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QJ 452-79   镀锌涂层的技术要求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-661-74   稀释剂的技术要求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-605-74   底涂料的技术要求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JGJ73-91   建筑装饰工程的施工和验收规范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GB50205-2001 钢结构工程施工质量验收规范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SI 1276-77   金属涂层和化学处理涂层的质量测试技术要求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GB/T13912-2002  金属覆盖层、钢铁制品热浸锌层技术要求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所应用的标准</w:t>
      </w:r>
      <w:r>
        <w:rPr>
          <w:rFonts w:hint="eastAsia" w:ascii="宋体" w:hAnsi="宋体"/>
          <w:kern w:val="0"/>
          <w:szCs w:val="21"/>
        </w:rPr>
        <w:t>和规范</w:t>
      </w:r>
      <w:r>
        <w:rPr>
          <w:rFonts w:ascii="宋体" w:hAnsi="宋体"/>
          <w:kern w:val="0"/>
          <w:szCs w:val="21"/>
        </w:rPr>
        <w:t>应是最新的且已实施的版本，必须在本招标截止日期之前28天尚在通用的版本。</w:t>
      </w:r>
    </w:p>
    <w:p>
      <w:pPr>
        <w:spacing w:line="360" w:lineRule="auto"/>
        <w:outlineLvl w:val="3"/>
        <w:rPr>
          <w:rFonts w:ascii="宋体" w:hAnsi="宋体"/>
        </w:rPr>
      </w:pPr>
      <w:r>
        <w:rPr>
          <w:rFonts w:hint="eastAsia" w:ascii="宋体" w:hAnsi="宋体"/>
        </w:rPr>
        <w:t>4.2.3</w:t>
      </w:r>
      <w:r>
        <w:rPr>
          <w:rFonts w:ascii="宋体" w:hAnsi="宋体"/>
        </w:rPr>
        <w:t>.3  提交的文件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（1）本章特别要求提交下列内容：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1）样品：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在样片上涂上涂层和色彩；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涂料的参考样品；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涂料的对照样品。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2）证书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制造商的共容性保证书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以项目监理发布的色彩表为基础的表面涂层色彩图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承包人的测试建议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（2）承包人应提供制造商关于工程每一部分的详细情况表，此表应包括下列内容：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1）系统使用的细节（需涂层的部件，部件的材料和环境）。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2）表面准备。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3）涂层制造商姓名。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4）待用的每种涂层的商标和参考号码。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5）制造商的每种涂层一览表，包括技术说明，涂料组成和每种涂层的颜色。</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6）有关每种涂层涂布使用范围和详细方法的意见，包括使用设备的有关资料。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7）每种涂层的最小湿膜厚度和目标厚度。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8）每种涂层最小干膜厚度和目标厚度。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每种涂层的涂料密度和每单位面积的涂料涂布量。</w:t>
      </w:r>
    </w:p>
    <w:p>
      <w:pPr>
        <w:spacing w:line="360" w:lineRule="auto"/>
        <w:outlineLvl w:val="3"/>
        <w:rPr>
          <w:rFonts w:ascii="宋体" w:hAnsi="宋体"/>
        </w:rPr>
      </w:pPr>
      <w:r>
        <w:rPr>
          <w:rFonts w:hint="eastAsia" w:ascii="宋体" w:hAnsi="宋体"/>
        </w:rPr>
        <w:t>4.2.3</w:t>
      </w:r>
      <w:r>
        <w:rPr>
          <w:rFonts w:ascii="宋体" w:hAnsi="宋体"/>
        </w:rPr>
        <w:t>.4  材料</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.4.1  概述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待使用材料的类型和品种须得到项目监理的认可，一旦得到认可，承包人如果没有事先得到项目监理的书面许可，不得使用其他材料。如果在技术规范中没有明确说明或制造商对于与钢铁结构有关的防腐保护系统的工艺、材料或过程没有明确说明，应遵照BS5493的有关意见。任何一个完整保护系统的所有金属涂层、底涂、内涂层和精修涂层应当互容的、完整的系统应当提供在它们被使用的环境中抵制物理与化学剥蚀能力的连续的、无孔隙的防腐涂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只要可行，在工程中组成任何一个保护涂料系统的材料应当来自于同一个制造商。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当涂层材料送往工地之前已被使用，承包人须从相应的制造商那里获得一份书面保证，保证同一个制造商的材料作为精修涂层，并附有制造商的证书表明这样的精修涂层同底涂是共容的。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只要合适，承包人应该向项目监理提供制造商的证书，说明每个涂料系统提供的涂料是共容的，并与涂布的底表面也是共容的。</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.4.2  标志和包装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所有的涂料应用密封的并带有涂料制造厂标签的容器运送到现场。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标签应有下列详细项目：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—制造商的姓名，姓和名的第一个字母或商标；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—涂料类型—底涂层、表面层还是精修层，供内用还是外用；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—批号，制造或重新测试日期；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—涂料储藏要求及使用有效期；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—适当的安全指示。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除涂料外的材料的容器也应尽可能适用上述内容。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涂料容器不得超出5立升容积，除了是装乳胶、喷漆、沥青漆、石头和水泥漆的存器，放这些涂料的容器可大一点。</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.4.3  涂料颜色</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涂料的颜色都应按照BS4800或者得到项目监理代表的许可，最后涂层应该按照承包人同意的以项目监理代表待发布的色彩图为基础的色彩表。每层涂料在颜色上应同前一层涂料有明显不同。承包人应当提供最后层和中间层的颜色样品条。</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.4.4  预制构件底层涂层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预制钢结构的涂层应按照BS4129，并包含防腐颜料，还应与基层牢固粘住，在保护涂料系统中为连续涂层形成适当的基础。</w:t>
      </w:r>
    </w:p>
    <w:p>
      <w:pPr>
        <w:spacing w:line="360" w:lineRule="auto"/>
        <w:outlineLvl w:val="3"/>
        <w:rPr>
          <w:rFonts w:ascii="宋体" w:hAnsi="宋体"/>
        </w:rPr>
      </w:pPr>
      <w:r>
        <w:rPr>
          <w:rFonts w:hint="eastAsia" w:ascii="宋体" w:hAnsi="宋体"/>
        </w:rPr>
        <w:t>4.2.3</w:t>
      </w:r>
      <w:r>
        <w:rPr>
          <w:rFonts w:ascii="宋体" w:hAnsi="宋体"/>
        </w:rPr>
        <w:t>.5  工艺</w:t>
      </w:r>
    </w:p>
    <w:p>
      <w:pPr>
        <w:adjustRightInd w:val="0"/>
        <w:snapToGrid w:val="0"/>
        <w:spacing w:line="360" w:lineRule="auto"/>
        <w:textAlignment w:val="baseline"/>
        <w:outlineLvl w:val="0"/>
        <w:rPr>
          <w:rFonts w:ascii="宋体" w:hAnsi="宋体"/>
          <w:b/>
          <w:kern w:val="0"/>
          <w:szCs w:val="21"/>
        </w:rPr>
      </w:pPr>
      <w:bookmarkStart w:id="4016" w:name="_Toc106050027"/>
      <w:bookmarkStart w:id="4017" w:name="_Toc106883290"/>
      <w:r>
        <w:rPr>
          <w:rFonts w:hint="eastAsia" w:ascii="宋体" w:hAnsi="宋体"/>
          <w:b/>
          <w:kern w:val="0"/>
          <w:szCs w:val="21"/>
        </w:rPr>
        <w:t>4.2.3</w:t>
      </w:r>
      <w:r>
        <w:rPr>
          <w:rFonts w:ascii="宋体" w:hAnsi="宋体"/>
          <w:b/>
          <w:kern w:val="0"/>
          <w:szCs w:val="21"/>
        </w:rPr>
        <w:t>.5.1  人工清洗</w:t>
      </w:r>
      <w:bookmarkEnd w:id="4016"/>
      <w:bookmarkEnd w:id="401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“人工清洗”这一词适用于非喷气清洗，酸洗或火焰清除的所有清洗方法。 所有人工清洗应达到JGJ73-91和GB50205-2002的标准。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如果使用动力工具，为除去灰尘和碎片应采用包括真空抽气在内的适当方法。应使用手持工具，以避免看不见的擦伤痕迹。</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.5.2  酸洗</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凡指定要酸洗的地方，所有多余的酸和盐应用冲洗法除去，第一层底漆应等其干到可以涂布之时立即涂上。</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.5.3  涂料的储存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涂料应在现场按制造商建议的条件加盖贮存。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涂料应以此种方式储存，即使用时应按照到货的顺序分批发放。即每批发出待使用的涂料应按照到货的顺序进行。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应提供单独的库房以储存，为刷洗或其它清洗需用的清洁溶剂。清洁溶剂不得储存在涂料或涂料稀释剂储存的地方，也不得储存在准备使用的涂料的地方。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对于安全储存期有限的涂料，在制造商说明书中所说的期限之后不得使用。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易燃材料的储存应根据适当的防火规定进行。不同类型的涂料不得一起装箱。</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.5.4  涂料工作的安全措施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必须在本合同中执行项目监理同意在工程中使用的制造商关于涂料在安全和健康方面的建议。</w:t>
      </w:r>
    </w:p>
    <w:p>
      <w:pPr>
        <w:adjustRightInd w:val="0"/>
        <w:snapToGrid w:val="0"/>
        <w:spacing w:line="360" w:lineRule="auto"/>
        <w:textAlignment w:val="baseline"/>
        <w:outlineLvl w:val="4"/>
        <w:rPr>
          <w:rFonts w:ascii="宋体" w:hAnsi="宋体"/>
          <w:b/>
          <w:kern w:val="0"/>
          <w:szCs w:val="21"/>
        </w:rPr>
      </w:pPr>
      <w:r>
        <w:rPr>
          <w:rFonts w:ascii="宋体" w:hAnsi="宋体"/>
          <w:b/>
          <w:kern w:val="0"/>
          <w:szCs w:val="21"/>
        </w:rPr>
        <w:t>4.2.</w:t>
      </w:r>
      <w:r>
        <w:rPr>
          <w:rFonts w:hint="eastAsia" w:ascii="宋体" w:hAnsi="宋体"/>
          <w:b/>
          <w:kern w:val="0"/>
          <w:szCs w:val="21"/>
        </w:rPr>
        <w:t>3</w:t>
      </w:r>
      <w:r>
        <w:rPr>
          <w:rFonts w:ascii="宋体" w:hAnsi="宋体"/>
          <w:b/>
          <w:kern w:val="0"/>
          <w:szCs w:val="21"/>
        </w:rPr>
        <w:t>.5.5  涂料工作—概述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所有涂料的准备和使用应严格按照制造商的说明进行。本技术规范的有关部分和有关的说明书的副本应发予项目监理。如制造商说明书与本技术规范有冲突，应从项目监理代表处理寻求解决办法。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工艺应按照JGJ73-94和GB50205-2002的要求执行。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每个受雇的涂料工应是熟练的，并对规定的方法富有经验。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任何涂料工作开始之前，承包人应采取一切必要预防措施以确保在工程的任何部分没有任何破坏或损伤。在涂料开始之前，邻近的金属构件、另件、板、照明装置及类似的部件应移去或对它们予以保护。在每个房间或空间完工时，以上部件应重新放好。为涂底边，必要时门应拆除。为拆除和安装以上部件，必须雇佣熟练的工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涂料进行和准备阶段，承包人应采取一切可能措施以控制灰尘。在涂料开始之前，地板应扫过并冲洗干净。要涂的表面在涂料之前也必须弄清洁，在涂料工作进行时，必须采取一切措施控制灰尘。承包人应特别注意不要将涂料涂到不需上涂料的表面，一旦涂到这些表面，应立即彻底除去。所有易于损坏及溢漏的地板及表面必须用防尘板保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如果项目监理认为预防措施是不适当的，则承包人应根据项目监理代表的指示作一切相应的改进。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应从承包人的仓库送到准备使用的涂料工处。对于特殊方法及其有关的使用条件，掺加稀释剂的工作应在项目监理代表监督下，在仓库里进行，最多不得超过制造商有关的说明书中的限度。除摇溶性涂料，其它涂料在使用前和使用时应彻底搅匀，必要时应过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接受涂料之前被涂表面未照规定那样准备好并清洁过，任何涂料不得涂上此表面。前次涂料层未足够干或未足够固化以准备接受下一次涂料之前不可进一步再涂。除非经特殊允许，在前次涂料涂上二十四小时之内，必须涂上后一次涂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除最上层涂料外，每层底涂料和精修涂料均须用适当号数的、清洁的、湿的和干的砂纸擦，以除去被盖住的灰尘、痕迹、粗纹或其它瑕疵，所有由此而产生的灰尘或涂料胶须用冲洗法除去。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涂过底漆的新的木制品和金属品，在该工序完工之前，不得置于暴露之处或在不适当的条件之下放置一段不妥当时间。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除非制造商在容器外或说明书中另有说明，不允许对涂料进行稀释。当环境温度高于5</w:t>
      </w:r>
      <w:r>
        <w:rPr>
          <w:rFonts w:hint="eastAsia" w:ascii="宋体" w:hAnsi="宋体" w:cs="宋体"/>
          <w:kern w:val="0"/>
          <w:szCs w:val="21"/>
        </w:rPr>
        <w:t>℃</w:t>
      </w:r>
      <w:r>
        <w:rPr>
          <w:rFonts w:ascii="宋体" w:hAnsi="宋体"/>
          <w:kern w:val="0"/>
          <w:szCs w:val="21"/>
        </w:rPr>
        <w:t>，相对湿度低于90％时，才能使用涂料。要上涂料的表面应干燥，应无水份，直到涂料已干燥或完全固化，以避免对以后的外层或对涂料保护产生有害的影响。在要上涂料的表面冷热程度超过制造商所允许的限度时，不得使用涂料。在进行涂料时应避免起泡和起皱。凡可以的话，外表面的涂料应随太阳而动，这样就能在荫处进行工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在进行涂料时，应按照下列方法之一进行，由承包人进行选择，除非在制造商使用说明书中已规定或已建议一种特殊的方法。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—刷子</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—滚筒，必要时由刷子来补充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—空气压力涂布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—真空涂布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承包人不得将涂料工作中的固体或液体废料丢弃到任何永久的卫生设备、阴沟或下水道中。为此应提供并使用不可燃的便携式容器。</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.5.6  钢和铁的底料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一俟装配之后，应立即为钢结构上主底料，可能的话，须用与预制底料相同配方的涂料（如果已用过底涂料）。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装配之后，所有仍存在的钢板、钢部件、边、角、缝或孔，而不是焊接缝部分或密封空隙处的内部表面，须用规定的适当的底涂料或底漆用刷子多涂上一层条状涂料，以确保边缘等处成交叉的钢结构的保护的连续性。</w:t>
      </w:r>
    </w:p>
    <w:p>
      <w:pPr>
        <w:adjustRightInd w:val="0"/>
        <w:snapToGrid w:val="0"/>
        <w:spacing w:line="360" w:lineRule="auto"/>
        <w:textAlignment w:val="baseline"/>
        <w:outlineLvl w:val="0"/>
        <w:rPr>
          <w:rFonts w:ascii="宋体" w:hAnsi="宋体"/>
          <w:b/>
          <w:kern w:val="0"/>
          <w:szCs w:val="21"/>
        </w:rPr>
      </w:pPr>
      <w:bookmarkStart w:id="4018" w:name="_Toc106050028"/>
      <w:bookmarkStart w:id="4019" w:name="_Toc106883291"/>
      <w:r>
        <w:rPr>
          <w:rFonts w:hint="eastAsia" w:ascii="宋体" w:hAnsi="宋体"/>
          <w:b/>
          <w:kern w:val="0"/>
          <w:szCs w:val="21"/>
        </w:rPr>
        <w:t>4.2.3</w:t>
      </w:r>
      <w:r>
        <w:rPr>
          <w:rFonts w:ascii="宋体" w:hAnsi="宋体"/>
          <w:b/>
          <w:kern w:val="0"/>
          <w:szCs w:val="21"/>
        </w:rPr>
        <w:t>.5.7  镀热浸锌表面的准备工作</w:t>
      </w:r>
      <w:bookmarkEnd w:id="4018"/>
      <w:bookmarkEnd w:id="401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要上涂料的镀锌金属另件必须彻底清洗表面的灰尘和润滑油。用石油溶剂去尘和清洗，用干净的擦试材料清扫。任何铁锈小斑点须用铜丝刷子修补，并用含锌足的底料进行点补。所有要上涂料的表面至少要涂一遍铅酸钙底料。钢铁制品热浸锌层技术要求按规范GB/T13912-2002规定执行。</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.5.8  涂布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须根据技术规范和制造商的说明涂上保护性涂料，应涂到规定的足够厚度，应特别注意系统的两次涂布之间的时间间隔的要求。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除了那些已完全上好涂料运送到工地的和为了发运与贮藏在制造商发货之前已经包装并保护好的部件之外，至少来说，部件在最后安装完毕之后，要进行最终涂布。</w:t>
      </w:r>
    </w:p>
    <w:p>
      <w:pPr>
        <w:adjustRightInd w:val="0"/>
        <w:snapToGrid w:val="0"/>
        <w:spacing w:line="360" w:lineRule="auto"/>
        <w:textAlignment w:val="baseline"/>
        <w:outlineLvl w:val="0"/>
        <w:rPr>
          <w:rFonts w:ascii="宋体" w:hAnsi="宋体"/>
          <w:b/>
          <w:kern w:val="0"/>
          <w:szCs w:val="21"/>
        </w:rPr>
      </w:pPr>
      <w:bookmarkStart w:id="4020" w:name="_Toc106050029"/>
      <w:bookmarkStart w:id="4021" w:name="_Toc106883292"/>
      <w:r>
        <w:rPr>
          <w:rFonts w:hint="eastAsia" w:ascii="宋体" w:hAnsi="宋体"/>
          <w:b/>
          <w:kern w:val="0"/>
          <w:szCs w:val="21"/>
        </w:rPr>
        <w:t>4.2.3</w:t>
      </w:r>
      <w:r>
        <w:rPr>
          <w:rFonts w:ascii="宋体" w:hAnsi="宋体"/>
          <w:b/>
          <w:kern w:val="0"/>
          <w:szCs w:val="21"/>
        </w:rPr>
        <w:t>.5.9  焊接件涂布</w:t>
      </w:r>
      <w:bookmarkEnd w:id="4020"/>
      <w:bookmarkEnd w:id="402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暴露的焊接件，在全部完成与磨光之后，应从钢部件的表面除去焊接溅出物、焊接残余物，所有碱性沉积物和碱性污染物。焊接件及在焊接过程中受到影响或破坏的地方应喷气清洁。喷气清洁的地方应如规定的那样上底涂。为了完善焊缝与受损区的保护措施，如有必要的话应把该涂料系统的余下部分再予涂布，使其状态与原来的金属表面的一般情况相同。涂布的每层涂层应在原有材料的各个暴露侧面上的焊接两边重叠涂上50mm的相应的涂料。</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.5.10  涂布螺栓连接件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螺栓连接件的连接处在连接之前应罩起来以使表面不沾到涂料。在安装之前，遮罩应除去。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在安装之后，并且所有的螺栓也已探紧，连接处应清洁。以除去脏物、灰、油及其它杂质。要特别注意确保所有油和润滑脂的痕迹从螺栓、螺母和垫圈中除去。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螺栓、螺母、垫圈及螺栓连接件的任何暴露部分应按规定上底涂，应特别注意确保所有的缝隙达到充分密封。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然后再涂上涂料系统的其余涂层。</w:t>
      </w:r>
    </w:p>
    <w:p>
      <w:pPr>
        <w:adjustRightInd w:val="0"/>
        <w:snapToGrid w:val="0"/>
        <w:spacing w:line="360" w:lineRule="auto"/>
        <w:textAlignment w:val="baseline"/>
        <w:outlineLvl w:val="0"/>
        <w:rPr>
          <w:rFonts w:ascii="宋体" w:hAnsi="宋体"/>
          <w:b/>
          <w:kern w:val="0"/>
          <w:szCs w:val="21"/>
        </w:rPr>
      </w:pPr>
      <w:bookmarkStart w:id="4022" w:name="_Toc106050030"/>
      <w:bookmarkStart w:id="4023" w:name="_Toc106883293"/>
      <w:r>
        <w:rPr>
          <w:rFonts w:hint="eastAsia" w:ascii="宋体" w:hAnsi="宋体"/>
          <w:b/>
          <w:kern w:val="0"/>
          <w:szCs w:val="21"/>
        </w:rPr>
        <w:t>4.2.3</w:t>
      </w:r>
      <w:r>
        <w:rPr>
          <w:rFonts w:ascii="宋体" w:hAnsi="宋体"/>
          <w:b/>
          <w:kern w:val="0"/>
          <w:szCs w:val="21"/>
        </w:rPr>
        <w:t>.5.11  外层涂布的沥青涂料</w:t>
      </w:r>
      <w:bookmarkEnd w:id="4022"/>
      <w:bookmarkEnd w:id="402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凡在工厂已应用过沥青涂料的部件需用装饰涂料的地方，表面须用能与沥青和装饰涂料相容的合适油脂或聚醇铝底涂。</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.5.12  修理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钢构件已损坏的涂布区应清洁至无瑕疵为止，没有被破坏的涂层边缘须用砂纸擦出一个平缓的坡度。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然后应用规定的涂料系统使损坏处恢复到与周围的涂布部件相同的保护状态，每层新涂的涂料与原有的涂料至少重叠50mm。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在沾上有电焊溅出物、混凝土及其它附着物的涂布处，应立即清洗或冲洗掉这些附着物，在这整块地方进行外层涂布之前，应对已受影响的表面予以修复，使其达到它原来的标准。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如有必要，钢结构的暴露处应用喷气法清洗以除去所有的腐蚀物。</w:t>
      </w:r>
    </w:p>
    <w:p>
      <w:pPr>
        <w:spacing w:line="360" w:lineRule="auto"/>
        <w:outlineLvl w:val="3"/>
        <w:rPr>
          <w:rFonts w:ascii="宋体" w:hAnsi="宋体"/>
        </w:rPr>
      </w:pPr>
      <w:r>
        <w:rPr>
          <w:rFonts w:hint="eastAsia" w:ascii="宋体" w:hAnsi="宋体"/>
        </w:rPr>
        <w:t>4.2.3</w:t>
      </w:r>
      <w:r>
        <w:rPr>
          <w:rFonts w:ascii="宋体" w:hAnsi="宋体"/>
        </w:rPr>
        <w:t>.6 检查</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.6.1  检查—概述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承包人应根据这儿的规定对材料与工艺进行所有必要的检查和测试，以确定是否与技术规范一致，并在项目监理代表要求时提交这些试验结果。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项目监理将检查整个操作的一部分，如果承包人不能全部满足技术规范的要求，项目监理可以检查承包人的全部操作。除由项目监理进行的检查之外，可能还要聘请一个专业检查机构。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由检查和测试所发现的必要补救工作必须尽快进行。</w:t>
      </w:r>
    </w:p>
    <w:p>
      <w:pPr>
        <w:adjustRightInd w:val="0"/>
        <w:snapToGrid w:val="0"/>
        <w:spacing w:line="360" w:lineRule="auto"/>
        <w:textAlignment w:val="baseline"/>
        <w:outlineLvl w:val="0"/>
        <w:rPr>
          <w:rFonts w:ascii="宋体" w:hAnsi="宋体"/>
          <w:b/>
          <w:kern w:val="0"/>
          <w:szCs w:val="21"/>
        </w:rPr>
      </w:pPr>
      <w:bookmarkStart w:id="4024" w:name="_Toc106050031"/>
      <w:bookmarkStart w:id="4025" w:name="_Toc106883294"/>
      <w:r>
        <w:rPr>
          <w:rFonts w:hint="eastAsia" w:ascii="宋体" w:hAnsi="宋体"/>
          <w:b/>
          <w:kern w:val="0"/>
          <w:szCs w:val="21"/>
        </w:rPr>
        <w:t>4.2.3</w:t>
      </w:r>
      <w:r>
        <w:rPr>
          <w:rFonts w:ascii="宋体" w:hAnsi="宋体"/>
          <w:b/>
          <w:kern w:val="0"/>
          <w:szCs w:val="21"/>
        </w:rPr>
        <w:t>.6.2  涂料样品</w:t>
      </w:r>
      <w:bookmarkEnd w:id="4024"/>
      <w:bookmarkEnd w:id="402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和贮藏工程中使用的放于密封容器中的新鲜涂料的样品，在项目监理要求时将样品发运给他。样品的提取率为每100升所用的涂料为0.5L，或者是项目监理所同意的其它提取率，最小样品应为0.5升。应贴上牢固的标签，详细标明涂料型号、产地及使用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在使用稀释剂时，承包人应按照项目监理的指示经常测试使用的涂料样品。</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4.2.3</w:t>
      </w:r>
      <w:r>
        <w:rPr>
          <w:rFonts w:ascii="宋体" w:hAnsi="宋体"/>
          <w:b/>
          <w:kern w:val="0"/>
          <w:szCs w:val="21"/>
        </w:rPr>
        <w:t>.6.3  涂层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承包人应提供其型号已经认可的湿膜厚度计，并监督该仪器的使用，以检查涂层的应用情况。</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承包人应使用并让项目监理使用无破坏性的经认可的干膜厚度计以检查钢件及其他磁性表面上每个涂层的干膜厚度。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被涂布的金属料的厚度和粘度应在项目监理的要求下根据SJ1276-77进行测试。厚度测试应使用经认可的仪器。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热浸电镀涂料应在项目监理的要求下根据SJ1276-77测试涂料的厚度和均匀度。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在项目监理在场的情况下用经认可的漏漆检测仪对所有非金属涂料的连续性进行试验，或在项目监理同意下，与项目监理一起对已完工的涂料进行肉眼检查。高电压直流设备的扫锚电压应在经认可的样品上测量时整个涂层放电要求的二分之一。煤焦油或沥青的混合涂料的粘度应照项目监理的要求由承包人进行测试。该测度应包括样品表面的方法，通过慢速稳步推动，且垂直于除去相隔20mm的断面之间的可见的粘结处脱离应作为失效标准。涂料测试的最低温度是27℃。</w:t>
      </w:r>
    </w:p>
    <w:p>
      <w:pPr>
        <w:adjustRightInd w:val="0"/>
        <w:snapToGrid w:val="0"/>
        <w:spacing w:line="360" w:lineRule="auto"/>
        <w:outlineLvl w:val="1"/>
        <w:rPr>
          <w:rFonts w:ascii="宋体" w:hAnsi="宋体"/>
          <w:b/>
          <w:bCs/>
        </w:rPr>
      </w:pPr>
      <w:r>
        <w:rPr>
          <w:rFonts w:ascii="宋体" w:hAnsi="宋体"/>
          <w:b/>
          <w:bCs/>
          <w:sz w:val="30"/>
          <w:szCs w:val="30"/>
          <w14:shadow w14:blurRad="50800" w14:dist="38100" w14:dir="2700000" w14:sx="100000" w14:sy="100000" w14:kx="0" w14:ky="0" w14:algn="tl">
            <w14:srgbClr w14:val="000000">
              <w14:alpha w14:val="60000"/>
            </w14:srgbClr>
          </w14:shadow>
        </w:rPr>
        <w:br w:type="page"/>
      </w:r>
      <w:bookmarkStart w:id="4026" w:name="_Toc521492270"/>
      <w:bookmarkStart w:id="4027" w:name="_Toc521493127"/>
      <w:bookmarkStart w:id="4028" w:name="_Toc521493801"/>
      <w:bookmarkStart w:id="4029" w:name="_Toc106883295"/>
      <w:r>
        <w:rPr>
          <w:rFonts w:hint="eastAsia" w:ascii="宋体" w:hAnsi="宋体"/>
          <w:b/>
          <w:bCs/>
        </w:rPr>
        <w:t>4.3  建筑服务设施工程</w:t>
      </w:r>
      <w:bookmarkEnd w:id="4026"/>
      <w:bookmarkEnd w:id="4027"/>
      <w:bookmarkEnd w:id="4028"/>
      <w:bookmarkEnd w:id="4029"/>
    </w:p>
    <w:p>
      <w:pPr>
        <w:adjustRightInd w:val="0"/>
        <w:snapToGrid w:val="0"/>
        <w:spacing w:line="360" w:lineRule="auto"/>
        <w:jc w:val="left"/>
        <w:outlineLvl w:val="2"/>
        <w:rPr>
          <w:rFonts w:ascii="宋体" w:hAnsi="宋体"/>
          <w:b/>
          <w:bCs/>
          <w:szCs w:val="20"/>
        </w:rPr>
      </w:pPr>
      <w:bookmarkStart w:id="4030" w:name="_Toc521492271"/>
      <w:bookmarkStart w:id="4031" w:name="_Toc521493128"/>
      <w:bookmarkStart w:id="4032" w:name="_Toc521493802"/>
      <w:bookmarkStart w:id="4033" w:name="_Toc106883296"/>
      <w:r>
        <w:rPr>
          <w:rFonts w:hint="eastAsia" w:ascii="宋体" w:hAnsi="宋体"/>
          <w:b/>
          <w:bCs/>
          <w:szCs w:val="20"/>
        </w:rPr>
        <w:t>4.3.1</w:t>
      </w:r>
      <w:r>
        <w:rPr>
          <w:rFonts w:ascii="宋体" w:hAnsi="宋体"/>
          <w:b/>
          <w:bCs/>
          <w:szCs w:val="20"/>
        </w:rPr>
        <w:t xml:space="preserve">  一般要求</w:t>
      </w:r>
      <w:bookmarkEnd w:id="4030"/>
      <w:bookmarkEnd w:id="4031"/>
      <w:bookmarkEnd w:id="4032"/>
      <w:bookmarkEnd w:id="4033"/>
    </w:p>
    <w:p>
      <w:pPr>
        <w:spacing w:line="360" w:lineRule="auto"/>
        <w:outlineLvl w:val="3"/>
        <w:rPr>
          <w:rFonts w:ascii="宋体" w:hAnsi="宋体"/>
        </w:rPr>
      </w:pPr>
      <w:r>
        <w:rPr>
          <w:rFonts w:hint="eastAsia" w:ascii="宋体" w:hAnsi="宋体"/>
        </w:rPr>
        <w:t>4.3.1</w:t>
      </w:r>
      <w:r>
        <w:rPr>
          <w:rFonts w:ascii="宋体" w:hAnsi="宋体"/>
        </w:rPr>
        <w:t>.1  范围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本节包括对下述工程内容的制作、供应、安装、试验及试运转的一般要求。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（1）建筑给排水设施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（2）建筑物供电照明设施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（3）建筑物通风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（4）避雷保护系统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（5）建筑物电话</w:t>
      </w:r>
    </w:p>
    <w:p>
      <w:pPr>
        <w:spacing w:line="360" w:lineRule="auto"/>
        <w:outlineLvl w:val="3"/>
        <w:rPr>
          <w:rFonts w:ascii="宋体" w:hAnsi="宋体"/>
        </w:rPr>
      </w:pPr>
      <w:r>
        <w:rPr>
          <w:rFonts w:hint="eastAsia" w:ascii="宋体" w:hAnsi="宋体"/>
        </w:rPr>
        <w:t>4.3.1</w:t>
      </w:r>
      <w:r>
        <w:rPr>
          <w:rFonts w:ascii="宋体" w:hAnsi="宋体"/>
        </w:rPr>
        <w:t>.2  质量保证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承包人应在施工前28日提供符合技术规定和合同描述的2～3个知名品牌的样品，供业主选定。</w:t>
      </w:r>
    </w:p>
    <w:p>
      <w:pPr>
        <w:spacing w:line="360" w:lineRule="auto"/>
        <w:outlineLvl w:val="3"/>
        <w:rPr>
          <w:rFonts w:ascii="宋体" w:hAnsi="宋体"/>
        </w:rPr>
      </w:pPr>
      <w:r>
        <w:rPr>
          <w:rFonts w:hint="eastAsia" w:ascii="宋体" w:hAnsi="宋体"/>
        </w:rPr>
        <w:t>4.3.1</w:t>
      </w:r>
      <w:r>
        <w:rPr>
          <w:rFonts w:ascii="宋体" w:hAnsi="宋体"/>
        </w:rPr>
        <w:t>.3  承包人提交的文件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在工程有关的相应设备的部件或材料定货或着手制造前至少56天，承包人应当将所有建筑服务设施的详细布置图提交项目监理批准，在未获得项目监理批准前，设备和材料不得定货。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文件应按照规定的格式和程序提交，提交的详细要求见各建筑物服务工程的相应章节。</w:t>
      </w:r>
    </w:p>
    <w:p>
      <w:pPr>
        <w:spacing w:line="360" w:lineRule="auto"/>
        <w:outlineLvl w:val="3"/>
        <w:rPr>
          <w:rFonts w:ascii="宋体" w:hAnsi="宋体"/>
        </w:rPr>
      </w:pPr>
      <w:r>
        <w:rPr>
          <w:rFonts w:hint="eastAsia" w:ascii="宋体" w:hAnsi="宋体"/>
        </w:rPr>
        <w:t>4.3.1</w:t>
      </w:r>
      <w:r>
        <w:rPr>
          <w:rFonts w:ascii="宋体" w:hAnsi="宋体"/>
        </w:rPr>
        <w:t>.4  设计的一般要求</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4.3.1</w:t>
      </w:r>
      <w:r>
        <w:rPr>
          <w:rFonts w:ascii="宋体" w:hAnsi="宋体"/>
          <w:b/>
          <w:kern w:val="0"/>
          <w:szCs w:val="21"/>
        </w:rPr>
        <w:t>.4.1  一般布置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图纸已经给出了供水、配电、暖通及仪表等建筑服务设施的平面布置，该布置为建议布置，可以由业主根据需要进行调整。建筑物的一般布置由业主根据以下条件决定：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——给排水、机械及电气设备的水力设计的实际制约。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——操作和维修人员的工作要求。</w:t>
      </w:r>
    </w:p>
    <w:p>
      <w:pPr>
        <w:adjustRightInd w:val="0"/>
        <w:snapToGrid w:val="0"/>
        <w:spacing w:line="360" w:lineRule="auto"/>
        <w:textAlignment w:val="baseline"/>
        <w:outlineLvl w:val="0"/>
        <w:rPr>
          <w:rFonts w:ascii="宋体" w:hAnsi="宋体"/>
          <w:b/>
          <w:kern w:val="0"/>
          <w:szCs w:val="21"/>
        </w:rPr>
      </w:pPr>
      <w:bookmarkStart w:id="4034" w:name="_Toc106050034"/>
      <w:bookmarkStart w:id="4035" w:name="_Toc106883297"/>
      <w:r>
        <w:rPr>
          <w:rFonts w:hint="eastAsia" w:ascii="宋体" w:hAnsi="宋体"/>
          <w:b/>
          <w:kern w:val="0"/>
          <w:szCs w:val="21"/>
        </w:rPr>
        <w:t>4.3.1</w:t>
      </w:r>
      <w:r>
        <w:rPr>
          <w:rFonts w:ascii="宋体" w:hAnsi="宋体"/>
          <w:b/>
          <w:kern w:val="0"/>
          <w:szCs w:val="21"/>
        </w:rPr>
        <w:t>.4.2  业主的设计</w:t>
      </w:r>
      <w:bookmarkEnd w:id="4034"/>
      <w:bookmarkEnd w:id="403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建议的现场布置图和建筑物详图见图纸。</w:t>
      </w:r>
    </w:p>
    <w:p>
      <w:pPr>
        <w:adjustRightInd w:val="0"/>
        <w:snapToGrid w:val="0"/>
        <w:spacing w:line="360" w:lineRule="auto"/>
        <w:jc w:val="left"/>
        <w:outlineLvl w:val="2"/>
        <w:rPr>
          <w:rFonts w:ascii="宋体" w:hAnsi="宋体"/>
          <w:b/>
          <w:bCs/>
          <w:szCs w:val="20"/>
        </w:rPr>
      </w:pPr>
      <w:bookmarkStart w:id="4036" w:name="_Toc521492272"/>
      <w:bookmarkStart w:id="4037" w:name="_Toc521493129"/>
      <w:bookmarkStart w:id="4038" w:name="_Toc521493803"/>
      <w:bookmarkStart w:id="4039" w:name="_Toc106883298"/>
      <w:r>
        <w:rPr>
          <w:rFonts w:hint="eastAsia" w:ascii="宋体" w:hAnsi="宋体"/>
          <w:b/>
          <w:bCs/>
          <w:szCs w:val="20"/>
        </w:rPr>
        <w:t>4.3.2</w:t>
      </w:r>
      <w:r>
        <w:rPr>
          <w:rFonts w:ascii="宋体" w:hAnsi="宋体"/>
          <w:b/>
          <w:bCs/>
          <w:szCs w:val="20"/>
        </w:rPr>
        <w:t xml:space="preserve">  材料及工作质量</w:t>
      </w:r>
      <w:bookmarkEnd w:id="4036"/>
      <w:bookmarkEnd w:id="4037"/>
      <w:bookmarkEnd w:id="4038"/>
      <w:bookmarkEnd w:id="4039"/>
    </w:p>
    <w:p>
      <w:pPr>
        <w:spacing w:line="360" w:lineRule="auto"/>
        <w:outlineLvl w:val="3"/>
        <w:rPr>
          <w:rFonts w:ascii="宋体" w:hAnsi="宋体"/>
        </w:rPr>
      </w:pPr>
      <w:r>
        <w:rPr>
          <w:rFonts w:hint="eastAsia" w:ascii="宋体" w:hAnsi="宋体"/>
        </w:rPr>
        <w:t>4.3.2</w:t>
      </w:r>
      <w:r>
        <w:rPr>
          <w:rFonts w:ascii="宋体" w:hAnsi="宋体"/>
        </w:rPr>
        <w:t>.1  范围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本节技术说明主要陈述了本合同提供、制造和安装的设备材料及工作质量，承包人应遵循本节提出的要求。</w:t>
      </w:r>
    </w:p>
    <w:p>
      <w:pPr>
        <w:spacing w:line="360" w:lineRule="auto"/>
        <w:outlineLvl w:val="3"/>
        <w:rPr>
          <w:rFonts w:ascii="宋体" w:hAnsi="宋体"/>
        </w:rPr>
      </w:pPr>
      <w:r>
        <w:rPr>
          <w:rFonts w:hint="eastAsia" w:ascii="宋体" w:hAnsi="宋体"/>
        </w:rPr>
        <w:t>4.3.2</w:t>
      </w:r>
      <w:r>
        <w:rPr>
          <w:rFonts w:ascii="宋体" w:hAnsi="宋体"/>
        </w:rPr>
        <w:t>.2  参考标准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承包人应符合本节技术说明中所提及的标准。</w:t>
      </w:r>
    </w:p>
    <w:p>
      <w:pPr>
        <w:spacing w:line="360" w:lineRule="auto"/>
        <w:outlineLvl w:val="3"/>
        <w:rPr>
          <w:rFonts w:ascii="宋体" w:hAnsi="宋体"/>
        </w:rPr>
      </w:pPr>
      <w:r>
        <w:rPr>
          <w:rFonts w:hint="eastAsia" w:ascii="宋体" w:hAnsi="宋体"/>
        </w:rPr>
        <w:t>4.3.2</w:t>
      </w:r>
      <w:r>
        <w:rPr>
          <w:rFonts w:ascii="宋体" w:hAnsi="宋体"/>
        </w:rPr>
        <w:t>.3  设计使用期限</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材料和设备均应有长的使用期，并就适合于长期的每天二十四hr的连续不断的运转，且只须进行最少量的维修，可以要求承包人对任何部件使用期作出证明，承包人可以用相类似设备的使用记录或用广泛的测试记录来证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常规的维护和修理应尽可能不要求技术高的人员。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去易耗件如指示灯等在正常使用情况下需要频繁的更换外，凡是须经受磨耗的无论哪一种的部件，从投入使用到需更换或修理时的连续正常运转的使用寿命不应少于三年，而当须进行总的拆卸来更换部件时，则该部件使用寿命应不少于十年。</w:t>
      </w:r>
    </w:p>
    <w:p>
      <w:pPr>
        <w:spacing w:line="360" w:lineRule="auto"/>
        <w:outlineLvl w:val="3"/>
        <w:rPr>
          <w:rFonts w:ascii="宋体" w:hAnsi="宋体"/>
        </w:rPr>
      </w:pPr>
      <w:r>
        <w:rPr>
          <w:rFonts w:hint="eastAsia" w:ascii="宋体" w:hAnsi="宋体"/>
        </w:rPr>
        <w:t>4.3.2</w:t>
      </w:r>
      <w:r>
        <w:rPr>
          <w:rFonts w:ascii="宋体" w:hAnsi="宋体"/>
        </w:rPr>
        <w:t>.4  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工程上所使用的材料必须是最适合该工作的，并应是新的，一流的商业质量，无缺陷的，且应选择使用寿命长，维修要求低的材料。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所有的部件应能保持其特性，不会由于时间的消逝暴露在日光下或任何其他原因而引起老化。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特别注意应防止由于不同金属非常接近而引起的腐蚀，当必须使不同金属相互接触时则应作这样的材料选择，即使存在电流，其双金属腐蚀仍相当低的金属材料，或者采取适当的措施可以避免腐蚀或使腐蚀减小到能允许的范围，并需得到项目监理的认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合同上规定需要提供样品时，则这些样品应由承包人在所承包的任何工程中需要使用这些样品所代表的那些材料前，不少于28个日历日，自费提交，这些样品提交项目监理认可后，则样品所代表的材料方能认可。</w:t>
      </w:r>
    </w:p>
    <w:p>
      <w:pPr>
        <w:spacing w:line="360" w:lineRule="auto"/>
        <w:outlineLvl w:val="3"/>
        <w:rPr>
          <w:rFonts w:ascii="宋体" w:hAnsi="宋体"/>
        </w:rPr>
      </w:pPr>
      <w:r>
        <w:rPr>
          <w:rFonts w:hint="eastAsia" w:ascii="宋体" w:hAnsi="宋体"/>
        </w:rPr>
        <w:t>4.3.2</w:t>
      </w:r>
      <w:r>
        <w:rPr>
          <w:rFonts w:ascii="宋体" w:hAnsi="宋体"/>
        </w:rPr>
        <w:t>.5  工作质量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工作质量与涂层应是属于第一流的商业质量并应符合于最优良的工场的实践操作，涂层标准见其它章节的规定。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同类设备及其部件应具有互换性，备件应用与原件同样的材料制成，并应能与设备的相似的项目装配，对可以更换的部件的机械加工应是精确的，并须达到规定的允许偏差，以便按照制造商的图纸安装其代用品。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当设备在操纵运行时应没有过分的振动和只具有最少的噪音。旋转部件应是平衡的，以使它在各种不同操作速度进行运转时，以及达到最大的负荷时均不应由于失去平衡而产生振动。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凡能被灰尘或水磨损或损坏的那些部件应整个地用防尘罩或防水罩封闭。</w:t>
      </w:r>
    </w:p>
    <w:p>
      <w:pPr>
        <w:spacing w:line="360" w:lineRule="auto"/>
        <w:outlineLvl w:val="3"/>
        <w:rPr>
          <w:rFonts w:ascii="宋体" w:hAnsi="宋体"/>
        </w:rPr>
      </w:pPr>
      <w:r>
        <w:rPr>
          <w:rFonts w:hint="eastAsia" w:ascii="宋体" w:hAnsi="宋体"/>
        </w:rPr>
        <w:t>4.3.2</w:t>
      </w:r>
      <w:r>
        <w:rPr>
          <w:rFonts w:ascii="宋体" w:hAnsi="宋体"/>
        </w:rPr>
        <w:t>.6  铸造与锻造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铸件与锻件都应是良好的洁净的没有孔隙、裂缝、瑕疵、砂眼或激冷硬块的金属。所有的机加工面都应是没有瑕疵的。浇铸件应是洁净的、准确的和轮廊鲜明的，而所有的形状与尺寸的变化处都应做成渐变的，带合适的圆角与倒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可锻铸铁不能用于任何需要承受工作应力的地方，而在那些地方可使用铸钢。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根据规定，所有的铸铁都应仔细地嵌填和揩擦，直到它具有一个良好的平滑表面，用以接受最后一道油漆工序。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不超过总厚度12.5％的小缺陷及那些不会影响铸铁强度和使用功能的次要缺陷，则可用经过许可的焊接技术来修补。对那些超过铸铁规定的，不得使用焊接来修补那样的缺陷。用焊接来修补铸件的主要缺陷时，应在焊接之后，消除应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对任何含有不能被判明缺陷程度的铸件，以及不能确定焊接修补是否适当时，则必须对该铸铁进行非破坏性的测试。</w:t>
      </w:r>
    </w:p>
    <w:p>
      <w:pPr>
        <w:spacing w:line="360" w:lineRule="auto"/>
        <w:outlineLvl w:val="0"/>
        <w:rPr>
          <w:rFonts w:ascii="宋体" w:hAnsi="宋体"/>
        </w:rPr>
      </w:pPr>
      <w:bookmarkStart w:id="4040" w:name="_Toc106050036"/>
      <w:bookmarkStart w:id="4041" w:name="_Toc106883299"/>
      <w:r>
        <w:rPr>
          <w:rFonts w:hint="eastAsia" w:ascii="宋体" w:hAnsi="宋体"/>
        </w:rPr>
        <w:t>4.3.2</w:t>
      </w:r>
      <w:r>
        <w:rPr>
          <w:rFonts w:ascii="宋体" w:hAnsi="宋体"/>
        </w:rPr>
        <w:t>.7  焊接</w:t>
      </w:r>
      <w:bookmarkEnd w:id="4040"/>
      <w:bookmarkEnd w:id="404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焊接应由有资格进行这类工作的焊工进行，并应使项目监理满意，焊接应符合标准，最终要项目监理满意。</w:t>
      </w:r>
    </w:p>
    <w:p>
      <w:pPr>
        <w:spacing w:line="360" w:lineRule="auto"/>
        <w:outlineLvl w:val="0"/>
        <w:rPr>
          <w:rFonts w:ascii="宋体" w:hAnsi="宋体"/>
        </w:rPr>
      </w:pPr>
      <w:bookmarkStart w:id="4042" w:name="_Toc106050037"/>
      <w:bookmarkStart w:id="4043" w:name="_Toc106883300"/>
      <w:r>
        <w:rPr>
          <w:rFonts w:hint="eastAsia" w:ascii="宋体" w:hAnsi="宋体"/>
        </w:rPr>
        <w:t>4.3.2</w:t>
      </w:r>
      <w:r>
        <w:rPr>
          <w:rFonts w:ascii="宋体" w:hAnsi="宋体"/>
        </w:rPr>
        <w:t>.8  互换性</w:t>
      </w:r>
      <w:bookmarkEnd w:id="4042"/>
      <w:bookmarkEnd w:id="404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所在相类似的设备不论是作为一个整体或是它的有关部件均应是绝对地可以互换的。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所提供的设备的种类必须是合乎标准化的，就这一点而论在实际上能使设备的一些部件具有最大的互换性。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设备的尺寸应根据国际单位制标出（除非另有说明）。</w:t>
      </w:r>
    </w:p>
    <w:p>
      <w:pPr>
        <w:spacing w:line="360" w:lineRule="auto"/>
        <w:outlineLvl w:val="0"/>
        <w:rPr>
          <w:rFonts w:ascii="宋体" w:hAnsi="宋体"/>
        </w:rPr>
      </w:pPr>
      <w:bookmarkStart w:id="4044" w:name="_Toc106050038"/>
      <w:bookmarkStart w:id="4045" w:name="_Toc106883301"/>
      <w:r>
        <w:rPr>
          <w:rFonts w:hint="eastAsia" w:ascii="宋体" w:hAnsi="宋体"/>
        </w:rPr>
        <w:t>4.3.2</w:t>
      </w:r>
      <w:r>
        <w:rPr>
          <w:rFonts w:ascii="宋体" w:hAnsi="宋体"/>
        </w:rPr>
        <w:t>.9  噪音控制</w:t>
      </w:r>
      <w:bookmarkEnd w:id="4044"/>
      <w:bookmarkEnd w:id="404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承包人应注意保证所安装的设备的所有项目在运转时是无异常噪声的，在控制室内各项设备单独产生的噪音在距其一米处不得超过45分贝，而整个控制室内总的噪音不得大于50分贝。</w:t>
      </w:r>
    </w:p>
    <w:p>
      <w:pPr>
        <w:spacing w:line="360" w:lineRule="auto"/>
        <w:outlineLvl w:val="3"/>
        <w:rPr>
          <w:rFonts w:ascii="宋体" w:hAnsi="宋体"/>
        </w:rPr>
      </w:pPr>
      <w:r>
        <w:rPr>
          <w:rFonts w:hint="eastAsia" w:ascii="宋体" w:hAnsi="宋体"/>
        </w:rPr>
        <w:t>4.3.2</w:t>
      </w:r>
      <w:r>
        <w:rPr>
          <w:rFonts w:ascii="宋体" w:hAnsi="宋体"/>
        </w:rPr>
        <w:t>.10  润滑及清洗</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为了进行定期的检查与清洗，以及转动部件加注润滑油，应作适当的布局安排。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承包人应尽可能安排使整个设备中需加注润滑脂或油的那些部分，仅使用同一个等级或类型的润滑剂。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需要周期性加注润滑脂的个别的机械装置的所有轴承，均应采用标准的油嘴或油杯，如果需要的话，可将它们通过延伸管引出到一个便于到达的位置上，用于加注润滑脂用的手动油枪或加油泵应作为专用工具提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承包人应提供必需的润滑剂，用于设备在发送前的测试，以及在厂区现场，设备完全交付时使用。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承包人应提供适当的金属盛器来装盛足够用24个月的，适用于不同设备的各种润滑油及脂，并运送至业主的仑库。那些润滑剂应列入备件和工具的一览表内。</w:t>
      </w:r>
    </w:p>
    <w:p>
      <w:pPr>
        <w:spacing w:line="360" w:lineRule="auto"/>
        <w:outlineLvl w:val="3"/>
        <w:rPr>
          <w:rFonts w:ascii="宋体" w:hAnsi="宋体"/>
        </w:rPr>
      </w:pPr>
      <w:r>
        <w:rPr>
          <w:rFonts w:hint="eastAsia" w:ascii="宋体" w:hAnsi="宋体"/>
        </w:rPr>
        <w:t>4.3.2</w:t>
      </w:r>
      <w:r>
        <w:rPr>
          <w:rFonts w:ascii="宋体" w:hAnsi="宋体"/>
        </w:rPr>
        <w:t>.11  铭牌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所有的设备均应具有一个金属的铭牌板，用认可的方式固定，把制造商的名称，编号以及全部工作特性或输出功率、速度、压力、制造日期等清楚地表明在上面。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当所提供设备的厂铭牌可能设在一个不方便的地位时，如浸没式的泵，那么承包人应提供另外一个把详细情况综合在一起的铭牌，并应装钉在或邻近于该设备的控制板处。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所有的绝缘器，起动装置，开关或保险熔丝以及其它电气设备应清楚地加以标明，以示该单元的功能，而在单相设备的情况时，则表明该设备是连接到那一相的。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内部设备的标志应在白底上刻以黑色的正楷大写体，并应以螺丝把它固定在电气设备的外表面上。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不受气候影响的开关盘，室外绝缘器等应如上述一样固定雕刻好的标志。</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对在保险熔丝器板一的电路原理表牌的标志应在该熔丝器板上，如上述所规定的那样表明。每个电路均应加以签定和识别。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标志上的字句雕刻，应在该工作未进行之前由项目监理或他的代表批准。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在警告标志上的字样应以“危险”二字开始，并以红底白字书写。</w:t>
      </w:r>
    </w:p>
    <w:p>
      <w:pPr>
        <w:spacing w:line="360" w:lineRule="auto"/>
        <w:outlineLvl w:val="3"/>
        <w:rPr>
          <w:rFonts w:ascii="宋体" w:hAnsi="宋体"/>
        </w:rPr>
      </w:pPr>
      <w:r>
        <w:rPr>
          <w:rFonts w:hint="eastAsia" w:ascii="宋体" w:hAnsi="宋体"/>
        </w:rPr>
        <w:t>4.3.2</w:t>
      </w:r>
      <w:r>
        <w:rPr>
          <w:rFonts w:ascii="宋体" w:hAnsi="宋体"/>
        </w:rPr>
        <w:t>.12  基础、土建工程、地脚螺栓和对结构的固定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由本合同提供的设备和装置所必需的所有基础及基础螺栓预留孔均应根据由项目监理批准的设备和装置供应者的细节与图纸建造。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在他的投标文件内包括提供为本合同所规定供应的全部设备和装置上需用于锚固、固定、定位等方面所有的螺栓、衬板、夹子、托座支承钢结构和座板等，也包括为固定安装方面所需的全部必要的预留孔，预留槽的灌浆或砌入，除非另有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打算在先前已建成的结构中采用膨胀螺栓方式固定时，可使用标准形式的膨胀螺栓或认可的专用树脂锚固系统，如果截面较薄，或会引起使结构件损坏的应力时，只允许采用树脂锚固系统，仅在特定情况下，项目监理允许时，才能使用膨胀螺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当使用浇入技术连接时，预埋螺栓应在浇筑它们周围的混凝土以前，先行将它们正确地按样板设置好，然后浇混凝土。并应使牢固地就位，直至混凝土适当地凝固为止。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当使用树脂锚固时，承包人应保证该树脂的凝固时间是适合于设备安装的调整需要。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全部锚栓的安装均应严格地根据制造商的说明进行。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不管使用什么固定方式，所有的螺栓应涂锌或喷镀，也可以使用不锈钢的，以防腐蚀。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在任何固定系统如铝与钢结合时，所有的配合面在连接前，要用锌—铬基的连接剂作处理。</w:t>
      </w:r>
    </w:p>
    <w:p>
      <w:pPr>
        <w:spacing w:line="360" w:lineRule="auto"/>
        <w:outlineLvl w:val="3"/>
        <w:rPr>
          <w:rFonts w:ascii="宋体" w:hAnsi="宋体"/>
        </w:rPr>
      </w:pPr>
      <w:r>
        <w:rPr>
          <w:rFonts w:hint="eastAsia" w:ascii="宋体" w:hAnsi="宋体"/>
        </w:rPr>
        <w:t>4.3.2</w:t>
      </w:r>
      <w:r>
        <w:rPr>
          <w:rFonts w:ascii="宋体" w:hAnsi="宋体"/>
        </w:rPr>
        <w:t>.13  防护涂层和油漆</w:t>
      </w:r>
    </w:p>
    <w:p>
      <w:pPr>
        <w:adjustRightInd w:val="0"/>
        <w:snapToGrid w:val="0"/>
        <w:spacing w:line="360" w:lineRule="auto"/>
        <w:textAlignment w:val="baseline"/>
        <w:outlineLvl w:val="0"/>
        <w:rPr>
          <w:rFonts w:ascii="宋体" w:hAnsi="宋体"/>
          <w:b/>
          <w:kern w:val="0"/>
          <w:szCs w:val="21"/>
        </w:rPr>
      </w:pPr>
      <w:bookmarkStart w:id="4046" w:name="_Toc106050039"/>
      <w:bookmarkStart w:id="4047" w:name="_Toc106883302"/>
      <w:r>
        <w:rPr>
          <w:rFonts w:hint="eastAsia" w:ascii="宋体" w:hAnsi="宋体"/>
          <w:b/>
          <w:kern w:val="0"/>
          <w:szCs w:val="21"/>
        </w:rPr>
        <w:t>4.3.2</w:t>
      </w:r>
      <w:r>
        <w:rPr>
          <w:rFonts w:ascii="宋体" w:hAnsi="宋体"/>
          <w:b/>
          <w:kern w:val="0"/>
          <w:szCs w:val="21"/>
        </w:rPr>
        <w:t>.13.1  范围</w:t>
      </w:r>
      <w:bookmarkEnd w:id="4046"/>
      <w:bookmarkEnd w:id="404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技术说明章节，陈述了防护处理，涂层和油漆系统的表面准备、供应和应用。承包人应提供所有材料，并按照项目监理批准的防护涂层和油漆系统一览表来进行所有工作，各类设备终饰的颜色应根据项目监理所给出的一览表进行，承包人应对不论在那里进行的防护涂层或油漆系统负责。</w:t>
      </w:r>
    </w:p>
    <w:p>
      <w:pPr>
        <w:adjustRightInd w:val="0"/>
        <w:snapToGrid w:val="0"/>
        <w:spacing w:line="360" w:lineRule="auto"/>
        <w:textAlignment w:val="baseline"/>
        <w:outlineLvl w:val="0"/>
        <w:rPr>
          <w:rFonts w:ascii="宋体" w:hAnsi="宋体"/>
          <w:b/>
          <w:kern w:val="0"/>
          <w:szCs w:val="21"/>
        </w:rPr>
      </w:pPr>
      <w:bookmarkStart w:id="4048" w:name="_Toc106050040"/>
      <w:bookmarkStart w:id="4049" w:name="_Toc106883303"/>
      <w:r>
        <w:rPr>
          <w:rFonts w:hint="eastAsia" w:ascii="宋体" w:hAnsi="宋体"/>
          <w:b/>
          <w:kern w:val="0"/>
          <w:szCs w:val="21"/>
        </w:rPr>
        <w:t>4.3.2</w:t>
      </w:r>
      <w:r>
        <w:rPr>
          <w:rFonts w:ascii="宋体" w:hAnsi="宋体"/>
          <w:b/>
          <w:kern w:val="0"/>
          <w:szCs w:val="21"/>
        </w:rPr>
        <w:t>.13.2  总则</w:t>
      </w:r>
      <w:bookmarkEnd w:id="4048"/>
      <w:bookmarkEnd w:id="404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（1）承包人应提交下述内容但不限于此：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——防护涂层和油漆系统一览表。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——终饰层的颜色表格。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——制造商对防护处理、涂层、油漆系统的制作资料。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——制造厂的准备和应用说明。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——应用的方法。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（2）承包人应准备完成工程的详细一览表，包括下述内容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——项目。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——环境。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——表面准备。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——应用的防护涂层和油漆系统。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——涂料制造厂厂名。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——使用的每种涂料的牌号及参考数量。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——每种涂层的制造厂的资料表，包括技术描述、油漆的配方和每种涂层的颜色。</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——终饰的颜色。</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——关于每种涂层应用的地方，应用的详细方法的建议，包括使用的设备资料。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——最小湿膜厚度和每一涂层厚度指标。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——最小干膜厚度和每一涂层的厚度指标。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——每一涂层的油漆稠密度和每单位体积涂料的覆盖面积。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一览表上描述的工程应符合技术说明和图纸的要求，一览表应提交项目监理批准。</w:t>
      </w:r>
    </w:p>
    <w:p>
      <w:pPr>
        <w:adjustRightInd w:val="0"/>
        <w:snapToGrid w:val="0"/>
        <w:spacing w:line="360" w:lineRule="auto"/>
        <w:textAlignment w:val="baseline"/>
        <w:outlineLvl w:val="0"/>
        <w:rPr>
          <w:rFonts w:ascii="宋体" w:hAnsi="宋体"/>
          <w:b/>
          <w:kern w:val="0"/>
          <w:szCs w:val="21"/>
        </w:rPr>
      </w:pPr>
      <w:bookmarkStart w:id="4050" w:name="_Toc106050041"/>
      <w:bookmarkStart w:id="4051" w:name="_Toc106883304"/>
      <w:r>
        <w:rPr>
          <w:rFonts w:hint="eastAsia" w:ascii="宋体" w:hAnsi="宋体"/>
          <w:b/>
          <w:kern w:val="0"/>
          <w:szCs w:val="21"/>
        </w:rPr>
        <w:t>4.3.2</w:t>
      </w:r>
      <w:r>
        <w:rPr>
          <w:rFonts w:ascii="宋体" w:hAnsi="宋体"/>
          <w:b/>
          <w:kern w:val="0"/>
          <w:szCs w:val="21"/>
        </w:rPr>
        <w:t>.13.3  参考标准</w:t>
      </w:r>
      <w:bookmarkEnd w:id="4050"/>
      <w:bookmarkEnd w:id="405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除另有规定外，防护涂层和油漆应符合下列相应的参考标准：</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34"/>
        <w:gridCol w:w="1455"/>
        <w:gridCol w:w="5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序号</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标准编号</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BS729</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钢铁件热镀锌层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2</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BS1224</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镍铬电镀层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3</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BS1706</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钢铁上的镉与锌的电镀层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4</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BS2451</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冷硬铁丸及铁块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5</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BS29</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喷涂金属涂层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6</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BS2989</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连续冷浸锌与镀铁锌合金的钢宽带材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7</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BS3382</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螺纹件上的电镀层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8</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BS3416</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冷用黑沥青涂料溶液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9</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BS4129</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焊接金属涂料及内保护层焊接的电阻焊特性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10</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BS4147</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钢铁防护用热敷沥青基涂料规格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11</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BS4232</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为涂料面进行的钢表面喷砂修整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12</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BS4921</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钢铁件上的镀料层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13</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BS5493</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钢铁结构防腐层的实用规范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14</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CP231</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建筑物的油漆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15</w:t>
            </w:r>
          </w:p>
        </w:tc>
        <w:tc>
          <w:tcPr>
            <w:tcW w:w="850"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CP3012</w:t>
            </w:r>
          </w:p>
        </w:tc>
        <w:tc>
          <w:tcPr>
            <w:tcW w:w="342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金属表面的清理及处理</w:t>
            </w:r>
          </w:p>
        </w:tc>
      </w:tr>
    </w:tbl>
    <w:p>
      <w:pPr>
        <w:adjustRightInd w:val="0"/>
        <w:snapToGrid w:val="0"/>
        <w:spacing w:line="360" w:lineRule="auto"/>
        <w:textAlignment w:val="baseline"/>
        <w:outlineLvl w:val="0"/>
        <w:rPr>
          <w:rFonts w:ascii="宋体" w:hAnsi="宋体"/>
          <w:b/>
          <w:kern w:val="0"/>
          <w:szCs w:val="21"/>
        </w:rPr>
      </w:pPr>
      <w:bookmarkStart w:id="4052" w:name="_Toc106883305"/>
      <w:r>
        <w:rPr>
          <w:rFonts w:hint="eastAsia" w:ascii="宋体" w:hAnsi="宋体"/>
          <w:b/>
          <w:kern w:val="0"/>
          <w:szCs w:val="21"/>
        </w:rPr>
        <w:t>4.3.2</w:t>
      </w:r>
      <w:r>
        <w:rPr>
          <w:rFonts w:ascii="宋体" w:hAnsi="宋体"/>
          <w:b/>
          <w:kern w:val="0"/>
          <w:szCs w:val="21"/>
        </w:rPr>
        <w:t>.13.4  材料</w:t>
      </w:r>
      <w:bookmarkEnd w:id="405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1、防护涂料和油漆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（1）对在技术说明中或厂商没有明确规定的内容，只要与钢铁结构的防腐和建筑涂料有关，那么对加工材料或程序的任何特殊部分都要按照相应的实施规范来做，如下所示：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BS5493钢铁结构防腐涂层的实用规范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CP3012金属表面的清理及处理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（2）在任何一个防腐系统中，所有的金属涂料、防锈层、底漆层和面漆都要相互配合协调，整个系统要保证连续、无孔操作，使油漆在其应用的环境下不会发生物理和化学的衰变。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（3）对采用几种涂料进行连续涂刷的防护系统，诸如多层油漆系统要对其每一层涂料采用不同的色泽，便于辨认。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（4）对本工程的任一相同的防护或装饰系统所用的材料，要求由一家厂商提供。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2、鉴别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（1）所有的涂料都要贮存在密封装置内，除了按照法定的要求外还要注明下述内容：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——制造厂厂名，缩写或商标。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——是防锈漆，底漆还是面漆。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——内部用还是外部用。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——颜色参考号。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——采用的方法（刷涂、喷涂、滚涂）。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——本批的数量、制造或重复试验的日期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（2）对存放油漆之外的其他材料的容器要尽可能标上上述内容。油漆容器的容量不得超过5升，但是存放乳胶、沥青、石块和水泥涂料的容器可大些。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（3）预涂底漆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用于钢结构的予涂底漆必须符合BS4129的标准，防护涂料系统中有效的基础层应是含有防锈剂，能与物体牢固地粘结的底漆。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1）沥青涂料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沥青涂层既要符合BS3416“冷涂”标准，也要符合BS414“热涂”标准。凡需与饮用水相接触的涂层应选择适当的级配。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2）与饮用水接触的涂层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凡要与饮用水接触的涂层须按照BS3416中附录B的方法进行试验，与干涂层相接触的水不得有异味，不得含可见溶解酚，色度不得超过5个Hazen单位。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3）防护涂层和油漆系统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各种表面及工作环境的防护涂层和油漆系统应参照下列要求，除非另有规定外。干膜厚度（DFT）无论是单层、多层或总的系统均是用适当的测定仪测得的最小干膜厚度。如果采用氯丁橡胶涂层，那么必须用含云母的氧化铁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黑色金属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大气式—外部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参考系统  氯丁橡胶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喷砂清理到BS4232的二级标准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系统介绍  溶介自然硅酸锌75μm干膜厚度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高级氯丁橡胶80μm干膜厚度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氯丁橡胶瓷漆80μm干膜厚度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系统（b）</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黑色金属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大气式—内部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参考系统  干油型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表面准备  喷砂清理到BS4232的二级标准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系统介绍  防锈漆—干油型70μm干膜厚度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含云母的氧化铁底漆60/80μm干膜厚度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含云母的氧化铁面漆60/80μm干膜厚度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系统（c）</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黑色金属镀锌的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大气式—内部和外部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参考系统  氯丁橡胶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表面准备  电镀层或喷涂的锌必须去除，以去除氧化物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二层含磷酸和防锈剂的防腐涂层，干膜厚度为10μm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系统（d）</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铝</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大气式—内部和外部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参考系统  氯丁橡胶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清洗去除氧化物和轻擦表面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二层含磷酸和防锈剂的防腐涂层干膜厚度为10μm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高级氯丁橡胶干膜厚度100μm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氯丁橡胶干膜厚度35μm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系统（e）</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黑色金属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浸水式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参考系统  环氧树脂—系统A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喷砂处理到BS4232一级标准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系统介绍  商品化防锈漆（如果环氧层无法立即跟上）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催化剂处理后立即涂环氧树脂3层，总干膜厚度240μm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系统（f）</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直径200mm及以上的钢管内表面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经受水中颗粒磨蚀的钢管内表面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参考系统  环氧树脂—系统B</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喷砂清理到BS4232一级标准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系统介绍  一层环氧树脂，一层棕色煤焦油环氧树脂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一层黑色的煤焦油环氧树脂，总干膜厚度325μm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系统（g）</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电气设备的金属外壳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大气式—户内和户外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参考系统  厂商提供烘干器或大气干燥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按照涂层的材料来定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    喷砂清理到BS4232二级标准或磷酸清洗，用磷酸盐浸洗或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钝化浸化的方法（对环氧粉末）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镀锌   浸蚀底漆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系统介绍  多层或单层（环氧粉末）涂层系统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瓷漆的总干膜厚度200μm（多层涂料烘干机，或大气干燥）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环氧树脂粉末总干膜厚度80μm（仅对户内）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特殊要求需终饰的底板内表面有规定时要掺和抗冷凝剂</w:t>
      </w:r>
    </w:p>
    <w:p>
      <w:pPr>
        <w:adjustRightInd w:val="0"/>
        <w:snapToGrid w:val="0"/>
        <w:spacing w:line="360" w:lineRule="auto"/>
        <w:textAlignment w:val="baseline"/>
        <w:outlineLvl w:val="0"/>
        <w:rPr>
          <w:rFonts w:ascii="宋体" w:hAnsi="宋体"/>
          <w:b/>
          <w:kern w:val="0"/>
          <w:szCs w:val="21"/>
        </w:rPr>
      </w:pPr>
      <w:bookmarkStart w:id="4053" w:name="_Toc106883306"/>
      <w:bookmarkStart w:id="4054" w:name="_Toc106050042"/>
      <w:r>
        <w:rPr>
          <w:rFonts w:hint="eastAsia" w:ascii="宋体" w:hAnsi="宋体"/>
          <w:b/>
          <w:kern w:val="0"/>
          <w:szCs w:val="21"/>
        </w:rPr>
        <w:t>4.3.2</w:t>
      </w:r>
      <w:r>
        <w:rPr>
          <w:rFonts w:ascii="宋体" w:hAnsi="宋体"/>
          <w:b/>
          <w:kern w:val="0"/>
          <w:szCs w:val="21"/>
        </w:rPr>
        <w:t>.13.5  处理和应用</w:t>
      </w:r>
      <w:bookmarkEnd w:id="4053"/>
      <w:bookmarkEnd w:id="405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（1）喷砂清理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油漆前的表面处理和防护涂层及油漆系统的应用应遵循下列条款进行。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待喷砂的表面必须经许可的乳胶清理剂彻底清除掉其表面的的所有灰尘、油、脂和其他污染物后，并经常置换清理剂。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表面喷砂处理达到规定的BS4232一级或二级标准，采用的砂粒必须是激冷铁砂，达到BS2451标准（或者相似硬度的钢砂），最好是精细的颗粒，能通过30号筛孔（0.5mm），大于36筛孔（0.42mm）上，但是更细的颗粒，能达到BS2451（表2/级配G07）标准可以取而代之，砂粒不得含有有害物质，任何回用的砂粒在重新用前必须清理干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喷砂后的表面粗糙度必须根据下述要求：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一级25—50μm，指标值为25—40μm。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二级25—100μm。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表面粗糙度即表面断面上任一个从峰顶到邻近槽最底部的尺寸。</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喷砂清理要在大气温度高于5℃，相对湿度低于85％时进行。喷砂清理必须在这种条件下进行，即在清理过程中或清理刚结束，喷砂表面不会落下任何保护层或冷凝层。对清理后不切割掉的或不焊接的任一末端，再生角和边缘，都必须格外注意清洗。</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e. 喷砂清理后，最好采用真空清理法来去除面上的灰尘和砂粒。对任何喷砂清理后显露出来的剥离或其它的疵点都要把它们清楚地标绘出来，以便以后修补。因为这些剥离或疵点可能成为以后防护处理层下的腐蚀点（但其不应成为拒绝接受该部件的理由）。在喷砂后四个hr内就要喷刷或涂一层保护性的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f. 承包人必须提供并操纵既用来保护经过喷砂清理后的表面（直到可以涂漆为止）用以提供必要的保护条件的脱湿设备。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（2）金属涂层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对任何金属，当组装完毕（包括打洞、焊接、钻孔、研磨、螺丝攻和切割）并去除了表面的疵点后，应涂所需的起保护作用的金属涂层。在涂金属层前要把所有螺孔都填没。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金属涂层要符合下述要求：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热浸涂锌层要按照BS729标准。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热浸涂锌钢板和卷材要符合BS2989标准。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喷锌层要符合BS4921一级标准。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喷涂金属层要符合BS29。</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螺丝件的电镀要符合BS3382。</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镍和铬的电镀层要符合BS1224，工作条件4。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镉和锌的电锌层要符合BS1706。</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镀锌层在安装时有任何损坏都要用适当的冷电镀混合剂修补好。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（3）涂料的贮藏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涂料要贮藏在密封容器内，温度不得低于4℃，也不得高于27℃，要遵循由制造商建议的任何特殊贮藏条件。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使用任何装有涂料的容器时要严格按照制造商的送货顺序。每只容器上都必须注明涂料的制造日期，涂料的货架寿命以及制造厂的涂料型号和参考编号。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任何涂料从出厂起计超过12个月或超过涂料容器上注明的货架寿命就不得使用。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在使用涂料的每个工作期结束之时，所有已调和在一起但末用完的其使用期有限的两色底漆涂料以及相似的化学固化涂料均应弃之不用。其它类型的产品应从油漆工的白铁桶中倒回至贮器，保存在上部空间小于10％的油罐内密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（4）涂料—概述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准备涂料时，油漆工从承包人的油漆库中提取油漆。如果在特殊条件下油漆或采用特殊方法油漆，要添加稀释剂，那么这一工作要在监督下进行，保证在厂商涂料资料单规定的范围内。涂料须在使用前和使用过程中完全拌和，必要时，还要过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涂料时周围气温要在5℃以上，对相对温度90％以下。欲涂料的表面必须干燥，无水份，直到涂料层已经干化或熟化不会对其以后的外表面或良好的保护功能产生有害的影响为止。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涂料时要以根据承包人的意愿采用下述方法中的任何一种，除非厂商对涂料方法另有规定或建议。一为刷子，采用滚筒式，需要时可以增补刷子。二为喷涂。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当每层涂料已经干化，磨平和清理后才能刷下一层涂料。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e. 在油漆过程中，刷子、工具和设备都必须保持干净，在油漆过程中表面也必须保持干净，无灰尘。油漆不能在容易引起飞尘的环境附近进行操作。最后一层涂料色泽要均匀。不得有刷子的痕迹或其它疵点。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f. 承包人不得把油漆过程中产生的固体或液体废料扔到永久的卫生设施明沟或下水道中去，必须采用一只非燃性手提式贮藏器。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g. 承包人要保护好新油漆表面，使其免受任何原因引起的损坏。可有警告牌、栅栏和覆盖物作为警告。但在油漆时为了便于工作要把各种设备、五金器具、牌子及其类似物搬开。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（5）钢铁构件底漆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当钢构件制作完毕后要尽快地涂底漆，可能的话这种漆的成份要与予涂的底漆使用的成份相同（如果曾用过的话）。</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对任何涂过底漆的钢板或钢另件，预加工之后，还将存在的边缘、转角、裂隙或洞孔，如不作为焊接缝或密封空隙内表面的一部分，应该用刷子再刷一层条状的适当的底漆，以保证对边缘等部位起连续的保护作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（6）保护层和油漆系统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油漆系统要按照技术规范和厂商的技术说明书。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除涂环氧层的构件外，对任何构件都要当它们全部安装完毕后才能涂面漆。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环氧层的油漆应在发送前在工厂内全部完成，或应当构件安装完毕后再漆，除非已漆过商品防锈漆，在这种情况下，其它几层涂料可以在它安装就绪后再漆。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沥青油环氧油漆只有当周围温度在10℃以上，金属表面温度在5℃以上（高于周围空气露点）时才能进行。承包人必须提供和操纵所有必需的通风装置，使构件在喷砂清理，油漆和涂料固化过程中，温度和湿度能符合上述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（7）焊件的油漆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对暴露的焊接点作磨蚀处理后，要把钢构件表面的焊屑、焊渣、所有的碱性沉淀物以及污染物都清理干净。对在焊接过程中遭到损坏和影响的焊接点和任何其它部位，都须喷砂清理。对喷砂清理过的部位要按规定涂防锈漆，然后再根据需要涂该油漆系统的其它涂料保护焊缝及损坏的部位，使其状态与原来的金属表面情况一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每一层涂料都应在原来金属的暴露面上焊接处两侧与原有的涂料层重叠50mm。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（8）栓接处的油漆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栓接部位要掩盖起来，避免表面在联结前涂上油漆。掩遮物当构件安装时须拿开。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当它安装就绪并且所有的螺丝都拧紧了之后，就要把连接部位清理干净，去除所有脏物、灰尘、油脂或其它污染物。须特别小心保证在螺丝螺帽和垫圈上没有任何油脂类痕迹。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若油漆面周围部位有损坏，将根据有关条款（对损坏油漆面的修补）中的规定去除。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对螺丝、螺帽、垫圈和任一螺栓连接点的暴露部分都要根据规定涂防锈漆，必需保证把所有缝隙都封住。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e. 然后再漆该涂料系统的其它几层涂料。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（9）沥青层上再漆保护层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对在厂里已经涂过沥青层并准备再涂装饰层的构件，要在其表面再涂一层合适的油树脂或碱酸铝底漆，它必须能与沥青层和装饰性涂层兼容。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（10）电气设备金属罩的涂料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“罩”包括电气联柜、控制板、联结板、配电板和仪表盘，控制架和控制台。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罩子要有一个光滑的、坚挺的、耐用的用烘箱烘干的表面，无任何疵点。内表面涂白色，除非另有规定。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（11）损坏漆面的修补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对钢构件损坏的漆面要仔细地清理，对未损坏的漆面边缘用砂纸擦光滑。</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然后用规定的涂料系统把损坏部位修补到与周围漆面相同的水，每一层重叠在邻近旧漆面上的新涂层至少宽50mm。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在漆面上如有焊屑、混凝土或其它粘着物质必须立即清除干净，在开始另一层油漆前，必须把漆面上的杂质除去，使它恢复到原来的模样。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对钢外露部位，必须把它清理干净，去除所有锈蚀，如果必要的话可以采用喷砂清理的方法。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e. 如果环氧涂层遭损坏，必须采用原有涂层的厂商提供的适当的修补材料来修补。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（12）不施涂料的表面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那些不涂防腐材料的钢构件表面（它们不需用油漆或金属涂料作保护）只指下列这些：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箱子的内表面或中空部分，它们的尺寸太小，无论在组装阶段或在钢构件操作寿命期的运行维修阶段都无法进入对它们进行油漆，那些内表面或中空段将采用电焊方法加以密封；浇制在混凝土内的钢构件的表面。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彻底清理，以及用适当的处理方法来去除污染物并加以保护的机械的光亮部件及轴承表面。承包人要提供足够的溶剂来去除处理后的杂质。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对一些刷混凝土的钢件表面，在刷混凝土时必须清理干净，去除锈屑。对钢件的永久暴露表面，在其安装前要涂保护层并沿着接触面涂50mm边界线。含金属铝形式的涂料不得与混凝土有直接接触。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（13）色标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对管道、箱子和导管必须在装饰面上涂刷条状色标，或用标志色全面涂刷。色标要项目监理指定。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所有管子和箱子都要配备着色标签来指示其内容。管道上的标签要画箭头，指示管子内的水流方向。如果管子是拉色条的，那么标签就要系在色条上。在桔红色、黄色和绿色的底色上写黑字，在红色和蓝色上写白色字。在整个管道长度上要有足够的标签，至少在每只法兰附近或管子的断开处，（当它穿过墙、地板和门道或其它通道）要有标签，管道很长的话，每隔一段要系标签。</w:t>
      </w:r>
    </w:p>
    <w:p>
      <w:pPr>
        <w:adjustRightInd w:val="0"/>
        <w:snapToGrid w:val="0"/>
        <w:spacing w:line="360" w:lineRule="auto"/>
        <w:textAlignment w:val="baseline"/>
        <w:outlineLvl w:val="0"/>
        <w:rPr>
          <w:rFonts w:ascii="宋体" w:hAnsi="宋体"/>
          <w:b/>
          <w:kern w:val="0"/>
          <w:szCs w:val="21"/>
        </w:rPr>
      </w:pPr>
      <w:bookmarkStart w:id="4055" w:name="_Toc106050043"/>
      <w:bookmarkStart w:id="4056" w:name="_Toc106883307"/>
      <w:r>
        <w:rPr>
          <w:rFonts w:hint="eastAsia" w:ascii="宋体" w:hAnsi="宋体"/>
          <w:b/>
          <w:kern w:val="0"/>
          <w:szCs w:val="21"/>
        </w:rPr>
        <w:t>4.3.2</w:t>
      </w:r>
      <w:r>
        <w:rPr>
          <w:rFonts w:ascii="宋体" w:hAnsi="宋体"/>
          <w:b/>
          <w:kern w:val="0"/>
          <w:szCs w:val="21"/>
        </w:rPr>
        <w:t>.13.6  检验和试验</w:t>
      </w:r>
      <w:bookmarkEnd w:id="4055"/>
      <w:bookmarkEnd w:id="405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必须遵循下述特殊要求：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（1）检查湿膜厚度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必须配备经同意的湿膜厚度仪来检查涂料的等级。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（2）检查干膜厚度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必须采用干膜厚度涂于对钢和其它镍基锰合金表面之上的，让各层涂料累积的总干膜厚度作系统的测定。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（3）对钢铁表面的油漆层测定法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在试验板上试验后，承包人还要用适当的方法来检查涂层系统中的针孔。</w:t>
      </w:r>
    </w:p>
    <w:p>
      <w:pPr>
        <w:adjustRightInd w:val="0"/>
        <w:snapToGrid w:val="0"/>
        <w:spacing w:line="360" w:lineRule="auto"/>
        <w:jc w:val="left"/>
        <w:outlineLvl w:val="2"/>
        <w:rPr>
          <w:rFonts w:ascii="宋体" w:hAnsi="宋体"/>
          <w:b/>
          <w:bCs/>
          <w:szCs w:val="20"/>
        </w:rPr>
      </w:pPr>
      <w:bookmarkStart w:id="4057" w:name="_Toc521492273"/>
      <w:bookmarkStart w:id="4058" w:name="_Toc521493130"/>
      <w:bookmarkStart w:id="4059" w:name="_Toc521493804"/>
      <w:bookmarkStart w:id="4060" w:name="_Toc106883308"/>
      <w:r>
        <w:rPr>
          <w:rFonts w:hint="eastAsia" w:ascii="宋体" w:hAnsi="宋体"/>
          <w:b/>
          <w:bCs/>
          <w:szCs w:val="20"/>
        </w:rPr>
        <w:t>4.3.3</w:t>
      </w:r>
      <w:r>
        <w:rPr>
          <w:rFonts w:ascii="宋体" w:hAnsi="宋体"/>
          <w:b/>
          <w:bCs/>
          <w:szCs w:val="20"/>
        </w:rPr>
        <w:t xml:space="preserve">  电气部分</w:t>
      </w:r>
      <w:bookmarkEnd w:id="4057"/>
      <w:bookmarkEnd w:id="4058"/>
      <w:bookmarkEnd w:id="4059"/>
      <w:bookmarkEnd w:id="4060"/>
    </w:p>
    <w:p>
      <w:pPr>
        <w:spacing w:line="360" w:lineRule="auto"/>
        <w:outlineLvl w:val="0"/>
        <w:rPr>
          <w:rFonts w:ascii="宋体" w:hAnsi="宋体"/>
        </w:rPr>
      </w:pPr>
      <w:bookmarkStart w:id="4061" w:name="_Toc106050045"/>
      <w:bookmarkStart w:id="4062" w:name="_Toc106883309"/>
      <w:r>
        <w:rPr>
          <w:rFonts w:hint="eastAsia" w:ascii="宋体" w:hAnsi="宋体"/>
        </w:rPr>
        <w:t>4.3.3</w:t>
      </w:r>
      <w:r>
        <w:rPr>
          <w:rFonts w:ascii="宋体" w:hAnsi="宋体"/>
        </w:rPr>
        <w:t>.1  范围</w:t>
      </w:r>
      <w:bookmarkEnd w:id="4061"/>
      <w:bookmarkEnd w:id="4062"/>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.1.1  概述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本合同涉及的范围为新建水厂（以下简称净水）室内、外照明（包括照明电缆、电线、照明配电柜、照明配电箱、照明灯具、照明</w:t>
      </w:r>
      <w:r>
        <w:rPr>
          <w:rFonts w:hint="eastAsia" w:ascii="宋体" w:hAnsi="宋体"/>
          <w:kern w:val="0"/>
          <w:szCs w:val="21"/>
        </w:rPr>
        <w:t>用</w:t>
      </w:r>
      <w:r>
        <w:rPr>
          <w:rFonts w:ascii="宋体" w:hAnsi="宋体"/>
          <w:kern w:val="0"/>
          <w:szCs w:val="21"/>
        </w:rPr>
        <w:t>插座等），空调配电、建（构）筑物防雷</w:t>
      </w:r>
      <w:r>
        <w:rPr>
          <w:rFonts w:hint="eastAsia" w:ascii="宋体" w:hAnsi="宋体"/>
          <w:kern w:val="0"/>
          <w:szCs w:val="21"/>
        </w:rPr>
        <w:t>接地</w:t>
      </w:r>
      <w:r>
        <w:rPr>
          <w:rFonts w:ascii="宋体" w:hAnsi="宋体"/>
          <w:kern w:val="0"/>
          <w:szCs w:val="21"/>
        </w:rPr>
        <w:t>保护系统。不包括动力设备的供货安装及电缆连接等部分，该部分内容详见本技术规范13.3节。</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.1.2  合同内容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根据本合同内容，承包人应负责执行以下内容：</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构筑物照明系统的供货、安装。</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空调</w:t>
      </w:r>
      <w:r>
        <w:rPr>
          <w:rFonts w:hint="eastAsia" w:ascii="宋体" w:hAnsi="宋体"/>
          <w:kern w:val="0"/>
          <w:szCs w:val="21"/>
        </w:rPr>
        <w:t>配电用线</w:t>
      </w:r>
      <w:r>
        <w:rPr>
          <w:rFonts w:ascii="宋体" w:hAnsi="宋体"/>
          <w:kern w:val="0"/>
          <w:szCs w:val="21"/>
        </w:rPr>
        <w:t>缆及空调配电箱的供货、安装</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w:t>
      </w:r>
      <w:r>
        <w:rPr>
          <w:rFonts w:hint="eastAsia" w:ascii="宋体" w:hAnsi="宋体"/>
          <w:kern w:val="0"/>
          <w:szCs w:val="21"/>
        </w:rPr>
        <w:t>室外园区</w:t>
      </w:r>
      <w:r>
        <w:rPr>
          <w:rFonts w:ascii="宋体" w:hAnsi="宋体"/>
          <w:kern w:val="0"/>
          <w:szCs w:val="21"/>
        </w:rPr>
        <w:t>照明系统的供货、安装。</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室外接地系统的安装和测试。</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建筑物防雷保护系统的安装和测试。</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电气设备与土建相关的预埋件、预留孔、电缆沟的施工。</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本合同中要求执行的其他内容。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各构筑物的工作量如下表所示：</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41"/>
        <w:gridCol w:w="1785"/>
        <w:gridCol w:w="1210"/>
        <w:gridCol w:w="1017"/>
        <w:gridCol w:w="825"/>
        <w:gridCol w:w="442"/>
        <w:gridCol w:w="442"/>
        <w:gridCol w:w="442"/>
        <w:gridCol w:w="442"/>
        <w:gridCol w:w="442"/>
        <w:gridCol w:w="442"/>
        <w:gridCol w:w="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blHeader/>
        </w:trPr>
        <w:tc>
          <w:tcPr>
            <w:tcW w:w="258"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编号</w:t>
            </w:r>
          </w:p>
        </w:tc>
        <w:tc>
          <w:tcPr>
            <w:tcW w:w="1043"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构筑物名称</w:t>
            </w:r>
          </w:p>
        </w:tc>
        <w:tc>
          <w:tcPr>
            <w:tcW w:w="1301" w:type="pct"/>
            <w:gridSpan w:val="2"/>
            <w:shd w:val="clear" w:color="auto" w:fill="auto"/>
            <w:vAlign w:val="center"/>
          </w:tcPr>
          <w:p>
            <w:pPr>
              <w:spacing w:line="240" w:lineRule="exact"/>
              <w:jc w:val="center"/>
              <w:rPr>
                <w:rFonts w:ascii="宋体" w:hAnsi="宋体"/>
                <w:sz w:val="18"/>
                <w:szCs w:val="18"/>
              </w:rPr>
            </w:pPr>
            <w:r>
              <w:rPr>
                <w:rFonts w:ascii="宋体" w:hAnsi="宋体"/>
                <w:sz w:val="18"/>
                <w:szCs w:val="18"/>
              </w:rPr>
              <w:t>线路敷设方式</w:t>
            </w:r>
          </w:p>
        </w:tc>
        <w:tc>
          <w:tcPr>
            <w:tcW w:w="482"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照明</w:t>
            </w:r>
          </w:p>
          <w:p>
            <w:pPr>
              <w:spacing w:line="240" w:lineRule="exact"/>
              <w:jc w:val="center"/>
              <w:rPr>
                <w:rFonts w:ascii="宋体" w:hAnsi="宋体"/>
                <w:sz w:val="18"/>
                <w:szCs w:val="18"/>
              </w:rPr>
            </w:pPr>
            <w:r>
              <w:rPr>
                <w:rFonts w:ascii="宋体" w:hAnsi="宋体"/>
                <w:sz w:val="18"/>
                <w:szCs w:val="18"/>
              </w:rPr>
              <w:t>配电</w:t>
            </w:r>
          </w:p>
          <w:p>
            <w:pPr>
              <w:spacing w:line="240" w:lineRule="exact"/>
              <w:jc w:val="center"/>
              <w:rPr>
                <w:rFonts w:ascii="宋体" w:hAnsi="宋体"/>
                <w:sz w:val="18"/>
                <w:szCs w:val="18"/>
              </w:rPr>
            </w:pPr>
            <w:r>
              <w:rPr>
                <w:rFonts w:ascii="宋体" w:hAnsi="宋体"/>
                <w:sz w:val="18"/>
                <w:szCs w:val="18"/>
              </w:rPr>
              <w:t>箱（柜）</w:t>
            </w:r>
          </w:p>
        </w:tc>
        <w:tc>
          <w:tcPr>
            <w:tcW w:w="258"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室内</w:t>
            </w:r>
          </w:p>
          <w:p>
            <w:pPr>
              <w:spacing w:line="240" w:lineRule="exact"/>
              <w:jc w:val="center"/>
              <w:rPr>
                <w:rFonts w:ascii="宋体" w:hAnsi="宋体"/>
                <w:sz w:val="18"/>
                <w:szCs w:val="18"/>
              </w:rPr>
            </w:pPr>
            <w:r>
              <w:rPr>
                <w:rFonts w:ascii="宋体" w:hAnsi="宋体"/>
                <w:sz w:val="18"/>
                <w:szCs w:val="18"/>
              </w:rPr>
              <w:t>照明</w:t>
            </w:r>
          </w:p>
        </w:tc>
        <w:tc>
          <w:tcPr>
            <w:tcW w:w="258"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场地</w:t>
            </w:r>
          </w:p>
          <w:p>
            <w:pPr>
              <w:spacing w:line="240" w:lineRule="exact"/>
              <w:jc w:val="center"/>
              <w:rPr>
                <w:rFonts w:ascii="宋体" w:hAnsi="宋体"/>
                <w:sz w:val="18"/>
                <w:szCs w:val="18"/>
              </w:rPr>
            </w:pPr>
            <w:r>
              <w:rPr>
                <w:rFonts w:ascii="宋体" w:hAnsi="宋体"/>
                <w:sz w:val="18"/>
                <w:szCs w:val="18"/>
              </w:rPr>
              <w:t>照明</w:t>
            </w:r>
          </w:p>
        </w:tc>
        <w:tc>
          <w:tcPr>
            <w:tcW w:w="258"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池上</w:t>
            </w:r>
          </w:p>
          <w:p>
            <w:pPr>
              <w:spacing w:line="240" w:lineRule="exact"/>
              <w:jc w:val="center"/>
              <w:rPr>
                <w:rFonts w:ascii="宋体" w:hAnsi="宋体"/>
                <w:sz w:val="18"/>
                <w:szCs w:val="18"/>
              </w:rPr>
            </w:pPr>
            <w:r>
              <w:rPr>
                <w:rFonts w:ascii="宋体" w:hAnsi="宋体"/>
                <w:sz w:val="18"/>
                <w:szCs w:val="18"/>
              </w:rPr>
              <w:t>照明</w:t>
            </w:r>
          </w:p>
        </w:tc>
        <w:tc>
          <w:tcPr>
            <w:tcW w:w="258"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应急</w:t>
            </w:r>
          </w:p>
          <w:p>
            <w:pPr>
              <w:spacing w:line="240" w:lineRule="exact"/>
              <w:jc w:val="center"/>
              <w:rPr>
                <w:rFonts w:ascii="宋体" w:hAnsi="宋体"/>
                <w:sz w:val="18"/>
                <w:szCs w:val="18"/>
              </w:rPr>
            </w:pPr>
            <w:r>
              <w:rPr>
                <w:rFonts w:ascii="宋体" w:hAnsi="宋体"/>
                <w:sz w:val="18"/>
                <w:szCs w:val="18"/>
              </w:rPr>
              <w:t>照明</w:t>
            </w:r>
          </w:p>
        </w:tc>
        <w:tc>
          <w:tcPr>
            <w:tcW w:w="258"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接地</w:t>
            </w:r>
          </w:p>
          <w:p>
            <w:pPr>
              <w:spacing w:line="240" w:lineRule="exact"/>
              <w:jc w:val="center"/>
              <w:rPr>
                <w:rFonts w:ascii="宋体" w:hAnsi="宋体"/>
                <w:sz w:val="18"/>
                <w:szCs w:val="18"/>
              </w:rPr>
            </w:pPr>
            <w:r>
              <w:rPr>
                <w:rFonts w:ascii="宋体" w:hAnsi="宋体"/>
                <w:sz w:val="18"/>
                <w:szCs w:val="18"/>
              </w:rPr>
              <w:t>系统</w:t>
            </w:r>
          </w:p>
        </w:tc>
        <w:tc>
          <w:tcPr>
            <w:tcW w:w="258"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避雷</w:t>
            </w:r>
          </w:p>
          <w:p>
            <w:pPr>
              <w:spacing w:line="240" w:lineRule="exact"/>
              <w:jc w:val="center"/>
              <w:rPr>
                <w:rFonts w:ascii="宋体" w:hAnsi="宋体"/>
                <w:sz w:val="18"/>
                <w:szCs w:val="18"/>
              </w:rPr>
            </w:pPr>
            <w:r>
              <w:rPr>
                <w:rFonts w:ascii="宋体" w:hAnsi="宋体"/>
                <w:sz w:val="18"/>
                <w:szCs w:val="18"/>
              </w:rPr>
              <w:t>系统</w:t>
            </w:r>
          </w:p>
        </w:tc>
        <w:tc>
          <w:tcPr>
            <w:tcW w:w="369" w:type="pct"/>
            <w:vMerge w:val="restart"/>
            <w:shd w:val="clear" w:color="auto" w:fill="auto"/>
            <w:vAlign w:val="center"/>
          </w:tcPr>
          <w:p>
            <w:pPr>
              <w:spacing w:line="240" w:lineRule="exact"/>
              <w:jc w:val="center"/>
              <w:rPr>
                <w:rFonts w:ascii="宋体" w:hAnsi="宋体"/>
                <w:sz w:val="18"/>
                <w:szCs w:val="18"/>
              </w:rPr>
            </w:pPr>
            <w:r>
              <w:rPr>
                <w:rFonts w:ascii="宋体" w:hAnsi="宋体"/>
                <w:sz w:val="18"/>
                <w:szCs w:val="18"/>
              </w:rPr>
              <w:t>电缆沟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blHeader/>
        </w:trPr>
        <w:tc>
          <w:tcPr>
            <w:tcW w:w="258" w:type="pct"/>
            <w:vMerge w:val="continue"/>
            <w:shd w:val="clear" w:color="auto" w:fill="auto"/>
            <w:vAlign w:val="center"/>
          </w:tcPr>
          <w:p>
            <w:pPr>
              <w:spacing w:line="240" w:lineRule="exact"/>
              <w:jc w:val="center"/>
              <w:rPr>
                <w:rFonts w:ascii="宋体" w:hAnsi="宋体"/>
                <w:sz w:val="18"/>
                <w:szCs w:val="18"/>
              </w:rPr>
            </w:pPr>
          </w:p>
        </w:tc>
        <w:tc>
          <w:tcPr>
            <w:tcW w:w="1043" w:type="pct"/>
            <w:vMerge w:val="continue"/>
            <w:shd w:val="clear" w:color="auto" w:fill="auto"/>
            <w:vAlign w:val="center"/>
          </w:tcPr>
          <w:p>
            <w:pPr>
              <w:spacing w:line="240" w:lineRule="exact"/>
              <w:jc w:val="center"/>
              <w:rPr>
                <w:rFonts w:ascii="宋体" w:hAnsi="宋体"/>
                <w:sz w:val="18"/>
                <w:szCs w:val="18"/>
              </w:rPr>
            </w:pPr>
          </w:p>
        </w:tc>
        <w:tc>
          <w:tcPr>
            <w:tcW w:w="707" w:type="pct"/>
            <w:shd w:val="clear" w:color="auto" w:fill="auto"/>
            <w:vAlign w:val="center"/>
          </w:tcPr>
          <w:p>
            <w:pPr>
              <w:spacing w:line="240" w:lineRule="exact"/>
              <w:jc w:val="center"/>
              <w:rPr>
                <w:rFonts w:ascii="宋体" w:hAnsi="宋体"/>
                <w:sz w:val="18"/>
                <w:szCs w:val="18"/>
              </w:rPr>
            </w:pPr>
            <w:r>
              <w:rPr>
                <w:rFonts w:ascii="宋体" w:hAnsi="宋体"/>
                <w:sz w:val="18"/>
                <w:szCs w:val="18"/>
              </w:rPr>
              <w:t>穿管（桥架、</w:t>
            </w:r>
          </w:p>
          <w:p>
            <w:pPr>
              <w:spacing w:line="240" w:lineRule="exact"/>
              <w:jc w:val="center"/>
              <w:rPr>
                <w:rFonts w:ascii="宋体" w:hAnsi="宋体"/>
                <w:sz w:val="18"/>
                <w:szCs w:val="18"/>
              </w:rPr>
            </w:pPr>
            <w:r>
              <w:rPr>
                <w:rFonts w:ascii="宋体" w:hAnsi="宋体"/>
                <w:sz w:val="18"/>
                <w:szCs w:val="18"/>
              </w:rPr>
              <w:t>线槽）明敷</w:t>
            </w:r>
          </w:p>
        </w:tc>
        <w:tc>
          <w:tcPr>
            <w:tcW w:w="594" w:type="pct"/>
            <w:shd w:val="clear" w:color="auto" w:fill="auto"/>
            <w:vAlign w:val="center"/>
          </w:tcPr>
          <w:p>
            <w:pPr>
              <w:spacing w:line="240" w:lineRule="exact"/>
              <w:jc w:val="center"/>
              <w:rPr>
                <w:rFonts w:ascii="宋体" w:hAnsi="宋体"/>
                <w:sz w:val="18"/>
                <w:szCs w:val="18"/>
              </w:rPr>
            </w:pPr>
            <w:r>
              <w:rPr>
                <w:rFonts w:ascii="宋体" w:hAnsi="宋体"/>
                <w:sz w:val="18"/>
                <w:szCs w:val="18"/>
              </w:rPr>
              <w:t>暗敷</w:t>
            </w:r>
          </w:p>
        </w:tc>
        <w:tc>
          <w:tcPr>
            <w:tcW w:w="482" w:type="pct"/>
            <w:vMerge w:val="continue"/>
            <w:shd w:val="clear" w:color="auto" w:fill="auto"/>
            <w:vAlign w:val="center"/>
          </w:tcPr>
          <w:p>
            <w:pPr>
              <w:spacing w:line="240" w:lineRule="exact"/>
              <w:jc w:val="center"/>
              <w:rPr>
                <w:rFonts w:ascii="宋体" w:hAnsi="宋体"/>
                <w:sz w:val="18"/>
                <w:szCs w:val="18"/>
              </w:rPr>
            </w:pPr>
          </w:p>
        </w:tc>
        <w:tc>
          <w:tcPr>
            <w:tcW w:w="258" w:type="pct"/>
            <w:vMerge w:val="continue"/>
            <w:shd w:val="clear" w:color="auto" w:fill="auto"/>
            <w:vAlign w:val="center"/>
          </w:tcPr>
          <w:p>
            <w:pPr>
              <w:spacing w:line="240" w:lineRule="exact"/>
              <w:jc w:val="center"/>
              <w:rPr>
                <w:rFonts w:ascii="宋体" w:hAnsi="宋体"/>
                <w:sz w:val="18"/>
                <w:szCs w:val="18"/>
              </w:rPr>
            </w:pPr>
          </w:p>
        </w:tc>
        <w:tc>
          <w:tcPr>
            <w:tcW w:w="258" w:type="pct"/>
            <w:vMerge w:val="continue"/>
            <w:shd w:val="clear" w:color="auto" w:fill="auto"/>
            <w:vAlign w:val="center"/>
          </w:tcPr>
          <w:p>
            <w:pPr>
              <w:spacing w:line="240" w:lineRule="exact"/>
              <w:jc w:val="center"/>
              <w:rPr>
                <w:rFonts w:ascii="宋体" w:hAnsi="宋体"/>
                <w:sz w:val="18"/>
                <w:szCs w:val="18"/>
              </w:rPr>
            </w:pPr>
          </w:p>
        </w:tc>
        <w:tc>
          <w:tcPr>
            <w:tcW w:w="258" w:type="pct"/>
            <w:vMerge w:val="continue"/>
            <w:shd w:val="clear" w:color="auto" w:fill="auto"/>
            <w:vAlign w:val="center"/>
          </w:tcPr>
          <w:p>
            <w:pPr>
              <w:spacing w:line="240" w:lineRule="exact"/>
              <w:jc w:val="center"/>
              <w:rPr>
                <w:rFonts w:ascii="宋体" w:hAnsi="宋体"/>
                <w:sz w:val="18"/>
                <w:szCs w:val="18"/>
              </w:rPr>
            </w:pPr>
          </w:p>
        </w:tc>
        <w:tc>
          <w:tcPr>
            <w:tcW w:w="258" w:type="pct"/>
            <w:vMerge w:val="continue"/>
            <w:shd w:val="clear" w:color="auto" w:fill="auto"/>
            <w:vAlign w:val="center"/>
          </w:tcPr>
          <w:p>
            <w:pPr>
              <w:spacing w:line="240" w:lineRule="exact"/>
              <w:jc w:val="center"/>
              <w:rPr>
                <w:rFonts w:ascii="宋体" w:hAnsi="宋体"/>
                <w:sz w:val="18"/>
                <w:szCs w:val="18"/>
              </w:rPr>
            </w:pPr>
          </w:p>
        </w:tc>
        <w:tc>
          <w:tcPr>
            <w:tcW w:w="258" w:type="pct"/>
            <w:vMerge w:val="continue"/>
            <w:shd w:val="clear" w:color="auto" w:fill="auto"/>
            <w:vAlign w:val="center"/>
          </w:tcPr>
          <w:p>
            <w:pPr>
              <w:spacing w:line="240" w:lineRule="exact"/>
              <w:jc w:val="center"/>
              <w:rPr>
                <w:rFonts w:ascii="宋体" w:hAnsi="宋体"/>
                <w:sz w:val="18"/>
                <w:szCs w:val="18"/>
              </w:rPr>
            </w:pPr>
          </w:p>
        </w:tc>
        <w:tc>
          <w:tcPr>
            <w:tcW w:w="258" w:type="pct"/>
            <w:vMerge w:val="continue"/>
            <w:shd w:val="clear" w:color="auto" w:fill="auto"/>
            <w:vAlign w:val="center"/>
          </w:tcPr>
          <w:p>
            <w:pPr>
              <w:spacing w:line="240" w:lineRule="exact"/>
              <w:jc w:val="center"/>
              <w:rPr>
                <w:rFonts w:ascii="宋体" w:hAnsi="宋体"/>
                <w:sz w:val="18"/>
                <w:szCs w:val="18"/>
              </w:rPr>
            </w:pPr>
          </w:p>
        </w:tc>
        <w:tc>
          <w:tcPr>
            <w:tcW w:w="369" w:type="pct"/>
            <w:vMerge w:val="continue"/>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1</w:t>
            </w:r>
          </w:p>
        </w:tc>
        <w:tc>
          <w:tcPr>
            <w:tcW w:w="1043"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生产管理</w:t>
            </w:r>
            <w:r>
              <w:rPr>
                <w:rFonts w:ascii="宋体" w:hAnsi="宋体"/>
                <w:sz w:val="18"/>
                <w:szCs w:val="18"/>
              </w:rPr>
              <w:t>用房</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482"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369"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2</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门卫</w:t>
            </w:r>
            <w:r>
              <w:rPr>
                <w:rFonts w:hint="eastAsia" w:ascii="宋体" w:hAnsi="宋体"/>
                <w:sz w:val="18"/>
                <w:szCs w:val="18"/>
              </w:rPr>
              <w:t>值班</w:t>
            </w:r>
            <w:r>
              <w:rPr>
                <w:rFonts w:ascii="宋体" w:hAnsi="宋体"/>
                <w:sz w:val="18"/>
                <w:szCs w:val="18"/>
              </w:rPr>
              <w:t>室</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482"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369"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3</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配水井</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p>
        </w:tc>
        <w:tc>
          <w:tcPr>
            <w:tcW w:w="482"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369" w:type="pct"/>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4</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预沉池</w:t>
            </w:r>
            <w:r>
              <w:rPr>
                <w:rFonts w:hint="eastAsia" w:ascii="宋体" w:hAnsi="宋体"/>
                <w:sz w:val="18"/>
                <w:szCs w:val="18"/>
              </w:rPr>
              <w:t>-絮凝反应沉淀池</w:t>
            </w:r>
          </w:p>
        </w:tc>
        <w:tc>
          <w:tcPr>
            <w:tcW w:w="707"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594" w:type="pct"/>
            <w:shd w:val="clear" w:color="auto" w:fill="auto"/>
            <w:vAlign w:val="center"/>
          </w:tcPr>
          <w:p>
            <w:pPr>
              <w:spacing w:line="240" w:lineRule="exact"/>
              <w:jc w:val="center"/>
              <w:rPr>
                <w:rFonts w:ascii="宋体" w:hAnsi="宋体"/>
                <w:sz w:val="18"/>
                <w:szCs w:val="18"/>
              </w:rPr>
            </w:pPr>
          </w:p>
        </w:tc>
        <w:tc>
          <w:tcPr>
            <w:tcW w:w="482"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369" w:type="pct"/>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5</w:t>
            </w:r>
          </w:p>
        </w:tc>
        <w:tc>
          <w:tcPr>
            <w:tcW w:w="1043"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单阀滤池</w:t>
            </w:r>
          </w:p>
        </w:tc>
        <w:tc>
          <w:tcPr>
            <w:tcW w:w="707"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594" w:type="pct"/>
            <w:shd w:val="clear" w:color="auto" w:fill="auto"/>
            <w:vAlign w:val="center"/>
          </w:tcPr>
          <w:p>
            <w:pPr>
              <w:spacing w:line="240" w:lineRule="exact"/>
              <w:jc w:val="center"/>
              <w:rPr>
                <w:rFonts w:ascii="宋体" w:hAnsi="宋体"/>
                <w:sz w:val="18"/>
                <w:szCs w:val="18"/>
              </w:rPr>
            </w:pPr>
          </w:p>
        </w:tc>
        <w:tc>
          <w:tcPr>
            <w:tcW w:w="482"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369" w:type="pct"/>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6</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回收</w:t>
            </w:r>
            <w:r>
              <w:rPr>
                <w:rFonts w:hint="eastAsia" w:ascii="宋体" w:hAnsi="宋体"/>
                <w:sz w:val="18"/>
                <w:szCs w:val="18"/>
              </w:rPr>
              <w:t>水</w:t>
            </w:r>
            <w:r>
              <w:rPr>
                <w:rFonts w:ascii="宋体" w:hAnsi="宋体"/>
                <w:sz w:val="18"/>
                <w:szCs w:val="18"/>
              </w:rPr>
              <w:t>池</w:t>
            </w:r>
          </w:p>
        </w:tc>
        <w:tc>
          <w:tcPr>
            <w:tcW w:w="707"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594" w:type="pct"/>
            <w:shd w:val="clear" w:color="auto" w:fill="auto"/>
            <w:vAlign w:val="center"/>
          </w:tcPr>
          <w:p>
            <w:pPr>
              <w:spacing w:line="240" w:lineRule="exact"/>
              <w:jc w:val="center"/>
              <w:rPr>
                <w:rFonts w:ascii="宋体" w:hAnsi="宋体"/>
                <w:sz w:val="18"/>
                <w:szCs w:val="18"/>
              </w:rPr>
            </w:pPr>
          </w:p>
        </w:tc>
        <w:tc>
          <w:tcPr>
            <w:tcW w:w="482"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369" w:type="pct"/>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7</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清水池</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p>
        </w:tc>
        <w:tc>
          <w:tcPr>
            <w:tcW w:w="482"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369" w:type="pct"/>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8</w:t>
            </w:r>
          </w:p>
        </w:tc>
        <w:tc>
          <w:tcPr>
            <w:tcW w:w="1043"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生产辅助用房、检测计量间</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482"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369"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9</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围墙（水厂）</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p>
        </w:tc>
        <w:tc>
          <w:tcPr>
            <w:tcW w:w="482"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369" w:type="pct"/>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10</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厂区道路</w:t>
            </w:r>
          </w:p>
          <w:p>
            <w:pPr>
              <w:spacing w:line="240" w:lineRule="exact"/>
              <w:jc w:val="center"/>
              <w:rPr>
                <w:rFonts w:ascii="宋体" w:hAnsi="宋体"/>
                <w:sz w:val="18"/>
                <w:szCs w:val="18"/>
              </w:rPr>
            </w:pPr>
            <w:r>
              <w:rPr>
                <w:rFonts w:ascii="宋体" w:hAnsi="宋体"/>
                <w:sz w:val="18"/>
                <w:szCs w:val="18"/>
              </w:rPr>
              <w:t>（</w:t>
            </w:r>
            <w:r>
              <w:rPr>
                <w:rFonts w:hint="eastAsia" w:ascii="宋体" w:hAnsi="宋体"/>
                <w:sz w:val="18"/>
                <w:szCs w:val="18"/>
              </w:rPr>
              <w:t>取水</w:t>
            </w:r>
            <w:r>
              <w:rPr>
                <w:rFonts w:ascii="宋体" w:hAnsi="宋体"/>
                <w:sz w:val="18"/>
                <w:szCs w:val="18"/>
              </w:rPr>
              <w:t>和水厂）</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482"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369" w:type="pct"/>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11</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厂区绿化</w:t>
            </w:r>
          </w:p>
          <w:p>
            <w:pPr>
              <w:spacing w:line="240" w:lineRule="exact"/>
              <w:jc w:val="center"/>
              <w:rPr>
                <w:rFonts w:ascii="宋体" w:hAnsi="宋体"/>
                <w:sz w:val="18"/>
                <w:szCs w:val="18"/>
              </w:rPr>
            </w:pPr>
            <w:r>
              <w:rPr>
                <w:rFonts w:ascii="宋体" w:hAnsi="宋体"/>
                <w:sz w:val="18"/>
                <w:szCs w:val="18"/>
              </w:rPr>
              <w:t>（水厂）</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p>
        </w:tc>
        <w:tc>
          <w:tcPr>
            <w:tcW w:w="482"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369" w:type="pct"/>
            <w:shd w:val="clear" w:color="auto" w:fill="auto"/>
            <w:vAlign w:val="center"/>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58" w:type="pct"/>
            <w:shd w:val="clear" w:color="auto" w:fill="auto"/>
            <w:vAlign w:val="center"/>
          </w:tcPr>
          <w:p>
            <w:pPr>
              <w:spacing w:line="240" w:lineRule="exact"/>
              <w:jc w:val="center"/>
              <w:rPr>
                <w:rFonts w:ascii="宋体" w:hAnsi="宋体"/>
                <w:sz w:val="18"/>
                <w:szCs w:val="18"/>
              </w:rPr>
            </w:pPr>
            <w:r>
              <w:rPr>
                <w:rFonts w:hint="eastAsia" w:ascii="宋体" w:hAnsi="宋体"/>
                <w:sz w:val="18"/>
                <w:szCs w:val="18"/>
              </w:rPr>
              <w:t>12</w:t>
            </w:r>
          </w:p>
        </w:tc>
        <w:tc>
          <w:tcPr>
            <w:tcW w:w="1043" w:type="pct"/>
            <w:shd w:val="clear" w:color="auto" w:fill="auto"/>
            <w:vAlign w:val="center"/>
          </w:tcPr>
          <w:p>
            <w:pPr>
              <w:spacing w:line="240" w:lineRule="exact"/>
              <w:jc w:val="center"/>
              <w:rPr>
                <w:rFonts w:ascii="宋体" w:hAnsi="宋体"/>
                <w:sz w:val="18"/>
                <w:szCs w:val="18"/>
              </w:rPr>
            </w:pPr>
            <w:r>
              <w:rPr>
                <w:rFonts w:ascii="宋体" w:hAnsi="宋体"/>
                <w:sz w:val="18"/>
                <w:szCs w:val="18"/>
              </w:rPr>
              <w:t>总平面布置</w:t>
            </w:r>
          </w:p>
          <w:p>
            <w:pPr>
              <w:spacing w:line="240" w:lineRule="exact"/>
              <w:jc w:val="center"/>
              <w:rPr>
                <w:rFonts w:ascii="宋体" w:hAnsi="宋体"/>
                <w:sz w:val="18"/>
                <w:szCs w:val="18"/>
              </w:rPr>
            </w:pPr>
            <w:r>
              <w:rPr>
                <w:rFonts w:ascii="宋体" w:hAnsi="宋体"/>
                <w:sz w:val="18"/>
                <w:szCs w:val="18"/>
              </w:rPr>
              <w:t>（水厂）</w:t>
            </w:r>
          </w:p>
        </w:tc>
        <w:tc>
          <w:tcPr>
            <w:tcW w:w="707" w:type="pct"/>
            <w:shd w:val="clear" w:color="auto" w:fill="auto"/>
            <w:vAlign w:val="center"/>
          </w:tcPr>
          <w:p>
            <w:pPr>
              <w:spacing w:line="240" w:lineRule="exact"/>
              <w:jc w:val="center"/>
              <w:rPr>
                <w:rFonts w:ascii="宋体" w:hAnsi="宋体"/>
                <w:sz w:val="18"/>
                <w:szCs w:val="18"/>
              </w:rPr>
            </w:pPr>
          </w:p>
        </w:tc>
        <w:tc>
          <w:tcPr>
            <w:tcW w:w="594" w:type="pct"/>
            <w:shd w:val="clear" w:color="auto" w:fill="auto"/>
            <w:vAlign w:val="center"/>
          </w:tcPr>
          <w:p>
            <w:pPr>
              <w:spacing w:line="240" w:lineRule="exact"/>
              <w:jc w:val="center"/>
              <w:rPr>
                <w:rFonts w:ascii="宋体" w:hAnsi="宋体"/>
                <w:sz w:val="18"/>
                <w:szCs w:val="18"/>
              </w:rPr>
            </w:pPr>
            <w:r>
              <w:rPr>
                <w:rFonts w:ascii="宋体" w:hAnsi="宋体"/>
                <w:sz w:val="18"/>
                <w:szCs w:val="18"/>
              </w:rPr>
              <w:t>电缆沟、</w:t>
            </w:r>
          </w:p>
          <w:p>
            <w:pPr>
              <w:spacing w:line="240" w:lineRule="exact"/>
              <w:jc w:val="center"/>
              <w:rPr>
                <w:rFonts w:ascii="宋体" w:hAnsi="宋体"/>
                <w:sz w:val="18"/>
                <w:szCs w:val="18"/>
              </w:rPr>
            </w:pPr>
            <w:r>
              <w:rPr>
                <w:rFonts w:ascii="宋体" w:hAnsi="宋体"/>
                <w:sz w:val="18"/>
                <w:szCs w:val="18"/>
              </w:rPr>
              <w:t>穿管及直埋</w:t>
            </w:r>
          </w:p>
        </w:tc>
        <w:tc>
          <w:tcPr>
            <w:tcW w:w="482"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258"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c>
          <w:tcPr>
            <w:tcW w:w="258" w:type="pct"/>
            <w:shd w:val="clear" w:color="auto" w:fill="auto"/>
            <w:vAlign w:val="center"/>
          </w:tcPr>
          <w:p>
            <w:pPr>
              <w:spacing w:line="240" w:lineRule="exact"/>
              <w:jc w:val="center"/>
              <w:rPr>
                <w:rFonts w:ascii="宋体" w:hAnsi="宋体"/>
                <w:sz w:val="18"/>
                <w:szCs w:val="18"/>
              </w:rPr>
            </w:pPr>
          </w:p>
        </w:tc>
        <w:tc>
          <w:tcPr>
            <w:tcW w:w="369" w:type="pct"/>
            <w:shd w:val="clear" w:color="auto" w:fill="auto"/>
            <w:vAlign w:val="center"/>
          </w:tcPr>
          <w:p>
            <w:pPr>
              <w:spacing w:line="240" w:lineRule="exact"/>
              <w:jc w:val="center"/>
              <w:rPr>
                <w:rFonts w:ascii="宋体" w:hAnsi="宋体"/>
                <w:sz w:val="18"/>
                <w:szCs w:val="18"/>
              </w:rPr>
            </w:pPr>
            <w:r>
              <w:rPr>
                <w:rFonts w:ascii="宋体" w:hAnsi="宋体"/>
                <w:sz w:val="18"/>
                <w:szCs w:val="18"/>
              </w:rPr>
              <w:t>√</w:t>
            </w:r>
          </w:p>
        </w:tc>
      </w:tr>
    </w:tbl>
    <w:p>
      <w:pPr>
        <w:spacing w:line="360" w:lineRule="auto"/>
        <w:outlineLvl w:val="3"/>
        <w:rPr>
          <w:rFonts w:ascii="宋体" w:hAnsi="宋体"/>
        </w:rPr>
      </w:pPr>
      <w:r>
        <w:rPr>
          <w:rFonts w:hint="eastAsia" w:ascii="宋体" w:hAnsi="宋体"/>
        </w:rPr>
        <w:t>4.3.</w:t>
      </w:r>
      <w:r>
        <w:rPr>
          <w:rFonts w:ascii="宋体" w:hAnsi="宋体"/>
        </w:rPr>
        <w:t>1.3  合同执行要求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所供电气装置应能确保所有设备、元件和系统形成一个协调合理的整体。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制造商、供货商及承包人之间在设备元件及系统接口上应保持完整统一。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应确保所有设备及材料的设计，制造，试验及试运行的质量。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所有照明电气设备应CCC认证合格。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应不断地进行电气工程的检查管理直至颁发验收证。</w:t>
      </w:r>
    </w:p>
    <w:p>
      <w:pPr>
        <w:spacing w:line="360" w:lineRule="auto"/>
        <w:outlineLvl w:val="3"/>
        <w:rPr>
          <w:rFonts w:ascii="宋体" w:hAnsi="宋体"/>
        </w:rPr>
      </w:pPr>
      <w:r>
        <w:rPr>
          <w:rFonts w:hint="eastAsia" w:ascii="宋体" w:hAnsi="宋体"/>
        </w:rPr>
        <w:t>4.3.3</w:t>
      </w:r>
      <w:r>
        <w:rPr>
          <w:rFonts w:ascii="宋体" w:hAnsi="宋体"/>
        </w:rPr>
        <w:t>.1.4  当地环境状况</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嵊州市</w:t>
      </w:r>
      <w:r>
        <w:rPr>
          <w:rFonts w:ascii="宋体" w:hAnsi="宋体"/>
          <w:kern w:val="0"/>
          <w:szCs w:val="21"/>
        </w:rPr>
        <w:t>地处浙江省南北交界地带，属亚热带湿润季风气候，雨量充沛，日照丰富，温和湿润。年日照时数</w:t>
      </w:r>
      <w:r>
        <w:rPr>
          <w:rFonts w:hint="eastAsia" w:ascii="宋体" w:hAnsi="宋体"/>
          <w:kern w:val="0"/>
          <w:szCs w:val="21"/>
        </w:rPr>
        <w:t>2018小时，</w:t>
      </w:r>
      <w:r>
        <w:rPr>
          <w:rFonts w:ascii="宋体" w:hAnsi="宋体"/>
          <w:kern w:val="0"/>
          <w:szCs w:val="21"/>
        </w:rPr>
        <w:t>全年平均气温</w:t>
      </w:r>
      <w:r>
        <w:rPr>
          <w:rFonts w:hint="eastAsia" w:ascii="宋体" w:hAnsi="宋体"/>
          <w:kern w:val="0"/>
          <w:szCs w:val="21"/>
        </w:rPr>
        <w:t>16.4℃，</w:t>
      </w:r>
      <w:r>
        <w:rPr>
          <w:rFonts w:ascii="宋体" w:hAnsi="宋体"/>
          <w:kern w:val="0"/>
          <w:szCs w:val="21"/>
        </w:rPr>
        <w:t>年最高气温平均值</w:t>
      </w:r>
      <w:r>
        <w:rPr>
          <w:rFonts w:hint="eastAsia" w:ascii="宋体" w:hAnsi="宋体"/>
          <w:kern w:val="0"/>
          <w:szCs w:val="21"/>
        </w:rPr>
        <w:t>21.4℃，年最低气温平均值8.6℃</w:t>
      </w:r>
      <w:r>
        <w:rPr>
          <w:rFonts w:ascii="宋体" w:hAnsi="宋体"/>
          <w:kern w:val="0"/>
          <w:szCs w:val="21"/>
        </w:rPr>
        <w:t>，历年极端最高值为</w:t>
      </w:r>
      <w:r>
        <w:rPr>
          <w:rFonts w:hint="eastAsia" w:ascii="宋体" w:hAnsi="宋体"/>
          <w:kern w:val="0"/>
          <w:szCs w:val="21"/>
        </w:rPr>
        <w:t>1967年8月23日</w:t>
      </w:r>
      <w:r>
        <w:rPr>
          <w:rFonts w:ascii="宋体" w:hAnsi="宋体"/>
          <w:kern w:val="0"/>
          <w:szCs w:val="21"/>
        </w:rPr>
        <w:t>的</w:t>
      </w:r>
      <w:r>
        <w:rPr>
          <w:rFonts w:hint="eastAsia" w:ascii="宋体" w:hAnsi="宋体"/>
          <w:kern w:val="0"/>
          <w:szCs w:val="21"/>
        </w:rPr>
        <w:t>40.7℃，</w:t>
      </w:r>
      <w:r>
        <w:rPr>
          <w:rFonts w:ascii="宋体" w:hAnsi="宋体"/>
          <w:kern w:val="0"/>
          <w:szCs w:val="21"/>
        </w:rPr>
        <w:t>理念极端最低值为</w:t>
      </w:r>
      <w:r>
        <w:rPr>
          <w:rFonts w:hint="eastAsia" w:ascii="宋体" w:hAnsi="宋体"/>
          <w:kern w:val="0"/>
          <w:szCs w:val="21"/>
        </w:rPr>
        <w:t>1969年2月6日</w:t>
      </w:r>
      <w:r>
        <w:rPr>
          <w:rFonts w:ascii="宋体" w:hAnsi="宋体"/>
          <w:kern w:val="0"/>
          <w:szCs w:val="21"/>
        </w:rPr>
        <w:t>的</w:t>
      </w:r>
      <w:r>
        <w:rPr>
          <w:rFonts w:hint="eastAsia" w:ascii="宋体" w:hAnsi="宋体"/>
          <w:kern w:val="0"/>
          <w:szCs w:val="21"/>
        </w:rPr>
        <w:t>-10.1℃；</w:t>
      </w:r>
      <w:r>
        <w:rPr>
          <w:rFonts w:ascii="宋体" w:hAnsi="宋体"/>
          <w:kern w:val="0"/>
          <w:szCs w:val="21"/>
        </w:rPr>
        <w:t>无霜期</w:t>
      </w:r>
      <w:r>
        <w:rPr>
          <w:rFonts w:hint="eastAsia" w:ascii="宋体" w:hAnsi="宋体"/>
          <w:kern w:val="0"/>
          <w:szCs w:val="21"/>
        </w:rPr>
        <w:t>235天</w:t>
      </w:r>
      <w:r>
        <w:rPr>
          <w:rFonts w:ascii="宋体" w:hAnsi="宋体"/>
          <w:kern w:val="0"/>
          <w:szCs w:val="21"/>
        </w:rPr>
        <w:t>，常年</w:t>
      </w:r>
      <w:r>
        <w:rPr>
          <w:rFonts w:hint="eastAsia" w:ascii="宋体" w:hAnsi="宋体"/>
          <w:kern w:val="0"/>
          <w:szCs w:val="21"/>
        </w:rPr>
        <w:t>降雨量1200</w:t>
      </w:r>
      <w:r>
        <w:rPr>
          <w:rFonts w:ascii="宋体" w:hAnsi="宋体"/>
          <w:kern w:val="0"/>
          <w:szCs w:val="21"/>
        </w:rPr>
        <w:t>～1700</w:t>
      </w:r>
      <w:r>
        <w:rPr>
          <w:rFonts w:hint="eastAsia" w:ascii="宋体" w:hAnsi="宋体"/>
          <w:kern w:val="0"/>
          <w:szCs w:val="21"/>
        </w:rPr>
        <w:t>毫米</w:t>
      </w:r>
      <w:r>
        <w:rPr>
          <w:rFonts w:ascii="宋体" w:hAnsi="宋体"/>
          <w:kern w:val="0"/>
          <w:szCs w:val="21"/>
        </w:rPr>
        <w:t>，理念平均降水量为</w:t>
      </w:r>
      <w:r>
        <w:rPr>
          <w:rFonts w:hint="eastAsia" w:ascii="宋体" w:hAnsi="宋体"/>
          <w:kern w:val="0"/>
          <w:szCs w:val="21"/>
        </w:rPr>
        <w:t>1447毫米</w:t>
      </w:r>
      <w:r>
        <w:rPr>
          <w:rFonts w:ascii="宋体" w:hAnsi="宋体"/>
          <w:kern w:val="0"/>
          <w:szCs w:val="21"/>
        </w:rPr>
        <w:t>，</w:t>
      </w:r>
      <w:r>
        <w:rPr>
          <w:rFonts w:hint="eastAsia" w:ascii="宋体" w:hAnsi="宋体"/>
          <w:kern w:val="0"/>
          <w:szCs w:val="21"/>
        </w:rPr>
        <w:t>历年</w:t>
      </w:r>
      <w:r>
        <w:rPr>
          <w:rFonts w:ascii="宋体" w:hAnsi="宋体"/>
          <w:kern w:val="0"/>
          <w:szCs w:val="21"/>
        </w:rPr>
        <w:t>最大降雨量为</w:t>
      </w:r>
      <w:r>
        <w:rPr>
          <w:rFonts w:hint="eastAsia" w:ascii="宋体" w:hAnsi="宋体"/>
          <w:kern w:val="0"/>
          <w:szCs w:val="21"/>
        </w:rPr>
        <w:t>1954年</w:t>
      </w:r>
      <w:r>
        <w:rPr>
          <w:rFonts w:ascii="宋体" w:hAnsi="宋体"/>
          <w:kern w:val="0"/>
          <w:szCs w:val="21"/>
        </w:rPr>
        <w:t>的</w:t>
      </w:r>
      <w:r>
        <w:rPr>
          <w:rFonts w:hint="eastAsia" w:ascii="宋体" w:hAnsi="宋体"/>
          <w:kern w:val="0"/>
          <w:szCs w:val="21"/>
        </w:rPr>
        <w:t>1717.2毫米</w:t>
      </w:r>
      <w:r>
        <w:rPr>
          <w:rFonts w:ascii="宋体" w:hAnsi="宋体"/>
          <w:kern w:val="0"/>
          <w:szCs w:val="21"/>
        </w:rPr>
        <w:t>，历年最大</w:t>
      </w:r>
      <w:r>
        <w:rPr>
          <w:rFonts w:hint="eastAsia" w:ascii="宋体" w:hAnsi="宋体"/>
          <w:kern w:val="0"/>
          <w:szCs w:val="21"/>
        </w:rPr>
        <w:t>1小时</w:t>
      </w:r>
      <w:r>
        <w:rPr>
          <w:rFonts w:ascii="宋体" w:hAnsi="宋体"/>
          <w:kern w:val="0"/>
          <w:szCs w:val="21"/>
        </w:rPr>
        <w:t>降雨量为</w:t>
      </w:r>
      <w:r>
        <w:rPr>
          <w:rFonts w:hint="eastAsia" w:ascii="宋体" w:hAnsi="宋体"/>
          <w:kern w:val="0"/>
          <w:szCs w:val="21"/>
        </w:rPr>
        <w:t>1988年7月30日</w:t>
      </w:r>
      <w:r>
        <w:rPr>
          <w:rFonts w:ascii="宋体" w:hAnsi="宋体"/>
          <w:kern w:val="0"/>
          <w:szCs w:val="21"/>
        </w:rPr>
        <w:t>的</w:t>
      </w:r>
      <w:r>
        <w:rPr>
          <w:rFonts w:hint="eastAsia" w:ascii="宋体" w:hAnsi="宋体"/>
          <w:kern w:val="0"/>
          <w:szCs w:val="21"/>
        </w:rPr>
        <w:t>71.3毫米</w:t>
      </w:r>
      <w:r>
        <w:rPr>
          <w:rFonts w:ascii="宋体" w:hAnsi="宋体"/>
          <w:kern w:val="0"/>
          <w:szCs w:val="21"/>
        </w:rPr>
        <w:t>。</w:t>
      </w:r>
    </w:p>
    <w:p>
      <w:pPr>
        <w:spacing w:line="360" w:lineRule="auto"/>
        <w:outlineLvl w:val="0"/>
        <w:rPr>
          <w:rFonts w:ascii="宋体" w:hAnsi="宋体"/>
        </w:rPr>
      </w:pPr>
      <w:bookmarkStart w:id="4063" w:name="_Toc106050046"/>
      <w:bookmarkStart w:id="4064" w:name="_Toc106883310"/>
      <w:r>
        <w:rPr>
          <w:rFonts w:hint="eastAsia" w:ascii="宋体" w:hAnsi="宋体"/>
        </w:rPr>
        <w:t>4.3.3</w:t>
      </w:r>
      <w:r>
        <w:rPr>
          <w:rFonts w:ascii="宋体" w:hAnsi="宋体"/>
        </w:rPr>
        <w:t>.2  参考标准</w:t>
      </w:r>
      <w:bookmarkEnd w:id="4063"/>
      <w:bookmarkEnd w:id="406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承包人应符合本章节所指定的标准但不限于以下标准</w:t>
      </w:r>
      <w:r>
        <w:rPr>
          <w:rFonts w:hint="eastAsia" w:ascii="宋体" w:hAnsi="宋体"/>
          <w:kern w:val="0"/>
          <w:szCs w:val="21"/>
        </w:rPr>
        <w:t>，如有最新以最新标准为准，余同</w:t>
      </w:r>
      <w:r>
        <w:rPr>
          <w:rFonts w:ascii="宋体" w:hAnsi="宋体"/>
          <w:kern w:val="0"/>
          <w:szCs w:val="21"/>
        </w:rPr>
        <w:t>：</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29"/>
        <w:gridCol w:w="6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77"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GB5023.4-3-85</w:t>
            </w:r>
          </w:p>
        </w:tc>
        <w:tc>
          <w:tcPr>
            <w:tcW w:w="3523"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额定电压450/750伏以下的聚氯乙烯绝缘电缆导线的一般要求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77"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GB50057-</w:t>
            </w:r>
            <w:r>
              <w:rPr>
                <w:rFonts w:hint="eastAsia" w:ascii="宋体" w:hAnsi="宋体"/>
                <w:sz w:val="18"/>
                <w:szCs w:val="18"/>
              </w:rPr>
              <w:t>2010</w:t>
            </w:r>
          </w:p>
        </w:tc>
        <w:tc>
          <w:tcPr>
            <w:tcW w:w="3523"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建筑防雷设计规范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77"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GB50034-20</w:t>
            </w:r>
            <w:r>
              <w:rPr>
                <w:rFonts w:hint="eastAsia" w:ascii="宋体" w:hAnsi="宋体"/>
                <w:sz w:val="18"/>
                <w:szCs w:val="18"/>
              </w:rPr>
              <w:t>13</w:t>
            </w:r>
          </w:p>
        </w:tc>
        <w:tc>
          <w:tcPr>
            <w:tcW w:w="3523"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建筑照明设计标准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77"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JGJ/T16-</w:t>
            </w:r>
            <w:r>
              <w:rPr>
                <w:rFonts w:hint="eastAsia" w:ascii="宋体" w:hAnsi="宋体"/>
                <w:sz w:val="18"/>
                <w:szCs w:val="18"/>
              </w:rPr>
              <w:t>2008</w:t>
            </w:r>
          </w:p>
        </w:tc>
        <w:tc>
          <w:tcPr>
            <w:tcW w:w="3523"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民用建筑电气设计标准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77" w:type="pct"/>
            <w:shd w:val="clear" w:color="auto" w:fill="auto"/>
            <w:vAlign w:val="center"/>
          </w:tcPr>
          <w:p>
            <w:pPr>
              <w:widowControl/>
              <w:spacing w:line="240" w:lineRule="atLeast"/>
              <w:jc w:val="center"/>
              <w:rPr>
                <w:rFonts w:ascii="宋体" w:hAnsi="宋体"/>
                <w:sz w:val="18"/>
                <w:szCs w:val="18"/>
              </w:rPr>
            </w:pPr>
            <w:r>
              <w:rPr>
                <w:rFonts w:hint="eastAsia" w:ascii="宋体" w:hAnsi="宋体"/>
                <w:b/>
                <w:bCs/>
                <w:sz w:val="18"/>
                <w:szCs w:val="18"/>
              </w:rPr>
              <w:t>GB 50054-</w:t>
            </w:r>
            <w:r>
              <w:rPr>
                <w:rFonts w:ascii="宋体" w:hAnsi="宋体"/>
                <w:b/>
                <w:bCs/>
                <w:sz w:val="18"/>
                <w:szCs w:val="18"/>
              </w:rPr>
              <w:t>2011</w:t>
            </w:r>
          </w:p>
        </w:tc>
        <w:tc>
          <w:tcPr>
            <w:tcW w:w="3523"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低压配电设计规范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77" w:type="pct"/>
            <w:shd w:val="clear" w:color="auto" w:fill="auto"/>
            <w:vAlign w:val="center"/>
          </w:tcPr>
          <w:p>
            <w:pPr>
              <w:widowControl/>
              <w:spacing w:line="240" w:lineRule="atLeast"/>
              <w:jc w:val="center"/>
              <w:rPr>
                <w:rFonts w:ascii="宋体" w:hAnsi="宋体"/>
                <w:sz w:val="18"/>
                <w:szCs w:val="18"/>
              </w:rPr>
            </w:pPr>
            <w:r>
              <w:rPr>
                <w:rFonts w:hint="eastAsia" w:ascii="宋体" w:hAnsi="宋体"/>
                <w:sz w:val="14"/>
                <w:szCs w:val="14"/>
              </w:rPr>
              <w:t>GB/T 50065-2011</w:t>
            </w:r>
          </w:p>
        </w:tc>
        <w:tc>
          <w:tcPr>
            <w:tcW w:w="3523"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工业与民用电力装置的接地设计规范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77"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GB50303-2002</w:t>
            </w:r>
          </w:p>
        </w:tc>
        <w:tc>
          <w:tcPr>
            <w:tcW w:w="3523"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建筑电气工程施工质量验收规范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77"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GB50169-</w:t>
            </w:r>
            <w:r>
              <w:rPr>
                <w:rFonts w:hint="eastAsia" w:ascii="宋体" w:hAnsi="宋体"/>
                <w:sz w:val="18"/>
                <w:szCs w:val="18"/>
              </w:rPr>
              <w:t>2006</w:t>
            </w:r>
          </w:p>
        </w:tc>
        <w:tc>
          <w:tcPr>
            <w:tcW w:w="3523"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电气装置安装工程接地装置施工及验收规范</w:t>
            </w:r>
          </w:p>
        </w:tc>
      </w:tr>
    </w:tbl>
    <w:p>
      <w:pPr>
        <w:keepNext/>
        <w:keepLines/>
        <w:spacing w:line="360" w:lineRule="auto"/>
        <w:outlineLvl w:val="3"/>
        <w:rPr>
          <w:rFonts w:ascii="宋体" w:hAnsi="宋体"/>
          <w:b/>
          <w:sz w:val="28"/>
          <w:szCs w:val="20"/>
        </w:rPr>
      </w:pPr>
      <w:r>
        <w:rPr>
          <w:rFonts w:hint="eastAsia" w:ascii="宋体" w:hAnsi="宋体"/>
          <w:b/>
          <w:sz w:val="28"/>
          <w:szCs w:val="20"/>
        </w:rPr>
        <w:t>4.3.3</w:t>
      </w:r>
      <w:r>
        <w:rPr>
          <w:rFonts w:ascii="宋体" w:hAnsi="宋体"/>
          <w:b/>
          <w:sz w:val="28"/>
          <w:szCs w:val="20"/>
        </w:rPr>
        <w:t>.3  构筑物照明系统</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.3.1  范围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本节涉及净水厂内构筑物照明系统的供应，安装和测试。</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.3.2  提交资料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本节中需要提交下列竣工资料和验收证书：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照明系统接线图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配电箱（柜）型号及用电容量、内部元器件型号规格、导线型号规格及敷设方法，回路分配及相别标注等应完整。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照明布置图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照明配电箱（柜）、灯具、开关、插座定位及连线布置，标识完整。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照明系统中所有组件的安装详图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施工方式、方法的详细说明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所选用设备的操作和维护手册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各阶段及竣工后的验收资料</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.3.3  设备和材料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（1）照明配电柜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简要说明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照明配电柜应为全绝缘、全隔离的封闭式结构。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技术标准与参数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 照明配电柜应按IEC439-1或GB7251标准设计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 额定峰值耐受电流不小于50kA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柜体结构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-采用前检修前开门的结构形式。配电柜落地可靠墙安装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-柜体为模块化的全封闭全隔离结构，其外形可根据现场空间要求作灵活拼装。并能根据要求简便更换和扩展控制系统及电器元件。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-配电柜能在最大短路故障时安全运行，应能承受由此引起的热应力和机械应力，即在故障出现时，有独立的压力释放通道，压力释放通道不允许面向操作人员。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-配电柜应设有明显的主母线区、电器设备区和电缆区。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-箱底留有进出电缆敲落孔。</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柜体外形、色彩须征得业主许可。柜体应由不锈钢板制成，板厚2.5mm，室内要求防护等级达到IP44。柜体采用模数化组合。所有柜体高度不大于2000mm，厚度不大于600mm。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 柜内主要设备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柜内元件应为新颖的，为有关种类第一流的技术和质量。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塑壳断路器手柄防护等级在柜外操作时不低于IP55防护等级，额定运行时，塑壳断路器短路分断能力应满足动热稳定性要求。按钮指示灯的防护等级不低于IP55。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——塑壳断路器——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-额定极限短路分断电流50kA。160A以下的塑壳断路器额定脉冲耐受电压6kV，160A以上的塑壳断路器额定脉冲耐受电压8kV。</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-250A以下的塑壳断路器机械寿命不小于20000次，250A～400A的塑壳断路器机械寿命不小于15000次，400A以上的塑壳断路器机械寿命不小于10000次。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-采用手动操作并带负荷热过载及短路脱扣器，特殊要求时可设计成遥控分励脱扣器，带附件及辅助设备。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-有可靠隔离性能，触头机械指示符合IEC947-3有关要求。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——微型空气开 ——</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微型空气开关备有热过载及电磁式短路瞬动保护，额定分断能力不小于6kA。机械寿命不小于20000次。微型空气开关组需清楚地鉴别相线颜色/符号，为了便于安装，空气开关需安装在轨道上，要求装置相间隔板以及外露端子及导线的护罩，以保证在调换或重新安装空气开关时不会触及带电导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e. 母线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-为确保人身安全，分支母线应为绝缘母线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-母线材料为高导电的电解铜，母线的长度在整个长度内应均匀，其截面应能承载连续的负载电流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-母线应具有防潮和阻燃性能，以及足够的介电强度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-应提供电缆接线端子以便电缆进出线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（2）照明配电箱</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照明配电箱为组合式终端配电箱，箱内全部采用模数化元件。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箱内需留有充分的端子及空间以便电缆或穿线管整齐地排列及连接，室内配电箱挂墙安装。室外为立柱或墙挂式安装。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配电箱按需要在电源进线和各支回路装有单极或三极塑壳开关或微型空气开关，设置漏电保护装置的支线回路应装有双极或四极开关。当电缆由室外入室内时，照明配电箱在电源进线处需配置电涌保护器。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配电箱门内应装有永久性的回路图，图内应有回路用途说明及开关额定值。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馈线回路应留有30%的备用回路，但备用回路不得少于2路。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安装照明配电箱用的所有金属构件均应作防腐处理，进行热镀锌，并应有良好的接地。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插座及通向潮湿场所的照明馈电回路需加漏电保护器。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——电涌保护器——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电涌保护器标称工作电压380VAC，冲击电流（10/350us）50kA，额定放电电流（8/20us）45kA，电压保护水平小于0.91kV，响应时间小于5纳s，绝缘电阻大于100MΩ。凯文接线方式。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——塑壳断路器——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-额定极限短路分断电流50kA。160A以下的塑壳断路器额定脉冲耐受电压6kV，160A以上的塑壳断路器额定脉冲耐受电压8kV。</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-250A以下的塑壳断路器机械寿命不小于20000次，250A～400A的塑壳断路器机械寿命不小于15000次，400A以上的塑壳断路器机械寿命不小于10000次。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-采用手动操作并带负荷热过载及短路脱扣器，特殊要求时可设计成遥控分励脱扣器，带附件及辅助设备。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-有可靠隔离性能，触头机械指示符合IEC947-3有关要求。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——微型空气开关——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微型空气开关备有热过载及电磁式短路瞬动保护，额定分断能力不小于6kA。机械寿命不小于20000次。微型空气开关组需清楚地鉴别相线颜色/符号，为了便于安装，空气开关需安装在轨道上，要求装置相间隔板以及外露端子及导线的护罩，以保证在调换或重新安装空气开关时不会触及带电导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户内照明配电箱的安装：</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户内明装照明配电箱</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底边距地面1.5m。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照明配电箱应位置正确，部件齐全。在多孔砖墙上不允许采用膨胀螺栓固定照明配电箱。明装配电箱由全塑面盖、底座和座套组成。</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户内暗装照明配电箱</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底边距地面1.5m。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照明配电箱应位置正确，部件齐全。箱体开孔合适，切口整齐。在多孔砖墙上不允许采用膨胀螺栓固定照明配电箱。</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箱盖紧贴墙面，其箱体厚度不得超过墙体厚度。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在240mm厚的墙壁内暗装时，其后壁需用10mm厚石棉板以及直径2mm、孔洞为10mm的铅丝网钉牢，再用1：2水泥砂浆抹好，以防开裂。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安装配电箱所需木砖及铁件等需预先随土建砌墙时埋入。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嵌入式配电箱由全塑面盖、安装电器元件的框架和底座组成。</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（3）照明灯具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a. 照度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照明布置及各类建筑的推荐光源参照图纸。</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图纸仅供参考，承包人应对图纸进行复核计算，以保证满足照度的要求。承包人在实施时应根据所采用灯具的具体参数提供完整的照度计算书。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各类建筑的最小平均照度值如下表所示：</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624"/>
        <w:gridCol w:w="2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328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房间或场地名称</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最小照度（LX）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hint="eastAsia" w:ascii="宋体" w:hAnsi="宋体"/>
                <w:sz w:val="18"/>
                <w:szCs w:val="18"/>
              </w:rPr>
              <w:t>生产辅助用房、检测计量间</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hint="eastAsia" w:ascii="宋体" w:hAnsi="宋体"/>
                <w:sz w:val="18"/>
                <w:szCs w:val="18"/>
              </w:rPr>
              <w:t>值班</w:t>
            </w:r>
            <w:r>
              <w:rPr>
                <w:rFonts w:ascii="宋体" w:hAnsi="宋体"/>
                <w:sz w:val="18"/>
                <w:szCs w:val="18"/>
              </w:rPr>
              <w:t>控制室</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办公室</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会议室</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化验室</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门卫</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池上照明</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厕所、楼梯间</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28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厂区道路</w:t>
            </w:r>
          </w:p>
        </w:tc>
        <w:tc>
          <w:tcPr>
            <w:tcW w:w="1715"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5</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b. 室内照明灯具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灯具应完整地备有支架、吊架、软导线、挂钩及插接件。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灯具接地利用连接导线的专用线芯将灯具接地端子与主接地导线连接，不允许利用悬挂链条或穿线支承管接地。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灯具内外须整洁。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防水灯具的导线入口处及防护孔需密封防止潮气侵入。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荧光灯管为白色，应采用T8型直管荧光灯，带单灯补偿，补偿后功率因数达到0.9以上。采用电子节能整流器。荧光灯采用高品质三基色荧光粉，采用高品质三螺旋灯丝，寿命不小于12000小时，显色指数88，发光效率不小于85lm/W。荧光灯应有二个悬挂固定点，灯管长度不应超过1200毫米。荧光灯安装在吊平顶时，不能使吊平顶受力，除非吊平顶与日光灯在完整设计时具有合适的支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高压气体放电灯应采用电子节能整流器，带单灯补偿，补偿后功率因数达到0.9以上。安装在构筑物天花板上的高压气体放电灯，其灯具及固定导线间应装有插头及插座，以使整套灯具随时装卸。</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白炽灯应采用有许可证制造商的产品，应为充气螺旋形灯丝珍珠外形，其功率在100瓦以上不能采用卡口型。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采用软性挂钩的灯座应为扣有绳索的全缘裙边型。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灯具各部分的安装应配合构筑物的粉刷进度。玻璃罩、灯管等必须在构筑物全部完成后安装。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及加氯间、加药间等放置有腐蚀性气体的房间，以及潮湿场所应采用防水防尘灯具或防水灯头，灯具的金属部件应有防腐功能 ，防水防尘灯具应采用有许可证制造商的产品。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在不设空调的房间设置适量的吊扇及与吊扇配套的调速开关。吊扇规格不小于1400MM。吊扇的安装高度为房间屋顶下（或吊顶下）500～800mm。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c. 池上照明灯具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池上照明灯具为全封闭防水型，符合IP65要求。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池上照明灯具应进行表面处理，以满足户外使用条件的防锈、防腐蚀要求。灯杆材料应采用不锈钢材质。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池上照明灯具及灯杆的安装应足够牢固，即在可能出现的最恶劣的天气与最大的风力情况下，池上照明灯具及灯杆不致受到损坏。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（4）应急照明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应急照明灯具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应急照明应按GB50034-92在电源故障时提供所需的照度。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应急灯具内含光源、蓄电池、充电器及电源故障继电器。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应急灯具应全自动，当电源故障时能持续2小时提供应急照明，电源恢复时对蓄电池自动充电。</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（5）照明开关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照明开关均采用86型开关。多联开关应备有多联接线盒。室外开关、潮湿场所和有腐蚀性气体的场所采用防水型开关，防护等级IP55。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池上照明可不设照明开关，由照明配电箱直接控制灯具的开与关。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所有开关需牢固地竖直安装，暗开关与墙平，使盖板覆盖在接线盒的边缘上。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开关装置额定电流不小于16A。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开关应设置在距门开方向侧10～15mm处，底边离地1.4米。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楼梯开关采用双控开关控制。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（6）插座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各区域应提供带接地的插座以便连接移动式电气设备及辅助设备。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在所有固定连接的电气设备（如空调等）旁设置专用插座箱。插座箱带保护，满足设计额定电流要求，与设备相匹配。挂墙空调专用插座底边离地2米安装，柜式空调专用插座底边离地0.3m安装。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插座数量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在各构筑物的各个房间（功能区域）内每隔10~20m设置1个220伏16安单相三极插座，但不得少于2个。</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在泵房、机修间以及今后试验及维修承包人认为必须的场所应提供380伏、16A三相四极插座。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插座的型式及安装位置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插座应为单联或带有隔离开关或安全机构额定值相适应的多联插座或插座箱。</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暗装插座离地面300mm，工作台面150mm并至少离潮湿区450mm安装。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带隔离开关或安全机构的插座离地面不小于1500mm，以便今后实验及维修。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插座回路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插座回路应装设漏电保护。每一回路插座数量不超过10只。</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单相220伏及三相380伏插座不应连在同一回路上。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在插座回路与照明回路的设计上应尽量考虑A，B，C三相负荷的平衡。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（7）导线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导线系统的安装应符合每项工程的详细设计要求，导线全部采用铜芯导线。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所有穿管导线为塑料绝缘无护套的单芯导线，其绝缘电压等级为500伏，导线绝缘应着色便于分辨相线及中性线。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明敷导线为二芯、三芯和四芯塑料绝缘护套线，其绝缘电压等级为500伏，导线绝缘应着色便于分辨相线及中性线。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照明与插座回路导线截面不得小于2.5mm</w:t>
      </w:r>
      <w:r>
        <w:rPr>
          <w:rFonts w:ascii="宋体" w:hAnsi="宋体"/>
          <w:kern w:val="0"/>
          <w:szCs w:val="21"/>
          <w:vertAlign w:val="superscript"/>
        </w:rPr>
        <w:t>2</w:t>
      </w:r>
      <w:r>
        <w:rPr>
          <w:rFonts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间房间的单相回路尽可能采用同一相，做不到时，不同相的线芯要采用不同颜色，多回路开关或其他设备，接有不同相时，相间要用金属或绝缘材料分隔，并设有“危险”标志，固定在设备端子上，以表示不同相的存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构筑物内所有的电气导线应与一般用途的管、沟和化工管沟分隔开。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构筑物内导线的电流额定值及导体尺寸的选择应考虑以下因素。</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连接的负载应加上50%的裕量。</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系统故障水平及持续时间。</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最大环境温度。</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导线平行敷设的数量（成组）。</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导线敷设方法。</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导线最大压降分支干线为1.5%，支回路为3%。</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（8）穿线管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沿顶棚或墙敷设的穿线管可采用金属电线管，沿地坪敷设的穿线管采用钢管。穿线管按规定埋设，再不损害构筑物的条件下允许自由换线。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接线盒间的穿线管不允许有接头、楼板拼缝处不允许有接线盒。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穿线管较长时应利用过渡接线盒便于抽线。两个拉线点之间距离应负荷下列规定：</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对无弯管路时，不超过30m。</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两个拉线点之间有一个转弯时，不超过20m。</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两个拉线点之间有两个转弯时，不超过15m。</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ascii="宋体" w:hAnsi="宋体"/>
          <w:kern w:val="0"/>
          <w:szCs w:val="21"/>
        </w:rPr>
        <w:t xml:space="preserve"> 两个拉线点之间有三个转弯时，不超过8m。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穿线管两端在浇灌混凝土前插入模块并采用管接头临时密封。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穿线管不能进水，不允许采用不能检修的接线盒。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穿线管尺寸根据导线决定但不得小于15mm直径的穿线管。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穿线管在楼板内埋设时应牢固地固定，其构造及形式应经项目经理代表认可。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穿线管采用接线柱与接线盒连接，未经项目经理代表认可不允许有弯头。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锐角处采用接线盒。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接线盒采用带密封盖板的阻燃PVC塑料，并利用铜或电镀螺钉固定。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当穿线管端接在非钢性连接的设备时，应采用软性塑料防水穿线管。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用于室外的穿线管应为热镀锌钢管，以达防腐、防锈蚀的作用。</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.3.4  照明回路及控制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每个照明回路的最大负载应小于15A，且灯具数量不超过25盏，电压36V的照明回路，每一分路所接灯具数量，不超过15盏。回路布置应确保操作时最小击穿或在个别回路故障时的人身安全。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走廊及楼梯照明应与房间照明回路分开，转动机械区的照明应采用多相回路以限制频闪效应。</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在照明回路与插座回路的设计上应尽量考虑A，B，C三相负荷的平衡。</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.3.5  验收和测试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安装完成以后，承包人应与项目经理联合验收该工程，承包人应准备和完成已经批准的验收报告记录，验收报告是在安装工程的各个部分被验收通过时由承包人和项目经理共同完成并签名。在验收完成之后，应提交二份装订好的验收报告复印件给项目经理，承包人在开始联合验收前至少给项目经理48小时准备时间。</w:t>
      </w:r>
    </w:p>
    <w:p>
      <w:pPr>
        <w:spacing w:line="360" w:lineRule="auto"/>
        <w:outlineLvl w:val="0"/>
        <w:rPr>
          <w:rFonts w:ascii="宋体" w:hAnsi="宋体"/>
        </w:rPr>
      </w:pPr>
      <w:bookmarkStart w:id="4065" w:name="_Toc106050047"/>
      <w:bookmarkStart w:id="4066" w:name="_Toc106883311"/>
      <w:r>
        <w:rPr>
          <w:rFonts w:hint="eastAsia" w:ascii="宋体" w:hAnsi="宋体"/>
        </w:rPr>
        <w:t>4.3.3</w:t>
      </w:r>
      <w:r>
        <w:rPr>
          <w:rFonts w:ascii="宋体" w:hAnsi="宋体"/>
        </w:rPr>
        <w:t>.4  场地照明</w:t>
      </w:r>
      <w:bookmarkEnd w:id="4065"/>
      <w:bookmarkEnd w:id="4066"/>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.4.1  范围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本节涉及净水厂场地照明，要求包括以下内容的制造，供货和安装。</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场地照明投光灯、庭院灯灯具和灯杆。</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路灯基础。</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为满足安全有效，可靠的运行，场地照明应包括所有需要的附属工程。</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.4.2</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提交资料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承包人应提供下列竣工及验收证书。</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场地照明灯具的详细说明书。</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灯具、灯杆和路灯基础的布置和组装详图。</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包括资料和图纸的操作和维修手册。</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各阶段及竣工后的验收资料。</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 xml:space="preserve">.4.3 </w:t>
      </w:r>
      <w:r>
        <w:rPr>
          <w:rFonts w:hint="eastAsia" w:ascii="宋体" w:hAnsi="宋体"/>
          <w:b/>
          <w:kern w:val="0"/>
          <w:szCs w:val="21"/>
        </w:rPr>
        <w:t xml:space="preserve"> 设备和材料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（1）灯具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投光灯</w:t>
      </w:r>
      <w:r>
        <w:rPr>
          <w:rFonts w:hint="eastAsia" w:ascii="宋体" w:hAnsi="宋体"/>
          <w:kern w:val="0"/>
          <w:szCs w:val="21"/>
        </w:rPr>
        <w:t>、</w:t>
      </w:r>
      <w:r>
        <w:rPr>
          <w:rFonts w:ascii="宋体" w:hAnsi="宋体"/>
          <w:kern w:val="0"/>
          <w:szCs w:val="21"/>
        </w:rPr>
        <w:t>庭院灯</w:t>
      </w:r>
      <w:r>
        <w:rPr>
          <w:rFonts w:hint="eastAsia" w:ascii="宋体" w:hAnsi="宋体"/>
          <w:kern w:val="0"/>
          <w:szCs w:val="21"/>
        </w:rPr>
        <w:t>具体详见图纸</w:t>
      </w:r>
      <w:r>
        <w:rPr>
          <w:rFonts w:ascii="宋体" w:hAnsi="宋体"/>
          <w:kern w:val="0"/>
          <w:szCs w:val="21"/>
        </w:rPr>
        <w:t>。采用电子触发器。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灯具采用经批准的标准设计,全封闭、防风雨，半挡板式并带有完整的功率因数校正装置，单灯电容补偿达cosφ〉0.85，防护等级IP65，防腐蚀。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具结构应便于维修，易损附件的拆装应方便，组成灯具的各个部件必须是铝合金材料压铸成型；灯具的光源室和控制室是分开的，光源部分的灯罩必须采用热稳定性高的安全钢化玻璃；灯座应有防震措施；紧固件、导电金属件要求采用不锈钢材料，以防止腐蚀；灯具的内部接线应采用耐高温导线；反射器采用进口的经阳极氧化处理的纯铝板，密封材料要求用耐高温、耐老化的硅橡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道路灯具外表采用高温固化漆防护，颜色采用由业主确定。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（2）灯杆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投光灯灯杆整体采用直杆带0.5m的悬臂造型，灯具安装在悬臂端，悬臂与灯杆采用焊接。主杆体为直线杆，须一次成型，不得有中间焊缝，钢板厚度≥5mm（12米），≥3mm（3.5米）主灯杆的设计应能承受悬臂的负载、满足风速要求及当地的气候条件，热浸锌质量符合GB2694-88的要求，热浸锌层外采用环氧树脂粉末静电喷涂，颜色为白色。钢板焊缝须平整光滑，整根杆体焊缝凸起的部分与杆体平整误差不大于±1mm，超出此标准，业主有权拒绝接受。灯杆的下部设有一个防风雨的维护门，门必须做得平整光滑，与本杆体平整误差不大于±1mm,门与门互换性要好，门的防护等级为IP54，门切割后局部须加强，基本达到原整体杆的强度，门底距地坪500mm，灯杆的底部带有基底法兰盘，通过地脚螺栓安装在基础上，法兰盘的厚度不小于20mm，由承包人按现场条件及灯杆形式经过计算后确定。法兰盘与杆体的连接处可采用加强筋，以增强连接强度，并消除应力集中现象，安装后，加强筋不暴露于地面以上，灯杆下部维护门内应设有接线盒支架和接地螺栓。灯杆接线盒安装在接线盒支架上，安装位置应便于维修。各灯具的维护门应能互换，且具有一般工具无法打开的防盗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（3）接线盒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灯杆接线盒必须是专用的成熟的产品，具有防触电措施，接线盒安装在灯杆维护门内的底板上，灯杆接线盒应适用于最大截面为2.5mm</w:t>
      </w:r>
      <w:r>
        <w:rPr>
          <w:rFonts w:ascii="宋体" w:hAnsi="宋体"/>
          <w:kern w:val="0"/>
          <w:szCs w:val="21"/>
          <w:vertAlign w:val="superscript"/>
        </w:rPr>
        <w:t>2</w:t>
      </w:r>
      <w:r>
        <w:rPr>
          <w:rFonts w:ascii="宋体" w:hAnsi="宋体"/>
          <w:kern w:val="0"/>
          <w:szCs w:val="21"/>
        </w:rPr>
        <w:t>电缆的引入与引出，每个灯采用一个旋转式熔断器保护。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（4）灯杆基础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灯杆的基础设计应和灯杆相匹配，基础采用混凝土结构，基础上留有固定灯杆法兰盘的地脚螺栓及固定地脚螺栓用的下法兰；基础内根据需要预埋进出电缆的穿线管。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路灯、灯杆以及路灯基础应能形成一个协调合理的整体。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（5）路灯安装和工作质量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本承包人应负责灯具安装、灯杆安装以及完成灯杆内、接线板以后的连线。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灯杆安装应垂直、牢靠。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场地照明系统应安全防止小动物侵入。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（6）灯杆接地及预埋件等金属物体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灯杆接地及预埋件等金属物体应与通长敷设的镀锌圆钢焊接可靠接地。采用在灯杆基础加打人工接地极，接地电阻不大于10欧姆。路灯金属灯杆、法兰、基础内金属构件均应和PE线可靠连接。</w:t>
      </w:r>
    </w:p>
    <w:p>
      <w:pPr>
        <w:spacing w:line="360" w:lineRule="auto"/>
        <w:outlineLvl w:val="0"/>
        <w:rPr>
          <w:rFonts w:ascii="宋体" w:hAnsi="宋体"/>
        </w:rPr>
      </w:pPr>
      <w:bookmarkStart w:id="4067" w:name="_Toc106050048"/>
      <w:bookmarkStart w:id="4068" w:name="_Toc106883312"/>
      <w:r>
        <w:rPr>
          <w:rFonts w:hint="eastAsia" w:ascii="宋体" w:hAnsi="宋体"/>
        </w:rPr>
        <w:t>4.3.3</w:t>
      </w:r>
      <w:r>
        <w:rPr>
          <w:rFonts w:ascii="宋体" w:hAnsi="宋体"/>
        </w:rPr>
        <w:t xml:space="preserve">.5 </w:t>
      </w:r>
      <w:r>
        <w:rPr>
          <w:rFonts w:hint="eastAsia" w:ascii="宋体" w:hAnsi="宋体"/>
        </w:rPr>
        <w:t xml:space="preserve"> </w:t>
      </w:r>
      <w:r>
        <w:rPr>
          <w:rFonts w:ascii="宋体" w:hAnsi="宋体"/>
        </w:rPr>
        <w:t>电缆</w:t>
      </w:r>
      <w:bookmarkEnd w:id="4067"/>
      <w:bookmarkEnd w:id="406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本标书包括净水厂照明电缆的供货与安装。照明电缆采用铠装铜芯聚乙烯绝缘聚氯乙烯护套电缆。</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.5.1</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电缆在敷设前应按下列要求进行检查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-电缆通道畅通，预留穿线管无堵塞现象。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-电缆型号，电压及规格应符合设计要求。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-电缆外观无损伤，绝缘良好。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-敷设前应按设计和实际路径计算每根电缆的长度，避免电缆接头。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-在带电区域内敷设电缆，应有可靠的安全措施。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-所有电缆应是全新的，并且应附有制造厂的商标原封包装到现场。</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4.3.5</w:t>
      </w:r>
      <w:r>
        <w:rPr>
          <w:rFonts w:ascii="宋体" w:hAnsi="宋体"/>
          <w:b/>
          <w:kern w:val="0"/>
          <w:szCs w:val="21"/>
        </w:rPr>
        <w:t xml:space="preserve">.3.2 </w:t>
      </w:r>
      <w:r>
        <w:rPr>
          <w:rFonts w:hint="eastAsia" w:ascii="宋体" w:hAnsi="宋体"/>
          <w:b/>
          <w:kern w:val="0"/>
          <w:szCs w:val="21"/>
        </w:rPr>
        <w:t xml:space="preserve"> 电缆走向</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-电缆走向应按工程图纸根据标书的要求进行安装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-电力电缆不能多根同穿一根穿线管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-应留有适当的空间以保证电缆间最小的间距，曲率半径，固定件及终端盒的安装，发生故障时所有电缆应能移动和更换。</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4.3.5</w:t>
      </w:r>
      <w:r>
        <w:rPr>
          <w:rFonts w:ascii="宋体" w:hAnsi="宋体"/>
          <w:b/>
          <w:kern w:val="0"/>
          <w:szCs w:val="21"/>
        </w:rPr>
        <w:t xml:space="preserve">.3.3 </w:t>
      </w:r>
      <w:r>
        <w:rPr>
          <w:rFonts w:hint="eastAsia" w:ascii="宋体" w:hAnsi="宋体"/>
          <w:b/>
          <w:kern w:val="0"/>
          <w:szCs w:val="21"/>
        </w:rPr>
        <w:t xml:space="preserve"> 电缆安装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-所有电缆不允许有中间接头，只有在业主项目经理书面同意后才能使用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-在电缆安装前应先将穿线管，桥架等安装竣工，电缆及导线在穿管和桥架中夹紧前应事先估计长度，电缆不允许在管内桥架内硬拖。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-在电缆接口处应将电缆编上回路号的持久标志牌。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-电缆抽取后应立即敷设防止机械损伤，电缆的安装应采用支撑，导板绞车，托盘或其它设备等工具。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-电缆在安装进程及最后就位时应保证其曲率半径符合规定的要求，并在各种情况下满足制造商所推荐的要求。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-电缆进入配电柜、配电箱及电缆盒时，每根电缆应采用合适的铜质夹件来固定。</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4.3.5</w:t>
      </w:r>
      <w:r>
        <w:rPr>
          <w:rFonts w:ascii="宋体" w:hAnsi="宋体"/>
          <w:b/>
          <w:kern w:val="0"/>
          <w:szCs w:val="21"/>
        </w:rPr>
        <w:t xml:space="preserve">.3.4 </w:t>
      </w:r>
      <w:r>
        <w:rPr>
          <w:rFonts w:hint="eastAsia" w:ascii="宋体" w:hAnsi="宋体"/>
          <w:b/>
          <w:kern w:val="0"/>
          <w:szCs w:val="21"/>
        </w:rPr>
        <w:t xml:space="preserve"> 电缆的封头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所有电缆应采用专业厂制造的压接型接头并应与导体尺寸匹配，应按接头制造商所推荐的要求采用专用工具将接头压接，在接头处应保持电缆绝缘不损伤并以相色收缩套圈加以密封。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交联绝缘电缆的封头应严格按照制造商所推荐的要求采用专业厂生产的电缆收缩密封材料。</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4.3.5</w:t>
      </w:r>
      <w:r>
        <w:rPr>
          <w:rFonts w:ascii="宋体" w:hAnsi="宋体"/>
          <w:b/>
          <w:kern w:val="0"/>
          <w:szCs w:val="21"/>
        </w:rPr>
        <w:t xml:space="preserve">.3.5 </w:t>
      </w:r>
      <w:r>
        <w:rPr>
          <w:rFonts w:hint="eastAsia" w:ascii="宋体" w:hAnsi="宋体"/>
          <w:b/>
          <w:kern w:val="0"/>
          <w:szCs w:val="21"/>
        </w:rPr>
        <w:t xml:space="preserve"> 电缆接头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所有电缆在敷设时应无接头，承包人在各种情况下有责任精确地测定电缆所需的长度。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若电缆太长不可避免中间接头时，应征得监理项目经理书面同意并决定接头的位置和型式，电缆接头应配合电缆尺寸及结构采用专业生产的热收缩或环氧树脂塑壳型的接头箱。</w:t>
      </w:r>
    </w:p>
    <w:p>
      <w:pPr>
        <w:keepNext/>
        <w:keepLines/>
        <w:spacing w:line="376" w:lineRule="atLeast"/>
        <w:outlineLvl w:val="4"/>
        <w:rPr>
          <w:rFonts w:ascii="宋体" w:hAnsi="宋体"/>
        </w:rPr>
      </w:pPr>
      <w:r>
        <w:rPr>
          <w:rFonts w:hint="eastAsia" w:ascii="宋体" w:hAnsi="宋体"/>
        </w:rPr>
        <w:t>4.3.5</w:t>
      </w:r>
      <w:r>
        <w:rPr>
          <w:rFonts w:ascii="宋体" w:hAnsi="宋体"/>
        </w:rPr>
        <w:t>.3.6</w:t>
      </w:r>
      <w:r>
        <w:rPr>
          <w:rFonts w:hint="eastAsia" w:ascii="宋体" w:hAnsi="宋体"/>
        </w:rPr>
        <w:t xml:space="preserve"> </w:t>
      </w:r>
      <w:r>
        <w:rPr>
          <w:rFonts w:ascii="宋体" w:hAnsi="宋体"/>
        </w:rPr>
        <w:t xml:space="preserve"> </w:t>
      </w:r>
      <w:r>
        <w:rPr>
          <w:rFonts w:hint="eastAsia" w:ascii="宋体" w:hAnsi="宋体"/>
        </w:rPr>
        <w:t>电缆敷设标志</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当电缆进入构筑物时，应在电缆上方高出地坪300mm处用黄铜或其它不易腐蚀的材料制成标志牌固定在构筑物外墙墙面上。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在电缆所有的接头处，转弯处或直线距离不超过50m处均应在地坪上设置电缆标志牌，标志牌应选用高不小于200mm的牢固材料制作，标志牌上的图案在提出后应取得监理项目经理的同意。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标志牌上应用英语及中文标写“电力电缆”。</w:t>
      </w:r>
    </w:p>
    <w:p>
      <w:pPr>
        <w:spacing w:line="360" w:lineRule="auto"/>
        <w:outlineLvl w:val="0"/>
        <w:rPr>
          <w:rFonts w:ascii="宋体" w:hAnsi="宋体"/>
        </w:rPr>
      </w:pPr>
      <w:bookmarkStart w:id="4069" w:name="_Toc106050049"/>
      <w:bookmarkStart w:id="4070" w:name="_Toc106883313"/>
      <w:r>
        <w:rPr>
          <w:rFonts w:hint="eastAsia" w:ascii="宋体" w:hAnsi="宋体"/>
        </w:rPr>
        <w:t>4.3.3</w:t>
      </w:r>
      <w:r>
        <w:rPr>
          <w:rFonts w:ascii="宋体" w:hAnsi="宋体"/>
        </w:rPr>
        <w:t xml:space="preserve">.6 </w:t>
      </w:r>
      <w:r>
        <w:rPr>
          <w:rFonts w:hint="eastAsia" w:ascii="宋体" w:hAnsi="宋体"/>
        </w:rPr>
        <w:t xml:space="preserve"> </w:t>
      </w:r>
      <w:r>
        <w:rPr>
          <w:rFonts w:ascii="宋体" w:hAnsi="宋体"/>
        </w:rPr>
        <w:t>室外电缆沟</w:t>
      </w:r>
      <w:bookmarkEnd w:id="4069"/>
      <w:bookmarkEnd w:id="407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本标书内容包括净水厂和取水工程的室外电缆沟。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电缆沟为钢筋混凝土结构，</w:t>
      </w:r>
      <w:r>
        <w:rPr>
          <w:rFonts w:hint="eastAsia" w:ascii="宋体" w:hAnsi="宋体"/>
          <w:kern w:val="0"/>
          <w:szCs w:val="21"/>
        </w:rPr>
        <w:t>具体尺寸详见图纸</w:t>
      </w:r>
      <w:r>
        <w:rPr>
          <w:rFonts w:ascii="宋体" w:hAnsi="宋体"/>
          <w:kern w:val="0"/>
          <w:szCs w:val="21"/>
        </w:rPr>
        <w:t>。电缆沟两侧内壁应分别预埋供电缆支架安装用的扁钢，扁钢规格为100×10，通长，需进行热镀锌防腐处理。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电缆沟应考虑分段排水，每隔30米左右设置集水井。电缆沟底向集水井应有不小于0.5％的坡度。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绿化带内电缆沟盖板顶面高出绿化覆土100mm，过路电缆沟盖板顶面与道路面平。采用混凝土盖板，重量不超过50kg，过路的电缆沟盖板应为承重盖板。</w:t>
      </w:r>
    </w:p>
    <w:p>
      <w:pPr>
        <w:spacing w:line="360" w:lineRule="auto"/>
        <w:outlineLvl w:val="0"/>
        <w:rPr>
          <w:rFonts w:ascii="宋体" w:hAnsi="宋体"/>
        </w:rPr>
      </w:pPr>
      <w:bookmarkStart w:id="4071" w:name="_Toc106050050"/>
      <w:bookmarkStart w:id="4072" w:name="_Toc106883314"/>
      <w:r>
        <w:rPr>
          <w:rFonts w:hint="eastAsia" w:ascii="宋体" w:hAnsi="宋体"/>
        </w:rPr>
        <w:t>4.3.3</w:t>
      </w:r>
      <w:r>
        <w:rPr>
          <w:rFonts w:ascii="宋体" w:hAnsi="宋体"/>
        </w:rPr>
        <w:t xml:space="preserve">.7 </w:t>
      </w:r>
      <w:r>
        <w:rPr>
          <w:rFonts w:hint="eastAsia" w:ascii="宋体" w:hAnsi="宋体"/>
        </w:rPr>
        <w:t xml:space="preserve"> </w:t>
      </w:r>
      <w:r>
        <w:rPr>
          <w:rFonts w:ascii="宋体" w:hAnsi="宋体"/>
        </w:rPr>
        <w:t>接地系统</w:t>
      </w:r>
      <w:bookmarkEnd w:id="4071"/>
      <w:bookmarkEnd w:id="4072"/>
    </w:p>
    <w:p>
      <w:pPr>
        <w:adjustRightInd w:val="0"/>
        <w:snapToGrid w:val="0"/>
        <w:spacing w:line="360" w:lineRule="auto"/>
        <w:textAlignment w:val="baseline"/>
        <w:outlineLvl w:val="0"/>
        <w:rPr>
          <w:rFonts w:ascii="宋体" w:hAnsi="宋体"/>
          <w:b/>
          <w:kern w:val="0"/>
          <w:szCs w:val="21"/>
        </w:rPr>
      </w:pPr>
      <w:bookmarkStart w:id="4073" w:name="_Toc106050051"/>
      <w:bookmarkStart w:id="4074" w:name="_Toc106883315"/>
      <w:r>
        <w:rPr>
          <w:rFonts w:hint="eastAsia" w:ascii="宋体" w:hAnsi="宋体"/>
          <w:b/>
          <w:kern w:val="0"/>
          <w:szCs w:val="21"/>
        </w:rPr>
        <w:t>4.3.3</w:t>
      </w:r>
      <w:r>
        <w:rPr>
          <w:rFonts w:ascii="宋体" w:hAnsi="宋体"/>
          <w:b/>
          <w:kern w:val="0"/>
          <w:szCs w:val="21"/>
        </w:rPr>
        <w:t xml:space="preserve">.7.1 </w:t>
      </w:r>
      <w:r>
        <w:rPr>
          <w:rFonts w:hint="eastAsia" w:ascii="宋体" w:hAnsi="宋体"/>
          <w:b/>
          <w:kern w:val="0"/>
          <w:szCs w:val="21"/>
        </w:rPr>
        <w:t xml:space="preserve"> 范围</w:t>
      </w:r>
      <w:bookmarkEnd w:id="4073"/>
      <w:bookmarkEnd w:id="407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本节包括本工程内的工作接地系统、保护接地系统的组装、供应、安装和测试的需求。防雷保护系统的接地另见相关章节。</w:t>
      </w:r>
    </w:p>
    <w:p>
      <w:pPr>
        <w:adjustRightInd w:val="0"/>
        <w:snapToGrid w:val="0"/>
        <w:spacing w:line="360" w:lineRule="auto"/>
        <w:textAlignment w:val="baseline"/>
        <w:outlineLvl w:val="4"/>
        <w:rPr>
          <w:rFonts w:ascii="宋体" w:hAnsi="宋体"/>
          <w:b/>
          <w:kern w:val="0"/>
          <w:szCs w:val="21"/>
        </w:rPr>
      </w:pPr>
      <w:r>
        <w:rPr>
          <w:rFonts w:ascii="宋体" w:hAnsi="宋体"/>
          <w:b/>
          <w:kern w:val="0"/>
          <w:szCs w:val="21"/>
        </w:rPr>
        <w:t>12</w:t>
      </w:r>
      <w:r>
        <w:rPr>
          <w:rFonts w:hint="eastAsia" w:ascii="宋体" w:hAnsi="宋体"/>
          <w:b/>
          <w:kern w:val="0"/>
          <w:szCs w:val="21"/>
        </w:rPr>
        <w:t>.3</w:t>
      </w:r>
      <w:r>
        <w:rPr>
          <w:rFonts w:ascii="宋体" w:hAnsi="宋体"/>
          <w:b/>
          <w:kern w:val="0"/>
          <w:szCs w:val="21"/>
        </w:rPr>
        <w:t>.3.7.2</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提交资料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本节中需要提交下列竣工及验收资料，包括但不限于：</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接地系统布置图应给出下列内容：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--接地极的定位和布置，表示出各个接地极。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--所有测试用的连接件和断接卡子的定位。</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整个接地系统中的所有组件的详细装配图。</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所有已被证实过的常规的现场测试证书。</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包括蓝图在内的操作和维修手册。</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各阶段及竣工验收资料。</w:t>
      </w:r>
    </w:p>
    <w:p>
      <w:pPr>
        <w:adjustRightInd w:val="0"/>
        <w:snapToGrid w:val="0"/>
        <w:spacing w:line="360" w:lineRule="auto"/>
        <w:textAlignment w:val="baseline"/>
        <w:outlineLvl w:val="0"/>
        <w:rPr>
          <w:rFonts w:ascii="宋体" w:hAnsi="宋体"/>
          <w:b/>
          <w:kern w:val="0"/>
          <w:szCs w:val="21"/>
        </w:rPr>
      </w:pPr>
      <w:bookmarkStart w:id="4075" w:name="_Toc106050052"/>
      <w:bookmarkStart w:id="4076" w:name="_Toc106883316"/>
      <w:r>
        <w:rPr>
          <w:rFonts w:hint="eastAsia" w:ascii="宋体" w:hAnsi="宋体"/>
          <w:b/>
          <w:kern w:val="0"/>
          <w:szCs w:val="21"/>
        </w:rPr>
        <w:t>4.3.3</w:t>
      </w:r>
      <w:r>
        <w:rPr>
          <w:rFonts w:ascii="宋体" w:hAnsi="宋体"/>
          <w:b/>
          <w:kern w:val="0"/>
          <w:szCs w:val="21"/>
        </w:rPr>
        <w:t xml:space="preserve">.7.3 </w:t>
      </w:r>
      <w:r>
        <w:rPr>
          <w:rFonts w:hint="eastAsia" w:ascii="宋体" w:hAnsi="宋体"/>
          <w:b/>
          <w:kern w:val="0"/>
          <w:szCs w:val="21"/>
        </w:rPr>
        <w:t xml:space="preserve"> 设备和材料</w:t>
      </w:r>
      <w:bookmarkEnd w:id="4075"/>
      <w:bookmarkEnd w:id="407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地系统采用在建（构）筑物条型基础内预埋一根40X4或50X4（具体见各单体图纸）闭合的镀锌扁钢或基础底板内的钢筋网，作为接地网。其中，条形基础内的镀锌扁钢应和基础内钢筋焊接，基础底板内钢筋网可焊接或绑扎。接地网与中间地基梁互相连接组成均压网。室内距地面200MM处予埋-100×100×6镀锌钢板与柱内主筋焊接，作为室内接地线连接网络之用。室外距地面500mm处预埋-100×100×6镀锌钢板与柱内主筋焊接，作为接地网阻值测试及加打人工接地之用。各接地系统采用共用接地网，其接地电阻不大于1欧姆。 达不到时应补充实施人工接地装置。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人工接地装置采用ER防腐降阻接地极，防腐性能优良，接地有效可靠，寿命不小于50年。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室内接地线采用25×4热镀锌扁钢。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室外接地线采用40×4热镀锌扁钢。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避雷保护系统的接地装置与本节所述的接地装置为合并设置。</w:t>
      </w:r>
    </w:p>
    <w:p>
      <w:pPr>
        <w:adjustRightInd w:val="0"/>
        <w:snapToGrid w:val="0"/>
        <w:spacing w:line="360" w:lineRule="auto"/>
        <w:textAlignment w:val="baseline"/>
        <w:outlineLvl w:val="0"/>
        <w:rPr>
          <w:rFonts w:ascii="宋体" w:hAnsi="宋体"/>
          <w:b/>
          <w:kern w:val="0"/>
          <w:szCs w:val="21"/>
        </w:rPr>
      </w:pPr>
      <w:bookmarkStart w:id="4077" w:name="_Toc106050053"/>
      <w:bookmarkStart w:id="4078" w:name="_Toc106883317"/>
      <w:r>
        <w:rPr>
          <w:rFonts w:hint="eastAsia" w:ascii="宋体" w:hAnsi="宋体"/>
          <w:b/>
          <w:kern w:val="0"/>
          <w:szCs w:val="21"/>
        </w:rPr>
        <w:t>4.3.3</w:t>
      </w:r>
      <w:r>
        <w:rPr>
          <w:rFonts w:ascii="宋体" w:hAnsi="宋体"/>
          <w:b/>
          <w:kern w:val="0"/>
          <w:szCs w:val="21"/>
        </w:rPr>
        <w:t>.7.4</w:t>
      </w:r>
      <w:r>
        <w:rPr>
          <w:rFonts w:hint="eastAsia" w:ascii="宋体" w:hAnsi="宋体"/>
          <w:b/>
          <w:kern w:val="0"/>
          <w:szCs w:val="21"/>
        </w:rPr>
        <w:t xml:space="preserve">  验收和测试</w:t>
      </w:r>
      <w:bookmarkEnd w:id="4077"/>
      <w:bookmarkEnd w:id="407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（1）验收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安装完成以后，承包人应与项目经理联合验收该工程，承包人应准备和完成已经批准的验收报告记录，验收报告是在安装工程的各个部分被验收通过时由承包人和项目经理共同完成并签名。在验收完成之后，应提交二份装订好的验收报告复印件给项目经理。承包人在开始联合验收前至少给项目经理48小时准备时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（2）竣工测试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项目经理验收并批准后，承包人应向项目经理证实接地极的电阻。在规定的极限以内，任何附加的接地极和测试所需的仪器应由承包人提供，测试结果也应记录在记录纸上，并和验收结果装订在一起提交给项目经理。</w:t>
      </w:r>
    </w:p>
    <w:p>
      <w:pPr>
        <w:spacing w:line="360" w:lineRule="auto"/>
        <w:outlineLvl w:val="0"/>
        <w:rPr>
          <w:rFonts w:ascii="宋体" w:hAnsi="宋体"/>
        </w:rPr>
      </w:pPr>
      <w:bookmarkStart w:id="4079" w:name="_Toc106050054"/>
      <w:bookmarkStart w:id="4080" w:name="_Toc106883318"/>
      <w:r>
        <w:rPr>
          <w:rFonts w:hint="eastAsia" w:ascii="宋体" w:hAnsi="宋体"/>
        </w:rPr>
        <w:t>4.3.3</w:t>
      </w:r>
      <w:r>
        <w:rPr>
          <w:rFonts w:ascii="宋体" w:hAnsi="宋体"/>
        </w:rPr>
        <w:t xml:space="preserve">.8 </w:t>
      </w:r>
      <w:r>
        <w:rPr>
          <w:rFonts w:hint="eastAsia" w:ascii="宋体" w:hAnsi="宋体"/>
        </w:rPr>
        <w:t xml:space="preserve"> </w:t>
      </w:r>
      <w:r>
        <w:rPr>
          <w:rFonts w:ascii="宋体" w:hAnsi="宋体"/>
        </w:rPr>
        <w:t>防雷保护系统</w:t>
      </w:r>
      <w:bookmarkEnd w:id="4079"/>
      <w:bookmarkEnd w:id="4080"/>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.8.1 范围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本节包括净水厂范围内的防雷保护系统的组装、供应、安装和测试的需求。</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 xml:space="preserve">.8.2 </w:t>
      </w:r>
      <w:r>
        <w:rPr>
          <w:rFonts w:hint="eastAsia" w:ascii="宋体" w:hAnsi="宋体"/>
          <w:b/>
          <w:kern w:val="0"/>
          <w:szCs w:val="21"/>
        </w:rPr>
        <w:t xml:space="preserve"> </w:t>
      </w:r>
      <w:r>
        <w:rPr>
          <w:rFonts w:ascii="宋体" w:hAnsi="宋体"/>
          <w:b/>
          <w:kern w:val="0"/>
          <w:szCs w:val="21"/>
        </w:rPr>
        <w:t>提交资料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本节中需要提交下列竣工及验收资料：</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防雷系统布置图，包括但不限于：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--系统导体安装的布置，表示出屋顶网络及下引导体与建筑结构金属配件上所有节点的详图。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--所有测试用的连接件和接头的定位。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--接地极的定位和布置，表示出各个地极。</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包括整个避雷系统安装中的所有组件的详细装配图。</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所有已被证实过的常规的现场测试证书。</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包括蓝图在内的操作和维修手册。</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cs="宋体"/>
          <w:kern w:val="0"/>
          <w:szCs w:val="21"/>
        </w:rPr>
        <w:t>◆</w:t>
      </w:r>
      <w:r>
        <w:rPr>
          <w:rFonts w:hint="eastAsia" w:ascii="宋体" w:hAnsi="宋体"/>
          <w:kern w:val="0"/>
          <w:szCs w:val="21"/>
        </w:rPr>
        <w:t xml:space="preserve"> </w:t>
      </w:r>
      <w:r>
        <w:rPr>
          <w:rFonts w:ascii="宋体" w:hAnsi="宋体"/>
          <w:kern w:val="0"/>
          <w:szCs w:val="21"/>
        </w:rPr>
        <w:t>各阶段及竣工验收资料。</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 xml:space="preserve">.8.3 </w:t>
      </w:r>
      <w:r>
        <w:rPr>
          <w:rFonts w:hint="eastAsia" w:ascii="宋体" w:hAnsi="宋体"/>
          <w:b/>
          <w:kern w:val="0"/>
          <w:szCs w:val="21"/>
        </w:rPr>
        <w:t xml:space="preserve"> </w:t>
      </w:r>
      <w:r>
        <w:rPr>
          <w:rFonts w:ascii="宋体" w:hAnsi="宋体"/>
          <w:b/>
          <w:kern w:val="0"/>
          <w:szCs w:val="21"/>
        </w:rPr>
        <w:t>材料和设备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（1）一般要求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本装置应包括安装在建筑顶部结构的“法拉第屏蔽网型”接闪带及必要的引下线，检测用的连接件和接地极。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完整的接闪带网，应是最小截面为25mm×4mm的镀锌扁钢或直径为10mm的镀锌圆钢。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（2）室外连接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室外连接应包括安装在屋顶结构四周的接闪带，屋顶通风装置上顶表面或其他突出设备均与接闪带相连接。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引下线利用柱子内的主钢筋。主钢筋应与承台板相应的桩基内的钢筋焊牢。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柱子内主钢筋直径为16mm及以上时，应利用二根（绑扎或焊接）作为一组引下线。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当钢筋直筋为10mm及以上时，应利用四根（绑扎或焊接）作为一组引下线。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检测用连接件应配置在引下线上，包括一螺栓可活动的连接件以便检测时隔离接地极。检测用连接件应用批准设计的栓接夹板旋接在引下线上而不应穿过导体带本身栓接。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检测用连接件应定位于高于底层地坪1.8m处。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（3）接地极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利用建筑物柱子内的主钢筋作为避雷引下线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利用建筑物桩基内的钢筋作为自然接地体。其接地接触电阻不大于1欧姆。当自然接地体不能满足要求时，应另敷设外引人工接地体。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人工接地装置采用ER防腐降阻接地极，防腐性能优良，接地有效可靠，寿命不小于50年。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根据现场测试的决定，这些现场测试应由承包人承担，每组接地极应包括相互联系的入土（钢）杆系统。</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 xml:space="preserve">.8.4 </w:t>
      </w:r>
      <w:r>
        <w:rPr>
          <w:rFonts w:hint="eastAsia" w:ascii="宋体" w:hAnsi="宋体"/>
          <w:b/>
          <w:kern w:val="0"/>
          <w:szCs w:val="21"/>
        </w:rPr>
        <w:t xml:space="preserve"> </w:t>
      </w:r>
      <w:r>
        <w:rPr>
          <w:rFonts w:ascii="宋体" w:hAnsi="宋体"/>
          <w:b/>
          <w:kern w:val="0"/>
          <w:szCs w:val="21"/>
        </w:rPr>
        <w:t>安装方式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（1）接闪带的固定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整个安装过程中，接闪带网应用批准的合适的座架或钢夹永久性地固定在建筑结构上，座架挡距除经项目监理批准，在垂直或水平面上均不大于600mm。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接闪带网中的接点应仅使用于主要交叉点和接闪带过长处。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所有焊接表面应用合适的非腐蚀性导电化合物（润滑剂）清洗并防止氧化。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所有接点和搭接处应用有粘性的PVC带缠绕两圈半，并用沥青涂料至少刷涂两次。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在带状导体穿外墙或屋顶结构安装处，洞的入口应予密封以防止潮气侵入，密封方法应征得项目经理同意。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（2）标识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已获得批准型式的标识杆和标识牌应用于标志接地极和埋设的连接件的位置。</w:t>
      </w:r>
    </w:p>
    <w:p>
      <w:pPr>
        <w:adjustRightInd w:val="0"/>
        <w:snapToGrid w:val="0"/>
        <w:spacing w:line="360" w:lineRule="auto"/>
        <w:textAlignment w:val="baseline"/>
        <w:outlineLvl w:val="4"/>
        <w:rPr>
          <w:rFonts w:ascii="宋体" w:hAnsi="宋体"/>
          <w:b/>
          <w:kern w:val="0"/>
          <w:szCs w:val="21"/>
        </w:rPr>
      </w:pPr>
      <w:r>
        <w:rPr>
          <w:rFonts w:hint="eastAsia" w:ascii="宋体" w:hAnsi="宋体"/>
          <w:b/>
          <w:kern w:val="0"/>
          <w:szCs w:val="21"/>
        </w:rPr>
        <w:t>4.3.3</w:t>
      </w:r>
      <w:r>
        <w:rPr>
          <w:rFonts w:ascii="宋体" w:hAnsi="宋体"/>
          <w:b/>
          <w:kern w:val="0"/>
          <w:szCs w:val="21"/>
        </w:rPr>
        <w:t>.8.5</w:t>
      </w:r>
      <w:r>
        <w:rPr>
          <w:rFonts w:hint="eastAsia" w:ascii="宋体" w:hAnsi="宋体"/>
          <w:b/>
          <w:kern w:val="0"/>
          <w:szCs w:val="21"/>
        </w:rPr>
        <w:t xml:space="preserve"> </w:t>
      </w:r>
      <w:r>
        <w:rPr>
          <w:rFonts w:ascii="宋体" w:hAnsi="宋体"/>
          <w:b/>
          <w:kern w:val="0"/>
          <w:szCs w:val="21"/>
        </w:rPr>
        <w:t xml:space="preserve"> 验收和测试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（1）验收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安装完成以后，承包人应与项目监理联合验收该工程。承包人应准备和完成已经批准的验收报告记录，验收报告是在安装工程的各个部分被验收通过时由承包人和项目监理共同完成并签名。在验收完成之后，应提交二份装订好的验收报告复印件给项目监理。承包人在开始联合验收前至少给项目监理48小时准备时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（2）竣工测试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项目监理验收并批准后，承包人应向项目监理证实接地极的电阻在规定的极限以内，任何附加的接地极和测试所需的仪器应由承包人提供，测试结果也应记录在记录纸上，并和验收结果装订在一起提交给项目监理。</w:t>
      </w:r>
    </w:p>
    <w:p>
      <w:pPr>
        <w:adjustRightInd w:val="0"/>
        <w:snapToGrid w:val="0"/>
        <w:spacing w:line="360" w:lineRule="auto"/>
        <w:jc w:val="left"/>
        <w:outlineLvl w:val="2"/>
        <w:rPr>
          <w:rFonts w:ascii="宋体" w:hAnsi="宋体"/>
          <w:b/>
          <w:bCs/>
          <w:szCs w:val="20"/>
        </w:rPr>
      </w:pPr>
      <w:bookmarkStart w:id="4081" w:name="_Toc521492274"/>
      <w:bookmarkStart w:id="4082" w:name="_Toc521493131"/>
      <w:bookmarkStart w:id="4083" w:name="_Toc521493805"/>
      <w:bookmarkStart w:id="4084" w:name="_Toc106883319"/>
      <w:r>
        <w:rPr>
          <w:rFonts w:hint="eastAsia" w:ascii="宋体" w:hAnsi="宋体"/>
          <w:b/>
          <w:bCs/>
          <w:szCs w:val="20"/>
        </w:rPr>
        <w:t>4.3.4</w:t>
      </w:r>
      <w:r>
        <w:rPr>
          <w:rFonts w:ascii="宋体" w:hAnsi="宋体"/>
          <w:b/>
          <w:bCs/>
          <w:szCs w:val="20"/>
        </w:rPr>
        <w:t xml:space="preserve"> </w:t>
      </w:r>
      <w:r>
        <w:rPr>
          <w:rFonts w:hint="eastAsia" w:ascii="宋体" w:hAnsi="宋体"/>
          <w:b/>
          <w:bCs/>
          <w:szCs w:val="20"/>
        </w:rPr>
        <w:t xml:space="preserve"> </w:t>
      </w:r>
      <w:r>
        <w:rPr>
          <w:rFonts w:ascii="宋体" w:hAnsi="宋体"/>
          <w:b/>
          <w:bCs/>
          <w:szCs w:val="20"/>
        </w:rPr>
        <w:t>给排水部分</w:t>
      </w:r>
      <w:bookmarkEnd w:id="4081"/>
      <w:bookmarkEnd w:id="4082"/>
      <w:bookmarkEnd w:id="4083"/>
      <w:bookmarkEnd w:id="4084"/>
    </w:p>
    <w:p>
      <w:pPr>
        <w:spacing w:line="360" w:lineRule="auto"/>
        <w:outlineLvl w:val="0"/>
        <w:rPr>
          <w:rFonts w:ascii="宋体" w:hAnsi="宋体"/>
        </w:rPr>
      </w:pPr>
      <w:bookmarkStart w:id="4085" w:name="_Toc106050056"/>
      <w:bookmarkStart w:id="4086" w:name="_Toc106883320"/>
      <w:r>
        <w:rPr>
          <w:rFonts w:hint="eastAsia" w:ascii="宋体" w:hAnsi="宋体"/>
        </w:rPr>
        <w:t>4.3.4</w:t>
      </w:r>
      <w:r>
        <w:rPr>
          <w:rFonts w:ascii="宋体" w:hAnsi="宋体"/>
        </w:rPr>
        <w:t xml:space="preserve">.1 </w:t>
      </w:r>
      <w:r>
        <w:rPr>
          <w:rFonts w:hint="eastAsia" w:ascii="宋体" w:hAnsi="宋体"/>
        </w:rPr>
        <w:t xml:space="preserve"> </w:t>
      </w:r>
      <w:r>
        <w:rPr>
          <w:rFonts w:ascii="宋体" w:hAnsi="宋体"/>
        </w:rPr>
        <w:t>范围</w:t>
      </w:r>
      <w:bookmarkEnd w:id="4085"/>
      <w:bookmarkEnd w:id="408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本节涉及室内给排水、消防工程及设备、材料的供给、安装及调试的要求，包括：</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－卫生设备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－上述卫生设备排出废料的排污和通风系统以及排水系统的设备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－雨水系统，屋面雨水流入排水系统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－冷水供给系统，包括给水附属装置、设备等总的配水系统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－防火系统</w:t>
      </w:r>
    </w:p>
    <w:p>
      <w:pPr>
        <w:spacing w:line="360" w:lineRule="auto"/>
        <w:outlineLvl w:val="0"/>
        <w:rPr>
          <w:rFonts w:ascii="宋体" w:hAnsi="宋体"/>
        </w:rPr>
      </w:pPr>
      <w:bookmarkStart w:id="4087" w:name="_Toc106050057"/>
      <w:bookmarkStart w:id="4088" w:name="_Toc106883321"/>
      <w:r>
        <w:rPr>
          <w:rFonts w:hint="eastAsia" w:ascii="宋体" w:hAnsi="宋体"/>
        </w:rPr>
        <w:t>4.3.4</w:t>
      </w:r>
      <w:r>
        <w:rPr>
          <w:rFonts w:ascii="宋体" w:hAnsi="宋体"/>
        </w:rPr>
        <w:t xml:space="preserve">.2 </w:t>
      </w:r>
      <w:r>
        <w:rPr>
          <w:rFonts w:hint="eastAsia" w:ascii="宋体" w:hAnsi="宋体"/>
        </w:rPr>
        <w:t xml:space="preserve"> </w:t>
      </w:r>
      <w:r>
        <w:rPr>
          <w:rFonts w:ascii="宋体" w:hAnsi="宋体"/>
        </w:rPr>
        <w:t>参考规范</w:t>
      </w:r>
      <w:bookmarkEnd w:id="4087"/>
      <w:bookmarkEnd w:id="408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本节涉及的主要标准如下：</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15"/>
        <w:gridCol w:w="6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S1、S2、S3、S4、S5</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《中国给排水标准图》2004版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GB50015-2009</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《建筑给水排水设计规范》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fldChar w:fldCharType="begin"/>
            </w:r>
            <w:r>
              <w:instrText xml:space="preserve"> HYPERLINK "http://www.csres.com/detail/251239.html" \t "_blank" </w:instrText>
            </w:r>
            <w:r>
              <w:fldChar w:fldCharType="separate"/>
            </w:r>
            <w:r>
              <w:rPr>
                <w:rFonts w:hint="eastAsia" w:ascii="宋体" w:hAnsi="宋体"/>
                <w:sz w:val="18"/>
                <w:szCs w:val="21"/>
                <w:u w:val="single"/>
              </w:rPr>
              <w:t>CJJ/T 98-2014</w:t>
            </w:r>
            <w:r>
              <w:rPr>
                <w:rFonts w:hint="eastAsia" w:ascii="宋体" w:hAnsi="宋体"/>
                <w:sz w:val="18"/>
                <w:szCs w:val="21"/>
                <w:u w:val="single"/>
              </w:rPr>
              <w:fldChar w:fldCharType="end"/>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《建筑给水聚丙稀管道工程技术规范》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CECS105：2000</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《建筑给水铝塑复合管道工程技术规程》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CECS125：2001</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《建筑给水钢塑复合管管道工程技术规程》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GB\T20221-2006</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《埋地排污、废水用硬聚氯乙烯（PVC-U）管材》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CJJ/T29-</w:t>
            </w:r>
            <w:r>
              <w:rPr>
                <w:rFonts w:hint="eastAsia" w:ascii="宋体" w:hAnsi="宋体"/>
                <w:sz w:val="18"/>
                <w:szCs w:val="18"/>
              </w:rPr>
              <w:t>2010</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《建筑排水硬聚氯乙烯管道工程技术规程》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GB50268－2008</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《给水排水管道工程施工及验收规程》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CECS41：2004</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《建筑给水硬聚氯乙烯给水管道设计与施工验收规程》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GB50242-2002</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《建筑给水排水及采暖工程施工质量验收规范》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6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CECS942：97</w:t>
            </w:r>
          </w:p>
        </w:tc>
        <w:tc>
          <w:tcPr>
            <w:tcW w:w="353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建筑排水用硬聚氯乙稀螺旋管管道工程设计、施工及验收规程</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所应用的标准</w:t>
      </w:r>
      <w:r>
        <w:rPr>
          <w:rFonts w:hint="eastAsia" w:ascii="宋体" w:hAnsi="宋体"/>
          <w:kern w:val="0"/>
          <w:szCs w:val="21"/>
        </w:rPr>
        <w:t>和规范</w:t>
      </w:r>
      <w:r>
        <w:rPr>
          <w:rFonts w:ascii="宋体" w:hAnsi="宋体"/>
          <w:kern w:val="0"/>
          <w:szCs w:val="21"/>
        </w:rPr>
        <w:t>应是最新的且已实施的版本，必须在本招标截止日期之前28天尚在通用的版本。</w:t>
      </w:r>
    </w:p>
    <w:p>
      <w:pPr>
        <w:spacing w:line="360" w:lineRule="auto"/>
        <w:outlineLvl w:val="0"/>
        <w:rPr>
          <w:rFonts w:ascii="宋体" w:hAnsi="宋体"/>
        </w:rPr>
      </w:pPr>
      <w:bookmarkStart w:id="4089" w:name="_Toc106050058"/>
      <w:bookmarkStart w:id="4090" w:name="_Toc106883322"/>
      <w:r>
        <w:rPr>
          <w:rFonts w:hint="eastAsia" w:ascii="宋体" w:hAnsi="宋体"/>
        </w:rPr>
        <w:t>4.3.4</w:t>
      </w:r>
      <w:r>
        <w:rPr>
          <w:rFonts w:ascii="宋体" w:hAnsi="宋体"/>
        </w:rPr>
        <w:t xml:space="preserve">.3 </w:t>
      </w:r>
      <w:r>
        <w:rPr>
          <w:rFonts w:hint="eastAsia" w:ascii="宋体" w:hAnsi="宋体"/>
        </w:rPr>
        <w:t xml:space="preserve"> </w:t>
      </w:r>
      <w:r>
        <w:rPr>
          <w:rFonts w:ascii="宋体" w:hAnsi="宋体"/>
        </w:rPr>
        <w:t>提交文件</w:t>
      </w:r>
      <w:bookmarkEnd w:id="4089"/>
      <w:bookmarkEnd w:id="409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承包人提交文件应包括：</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（1）供应商提供的与相应规范相符合的合格证书，它涉及：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－卫生设备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－管道及配件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－消火栓及消防水带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（2）制造商提供的资料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－样本</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－消防产品还应提供嵊州市公安局的销售许可证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－样品</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 xml:space="preserve">◆ </w:t>
      </w:r>
      <w:r>
        <w:rPr>
          <w:rFonts w:ascii="宋体" w:hAnsi="宋体"/>
          <w:kern w:val="0"/>
          <w:szCs w:val="21"/>
        </w:rPr>
        <w:t>坐式大便器</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 xml:space="preserve">◆ </w:t>
      </w:r>
      <w:r>
        <w:rPr>
          <w:rFonts w:ascii="宋体" w:hAnsi="宋体"/>
          <w:kern w:val="0"/>
          <w:szCs w:val="21"/>
        </w:rPr>
        <w:t>蹲式大便器</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 xml:space="preserve">◆ </w:t>
      </w:r>
      <w:r>
        <w:rPr>
          <w:rFonts w:ascii="宋体" w:hAnsi="宋体"/>
          <w:kern w:val="0"/>
          <w:szCs w:val="21"/>
        </w:rPr>
        <w:t>立式小便器</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 xml:space="preserve">◆ </w:t>
      </w:r>
      <w:r>
        <w:rPr>
          <w:rFonts w:ascii="宋体" w:hAnsi="宋体"/>
          <w:kern w:val="0"/>
          <w:szCs w:val="21"/>
        </w:rPr>
        <w:t>立式洗脸盆</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 xml:space="preserve">◆ </w:t>
      </w:r>
      <w:r>
        <w:rPr>
          <w:rFonts w:ascii="宋体" w:hAnsi="宋体"/>
          <w:kern w:val="0"/>
          <w:szCs w:val="21"/>
        </w:rPr>
        <w:t>截止阀、闸阀</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 xml:space="preserve">◆ </w:t>
      </w:r>
      <w:r>
        <w:rPr>
          <w:rFonts w:ascii="宋体" w:hAnsi="宋体"/>
          <w:kern w:val="0"/>
          <w:szCs w:val="21"/>
        </w:rPr>
        <w:t>洗涤池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样品一经批准即可用在永久性工程中。</w:t>
      </w:r>
    </w:p>
    <w:p>
      <w:pPr>
        <w:spacing w:line="360" w:lineRule="auto"/>
        <w:outlineLvl w:val="0"/>
        <w:rPr>
          <w:rFonts w:ascii="宋体" w:hAnsi="宋体"/>
        </w:rPr>
      </w:pPr>
      <w:bookmarkStart w:id="4091" w:name="_Toc106050059"/>
      <w:bookmarkStart w:id="4092" w:name="_Toc106883323"/>
      <w:r>
        <w:rPr>
          <w:rFonts w:hint="eastAsia" w:ascii="宋体" w:hAnsi="宋体"/>
        </w:rPr>
        <w:t>4.3.4</w:t>
      </w:r>
      <w:r>
        <w:rPr>
          <w:rFonts w:ascii="宋体" w:hAnsi="宋体"/>
        </w:rPr>
        <w:t xml:space="preserve">.4 </w:t>
      </w:r>
      <w:r>
        <w:rPr>
          <w:rFonts w:hint="eastAsia" w:ascii="宋体" w:hAnsi="宋体"/>
        </w:rPr>
        <w:t xml:space="preserve"> </w:t>
      </w:r>
      <w:r>
        <w:rPr>
          <w:rFonts w:ascii="宋体" w:hAnsi="宋体"/>
        </w:rPr>
        <w:t>材料</w:t>
      </w:r>
      <w:bookmarkEnd w:id="4091"/>
      <w:bookmarkEnd w:id="4092"/>
    </w:p>
    <w:p>
      <w:pPr>
        <w:adjustRightInd w:val="0"/>
        <w:snapToGrid w:val="0"/>
        <w:spacing w:line="360" w:lineRule="auto"/>
        <w:textAlignment w:val="baseline"/>
        <w:outlineLvl w:val="0"/>
        <w:rPr>
          <w:rFonts w:ascii="宋体" w:hAnsi="宋体"/>
          <w:b/>
          <w:kern w:val="0"/>
          <w:szCs w:val="21"/>
        </w:rPr>
      </w:pPr>
      <w:bookmarkStart w:id="4093" w:name="_Toc106050060"/>
      <w:bookmarkStart w:id="4094" w:name="_Toc106883324"/>
      <w:r>
        <w:rPr>
          <w:rFonts w:hint="eastAsia" w:ascii="宋体" w:hAnsi="宋体"/>
          <w:b/>
          <w:kern w:val="0"/>
          <w:szCs w:val="21"/>
        </w:rPr>
        <w:t>4.3.4</w:t>
      </w:r>
      <w:r>
        <w:rPr>
          <w:rFonts w:ascii="宋体" w:hAnsi="宋体"/>
          <w:b/>
          <w:kern w:val="0"/>
          <w:szCs w:val="21"/>
        </w:rPr>
        <w:t xml:space="preserve">.4.1 </w:t>
      </w:r>
      <w:r>
        <w:rPr>
          <w:rFonts w:hint="eastAsia" w:ascii="宋体" w:hAnsi="宋体"/>
          <w:b/>
          <w:kern w:val="0"/>
          <w:szCs w:val="21"/>
        </w:rPr>
        <w:t xml:space="preserve"> 卫生设</w:t>
      </w:r>
      <w:r>
        <w:rPr>
          <w:rFonts w:ascii="宋体" w:hAnsi="宋体"/>
          <w:b/>
          <w:kern w:val="0"/>
          <w:szCs w:val="21"/>
        </w:rPr>
        <w:t>备</w:t>
      </w:r>
      <w:bookmarkEnd w:id="4093"/>
      <w:bookmarkEnd w:id="409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所有卫生设备及配件均应符合标准99S304（2000）的规定。</w:t>
      </w:r>
    </w:p>
    <w:p>
      <w:pPr>
        <w:adjustRightInd w:val="0"/>
        <w:snapToGrid w:val="0"/>
        <w:spacing w:line="360" w:lineRule="auto"/>
        <w:textAlignment w:val="baseline"/>
        <w:outlineLvl w:val="0"/>
        <w:rPr>
          <w:rFonts w:ascii="宋体" w:hAnsi="宋体"/>
          <w:b/>
          <w:kern w:val="0"/>
          <w:szCs w:val="21"/>
        </w:rPr>
      </w:pPr>
      <w:bookmarkStart w:id="4095" w:name="_Toc106050061"/>
      <w:bookmarkStart w:id="4096" w:name="_Toc106883325"/>
      <w:r>
        <w:rPr>
          <w:rFonts w:hint="eastAsia" w:ascii="宋体" w:hAnsi="宋体"/>
          <w:b/>
          <w:kern w:val="0"/>
          <w:szCs w:val="21"/>
        </w:rPr>
        <w:t>4.3.4</w:t>
      </w:r>
      <w:r>
        <w:rPr>
          <w:rFonts w:ascii="宋体" w:hAnsi="宋体"/>
          <w:b/>
          <w:kern w:val="0"/>
          <w:szCs w:val="21"/>
        </w:rPr>
        <w:t xml:space="preserve">.4.2 </w:t>
      </w:r>
      <w:r>
        <w:rPr>
          <w:rFonts w:hint="eastAsia" w:ascii="宋体" w:hAnsi="宋体"/>
          <w:b/>
          <w:kern w:val="0"/>
          <w:szCs w:val="21"/>
        </w:rPr>
        <w:t xml:space="preserve"> 管材及配件</w:t>
      </w:r>
      <w:bookmarkEnd w:id="4095"/>
      <w:bookmarkEnd w:id="409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（1）冷水管及配件应是建筑给水用内筋嵌入式衬塑钢管。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水管托架、管卡及支墩应符合标准S1（2004）。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（2）污水管及通风管应是UPVC管道的并符合标准CJJ/T29-98，污水管上端应通风，通风管应装有通风盖，并符合标准S2（2004）。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（3）房屋排水用雨水管应为UPVC管，并应并符合标准CJJ/T29-98，落水斗应符合标准S3（2004）。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（4）从实验室引出的污水管应是聚氯乙烯管，该管应符合化工用硬聚氯乙稀管材标准，应符合GB4219-84及GB4220-84。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（5）地漏应符合标准04S301-34。</w:t>
      </w:r>
    </w:p>
    <w:p>
      <w:pPr>
        <w:spacing w:line="360" w:lineRule="auto"/>
        <w:outlineLvl w:val="0"/>
        <w:rPr>
          <w:rFonts w:ascii="宋体" w:hAnsi="宋体"/>
        </w:rPr>
      </w:pPr>
      <w:bookmarkStart w:id="4097" w:name="_Toc106050062"/>
      <w:bookmarkStart w:id="4098" w:name="_Toc106883326"/>
      <w:r>
        <w:rPr>
          <w:rFonts w:hint="eastAsia" w:ascii="宋体" w:hAnsi="宋体"/>
        </w:rPr>
        <w:t>4.3.4</w:t>
      </w:r>
      <w:r>
        <w:rPr>
          <w:rFonts w:ascii="宋体" w:hAnsi="宋体"/>
        </w:rPr>
        <w:t xml:space="preserve">.5 </w:t>
      </w:r>
      <w:r>
        <w:rPr>
          <w:rFonts w:hint="eastAsia" w:ascii="宋体" w:hAnsi="宋体"/>
        </w:rPr>
        <w:t xml:space="preserve"> </w:t>
      </w:r>
      <w:r>
        <w:rPr>
          <w:rFonts w:ascii="宋体" w:hAnsi="宋体"/>
        </w:rPr>
        <w:t>安装</w:t>
      </w:r>
      <w:bookmarkEnd w:id="4097"/>
      <w:bookmarkEnd w:id="409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管道及卫生设备的安装须符合8.4.2节标准的规定，但不限于此。</w:t>
      </w:r>
    </w:p>
    <w:p>
      <w:pPr>
        <w:spacing w:line="360" w:lineRule="auto"/>
        <w:outlineLvl w:val="0"/>
        <w:rPr>
          <w:rFonts w:ascii="宋体" w:hAnsi="宋体"/>
        </w:rPr>
      </w:pPr>
      <w:bookmarkStart w:id="4099" w:name="_Toc106050063"/>
      <w:bookmarkStart w:id="4100" w:name="_Toc106883327"/>
      <w:r>
        <w:rPr>
          <w:rFonts w:hint="eastAsia" w:ascii="宋体" w:hAnsi="宋体"/>
        </w:rPr>
        <w:t>4.3.4</w:t>
      </w:r>
      <w:r>
        <w:rPr>
          <w:rFonts w:ascii="宋体" w:hAnsi="宋体"/>
        </w:rPr>
        <w:t xml:space="preserve">.6 </w:t>
      </w:r>
      <w:r>
        <w:rPr>
          <w:rFonts w:hint="eastAsia" w:ascii="宋体" w:hAnsi="宋体"/>
        </w:rPr>
        <w:t xml:space="preserve"> </w:t>
      </w:r>
      <w:r>
        <w:rPr>
          <w:rFonts w:ascii="宋体" w:hAnsi="宋体"/>
        </w:rPr>
        <w:t>试验</w:t>
      </w:r>
      <w:bookmarkEnd w:id="4099"/>
      <w:bookmarkEnd w:id="4100"/>
    </w:p>
    <w:p>
      <w:pPr>
        <w:adjustRightInd w:val="0"/>
        <w:snapToGrid w:val="0"/>
        <w:spacing w:line="360" w:lineRule="auto"/>
        <w:textAlignment w:val="baseline"/>
        <w:outlineLvl w:val="0"/>
        <w:rPr>
          <w:rFonts w:ascii="宋体" w:hAnsi="宋体"/>
          <w:b/>
          <w:kern w:val="0"/>
          <w:szCs w:val="21"/>
        </w:rPr>
      </w:pPr>
      <w:bookmarkStart w:id="4101" w:name="_Toc106050064"/>
      <w:bookmarkStart w:id="4102" w:name="_Toc106883328"/>
      <w:r>
        <w:rPr>
          <w:rFonts w:hint="eastAsia" w:ascii="宋体" w:hAnsi="宋体"/>
          <w:b/>
          <w:kern w:val="0"/>
          <w:szCs w:val="21"/>
        </w:rPr>
        <w:t>4.3.4</w:t>
      </w:r>
      <w:r>
        <w:rPr>
          <w:rFonts w:ascii="宋体" w:hAnsi="宋体"/>
          <w:b/>
          <w:kern w:val="0"/>
          <w:szCs w:val="21"/>
        </w:rPr>
        <w:t xml:space="preserve">.6.1 </w:t>
      </w:r>
      <w:r>
        <w:rPr>
          <w:rFonts w:hint="eastAsia" w:ascii="宋体" w:hAnsi="宋体"/>
          <w:b/>
          <w:kern w:val="0"/>
          <w:szCs w:val="21"/>
        </w:rPr>
        <w:t xml:space="preserve"> 一般要求</w:t>
      </w:r>
      <w:bookmarkEnd w:id="4101"/>
      <w:bookmarkEnd w:id="410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承包人应在试验开始前提交拟用的试验程序给项目监理，试验程序、方法、测量点以及计算方法应在试验前被项目监理批准。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如果项目监理需要确定某些特殊或约定的数据，承包人应配以熟练的工作人员及所有必需的仪器，并做各种仪器、仪表及系统的试验。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由试验结果测得的任何损坏都应修复或替换损坏的材料。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万一修正或调整超过一般运转调试，试验应中止并在修正或调整后重新开始。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所有试验、比较及最终调整应与现行规范及本技术规定有关章节的要求一致。</w:t>
      </w:r>
    </w:p>
    <w:p>
      <w:pPr>
        <w:adjustRightInd w:val="0"/>
        <w:snapToGrid w:val="0"/>
        <w:spacing w:line="360" w:lineRule="auto"/>
        <w:textAlignment w:val="baseline"/>
        <w:outlineLvl w:val="0"/>
        <w:rPr>
          <w:rFonts w:ascii="宋体" w:hAnsi="宋体"/>
          <w:b/>
          <w:kern w:val="0"/>
          <w:szCs w:val="21"/>
        </w:rPr>
      </w:pPr>
      <w:bookmarkStart w:id="4103" w:name="_Toc106050065"/>
      <w:bookmarkStart w:id="4104" w:name="_Toc106883329"/>
      <w:r>
        <w:rPr>
          <w:rFonts w:hint="eastAsia" w:ascii="宋体" w:hAnsi="宋体"/>
          <w:b/>
          <w:kern w:val="0"/>
          <w:szCs w:val="21"/>
        </w:rPr>
        <w:t>4.3.4</w:t>
      </w:r>
      <w:r>
        <w:rPr>
          <w:rFonts w:ascii="宋体" w:hAnsi="宋体"/>
          <w:b/>
          <w:kern w:val="0"/>
          <w:szCs w:val="21"/>
        </w:rPr>
        <w:t xml:space="preserve">.6.2 </w:t>
      </w:r>
      <w:r>
        <w:rPr>
          <w:rFonts w:hint="eastAsia" w:ascii="宋体" w:hAnsi="宋体"/>
          <w:b/>
          <w:kern w:val="0"/>
          <w:szCs w:val="21"/>
        </w:rPr>
        <w:t xml:space="preserve"> 给水系统</w:t>
      </w:r>
      <w:bookmarkEnd w:id="4103"/>
      <w:bookmarkEnd w:id="410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所有给水管道均应在不小于1.5倍工作水压的静水压下试水4hr，在最终连接管道设备前应分区试水，管道全部完工后应灌水溢满水管。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在设隔离物或埋管道、阀门及配件之前，试验应完工并被批准。</w:t>
      </w:r>
    </w:p>
    <w:p>
      <w:pPr>
        <w:adjustRightInd w:val="0"/>
        <w:snapToGrid w:val="0"/>
        <w:spacing w:line="360" w:lineRule="auto"/>
        <w:textAlignment w:val="baseline"/>
        <w:outlineLvl w:val="0"/>
        <w:rPr>
          <w:rFonts w:ascii="宋体" w:hAnsi="宋体"/>
          <w:b/>
          <w:kern w:val="0"/>
          <w:szCs w:val="21"/>
        </w:rPr>
      </w:pPr>
      <w:bookmarkStart w:id="4105" w:name="_Toc106050066"/>
      <w:bookmarkStart w:id="4106" w:name="_Toc106883330"/>
      <w:r>
        <w:rPr>
          <w:rFonts w:hint="eastAsia" w:ascii="宋体" w:hAnsi="宋体"/>
          <w:b/>
          <w:kern w:val="0"/>
          <w:szCs w:val="21"/>
        </w:rPr>
        <w:t>4.3.4</w:t>
      </w:r>
      <w:r>
        <w:rPr>
          <w:rFonts w:ascii="宋体" w:hAnsi="宋体"/>
          <w:b/>
          <w:kern w:val="0"/>
          <w:szCs w:val="21"/>
        </w:rPr>
        <w:t xml:space="preserve">.6.3 </w:t>
      </w:r>
      <w:r>
        <w:rPr>
          <w:rFonts w:hint="eastAsia" w:ascii="宋体" w:hAnsi="宋体"/>
          <w:b/>
          <w:kern w:val="0"/>
          <w:szCs w:val="21"/>
        </w:rPr>
        <w:t xml:space="preserve"> 排水</w:t>
      </w:r>
      <w:bookmarkEnd w:id="4105"/>
      <w:bookmarkEnd w:id="410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排水系统在覆盖前应做试水试验。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任何一段水管的试验，水头不得低于3m也不大于6m。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试水应持续20min，任何不足应予修补并重新试验直至项目监理批准。</w:t>
      </w:r>
    </w:p>
    <w:p>
      <w:pPr>
        <w:adjustRightInd w:val="0"/>
        <w:snapToGrid w:val="0"/>
        <w:spacing w:line="360" w:lineRule="auto"/>
        <w:textAlignment w:val="baseline"/>
        <w:outlineLvl w:val="0"/>
        <w:rPr>
          <w:rFonts w:ascii="宋体" w:hAnsi="宋体"/>
          <w:b/>
          <w:kern w:val="0"/>
          <w:szCs w:val="21"/>
        </w:rPr>
      </w:pPr>
      <w:bookmarkStart w:id="4107" w:name="_Toc106050067"/>
      <w:bookmarkStart w:id="4108" w:name="_Toc106883331"/>
      <w:r>
        <w:rPr>
          <w:rFonts w:hint="eastAsia" w:ascii="宋体" w:hAnsi="宋体"/>
          <w:b/>
          <w:kern w:val="0"/>
          <w:szCs w:val="21"/>
        </w:rPr>
        <w:t>4.3.4</w:t>
      </w:r>
      <w:r>
        <w:rPr>
          <w:rFonts w:ascii="宋体" w:hAnsi="宋体"/>
          <w:b/>
          <w:kern w:val="0"/>
          <w:szCs w:val="21"/>
        </w:rPr>
        <w:t xml:space="preserve">.6.4 </w:t>
      </w:r>
      <w:r>
        <w:rPr>
          <w:rFonts w:hint="eastAsia" w:ascii="宋体" w:hAnsi="宋体"/>
          <w:b/>
          <w:kern w:val="0"/>
          <w:szCs w:val="21"/>
        </w:rPr>
        <w:t xml:space="preserve"> 清洁处理</w:t>
      </w:r>
      <w:bookmarkEnd w:id="4107"/>
      <w:bookmarkEnd w:id="410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所有饮用水输水管线按照要求清洁处理。</w:t>
      </w:r>
    </w:p>
    <w:p>
      <w:pPr>
        <w:adjustRightInd w:val="0"/>
        <w:snapToGrid w:val="0"/>
        <w:spacing w:line="360" w:lineRule="auto"/>
        <w:outlineLvl w:val="1"/>
        <w:rPr>
          <w:rFonts w:ascii="宋体" w:hAnsi="宋体"/>
          <w:b/>
          <w:bCs/>
        </w:rPr>
      </w:pPr>
      <w:r>
        <w:rPr>
          <w:rFonts w:ascii="宋体" w:hAnsi="宋体"/>
          <w:b/>
          <w:bCs/>
          <w:sz w:val="30"/>
          <w:szCs w:val="30"/>
          <w14:shadow w14:blurRad="50800" w14:dist="38100" w14:dir="2700000" w14:sx="100000" w14:sy="100000" w14:kx="0" w14:ky="0" w14:algn="tl">
            <w14:srgbClr w14:val="000000">
              <w14:alpha w14:val="60000"/>
            </w14:srgbClr>
          </w14:shadow>
        </w:rPr>
        <w:br w:type="page"/>
      </w:r>
      <w:bookmarkStart w:id="4109" w:name="_Toc521492276"/>
      <w:bookmarkStart w:id="4110" w:name="_Toc521493133"/>
      <w:bookmarkStart w:id="4111" w:name="_Toc521493807"/>
      <w:bookmarkStart w:id="4112" w:name="_Toc106883332"/>
      <w:r>
        <w:rPr>
          <w:rFonts w:hint="eastAsia" w:ascii="宋体" w:hAnsi="宋体"/>
          <w:b/>
          <w:bCs/>
        </w:rPr>
        <w:t>4.4  管道工程</w:t>
      </w:r>
      <w:bookmarkEnd w:id="4109"/>
      <w:bookmarkEnd w:id="4110"/>
      <w:bookmarkEnd w:id="4111"/>
      <w:bookmarkEnd w:id="4112"/>
    </w:p>
    <w:p>
      <w:pPr>
        <w:adjustRightInd w:val="0"/>
        <w:snapToGrid w:val="0"/>
        <w:spacing w:line="360" w:lineRule="auto"/>
        <w:jc w:val="left"/>
        <w:outlineLvl w:val="2"/>
        <w:rPr>
          <w:rFonts w:ascii="宋体" w:hAnsi="宋体"/>
          <w:b/>
          <w:bCs/>
          <w:szCs w:val="20"/>
        </w:rPr>
      </w:pPr>
      <w:bookmarkStart w:id="4113" w:name="_Toc521493134"/>
      <w:bookmarkStart w:id="4114" w:name="_Toc521493808"/>
      <w:bookmarkStart w:id="4115" w:name="_Toc106883333"/>
      <w:bookmarkStart w:id="4116" w:name="_Toc521492277"/>
      <w:r>
        <w:rPr>
          <w:rFonts w:hint="eastAsia" w:ascii="宋体" w:hAnsi="宋体"/>
          <w:b/>
          <w:bCs/>
          <w:szCs w:val="20"/>
        </w:rPr>
        <w:t xml:space="preserve">4.4.1 </w:t>
      </w:r>
      <w:r>
        <w:rPr>
          <w:rFonts w:ascii="宋体" w:hAnsi="宋体"/>
          <w:b/>
          <w:bCs/>
          <w:szCs w:val="20"/>
        </w:rPr>
        <w:t xml:space="preserve"> 概述</w:t>
      </w:r>
      <w:bookmarkEnd w:id="4113"/>
      <w:bookmarkEnd w:id="4114"/>
      <w:bookmarkEnd w:id="4115"/>
      <w:bookmarkEnd w:id="4116"/>
    </w:p>
    <w:p>
      <w:pPr>
        <w:spacing w:line="360" w:lineRule="auto"/>
        <w:outlineLvl w:val="0"/>
        <w:rPr>
          <w:rFonts w:ascii="宋体" w:hAnsi="宋体"/>
        </w:rPr>
      </w:pPr>
      <w:bookmarkStart w:id="4117" w:name="_Toc106883334"/>
      <w:bookmarkStart w:id="4118" w:name="_Toc106050070"/>
      <w:r>
        <w:rPr>
          <w:rFonts w:hint="eastAsia" w:ascii="宋体" w:hAnsi="宋体"/>
        </w:rPr>
        <w:t>4.4.1</w:t>
      </w:r>
      <w:r>
        <w:rPr>
          <w:rFonts w:ascii="宋体" w:hAnsi="宋体"/>
        </w:rPr>
        <w:t>.1</w:t>
      </w:r>
      <w:r>
        <w:rPr>
          <w:rFonts w:hint="eastAsia" w:ascii="宋体" w:hAnsi="宋体"/>
        </w:rPr>
        <w:t xml:space="preserve">  </w:t>
      </w:r>
      <w:r>
        <w:rPr>
          <w:rFonts w:ascii="宋体" w:hAnsi="宋体"/>
        </w:rPr>
        <w:t>范围</w:t>
      </w:r>
      <w:bookmarkEnd w:id="4117"/>
      <w:bookmarkEnd w:id="411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本节包括厂区内各种地下地上管道和所有建（构）筑物内管道的材料、制作、运输、安装、测试和清洗消毒，以及所有管道配件、紧固件和附属设施。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本节管道包括以下内容：钢管、PE给水管及UPVC排水管、</w:t>
      </w:r>
      <w:r>
        <w:rPr>
          <w:rFonts w:hint="eastAsia" w:ascii="宋体" w:hAnsi="宋体"/>
          <w:kern w:val="0"/>
          <w:szCs w:val="21"/>
        </w:rPr>
        <w:t>UPVC加药</w:t>
      </w:r>
      <w:r>
        <w:rPr>
          <w:rFonts w:ascii="宋体" w:hAnsi="宋体"/>
          <w:kern w:val="0"/>
          <w:szCs w:val="21"/>
        </w:rPr>
        <w:t>管、钢筋混凝土管等。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管线、配件、紧固件和附属设施的范围及布置详见招标图。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承包人需要完成以下基本工作，但不限于此：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（1）承包人应提供所有管道及其连接所需的管架、紧固件、垫片及基础螺栓。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（2）承包人应提供与阀门相连接所需的紧固件。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（3）承包人应负责各处理构筑物的管道、输水管道系统检验、试压和正常运行。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（4）加药系统、PAM制备及投加系统、加氯系统等的工艺管道已列入成套装置系统内，但仍需符合本节的有关规定。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（5）预埋的墙管、套管。</w:t>
      </w:r>
    </w:p>
    <w:p>
      <w:pPr>
        <w:spacing w:line="360" w:lineRule="auto"/>
        <w:outlineLvl w:val="0"/>
        <w:rPr>
          <w:rFonts w:ascii="宋体" w:hAnsi="宋体"/>
        </w:rPr>
      </w:pPr>
      <w:bookmarkStart w:id="4119" w:name="_Toc106050071"/>
      <w:bookmarkStart w:id="4120" w:name="_Toc106883335"/>
      <w:r>
        <w:rPr>
          <w:rFonts w:hint="eastAsia" w:ascii="宋体" w:hAnsi="宋体"/>
        </w:rPr>
        <w:t>4.4.1</w:t>
      </w:r>
      <w:r>
        <w:rPr>
          <w:rFonts w:ascii="宋体" w:hAnsi="宋体"/>
        </w:rPr>
        <w:t xml:space="preserve">.2 </w:t>
      </w:r>
      <w:r>
        <w:rPr>
          <w:rFonts w:hint="eastAsia" w:ascii="宋体" w:hAnsi="宋体"/>
        </w:rPr>
        <w:t xml:space="preserve"> </w:t>
      </w:r>
      <w:r>
        <w:rPr>
          <w:rFonts w:ascii="宋体" w:hAnsi="宋体"/>
        </w:rPr>
        <w:t>通用要求</w:t>
      </w:r>
      <w:bookmarkEnd w:id="4119"/>
      <w:bookmarkEnd w:id="412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管道工程应按合同中的总安排与规定进行。所提供完善的管道工程的材料，包括所有的密封圈、垫片、螺栓接合双侧的垫圈、螺母、油脂、和其它安装所需要的部件。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采用公用的输送管时，除非图纸中有规定，单独泵的输送支管应在平面上与其相接并且转角应尽量地大以少紊流。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所有的管子均应有足够支撑和固定设置，这些设置可以是带箍、拉条、系杆、混凝土管座和锻铁法兰。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当钢管通过地下构筑物的壁和贮水构筑物的壁时，应安装止水环。除非图纸中另有规定，所有与压力容器、泵和相似设备连接的管子均应采用法兰连接。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在进行固定之前应检查所有管子的是否对准，法兰及接头是否符合要求。承包人提供的管道应能承受可能出现的最恶劣的运行条件，并考虑到压力和温度可能超过规定值。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各种介质的管道最大流速如下（除非另有规定）：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输送介质         最大流速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 xml:space="preserve">给水、排水、泥渣、加药、消防水管     </w:t>
      </w:r>
      <w:r>
        <w:rPr>
          <w:rFonts w:hint="eastAsia" w:ascii="宋体" w:hAnsi="宋体"/>
          <w:kern w:val="0"/>
          <w:szCs w:val="21"/>
        </w:rPr>
        <w:t>0.6</w:t>
      </w:r>
      <w:r>
        <w:rPr>
          <w:rFonts w:ascii="宋体" w:hAnsi="宋体"/>
          <w:kern w:val="0"/>
          <w:szCs w:val="21"/>
        </w:rPr>
        <w:t>～3m/s</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承包人应对根据标书中认可的标准进行计算的数据负责。承包人对于配套设备及配套管线等计算中如有错误或遗漏时，业主将不承担因管壁厚度、管道尺寸材料等改变而增加的费用。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支架、托架和吊架的设计布置，应考虑热传导降低到最低的程度，应保证管道在介质输送过程中不发生振动，不会对管壁和设备的连接点上以及固定部位上产生过度的应力，也应不妨碍输电线路、交通和机械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路的铺设要考虑到安装容易，现场补漆方便，检修时各管段易于拆卸。此外还要考虑到流态顺畅、稳定，水头损失最小。为了安装和检修施工方便，管路各部分的尺寸要合理。在口径较大压力较高管道连接薄弱的管路的三通、转折处还需设置合适的支墩，大口径配件应考虑结构补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为了设备的拆卸方便或构筑物之间的不均匀沉降，必要时要使用伸缩接头，根据实际需要，伸缩接头处可以使用连接螺栓或其它构件以传递管路的轴向应力。</w:t>
      </w:r>
    </w:p>
    <w:p>
      <w:pPr>
        <w:adjustRightInd w:val="0"/>
        <w:snapToGrid w:val="0"/>
        <w:spacing w:line="360" w:lineRule="auto"/>
        <w:jc w:val="left"/>
        <w:outlineLvl w:val="2"/>
        <w:rPr>
          <w:rFonts w:ascii="宋体" w:hAnsi="宋体"/>
          <w:b/>
          <w:bCs/>
          <w:szCs w:val="20"/>
        </w:rPr>
      </w:pPr>
      <w:bookmarkStart w:id="4121" w:name="_Toc521492278"/>
      <w:bookmarkStart w:id="4122" w:name="_Toc521493135"/>
      <w:bookmarkStart w:id="4123" w:name="_Toc521493809"/>
      <w:bookmarkStart w:id="4124" w:name="_Toc106883336"/>
      <w:r>
        <w:rPr>
          <w:rFonts w:hint="eastAsia" w:ascii="宋体" w:hAnsi="宋体"/>
          <w:b/>
          <w:bCs/>
          <w:szCs w:val="20"/>
        </w:rPr>
        <w:t>4.4.2</w:t>
      </w:r>
      <w:r>
        <w:rPr>
          <w:rFonts w:ascii="宋体" w:hAnsi="宋体"/>
          <w:b/>
          <w:bCs/>
          <w:szCs w:val="20"/>
        </w:rPr>
        <w:t xml:space="preserve"> </w:t>
      </w:r>
      <w:r>
        <w:rPr>
          <w:rFonts w:hint="eastAsia" w:ascii="宋体" w:hAnsi="宋体"/>
          <w:b/>
          <w:bCs/>
          <w:szCs w:val="20"/>
        </w:rPr>
        <w:t xml:space="preserve"> </w:t>
      </w:r>
      <w:r>
        <w:rPr>
          <w:rFonts w:ascii="宋体" w:hAnsi="宋体"/>
          <w:b/>
          <w:bCs/>
          <w:szCs w:val="20"/>
        </w:rPr>
        <w:t>术语</w:t>
      </w:r>
      <w:bookmarkEnd w:id="4121"/>
      <w:bookmarkEnd w:id="4122"/>
      <w:bookmarkEnd w:id="4123"/>
      <w:bookmarkEnd w:id="412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本节使用的主要技术术语如下：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—管子：直管，整根的或割断的，以及接头。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—配件：所有的四通、三通、弯管、异径管、套管、连接器、法兰、螺栓、各种类型的松套补偿接头等。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—管道附属设施：管子、配件连接成管道时所需要的所有附属项目，包括内外防护、支撑和锚固件，各种接口所需辅助材料和消耗品，各种井及为管道测试、清洗消毒和运行所需任何仪表及构筑物。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—特殊件：指根据管材制作的特殊配件；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—管道：整个管道应包括管子、配件、管子支座、托架、吊攀、连接螺栓、基础等管道附属设施。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—压力管道：原水输水管、生产管、构筑物间的联络管、给水管及附属设施。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—重力管道：排雨、污水及输送液体的非压力管道，包括管道、配件、雨水进水口、人孔和附属设施。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—安装：装卸、运送、吊装、就位、连接和管道内衬及外部防护。</w:t>
      </w:r>
    </w:p>
    <w:p>
      <w:pPr>
        <w:adjustRightInd w:val="0"/>
        <w:snapToGrid w:val="0"/>
        <w:spacing w:line="360" w:lineRule="auto"/>
        <w:jc w:val="left"/>
        <w:outlineLvl w:val="2"/>
        <w:rPr>
          <w:rFonts w:ascii="宋体" w:hAnsi="宋体"/>
          <w:b/>
          <w:bCs/>
          <w:szCs w:val="20"/>
        </w:rPr>
      </w:pPr>
      <w:bookmarkStart w:id="4125" w:name="_Toc521492279"/>
      <w:bookmarkStart w:id="4126" w:name="_Toc521493136"/>
      <w:bookmarkStart w:id="4127" w:name="_Toc521493810"/>
      <w:bookmarkStart w:id="4128" w:name="_Toc106883337"/>
      <w:r>
        <w:rPr>
          <w:rFonts w:hint="eastAsia" w:ascii="宋体" w:hAnsi="宋体"/>
          <w:b/>
          <w:bCs/>
          <w:szCs w:val="20"/>
        </w:rPr>
        <w:t>4.4.3</w:t>
      </w:r>
      <w:r>
        <w:rPr>
          <w:rFonts w:ascii="宋体" w:hAnsi="宋体"/>
          <w:b/>
          <w:bCs/>
          <w:szCs w:val="20"/>
        </w:rPr>
        <w:t xml:space="preserve"> </w:t>
      </w:r>
      <w:r>
        <w:rPr>
          <w:rFonts w:hint="eastAsia" w:ascii="宋体" w:hAnsi="宋体"/>
          <w:b/>
          <w:bCs/>
          <w:szCs w:val="20"/>
        </w:rPr>
        <w:t xml:space="preserve"> </w:t>
      </w:r>
      <w:r>
        <w:rPr>
          <w:rFonts w:ascii="宋体" w:hAnsi="宋体"/>
          <w:b/>
          <w:bCs/>
          <w:szCs w:val="20"/>
        </w:rPr>
        <w:t>参照标准</w:t>
      </w:r>
      <w:bookmarkEnd w:id="4125"/>
      <w:bookmarkEnd w:id="4126"/>
      <w:bookmarkEnd w:id="4127"/>
      <w:bookmarkEnd w:id="4128"/>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909"/>
        <w:gridCol w:w="5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GB50268-2008</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给排水管道工程施工及验收规范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 50231-2009</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机械设备安装工程施工及验收通用规范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GB/T4272-2008</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设备及管道保温技术通则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HG/T20679-90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化工设备管道外防腐设计规定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GB50184-2011</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工业金属管道工程质量检验评定标准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GB50235-2010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工业金属管道工程施工及验收规范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GB50236-2011</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现场设备、工业管道焊接工程施工及验收规范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GB8923-88</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涂装前钢材表面锈蚀等级和除锈等级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 8163－87</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无缝钢管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 8162-87</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热轧无缝钢管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 97911－88</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螺旋缝埋弧焊钢管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 13793-1992</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直缝焊接钢管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GB/T9112-2000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钢制法兰类型与参数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GB/T12606-99</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钢管漏磁探伤方法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GB/T13401-92</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钢板制对焊管件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GB/T9115.1-9115.4-2000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对焊钢制管法兰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GB/T9120.1-9120.3-2000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对焊环板式松套钢制管法兰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GB/T9113.1-9113.4-2000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整体钢制管法兰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GB/T9123.1-9123.4-2000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钢制管法兰盖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GB/T9117.1-9117.4-2000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带颈承插焊钢制管法兰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GB/T9121.1-9121.3-2000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平焊环板式松套钢制管法兰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GB/T9118.1-9118.2-2000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对焊环带颈承插焊钢制管法兰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 9119-2000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平面、突面板式平焊钢管法兰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GB/T13402-92</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大直径碳钢管法兰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GB/T13403-92</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大直径碳钢管法兰用垫片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GB/T14383-93</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锻钢制承插焊管件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GB/T15830-95</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钢制管道对接环焊缝超声波探伤方法和检验结果的分级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GB/T17185-97</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钢制法兰管件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GB/T1047-95</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管道元件公称通径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GB/T1048-90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管道元件公称压力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HGJ229-91</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工业设备、管道防腐蚀工程施工及验收规范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HG20225-95</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化工金属管道工程施工及验收规范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HG/T21631-99</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钢制有缝对焊管件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HG20592~20635-97</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钢制管法兰、垫片、紧固件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SY/T0447-96</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埋地钢质管道环氧煤沥青防腐层技术标准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S3（2004年版）</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中国给排水标准图集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GB/T700-2006</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碳素结构钢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GB/T699-1999</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优质碳素结构钢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GB/T12465-2002</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管路松套补偿接头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GB223（1～8）--84</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钢铁及合金化学分析法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GB228-87</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金属拉件试验方法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GB231-84</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金属布氏硬度试验方法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GB241-90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金属管液压试验方法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GB986-80</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埋弧焊焊接接头的基本型式和尺寸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GB2649～2655-89</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焊接接头机械性能试验方法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GB4675、1-84</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焊接性试验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GB3323-87</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用X射线检查焊缝标准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BS4232-67</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涂刷喷砂清洗钢表面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BS534-81</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用于给排水的钢管及配件的技术说明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GB1735-79</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漆膜耐热性能测定法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99"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GB/T12465-2002</w:t>
            </w:r>
          </w:p>
        </w:tc>
        <w:tc>
          <w:tcPr>
            <w:tcW w:w="3301"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管路松套补偿接头</w:t>
            </w:r>
          </w:p>
        </w:tc>
      </w:tr>
    </w:tbl>
    <w:p>
      <w:pPr>
        <w:adjustRightInd w:val="0"/>
        <w:ind w:firstLine="500" w:firstLineChars="200"/>
        <w:rPr>
          <w:rFonts w:ascii="宋体" w:hAnsi="宋体"/>
        </w:rPr>
      </w:pPr>
      <w:r>
        <w:rPr>
          <w:rFonts w:ascii="宋体" w:hAnsi="宋体"/>
        </w:rPr>
        <w:t>所应用的标准</w:t>
      </w:r>
      <w:r>
        <w:rPr>
          <w:rFonts w:hint="eastAsia" w:ascii="宋体" w:hAnsi="宋体"/>
        </w:rPr>
        <w:t>和规范</w:t>
      </w:r>
      <w:r>
        <w:rPr>
          <w:rFonts w:ascii="宋体" w:hAnsi="宋体"/>
        </w:rPr>
        <w:t>应是最新的且已实施的版本，必须在本招标截止日期之前28天尚在通用的版本。</w:t>
      </w:r>
    </w:p>
    <w:p>
      <w:pPr>
        <w:adjustRightInd w:val="0"/>
        <w:snapToGrid w:val="0"/>
        <w:spacing w:line="360" w:lineRule="auto"/>
        <w:jc w:val="left"/>
        <w:outlineLvl w:val="2"/>
        <w:rPr>
          <w:rFonts w:ascii="宋体" w:hAnsi="宋体"/>
          <w:b/>
          <w:bCs/>
          <w:szCs w:val="20"/>
        </w:rPr>
      </w:pPr>
      <w:bookmarkStart w:id="4129" w:name="_Toc106883338"/>
      <w:bookmarkStart w:id="4130" w:name="_Toc521492280"/>
      <w:bookmarkStart w:id="4131" w:name="_Toc521493137"/>
      <w:bookmarkStart w:id="4132" w:name="_Toc521493811"/>
      <w:r>
        <w:rPr>
          <w:rFonts w:hint="eastAsia" w:ascii="宋体" w:hAnsi="宋体"/>
          <w:b/>
          <w:bCs/>
          <w:szCs w:val="20"/>
        </w:rPr>
        <w:t>4.4.4</w:t>
      </w:r>
      <w:r>
        <w:rPr>
          <w:rFonts w:ascii="宋体" w:hAnsi="宋体"/>
          <w:b/>
          <w:bCs/>
          <w:szCs w:val="20"/>
        </w:rPr>
        <w:t xml:space="preserve"> </w:t>
      </w:r>
      <w:r>
        <w:rPr>
          <w:rFonts w:hint="eastAsia" w:ascii="宋体" w:hAnsi="宋体"/>
          <w:b/>
          <w:bCs/>
          <w:szCs w:val="20"/>
        </w:rPr>
        <w:t xml:space="preserve"> </w:t>
      </w:r>
      <w:r>
        <w:rPr>
          <w:rFonts w:ascii="宋体" w:hAnsi="宋体"/>
          <w:b/>
          <w:bCs/>
          <w:szCs w:val="20"/>
        </w:rPr>
        <w:t>提交的资料</w:t>
      </w:r>
      <w:bookmarkEnd w:id="4129"/>
      <w:bookmarkEnd w:id="4130"/>
      <w:bookmarkEnd w:id="4131"/>
      <w:bookmarkEnd w:id="413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承包人应提供下列项目的有关资料，但不限于此。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（1）图纸</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——制造厂制造的管道特殊件和配件的详图；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——显示管子、特殊件和管配件安放位置的管线安装图；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——管架的规格尺寸和结构详图。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——用于制造管子和特殊件每批材料的详细资料，包括材料的详细检验分析报告。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——管道外壁内壁防腐材料的详细资料，包括材料的物理、化学性能、成分、组分等。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——进行管道外壁内壁防腐工程的详细操作过程。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——管道内衬的标准及实施方法。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——制造厂手册和数据单和压力试验证书。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——参考标准范围以外的与参照标准相符合的法兰的详细设计。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——管道连接的过程说明，包括焊接、法兰连接和套接等。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——制造商一览表及有关资质证书。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——操作技术人员的名单及资质，如焊工等。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——管道安装、回填过程的注意事项、解决办法及应急措施。</w:t>
      </w:r>
    </w:p>
    <w:p>
      <w:pPr>
        <w:adjustRightInd w:val="0"/>
        <w:snapToGrid w:val="0"/>
        <w:spacing w:line="360" w:lineRule="auto"/>
        <w:jc w:val="left"/>
        <w:outlineLvl w:val="2"/>
        <w:rPr>
          <w:rFonts w:ascii="宋体" w:hAnsi="宋体"/>
          <w:b/>
          <w:bCs/>
          <w:szCs w:val="20"/>
        </w:rPr>
      </w:pPr>
      <w:bookmarkStart w:id="4133" w:name="_Toc106883339"/>
      <w:bookmarkStart w:id="4134" w:name="_Toc521492281"/>
      <w:bookmarkStart w:id="4135" w:name="_Toc521493138"/>
      <w:bookmarkStart w:id="4136" w:name="_Toc521493812"/>
      <w:r>
        <w:rPr>
          <w:rFonts w:hint="eastAsia" w:ascii="宋体" w:hAnsi="宋体"/>
          <w:b/>
          <w:bCs/>
          <w:szCs w:val="20"/>
        </w:rPr>
        <w:t>4.4.5</w:t>
      </w:r>
      <w:r>
        <w:rPr>
          <w:rFonts w:ascii="宋体" w:hAnsi="宋体"/>
          <w:b/>
          <w:bCs/>
          <w:szCs w:val="20"/>
        </w:rPr>
        <w:t xml:space="preserve"> </w:t>
      </w:r>
      <w:r>
        <w:rPr>
          <w:rFonts w:hint="eastAsia" w:ascii="宋体" w:hAnsi="宋体"/>
          <w:b/>
          <w:bCs/>
          <w:szCs w:val="20"/>
        </w:rPr>
        <w:t xml:space="preserve"> </w:t>
      </w:r>
      <w:r>
        <w:rPr>
          <w:rFonts w:ascii="宋体" w:hAnsi="宋体"/>
          <w:b/>
          <w:bCs/>
          <w:szCs w:val="20"/>
        </w:rPr>
        <w:t>材料和制作</w:t>
      </w:r>
      <w:bookmarkEnd w:id="4133"/>
      <w:bookmarkEnd w:id="4134"/>
      <w:bookmarkEnd w:id="4135"/>
      <w:bookmarkEnd w:id="413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了有其他技术要求，管子材料和制作工艺均需符合本技术规定的要求。管道材质包括管子及其内衬、垫圈和接点使用的任何润滑剂、焊接剂，应适用于给水管道的规定，需取得可以应用于饮用水的卫生许可证，不会引起任何味、色、臭或对健康不利的影响。</w:t>
      </w:r>
    </w:p>
    <w:p>
      <w:pPr>
        <w:spacing w:line="360" w:lineRule="auto"/>
        <w:outlineLvl w:val="3"/>
        <w:rPr>
          <w:rFonts w:ascii="宋体" w:hAnsi="宋体"/>
        </w:rPr>
      </w:pPr>
      <w:r>
        <w:rPr>
          <w:rFonts w:hint="eastAsia" w:ascii="宋体" w:hAnsi="宋体"/>
        </w:rPr>
        <w:t>4.4.5</w:t>
      </w:r>
      <w:r>
        <w:rPr>
          <w:rFonts w:ascii="宋体" w:hAnsi="宋体"/>
        </w:rPr>
        <w:t xml:space="preserve">.1 </w:t>
      </w:r>
      <w:r>
        <w:rPr>
          <w:rFonts w:hint="eastAsia" w:ascii="宋体" w:hAnsi="宋体"/>
        </w:rPr>
        <w:t xml:space="preserve"> </w:t>
      </w:r>
      <w:r>
        <w:rPr>
          <w:rFonts w:ascii="宋体" w:hAnsi="宋体"/>
        </w:rPr>
        <w:t>钢管及配件</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钢管及配件技术规范详见第13章供水管道章节。</w:t>
      </w:r>
    </w:p>
    <w:p>
      <w:pPr>
        <w:spacing w:line="360" w:lineRule="auto"/>
        <w:outlineLvl w:val="3"/>
        <w:rPr>
          <w:rFonts w:ascii="宋体" w:hAnsi="宋体"/>
        </w:rPr>
      </w:pPr>
      <w:r>
        <w:rPr>
          <w:rFonts w:hint="eastAsia" w:ascii="宋体" w:hAnsi="宋体"/>
        </w:rPr>
        <w:t>4.4.5</w:t>
      </w:r>
      <w:r>
        <w:rPr>
          <w:rFonts w:ascii="宋体" w:hAnsi="宋体"/>
        </w:rPr>
        <w:t>.</w:t>
      </w:r>
      <w:r>
        <w:rPr>
          <w:rFonts w:hint="eastAsia" w:ascii="宋体" w:hAnsi="宋体"/>
        </w:rPr>
        <w:t>2</w:t>
      </w:r>
      <w:r>
        <w:rPr>
          <w:rFonts w:ascii="宋体" w:hAnsi="宋体"/>
        </w:rPr>
        <w:t xml:space="preserve"> </w:t>
      </w:r>
      <w:r>
        <w:rPr>
          <w:rFonts w:hint="eastAsia" w:ascii="宋体" w:hAnsi="宋体"/>
        </w:rPr>
        <w:t xml:space="preserve"> </w:t>
      </w:r>
      <w:r>
        <w:rPr>
          <w:rFonts w:ascii="宋体" w:hAnsi="宋体"/>
        </w:rPr>
        <w:t>镀锌钢管及配件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镀锌碳钢管道应符合GB3091-82、YB（T）29-87或ISO65的规定，用于低中压流体或空气的输送。本合同镀锌钢管材料采用Q235-A，公称压力为1.6MPa，采用加厚镀锌焊接钢管。管件应符合GB3289-82或ISO49的标准，材料采用可锻铸铁，其型号、尺寸要与装配管路相匹配，螺纹或法兰接头可以使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法兰装配应符合ISO7005。</w:t>
      </w:r>
    </w:p>
    <w:p>
      <w:pPr>
        <w:spacing w:line="360" w:lineRule="auto"/>
        <w:outlineLvl w:val="3"/>
        <w:rPr>
          <w:rFonts w:ascii="宋体" w:hAnsi="宋体"/>
        </w:rPr>
      </w:pPr>
      <w:r>
        <w:rPr>
          <w:rFonts w:hint="eastAsia" w:ascii="宋体" w:hAnsi="宋体"/>
        </w:rPr>
        <w:t>4.4.5</w:t>
      </w:r>
      <w:r>
        <w:rPr>
          <w:rFonts w:ascii="宋体" w:hAnsi="宋体"/>
        </w:rPr>
        <w:t>.</w:t>
      </w:r>
      <w:r>
        <w:rPr>
          <w:rFonts w:hint="eastAsia" w:ascii="宋体" w:hAnsi="宋体"/>
        </w:rPr>
        <w:t>3</w:t>
      </w:r>
      <w:r>
        <w:rPr>
          <w:rFonts w:ascii="宋体" w:hAnsi="宋体"/>
        </w:rPr>
        <w:t xml:space="preserve"> </w:t>
      </w:r>
      <w:r>
        <w:rPr>
          <w:rFonts w:hint="eastAsia" w:ascii="宋体" w:hAnsi="宋体"/>
        </w:rPr>
        <w:t xml:space="preserve"> </w:t>
      </w:r>
      <w:r>
        <w:rPr>
          <w:rFonts w:ascii="宋体" w:hAnsi="宋体"/>
        </w:rPr>
        <w:t>PE管/UPVC管及配件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给水PE管/UPVC管及管件应符合ISO3127、ISO4422或GB/T10002.1、GB/T10002.2、GB/T10002.3标准的规定，给水聚乙烯管应符合GB/T13663和GB/T13663.2、CJJ101-2004标准的规定。排水用UPVC管及管件应满足GB/T5836.1-92和GB/T5836.2-92的有关规定。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PE管/PVC-U管及其附件的材料不能含具有气味、毒性或对健康有害即对所输送的水能产生不良影响的物质。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除非特别指明，所有的接头采用法兰连接、溶剂粘接或承插连接，应符合ISO2045标准。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如采用承插式接头中要带弹性橡胶密封圈，接头要按厂家的技术要求安装。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其它安装附件要用相应的连接方式与管路连成一个整体，具体参照CECS122：2001、CECS17：2000、CJJ101-2004和CECS136：2002，管路附件如果使用其它材料制造，其材料及生产方法要经项目监理的认可。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管道安装时需要密切注意环境温度的变化对管道焊接质量的影响，一般气温高于40℃或低于-10℃时，不宜进行施工安装。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安装时需充分考虑管线在轴线上的热胀冷缩的补偿，必要时安装补偿器，尽可能利用管道的自由端进行自然吸收补偿。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架空安装时，应采用管道托架，并能保证管道在托架上的自由伸缩，托架安装和间距要求遵照制造厂的规定。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埋地管应铺设时，管沟底应整平，沟底及两侧应清除石块、碎砖和玻璃等硬物，回填时要采用高质量的土或砂。</w:t>
      </w:r>
    </w:p>
    <w:p>
      <w:pPr>
        <w:spacing w:line="360" w:lineRule="auto"/>
        <w:outlineLvl w:val="3"/>
        <w:rPr>
          <w:rFonts w:ascii="宋体" w:hAnsi="宋体"/>
        </w:rPr>
      </w:pPr>
      <w:r>
        <w:rPr>
          <w:rFonts w:hint="eastAsia" w:ascii="宋体" w:hAnsi="宋体"/>
        </w:rPr>
        <w:t>4.4.5</w:t>
      </w:r>
      <w:r>
        <w:rPr>
          <w:rFonts w:ascii="宋体" w:hAnsi="宋体"/>
        </w:rPr>
        <w:t>.</w:t>
      </w:r>
      <w:r>
        <w:rPr>
          <w:rFonts w:hint="eastAsia" w:ascii="宋体" w:hAnsi="宋体"/>
        </w:rPr>
        <w:t>4</w:t>
      </w:r>
      <w:r>
        <w:rPr>
          <w:rFonts w:ascii="宋体" w:hAnsi="宋体"/>
        </w:rPr>
        <w:t xml:space="preserve"> </w:t>
      </w:r>
      <w:r>
        <w:rPr>
          <w:rFonts w:hint="eastAsia" w:ascii="宋体" w:hAnsi="宋体"/>
        </w:rPr>
        <w:t xml:space="preserve"> </w:t>
      </w:r>
      <w:r>
        <w:rPr>
          <w:rFonts w:ascii="宋体" w:hAnsi="宋体"/>
        </w:rPr>
        <w:t>混凝土管、钢筋混凝土管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本合同中混凝土管和钢筋混凝土管均用于排水。输送介质为雨水、污水等无腐蚀流体。混凝土和钢筋混凝土排水管应满足GB11836-2009的规定。本合同选用II级管。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管子接口可以分为套环式、企口式和承插式三种，本合同的基本接口方式为承插式。管子接口采用的密封材料分为刚性接口和柔性接口，本合同的基本接口形式为柔性接口。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管子和配件的安装应符合相关规范的要求，自水流的下游开始敷设，承口朝向来水方向。管子与沿线检查井的连接采用国家标准做法，具体见图纸要求。</w:t>
      </w:r>
    </w:p>
    <w:p>
      <w:pPr>
        <w:spacing w:line="360" w:lineRule="auto"/>
        <w:outlineLvl w:val="3"/>
        <w:rPr>
          <w:rFonts w:ascii="宋体" w:hAnsi="宋体"/>
        </w:rPr>
      </w:pPr>
      <w:r>
        <w:rPr>
          <w:rFonts w:hint="eastAsia" w:ascii="宋体" w:hAnsi="宋体"/>
        </w:rPr>
        <w:t>4.4.5</w:t>
      </w:r>
      <w:r>
        <w:rPr>
          <w:rFonts w:ascii="宋体" w:hAnsi="宋体"/>
        </w:rPr>
        <w:t>.</w:t>
      </w:r>
      <w:r>
        <w:rPr>
          <w:rFonts w:hint="eastAsia" w:ascii="宋体" w:hAnsi="宋体"/>
        </w:rPr>
        <w:t>5</w:t>
      </w:r>
      <w:r>
        <w:rPr>
          <w:rFonts w:ascii="宋体" w:hAnsi="宋体"/>
        </w:rPr>
        <w:t xml:space="preserve"> </w:t>
      </w:r>
      <w:r>
        <w:rPr>
          <w:rFonts w:hint="eastAsia" w:ascii="宋体" w:hAnsi="宋体"/>
        </w:rPr>
        <w:t xml:space="preserve"> </w:t>
      </w:r>
      <w:r>
        <w:rPr>
          <w:rFonts w:ascii="宋体" w:hAnsi="宋体"/>
        </w:rPr>
        <w:t>法兰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钢制法兰连接应符合GB/T9112-2000、GB/T17185-97、HG20592~20635-97、GB/T9115.1-9115.4-2000、GB/T9113.1-9113.4-2000、GB/T9123.1-9123.4-2000有关各项的要求，所有法兰应是锻造的钢制法兰。法兰为凸面型的，实际加工表面包括整个宽度。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所有法兰的工作压力和试验压力应和与之相连接的管道和／或专用部件的工作压力和试验压力相同。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提供的法兰，应与按合同提供的阀门和配件上的法兰相配，并提供生产法兰的材料质保书。与设备配合的法兰钻孔应与设备法兰吻合。承包人应注意提供的法兰内径与所选用的管材（直缝管或螺旋管）外径应有良好的配合。</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法兰盲板一端的负荷应与检验水压相等，应提供抓柄及放气旋塞。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止推法兰应能承受与施加在相同直径的法兰闷板上的端负荷相同的纵向力。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承包人应提供所有与法兰配套的螺母、螺栓、垫圈及橡胶垫片，其数量为需要量的105%（包括备品）。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接口处垫片应用5mm厚橡胶板制作。每个螺栓应配有一个螺母和两个垫圈，螺栓应有足够的长度，以便装上螺母后尚需露出两圈螺纹，垫圈和法兰面不允许有任何种类的润滑油。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法兰接口平行度允许偏差应为法兰外径的1.5%，且不大于2mm；螺孔中心允许偏差应为孔径的5%。</w:t>
      </w:r>
    </w:p>
    <w:p>
      <w:pPr>
        <w:adjustRightInd w:val="0"/>
        <w:snapToGrid w:val="0"/>
        <w:spacing w:line="360" w:lineRule="auto"/>
        <w:jc w:val="left"/>
        <w:outlineLvl w:val="2"/>
        <w:rPr>
          <w:rFonts w:ascii="宋体" w:hAnsi="宋体"/>
          <w:b/>
          <w:bCs/>
          <w:szCs w:val="20"/>
        </w:rPr>
      </w:pPr>
      <w:bookmarkStart w:id="4137" w:name="_Toc106883340"/>
      <w:bookmarkStart w:id="4138" w:name="_Toc521492282"/>
      <w:bookmarkStart w:id="4139" w:name="_Toc521493139"/>
      <w:bookmarkStart w:id="4140" w:name="_Toc521493813"/>
      <w:r>
        <w:rPr>
          <w:rFonts w:hint="eastAsia" w:ascii="宋体" w:hAnsi="宋体"/>
          <w:b/>
          <w:bCs/>
          <w:szCs w:val="20"/>
        </w:rPr>
        <w:t>4.4.6</w:t>
      </w:r>
      <w:r>
        <w:rPr>
          <w:rFonts w:ascii="宋体" w:hAnsi="宋体"/>
          <w:b/>
          <w:bCs/>
          <w:szCs w:val="20"/>
        </w:rPr>
        <w:t xml:space="preserve"> </w:t>
      </w:r>
      <w:r>
        <w:rPr>
          <w:rFonts w:hint="eastAsia" w:ascii="宋体" w:hAnsi="宋体"/>
          <w:b/>
          <w:bCs/>
          <w:szCs w:val="20"/>
        </w:rPr>
        <w:t xml:space="preserve"> </w:t>
      </w:r>
      <w:r>
        <w:rPr>
          <w:rFonts w:ascii="宋体" w:hAnsi="宋体"/>
          <w:b/>
          <w:bCs/>
          <w:szCs w:val="20"/>
        </w:rPr>
        <w:t>钢管的内外防腐</w:t>
      </w:r>
      <w:bookmarkEnd w:id="4137"/>
      <w:bookmarkEnd w:id="4138"/>
      <w:bookmarkEnd w:id="4139"/>
      <w:bookmarkEnd w:id="414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所有钢制直管、特殊件和配件（以下统称为钢管）的内外壁需作防腐保护涂层。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除本节规定之外，外防腐应严格按GB50268-2008和SY/T0447-96标准执行。</w:t>
      </w:r>
      <w:r>
        <w:rPr>
          <w:rFonts w:hint="eastAsia" w:ascii="宋体" w:hAnsi="宋体"/>
          <w:kern w:val="0"/>
          <w:szCs w:val="21"/>
        </w:rPr>
        <w:t>详细技术标准详见输配水管道章节。</w:t>
      </w:r>
    </w:p>
    <w:p>
      <w:pPr>
        <w:adjustRightInd w:val="0"/>
        <w:snapToGrid w:val="0"/>
        <w:spacing w:line="360" w:lineRule="auto"/>
        <w:jc w:val="left"/>
        <w:outlineLvl w:val="2"/>
        <w:rPr>
          <w:rFonts w:ascii="宋体" w:hAnsi="宋体"/>
          <w:b/>
          <w:bCs/>
          <w:szCs w:val="20"/>
        </w:rPr>
      </w:pPr>
      <w:bookmarkStart w:id="4141" w:name="_Toc521493814"/>
      <w:bookmarkStart w:id="4142" w:name="_Toc521493140"/>
      <w:bookmarkStart w:id="4143" w:name="_Toc521492283"/>
      <w:bookmarkStart w:id="4144" w:name="_Toc106883341"/>
      <w:r>
        <w:rPr>
          <w:rFonts w:hint="eastAsia" w:ascii="宋体" w:hAnsi="宋体"/>
          <w:b/>
          <w:bCs/>
          <w:szCs w:val="20"/>
        </w:rPr>
        <w:t>4.4.7</w:t>
      </w:r>
      <w:r>
        <w:rPr>
          <w:rFonts w:ascii="宋体" w:hAnsi="宋体"/>
          <w:b/>
          <w:bCs/>
          <w:szCs w:val="20"/>
        </w:rPr>
        <w:t xml:space="preserve"> </w:t>
      </w:r>
      <w:r>
        <w:rPr>
          <w:rFonts w:hint="eastAsia" w:ascii="宋体" w:hAnsi="宋体"/>
          <w:b/>
          <w:bCs/>
          <w:szCs w:val="20"/>
        </w:rPr>
        <w:t xml:space="preserve"> </w:t>
      </w:r>
      <w:r>
        <w:rPr>
          <w:rFonts w:ascii="宋体" w:hAnsi="宋体"/>
          <w:b/>
          <w:bCs/>
          <w:szCs w:val="20"/>
        </w:rPr>
        <w:t>安装</w:t>
      </w:r>
      <w:bookmarkEnd w:id="4141"/>
      <w:bookmarkEnd w:id="4142"/>
      <w:bookmarkEnd w:id="4143"/>
      <w:bookmarkEnd w:id="414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承包人的工作范围为本合同所规定的管道及配件的装卸、运送、敷设、测试、清洗消毒、所有配件和附属设施的安装施工，管道及配件内外防腐、管道接头的防腐等。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采取一切必要的措施来保护管子、配件、内外防腐、材料等在运输和施工中不受损伤。这些措施包括使用合适的吊钩、卡环、吊车梁和吊绳、加强型帆布带、保护性封堵、支撑、支座、特制的运输轨道，以及其他相关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在管道运输中采取的临时包装、打包等，在安装前不应去除，除非检验需要，但检验后应重新包装。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管道安装应严格按照本技术规定和图纸执行，符合规定的技术要求。</w:t>
      </w:r>
      <w:r>
        <w:rPr>
          <w:rFonts w:hint="eastAsia" w:ascii="宋体" w:hAnsi="宋体"/>
          <w:kern w:val="0"/>
          <w:szCs w:val="21"/>
        </w:rPr>
        <w:t>详细技术标准详见输配水管道章节。</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但对于本工程需特别注意以下几点：</w:t>
      </w:r>
    </w:p>
    <w:p>
      <w:pPr>
        <w:spacing w:line="360" w:lineRule="auto"/>
        <w:outlineLvl w:val="3"/>
        <w:rPr>
          <w:rFonts w:ascii="宋体" w:hAnsi="宋体"/>
        </w:rPr>
      </w:pPr>
      <w:r>
        <w:rPr>
          <w:rFonts w:hint="eastAsia" w:ascii="宋体" w:hAnsi="宋体"/>
        </w:rPr>
        <w:t>4.4.7</w:t>
      </w:r>
      <w:r>
        <w:rPr>
          <w:rFonts w:ascii="宋体" w:hAnsi="宋体"/>
        </w:rPr>
        <w:t>.</w:t>
      </w:r>
      <w:r>
        <w:rPr>
          <w:rFonts w:hint="eastAsia" w:ascii="宋体" w:hAnsi="宋体"/>
        </w:rPr>
        <w:t xml:space="preserve">1 </w:t>
      </w:r>
      <w:r>
        <w:rPr>
          <w:rFonts w:ascii="宋体" w:hAnsi="宋体"/>
        </w:rPr>
        <w:t xml:space="preserve"> 地下管的安装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除非另有说明，管子应逐一安装但不予连接，直至他们全部安装好。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承插管道通常按承口方向敷设，坡度超过5%的地方，安装应按照升坡方向进行，在敷设和连接以后，每一根管子的管内底标高在接下去一根管子安装前应校对一下。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禁止将管子滚进沟槽就位，除了在粗糙程度不会损伤管子和保护涂层的平板上。如果使用吊车或沟槽挖掘机将管子搬运到沟槽里，管子应用宽帆布吊带缠绕，然后吊装。在沟槽基础上应做好一个凹口，以让吊带抽出而不损伤管子涂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任何管子、配件或阀门下到沟槽之前，管件正吊在半空时还应将其清理一遍并再一次检查裂缝和伤痕情况。假如无损伤，他们即可就位，准备连接并用木撑和木楔临时卡紧。除了埋入混凝土的管道工程，所有管子和配件应全部放在坚实、平整的基础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承包人应采取一些必要的预防措施来防止管子上浮。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承包人提供、开动和维持在大口径管道内正在工作时的足够的照明和通风系统。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埋在混凝土内的管子和配件，当混凝土浇捣上去时要保持其坚实的定位并不损伤，在工程最后验收前，任何管子应部分或整体地被堵塞住。清除封堵或复原的费用由承包人负责。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管道敷设后，管子内部、配件和阀门要重新仔细清理，除去任何污物、石子或在敷设中可能进入管道的杂物。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所有配件和阀门的大致位置应在图纸上进行显示，确切位置由项目监理在现场决定。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为使配件精确定位，或管线某一部分自成一闭合段，或在检查井或工程其他部分为终点的管子，均需待其相邻阿管子安装和连接好后才能被切割。所需切割的管段长度要精确测量并制作。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承包人应确定每一个封闭段的长度及切割端面所要求的角度和形状，与闭合段的连接应用活络伸缩器制作，除非项目监理另行同意。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管子的切割应由有经验的数量的人使用符合切割类型及直径的管子的机械来施行，管子的切割端应是平滑的并车削过斜面的，以保证合适的引入并就位于连接头而不损伤接环。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任何由切割导致的管子和配件的包缠、涂层和内衬的损坏都应由承包人予以修复。</w:t>
      </w:r>
    </w:p>
    <w:p>
      <w:pPr>
        <w:spacing w:line="360" w:lineRule="auto"/>
        <w:outlineLvl w:val="3"/>
        <w:rPr>
          <w:rFonts w:ascii="宋体" w:hAnsi="宋体"/>
        </w:rPr>
      </w:pPr>
      <w:r>
        <w:rPr>
          <w:rFonts w:hint="eastAsia" w:ascii="宋体" w:hAnsi="宋体"/>
        </w:rPr>
        <w:t>4.4.7</w:t>
      </w:r>
      <w:r>
        <w:rPr>
          <w:rFonts w:ascii="宋体" w:hAnsi="宋体"/>
        </w:rPr>
        <w:t>.</w:t>
      </w:r>
      <w:r>
        <w:rPr>
          <w:rFonts w:hint="eastAsia" w:ascii="宋体" w:hAnsi="宋体"/>
        </w:rPr>
        <w:t xml:space="preserve">2  </w:t>
      </w:r>
      <w:r>
        <w:rPr>
          <w:rFonts w:ascii="宋体" w:hAnsi="宋体"/>
        </w:rPr>
        <w:t>进入构筑物的管道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通过阀门井或其他构筑物墙的压力管道采用穿越套管或墙管，详见合同图纸或国家S系列标准图集。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穿墙套管和墙管的表面防锈应达到Sa2.5级标准。穿墙套管内外防腐和墙管的外壁采用二道环氧高锌底漆，墙管的内壁防腐采用二道环氧高锌底漆和一道环氧云铁中间漆和二道无毒聚氨防腐面漆。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铁管或钢管在通过存水构筑物或阻水构筑物时，如没有详细说明用锚固法兰时，管子应在管壁处铸有或栓有熟铁凸缘，以防止水沿管子流入混凝土内墙，熟铁凸缘至少比管外壁凸出50mm。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要求固定在构筑物上或穿过其他构筑物的管子和异形管应按图纸或项目监理批准的来安装定位。支架、钢构件、吊架和类似的固定件应用热浸镀锌低碳钢制作，除项目监理另有要求外，支架和固定件应涂二层沥青涂料。</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穿越构建筑产生的缝隙由无毒密封膏填充，详见图纸。</w:t>
      </w:r>
    </w:p>
    <w:p>
      <w:pPr>
        <w:spacing w:line="360" w:lineRule="auto"/>
        <w:outlineLvl w:val="3"/>
        <w:rPr>
          <w:rFonts w:ascii="宋体" w:hAnsi="宋体"/>
        </w:rPr>
      </w:pPr>
      <w:r>
        <w:rPr>
          <w:rFonts w:hint="eastAsia" w:ascii="宋体" w:hAnsi="宋体"/>
        </w:rPr>
        <w:t>4.4.7</w:t>
      </w:r>
      <w:r>
        <w:rPr>
          <w:rFonts w:ascii="宋体" w:hAnsi="宋体"/>
        </w:rPr>
        <w:t>.</w:t>
      </w:r>
      <w:r>
        <w:rPr>
          <w:rFonts w:hint="eastAsia" w:ascii="宋体" w:hAnsi="宋体"/>
        </w:rPr>
        <w:t>3</w:t>
      </w:r>
      <w:r>
        <w:rPr>
          <w:rFonts w:ascii="宋体" w:hAnsi="宋体"/>
        </w:rPr>
        <w:t xml:space="preserve"> </w:t>
      </w:r>
      <w:r>
        <w:rPr>
          <w:rFonts w:hint="eastAsia" w:ascii="宋体" w:hAnsi="宋体"/>
        </w:rPr>
        <w:t xml:space="preserve"> </w:t>
      </w:r>
      <w:r>
        <w:rPr>
          <w:rFonts w:ascii="宋体" w:hAnsi="宋体"/>
        </w:rPr>
        <w:t>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敷设在地下的管道所有的阀门均设井，包括管道底下的钢筋混凝土基础及砖砌、钢筋混凝土墙。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仅为消火栓或排气阀设置的井不直接位于管道上，其包括预测混凝土管、砖或混凝土块的墙基，为防止沉降，混凝土厚度至少为150mm，井上要有适当的室，以便于拆除的维修任何消火栓、空气阀或安装在其上的止回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较大的井盖应由可移动的钢筋混凝土盖板组成，如果必要可支承在梁上，每块板的最大重量为50kg，并要设置用耐用材料做的适当的吊眼。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一般的井盖和通道盖为铸铁井盖，为边长不小于</w:t>
      </w:r>
      <w:r>
        <w:rPr>
          <w:rFonts w:hint="eastAsia" w:ascii="宋体" w:hAnsi="宋体"/>
          <w:kern w:val="0"/>
          <w:szCs w:val="21"/>
        </w:rPr>
        <w:t>7</w:t>
      </w:r>
      <w:r>
        <w:rPr>
          <w:rFonts w:ascii="宋体" w:hAnsi="宋体"/>
          <w:kern w:val="0"/>
          <w:szCs w:val="21"/>
        </w:rPr>
        <w:t>00mm的方形盖，或直径不小于</w:t>
      </w:r>
      <w:r>
        <w:rPr>
          <w:rFonts w:hint="eastAsia" w:ascii="宋体" w:hAnsi="宋体"/>
          <w:kern w:val="0"/>
          <w:szCs w:val="21"/>
        </w:rPr>
        <w:t>7</w:t>
      </w:r>
      <w:r>
        <w:rPr>
          <w:rFonts w:ascii="宋体" w:hAnsi="宋体"/>
          <w:kern w:val="0"/>
          <w:szCs w:val="21"/>
        </w:rPr>
        <w:t>00mm的圆形井盖，重量不超过500kg，可以锁的。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应将所有积聚在井或窨井内的淤泥、砂浆、垃圾及其他遗忘的物料消除，在完工检查时，应无任何积聚物。</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阀门井内安装阀门的底部均应设置混凝土支墩，混凝土采用C20。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用于建造井的混凝土应为C25及C20。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井还符合技术规范</w:t>
      </w:r>
      <w:r>
        <w:rPr>
          <w:rFonts w:hint="eastAsia" w:ascii="宋体" w:hAnsi="宋体"/>
          <w:kern w:val="0"/>
          <w:szCs w:val="21"/>
        </w:rPr>
        <w:t>混凝土和钢结构</w:t>
      </w:r>
      <w:r>
        <w:rPr>
          <w:rFonts w:ascii="宋体" w:hAnsi="宋体"/>
          <w:kern w:val="0"/>
          <w:szCs w:val="21"/>
        </w:rPr>
        <w:t>的要求。</w:t>
      </w:r>
    </w:p>
    <w:p>
      <w:pPr>
        <w:adjustRightInd w:val="0"/>
        <w:snapToGrid w:val="0"/>
        <w:spacing w:line="360" w:lineRule="auto"/>
        <w:jc w:val="left"/>
        <w:outlineLvl w:val="2"/>
        <w:rPr>
          <w:rFonts w:ascii="宋体" w:hAnsi="宋体"/>
          <w:b/>
          <w:bCs/>
          <w:szCs w:val="20"/>
        </w:rPr>
      </w:pPr>
      <w:bookmarkStart w:id="4145" w:name="_Toc521492284"/>
      <w:bookmarkStart w:id="4146" w:name="_Toc521493141"/>
      <w:bookmarkStart w:id="4147" w:name="_Toc521493815"/>
      <w:bookmarkStart w:id="4148" w:name="_Toc106883342"/>
      <w:r>
        <w:rPr>
          <w:rFonts w:hint="eastAsia" w:ascii="宋体" w:hAnsi="宋体"/>
          <w:b/>
          <w:bCs/>
          <w:szCs w:val="20"/>
        </w:rPr>
        <w:t>4.4.8</w:t>
      </w:r>
      <w:r>
        <w:rPr>
          <w:rFonts w:ascii="宋体" w:hAnsi="宋体"/>
          <w:b/>
          <w:bCs/>
          <w:szCs w:val="20"/>
        </w:rPr>
        <w:t xml:space="preserve"> </w:t>
      </w:r>
      <w:r>
        <w:rPr>
          <w:rFonts w:hint="eastAsia" w:ascii="宋体" w:hAnsi="宋体"/>
          <w:b/>
          <w:bCs/>
          <w:szCs w:val="20"/>
        </w:rPr>
        <w:t xml:space="preserve"> </w:t>
      </w:r>
      <w:r>
        <w:rPr>
          <w:rFonts w:ascii="宋体" w:hAnsi="宋体"/>
          <w:b/>
          <w:bCs/>
          <w:szCs w:val="20"/>
        </w:rPr>
        <w:t>管道试验</w:t>
      </w:r>
      <w:bookmarkEnd w:id="4145"/>
      <w:bookmarkEnd w:id="4146"/>
      <w:bookmarkEnd w:id="4147"/>
      <w:bookmarkEnd w:id="4148"/>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管道试验详见输配水管道章节技术规范。</w:t>
      </w:r>
    </w:p>
    <w:p>
      <w:pPr>
        <w:adjustRightInd w:val="0"/>
        <w:snapToGrid w:val="0"/>
        <w:spacing w:line="360" w:lineRule="auto"/>
        <w:outlineLvl w:val="1"/>
        <w:rPr>
          <w:rFonts w:ascii="宋体" w:hAnsi="宋体"/>
          <w:b/>
          <w:bCs/>
        </w:rPr>
      </w:pPr>
      <w:bookmarkStart w:id="4149" w:name="_Toc521492285"/>
      <w:bookmarkStart w:id="4150" w:name="_Toc521493142"/>
      <w:bookmarkStart w:id="4151" w:name="_Toc521493816"/>
      <w:bookmarkStart w:id="4152" w:name="_Toc106883343"/>
      <w:r>
        <w:rPr>
          <w:rFonts w:hint="eastAsia" w:ascii="宋体" w:hAnsi="宋体"/>
          <w:b/>
          <w:bCs/>
        </w:rPr>
        <w:t>4.5  机械设备</w:t>
      </w:r>
      <w:bookmarkEnd w:id="4149"/>
      <w:bookmarkEnd w:id="4150"/>
      <w:bookmarkEnd w:id="4151"/>
      <w:bookmarkEnd w:id="4152"/>
    </w:p>
    <w:p>
      <w:pPr>
        <w:adjustRightInd w:val="0"/>
        <w:snapToGrid w:val="0"/>
        <w:spacing w:line="360" w:lineRule="auto"/>
        <w:jc w:val="left"/>
        <w:outlineLvl w:val="2"/>
        <w:rPr>
          <w:rFonts w:ascii="宋体" w:hAnsi="宋体"/>
          <w:b/>
          <w:bCs/>
          <w:szCs w:val="20"/>
        </w:rPr>
      </w:pPr>
      <w:bookmarkStart w:id="4153" w:name="_Toc521492286"/>
      <w:bookmarkStart w:id="4154" w:name="_Toc521493143"/>
      <w:bookmarkStart w:id="4155" w:name="_Toc521493817"/>
      <w:bookmarkStart w:id="4156" w:name="_Toc106883344"/>
      <w:r>
        <w:rPr>
          <w:rFonts w:hint="eastAsia" w:ascii="宋体" w:hAnsi="宋体"/>
          <w:b/>
          <w:bCs/>
          <w:szCs w:val="20"/>
        </w:rPr>
        <w:t>4.5.</w:t>
      </w:r>
      <w:r>
        <w:rPr>
          <w:rFonts w:ascii="宋体" w:hAnsi="宋体"/>
          <w:b/>
          <w:bCs/>
          <w:szCs w:val="20"/>
        </w:rPr>
        <w:t>1</w:t>
      </w:r>
      <w:r>
        <w:rPr>
          <w:rFonts w:hint="eastAsia" w:ascii="宋体" w:hAnsi="宋体"/>
          <w:b/>
          <w:bCs/>
          <w:szCs w:val="20"/>
        </w:rPr>
        <w:t xml:space="preserve">  </w:t>
      </w:r>
      <w:r>
        <w:rPr>
          <w:rFonts w:ascii="宋体" w:hAnsi="宋体"/>
          <w:b/>
          <w:bCs/>
          <w:szCs w:val="20"/>
        </w:rPr>
        <w:t>范围</w:t>
      </w:r>
      <w:bookmarkEnd w:id="4153"/>
      <w:bookmarkEnd w:id="4154"/>
      <w:bookmarkEnd w:id="4155"/>
      <w:bookmarkEnd w:id="415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本合同的机械工程范围，是指承包人在</w:t>
      </w:r>
      <w:r>
        <w:rPr>
          <w:rFonts w:hint="eastAsia" w:ascii="宋体" w:hAnsi="宋体"/>
          <w:kern w:val="0"/>
          <w:szCs w:val="21"/>
        </w:rPr>
        <w:t>本工程供水工程</w:t>
      </w:r>
      <w:r>
        <w:rPr>
          <w:rFonts w:ascii="宋体" w:hAnsi="宋体"/>
          <w:kern w:val="0"/>
          <w:szCs w:val="21"/>
        </w:rPr>
        <w:t>（净水厂、取水工程和输</w:t>
      </w:r>
      <w:r>
        <w:rPr>
          <w:rFonts w:hint="eastAsia" w:ascii="宋体" w:hAnsi="宋体"/>
          <w:kern w:val="0"/>
          <w:szCs w:val="21"/>
        </w:rPr>
        <w:t>配</w:t>
      </w:r>
      <w:r>
        <w:rPr>
          <w:rFonts w:ascii="宋体" w:hAnsi="宋体"/>
          <w:kern w:val="0"/>
          <w:szCs w:val="21"/>
        </w:rPr>
        <w:t>水管线）机电设备采购、安装及调试工程内，为满足原水取水、输水</w:t>
      </w:r>
      <w:r>
        <w:rPr>
          <w:rFonts w:hint="eastAsia" w:ascii="宋体" w:hAnsi="宋体"/>
          <w:kern w:val="0"/>
          <w:szCs w:val="21"/>
        </w:rPr>
        <w:t>、清水输水、配水</w:t>
      </w:r>
      <w:r>
        <w:rPr>
          <w:rFonts w:ascii="宋体" w:hAnsi="宋体"/>
          <w:kern w:val="0"/>
          <w:szCs w:val="21"/>
        </w:rPr>
        <w:t>及水处理工艺要求的所有机械设备的设计、制造、测试、供货、运输、安装、调试、试运行、培训、运行维护、交付使用、缺陷责任期内保修，以及为上述机械工程所作的一切准备工作、服务、人工、材料和包括竣工资料与操作维护手册的提供，不管它们是否在文件或图纸上注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本合同涉及的主要机械设备或机械工程成套设备如下，但不限于此：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主要机械设备列入清单内容：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1</w:t>
      </w:r>
      <w:r>
        <w:rPr>
          <w:rFonts w:ascii="宋体" w:hAnsi="宋体"/>
          <w:kern w:val="0"/>
          <w:szCs w:val="21"/>
        </w:rPr>
        <w:t>）立式混合搅拌机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2</w:t>
      </w:r>
      <w:r>
        <w:rPr>
          <w:rFonts w:ascii="宋体" w:hAnsi="宋体"/>
          <w:kern w:val="0"/>
          <w:szCs w:val="21"/>
        </w:rPr>
        <w:t>）潜水泵、液下泵</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3</w:t>
      </w:r>
      <w:r>
        <w:rPr>
          <w:rFonts w:ascii="宋体" w:hAnsi="宋体"/>
          <w:kern w:val="0"/>
          <w:szCs w:val="21"/>
        </w:rPr>
        <w:t>）各种电动、手动阀门及闸门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4</w:t>
      </w:r>
      <w:r>
        <w:rPr>
          <w:rFonts w:ascii="宋体" w:hAnsi="宋体"/>
          <w:kern w:val="0"/>
          <w:szCs w:val="21"/>
        </w:rPr>
        <w:t>）起重机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5</w:t>
      </w:r>
      <w:r>
        <w:rPr>
          <w:rFonts w:ascii="宋体" w:hAnsi="宋体"/>
          <w:kern w:val="0"/>
          <w:szCs w:val="21"/>
        </w:rPr>
        <w:t>）混凝剂投加系统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6</w:t>
      </w:r>
      <w:r>
        <w:rPr>
          <w:rFonts w:ascii="宋体" w:hAnsi="宋体"/>
          <w:kern w:val="0"/>
          <w:szCs w:val="21"/>
        </w:rPr>
        <w:t>）PAM制备投加装置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7</w:t>
      </w:r>
      <w:r>
        <w:rPr>
          <w:rFonts w:ascii="宋体" w:hAnsi="宋体"/>
          <w:kern w:val="0"/>
          <w:szCs w:val="21"/>
        </w:rPr>
        <w:t>）加氯系统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8</w:t>
      </w:r>
      <w:r>
        <w:rPr>
          <w:rFonts w:ascii="宋体" w:hAnsi="宋体"/>
          <w:kern w:val="0"/>
          <w:szCs w:val="21"/>
        </w:rPr>
        <w:t>）不锈钢制品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9</w:t>
      </w:r>
      <w:r>
        <w:rPr>
          <w:rFonts w:ascii="宋体" w:hAnsi="宋体"/>
          <w:kern w:val="0"/>
          <w:szCs w:val="21"/>
        </w:rPr>
        <w:t>）化验设备</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w:t>
      </w:r>
      <w:r>
        <w:rPr>
          <w:rFonts w:hint="eastAsia" w:ascii="宋体" w:hAnsi="宋体"/>
          <w:kern w:val="0"/>
          <w:szCs w:val="21"/>
        </w:rPr>
        <w:t>0</w:t>
      </w:r>
      <w:r>
        <w:rPr>
          <w:rFonts w:ascii="宋体" w:hAnsi="宋体"/>
          <w:kern w:val="0"/>
          <w:szCs w:val="21"/>
        </w:rPr>
        <w:t>）车辆</w:t>
      </w:r>
    </w:p>
    <w:p>
      <w:pPr>
        <w:adjustRightInd w:val="0"/>
        <w:snapToGrid w:val="0"/>
        <w:spacing w:line="360" w:lineRule="auto"/>
        <w:jc w:val="left"/>
        <w:outlineLvl w:val="2"/>
        <w:rPr>
          <w:rFonts w:ascii="宋体" w:hAnsi="宋体"/>
          <w:b/>
          <w:bCs/>
          <w:szCs w:val="20"/>
        </w:rPr>
      </w:pPr>
      <w:bookmarkStart w:id="4157" w:name="_Toc521492287"/>
      <w:bookmarkStart w:id="4158" w:name="_Toc521493144"/>
      <w:bookmarkStart w:id="4159" w:name="_Toc521493818"/>
      <w:bookmarkStart w:id="4160" w:name="_Toc106883345"/>
      <w:r>
        <w:rPr>
          <w:rFonts w:hint="eastAsia" w:ascii="宋体" w:hAnsi="宋体"/>
          <w:b/>
          <w:bCs/>
          <w:szCs w:val="20"/>
        </w:rPr>
        <w:t>4.5.2</w:t>
      </w:r>
      <w:r>
        <w:rPr>
          <w:rFonts w:ascii="宋体" w:hAnsi="宋体"/>
          <w:b/>
          <w:bCs/>
          <w:szCs w:val="20"/>
        </w:rPr>
        <w:t xml:space="preserve"> </w:t>
      </w:r>
      <w:r>
        <w:rPr>
          <w:rFonts w:hint="eastAsia" w:ascii="宋体" w:hAnsi="宋体"/>
          <w:b/>
          <w:bCs/>
          <w:szCs w:val="20"/>
        </w:rPr>
        <w:t xml:space="preserve"> </w:t>
      </w:r>
      <w:r>
        <w:rPr>
          <w:rFonts w:ascii="宋体" w:hAnsi="宋体"/>
          <w:b/>
          <w:bCs/>
          <w:szCs w:val="20"/>
        </w:rPr>
        <w:t>一般技术规范</w:t>
      </w:r>
      <w:bookmarkEnd w:id="4157"/>
      <w:bookmarkEnd w:id="4158"/>
      <w:bookmarkEnd w:id="4159"/>
      <w:bookmarkEnd w:id="4160"/>
    </w:p>
    <w:p>
      <w:pPr>
        <w:spacing w:line="360" w:lineRule="auto"/>
        <w:outlineLvl w:val="0"/>
        <w:rPr>
          <w:rFonts w:ascii="宋体" w:hAnsi="宋体"/>
        </w:rPr>
      </w:pPr>
      <w:bookmarkStart w:id="4161" w:name="_Toc106050082"/>
      <w:bookmarkStart w:id="4162" w:name="_Toc106883346"/>
      <w:r>
        <w:rPr>
          <w:rFonts w:hint="eastAsia" w:ascii="宋体" w:hAnsi="宋体"/>
        </w:rPr>
        <w:t>4.5.2</w:t>
      </w:r>
      <w:r>
        <w:rPr>
          <w:rFonts w:ascii="宋体" w:hAnsi="宋体"/>
        </w:rPr>
        <w:t>.1</w:t>
      </w:r>
      <w:r>
        <w:rPr>
          <w:rFonts w:hint="eastAsia" w:ascii="宋体" w:hAnsi="宋体"/>
        </w:rPr>
        <w:t xml:space="preserve"> </w:t>
      </w:r>
      <w:r>
        <w:rPr>
          <w:rFonts w:ascii="宋体" w:hAnsi="宋体"/>
        </w:rPr>
        <w:t xml:space="preserve"> 参照标准</w:t>
      </w:r>
      <w:bookmarkEnd w:id="4161"/>
      <w:bookmarkEnd w:id="416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参照标准已列入陈述本工程所需设备技术要求的相应章节中，当合同内没有表明或商定任何标准时，所有详细资料、材料、设备及制造工艺应符合技术说明的规定并提交业主认可。</w:t>
      </w:r>
    </w:p>
    <w:p>
      <w:pPr>
        <w:spacing w:line="360" w:lineRule="auto"/>
        <w:outlineLvl w:val="0"/>
        <w:rPr>
          <w:rFonts w:ascii="宋体" w:hAnsi="宋体"/>
        </w:rPr>
      </w:pPr>
      <w:bookmarkStart w:id="4163" w:name="_Toc106050083"/>
      <w:bookmarkStart w:id="4164" w:name="_Toc106883347"/>
      <w:r>
        <w:rPr>
          <w:rFonts w:hint="eastAsia" w:ascii="宋体" w:hAnsi="宋体"/>
        </w:rPr>
        <w:t>4.5.2</w:t>
      </w:r>
      <w:r>
        <w:rPr>
          <w:rFonts w:ascii="宋体" w:hAnsi="宋体"/>
        </w:rPr>
        <w:t xml:space="preserve">.2 </w:t>
      </w:r>
      <w:r>
        <w:rPr>
          <w:rFonts w:hint="eastAsia" w:ascii="宋体" w:hAnsi="宋体"/>
        </w:rPr>
        <w:t xml:space="preserve"> </w:t>
      </w:r>
      <w:r>
        <w:rPr>
          <w:rFonts w:ascii="宋体" w:hAnsi="宋体"/>
        </w:rPr>
        <w:t>使用期限</w:t>
      </w:r>
      <w:bookmarkEnd w:id="4163"/>
      <w:bookmarkEnd w:id="416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设计的材料和设备均应有长的使用期，并应适合于长期的每天二十四小时的连续运转，且只须进行最少量的维修，要求承包人对任何部件使用期作出证明，承包人可以用相类似设备的使用记录或用广泛的测试记录来证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常规的维护和修理应尽可能的不要求技术高的人员来服务。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去易耗件如密封垫料等正常情况需要较频繁的更换外，凡是须经受磨耗的无论那一种的部件，除另有规定外，无故障工作时间均不应少于10000h，整机的工作寿命应不少于20年，滚动轴承的基本额定寿命为100000hr。</w:t>
      </w:r>
    </w:p>
    <w:p>
      <w:pPr>
        <w:spacing w:line="360" w:lineRule="auto"/>
        <w:outlineLvl w:val="0"/>
        <w:rPr>
          <w:rFonts w:ascii="宋体" w:hAnsi="宋体"/>
        </w:rPr>
      </w:pPr>
      <w:bookmarkStart w:id="4165" w:name="_Toc106883348"/>
      <w:bookmarkStart w:id="4166" w:name="_Toc106050084"/>
      <w:r>
        <w:rPr>
          <w:rFonts w:hint="eastAsia" w:ascii="宋体" w:hAnsi="宋体"/>
        </w:rPr>
        <w:t>4.5.2</w:t>
      </w:r>
      <w:r>
        <w:rPr>
          <w:rFonts w:ascii="宋体" w:hAnsi="宋体"/>
        </w:rPr>
        <w:t>.3</w:t>
      </w:r>
      <w:r>
        <w:rPr>
          <w:rFonts w:hint="eastAsia" w:ascii="宋体" w:hAnsi="宋体"/>
        </w:rPr>
        <w:t xml:space="preserve"> </w:t>
      </w:r>
      <w:r>
        <w:rPr>
          <w:rFonts w:ascii="宋体" w:hAnsi="宋体"/>
        </w:rPr>
        <w:t xml:space="preserve"> 材料</w:t>
      </w:r>
      <w:bookmarkEnd w:id="4165"/>
      <w:bookmarkEnd w:id="416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工程中所使用的材料必须是最适合该工程的，并应是新的，优质的，无缺陷的，且应选择使用寿命长，维护要求低的材料。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浸没在水下的设备的活动部分及表面，如销、栓与心轴等，应是抗腐蚀的。直接与各种化学制品接触的部件应具有对这些化学制品有完全的抗腐蚀与抗磨损的能力，并能保证这些部件不会由于时间的消逝，暴露在日光下或任何其它原因引起老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当规定中标注“不锈钢”而未标注不锈钢标号（牌号）材料时，它应具有不低于英国标准BS970第四部分规定的抗大气腐蚀的能力。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（1）水、污水（包括含氯水或其他水）为316S12级种类奥氏体钢。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（2）大气中为304S15级奥氏体钢。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这种类型的不锈钢在焊接后应不产生晶间腐蚀，相对滑动（摩擦）场合须防止它们相互侵蚀而粘附，具有合适的硬度差和粗糙度，以及使用润滑剂来防止粘附。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标注“铸铁”时，应具有GG25以上机械特性。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标注“工程塑料”时，应采用UPVC。</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应防止由于二种电位接近的金属接合而引起的腐蚀，当必须使用不同金属并须相互接触时，则应作选择以使双金属的腐蚀越低越好。必要时应使用橡胶或其它被批准的绝缘材料。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合同上规定需要提供材料的样品时，承包人应将这些样品材料在进行制造任何设备前的不少于三十个日历日之前，自费提交给业主认可，而这些样品所代表的材料，在未获得认可时则不得进行制造，送达现场或用于任何工程中去。</w:t>
      </w:r>
    </w:p>
    <w:p>
      <w:pPr>
        <w:spacing w:line="360" w:lineRule="auto"/>
        <w:outlineLvl w:val="0"/>
        <w:rPr>
          <w:rFonts w:ascii="宋体" w:hAnsi="宋体"/>
        </w:rPr>
      </w:pPr>
      <w:bookmarkStart w:id="4167" w:name="_Toc106883349"/>
      <w:bookmarkStart w:id="4168" w:name="_Toc106050085"/>
      <w:r>
        <w:rPr>
          <w:rFonts w:hint="eastAsia" w:ascii="宋体" w:hAnsi="宋体"/>
        </w:rPr>
        <w:t>4.5.2</w:t>
      </w:r>
      <w:r>
        <w:rPr>
          <w:rFonts w:ascii="宋体" w:hAnsi="宋体"/>
        </w:rPr>
        <w:t>.4</w:t>
      </w:r>
      <w:r>
        <w:rPr>
          <w:rFonts w:hint="eastAsia" w:ascii="宋体" w:hAnsi="宋体"/>
        </w:rPr>
        <w:t xml:space="preserve"> </w:t>
      </w:r>
      <w:r>
        <w:rPr>
          <w:rFonts w:ascii="宋体" w:hAnsi="宋体"/>
        </w:rPr>
        <w:t xml:space="preserve"> 质量控制</w:t>
      </w:r>
      <w:bookmarkEnd w:id="4167"/>
      <w:bookmarkEnd w:id="416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制造厂应具有ISO9000系列质量管理控制体系或同类质量管理控制体系的认证。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任何机械设备和钢结构件的设计与制造均必须受上述的质量管理体系控制。</w:t>
      </w:r>
    </w:p>
    <w:p>
      <w:pPr>
        <w:spacing w:line="360" w:lineRule="auto"/>
        <w:outlineLvl w:val="0"/>
        <w:rPr>
          <w:rFonts w:ascii="宋体" w:hAnsi="宋体"/>
        </w:rPr>
      </w:pPr>
      <w:bookmarkStart w:id="4169" w:name="_Toc106883350"/>
      <w:bookmarkStart w:id="4170" w:name="_Toc106050086"/>
      <w:r>
        <w:rPr>
          <w:rFonts w:hint="eastAsia" w:ascii="宋体" w:hAnsi="宋体"/>
        </w:rPr>
        <w:t>4.5.2</w:t>
      </w:r>
      <w:r>
        <w:rPr>
          <w:rFonts w:ascii="宋体" w:hAnsi="宋体"/>
        </w:rPr>
        <w:t xml:space="preserve">.5 </w:t>
      </w:r>
      <w:r>
        <w:rPr>
          <w:rFonts w:hint="eastAsia" w:ascii="宋体" w:hAnsi="宋体"/>
        </w:rPr>
        <w:t xml:space="preserve"> </w:t>
      </w:r>
      <w:r>
        <w:rPr>
          <w:rFonts w:ascii="宋体" w:hAnsi="宋体"/>
        </w:rPr>
        <w:t>铸造与锻造</w:t>
      </w:r>
      <w:bookmarkEnd w:id="4169"/>
      <w:bookmarkEnd w:id="417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（1）铸钢件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铸件应尽可能从DIN 1681、DIN 17245、DIN 17445和SEW 510或相当的标准所述材料范围选用，且其检验、质量和其它要求至少是最低的可接受的标准。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由于对缺陷而言各种使用场合有不同的要求，因此铸钢件应按DIN17245（表3）、质量级别Ⅰ、Ⅱ和Ⅲ级提供。这些质量等级的使用范围如下：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介质温度不超过400℃或可能的最高工作压力达32bar（表压）以下──质量等级：Ⅰ级。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介质温度为400～500℃或可能的最高工作压力达32～80bar（表压）──质量等级：Ⅱ级。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介质温度＞450℃或可能的最高工作压力达80bar（表压）以上──质量等级：Ⅲ级。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如果压力和温度数据不在同一级别时，应取用两种级别中的较高者。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（2）铸铁件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除非项目监理特别认可，铸铁将不能使用于受拉伸或冲击、或工作温度超过100℃的任何设备零件。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铸件的材料应符合有关标准，如DIN 1691、DIN 1692、DIN 1693、DIN 1694和DIN 17006或相当标准的要求。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（3）锻钢件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承包人应提供一份重要材料采购技术规范的复制件。各有关文件都应对质量和检查要求作明确的陈述。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凡有可能，锻钢件材料和其技术要求尽可能从审定过的国际标准中选用。例如对钢铁材料技术规范：SEW550和SEQ620，对钢铁供货状态SEL620，TR107，对锻件的有关要求DIN 7521，DIN 7522等。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所有锻件都应用硷性电炉钢或镇静酸性转炉钢制造。有些情况下应考虑用真空脱氧钢。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锻件的外表及内表均应没有裂纹、无机加工所不能消除的大范围的夹渣及表面缺陷。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每个锻件应恰当地敲上钢印（标记号），这个号码应在所有精加工过程一直保留。识别标记号应写在该锻件的所有文件及试验证书上。</w:t>
      </w:r>
    </w:p>
    <w:p>
      <w:pPr>
        <w:spacing w:line="360" w:lineRule="auto"/>
        <w:outlineLvl w:val="0"/>
        <w:rPr>
          <w:rFonts w:ascii="宋体" w:hAnsi="宋体"/>
        </w:rPr>
      </w:pPr>
      <w:bookmarkStart w:id="4171" w:name="_Toc106050087"/>
      <w:bookmarkStart w:id="4172" w:name="_Toc106883351"/>
      <w:r>
        <w:rPr>
          <w:rFonts w:hint="eastAsia" w:ascii="宋体" w:hAnsi="宋体"/>
        </w:rPr>
        <w:t>4.5.2</w:t>
      </w:r>
      <w:r>
        <w:rPr>
          <w:rFonts w:ascii="宋体" w:hAnsi="宋体"/>
        </w:rPr>
        <w:t xml:space="preserve">.6 </w:t>
      </w:r>
      <w:r>
        <w:rPr>
          <w:rFonts w:hint="eastAsia" w:ascii="宋体" w:hAnsi="宋体"/>
        </w:rPr>
        <w:t xml:space="preserve"> </w:t>
      </w:r>
      <w:r>
        <w:rPr>
          <w:rFonts w:ascii="宋体" w:hAnsi="宋体"/>
        </w:rPr>
        <w:t>齿轮传动与齿轮箱</w:t>
      </w:r>
      <w:bookmarkEnd w:id="4171"/>
      <w:bookmarkEnd w:id="417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所有的齿轮传动均应符合ISO标准或同类标准，服务系数不低于1.4，所有的齿轮传动均应由箱体封闭的。齿轮的材料应采用合金钢16MnCr或更好，齿面需作渗碳淬火处理，表面硬度HRC58～62，磨齿精度不低于DIN3962的7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（2）齿轮箱应按以下规定来设计和制造，应具有：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刻度清楚的观察玻璃或量油尺，以显示流动的或静止的油位；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齿轮箱的所有接缝处须密封可靠以防止水与灰尘的进入或润滑剂的外流；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装有用螺栓拧紧盖的检查孔、加油的接头、通气塞、排放旋塞或塞阀，如果需要的话，溢流与排放的接管应予以延伸并与排放装置联结；以避免排出的油溢出；箱体上须设置手柄或吊环；每个齿轮箱接合面或底座上用圆锥销定位；齿轮传动部件应便于检查和进行维修。</w:t>
      </w:r>
    </w:p>
    <w:p>
      <w:pPr>
        <w:spacing w:line="360" w:lineRule="auto"/>
        <w:outlineLvl w:val="0"/>
        <w:rPr>
          <w:rFonts w:ascii="宋体" w:hAnsi="宋体"/>
        </w:rPr>
      </w:pPr>
      <w:bookmarkStart w:id="4173" w:name="_Toc106050088"/>
      <w:bookmarkStart w:id="4174" w:name="_Toc106883352"/>
      <w:r>
        <w:rPr>
          <w:rFonts w:hint="eastAsia" w:ascii="宋体" w:hAnsi="宋体"/>
        </w:rPr>
        <w:t>4.5.2</w:t>
      </w:r>
      <w:r>
        <w:rPr>
          <w:rFonts w:ascii="宋体" w:hAnsi="宋体"/>
        </w:rPr>
        <w:t xml:space="preserve">.7 </w:t>
      </w:r>
      <w:r>
        <w:rPr>
          <w:rFonts w:hint="eastAsia" w:ascii="宋体" w:hAnsi="宋体"/>
        </w:rPr>
        <w:t xml:space="preserve"> </w:t>
      </w:r>
      <w:r>
        <w:rPr>
          <w:rFonts w:ascii="宋体" w:hAnsi="宋体"/>
        </w:rPr>
        <w:t>焊接</w:t>
      </w:r>
      <w:bookmarkEnd w:id="4173"/>
      <w:bookmarkEnd w:id="4174"/>
    </w:p>
    <w:p>
      <w:pPr>
        <w:adjustRightInd w:val="0"/>
        <w:snapToGrid w:val="0"/>
        <w:spacing w:line="360" w:lineRule="auto"/>
        <w:textAlignment w:val="baseline"/>
        <w:outlineLvl w:val="0"/>
        <w:rPr>
          <w:rFonts w:ascii="宋体" w:hAnsi="宋体"/>
          <w:b/>
          <w:kern w:val="0"/>
          <w:szCs w:val="21"/>
        </w:rPr>
      </w:pPr>
      <w:bookmarkStart w:id="4175" w:name="_Toc106050089"/>
      <w:bookmarkStart w:id="4176" w:name="_Toc106883353"/>
      <w:r>
        <w:rPr>
          <w:rFonts w:hint="eastAsia" w:ascii="宋体" w:hAnsi="宋体"/>
          <w:b/>
          <w:kern w:val="0"/>
          <w:szCs w:val="21"/>
        </w:rPr>
        <w:t>4.5.2</w:t>
      </w:r>
      <w:r>
        <w:rPr>
          <w:rFonts w:ascii="宋体" w:hAnsi="宋体"/>
          <w:b/>
          <w:kern w:val="0"/>
          <w:szCs w:val="21"/>
        </w:rPr>
        <w:t xml:space="preserve">.7.1 </w:t>
      </w:r>
      <w:r>
        <w:rPr>
          <w:rFonts w:hint="eastAsia" w:ascii="宋体" w:hAnsi="宋体"/>
          <w:b/>
          <w:kern w:val="0"/>
          <w:szCs w:val="21"/>
        </w:rPr>
        <w:t xml:space="preserve"> 总述</w:t>
      </w:r>
      <w:bookmarkEnd w:id="4175"/>
      <w:bookmarkEnd w:id="417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执行本合同所进行的一切焊接，都应遵守本款规定的有关标准或项目监理同意的相当标准。为了得到认可，承包人应证实所拟采用的焊接技术规范和标准与本技术规范的要求不存在矛盾之处，并与有关章节里的设计规范是一致的。在设计规范和标准间有矛盾时，应由项目监理决定何者为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承包人应满足按每个设备的技术规范进行焊接所必需的机械、劳动力、设备、工具、材料及消耗品。所有设备、机械和工具应该有好的质量和维护并完全适合于使用目的。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承包人应对其设备和人员与政府机构和其它地方当局颁布的规则和要求相符合负责。这些规则是指针对气割和焊接操作、放射源和同位素的使用、搬运和储存。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施焊人员均应具有相应等级的焊工资格证书及在焊接监督员的监督之下进行。派往工地的焊接监督员应该是在建设工地焊接监督有经验的人员，并具有执行本技术规范所述标准的工作经验。</w:t>
      </w:r>
    </w:p>
    <w:p>
      <w:pPr>
        <w:adjustRightInd w:val="0"/>
        <w:snapToGrid w:val="0"/>
        <w:spacing w:line="360" w:lineRule="auto"/>
        <w:textAlignment w:val="baseline"/>
        <w:outlineLvl w:val="0"/>
        <w:rPr>
          <w:rFonts w:ascii="宋体" w:hAnsi="宋体"/>
          <w:b/>
          <w:kern w:val="0"/>
          <w:szCs w:val="21"/>
        </w:rPr>
      </w:pPr>
      <w:bookmarkStart w:id="4177" w:name="_Toc106050090"/>
      <w:bookmarkStart w:id="4178" w:name="_Toc106883354"/>
      <w:r>
        <w:rPr>
          <w:rFonts w:hint="eastAsia" w:ascii="宋体" w:hAnsi="宋体"/>
          <w:b/>
          <w:kern w:val="0"/>
          <w:szCs w:val="21"/>
        </w:rPr>
        <w:t>4.5.2</w:t>
      </w:r>
      <w:r>
        <w:rPr>
          <w:rFonts w:ascii="宋体" w:hAnsi="宋体"/>
          <w:b/>
          <w:kern w:val="0"/>
          <w:szCs w:val="21"/>
        </w:rPr>
        <w:t xml:space="preserve">.7.2 </w:t>
      </w:r>
      <w:r>
        <w:rPr>
          <w:rFonts w:hint="eastAsia" w:ascii="宋体" w:hAnsi="宋体"/>
          <w:b/>
          <w:kern w:val="0"/>
          <w:szCs w:val="21"/>
        </w:rPr>
        <w:t xml:space="preserve"> 焊接技术</w:t>
      </w:r>
      <w:bookmarkEnd w:id="4177"/>
      <w:bookmarkEnd w:id="417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低合金钢、高屈服点钢及其它Ⅰ级钢（BS2633：输送流体的管道用铁素体钢的电弧焊）的单侧对接焊需用钨级惰性气体保护焊或手工气体保护焊打底（根部）。金属焊丝惰性气体（CO</w:t>
      </w:r>
      <w:r>
        <w:rPr>
          <w:rFonts w:ascii="宋体" w:hAnsi="宋体"/>
          <w:kern w:val="0"/>
          <w:szCs w:val="21"/>
          <w:vertAlign w:val="subscript"/>
        </w:rPr>
        <w:t>2</w:t>
      </w:r>
      <w:r>
        <w:rPr>
          <w:rFonts w:ascii="宋体" w:hAnsi="宋体"/>
          <w:kern w:val="0"/>
          <w:szCs w:val="21"/>
        </w:rPr>
        <w:t>）保护自动焊（MIG）短路过渡焊及金属焊丝惰性气体保护焊中采用焊药芯焊都是不能接受的。对于Ⅰ级钢不能采用衬环、衬底和易熔的根部嵌条，而仅可在项目监理事先同意的其它系统中采用。焊接过程的设计应保证至少1.5mm～最大3.0mm的焊接加强高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按ANSI 31.1的要求和SAME规范第九章规定为每一种焊接形式应提供两份最新版“焊接工艺技术规范”（WPS）和“工艺鉴定记录”（PQR）的复印件。</w:t>
      </w:r>
    </w:p>
    <w:p>
      <w:pPr>
        <w:adjustRightInd w:val="0"/>
        <w:snapToGrid w:val="0"/>
        <w:spacing w:line="360" w:lineRule="auto"/>
        <w:textAlignment w:val="baseline"/>
        <w:outlineLvl w:val="0"/>
        <w:rPr>
          <w:rFonts w:ascii="宋体" w:hAnsi="宋体"/>
          <w:b/>
          <w:kern w:val="0"/>
          <w:szCs w:val="21"/>
        </w:rPr>
      </w:pPr>
      <w:bookmarkStart w:id="4179" w:name="_Toc106050091"/>
      <w:bookmarkStart w:id="4180" w:name="_Toc106883355"/>
      <w:r>
        <w:rPr>
          <w:rFonts w:hint="eastAsia" w:ascii="宋体" w:hAnsi="宋体"/>
          <w:b/>
          <w:kern w:val="0"/>
          <w:szCs w:val="21"/>
        </w:rPr>
        <w:t>4.5.2</w:t>
      </w:r>
      <w:r>
        <w:rPr>
          <w:rFonts w:ascii="宋体" w:hAnsi="宋体"/>
          <w:b/>
          <w:kern w:val="0"/>
          <w:szCs w:val="21"/>
        </w:rPr>
        <w:t>.7.3</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焊接消耗品的存储</w:t>
      </w:r>
      <w:bookmarkEnd w:id="4179"/>
      <w:bookmarkEnd w:id="418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焊接电焊条、焊丝和焊剂应存储在清洁干燥的地方，并应防止各种形式的破坏。所有焊接消耗品应正确地进行标记，并将这些标记一直保留到使用时为止。每批电焊条和焊丝可用各制造厂的试验证书和使用注意事项加以识别，并将严格地按供应顺序进行使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焊剂层损坏的焊条、弯曲的焊条及遗失标记的焊条都不能用于本技术规范所包括的场合。</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供应足够数量的干燥烘箱，以便在使用前48小时内正确地存储电焊条。干燥烘箱应采用电加热，并有加热温度自动控制器及目视温度计。电焊条存储温度由制造厂提供；但对于低氢成分的电焊条，不应低于100℃。低氢成分的电焊条再次烘干时应严格地按制造厂的建议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所有电焊条向工作场所发送时应放在保温箱内运送。电焊条在使用以前都应留在保温的容器内。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与燃烧或焊接设备一起使用的气瓶应按ISO标准的要求进行标志后才供应给工作场合。它们在需要使用以前应存放在有适当遮阳设施的地方。</w:t>
      </w:r>
    </w:p>
    <w:p>
      <w:pPr>
        <w:adjustRightInd w:val="0"/>
        <w:snapToGrid w:val="0"/>
        <w:spacing w:line="360" w:lineRule="auto"/>
        <w:textAlignment w:val="baseline"/>
        <w:outlineLvl w:val="0"/>
        <w:rPr>
          <w:rFonts w:ascii="宋体" w:hAnsi="宋体"/>
          <w:b/>
          <w:kern w:val="0"/>
          <w:szCs w:val="21"/>
        </w:rPr>
      </w:pPr>
      <w:bookmarkStart w:id="4181" w:name="_Toc106050092"/>
      <w:bookmarkStart w:id="4182" w:name="_Toc106883356"/>
      <w:r>
        <w:rPr>
          <w:rFonts w:hint="eastAsia" w:ascii="宋体" w:hAnsi="宋体"/>
          <w:b/>
          <w:kern w:val="0"/>
          <w:szCs w:val="21"/>
        </w:rPr>
        <w:t>4.5.2</w:t>
      </w:r>
      <w:r>
        <w:rPr>
          <w:rFonts w:ascii="宋体" w:hAnsi="宋体"/>
          <w:b/>
          <w:kern w:val="0"/>
          <w:szCs w:val="21"/>
        </w:rPr>
        <w:t xml:space="preserve">.7.4 </w:t>
      </w:r>
      <w:r>
        <w:rPr>
          <w:rFonts w:hint="eastAsia" w:ascii="宋体" w:hAnsi="宋体"/>
          <w:b/>
          <w:kern w:val="0"/>
          <w:szCs w:val="21"/>
        </w:rPr>
        <w:t xml:space="preserve"> 焊接设备</w:t>
      </w:r>
      <w:bookmarkEnd w:id="4181"/>
      <w:bookmarkEnd w:id="418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焊接设备应有充足的容量，并维持在保证焊接质量的良好状态，能使用工地所要求的所有尺寸的电焊条。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任何焊接设备，如果业主/项目监理认为不适用或不能满足工作要求的，承包人应予以更换。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焊接机械接地线应用夹头或其它认可的方法牢固地固在工作场地上。焊接电缆应维持完好状态，避免纽结和连接点松脱。</w:t>
      </w:r>
    </w:p>
    <w:p>
      <w:pPr>
        <w:adjustRightInd w:val="0"/>
        <w:snapToGrid w:val="0"/>
        <w:spacing w:line="360" w:lineRule="auto"/>
        <w:textAlignment w:val="baseline"/>
        <w:outlineLvl w:val="0"/>
        <w:rPr>
          <w:rFonts w:ascii="宋体" w:hAnsi="宋体"/>
          <w:b/>
          <w:kern w:val="0"/>
          <w:szCs w:val="21"/>
        </w:rPr>
      </w:pPr>
      <w:bookmarkStart w:id="4183" w:name="_Toc106050093"/>
      <w:bookmarkStart w:id="4184" w:name="_Toc106883357"/>
      <w:r>
        <w:rPr>
          <w:rFonts w:hint="eastAsia" w:ascii="宋体" w:hAnsi="宋体"/>
          <w:b/>
          <w:kern w:val="0"/>
          <w:szCs w:val="21"/>
        </w:rPr>
        <w:t>4.5.2</w:t>
      </w:r>
      <w:r>
        <w:rPr>
          <w:rFonts w:ascii="宋体" w:hAnsi="宋体"/>
          <w:b/>
          <w:kern w:val="0"/>
          <w:szCs w:val="21"/>
        </w:rPr>
        <w:t xml:space="preserve">.7.5 </w:t>
      </w:r>
      <w:r>
        <w:rPr>
          <w:rFonts w:hint="eastAsia" w:ascii="宋体" w:hAnsi="宋体"/>
          <w:b/>
          <w:kern w:val="0"/>
          <w:szCs w:val="21"/>
        </w:rPr>
        <w:t xml:space="preserve"> 焊接工作</w:t>
      </w:r>
      <w:bookmarkEnd w:id="4183"/>
      <w:bookmarkEnd w:id="418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焊接工、焊接工作应有适当的防火、防风、防风沙及防潮湿水分的设备。焊接工作不应在天气条件不允许满意的操作和充分的检查的情况下进行。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焊接坡口的准备可以是加工、剪切、气割和磨削，应仔细精确的进行。气割时应尽量使用机械引导工具。一切边缘都应去除渣屑、毛刺、氧化皮及异物，最后的坡口应与设计要求相符合。</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在进行焊接以前，焊口应是干燥的，无潮气形成的凝结水。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承压部件及结构零件的焊口应进行超声波检查、着色试验（用液体试验）或磁粉检查。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应采用认可的对中轧头，并且在根部焊接完成以前不能取下。凡使用过的定位板或跨接</w:t>
      </w:r>
      <w:r>
        <w:rPr>
          <w:rFonts w:hint="eastAsia" w:ascii="宋体" w:hAnsi="宋体"/>
          <w:kern w:val="0"/>
          <w:szCs w:val="21"/>
        </w:rPr>
        <w:t>4</w:t>
      </w:r>
      <w:r>
        <w:rPr>
          <w:rFonts w:ascii="宋体" w:hAnsi="宋体"/>
          <w:kern w:val="0"/>
          <w:szCs w:val="21"/>
        </w:rPr>
        <w:t>99件在割掉时应特别小心。焊缝送去检查以前应将裂缝及缺陷磨掉。这些部位应按与焊缝同样的方法进行检验，如果这些部位要承压或位于钢构件上的话。</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焊接准备中采用点焊是可以允许的，但在完成根部焊接以前应彻底磨掉。电焊条及点焊的预热要求与实焊时的要求相同。任何不完善的点焊应在进行焊接根部以前清除。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需要进行预热的情况下凡是可能都应该用电阻或高频设备来预热，或者用特殊形式的火焰喷嘴。预热和层间温度都应用测温笔在离开焊缝不小于75mm的地方进行检查。用手握火炬进行预热是不允许的。应按英国标准BS2633或相当的标准进行热处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在焊接过程中应去除焊渣、多余的焊缝金属及不规则的表面。清理工作可用手或有动力的工具。禁止用火焰刨削。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背面的修整可用电弧空气刨，前提是要将焊槽磨成光滑的曲面，所有在电弧气刨过程中生成的表面不规则物都应被除去，然后对焊槽用磁粉试验方法进行检查。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上的附加件，如搭子、楔子、支撑铁等应远离应力高及承压的焊缝。如果附加件跨过主焊缝，那么设计应保证在距主焊缝40mm之内不再另有焊缝存在。跨过主焊缝的附件应设计成在与主焊缝之间至少保留25mm的空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不同材料间的过渡焊接应由制造厂在可控制的条件下进行。高屈服点结构钢的现场焊接没有项目监理预先同意是不允许的。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所有管子的对接焊应100％的焊透，其根部要有最大为3mm的超透焊。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另有规定而外，接受X射线、超声波或其它形式非破坏性试验的焊接件焊缝应修整光滑。应注意焊接金属和母材的熔合而无过度熔化现象。支管和附件的焊接缝应修正平滑，且直角焊缝应修光。用埋弧焊或其它认可的方法焊接的焊缝，假如焊接波纹不会影响非破坏性试验结果的评价就可以不再加工。所有焊缝修整应在最终热处理前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焊后热处理应按BS2633用专门为此设计的设备进行。气体烧嘴或手握火炬不准采用。凡在热处理炉中进行处理者，承包人应提供热处理图表的复印件。用电加热元件进行热处理者应设置适用的热电偶监视，热电偶与记录仪相连。最少要有两支热电偶，将复制的热处理图表提交给项目监理。</w:t>
      </w:r>
    </w:p>
    <w:p>
      <w:pPr>
        <w:adjustRightInd w:val="0"/>
        <w:snapToGrid w:val="0"/>
        <w:spacing w:line="360" w:lineRule="auto"/>
        <w:textAlignment w:val="baseline"/>
        <w:outlineLvl w:val="0"/>
        <w:rPr>
          <w:rFonts w:ascii="宋体" w:hAnsi="宋体"/>
          <w:b/>
          <w:kern w:val="0"/>
          <w:szCs w:val="21"/>
        </w:rPr>
      </w:pPr>
      <w:bookmarkStart w:id="4185" w:name="_Toc106050094"/>
      <w:bookmarkStart w:id="4186" w:name="_Toc106883358"/>
      <w:r>
        <w:rPr>
          <w:rFonts w:hint="eastAsia" w:ascii="宋体" w:hAnsi="宋体"/>
          <w:b/>
          <w:kern w:val="0"/>
          <w:szCs w:val="21"/>
        </w:rPr>
        <w:t>4.5.2</w:t>
      </w:r>
      <w:r>
        <w:rPr>
          <w:rFonts w:ascii="宋体" w:hAnsi="宋体"/>
          <w:b/>
          <w:kern w:val="0"/>
          <w:szCs w:val="21"/>
        </w:rPr>
        <w:t xml:space="preserve">.7.6 </w:t>
      </w:r>
      <w:r>
        <w:rPr>
          <w:rFonts w:hint="eastAsia" w:ascii="宋体" w:hAnsi="宋体"/>
          <w:b/>
          <w:kern w:val="0"/>
          <w:szCs w:val="21"/>
        </w:rPr>
        <w:t xml:space="preserve"> 焊接标准</w:t>
      </w:r>
      <w:bookmarkEnd w:id="4185"/>
      <w:bookmarkEnd w:id="418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所有焊接件的检查和试验应按但不限于有关的英国标准技术规范（由设备的设计条件所要求的）或相当的标准进行。</w:t>
      </w:r>
    </w:p>
    <w:p>
      <w:pPr>
        <w:spacing w:line="360" w:lineRule="auto"/>
        <w:outlineLvl w:val="0"/>
        <w:rPr>
          <w:rFonts w:ascii="宋体" w:hAnsi="宋体"/>
        </w:rPr>
      </w:pPr>
      <w:bookmarkStart w:id="4187" w:name="_Toc106050095"/>
      <w:bookmarkStart w:id="4188" w:name="_Toc106883359"/>
      <w:r>
        <w:rPr>
          <w:rFonts w:hint="eastAsia" w:ascii="宋体" w:hAnsi="宋体"/>
        </w:rPr>
        <w:t>4.5.2</w:t>
      </w:r>
      <w:r>
        <w:rPr>
          <w:rFonts w:ascii="宋体" w:hAnsi="宋体"/>
        </w:rPr>
        <w:t xml:space="preserve">.8 </w:t>
      </w:r>
      <w:r>
        <w:rPr>
          <w:rFonts w:hint="eastAsia" w:ascii="宋体" w:hAnsi="宋体"/>
        </w:rPr>
        <w:t xml:space="preserve"> </w:t>
      </w:r>
      <w:r>
        <w:rPr>
          <w:rFonts w:ascii="宋体" w:hAnsi="宋体"/>
        </w:rPr>
        <w:t>平衡</w:t>
      </w:r>
      <w:bookmarkEnd w:id="4187"/>
      <w:bookmarkEnd w:id="418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所有的旋转部分均应作适当的静态与动态平衡，以使在正常的全速运转时，并在最险峻的负荷条件时，均不应在设备本体、或在车间内、或在其周边出现过分的振动。</w:t>
      </w:r>
    </w:p>
    <w:p>
      <w:pPr>
        <w:spacing w:line="360" w:lineRule="auto"/>
        <w:outlineLvl w:val="0"/>
        <w:rPr>
          <w:rFonts w:ascii="宋体" w:hAnsi="宋体"/>
        </w:rPr>
      </w:pPr>
      <w:bookmarkStart w:id="4189" w:name="_Toc106050096"/>
      <w:bookmarkStart w:id="4190" w:name="_Toc106883360"/>
      <w:r>
        <w:rPr>
          <w:rFonts w:hint="eastAsia" w:ascii="宋体" w:hAnsi="宋体"/>
        </w:rPr>
        <w:t>4.5.2</w:t>
      </w:r>
      <w:r>
        <w:rPr>
          <w:rFonts w:ascii="宋体" w:hAnsi="宋体"/>
        </w:rPr>
        <w:t xml:space="preserve">.9 </w:t>
      </w:r>
      <w:r>
        <w:rPr>
          <w:rFonts w:hint="eastAsia" w:ascii="宋体" w:hAnsi="宋体"/>
        </w:rPr>
        <w:t xml:space="preserve"> </w:t>
      </w:r>
      <w:r>
        <w:rPr>
          <w:rFonts w:ascii="宋体" w:hAnsi="宋体"/>
        </w:rPr>
        <w:t>互换性</w:t>
      </w:r>
      <w:bookmarkEnd w:id="4189"/>
      <w:bookmarkEnd w:id="419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所有相同规格的设备不论是作为一个整体或是它的有关部件均应是绝对地可以互换的。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所提供的设备的种类必须是合乎标准化的，就这一点而论在实际上能使设备的一些部件具有最大的互换性。</w:t>
      </w:r>
    </w:p>
    <w:p>
      <w:pPr>
        <w:spacing w:line="360" w:lineRule="auto"/>
        <w:outlineLvl w:val="0"/>
        <w:rPr>
          <w:rFonts w:ascii="宋体" w:hAnsi="宋体"/>
        </w:rPr>
      </w:pPr>
      <w:bookmarkStart w:id="4191" w:name="_Toc106050097"/>
      <w:bookmarkStart w:id="4192" w:name="_Toc106883361"/>
      <w:r>
        <w:rPr>
          <w:rFonts w:hint="eastAsia" w:ascii="宋体" w:hAnsi="宋体"/>
        </w:rPr>
        <w:t>4.5.2</w:t>
      </w:r>
      <w:r>
        <w:rPr>
          <w:rFonts w:ascii="宋体" w:hAnsi="宋体"/>
        </w:rPr>
        <w:t>.10</w:t>
      </w:r>
      <w:r>
        <w:rPr>
          <w:rFonts w:hint="eastAsia" w:ascii="宋体" w:hAnsi="宋体"/>
        </w:rPr>
        <w:t xml:space="preserve"> </w:t>
      </w:r>
      <w:r>
        <w:rPr>
          <w:rFonts w:ascii="宋体" w:hAnsi="宋体"/>
        </w:rPr>
        <w:t xml:space="preserve"> 噪音控制</w:t>
      </w:r>
      <w:bookmarkEnd w:id="4191"/>
      <w:bookmarkEnd w:id="419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承包人应注意保证所安装的设备的所有项目在运转时是无异常噪声。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如果需要的话应安装消音器以使设备在操作时在离其1m的圆周不超过80dB（A）的噪声。</w:t>
      </w:r>
    </w:p>
    <w:p>
      <w:pPr>
        <w:spacing w:line="360" w:lineRule="auto"/>
        <w:outlineLvl w:val="0"/>
        <w:rPr>
          <w:rFonts w:ascii="宋体" w:hAnsi="宋体"/>
        </w:rPr>
      </w:pPr>
      <w:bookmarkStart w:id="4193" w:name="_Toc106050098"/>
      <w:bookmarkStart w:id="4194" w:name="_Toc106883362"/>
      <w:r>
        <w:rPr>
          <w:rFonts w:hint="eastAsia" w:ascii="宋体" w:hAnsi="宋体"/>
        </w:rPr>
        <w:t>4.5.2</w:t>
      </w:r>
      <w:r>
        <w:rPr>
          <w:rFonts w:ascii="宋体" w:hAnsi="宋体"/>
        </w:rPr>
        <w:t xml:space="preserve">.11 </w:t>
      </w:r>
      <w:r>
        <w:rPr>
          <w:rFonts w:hint="eastAsia" w:ascii="宋体" w:hAnsi="宋体"/>
        </w:rPr>
        <w:t xml:space="preserve"> </w:t>
      </w:r>
      <w:r>
        <w:rPr>
          <w:rFonts w:ascii="宋体" w:hAnsi="宋体"/>
        </w:rPr>
        <w:t>润滑和清洗</w:t>
      </w:r>
      <w:bookmarkEnd w:id="4193"/>
      <w:bookmarkEnd w:id="419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为了进行定期的检查与清洗，以及活动部件加注润滑油，应作适当的布局安排。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承包人应尽可能安排使整个设备中需加注润滑脂或油的那些部分，尽量使用同一个等级或类型的润滑剂。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需要周期性加注润滑脂的机械装置的所有轴承座，均应具有经批准的类型的加油嘴，如果需要的话，可将它们通过延伸管引出到一个便于到达的位置上，用于加润滑脂的必须的手动压注机或加油泵应与工具和备件同时提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承包人应提供必需的润滑剂，用于设备在发送前的测试，以及在现场，在设备完全交付使用时使用。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承包人应用适当的金属盛器来装盛足够用24个月的，适用于装置不同部件的，推荐等级的各种润滑油及脂，提供并运至业主的仓库。那些润滑剂应列入备件和工具的一览表内。</w:t>
      </w:r>
    </w:p>
    <w:p>
      <w:pPr>
        <w:spacing w:line="360" w:lineRule="auto"/>
        <w:outlineLvl w:val="0"/>
        <w:rPr>
          <w:rFonts w:ascii="宋体" w:hAnsi="宋体"/>
        </w:rPr>
      </w:pPr>
      <w:bookmarkStart w:id="4195" w:name="_Toc106050099"/>
      <w:bookmarkStart w:id="4196" w:name="_Toc106883363"/>
      <w:r>
        <w:rPr>
          <w:rFonts w:hint="eastAsia" w:ascii="宋体" w:hAnsi="宋体"/>
        </w:rPr>
        <w:t>4.5.2</w:t>
      </w:r>
      <w:r>
        <w:rPr>
          <w:rFonts w:ascii="宋体" w:hAnsi="宋体"/>
        </w:rPr>
        <w:t xml:space="preserve">.12 </w:t>
      </w:r>
      <w:r>
        <w:rPr>
          <w:rFonts w:hint="eastAsia" w:ascii="宋体" w:hAnsi="宋体"/>
        </w:rPr>
        <w:t xml:space="preserve"> </w:t>
      </w:r>
      <w:r>
        <w:rPr>
          <w:rFonts w:ascii="宋体" w:hAnsi="宋体"/>
        </w:rPr>
        <w:t>铭牌、标志与电路原理牌</w:t>
      </w:r>
      <w:bookmarkEnd w:id="4195"/>
      <w:bookmarkEnd w:id="419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每台机器和所有的其它设备均应具有一个金属制铭牌板，用认可的方式固定，以中文和英文把制造商的名称、编号以及全部工作特性（诸如输出功率、速度、压力、制造日期等）清楚地表明在上面。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当所提供的设备的厂名牌可能设在一个不方便的部位时，如浸没式泵，那末承包人应提供另外一个把详细情况综合在一起的厂名牌，并应装订在或邻近于该设备的控制板处。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所有的标志，电路原理牌等应以中文和英文雕刻，中文应雕在英文的上方。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另有规定，所有电气设备如绝缘器，起动装置，开关或保险熔丝以及其它等应清楚地加以标明，以示该单元的功能，而在单相设备的情况时，则表明该设备是连接到那一相的，并应以螺栓把它固定在电气箱的外表面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不受气候影响的开关盘，室外绝缘器等应如上述一样固定雕刻好的标志。</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对在保险熔丝器板上的电路原理表牌的标志应在该熔丝器板上，如上述所规定的那样表明之。每个电路均应加以签定和识别。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标志上的字句雕刻，应在该工作未进行之前由业主批准。在警告标志上的字样应以“危险”二字开始，并以红底白字用中英文书写。</w:t>
      </w:r>
    </w:p>
    <w:p>
      <w:pPr>
        <w:spacing w:line="360" w:lineRule="auto"/>
        <w:outlineLvl w:val="0"/>
        <w:rPr>
          <w:rFonts w:ascii="宋体" w:hAnsi="宋体"/>
        </w:rPr>
      </w:pPr>
      <w:bookmarkStart w:id="4197" w:name="_Toc106050100"/>
      <w:bookmarkStart w:id="4198" w:name="_Toc106883364"/>
      <w:r>
        <w:rPr>
          <w:rFonts w:hint="eastAsia" w:ascii="宋体" w:hAnsi="宋体"/>
        </w:rPr>
        <w:t>4.5.2</w:t>
      </w:r>
      <w:r>
        <w:rPr>
          <w:rFonts w:ascii="宋体" w:hAnsi="宋体"/>
        </w:rPr>
        <w:t xml:space="preserve">.13 </w:t>
      </w:r>
      <w:r>
        <w:rPr>
          <w:rFonts w:hint="eastAsia" w:ascii="宋体" w:hAnsi="宋体"/>
        </w:rPr>
        <w:t xml:space="preserve"> </w:t>
      </w:r>
      <w:r>
        <w:rPr>
          <w:rFonts w:ascii="宋体" w:hAnsi="宋体"/>
        </w:rPr>
        <w:t>地脚螺栓和二次灌浆</w:t>
      </w:r>
      <w:bookmarkEnd w:id="4197"/>
      <w:bookmarkEnd w:id="419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设备和装置所必需的所有基础均应根据由业主所批准的设备与装置供应者的细节与图纸建造。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为本合同所规定供应的全部设备和装置上需用于锚固、紧固、定位等方面的所有螺栓、垫圈、螺母、垫板、支架、托架、基座和基础螺栓等，以及为安装固定设备的预留孔、预留洞、沟槽、预埋铁板、特殊埋件、土建基础等所需的二次灌浆，包括设备安装基础、凿毛、找平和其他相关工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二次灌浆的材料的配比应视灌注体大小和强度要求确定，灌浆料的品质和施工工艺应经项目监理批准。</w:t>
      </w:r>
    </w:p>
    <w:p>
      <w:pPr>
        <w:spacing w:line="360" w:lineRule="auto"/>
        <w:outlineLvl w:val="0"/>
        <w:rPr>
          <w:rFonts w:ascii="宋体" w:hAnsi="宋体"/>
        </w:rPr>
      </w:pPr>
      <w:bookmarkStart w:id="4199" w:name="_Toc106050101"/>
      <w:bookmarkStart w:id="4200" w:name="_Toc106883365"/>
      <w:r>
        <w:rPr>
          <w:rFonts w:hint="eastAsia" w:ascii="宋体" w:hAnsi="宋体"/>
        </w:rPr>
        <w:t>4.5.2</w:t>
      </w:r>
      <w:r>
        <w:rPr>
          <w:rFonts w:ascii="宋体" w:hAnsi="宋体"/>
        </w:rPr>
        <w:t xml:space="preserve">.14 </w:t>
      </w:r>
      <w:r>
        <w:rPr>
          <w:rFonts w:hint="eastAsia" w:ascii="宋体" w:hAnsi="宋体"/>
        </w:rPr>
        <w:t xml:space="preserve"> </w:t>
      </w:r>
      <w:r>
        <w:rPr>
          <w:rFonts w:ascii="宋体" w:hAnsi="宋体"/>
        </w:rPr>
        <w:t>钢结构件</w:t>
      </w:r>
      <w:bookmarkEnd w:id="4199"/>
      <w:bookmarkEnd w:id="4200"/>
    </w:p>
    <w:p>
      <w:pPr>
        <w:adjustRightInd w:val="0"/>
        <w:snapToGrid w:val="0"/>
        <w:spacing w:line="360" w:lineRule="auto"/>
        <w:textAlignment w:val="baseline"/>
        <w:outlineLvl w:val="0"/>
        <w:rPr>
          <w:rFonts w:ascii="宋体" w:hAnsi="宋体"/>
          <w:b/>
          <w:kern w:val="0"/>
          <w:szCs w:val="21"/>
        </w:rPr>
      </w:pPr>
      <w:bookmarkStart w:id="4201" w:name="_Toc106050102"/>
      <w:bookmarkStart w:id="4202" w:name="_Toc106883366"/>
      <w:r>
        <w:rPr>
          <w:rFonts w:hint="eastAsia" w:ascii="宋体" w:hAnsi="宋体"/>
          <w:b/>
          <w:kern w:val="0"/>
          <w:szCs w:val="21"/>
        </w:rPr>
        <w:t>4.5.2</w:t>
      </w:r>
      <w:r>
        <w:rPr>
          <w:rFonts w:ascii="宋体" w:hAnsi="宋体"/>
          <w:b/>
          <w:kern w:val="0"/>
          <w:szCs w:val="21"/>
        </w:rPr>
        <w:t xml:space="preserve">.14.1 </w:t>
      </w:r>
      <w:r>
        <w:rPr>
          <w:rFonts w:hint="eastAsia" w:ascii="宋体" w:hAnsi="宋体"/>
          <w:b/>
          <w:kern w:val="0"/>
          <w:szCs w:val="21"/>
        </w:rPr>
        <w:t xml:space="preserve"> 总述</w:t>
      </w:r>
      <w:bookmarkEnd w:id="4201"/>
      <w:bookmarkEnd w:id="420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本工程地处</w:t>
      </w:r>
      <w:r>
        <w:rPr>
          <w:rFonts w:hint="eastAsia" w:ascii="宋体" w:hAnsi="宋体"/>
          <w:kern w:val="0"/>
          <w:szCs w:val="21"/>
        </w:rPr>
        <w:t>杨村1组，</w:t>
      </w:r>
      <w:r>
        <w:rPr>
          <w:rFonts w:ascii="宋体" w:hAnsi="宋体"/>
          <w:kern w:val="0"/>
          <w:szCs w:val="21"/>
        </w:rPr>
        <w:t>气候具有较强的浸蚀性，在户外和户内材料选择时，应考虑湿度的影响。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所有构架、结构部件和设备应设计成能忍受现场地震引起的地面运动。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承包人应对属合同供应的设备，为其运行和有效的维护提供安全和接近设备所必需的全部工作平台、走道和扶梯。</w:t>
      </w:r>
    </w:p>
    <w:p>
      <w:pPr>
        <w:adjustRightInd w:val="0"/>
        <w:snapToGrid w:val="0"/>
        <w:spacing w:line="360" w:lineRule="auto"/>
        <w:textAlignment w:val="baseline"/>
        <w:outlineLvl w:val="0"/>
        <w:rPr>
          <w:rFonts w:ascii="宋体" w:hAnsi="宋体"/>
          <w:b/>
          <w:kern w:val="0"/>
          <w:szCs w:val="21"/>
        </w:rPr>
      </w:pPr>
      <w:bookmarkStart w:id="4203" w:name="_Toc106050103"/>
      <w:bookmarkStart w:id="4204" w:name="_Toc106883367"/>
      <w:r>
        <w:rPr>
          <w:rFonts w:hint="eastAsia" w:ascii="宋体" w:hAnsi="宋体"/>
          <w:b/>
          <w:kern w:val="0"/>
          <w:szCs w:val="21"/>
        </w:rPr>
        <w:t>4.5.2</w:t>
      </w:r>
      <w:r>
        <w:rPr>
          <w:rFonts w:ascii="宋体" w:hAnsi="宋体"/>
          <w:b/>
          <w:kern w:val="0"/>
          <w:szCs w:val="21"/>
        </w:rPr>
        <w:t xml:space="preserve">.14.2 </w:t>
      </w:r>
      <w:r>
        <w:rPr>
          <w:rFonts w:hint="eastAsia" w:ascii="宋体" w:hAnsi="宋体"/>
          <w:b/>
          <w:kern w:val="0"/>
          <w:szCs w:val="21"/>
        </w:rPr>
        <w:t xml:space="preserve"> 设计负荷</w:t>
      </w:r>
      <w:bookmarkEnd w:id="4203"/>
      <w:bookmarkEnd w:id="420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结构部件及其固定应根据常规的恒加速法进行设计，或者经项目监理认可的其它国际上公认的专用动态计算方法来设计。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属合同供应的全部钢筋混凝土构架和钢结构的设计，应使其局部的和总的沉降或其它位移不超过可允许的限度，并应对所有连接处的膨胀采取完全的措施。包括构架上负荷密度在内的设计，应提交给项目监理认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旋转式或往复式装置的基础设计，应能确保由机械负荷引起的弹性挠度被限制在机械制造厂规定的范围内。整个基础或其一部分以及所有邻近构架的自振频率不应与振动设备的工作频率相重合。基础的自振频率应至少比振动设备的工作频率高10％或低10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钢构件和其它型式构架的基础应被设计成能承受由框架和风力引起的全部荷载和力矩。它们还应适应于配带有芯管、钢制锚固件或钢板的埋入式固定螺栓。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承包人应提供按业主/项目监理要求的全部土建工程交接资料。</w:t>
      </w:r>
    </w:p>
    <w:p>
      <w:pPr>
        <w:adjustRightInd w:val="0"/>
        <w:snapToGrid w:val="0"/>
        <w:spacing w:line="360" w:lineRule="auto"/>
        <w:textAlignment w:val="baseline"/>
        <w:outlineLvl w:val="0"/>
        <w:rPr>
          <w:rFonts w:ascii="宋体" w:hAnsi="宋体"/>
          <w:b/>
          <w:kern w:val="0"/>
          <w:szCs w:val="21"/>
        </w:rPr>
      </w:pPr>
      <w:bookmarkStart w:id="4205" w:name="_Toc106050104"/>
      <w:bookmarkStart w:id="4206" w:name="_Toc106883368"/>
      <w:r>
        <w:rPr>
          <w:rFonts w:hint="eastAsia" w:ascii="宋体" w:hAnsi="宋体"/>
          <w:b/>
          <w:kern w:val="0"/>
          <w:szCs w:val="21"/>
        </w:rPr>
        <w:t>4.5.2</w:t>
      </w:r>
      <w:r>
        <w:rPr>
          <w:rFonts w:ascii="宋体" w:hAnsi="宋体"/>
          <w:b/>
          <w:kern w:val="0"/>
          <w:szCs w:val="21"/>
        </w:rPr>
        <w:t xml:space="preserve">.14.3 </w:t>
      </w:r>
      <w:r>
        <w:rPr>
          <w:rFonts w:hint="eastAsia" w:ascii="宋体" w:hAnsi="宋体"/>
          <w:b/>
          <w:kern w:val="0"/>
          <w:szCs w:val="21"/>
        </w:rPr>
        <w:t xml:space="preserve"> 钢制平台</w:t>
      </w:r>
      <w:bookmarkEnd w:id="4205"/>
      <w:bookmarkEnd w:id="420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平台和过道板应使用矩形、高频焊接的敞开栅板，或使用麻花形六角形钢条与扁钢作十字焊接的格栅板。所有的平台和过道楼板必须承受3.5kN/m2的负载（除非通行需要更大荷载），并提供合适尺寸的脚趾板。全部格栅板都应镀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对所有工作平台、走道和钢梯，都应在其每一侧装设栏杆。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栏杆高度应为1.2m，而其它要求可按照通常的经验。扶手的直径应不小于40mm。采用不锈钢制作，栏杆管壁应≥2mm。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全部接合点应设计成能确保在其相连的构件破坏之前不发生破坏。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接合点最好是这样来定位，即其间距应近似等于从基准立柱算起的栏杆总跨距的五分之一。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在制造后已采取抛光处理，否则接合点都应锉平或磨光。斜面接合是不能接受的。对接合点使用半径弯管附件。在需要的地方，应装设可拆卸的栏杆。对垂直构件的插管座应被埋进楼板平面以下，以避免造成交通的障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危险的开口区域应采用可拆卸的链条保护起来。</w:t>
      </w:r>
    </w:p>
    <w:p>
      <w:pPr>
        <w:adjustRightInd w:val="0"/>
        <w:snapToGrid w:val="0"/>
        <w:spacing w:line="360" w:lineRule="auto"/>
        <w:textAlignment w:val="baseline"/>
        <w:outlineLvl w:val="0"/>
        <w:rPr>
          <w:rFonts w:ascii="宋体" w:hAnsi="宋体"/>
          <w:b/>
          <w:kern w:val="0"/>
          <w:szCs w:val="21"/>
        </w:rPr>
      </w:pPr>
      <w:bookmarkStart w:id="4207" w:name="_Toc106050105"/>
      <w:bookmarkStart w:id="4208" w:name="_Toc106883369"/>
      <w:r>
        <w:rPr>
          <w:rFonts w:hint="eastAsia" w:ascii="宋体" w:hAnsi="宋体"/>
          <w:b/>
          <w:kern w:val="0"/>
          <w:szCs w:val="21"/>
        </w:rPr>
        <w:t>4.5.2</w:t>
      </w:r>
      <w:r>
        <w:rPr>
          <w:rFonts w:ascii="宋体" w:hAnsi="宋体"/>
          <w:b/>
          <w:kern w:val="0"/>
          <w:szCs w:val="21"/>
        </w:rPr>
        <w:t xml:space="preserve">.14.4 </w:t>
      </w:r>
      <w:r>
        <w:rPr>
          <w:rFonts w:hint="eastAsia" w:ascii="宋体" w:hAnsi="宋体"/>
          <w:b/>
          <w:kern w:val="0"/>
          <w:szCs w:val="21"/>
        </w:rPr>
        <w:t xml:space="preserve"> 钢梯</w:t>
      </w:r>
      <w:bookmarkEnd w:id="4207"/>
      <w:bookmarkEnd w:id="420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无论何处的钢梯，其与水平线的倾角应尽可能按45°来标准化。钢梯的最小宽度应为700mm，并应以100mm增量来增加。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在超过16梯级的地方，应设置中间平台，并每梯段应是相等的。在一个钢梯由两个以上梯级组成的地方，则在相邻段间应作方向变化，并且其所有方向变化应是同向的，或朝左手向，或朝右手向。</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应提供合适的、配置有脚趾板的楼梯平台。该脚趾板不应固定在楼板上。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按规定，在钢梯的两侧都应装扶手，无论其侧面是敞开与否。宽度超过2m的楼梯应配置中间栏杆和中间支柱以支撑楼梯踏板。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所有的直爬钢梯，高度超过2.5m时，应由设置安全环，并与梯子相同的材料制成。</w:t>
      </w:r>
    </w:p>
    <w:p>
      <w:pPr>
        <w:adjustRightInd w:val="0"/>
        <w:snapToGrid w:val="0"/>
        <w:spacing w:line="360" w:lineRule="auto"/>
        <w:textAlignment w:val="baseline"/>
        <w:outlineLvl w:val="0"/>
        <w:rPr>
          <w:rFonts w:ascii="宋体" w:hAnsi="宋体"/>
          <w:b/>
          <w:kern w:val="0"/>
          <w:szCs w:val="21"/>
        </w:rPr>
      </w:pPr>
      <w:bookmarkStart w:id="4209" w:name="_Toc106050106"/>
      <w:bookmarkStart w:id="4210" w:name="_Toc106883370"/>
      <w:r>
        <w:rPr>
          <w:rFonts w:hint="eastAsia" w:ascii="宋体" w:hAnsi="宋体"/>
          <w:b/>
          <w:kern w:val="0"/>
          <w:szCs w:val="21"/>
        </w:rPr>
        <w:t>4.5.2</w:t>
      </w:r>
      <w:r>
        <w:rPr>
          <w:rFonts w:ascii="宋体" w:hAnsi="宋体"/>
          <w:b/>
          <w:kern w:val="0"/>
          <w:szCs w:val="21"/>
        </w:rPr>
        <w:t xml:space="preserve">.14.5 </w:t>
      </w:r>
      <w:r>
        <w:rPr>
          <w:rFonts w:hint="eastAsia" w:ascii="宋体" w:hAnsi="宋体"/>
          <w:b/>
          <w:kern w:val="0"/>
          <w:szCs w:val="21"/>
        </w:rPr>
        <w:t xml:space="preserve"> 沟槽盖板</w:t>
      </w:r>
      <w:bookmarkEnd w:id="4209"/>
      <w:bookmarkEnd w:id="421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地槽盖板应为铝合金、聚脂玻璃钢或镀锌钢制格栅板。一般应承受3.5kN/m</w:t>
      </w:r>
      <w:r>
        <w:rPr>
          <w:rFonts w:ascii="宋体" w:hAnsi="宋体"/>
          <w:kern w:val="0"/>
          <w:szCs w:val="21"/>
          <w:vertAlign w:val="superscript"/>
        </w:rPr>
        <w:t>2</w:t>
      </w:r>
      <w:r>
        <w:rPr>
          <w:rFonts w:ascii="宋体" w:hAnsi="宋体"/>
          <w:kern w:val="0"/>
          <w:szCs w:val="21"/>
        </w:rPr>
        <w:t>的上压负载，除非通行需要更大载荷。应提供与盖板相同材料制成的具有适当角度的边框。</w:t>
      </w:r>
    </w:p>
    <w:p>
      <w:pPr>
        <w:spacing w:line="360" w:lineRule="auto"/>
        <w:outlineLvl w:val="0"/>
        <w:rPr>
          <w:rFonts w:ascii="宋体" w:hAnsi="宋体"/>
        </w:rPr>
      </w:pPr>
      <w:bookmarkStart w:id="4211" w:name="_Toc106050107"/>
      <w:bookmarkStart w:id="4212" w:name="_Toc106883371"/>
      <w:r>
        <w:rPr>
          <w:rFonts w:hint="eastAsia" w:ascii="宋体" w:hAnsi="宋体"/>
        </w:rPr>
        <w:t>4.5.2</w:t>
      </w:r>
      <w:r>
        <w:rPr>
          <w:rFonts w:ascii="宋体" w:hAnsi="宋体"/>
        </w:rPr>
        <w:t xml:space="preserve">.15 </w:t>
      </w:r>
      <w:r>
        <w:rPr>
          <w:rFonts w:hint="eastAsia" w:ascii="宋体" w:hAnsi="宋体"/>
        </w:rPr>
        <w:t xml:space="preserve"> </w:t>
      </w:r>
      <w:r>
        <w:rPr>
          <w:rFonts w:ascii="宋体" w:hAnsi="宋体"/>
        </w:rPr>
        <w:t>防护及油漆</w:t>
      </w:r>
      <w:bookmarkEnd w:id="4211"/>
      <w:bookmarkEnd w:id="4212"/>
    </w:p>
    <w:p>
      <w:pPr>
        <w:adjustRightInd w:val="0"/>
        <w:snapToGrid w:val="0"/>
        <w:spacing w:line="360" w:lineRule="auto"/>
        <w:textAlignment w:val="baseline"/>
        <w:outlineLvl w:val="0"/>
        <w:rPr>
          <w:rFonts w:ascii="宋体" w:hAnsi="宋体"/>
          <w:b/>
          <w:kern w:val="0"/>
          <w:szCs w:val="21"/>
        </w:rPr>
      </w:pPr>
      <w:bookmarkStart w:id="4213" w:name="_Toc106050108"/>
      <w:bookmarkStart w:id="4214" w:name="_Toc106883372"/>
      <w:r>
        <w:rPr>
          <w:rFonts w:hint="eastAsia" w:ascii="宋体" w:hAnsi="宋体"/>
          <w:b/>
          <w:kern w:val="0"/>
          <w:szCs w:val="21"/>
        </w:rPr>
        <w:t>4.5.2</w:t>
      </w:r>
      <w:r>
        <w:rPr>
          <w:rFonts w:ascii="宋体" w:hAnsi="宋体"/>
          <w:b/>
          <w:kern w:val="0"/>
          <w:szCs w:val="21"/>
        </w:rPr>
        <w:t xml:space="preserve">.15.1 </w:t>
      </w:r>
      <w:r>
        <w:rPr>
          <w:rFonts w:hint="eastAsia" w:ascii="宋体" w:hAnsi="宋体"/>
          <w:b/>
          <w:kern w:val="0"/>
          <w:szCs w:val="21"/>
        </w:rPr>
        <w:t xml:space="preserve"> 总述</w:t>
      </w:r>
      <w:bookmarkEnd w:id="4213"/>
      <w:bookmarkEnd w:id="421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本技术规范的目的，是规定对容器、设备、管道的表面预处理，涂防护层和油漆系统，以及钢结构镀锌的要求。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本技术规范应作为准备油漆工艺、工程图和材料与劳力要求的基础。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本技术规范涉及到对工程的镀锌和油漆的工作的总要求。这个技术规范也概述了对工程中任何需要油漆物品的油漆类型、表面预处理、底漆层修整、底漆层和罩面漆层数目，以及干膜厚度。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承包人应提供全部劳力、材料和设备，包括高质量底油漆和溶剂。所建议的方法应根据最成功的工程经验，并应由业主的认可。</w:t>
      </w:r>
    </w:p>
    <w:p>
      <w:pPr>
        <w:adjustRightInd w:val="0"/>
        <w:snapToGrid w:val="0"/>
        <w:spacing w:line="360" w:lineRule="auto"/>
        <w:textAlignment w:val="baseline"/>
        <w:outlineLvl w:val="0"/>
        <w:rPr>
          <w:rFonts w:ascii="宋体" w:hAnsi="宋体"/>
          <w:b/>
          <w:kern w:val="0"/>
          <w:szCs w:val="21"/>
        </w:rPr>
      </w:pPr>
      <w:bookmarkStart w:id="4215" w:name="_Toc106050109"/>
      <w:bookmarkStart w:id="4216" w:name="_Toc106883373"/>
      <w:r>
        <w:rPr>
          <w:rFonts w:hint="eastAsia" w:ascii="宋体" w:hAnsi="宋体"/>
          <w:b/>
          <w:kern w:val="0"/>
          <w:szCs w:val="21"/>
        </w:rPr>
        <w:t>4.5.2</w:t>
      </w:r>
      <w:r>
        <w:rPr>
          <w:rFonts w:ascii="宋体" w:hAnsi="宋体"/>
          <w:b/>
          <w:kern w:val="0"/>
          <w:szCs w:val="21"/>
        </w:rPr>
        <w:t xml:space="preserve">.15.2 </w:t>
      </w:r>
      <w:r>
        <w:rPr>
          <w:rFonts w:hint="eastAsia" w:ascii="宋体" w:hAnsi="宋体"/>
          <w:b/>
          <w:kern w:val="0"/>
          <w:szCs w:val="21"/>
        </w:rPr>
        <w:t xml:space="preserve"> 材料和工艺</w:t>
      </w:r>
      <w:bookmarkEnd w:id="4215"/>
      <w:bookmarkEnd w:id="421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所有的材料和设备、采用的方法和工作质量应随时接受业主的检查和认可。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当业主要按本标要求的规定做必要的检查时，承包人应协助业主进行试验或检查。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除了白色以外，连续的油漆涂层不应采用同一色调。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所有油漆工作都须取样品，并将其保存在现场，以便在油漆层损坏时作为可能的参考。被保存的样品必须至少保持到保证期满之时。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所有在附表“油漆系统”上引用油漆膜厚度指的是干膜状态。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无论是由采用不适当的工艺，或是由分包商供应的油漆材料引起的影响防腐效果的缺陷，必须由承包人自费进行修正。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对高质量的合成树脂涂层，承包人必须对腐蚀防护性能给予5年保证。对用热涂法的沥青涂层、高质建筑沥青涂层（膜厚300μm），或者用非沥青基材料但有同样防腐蚀性的涂层系统，必须给予四年保证期。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对于高质建筑沥青涂层（膜厚300μm）或用非沥青基材料但有同样防腐蚀性的涂层，应有三年保证期。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油漆应该在表面温度大于5℃时进行。表面温度必须至少高于露点3℃，以确保在该表面上不发生凝结现象。必须核对相对湿度，以防止在该表面上凝结。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应该合理地注意，避免在临近雨前对室外部件等进行油漆。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在炎热天气下，应该采取预防措施，以保证达到所规定的底漆或罩面漆干膜厚度。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在干燥之前暴露于过大湿度或雨等情况中的底漆层，应允许烘干，去除被损坏的底漆区域，并对被损表面重新处理和涂底漆。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露水可能聚集在遮蔽或不通风的水平表面上，要加强保护措施。为此应多加一层罩漆层。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在“油漆系统”中表示为“正常”的温度，是指在宁波的气候条件下。</w:t>
      </w:r>
    </w:p>
    <w:p>
      <w:pPr>
        <w:adjustRightInd w:val="0"/>
        <w:snapToGrid w:val="0"/>
        <w:spacing w:line="360" w:lineRule="auto"/>
        <w:textAlignment w:val="baseline"/>
        <w:outlineLvl w:val="0"/>
        <w:rPr>
          <w:rFonts w:ascii="宋体" w:hAnsi="宋体"/>
          <w:b/>
          <w:kern w:val="0"/>
          <w:szCs w:val="21"/>
        </w:rPr>
      </w:pPr>
      <w:bookmarkStart w:id="4217" w:name="_Toc106050110"/>
      <w:bookmarkStart w:id="4218" w:name="_Toc106883374"/>
      <w:r>
        <w:rPr>
          <w:rFonts w:hint="eastAsia" w:ascii="宋体" w:hAnsi="宋体"/>
          <w:b/>
          <w:kern w:val="0"/>
          <w:szCs w:val="21"/>
        </w:rPr>
        <w:t>4.5.2</w:t>
      </w:r>
      <w:r>
        <w:rPr>
          <w:rFonts w:ascii="宋体" w:hAnsi="宋体"/>
          <w:b/>
          <w:kern w:val="0"/>
          <w:szCs w:val="21"/>
        </w:rPr>
        <w:t>.15.3</w:t>
      </w:r>
      <w:r>
        <w:rPr>
          <w:rFonts w:hint="eastAsia" w:ascii="宋体" w:hAnsi="宋体"/>
          <w:b/>
          <w:kern w:val="0"/>
          <w:szCs w:val="21"/>
        </w:rPr>
        <w:t xml:space="preserve">  提交资料</w:t>
      </w:r>
      <w:bookmarkEnd w:id="4217"/>
      <w:bookmarkEnd w:id="421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（1）承包人应提交以下资料但不限于下列内容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防护涂层和油漆系统一览表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终饰的颜色表格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防护处理涂料和油漆系统的制造厂的产品资料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制造厂的预处理和操作程序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操作方法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（2）承包人为完成本工程应准备的包括以下内容的详细表格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项目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环境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表面类型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表面予处理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所采用的防护或油漆系统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涂料制造厂厂名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可使用的每种涂料的牌号及参考号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每种涂料的制造厂数据表，包括技术说明，涂层形式和每一涂层的颜色</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终饰的颜色</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建议的操作区域和每种涂料层的详细操作方式，包括使用的设备资料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每一涂层的湿膜最小厚度及目标厚度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每一涂层的干膜最小厚度及目标厚度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每种涂层的油漆的稠密度、单位体积油漆的涂刷面积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本工程的详细一览表面应符合技术说明和图纸的要求。该一览表应提交业主批准。</w:t>
      </w:r>
    </w:p>
    <w:p>
      <w:pPr>
        <w:adjustRightInd w:val="0"/>
        <w:snapToGrid w:val="0"/>
        <w:spacing w:line="360" w:lineRule="auto"/>
        <w:textAlignment w:val="baseline"/>
        <w:outlineLvl w:val="0"/>
        <w:rPr>
          <w:rFonts w:ascii="宋体" w:hAnsi="宋体"/>
          <w:b/>
          <w:kern w:val="0"/>
          <w:szCs w:val="21"/>
        </w:rPr>
      </w:pPr>
      <w:bookmarkStart w:id="4219" w:name="_Toc106050111"/>
      <w:bookmarkStart w:id="4220" w:name="_Toc106883375"/>
      <w:r>
        <w:rPr>
          <w:rFonts w:hint="eastAsia" w:ascii="宋体" w:hAnsi="宋体"/>
          <w:b/>
          <w:kern w:val="0"/>
          <w:szCs w:val="21"/>
        </w:rPr>
        <w:t>4.5.2</w:t>
      </w:r>
      <w:r>
        <w:rPr>
          <w:rFonts w:ascii="宋体" w:hAnsi="宋体"/>
          <w:b/>
          <w:kern w:val="0"/>
          <w:szCs w:val="21"/>
        </w:rPr>
        <w:t xml:space="preserve">.15.4 </w:t>
      </w:r>
      <w:r>
        <w:rPr>
          <w:rFonts w:hint="eastAsia" w:ascii="宋体" w:hAnsi="宋体"/>
          <w:b/>
          <w:kern w:val="0"/>
          <w:szCs w:val="21"/>
        </w:rPr>
        <w:t xml:space="preserve"> 参考标准</w:t>
      </w:r>
      <w:bookmarkEnd w:id="4219"/>
      <w:bookmarkEnd w:id="422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除另有说明外，护涂层和油漆应符合下述相应参考标准。</w:t>
      </w:r>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493"/>
        <w:gridCol w:w="6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729</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钢铁件热镀锌层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1224</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镍铬电镀层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1706</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钢铁上的镉与锌的电镀层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2451</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冷硬铁丸及铁块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2569</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喷涂金属复层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2989</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连续冷浸锌与镀铁锌合金的钢宽带材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3382</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螺纹另件上的电镀层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3416</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冷用黑沥青涂料溶液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4129</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焊接金属涂料及由保护层焊接的电阻焊特性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4147</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钢铁防护用热敷沥青基涂料规格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4232</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为涂料而进行的钢表面喷砂修整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4921</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钢铁件上的镀料层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BS 5493</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钢铁结构防腐层的实用规范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CP 231</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建筑物的油漆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456"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CP 3012</w:t>
            </w:r>
          </w:p>
        </w:tc>
        <w:tc>
          <w:tcPr>
            <w:tcW w:w="3544" w:type="pct"/>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金属表面的清理及处理</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所应用的标准</w:t>
      </w:r>
      <w:r>
        <w:rPr>
          <w:rFonts w:hint="eastAsia" w:ascii="宋体" w:hAnsi="宋体"/>
          <w:kern w:val="0"/>
          <w:szCs w:val="21"/>
        </w:rPr>
        <w:t>和规范</w:t>
      </w:r>
      <w:r>
        <w:rPr>
          <w:rFonts w:ascii="宋体" w:hAnsi="宋体"/>
          <w:kern w:val="0"/>
          <w:szCs w:val="21"/>
        </w:rPr>
        <w:t>应是最新的且已实施的版本，必须在本招标截止日期之前28天尚在通用的版本。</w:t>
      </w:r>
    </w:p>
    <w:p>
      <w:pPr>
        <w:spacing w:line="360" w:lineRule="auto"/>
        <w:outlineLvl w:val="0"/>
        <w:rPr>
          <w:rFonts w:ascii="宋体" w:hAnsi="宋体"/>
        </w:rPr>
      </w:pPr>
      <w:bookmarkStart w:id="4221" w:name="_Toc106050112"/>
      <w:bookmarkStart w:id="4222" w:name="_Toc106883376"/>
      <w:r>
        <w:rPr>
          <w:rFonts w:ascii="宋体" w:hAnsi="宋体"/>
        </w:rPr>
        <w:t>4.</w:t>
      </w:r>
      <w:r>
        <w:rPr>
          <w:rFonts w:hint="eastAsia" w:ascii="宋体" w:hAnsi="宋体"/>
        </w:rPr>
        <w:t>5</w:t>
      </w:r>
      <w:r>
        <w:rPr>
          <w:rFonts w:ascii="宋体" w:hAnsi="宋体"/>
        </w:rPr>
        <w:t>.</w:t>
      </w:r>
      <w:r>
        <w:rPr>
          <w:rFonts w:hint="eastAsia" w:ascii="宋体" w:hAnsi="宋体"/>
        </w:rPr>
        <w:t>2.</w:t>
      </w:r>
      <w:r>
        <w:rPr>
          <w:rFonts w:ascii="宋体" w:hAnsi="宋体"/>
        </w:rPr>
        <w:t xml:space="preserve">15.5 </w:t>
      </w:r>
      <w:r>
        <w:rPr>
          <w:rFonts w:hint="eastAsia" w:ascii="宋体" w:hAnsi="宋体"/>
        </w:rPr>
        <w:t xml:space="preserve"> 防护层和涂料系统</w:t>
      </w:r>
      <w:bookmarkEnd w:id="4221"/>
      <w:bookmarkEnd w:id="422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各防护层，涂料系统和工作环境必须按照下述要求，除非已另有规定。干膜厚度（DFT）（无论是单层或全部）即采用适当的测定仪测得的最小膜厚度。如果采用氯丁橡胶，那么必须采用含云母的氧化铁底漆。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方法（1）</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黑色金属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外部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涂料系列参考  氯丁橡胶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喷砂清理，达到BS4232二级标准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方法介绍   溶介自然硅酸锌75um，DFT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高级氯丁橡胶80um，DFT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氯丁橡胶瓷漆35um，DFT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方法（2）</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黑色金属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内部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涂料系列参考  干燥油漆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喷砂清理达到BS4232二级标准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方法介绍   防锈漆</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干燥油漆70um，DFT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含云母的氧化铁底漆60/80umDFT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含云母的氧化铁终饰60/80umDFT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方法（3）</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黑色金属</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锌保护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内部和外部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涂料系列参考  氯丁橡胶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电镀层或喷涂，锌必须除掉，以除去氧化物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方法介绍   二层含磷酸和防锈剂的防腐涂层DFT为10um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铝</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内部和外部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涂料系列参考  氯丁橡胶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清洗去除氧，并轻轻磨擦表面做出一个斜面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方法介绍   二层含磷酸和防锈剂的防腐涂层DFT为10um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高级氯丁橡胶100um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氯橡胶瓷漆35umDFT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黑色金属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浸水式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涂料系列参考  环氧树脂</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方法A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喷砂处理达BS4232一级标准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方法介绍   商品化防锈漆（如果环氧层无法马上跟上）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催化剂处理后立即涂环氧树脂三层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总干膜厚度（DFT）240um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方法（6）</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钢管内表面，直径200mm与以上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钢管内表面，抗污水的磨蚀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涂料系列参考  环氧树脂</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方法B</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喷砂清理，达到BS4232，一级标准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方法介绍   一层环氧树脂底漆，一层煤焦油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棕色环氧树脂，一层黑色环氧树脂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总干膜厚（DFT）为325um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方法（7）</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表面类型   电气设备金属外壳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工作环境   大气式</w:t>
      </w:r>
      <w:r>
        <w:rPr>
          <w:rFonts w:ascii="宋体" w:hAnsi="宋体"/>
          <w:kern w:val="0"/>
          <w:szCs w:val="21"/>
        </w:rPr>
        <w:sym w:font="Symbol" w:char="F0BE"/>
      </w:r>
      <w:r>
        <w:rPr>
          <w:rFonts w:ascii="宋体" w:hAnsi="宋体"/>
          <w:kern w:val="0"/>
          <w:szCs w:val="21"/>
        </w:rPr>
        <w:sym w:font="Symbol" w:char="F0BE"/>
      </w:r>
      <w:r>
        <w:rPr>
          <w:rFonts w:ascii="宋体" w:hAnsi="宋体"/>
          <w:kern w:val="0"/>
          <w:szCs w:val="21"/>
        </w:rPr>
        <w:t>户内户外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涂料系列参考  厂商提供烘干器或大气干燥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表面处理   根据待涂的材料来定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钢：喷砂清理，达到BS4232二级标准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或磷酸清理，用磷酸盐浸洗或钝化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浸洗的方法（对环氧粉）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镀锌：防腐底漆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方法介绍   多层或单层（环氧粉）涂料系统。瓷漆的总DFT为200um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（多层涂料烘干机或空气干燥）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环氧粉（仅用于室内）总DFT为80um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特殊要求   需涂终饰的底板的内表面时，要求掺和抗冷凝剂</w:t>
      </w:r>
    </w:p>
    <w:p>
      <w:pPr>
        <w:adjustRightInd w:val="0"/>
        <w:snapToGrid w:val="0"/>
        <w:spacing w:line="360" w:lineRule="auto"/>
        <w:textAlignment w:val="baseline"/>
        <w:outlineLvl w:val="0"/>
        <w:rPr>
          <w:rFonts w:ascii="宋体" w:hAnsi="宋体"/>
          <w:b/>
          <w:kern w:val="0"/>
          <w:szCs w:val="21"/>
        </w:rPr>
      </w:pPr>
      <w:bookmarkStart w:id="4223" w:name="_Toc106050113"/>
      <w:bookmarkStart w:id="4224" w:name="_Toc106883377"/>
      <w:r>
        <w:rPr>
          <w:rFonts w:hint="eastAsia" w:ascii="宋体" w:hAnsi="宋体"/>
          <w:b/>
          <w:kern w:val="0"/>
          <w:szCs w:val="21"/>
        </w:rPr>
        <w:t>4.5.2</w:t>
      </w:r>
      <w:r>
        <w:rPr>
          <w:rFonts w:ascii="宋体" w:hAnsi="宋体"/>
          <w:b/>
          <w:kern w:val="0"/>
          <w:szCs w:val="21"/>
        </w:rPr>
        <w:t>.15.6</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表面处理和应用</w:t>
      </w:r>
      <w:bookmarkEnd w:id="4223"/>
      <w:bookmarkEnd w:id="422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表面喷砂处理达到规定的BS4232一级或二级标准，采用的砂粒必须是激冷铁砂，达到BS2451标准（或者相似硬度的钢砂），最好是精细的颗粒，能通过30号筛孔（0.5mm），大于36筛孔（0.42mm）上，砂粒不得含有有害物质，任何回用的砂粒在重新用前必须清理干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（2）喷砂后的表面粗糙度必须根据下述要求：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一级  25－50um，指标值为25～40um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二级  25－100um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表面粗糙度即断面上任何一个从峰顶到邻近槽最底部的尺寸。</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（3）喷砂清理要大气温度高于5℃，相对湿度低于85%时进行。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（4）喷砂清理后，最好采用真空清理法来去除面上的灰尘和砂粒。在喷砂后四个小时内就要喷刷或涂一层保护性的底漆。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（5）承包人必须提供并操纵既用来保护经过喷砂清理后的表面（直到可以涂漆为止）并用以提供必要的养护条件和脱湿设备。</w:t>
      </w:r>
    </w:p>
    <w:p>
      <w:pPr>
        <w:adjustRightInd w:val="0"/>
        <w:snapToGrid w:val="0"/>
        <w:spacing w:line="360" w:lineRule="auto"/>
        <w:textAlignment w:val="baseline"/>
        <w:outlineLvl w:val="0"/>
        <w:rPr>
          <w:rFonts w:ascii="宋体" w:hAnsi="宋体"/>
          <w:b/>
          <w:kern w:val="0"/>
          <w:szCs w:val="21"/>
        </w:rPr>
      </w:pPr>
      <w:bookmarkStart w:id="4225" w:name="_Toc106050114"/>
      <w:bookmarkStart w:id="4226" w:name="_Toc106883378"/>
      <w:r>
        <w:rPr>
          <w:rFonts w:hint="eastAsia" w:ascii="宋体" w:hAnsi="宋体"/>
          <w:b/>
          <w:kern w:val="0"/>
          <w:szCs w:val="21"/>
        </w:rPr>
        <w:t>4.5.2</w:t>
      </w:r>
      <w:r>
        <w:rPr>
          <w:rFonts w:ascii="宋体" w:hAnsi="宋体"/>
          <w:b/>
          <w:kern w:val="0"/>
          <w:szCs w:val="21"/>
        </w:rPr>
        <w:t>.15.7</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检验和试验</w:t>
      </w:r>
      <w:bookmarkEnd w:id="4225"/>
      <w:bookmarkEnd w:id="422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必须遵循下述特殊要求：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（1）检查湿膜厚度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必须配备经同意的湿膜厚度仪来检查涂料的等级。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（2）检查干膜厚度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涂于钢和其它镍基锰合金表面之上的涂层的干膜厚度，以各层涂料累积的总干膜厚度作系统的测定值。</w:t>
      </w:r>
    </w:p>
    <w:p>
      <w:pPr>
        <w:adjustRightInd w:val="0"/>
        <w:snapToGrid w:val="0"/>
        <w:spacing w:line="360" w:lineRule="auto"/>
        <w:textAlignment w:val="baseline"/>
        <w:outlineLvl w:val="0"/>
        <w:rPr>
          <w:rFonts w:ascii="宋体" w:hAnsi="宋体"/>
          <w:b/>
          <w:kern w:val="0"/>
          <w:szCs w:val="21"/>
        </w:rPr>
      </w:pPr>
      <w:bookmarkStart w:id="4227" w:name="_Toc106050115"/>
      <w:bookmarkStart w:id="4228" w:name="_Toc106883379"/>
      <w:r>
        <w:rPr>
          <w:rFonts w:hint="eastAsia" w:ascii="宋体" w:hAnsi="宋体"/>
          <w:b/>
          <w:kern w:val="0"/>
          <w:szCs w:val="21"/>
        </w:rPr>
        <w:t>4.5.2</w:t>
      </w:r>
      <w:r>
        <w:rPr>
          <w:rFonts w:ascii="宋体" w:hAnsi="宋体"/>
          <w:b/>
          <w:kern w:val="0"/>
          <w:szCs w:val="21"/>
        </w:rPr>
        <w:t xml:space="preserve">.15.8 </w:t>
      </w:r>
      <w:r>
        <w:rPr>
          <w:rFonts w:hint="eastAsia" w:ascii="宋体" w:hAnsi="宋体"/>
          <w:b/>
          <w:kern w:val="0"/>
          <w:szCs w:val="21"/>
        </w:rPr>
        <w:t xml:space="preserve"> 镀锌</w:t>
      </w:r>
      <w:bookmarkEnd w:id="4227"/>
      <w:bookmarkEnd w:id="422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镀锌工作在其所有方面应符合BS729、BS3083、CP2008，并且应该用热浸锌工艺来实施，除非另有规定。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必须使热浸锌的钢部件和组件的设计适合于工艺要求。它们应符合于BS4479。</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应该提供通气孔和排水孔，以避免在浸锌时产生由于内部压力过高而可能导致爆炸和气锁的现象；并且确保在工作取出时，锌液不残留在工作的死角处。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在焊接组件被热浸锌之前，必须仔细地清理焊缝。焊缝和其周围的金属应该分别予以清理，最好采用喷砂清理，因为依靠一般的初步酸洗是不能去除焊渣。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钢表面的缺陷，包括裂缝、表面剥离、皱皮和折迭应按照BS4360予以去除。在构件被镀锌之前，在有可能的地方，应先完成机组部件和组件的所有钻孔、切削、焊接、压形和最终的冷作加工工序。被镀锌的钢工件表面，应该无油漆、无油、无油垢和类似的污染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最小平均镀层的重量，应按BS729表1所规定。钢结构首先应按BS4232用细砂作喷砂处理并达到二级质量（Sa21/2）或在酸槽中酸洗。钢件截面厚度等于和大于5mm时，其最小平均镀层重量应为900g/m</w:t>
      </w:r>
      <w:r>
        <w:rPr>
          <w:rFonts w:ascii="宋体" w:hAnsi="宋体"/>
          <w:kern w:val="0"/>
          <w:szCs w:val="21"/>
          <w:vertAlign w:val="superscript"/>
        </w:rPr>
        <w:t>2</w:t>
      </w:r>
      <w:r>
        <w:rPr>
          <w:rFonts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从镀锌槽取出时，所形成的锌膜应是光滑、连续、无明显的表面缺陷，例如可见的斑点、结疤、气泡和渣或灰尘夹杂物。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用高强度摩擦夹紧螺栓联接的电镀锌接触面在其组装前应该粗糙化，以便达到所需要的滑动系数（由BS3294，第一部分和BS4604，第一部分规定）。应注意确保粗糙化仅局限在需要粗糙面的范围内。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螺栓、螺帽和垫圈，包括一般等级的高强度摩擦夹紧螺栓（参照BS3139和BS4395，第一部分）应该被热浸锌，其后浸锌离心分离（BS729）。在镀锌后，螺帽应采用螺丝攻扩大0.4mm；并且对螺纹上油，以便可用手指把螺帽拧在螺栓上，一直拧到该螺帽的整个高度为止。在螺栓已被穿插过钢构件之后，必须使该镀锌高强度摩擦夹紧螺栓伸出钢构件外的螺纹上的润滑剂不能流到钢构件的被粗糙化的结合面上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为了卸载和安装，必须使用有保护层的吊索。贮存在工厂或现场的镀锌构件应该这样堆放，以使其所有表面都得到合理的通风，避免产生水渍（白色锈班）。</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任一形式受损的小面积镀层应用下列措施修复：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——任何焊渣都要清除，并用金属丝刷彻底清洁其表面。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——采用两层富锌涂料，或采用低熔点锌合金修补棒或粉沫敷在受损区上，再加热到300℃。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在固定后，螺栓头、垫圈和螺帽应以两层富锌涂料。电镀表面的铜、铜合金或铝表面之间的连接，应使用经项目监理认可的合适的带子包起来进行保护。</w:t>
      </w:r>
    </w:p>
    <w:p>
      <w:pPr>
        <w:adjustRightInd w:val="0"/>
        <w:snapToGrid w:val="0"/>
        <w:spacing w:line="360" w:lineRule="auto"/>
        <w:textAlignment w:val="baseline"/>
        <w:outlineLvl w:val="0"/>
        <w:rPr>
          <w:rFonts w:ascii="宋体" w:hAnsi="宋体"/>
          <w:b/>
          <w:kern w:val="0"/>
          <w:szCs w:val="21"/>
        </w:rPr>
      </w:pPr>
      <w:bookmarkStart w:id="4229" w:name="_Toc106050116"/>
      <w:bookmarkStart w:id="4230" w:name="_Toc106883380"/>
      <w:r>
        <w:rPr>
          <w:rFonts w:hint="eastAsia" w:ascii="宋体" w:hAnsi="宋体"/>
          <w:b/>
          <w:kern w:val="0"/>
          <w:szCs w:val="21"/>
        </w:rPr>
        <w:t>4.5.2</w:t>
      </w:r>
      <w:r>
        <w:rPr>
          <w:rFonts w:ascii="宋体" w:hAnsi="宋体"/>
          <w:b/>
          <w:kern w:val="0"/>
          <w:szCs w:val="21"/>
        </w:rPr>
        <w:t xml:space="preserve">.15.9 </w:t>
      </w:r>
      <w:r>
        <w:rPr>
          <w:rFonts w:hint="eastAsia" w:ascii="宋体" w:hAnsi="宋体"/>
          <w:b/>
          <w:kern w:val="0"/>
          <w:szCs w:val="21"/>
        </w:rPr>
        <w:t xml:space="preserve"> 金属喷镀</w:t>
      </w:r>
      <w:bookmarkEnd w:id="4229"/>
      <w:bookmarkEnd w:id="423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对构件表面喷镀铝、锌、锡、铜、铅或其它合适金属，也能达到防腐蚀目的。喷镀金属成分，表面预处理和喷镀方法，厚度、粘附强度和随后处理，都应符合BS2596。</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对于燃烧气体火焰、等离子弧、爆炸和其它类似工艺所采用的金属和金属复合物的喷镀、不熔镀层的要求，对被喷镀部件的预处理、喷镀技术、密封、抛光和检查的要求，都要按照BS4761相应规定。</w:t>
      </w:r>
    </w:p>
    <w:p>
      <w:pPr>
        <w:adjustRightInd w:val="0"/>
        <w:snapToGrid w:val="0"/>
        <w:spacing w:line="360" w:lineRule="auto"/>
        <w:textAlignment w:val="baseline"/>
        <w:outlineLvl w:val="0"/>
        <w:rPr>
          <w:rFonts w:ascii="宋体" w:hAnsi="宋体"/>
          <w:b/>
          <w:kern w:val="0"/>
          <w:szCs w:val="21"/>
        </w:rPr>
      </w:pPr>
      <w:bookmarkStart w:id="4231" w:name="_Toc106050117"/>
      <w:bookmarkStart w:id="4232" w:name="_Toc106883381"/>
      <w:r>
        <w:rPr>
          <w:rFonts w:hint="eastAsia" w:ascii="宋体" w:hAnsi="宋体"/>
          <w:b/>
          <w:kern w:val="0"/>
          <w:szCs w:val="21"/>
        </w:rPr>
        <w:t>4.5.2</w:t>
      </w:r>
      <w:r>
        <w:rPr>
          <w:rFonts w:ascii="宋体" w:hAnsi="宋体"/>
          <w:b/>
          <w:kern w:val="0"/>
          <w:szCs w:val="21"/>
        </w:rPr>
        <w:t xml:space="preserve">.15.10 </w:t>
      </w:r>
      <w:r>
        <w:rPr>
          <w:rFonts w:hint="eastAsia" w:ascii="宋体" w:hAnsi="宋体"/>
          <w:b/>
          <w:kern w:val="0"/>
          <w:szCs w:val="21"/>
        </w:rPr>
        <w:t xml:space="preserve"> 耐风蚀钢</w:t>
      </w:r>
      <w:bookmarkEnd w:id="4231"/>
      <w:bookmarkEnd w:id="423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使用耐腐蚀、耐风蚀钢的钢构件，必须遵守ASTM－A242，ASTMA588，DIN17100和其它相效标准的要求。</w:t>
      </w:r>
    </w:p>
    <w:p>
      <w:pPr>
        <w:spacing w:line="360" w:lineRule="auto"/>
        <w:outlineLvl w:val="0"/>
        <w:rPr>
          <w:rFonts w:ascii="宋体" w:hAnsi="宋体"/>
        </w:rPr>
      </w:pPr>
      <w:bookmarkStart w:id="4233" w:name="_Toc106050118"/>
      <w:bookmarkStart w:id="4234" w:name="_Toc106883382"/>
      <w:r>
        <w:rPr>
          <w:rFonts w:hint="eastAsia" w:ascii="宋体" w:hAnsi="宋体"/>
        </w:rPr>
        <w:t>4.5.2</w:t>
      </w:r>
      <w:r>
        <w:rPr>
          <w:rFonts w:ascii="宋体" w:hAnsi="宋体"/>
        </w:rPr>
        <w:t xml:space="preserve">.16 </w:t>
      </w:r>
      <w:r>
        <w:rPr>
          <w:rFonts w:hint="eastAsia" w:ascii="宋体" w:hAnsi="宋体"/>
        </w:rPr>
        <w:t xml:space="preserve"> </w:t>
      </w:r>
      <w:r>
        <w:rPr>
          <w:rFonts w:ascii="宋体" w:hAnsi="宋体"/>
        </w:rPr>
        <w:t>压力表计</w:t>
      </w:r>
      <w:bookmarkEnd w:id="4233"/>
      <w:bookmarkEnd w:id="423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装在每台设备中压力表直径不小于150mm。铝合金不能用在表的结构中，刻度盘和表盖应为紫铜，内部元件应为不锈钢、紫铜和其他抗腐蚀材料（不包括铝合金）。</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压力表可以直接安装在主要系统管道上或一个接一个地安装控制台或柜中，每个压力表后应紧接着一个旋塞，在压力表管道连接主系统端头应有一个隔离阀。装在控制盘中的压力表，隔离阀应连接一个试验压力表，装有旋塞的压力表，应能用经批准的标签和文字识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用于污水和泥渣的压力表，应有一个压力变送系统。变送系统应为充气密封型。内含铜或不锈钢毛细管和隔膜变送仪。</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隔膜应装在一个可清扫的壳中。变送仪的外壳应直接与25mm或更大口径的直通式隔离旋塞连接，隔离旋塞再直接接到压力管口上。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压力表以bar为压力单位，以0.1bar为最小刻度。用于负压时使用真空表，精度均为全量程的±1.5%或±2.5％。</w:t>
      </w:r>
    </w:p>
    <w:p>
      <w:pPr>
        <w:spacing w:line="360" w:lineRule="auto"/>
        <w:outlineLvl w:val="0"/>
        <w:rPr>
          <w:rFonts w:ascii="宋体" w:hAnsi="宋体"/>
        </w:rPr>
      </w:pPr>
      <w:bookmarkStart w:id="4235" w:name="_Toc106050119"/>
      <w:bookmarkStart w:id="4236" w:name="_Toc106883383"/>
      <w:r>
        <w:rPr>
          <w:rFonts w:hint="eastAsia" w:ascii="宋体" w:hAnsi="宋体"/>
        </w:rPr>
        <w:t>4.5.2</w:t>
      </w:r>
      <w:r>
        <w:rPr>
          <w:rFonts w:ascii="宋体" w:hAnsi="宋体"/>
        </w:rPr>
        <w:t xml:space="preserve">.17 </w:t>
      </w:r>
      <w:r>
        <w:rPr>
          <w:rFonts w:hint="eastAsia" w:ascii="宋体" w:hAnsi="宋体"/>
        </w:rPr>
        <w:t xml:space="preserve"> </w:t>
      </w:r>
      <w:r>
        <w:rPr>
          <w:rFonts w:ascii="宋体" w:hAnsi="宋体"/>
        </w:rPr>
        <w:t>螺母、螺钉、垫圈和螺栓</w:t>
      </w:r>
      <w:bookmarkEnd w:id="4235"/>
      <w:bookmarkEnd w:id="423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粗制螺栓，螺钉和螺母应符合ISO225、ISO272、ISO885、ISO888和ISO4759/1。粗制六角螺栓，螺钉和螺母应符合ISO272，ISO4759/1 8.8级。垫圈应符合ISO/R887，并使用在所有螺母，六角螺栓和螺钉之下。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所有在水下或处在潮湿环境的螺栓，螺钉，螺母，垫圈应采用不锈钢。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具有锌保护层的M10以及较大的坚固件应热镀锌处理。螺母的螺纹的制造应符合ISO1459，ISO1460和ISO1461。</w:t>
      </w:r>
    </w:p>
    <w:p>
      <w:pPr>
        <w:spacing w:line="360" w:lineRule="auto"/>
        <w:outlineLvl w:val="0"/>
        <w:rPr>
          <w:rFonts w:ascii="宋体" w:hAnsi="宋体"/>
        </w:rPr>
      </w:pPr>
      <w:bookmarkStart w:id="4237" w:name="_Toc106050120"/>
      <w:bookmarkStart w:id="4238" w:name="_Toc106883384"/>
      <w:r>
        <w:rPr>
          <w:rFonts w:hint="eastAsia" w:ascii="宋体" w:hAnsi="宋体"/>
        </w:rPr>
        <w:t>4.5.2</w:t>
      </w:r>
      <w:r>
        <w:rPr>
          <w:rFonts w:ascii="宋体" w:hAnsi="宋体"/>
        </w:rPr>
        <w:t xml:space="preserve">.18 </w:t>
      </w:r>
      <w:r>
        <w:rPr>
          <w:rFonts w:hint="eastAsia" w:ascii="宋体" w:hAnsi="宋体"/>
        </w:rPr>
        <w:t xml:space="preserve"> </w:t>
      </w:r>
      <w:r>
        <w:rPr>
          <w:rFonts w:ascii="宋体" w:hAnsi="宋体"/>
        </w:rPr>
        <w:t>基础螺栓</w:t>
      </w:r>
      <w:bookmarkEnd w:id="4237"/>
      <w:bookmarkEnd w:id="423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用在混凝土，砖石中的基础螺栓，螺母和垫圈应为不锈钢。可根据需要采用钩形膨胀螺栓，或化学螺栓。承包人应递交他所建议使用的螺栓类型的详细资料，包括制造商的产品规格，给项目监理批准。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螺栓用来紧固铝合金件时，应用非金属隔套和垫圈将铝合金隔离。带有棘形或齿形预埋螺栓的二次混凝土材料应为专用的非收缩型环氧树脂砂浆或为专用的非收缩型砂浆或为麻丝填料。基础螺栓和预埋螺栓应在二次灌浆材料达到足够的强度时才能投入使用。</w:t>
      </w:r>
    </w:p>
    <w:p>
      <w:pPr>
        <w:spacing w:line="360" w:lineRule="auto"/>
        <w:outlineLvl w:val="0"/>
        <w:rPr>
          <w:rFonts w:ascii="宋体" w:hAnsi="宋体"/>
        </w:rPr>
      </w:pPr>
      <w:bookmarkStart w:id="4239" w:name="_Toc106050121"/>
      <w:bookmarkStart w:id="4240" w:name="_Toc106883385"/>
      <w:r>
        <w:rPr>
          <w:rFonts w:hint="eastAsia" w:ascii="宋体" w:hAnsi="宋体"/>
        </w:rPr>
        <w:t>4.5.2</w:t>
      </w:r>
      <w:r>
        <w:rPr>
          <w:rFonts w:ascii="宋体" w:hAnsi="宋体"/>
        </w:rPr>
        <w:t xml:space="preserve">.19 </w:t>
      </w:r>
      <w:r>
        <w:rPr>
          <w:rFonts w:hint="eastAsia" w:ascii="宋体" w:hAnsi="宋体"/>
        </w:rPr>
        <w:t xml:space="preserve"> </w:t>
      </w:r>
      <w:r>
        <w:rPr>
          <w:rFonts w:ascii="宋体" w:hAnsi="宋体"/>
        </w:rPr>
        <w:t>质检的准备</w:t>
      </w:r>
      <w:bookmarkEnd w:id="4239"/>
      <w:bookmarkEnd w:id="424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每一设备都要在安装之前，检查它们是否损坏有无缺陷，完整程度准确性等。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如若发现某设备和材质有遭跌损的现象时，应立即通知项目监理，损坏设备的修理，不可在项目监理认可以前，就进行修补。</w:t>
      </w:r>
    </w:p>
    <w:p>
      <w:pPr>
        <w:spacing w:line="360" w:lineRule="auto"/>
        <w:outlineLvl w:val="0"/>
        <w:rPr>
          <w:rFonts w:ascii="宋体" w:hAnsi="宋体"/>
        </w:rPr>
      </w:pPr>
      <w:bookmarkStart w:id="4241" w:name="_Toc106050122"/>
      <w:bookmarkStart w:id="4242" w:name="_Toc106883386"/>
      <w:r>
        <w:rPr>
          <w:rFonts w:hint="eastAsia" w:ascii="宋体" w:hAnsi="宋体"/>
        </w:rPr>
        <w:t>4.5.2</w:t>
      </w:r>
      <w:r>
        <w:rPr>
          <w:rFonts w:ascii="宋体" w:hAnsi="宋体"/>
        </w:rPr>
        <w:t xml:space="preserve">.20 </w:t>
      </w:r>
      <w:r>
        <w:rPr>
          <w:rFonts w:hint="eastAsia" w:ascii="宋体" w:hAnsi="宋体"/>
        </w:rPr>
        <w:t xml:space="preserve"> </w:t>
      </w:r>
      <w:r>
        <w:rPr>
          <w:rFonts w:ascii="宋体" w:hAnsi="宋体"/>
        </w:rPr>
        <w:t>电动机</w:t>
      </w:r>
      <w:bookmarkEnd w:id="4241"/>
      <w:bookmarkEnd w:id="424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所有机械设备的电动机自然功率因数必须大于0.8，防护等级除注明外，均为IP54。</w:t>
      </w:r>
    </w:p>
    <w:p>
      <w:pPr>
        <w:spacing w:line="360" w:lineRule="auto"/>
        <w:outlineLvl w:val="0"/>
        <w:rPr>
          <w:rFonts w:ascii="宋体" w:hAnsi="宋体"/>
        </w:rPr>
      </w:pPr>
      <w:bookmarkStart w:id="4243" w:name="_Toc106050123"/>
      <w:bookmarkStart w:id="4244" w:name="_Toc106883387"/>
      <w:r>
        <w:rPr>
          <w:rFonts w:hint="eastAsia" w:ascii="宋体" w:hAnsi="宋体"/>
        </w:rPr>
        <w:t>4.5.2</w:t>
      </w:r>
      <w:r>
        <w:rPr>
          <w:rFonts w:ascii="宋体" w:hAnsi="宋体"/>
        </w:rPr>
        <w:t xml:space="preserve">.21 </w:t>
      </w:r>
      <w:r>
        <w:rPr>
          <w:rFonts w:hint="eastAsia" w:ascii="宋体" w:hAnsi="宋体"/>
        </w:rPr>
        <w:t xml:space="preserve"> </w:t>
      </w:r>
      <w:r>
        <w:rPr>
          <w:rFonts w:ascii="宋体" w:hAnsi="宋体"/>
        </w:rPr>
        <w:t>安全措施</w:t>
      </w:r>
      <w:bookmarkEnd w:id="4243"/>
      <w:bookmarkEnd w:id="424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设备除电气系统中设备过电流和信号报警保护外，一般应设机械式自动复位式过扭矩或安全销保护。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设备的所有含有危险因素的部分应加上安全罩。在正常工况条件下，温度高于60℃或小于5℃的所有零件应装有防护栏或隔温保温措施。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所有电气传导件包括由此而形成的电器装置都应绝缘或用防护栏防护或置于安全之处以防危险。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安全罩应用钢丝网或用钢板网制成，如必要的话，用全钢板制成。安全罩应设计成对轴承、润滑脂加注点、温度计、和其它检测点便利操作的型式，允许操作工在没有危险或不需要拆掉安全罩的任何部分情况下，进行日常的维护工作。在便利到达检测点的地方应设置装有锁定装置的检修门。防护罩应采用螺栓固定，不会被无意地拆除或移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用于防护罩结构的所有低碳钢包括螺栓，螺母，垫圈，挡圈应热浸锌，除非有其他规定。安全罩的图纸在加工前应送交业主批准。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安全设计应符合GB5083《生产设备安全卫生设计总则》中的有关规定。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带电设备接地电阻不应大于4Ω</w:t>
      </w:r>
    </w:p>
    <w:p>
      <w:pPr>
        <w:adjustRightInd w:val="0"/>
        <w:snapToGrid w:val="0"/>
        <w:spacing w:line="360" w:lineRule="auto"/>
        <w:outlineLvl w:val="1"/>
        <w:rPr>
          <w:rFonts w:ascii="宋体" w:hAnsi="宋体"/>
          <w:b/>
          <w:bCs/>
        </w:rPr>
      </w:pPr>
      <w:bookmarkStart w:id="4245" w:name="_Toc521492303"/>
      <w:bookmarkStart w:id="4246" w:name="_Toc521493160"/>
      <w:bookmarkStart w:id="4247" w:name="_Toc521493834"/>
      <w:bookmarkStart w:id="4248" w:name="_Toc106883388"/>
      <w:r>
        <w:rPr>
          <w:rFonts w:hint="eastAsia" w:ascii="宋体" w:hAnsi="宋体"/>
          <w:b/>
          <w:bCs/>
        </w:rPr>
        <w:t>4.6  总平面布置工程</w:t>
      </w:r>
      <w:bookmarkEnd w:id="4245"/>
      <w:bookmarkEnd w:id="4246"/>
      <w:bookmarkEnd w:id="4247"/>
      <w:bookmarkEnd w:id="4248"/>
    </w:p>
    <w:p>
      <w:pPr>
        <w:adjustRightInd w:val="0"/>
        <w:snapToGrid w:val="0"/>
        <w:spacing w:line="360" w:lineRule="auto"/>
        <w:jc w:val="left"/>
        <w:outlineLvl w:val="0"/>
        <w:rPr>
          <w:rFonts w:ascii="宋体" w:hAnsi="宋体"/>
          <w:b/>
          <w:bCs/>
          <w:szCs w:val="20"/>
        </w:rPr>
      </w:pPr>
      <w:bookmarkStart w:id="4249" w:name="_Toc521492304"/>
      <w:bookmarkStart w:id="4250" w:name="_Toc521493161"/>
      <w:bookmarkStart w:id="4251" w:name="_Toc521493835"/>
      <w:bookmarkStart w:id="4252" w:name="_Toc106883389"/>
      <w:r>
        <w:rPr>
          <w:rFonts w:hint="eastAsia" w:ascii="宋体" w:hAnsi="宋体"/>
          <w:b/>
          <w:bCs/>
          <w:szCs w:val="20"/>
        </w:rPr>
        <w:t>4.6.</w:t>
      </w:r>
      <w:r>
        <w:rPr>
          <w:rFonts w:ascii="宋体" w:hAnsi="宋体"/>
          <w:b/>
          <w:bCs/>
          <w:szCs w:val="20"/>
        </w:rPr>
        <w:t xml:space="preserve">1 </w:t>
      </w:r>
      <w:r>
        <w:rPr>
          <w:rFonts w:hint="eastAsia" w:ascii="宋体" w:hAnsi="宋体"/>
          <w:b/>
          <w:bCs/>
          <w:szCs w:val="20"/>
        </w:rPr>
        <w:t xml:space="preserve"> </w:t>
      </w:r>
      <w:r>
        <w:rPr>
          <w:rFonts w:ascii="宋体" w:hAnsi="宋体"/>
          <w:b/>
          <w:bCs/>
          <w:szCs w:val="20"/>
        </w:rPr>
        <w:t>进厂及厂区道路工程</w:t>
      </w:r>
      <w:bookmarkEnd w:id="4249"/>
      <w:bookmarkEnd w:id="4250"/>
      <w:bookmarkEnd w:id="4251"/>
      <w:bookmarkEnd w:id="425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本节为</w:t>
      </w:r>
      <w:r>
        <w:rPr>
          <w:rFonts w:hint="eastAsia" w:ascii="宋体" w:hAnsi="宋体"/>
          <w:kern w:val="0"/>
          <w:szCs w:val="21"/>
        </w:rPr>
        <w:t>本工程</w:t>
      </w:r>
      <w:r>
        <w:rPr>
          <w:rFonts w:ascii="宋体" w:hAnsi="宋体"/>
          <w:kern w:val="0"/>
          <w:szCs w:val="21"/>
        </w:rPr>
        <w:t>净水厂进厂道路和取水工程</w:t>
      </w:r>
      <w:r>
        <w:rPr>
          <w:rFonts w:hint="eastAsia" w:ascii="宋体" w:hAnsi="宋体"/>
          <w:kern w:val="0"/>
          <w:szCs w:val="21"/>
        </w:rPr>
        <w:t>临时施工便道、净水</w:t>
      </w:r>
      <w:r>
        <w:rPr>
          <w:rFonts w:ascii="宋体" w:hAnsi="宋体"/>
          <w:kern w:val="0"/>
          <w:szCs w:val="21"/>
        </w:rPr>
        <w:t>厂内所有道路及附属设施的材料供应、施工、验收及交付使用专用技术规范。</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进厂及厂内道路</w:t>
      </w:r>
      <w:r>
        <w:rPr>
          <w:rFonts w:hint="eastAsia" w:ascii="宋体" w:hAnsi="宋体"/>
          <w:kern w:val="0"/>
          <w:szCs w:val="21"/>
        </w:rPr>
        <w:t>临时施工便道</w:t>
      </w:r>
      <w:r>
        <w:rPr>
          <w:rFonts w:ascii="宋体" w:hAnsi="宋体"/>
          <w:kern w:val="0"/>
          <w:szCs w:val="21"/>
        </w:rPr>
        <w:t>的设计详见施工图。承包人应在施工前提交作业文件，征得项目监理同意。</w:t>
      </w:r>
    </w:p>
    <w:p>
      <w:pPr>
        <w:pStyle w:val="1281"/>
        <w:outlineLvl w:val="0"/>
        <w:rPr>
          <w:rFonts w:ascii="宋体" w:hAnsi="宋体"/>
          <w:color w:val="auto"/>
        </w:rPr>
      </w:pPr>
      <w:bookmarkStart w:id="4253" w:name="_Toc403636988"/>
      <w:bookmarkStart w:id="4254" w:name="_Toc266663040"/>
      <w:bookmarkStart w:id="4255" w:name="_Toc517382609"/>
      <w:bookmarkStart w:id="4256" w:name="_Toc518376662"/>
      <w:bookmarkStart w:id="4257" w:name="_Toc521491984"/>
      <w:bookmarkStart w:id="4258" w:name="_Toc521492841"/>
      <w:bookmarkStart w:id="4259" w:name="_Toc521493515"/>
      <w:bookmarkStart w:id="4260" w:name="_Toc106883390"/>
      <w:r>
        <w:rPr>
          <w:rFonts w:ascii="宋体" w:hAnsi="宋体"/>
          <w:color w:val="auto"/>
        </w:rPr>
        <w:t>4.6.</w:t>
      </w:r>
      <w:r>
        <w:rPr>
          <w:rFonts w:hint="eastAsia" w:ascii="宋体" w:hAnsi="宋体"/>
          <w:color w:val="auto"/>
        </w:rPr>
        <w:t>2</w:t>
      </w:r>
      <w:r>
        <w:rPr>
          <w:rFonts w:ascii="宋体" w:hAnsi="宋体"/>
          <w:color w:val="auto"/>
        </w:rPr>
        <w:t xml:space="preserve"> 技术标准和规范</w:t>
      </w:r>
      <w:bookmarkEnd w:id="4253"/>
      <w:bookmarkEnd w:id="4254"/>
      <w:bookmarkEnd w:id="4255"/>
      <w:bookmarkEnd w:id="4256"/>
      <w:bookmarkEnd w:id="4257"/>
      <w:bookmarkEnd w:id="4258"/>
      <w:bookmarkEnd w:id="4259"/>
      <w:bookmarkEnd w:id="4260"/>
    </w:p>
    <w:p>
      <w:pPr>
        <w:pStyle w:val="1280"/>
        <w:ind w:firstLine="440"/>
        <w:rPr>
          <w:rFonts w:ascii="宋体"/>
        </w:rPr>
      </w:pPr>
      <w:r>
        <w:rPr>
          <w:rFonts w:ascii="宋体"/>
        </w:rPr>
        <w:t>本合同下的附属设施执行本要求。</w:t>
      </w:r>
    </w:p>
    <w:p>
      <w:pPr>
        <w:pStyle w:val="1280"/>
        <w:ind w:firstLine="440"/>
        <w:rPr>
          <w:rFonts w:ascii="宋体"/>
        </w:rPr>
      </w:pPr>
      <w:r>
        <w:rPr>
          <w:rFonts w:ascii="宋体"/>
        </w:rPr>
        <w:t>承包商在执行本工程的同时，对于所有材料、设备和施工工艺，都应遵照国家建设部所颁发的所有现行技术规范和本部分所规定的技术规范执行。本部分必须遵照的现行技术规范，主要有：</w:t>
      </w:r>
    </w:p>
    <w:p>
      <w:pPr>
        <w:pStyle w:val="1280"/>
        <w:ind w:firstLine="440"/>
        <w:rPr>
          <w:rFonts w:ascii="宋体"/>
        </w:rPr>
      </w:pPr>
      <w:r>
        <w:rPr>
          <w:rFonts w:ascii="宋体"/>
        </w:rPr>
        <w:t>公路水泥混凝土路面施工技术细则                           JTG/T F30-2014</w:t>
      </w:r>
    </w:p>
    <w:p>
      <w:pPr>
        <w:pStyle w:val="1280"/>
        <w:ind w:firstLine="440"/>
        <w:rPr>
          <w:rFonts w:ascii="宋体"/>
        </w:rPr>
      </w:pPr>
      <w:r>
        <w:rPr>
          <w:rFonts w:ascii="宋体"/>
        </w:rPr>
        <w:t>沥青路面施工及验收规范                                   GB</w:t>
      </w:r>
      <w:r>
        <w:rPr>
          <w:rFonts w:hint="eastAsia" w:ascii="宋体"/>
        </w:rPr>
        <w:t xml:space="preserve"> </w:t>
      </w:r>
      <w:r>
        <w:rPr>
          <w:rFonts w:ascii="宋体"/>
        </w:rPr>
        <w:t>50092-1996</w:t>
      </w:r>
    </w:p>
    <w:p>
      <w:pPr>
        <w:pStyle w:val="1280"/>
        <w:ind w:firstLine="440"/>
        <w:rPr>
          <w:rFonts w:ascii="宋体"/>
        </w:rPr>
      </w:pPr>
      <w:r>
        <w:rPr>
          <w:rFonts w:ascii="宋体"/>
        </w:rPr>
        <w:t>公路工程沥青及沥青混合料试验规程</w:t>
      </w:r>
      <w:r>
        <w:rPr>
          <w:rFonts w:hint="eastAsia" w:ascii="宋体"/>
        </w:rPr>
        <w:t xml:space="preserve">                         </w:t>
      </w:r>
      <w:r>
        <w:rPr>
          <w:rFonts w:ascii="宋体"/>
        </w:rPr>
        <w:t>JTG E20-2011</w:t>
      </w:r>
    </w:p>
    <w:p>
      <w:pPr>
        <w:pStyle w:val="1280"/>
        <w:ind w:firstLine="440"/>
        <w:rPr>
          <w:rFonts w:ascii="宋体"/>
        </w:rPr>
      </w:pPr>
      <w:r>
        <w:rPr>
          <w:rFonts w:ascii="宋体"/>
        </w:rPr>
        <w:t>公路路面基层施工技术细则</w:t>
      </w:r>
      <w:r>
        <w:rPr>
          <w:rFonts w:hint="eastAsia" w:ascii="宋体"/>
        </w:rPr>
        <w:t xml:space="preserve">                                 </w:t>
      </w:r>
      <w:r>
        <w:rPr>
          <w:rFonts w:ascii="宋体"/>
        </w:rPr>
        <w:t>JTJ/T F20-2015</w:t>
      </w:r>
    </w:p>
    <w:p>
      <w:pPr>
        <w:pStyle w:val="1280"/>
        <w:ind w:firstLine="440"/>
        <w:rPr>
          <w:rFonts w:ascii="宋体"/>
        </w:rPr>
      </w:pPr>
      <w:r>
        <w:rPr>
          <w:rFonts w:ascii="宋体"/>
        </w:rPr>
        <w:t>道路交通信号灯设置与安装规范</w:t>
      </w:r>
      <w:r>
        <w:rPr>
          <w:rFonts w:hint="eastAsia" w:ascii="宋体"/>
        </w:rPr>
        <w:t xml:space="preserve">                             </w:t>
      </w:r>
      <w:r>
        <w:rPr>
          <w:rFonts w:ascii="宋体"/>
        </w:rPr>
        <w:t>GB 14886-2016</w:t>
      </w:r>
    </w:p>
    <w:p>
      <w:pPr>
        <w:pStyle w:val="1280"/>
        <w:ind w:firstLine="440"/>
        <w:rPr>
          <w:rFonts w:ascii="宋体"/>
        </w:rPr>
      </w:pPr>
      <w:r>
        <w:rPr>
          <w:rFonts w:hint="eastAsia" w:ascii="宋体"/>
        </w:rPr>
        <w:t>路面标线涂料                                             JT/T 280-2004</w:t>
      </w:r>
    </w:p>
    <w:p>
      <w:pPr>
        <w:pStyle w:val="1280"/>
        <w:ind w:firstLine="440"/>
        <w:rPr>
          <w:rFonts w:ascii="宋体"/>
        </w:rPr>
      </w:pPr>
      <w:r>
        <w:rPr>
          <w:rFonts w:ascii="宋体"/>
        </w:rPr>
        <w:t>道路交通标志板及支撑件</w:t>
      </w:r>
      <w:r>
        <w:rPr>
          <w:rFonts w:hint="eastAsia" w:ascii="宋体"/>
        </w:rPr>
        <w:t xml:space="preserve">                                   </w:t>
      </w:r>
      <w:r>
        <w:rPr>
          <w:rFonts w:ascii="宋体"/>
        </w:rPr>
        <w:t>GB/T 23827-2009</w:t>
      </w:r>
    </w:p>
    <w:p>
      <w:pPr>
        <w:pStyle w:val="1280"/>
        <w:ind w:firstLine="440"/>
        <w:rPr>
          <w:rFonts w:ascii="宋体"/>
        </w:rPr>
      </w:pPr>
      <w:r>
        <w:rPr>
          <w:rFonts w:ascii="宋体"/>
        </w:rPr>
        <w:t>城镇道路工程施工与质量验收规范                           CJJ</w:t>
      </w:r>
      <w:r>
        <w:rPr>
          <w:rFonts w:hint="eastAsia" w:ascii="宋体"/>
        </w:rPr>
        <w:t xml:space="preserve"> </w:t>
      </w:r>
      <w:r>
        <w:rPr>
          <w:rFonts w:ascii="宋体"/>
        </w:rPr>
        <w:t>1-2008</w:t>
      </w:r>
    </w:p>
    <w:p>
      <w:pPr>
        <w:pStyle w:val="1280"/>
        <w:ind w:firstLine="440"/>
        <w:rPr>
          <w:rFonts w:ascii="宋体"/>
        </w:rPr>
      </w:pPr>
      <w:r>
        <w:rPr>
          <w:rFonts w:ascii="宋体"/>
        </w:rPr>
        <w:t>道路交通信号灯</w:t>
      </w:r>
      <w:r>
        <w:rPr>
          <w:rFonts w:hint="eastAsia" w:ascii="宋体"/>
        </w:rPr>
        <w:t xml:space="preserve">                                           </w:t>
      </w:r>
      <w:r>
        <w:rPr>
          <w:rFonts w:ascii="宋体"/>
        </w:rPr>
        <w:t>GB 14887-2011</w:t>
      </w:r>
    </w:p>
    <w:p>
      <w:pPr>
        <w:pStyle w:val="1280"/>
        <w:ind w:firstLine="440"/>
        <w:rPr>
          <w:rFonts w:ascii="宋体"/>
        </w:rPr>
      </w:pPr>
      <w:r>
        <w:rPr>
          <w:rFonts w:ascii="宋体"/>
        </w:rPr>
        <w:t>给水排水管道工程施工及验收规范                           GB</w:t>
      </w:r>
      <w:r>
        <w:rPr>
          <w:rFonts w:hint="eastAsia" w:ascii="宋体"/>
        </w:rPr>
        <w:t xml:space="preserve"> </w:t>
      </w:r>
      <w:r>
        <w:rPr>
          <w:rFonts w:ascii="宋体"/>
        </w:rPr>
        <w:t>50268-2008</w:t>
      </w:r>
    </w:p>
    <w:p>
      <w:pPr>
        <w:pStyle w:val="1280"/>
        <w:ind w:firstLine="440"/>
        <w:rPr>
          <w:rFonts w:ascii="宋体"/>
        </w:rPr>
      </w:pPr>
      <w:r>
        <w:rPr>
          <w:rFonts w:ascii="宋体"/>
        </w:rPr>
        <w:t>建筑给水排水及采暖工程施工质量验收规范                   GB</w:t>
      </w:r>
      <w:r>
        <w:rPr>
          <w:rFonts w:hint="eastAsia" w:ascii="宋体"/>
        </w:rPr>
        <w:t xml:space="preserve"> </w:t>
      </w:r>
      <w:r>
        <w:rPr>
          <w:rFonts w:ascii="宋体"/>
        </w:rPr>
        <w:t>50242-2002</w:t>
      </w:r>
    </w:p>
    <w:p>
      <w:pPr>
        <w:pStyle w:val="1280"/>
        <w:ind w:firstLine="440"/>
        <w:rPr>
          <w:rFonts w:ascii="宋体"/>
        </w:rPr>
      </w:pPr>
      <w:r>
        <w:rPr>
          <w:rFonts w:ascii="宋体"/>
        </w:rPr>
        <w:t>城镇排水管道维护安全技术规程                             CJJ</w:t>
      </w:r>
      <w:r>
        <w:rPr>
          <w:rFonts w:hint="eastAsia" w:ascii="宋体"/>
        </w:rPr>
        <w:t xml:space="preserve"> </w:t>
      </w:r>
      <w:r>
        <w:rPr>
          <w:rFonts w:ascii="宋体"/>
        </w:rPr>
        <w:t>6-2009</w:t>
      </w:r>
    </w:p>
    <w:p>
      <w:pPr>
        <w:pStyle w:val="1280"/>
        <w:ind w:firstLine="440"/>
        <w:rPr>
          <w:rFonts w:ascii="宋体"/>
        </w:rPr>
      </w:pPr>
      <w:bookmarkStart w:id="4261" w:name="OLE_LINK24"/>
      <w:r>
        <w:rPr>
          <w:rFonts w:ascii="宋体"/>
        </w:rPr>
        <w:t>城市道路照明工程施工及验收规程</w:t>
      </w:r>
      <w:bookmarkEnd w:id="4261"/>
      <w:r>
        <w:rPr>
          <w:rFonts w:ascii="宋体"/>
        </w:rPr>
        <w:t xml:space="preserve">                           CJJ</w:t>
      </w:r>
      <w:r>
        <w:rPr>
          <w:rFonts w:hint="eastAsia" w:ascii="宋体"/>
        </w:rPr>
        <w:t xml:space="preserve"> </w:t>
      </w:r>
      <w:r>
        <w:rPr>
          <w:rFonts w:ascii="宋体"/>
        </w:rPr>
        <w:t>89-2012</w:t>
      </w:r>
    </w:p>
    <w:p>
      <w:pPr>
        <w:pStyle w:val="1280"/>
        <w:ind w:firstLine="440"/>
        <w:rPr>
          <w:rFonts w:ascii="宋体"/>
        </w:rPr>
      </w:pPr>
      <w:r>
        <w:rPr>
          <w:rFonts w:ascii="宋体"/>
        </w:rPr>
        <w:t>建筑工程施工质量验收统一标准                             GB</w:t>
      </w:r>
      <w:r>
        <w:rPr>
          <w:rFonts w:hint="eastAsia" w:ascii="宋体"/>
        </w:rPr>
        <w:t xml:space="preserve"> </w:t>
      </w:r>
      <w:r>
        <w:rPr>
          <w:rFonts w:ascii="宋体"/>
        </w:rPr>
        <w:t>50300-2013</w:t>
      </w:r>
    </w:p>
    <w:p>
      <w:pPr>
        <w:pStyle w:val="1280"/>
        <w:ind w:firstLine="440"/>
        <w:rPr>
          <w:rFonts w:ascii="宋体"/>
        </w:rPr>
      </w:pPr>
      <w:r>
        <w:rPr>
          <w:rFonts w:ascii="宋体"/>
        </w:rPr>
        <w:t>公路路基施工技术规范                                     JTG F10-2006</w:t>
      </w:r>
    </w:p>
    <w:p>
      <w:pPr>
        <w:pStyle w:val="1280"/>
        <w:ind w:firstLine="440"/>
        <w:rPr>
          <w:rFonts w:ascii="宋体"/>
        </w:rPr>
      </w:pPr>
      <w:r>
        <w:rPr>
          <w:rFonts w:ascii="宋体"/>
        </w:rPr>
        <w:t>公路沥青路面施工技术规范                                 JTG</w:t>
      </w:r>
      <w:r>
        <w:rPr>
          <w:rFonts w:hint="eastAsia" w:ascii="宋体"/>
        </w:rPr>
        <w:t xml:space="preserve"> </w:t>
      </w:r>
      <w:r>
        <w:rPr>
          <w:rFonts w:ascii="宋体"/>
        </w:rPr>
        <w:t>F40-2004</w:t>
      </w:r>
    </w:p>
    <w:p>
      <w:pPr>
        <w:pStyle w:val="1280"/>
        <w:ind w:firstLine="440"/>
        <w:rPr>
          <w:rFonts w:ascii="宋体"/>
        </w:rPr>
      </w:pPr>
      <w:r>
        <w:rPr>
          <w:rFonts w:ascii="宋体"/>
        </w:rPr>
        <w:t>公路工程质量检验评定标准                                 JTG F80/1-2017</w:t>
      </w:r>
    </w:p>
    <w:p>
      <w:pPr>
        <w:pStyle w:val="1280"/>
        <w:ind w:firstLine="440"/>
        <w:rPr>
          <w:rFonts w:ascii="宋体"/>
        </w:rPr>
      </w:pPr>
      <w:r>
        <w:rPr>
          <w:rFonts w:ascii="宋体"/>
        </w:rPr>
        <w:t>道路交通标志标线                                         GB</w:t>
      </w:r>
      <w:r>
        <w:rPr>
          <w:rFonts w:hint="eastAsia" w:ascii="宋体"/>
        </w:rPr>
        <w:t xml:space="preserve"> </w:t>
      </w:r>
      <w:r>
        <w:rPr>
          <w:rFonts w:ascii="宋体"/>
        </w:rPr>
        <w:t>5768-2009</w:t>
      </w:r>
    </w:p>
    <w:p>
      <w:pPr>
        <w:pStyle w:val="1280"/>
        <w:ind w:firstLine="440"/>
        <w:rPr>
          <w:rFonts w:ascii="宋体"/>
        </w:rPr>
      </w:pPr>
      <w:r>
        <w:rPr>
          <w:rFonts w:ascii="宋体"/>
        </w:rPr>
        <w:t>混凝土管用混凝土抗压强度试验方法                         GB/T</w:t>
      </w:r>
      <w:r>
        <w:rPr>
          <w:rFonts w:hint="eastAsia" w:ascii="宋体"/>
        </w:rPr>
        <w:t xml:space="preserve"> </w:t>
      </w:r>
      <w:r>
        <w:rPr>
          <w:rFonts w:ascii="宋体"/>
        </w:rPr>
        <w:t>11837-2009</w:t>
      </w:r>
    </w:p>
    <w:p>
      <w:pPr>
        <w:pStyle w:val="1280"/>
        <w:ind w:firstLine="440"/>
        <w:rPr>
          <w:rFonts w:ascii="宋体"/>
        </w:rPr>
      </w:pPr>
      <w:r>
        <w:rPr>
          <w:rFonts w:ascii="宋体"/>
        </w:rPr>
        <w:t>无障碍设计规范                                           GB 50763-2012</w:t>
      </w:r>
    </w:p>
    <w:p>
      <w:pPr>
        <w:pStyle w:val="1280"/>
        <w:ind w:firstLine="440"/>
        <w:rPr>
          <w:rFonts w:ascii="宋体"/>
        </w:rPr>
      </w:pPr>
      <w:bookmarkStart w:id="4262" w:name="OLE_LINK25"/>
      <w:r>
        <w:rPr>
          <w:rFonts w:ascii="宋体"/>
        </w:rPr>
        <w:t>土工试验方法标准</w:t>
      </w:r>
      <w:bookmarkEnd w:id="4262"/>
      <w:r>
        <w:rPr>
          <w:rFonts w:ascii="宋体"/>
        </w:rPr>
        <w:t>（2007版）                               GB/T</w:t>
      </w:r>
      <w:r>
        <w:rPr>
          <w:rFonts w:hint="eastAsia" w:ascii="宋体"/>
        </w:rPr>
        <w:t xml:space="preserve"> </w:t>
      </w:r>
      <w:r>
        <w:rPr>
          <w:rFonts w:ascii="宋体"/>
        </w:rPr>
        <w:t>50123-1999</w:t>
      </w:r>
    </w:p>
    <w:p>
      <w:pPr>
        <w:pStyle w:val="1280"/>
        <w:ind w:firstLine="440"/>
        <w:rPr>
          <w:rFonts w:ascii="宋体"/>
        </w:rPr>
      </w:pPr>
      <w:r>
        <w:rPr>
          <w:rFonts w:ascii="宋体"/>
        </w:rPr>
        <w:t>各材料生产厂家制定的企业验收标准（等同或高于国家及行业标准）</w:t>
      </w:r>
    </w:p>
    <w:p>
      <w:pPr>
        <w:pStyle w:val="1281"/>
        <w:outlineLvl w:val="0"/>
        <w:rPr>
          <w:rFonts w:ascii="宋体" w:hAnsi="宋体"/>
          <w:color w:val="auto"/>
        </w:rPr>
      </w:pPr>
      <w:bookmarkStart w:id="4263" w:name="_Toc266663041"/>
      <w:bookmarkStart w:id="4264" w:name="_Toc521493516"/>
      <w:bookmarkStart w:id="4265" w:name="_Toc521492842"/>
      <w:bookmarkStart w:id="4266" w:name="_Toc521491985"/>
      <w:bookmarkStart w:id="4267" w:name="_Toc518376663"/>
      <w:bookmarkStart w:id="4268" w:name="_Toc517382610"/>
      <w:bookmarkStart w:id="4269" w:name="_Toc403636989"/>
      <w:bookmarkStart w:id="4270" w:name="_Toc106883391"/>
      <w:r>
        <w:rPr>
          <w:rFonts w:ascii="宋体" w:hAnsi="宋体"/>
          <w:color w:val="auto"/>
        </w:rPr>
        <w:t>4.6.</w:t>
      </w:r>
      <w:r>
        <w:rPr>
          <w:rFonts w:hint="eastAsia" w:ascii="宋体" w:hAnsi="宋体"/>
          <w:color w:val="auto"/>
        </w:rPr>
        <w:t>3</w:t>
      </w:r>
      <w:r>
        <w:rPr>
          <w:rFonts w:ascii="宋体" w:hAnsi="宋体"/>
          <w:color w:val="auto"/>
        </w:rPr>
        <w:t xml:space="preserve"> 承包商应提交的文件</w:t>
      </w:r>
      <w:bookmarkEnd w:id="4263"/>
      <w:bookmarkEnd w:id="4264"/>
      <w:bookmarkEnd w:id="4265"/>
      <w:bookmarkEnd w:id="4266"/>
      <w:bookmarkEnd w:id="4267"/>
      <w:bookmarkEnd w:id="4268"/>
      <w:bookmarkEnd w:id="4269"/>
      <w:bookmarkEnd w:id="4270"/>
    </w:p>
    <w:p>
      <w:pPr>
        <w:pStyle w:val="1284"/>
        <w:outlineLvl w:val="0"/>
        <w:rPr>
          <w:rFonts w:ascii="宋体" w:hAnsi="宋体"/>
        </w:rPr>
      </w:pPr>
      <w:bookmarkStart w:id="4271" w:name="_Toc518376664"/>
      <w:bookmarkStart w:id="4272" w:name="_Toc517382611"/>
      <w:bookmarkStart w:id="4273" w:name="_Toc106050128"/>
      <w:bookmarkStart w:id="4274" w:name="_Toc521493517"/>
      <w:bookmarkStart w:id="4275" w:name="_Toc521492843"/>
      <w:bookmarkStart w:id="4276" w:name="_Toc521491986"/>
      <w:bookmarkStart w:id="4277" w:name="_Toc266663042"/>
      <w:bookmarkStart w:id="4278" w:name="_Toc403636990"/>
      <w:bookmarkStart w:id="4279" w:name="_Toc106883392"/>
      <w:r>
        <w:rPr>
          <w:rFonts w:ascii="宋体" w:hAnsi="宋体"/>
        </w:rPr>
        <w:t>4.6.</w:t>
      </w:r>
      <w:r>
        <w:rPr>
          <w:rFonts w:hint="eastAsia" w:ascii="宋体" w:hAnsi="宋体"/>
        </w:rPr>
        <w:t xml:space="preserve">3.1 </w:t>
      </w:r>
      <w:r>
        <w:rPr>
          <w:rFonts w:ascii="宋体" w:hAnsi="宋体"/>
        </w:rPr>
        <w:t>资料</w:t>
      </w:r>
      <w:bookmarkEnd w:id="4271"/>
      <w:bookmarkEnd w:id="4272"/>
      <w:bookmarkEnd w:id="4273"/>
      <w:bookmarkEnd w:id="4274"/>
      <w:bookmarkEnd w:id="4275"/>
      <w:bookmarkEnd w:id="4276"/>
      <w:bookmarkEnd w:id="4277"/>
      <w:bookmarkEnd w:id="4278"/>
      <w:bookmarkEnd w:id="4279"/>
    </w:p>
    <w:p>
      <w:pPr>
        <w:pStyle w:val="1280"/>
        <w:ind w:firstLine="440"/>
        <w:rPr>
          <w:rFonts w:ascii="宋体"/>
        </w:rPr>
      </w:pPr>
      <w:r>
        <w:rPr>
          <w:rFonts w:ascii="宋体"/>
        </w:rPr>
        <w:t>各种沥青混凝土道路路面、路基、涵洞、雨（污）水管道及接头的详细资料，包括制造厂的材料及产品说明书和样本；</w:t>
      </w:r>
    </w:p>
    <w:p>
      <w:pPr>
        <w:pStyle w:val="1280"/>
        <w:ind w:firstLine="440"/>
        <w:rPr>
          <w:rFonts w:ascii="宋体"/>
        </w:rPr>
      </w:pPr>
      <w:r>
        <w:rPr>
          <w:rFonts w:ascii="宋体"/>
        </w:rPr>
        <w:t>施工处现有地上、地下管道的分布详细调查报告；</w:t>
      </w:r>
    </w:p>
    <w:p>
      <w:pPr>
        <w:pStyle w:val="1280"/>
        <w:ind w:firstLine="440"/>
        <w:rPr>
          <w:rFonts w:ascii="宋体"/>
        </w:rPr>
      </w:pPr>
      <w:r>
        <w:rPr>
          <w:rFonts w:ascii="宋体"/>
        </w:rPr>
        <w:t>供应商为承包商提供的各种建筑材料的产品样本和说明；</w:t>
      </w:r>
    </w:p>
    <w:p>
      <w:pPr>
        <w:pStyle w:val="1280"/>
        <w:ind w:firstLine="440"/>
        <w:rPr>
          <w:rFonts w:ascii="宋体"/>
        </w:rPr>
      </w:pPr>
      <w:r>
        <w:rPr>
          <w:rFonts w:ascii="宋体"/>
        </w:rPr>
        <w:t>施工中高程的控制方法；</w:t>
      </w:r>
    </w:p>
    <w:p>
      <w:pPr>
        <w:pStyle w:val="1284"/>
        <w:outlineLvl w:val="0"/>
        <w:rPr>
          <w:rFonts w:ascii="宋体" w:hAnsi="宋体"/>
        </w:rPr>
      </w:pPr>
      <w:bookmarkStart w:id="4280" w:name="_Toc403636991"/>
      <w:bookmarkStart w:id="4281" w:name="_Toc266663043"/>
      <w:bookmarkStart w:id="4282" w:name="_Toc517382612"/>
      <w:bookmarkStart w:id="4283" w:name="_Toc518376665"/>
      <w:bookmarkStart w:id="4284" w:name="_Toc521491987"/>
      <w:bookmarkStart w:id="4285" w:name="_Toc521492844"/>
      <w:bookmarkStart w:id="4286" w:name="_Toc521493518"/>
      <w:bookmarkStart w:id="4287" w:name="_Toc106050129"/>
      <w:bookmarkStart w:id="4288" w:name="_Toc106883393"/>
      <w:r>
        <w:rPr>
          <w:rFonts w:hint="eastAsia" w:ascii="宋体" w:hAnsi="宋体"/>
        </w:rPr>
        <w:t xml:space="preserve">4.6.3.2 </w:t>
      </w:r>
      <w:r>
        <w:rPr>
          <w:rFonts w:ascii="宋体" w:hAnsi="宋体"/>
        </w:rPr>
        <w:t>应保存的记录</w:t>
      </w:r>
      <w:bookmarkEnd w:id="4280"/>
      <w:bookmarkEnd w:id="4281"/>
      <w:bookmarkEnd w:id="4282"/>
      <w:bookmarkEnd w:id="4283"/>
      <w:bookmarkEnd w:id="4284"/>
      <w:bookmarkEnd w:id="4285"/>
      <w:bookmarkEnd w:id="4286"/>
      <w:bookmarkEnd w:id="4287"/>
      <w:bookmarkEnd w:id="4288"/>
    </w:p>
    <w:p>
      <w:pPr>
        <w:pStyle w:val="1280"/>
        <w:ind w:firstLine="440"/>
        <w:rPr>
          <w:rFonts w:ascii="宋体"/>
        </w:rPr>
      </w:pPr>
      <w:r>
        <w:rPr>
          <w:rFonts w:ascii="宋体"/>
        </w:rPr>
        <w:t>承包商应保存和向项目监理提供所有的道路施工、管道材料、接口材料和配件记录，以及路面、管材和配件供应、检验、安装方面详细的和最新的记录，并应指出每种材料的数量、尺寸和等级，包括以下内容：</w:t>
      </w:r>
    </w:p>
    <w:p>
      <w:pPr>
        <w:pStyle w:val="1280"/>
        <w:ind w:firstLine="440"/>
        <w:rPr>
          <w:rFonts w:ascii="宋体"/>
        </w:rPr>
      </w:pPr>
      <w:r>
        <w:rPr>
          <w:rFonts w:ascii="宋体"/>
        </w:rPr>
        <w:t>工程进行过程中的定货记录；</w:t>
      </w:r>
    </w:p>
    <w:p>
      <w:pPr>
        <w:pStyle w:val="1280"/>
        <w:ind w:firstLine="440"/>
        <w:rPr>
          <w:rFonts w:ascii="宋体"/>
        </w:rPr>
      </w:pPr>
      <w:r>
        <w:rPr>
          <w:rFonts w:ascii="宋体"/>
        </w:rPr>
        <w:t>工程进行过程中的交货记录；</w:t>
      </w:r>
    </w:p>
    <w:p>
      <w:pPr>
        <w:pStyle w:val="1280"/>
        <w:ind w:firstLine="440"/>
        <w:rPr>
          <w:rFonts w:ascii="宋体"/>
        </w:rPr>
      </w:pPr>
      <w:r>
        <w:rPr>
          <w:rFonts w:ascii="宋体"/>
        </w:rPr>
        <w:t>交货时发现损坏的缺陷的申报记录；</w:t>
      </w:r>
    </w:p>
    <w:p>
      <w:pPr>
        <w:pStyle w:val="1280"/>
        <w:ind w:firstLine="440"/>
        <w:rPr>
          <w:rFonts w:ascii="宋体"/>
        </w:rPr>
      </w:pPr>
      <w:r>
        <w:rPr>
          <w:rFonts w:ascii="宋体"/>
        </w:rPr>
        <w:t>工程进行过程中的损失和遗失记录；</w:t>
      </w:r>
    </w:p>
    <w:p>
      <w:pPr>
        <w:pStyle w:val="1280"/>
        <w:ind w:firstLine="440"/>
        <w:rPr>
          <w:rFonts w:ascii="宋体"/>
        </w:rPr>
      </w:pPr>
      <w:r>
        <w:rPr>
          <w:rFonts w:ascii="宋体"/>
        </w:rPr>
        <w:t>承包商应将上述记录文件的最新复印件提交项目监理。</w:t>
      </w:r>
    </w:p>
    <w:p>
      <w:pPr>
        <w:pStyle w:val="1284"/>
        <w:outlineLvl w:val="0"/>
        <w:rPr>
          <w:rFonts w:ascii="宋体" w:hAnsi="宋体"/>
        </w:rPr>
      </w:pPr>
      <w:bookmarkStart w:id="4289" w:name="_Toc403636992"/>
      <w:bookmarkStart w:id="4290" w:name="_Toc266663044"/>
      <w:bookmarkStart w:id="4291" w:name="_Toc517382613"/>
      <w:bookmarkStart w:id="4292" w:name="_Toc518376666"/>
      <w:bookmarkStart w:id="4293" w:name="_Toc521491988"/>
      <w:bookmarkStart w:id="4294" w:name="_Toc521492845"/>
      <w:bookmarkStart w:id="4295" w:name="_Toc521493519"/>
      <w:bookmarkStart w:id="4296" w:name="_Toc106050130"/>
      <w:bookmarkStart w:id="4297" w:name="_Toc106883394"/>
      <w:r>
        <w:rPr>
          <w:rFonts w:hint="eastAsia" w:ascii="宋体" w:hAnsi="宋体"/>
        </w:rPr>
        <w:t xml:space="preserve">4.6.3.3 </w:t>
      </w:r>
      <w:r>
        <w:rPr>
          <w:rFonts w:ascii="宋体" w:hAnsi="宋体"/>
        </w:rPr>
        <w:t>试验证书</w:t>
      </w:r>
      <w:bookmarkEnd w:id="4289"/>
      <w:bookmarkEnd w:id="4290"/>
      <w:bookmarkEnd w:id="4291"/>
      <w:bookmarkEnd w:id="4292"/>
      <w:bookmarkEnd w:id="4293"/>
      <w:bookmarkEnd w:id="4294"/>
      <w:bookmarkEnd w:id="4295"/>
      <w:bookmarkEnd w:id="4296"/>
      <w:bookmarkEnd w:id="4297"/>
    </w:p>
    <w:p>
      <w:pPr>
        <w:pStyle w:val="1280"/>
        <w:ind w:firstLine="440"/>
        <w:rPr>
          <w:rFonts w:ascii="宋体"/>
        </w:rPr>
      </w:pPr>
      <w:r>
        <w:rPr>
          <w:rFonts w:ascii="宋体"/>
        </w:rPr>
        <w:t>在发货前承包商应向项目监理提交材料供应商的质量证书，以示相关的材料已作试验，并符合有关的标准。</w:t>
      </w:r>
    </w:p>
    <w:p>
      <w:pPr>
        <w:pStyle w:val="1284"/>
        <w:rPr>
          <w:rFonts w:ascii="宋体" w:hAnsi="宋体"/>
        </w:rPr>
      </w:pPr>
      <w:bookmarkStart w:id="4298" w:name="_Toc521492846"/>
      <w:bookmarkStart w:id="4299" w:name="_Toc521491989"/>
      <w:bookmarkStart w:id="4300" w:name="_Toc403636993"/>
      <w:bookmarkStart w:id="4301" w:name="_Toc266663045"/>
      <w:bookmarkStart w:id="4302" w:name="_Toc517382614"/>
      <w:bookmarkStart w:id="4303" w:name="_Toc518376667"/>
      <w:bookmarkStart w:id="4304" w:name="_Toc521493520"/>
      <w:bookmarkStart w:id="4305" w:name="_Toc106050131"/>
      <w:bookmarkStart w:id="4306" w:name="_Toc106883395"/>
      <w:r>
        <w:rPr>
          <w:rFonts w:hint="eastAsia" w:ascii="宋体" w:hAnsi="宋体"/>
        </w:rPr>
        <w:t>4.6.3.4</w:t>
      </w:r>
      <w:r>
        <w:rPr>
          <w:rFonts w:ascii="宋体" w:hAnsi="宋体"/>
        </w:rPr>
        <w:t>材料合格证</w:t>
      </w:r>
      <w:bookmarkEnd w:id="4298"/>
      <w:bookmarkEnd w:id="4299"/>
      <w:bookmarkEnd w:id="4300"/>
      <w:bookmarkEnd w:id="4301"/>
      <w:bookmarkEnd w:id="4302"/>
      <w:bookmarkEnd w:id="4303"/>
      <w:bookmarkEnd w:id="4304"/>
      <w:bookmarkEnd w:id="4305"/>
      <w:bookmarkEnd w:id="4306"/>
    </w:p>
    <w:p>
      <w:pPr>
        <w:pStyle w:val="1280"/>
        <w:ind w:firstLine="440"/>
        <w:rPr>
          <w:rFonts w:ascii="宋体"/>
        </w:rPr>
      </w:pPr>
      <w:r>
        <w:rPr>
          <w:rFonts w:ascii="宋体"/>
        </w:rPr>
        <w:t>各种规格、类型的材料、混凝土及砂浆用水泥、砂、石、钢筋、拌合料的产品合格证书，这些材料的试验和检验等均符合相应的技术标准和本技术规范的有关条款，并提交项目监理和业主审批。</w:t>
      </w:r>
    </w:p>
    <w:p>
      <w:pPr>
        <w:pStyle w:val="1281"/>
        <w:outlineLvl w:val="0"/>
        <w:rPr>
          <w:rFonts w:ascii="宋体" w:hAnsi="宋体"/>
          <w:color w:val="auto"/>
        </w:rPr>
      </w:pPr>
      <w:bookmarkStart w:id="4307" w:name="_Toc403636994"/>
      <w:bookmarkStart w:id="4308" w:name="_Toc266663046"/>
      <w:bookmarkStart w:id="4309" w:name="_Toc517382615"/>
      <w:bookmarkStart w:id="4310" w:name="_Toc518376668"/>
      <w:bookmarkStart w:id="4311" w:name="_Toc521491990"/>
      <w:bookmarkStart w:id="4312" w:name="_Toc521492847"/>
      <w:bookmarkStart w:id="4313" w:name="_Toc521493521"/>
      <w:bookmarkStart w:id="4314" w:name="_Toc106883396"/>
      <w:r>
        <w:rPr>
          <w:rFonts w:ascii="宋体" w:hAnsi="宋体"/>
          <w:color w:val="auto"/>
        </w:rPr>
        <w:t>4.6.</w:t>
      </w:r>
      <w:r>
        <w:rPr>
          <w:rFonts w:hint="eastAsia" w:ascii="宋体" w:hAnsi="宋体"/>
          <w:color w:val="auto"/>
        </w:rPr>
        <w:t>4</w:t>
      </w:r>
      <w:r>
        <w:rPr>
          <w:rFonts w:ascii="宋体" w:hAnsi="宋体"/>
          <w:color w:val="auto"/>
        </w:rPr>
        <w:t>路基工程施工要求</w:t>
      </w:r>
      <w:bookmarkEnd w:id="4307"/>
      <w:bookmarkEnd w:id="4308"/>
      <w:bookmarkEnd w:id="4309"/>
      <w:bookmarkEnd w:id="4310"/>
      <w:bookmarkEnd w:id="4311"/>
      <w:bookmarkEnd w:id="4312"/>
      <w:bookmarkEnd w:id="4313"/>
      <w:bookmarkEnd w:id="4314"/>
    </w:p>
    <w:p>
      <w:pPr>
        <w:pStyle w:val="1284"/>
        <w:outlineLvl w:val="0"/>
        <w:rPr>
          <w:rFonts w:ascii="宋体" w:hAnsi="宋体"/>
        </w:rPr>
      </w:pPr>
      <w:bookmarkStart w:id="4315" w:name="_Toc403636995"/>
      <w:bookmarkStart w:id="4316" w:name="_Toc266663047"/>
      <w:bookmarkStart w:id="4317" w:name="_Toc517382616"/>
      <w:bookmarkStart w:id="4318" w:name="_Toc518376669"/>
      <w:bookmarkStart w:id="4319" w:name="_Toc521491991"/>
      <w:bookmarkStart w:id="4320" w:name="_Toc521492848"/>
      <w:bookmarkStart w:id="4321" w:name="_Toc521493522"/>
      <w:bookmarkStart w:id="4322" w:name="_Toc106050133"/>
      <w:bookmarkStart w:id="4323" w:name="_Toc106883397"/>
      <w:r>
        <w:rPr>
          <w:rFonts w:hint="eastAsia" w:ascii="宋体" w:hAnsi="宋体"/>
        </w:rPr>
        <w:t xml:space="preserve">4.6.4.1 </w:t>
      </w:r>
      <w:r>
        <w:rPr>
          <w:rFonts w:ascii="宋体" w:hAnsi="宋体"/>
        </w:rPr>
        <w:t>施工准备</w:t>
      </w:r>
      <w:bookmarkEnd w:id="4315"/>
      <w:bookmarkEnd w:id="4316"/>
      <w:bookmarkEnd w:id="4317"/>
      <w:bookmarkEnd w:id="4318"/>
      <w:bookmarkEnd w:id="4319"/>
      <w:bookmarkEnd w:id="4320"/>
      <w:bookmarkEnd w:id="4321"/>
      <w:bookmarkEnd w:id="4322"/>
      <w:bookmarkEnd w:id="4323"/>
    </w:p>
    <w:p>
      <w:pPr>
        <w:pStyle w:val="1280"/>
        <w:ind w:firstLine="440"/>
        <w:rPr>
          <w:rFonts w:ascii="宋体"/>
        </w:rPr>
      </w:pPr>
      <w:r>
        <w:rPr>
          <w:rFonts w:ascii="宋体"/>
        </w:rPr>
        <w:t>承包商应根据设计文件及现场条件，制定本工程施工方案，编制合理施工组织设计，报送项目监理和业主审核批准后实施，围绕本工程所拟的施工方案发生费用，承包商应列入清单项目单价，不在另计。</w:t>
      </w:r>
    </w:p>
    <w:p>
      <w:pPr>
        <w:pStyle w:val="1280"/>
        <w:ind w:firstLine="440"/>
        <w:rPr>
          <w:rFonts w:ascii="宋体"/>
        </w:rPr>
      </w:pPr>
      <w:r>
        <w:rPr>
          <w:rFonts w:ascii="宋体"/>
        </w:rPr>
        <w:t>承包商在施工前应自费确定水电供应点、交通道路、搅拌和堆料场地、工棚仓库和消防设施等。对有碍施工的建筑物、灌溉渠道、地下管线等，均应在施工前拆迁完毕。</w:t>
      </w:r>
    </w:p>
    <w:p>
      <w:pPr>
        <w:pStyle w:val="1280"/>
        <w:ind w:firstLine="440"/>
        <w:rPr>
          <w:rFonts w:ascii="宋体"/>
        </w:rPr>
      </w:pPr>
      <w:r>
        <w:rPr>
          <w:rFonts w:ascii="宋体"/>
        </w:rPr>
        <w:t>路基施工前，承包商应在全面熟悉设计文件和设计交底的基础上，进行现场核对和施工调查，发现问题应及时向项目监理和业主提出修改意见，报请项目监理和业主审批后调整。</w:t>
      </w:r>
    </w:p>
    <w:p>
      <w:pPr>
        <w:pStyle w:val="1284"/>
        <w:outlineLvl w:val="0"/>
        <w:rPr>
          <w:rFonts w:ascii="宋体" w:hAnsi="宋体"/>
        </w:rPr>
      </w:pPr>
      <w:bookmarkStart w:id="4324" w:name="_Toc403636996"/>
      <w:bookmarkStart w:id="4325" w:name="_Toc266663048"/>
      <w:bookmarkStart w:id="4326" w:name="_Toc517382617"/>
      <w:bookmarkStart w:id="4327" w:name="_Toc518376670"/>
      <w:bookmarkStart w:id="4328" w:name="_Toc521491992"/>
      <w:bookmarkStart w:id="4329" w:name="_Toc521492849"/>
      <w:bookmarkStart w:id="4330" w:name="_Toc521493523"/>
      <w:bookmarkStart w:id="4331" w:name="_Toc106050134"/>
      <w:bookmarkStart w:id="4332" w:name="_Toc106883398"/>
      <w:r>
        <w:rPr>
          <w:rFonts w:hint="eastAsia" w:ascii="宋体" w:hAnsi="宋体"/>
        </w:rPr>
        <w:t xml:space="preserve">4.6.4.2 </w:t>
      </w:r>
      <w:r>
        <w:rPr>
          <w:rFonts w:ascii="宋体" w:hAnsi="宋体"/>
        </w:rPr>
        <w:t>施工测量</w:t>
      </w:r>
      <w:bookmarkEnd w:id="4324"/>
      <w:bookmarkEnd w:id="4325"/>
      <w:bookmarkEnd w:id="4326"/>
      <w:bookmarkEnd w:id="4327"/>
      <w:bookmarkEnd w:id="4328"/>
      <w:bookmarkEnd w:id="4329"/>
      <w:bookmarkEnd w:id="4330"/>
      <w:bookmarkEnd w:id="4331"/>
      <w:bookmarkEnd w:id="4332"/>
    </w:p>
    <w:p>
      <w:pPr>
        <w:pStyle w:val="1280"/>
        <w:ind w:firstLine="440"/>
        <w:rPr>
          <w:rFonts w:ascii="宋体"/>
        </w:rPr>
      </w:pPr>
      <w:r>
        <w:rPr>
          <w:rFonts w:ascii="宋体"/>
        </w:rPr>
        <w:t>承包商在路基开工前，应在项目监理和业主的监督下，进行路基放样施工测量工作，其内容包括导线、中线、水准点复测，横断面检查与补测，增设水准点等。</w:t>
      </w:r>
    </w:p>
    <w:p>
      <w:pPr>
        <w:pStyle w:val="1280"/>
        <w:ind w:firstLine="440"/>
        <w:rPr>
          <w:rFonts w:ascii="宋体"/>
        </w:rPr>
      </w:pPr>
      <w:r>
        <w:rPr>
          <w:rFonts w:ascii="宋体"/>
        </w:rPr>
        <w:t>承包商必须查勘施工现场，确定施工部署，进行恢复定线的测量工作。</w:t>
      </w:r>
    </w:p>
    <w:p>
      <w:pPr>
        <w:pStyle w:val="1280"/>
        <w:ind w:firstLine="440"/>
        <w:rPr>
          <w:rFonts w:ascii="宋体"/>
        </w:rPr>
      </w:pPr>
      <w:r>
        <w:rPr>
          <w:rFonts w:ascii="宋体"/>
        </w:rPr>
        <w:t>施工测量的精度应符合交通部颁布实施的《公路勘测规范》（JTG C10-2007）及《工程测量规范》</w:t>
      </w:r>
      <w:r>
        <w:rPr>
          <w:rFonts w:hint="eastAsia" w:ascii="宋体"/>
        </w:rPr>
        <w:t>（</w:t>
      </w:r>
      <w:r>
        <w:rPr>
          <w:rFonts w:ascii="宋体"/>
        </w:rPr>
        <w:t>GB</w:t>
      </w:r>
      <w:r>
        <w:rPr>
          <w:rFonts w:hint="eastAsia" w:ascii="宋体"/>
        </w:rPr>
        <w:t xml:space="preserve"> </w:t>
      </w:r>
      <w:r>
        <w:rPr>
          <w:rFonts w:ascii="宋体"/>
        </w:rPr>
        <w:t>50026-2007</w:t>
      </w:r>
      <w:r>
        <w:rPr>
          <w:rFonts w:hint="eastAsia" w:ascii="宋体"/>
        </w:rPr>
        <w:t>）</w:t>
      </w:r>
      <w:r>
        <w:rPr>
          <w:rFonts w:ascii="宋体"/>
        </w:rPr>
        <w:t>的要求。</w:t>
      </w:r>
    </w:p>
    <w:p>
      <w:pPr>
        <w:pStyle w:val="1284"/>
        <w:outlineLvl w:val="0"/>
        <w:rPr>
          <w:rFonts w:ascii="宋体" w:hAnsi="宋体"/>
        </w:rPr>
      </w:pPr>
      <w:bookmarkStart w:id="4333" w:name="_Toc403636997"/>
      <w:bookmarkStart w:id="4334" w:name="_Toc266663049"/>
      <w:bookmarkStart w:id="4335" w:name="_Toc517382618"/>
      <w:bookmarkStart w:id="4336" w:name="_Toc518376671"/>
      <w:bookmarkStart w:id="4337" w:name="_Toc521491993"/>
      <w:bookmarkStart w:id="4338" w:name="_Toc521492850"/>
      <w:bookmarkStart w:id="4339" w:name="_Toc521493524"/>
      <w:bookmarkStart w:id="4340" w:name="_Toc106050135"/>
      <w:bookmarkStart w:id="4341" w:name="_Toc106883399"/>
      <w:r>
        <w:rPr>
          <w:rFonts w:hint="eastAsia" w:ascii="宋体" w:hAnsi="宋体"/>
        </w:rPr>
        <w:t xml:space="preserve">4.6.4.3 </w:t>
      </w:r>
      <w:r>
        <w:rPr>
          <w:rFonts w:ascii="宋体" w:hAnsi="宋体"/>
        </w:rPr>
        <w:t>施工前的复查和试验</w:t>
      </w:r>
      <w:bookmarkEnd w:id="4333"/>
      <w:bookmarkEnd w:id="4334"/>
      <w:bookmarkEnd w:id="4335"/>
      <w:bookmarkEnd w:id="4336"/>
      <w:bookmarkEnd w:id="4337"/>
      <w:bookmarkEnd w:id="4338"/>
      <w:bookmarkEnd w:id="4339"/>
      <w:bookmarkEnd w:id="4340"/>
      <w:bookmarkEnd w:id="4341"/>
    </w:p>
    <w:p>
      <w:pPr>
        <w:pStyle w:val="1280"/>
        <w:ind w:firstLine="440"/>
        <w:rPr>
          <w:rFonts w:ascii="宋体"/>
        </w:rPr>
      </w:pPr>
      <w:r>
        <w:rPr>
          <w:rFonts w:ascii="宋体"/>
        </w:rPr>
        <w:t>项目监理和业主应根据合同文件要求，对承包商取自挖方、借土场、料场的路堤填料进行复查和见证试验。如承包商在原投标文件中明确的取料料场填料不足时，应提出方案经项目监理和业主批复后自行勘查寻找，并存担由此发生的费用。同时，项目监理应对承包商挖方、借方场和料场用作填料的土除满足设计要求外，还需进行下列试验项目，并严格按《公路土工试验规程》</w:t>
      </w:r>
      <w:r>
        <w:rPr>
          <w:rFonts w:hint="eastAsia" w:ascii="宋体"/>
        </w:rPr>
        <w:t>（</w:t>
      </w:r>
      <w:r>
        <w:rPr>
          <w:rFonts w:ascii="宋体"/>
        </w:rPr>
        <w:t>JTG E40-2007</w:t>
      </w:r>
      <w:r>
        <w:rPr>
          <w:rFonts w:hint="eastAsia" w:ascii="宋体"/>
        </w:rPr>
        <w:t>）</w:t>
      </w:r>
      <w:r>
        <w:rPr>
          <w:rFonts w:ascii="宋体"/>
        </w:rPr>
        <w:t>进行评定，符合要求后，承包商才能用于路基回填。</w:t>
      </w:r>
    </w:p>
    <w:p>
      <w:pPr>
        <w:pStyle w:val="1280"/>
        <w:ind w:firstLine="440"/>
        <w:rPr>
          <w:rFonts w:ascii="宋体"/>
        </w:rPr>
      </w:pPr>
      <w:r>
        <w:rPr>
          <w:rFonts w:ascii="宋体"/>
        </w:rPr>
        <w:t>1、液限、塑限、塑性指数、天然稠度或液性指数；</w:t>
      </w:r>
    </w:p>
    <w:p>
      <w:pPr>
        <w:pStyle w:val="1280"/>
        <w:ind w:firstLine="440"/>
        <w:rPr>
          <w:rFonts w:ascii="宋体"/>
        </w:rPr>
      </w:pPr>
      <w:r>
        <w:rPr>
          <w:rFonts w:ascii="宋体"/>
        </w:rPr>
        <w:t>2、颗粒大小分析试验；</w:t>
      </w:r>
    </w:p>
    <w:p>
      <w:pPr>
        <w:pStyle w:val="1280"/>
        <w:ind w:firstLine="440"/>
        <w:rPr>
          <w:rFonts w:ascii="宋体"/>
        </w:rPr>
      </w:pPr>
      <w:r>
        <w:rPr>
          <w:rFonts w:ascii="宋体"/>
        </w:rPr>
        <w:t>3、含水量试验；</w:t>
      </w:r>
    </w:p>
    <w:p>
      <w:pPr>
        <w:pStyle w:val="1280"/>
        <w:ind w:firstLine="440"/>
        <w:rPr>
          <w:rFonts w:ascii="宋体"/>
        </w:rPr>
      </w:pPr>
      <w:r>
        <w:rPr>
          <w:rFonts w:ascii="宋体"/>
        </w:rPr>
        <w:t>4、密度试验；</w:t>
      </w:r>
    </w:p>
    <w:p>
      <w:pPr>
        <w:pStyle w:val="1280"/>
        <w:ind w:firstLine="440"/>
        <w:rPr>
          <w:rFonts w:ascii="宋体"/>
        </w:rPr>
      </w:pPr>
      <w:r>
        <w:rPr>
          <w:rFonts w:ascii="宋体"/>
        </w:rPr>
        <w:t>5、相对密度试验；</w:t>
      </w:r>
    </w:p>
    <w:p>
      <w:pPr>
        <w:pStyle w:val="1280"/>
        <w:ind w:firstLine="440"/>
        <w:rPr>
          <w:rFonts w:ascii="宋体"/>
        </w:rPr>
      </w:pPr>
      <w:r>
        <w:rPr>
          <w:rFonts w:ascii="宋体"/>
        </w:rPr>
        <w:t>6、土的击实试验；</w:t>
      </w:r>
    </w:p>
    <w:p>
      <w:pPr>
        <w:pStyle w:val="1280"/>
        <w:ind w:firstLine="440"/>
        <w:rPr>
          <w:rFonts w:ascii="宋体"/>
        </w:rPr>
      </w:pPr>
      <w:r>
        <w:rPr>
          <w:rFonts w:ascii="宋体"/>
        </w:rPr>
        <w:t>7、土的强度试验（CBR值）；</w:t>
      </w:r>
    </w:p>
    <w:p>
      <w:pPr>
        <w:pStyle w:val="1280"/>
        <w:ind w:firstLine="440"/>
        <w:rPr>
          <w:rFonts w:ascii="宋体"/>
        </w:rPr>
      </w:pPr>
      <w:r>
        <w:rPr>
          <w:rFonts w:ascii="宋体"/>
        </w:rPr>
        <w:t>对特殊土，除进行以上试验外，还应结合对各种土定名的需要，铺以相应的专门鉴别试验，以确定其种类及处治方法。</w:t>
      </w:r>
    </w:p>
    <w:p>
      <w:pPr>
        <w:pStyle w:val="1280"/>
        <w:ind w:firstLine="440"/>
        <w:rPr>
          <w:rFonts w:ascii="宋体"/>
          <w:sz w:val="24"/>
        </w:rPr>
      </w:pPr>
      <w:r>
        <w:rPr>
          <w:rFonts w:ascii="宋体"/>
        </w:rPr>
        <w:t>承包商提出节约投资的填筑路堤方案，项目监理应对批复方案使用的新材料（如工业废渣等），除按相关规范作有关试验外，还应进行环卫有害成份的试验，符合国家环境保护的相关规定，且该方案经项目监理和业主审批后，同意实施，承包商方可使用。</w:t>
      </w:r>
    </w:p>
    <w:p>
      <w:pPr>
        <w:pStyle w:val="1284"/>
        <w:outlineLvl w:val="0"/>
        <w:rPr>
          <w:rFonts w:ascii="宋体" w:hAnsi="宋体"/>
        </w:rPr>
      </w:pPr>
      <w:bookmarkStart w:id="4342" w:name="_Toc403636998"/>
      <w:bookmarkStart w:id="4343" w:name="_Toc266663050"/>
      <w:bookmarkStart w:id="4344" w:name="_Toc517382619"/>
      <w:bookmarkStart w:id="4345" w:name="_Toc518376672"/>
      <w:bookmarkStart w:id="4346" w:name="_Toc521491994"/>
      <w:bookmarkStart w:id="4347" w:name="_Toc521492851"/>
      <w:bookmarkStart w:id="4348" w:name="_Toc521493525"/>
      <w:bookmarkStart w:id="4349" w:name="_Toc106050136"/>
      <w:bookmarkStart w:id="4350" w:name="_Toc106883400"/>
      <w:r>
        <w:rPr>
          <w:rFonts w:hint="eastAsia" w:ascii="宋体" w:hAnsi="宋体"/>
        </w:rPr>
        <w:t xml:space="preserve">4.6.4.4 </w:t>
      </w:r>
      <w:r>
        <w:rPr>
          <w:rFonts w:ascii="宋体" w:hAnsi="宋体"/>
        </w:rPr>
        <w:t>场地清理</w:t>
      </w:r>
      <w:bookmarkEnd w:id="4342"/>
      <w:bookmarkEnd w:id="4343"/>
      <w:bookmarkEnd w:id="4344"/>
      <w:bookmarkEnd w:id="4345"/>
      <w:bookmarkEnd w:id="4346"/>
      <w:bookmarkEnd w:id="4347"/>
      <w:bookmarkEnd w:id="4348"/>
      <w:bookmarkEnd w:id="4349"/>
      <w:bookmarkEnd w:id="4350"/>
    </w:p>
    <w:p>
      <w:pPr>
        <w:pStyle w:val="1280"/>
        <w:ind w:firstLine="440"/>
        <w:rPr>
          <w:rFonts w:ascii="宋体"/>
        </w:rPr>
      </w:pPr>
      <w:r>
        <w:rPr>
          <w:rFonts w:ascii="宋体"/>
        </w:rPr>
        <w:t>承包商应进行路基用地范围内的既有房屋、道路、河沟、通讯、电力设施、上下水道、坟墓及其它建筑物的现场检查清理，并应协助有关部门事先拆迁或改造；对路基附近的危险建筑应予以适当加固；对文物古迹应妥善保护。</w:t>
      </w:r>
    </w:p>
    <w:p>
      <w:pPr>
        <w:pStyle w:val="1280"/>
        <w:ind w:firstLine="440"/>
        <w:rPr>
          <w:rFonts w:ascii="宋体"/>
        </w:rPr>
      </w:pPr>
      <w:r>
        <w:rPr>
          <w:rFonts w:ascii="宋体"/>
        </w:rPr>
        <w:t>承包商在路基施工前应对用地范围内的树木、灌木丛进行砍伐或移植清理，砍伐的树木应移置于路基用地之外，按项目监理和业主的要求进行妥善处理，发生的费用应包含在清单土石方工程单价中。</w:t>
      </w:r>
    </w:p>
    <w:p>
      <w:pPr>
        <w:pStyle w:val="1280"/>
        <w:ind w:firstLine="440"/>
        <w:rPr>
          <w:rFonts w:ascii="宋体"/>
        </w:rPr>
      </w:pPr>
      <w:r>
        <w:rPr>
          <w:rFonts w:ascii="宋体"/>
        </w:rPr>
        <w:t>在填方和借方地段的原地面，承包商应进行表面清理（包括清除已经拆除了的建构筑物的地下基础等），清理深度应根据种植土厚度决定，清出的种植土应集中堆放，平衡用于其它需用种植的项目。填方地段在清理完地表面后，应整平压实到规定要求，才可进行填方作业。</w:t>
      </w:r>
    </w:p>
    <w:p>
      <w:pPr>
        <w:pStyle w:val="1280"/>
        <w:ind w:firstLine="440"/>
        <w:rPr>
          <w:rFonts w:ascii="宋体"/>
        </w:rPr>
      </w:pPr>
      <w:r>
        <w:rPr>
          <w:rFonts w:hint="eastAsia" w:ascii="宋体"/>
        </w:rPr>
        <w:t>拆除</w:t>
      </w:r>
    </w:p>
    <w:p>
      <w:pPr>
        <w:pStyle w:val="1280"/>
        <w:ind w:firstLine="440"/>
        <w:rPr>
          <w:rFonts w:ascii="宋体"/>
        </w:rPr>
      </w:pPr>
      <w:r>
        <w:rPr>
          <w:rFonts w:hint="eastAsia" w:ascii="宋体"/>
        </w:rPr>
        <w:t>（1）对原有结构物的地下部分，应挖除至设计图纸或工程师指示的深度。</w:t>
      </w:r>
    </w:p>
    <w:p>
      <w:pPr>
        <w:pStyle w:val="1280"/>
        <w:ind w:firstLine="440"/>
        <w:rPr>
          <w:rFonts w:ascii="宋体"/>
        </w:rPr>
      </w:pPr>
      <w:r>
        <w:rPr>
          <w:rFonts w:hint="eastAsia" w:ascii="宋体"/>
        </w:rPr>
        <w:t>（2）当被拆除结构物的全部或部分处在新结构物限界以内时，必需按新结构物施工所需范围进行拆除。</w:t>
      </w:r>
    </w:p>
    <w:p>
      <w:pPr>
        <w:pStyle w:val="1280"/>
        <w:ind w:firstLine="440"/>
        <w:rPr>
          <w:rFonts w:ascii="宋体"/>
        </w:rPr>
      </w:pPr>
      <w:r>
        <w:rPr>
          <w:rFonts w:hint="eastAsia" w:ascii="宋体"/>
        </w:rPr>
        <w:t>（3）除非另有许可，拆除原有结构物或障碍物需要进行爆破或其它操作有可能损伤新结构物时、必须在安排新工程动工之前完成。</w:t>
      </w:r>
    </w:p>
    <w:p>
      <w:pPr>
        <w:pStyle w:val="1280"/>
        <w:ind w:firstLine="440"/>
        <w:rPr>
          <w:rFonts w:ascii="宋体"/>
        </w:rPr>
      </w:pPr>
      <w:r>
        <w:rPr>
          <w:rFonts w:hint="eastAsia" w:ascii="宋体"/>
        </w:rPr>
        <w:t>（4）所有指定为可利用的材料，都应避免不必要的损失。为了便于运输、可分段或分片，并应由承包人遵照工程师指定的地点存放；对于废弃材料，承包人应按工程师的指示自费妥善处理。</w:t>
      </w:r>
    </w:p>
    <w:p>
      <w:pPr>
        <w:pStyle w:val="1284"/>
        <w:outlineLvl w:val="0"/>
        <w:rPr>
          <w:rFonts w:ascii="宋体" w:hAnsi="宋体"/>
        </w:rPr>
      </w:pPr>
      <w:bookmarkStart w:id="4351" w:name="_Toc403636999"/>
      <w:bookmarkStart w:id="4352" w:name="_Toc266663051"/>
      <w:bookmarkStart w:id="4353" w:name="_Toc517382620"/>
      <w:bookmarkStart w:id="4354" w:name="_Toc518376673"/>
      <w:bookmarkStart w:id="4355" w:name="_Toc521491995"/>
      <w:bookmarkStart w:id="4356" w:name="_Toc521492852"/>
      <w:bookmarkStart w:id="4357" w:name="_Toc521493526"/>
      <w:bookmarkStart w:id="4358" w:name="_Toc106050137"/>
      <w:bookmarkStart w:id="4359" w:name="_Toc106883401"/>
      <w:r>
        <w:rPr>
          <w:rFonts w:hint="eastAsia" w:ascii="宋体" w:hAnsi="宋体"/>
        </w:rPr>
        <w:t xml:space="preserve">4.6.4.5 </w:t>
      </w:r>
      <w:r>
        <w:rPr>
          <w:rFonts w:ascii="宋体" w:hAnsi="宋体"/>
        </w:rPr>
        <w:t>试验路段</w:t>
      </w:r>
      <w:bookmarkEnd w:id="4351"/>
      <w:bookmarkEnd w:id="4352"/>
      <w:bookmarkEnd w:id="4353"/>
      <w:bookmarkEnd w:id="4354"/>
      <w:bookmarkEnd w:id="4355"/>
      <w:bookmarkEnd w:id="4356"/>
      <w:bookmarkEnd w:id="4357"/>
      <w:bookmarkEnd w:id="4358"/>
      <w:bookmarkEnd w:id="4359"/>
    </w:p>
    <w:p>
      <w:pPr>
        <w:pStyle w:val="1280"/>
        <w:ind w:firstLine="440"/>
        <w:rPr>
          <w:rFonts w:ascii="宋体"/>
        </w:rPr>
      </w:pPr>
      <w:r>
        <w:rPr>
          <w:rFonts w:ascii="宋体"/>
        </w:rPr>
        <w:t>承包商在进行路基施工时，应先进行试验路段的施工，待试验路段施工完工后，承包商应在项目监理的监督下对完工的试验路段进行有关部门指标的检测，并及时写出试验报告。如发现路基设计有缺陷时，应提出修改意见报项目监理和业主审批</w:t>
      </w:r>
    </w:p>
    <w:p>
      <w:pPr>
        <w:pStyle w:val="1280"/>
        <w:ind w:firstLine="440"/>
        <w:rPr>
          <w:rFonts w:ascii="宋体"/>
        </w:rPr>
      </w:pPr>
      <w:r>
        <w:rPr>
          <w:rFonts w:ascii="宋体"/>
        </w:rPr>
        <w:t>试验路段位置应选择在地质条件、断面形式均具有代表性的地段，路段长度不宜小于100m。</w:t>
      </w:r>
    </w:p>
    <w:p>
      <w:pPr>
        <w:pStyle w:val="1284"/>
        <w:outlineLvl w:val="0"/>
        <w:rPr>
          <w:rFonts w:ascii="宋体" w:hAnsi="宋体"/>
        </w:rPr>
      </w:pPr>
      <w:bookmarkStart w:id="4360" w:name="_Toc403637000"/>
      <w:bookmarkStart w:id="4361" w:name="_Toc266663052"/>
      <w:bookmarkStart w:id="4362" w:name="_Toc517382621"/>
      <w:bookmarkStart w:id="4363" w:name="_Toc518376674"/>
      <w:bookmarkStart w:id="4364" w:name="_Toc521491996"/>
      <w:bookmarkStart w:id="4365" w:name="_Toc521492853"/>
      <w:bookmarkStart w:id="4366" w:name="_Toc521493527"/>
      <w:bookmarkStart w:id="4367" w:name="_Toc106050138"/>
      <w:bookmarkStart w:id="4368" w:name="_Toc106883402"/>
      <w:r>
        <w:rPr>
          <w:rFonts w:hint="eastAsia" w:ascii="宋体" w:hAnsi="宋体"/>
        </w:rPr>
        <w:t xml:space="preserve">4.6.4.6 </w:t>
      </w:r>
      <w:r>
        <w:rPr>
          <w:rFonts w:ascii="宋体" w:hAnsi="宋体"/>
        </w:rPr>
        <w:t>一般路基施工</w:t>
      </w:r>
      <w:bookmarkEnd w:id="4360"/>
      <w:bookmarkEnd w:id="4361"/>
      <w:bookmarkEnd w:id="4362"/>
      <w:bookmarkEnd w:id="4363"/>
      <w:bookmarkEnd w:id="4364"/>
      <w:bookmarkEnd w:id="4365"/>
      <w:bookmarkEnd w:id="4366"/>
      <w:bookmarkEnd w:id="4367"/>
      <w:bookmarkEnd w:id="4368"/>
    </w:p>
    <w:p>
      <w:pPr>
        <w:pStyle w:val="1280"/>
        <w:ind w:firstLine="440"/>
        <w:rPr>
          <w:rFonts w:ascii="宋体"/>
        </w:rPr>
      </w:pPr>
      <w:r>
        <w:rPr>
          <w:rFonts w:ascii="宋体"/>
        </w:rPr>
        <w:t>承包商的路基施工应满足设计、使用和规范的要求，同时项目监理将把试验检测作为主要技术手段，监督施工。</w:t>
      </w:r>
    </w:p>
    <w:p>
      <w:pPr>
        <w:pStyle w:val="1280"/>
        <w:ind w:firstLine="440"/>
        <w:rPr>
          <w:rFonts w:ascii="宋体"/>
        </w:rPr>
      </w:pPr>
      <w:r>
        <w:rPr>
          <w:rFonts w:ascii="宋体"/>
        </w:rPr>
        <w:t>承包商应严格按照</w:t>
      </w:r>
      <w:r>
        <w:rPr>
          <w:rFonts w:hint="eastAsia" w:ascii="宋体"/>
        </w:rPr>
        <w:t>《公路路基施工技术规范》（</w:t>
      </w:r>
      <w:r>
        <w:rPr>
          <w:rFonts w:ascii="宋体"/>
        </w:rPr>
        <w:t>JTG F10-2006</w:t>
      </w:r>
      <w:r>
        <w:rPr>
          <w:rFonts w:hint="eastAsia" w:ascii="宋体"/>
        </w:rPr>
        <w:t>）</w:t>
      </w:r>
      <w:r>
        <w:rPr>
          <w:rFonts w:ascii="宋体"/>
        </w:rPr>
        <w:t>规范中5.1、5.2、5.3、5.4及</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w:t>
      </w:r>
      <w:r>
        <w:rPr>
          <w:rFonts w:ascii="宋体"/>
        </w:rPr>
        <w:t>规范中的规定，组织路基的排水施工。按</w:t>
      </w:r>
      <w:r>
        <w:rPr>
          <w:rFonts w:hint="eastAsia" w:ascii="宋体"/>
        </w:rPr>
        <w:t>《公路路基施工技术规范》（</w:t>
      </w:r>
      <w:r>
        <w:rPr>
          <w:rFonts w:ascii="宋体"/>
        </w:rPr>
        <w:t>JTG F10-2006</w:t>
      </w:r>
      <w:r>
        <w:rPr>
          <w:rFonts w:hint="eastAsia" w:ascii="宋体"/>
        </w:rPr>
        <w:t>）</w:t>
      </w:r>
      <w:r>
        <w:rPr>
          <w:rFonts w:ascii="宋体"/>
        </w:rPr>
        <w:t>规范中4.1、4.2、4.3条及</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w:t>
      </w:r>
      <w:r>
        <w:rPr>
          <w:rFonts w:ascii="宋体"/>
        </w:rPr>
        <w:t>规范中的的规定，进行路基取土和弃土施工。</w:t>
      </w:r>
    </w:p>
    <w:p>
      <w:pPr>
        <w:pStyle w:val="1280"/>
        <w:ind w:firstLine="440"/>
        <w:rPr>
          <w:rFonts w:ascii="宋体"/>
        </w:rPr>
      </w:pPr>
      <w:r>
        <w:rPr>
          <w:rFonts w:ascii="宋体"/>
        </w:rPr>
        <w:t>在填方路段路堤的施工，本项目其填方路堤的填料和施工需满足设计文件的要求。同时，一般情况下还应按</w:t>
      </w:r>
      <w:r>
        <w:rPr>
          <w:rFonts w:hint="eastAsia" w:ascii="宋体"/>
        </w:rPr>
        <w:t>《公路路基施工技术规范》（</w:t>
      </w:r>
      <w:r>
        <w:rPr>
          <w:rFonts w:ascii="宋体"/>
        </w:rPr>
        <w:t>JTG F10-2006</w:t>
      </w:r>
      <w:r>
        <w:rPr>
          <w:rFonts w:hint="eastAsia" w:ascii="宋体"/>
        </w:rPr>
        <w:t>）</w:t>
      </w:r>
      <w:r>
        <w:rPr>
          <w:rFonts w:ascii="宋体"/>
        </w:rPr>
        <w:t>规范的4.1、4.2、4.4条及</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w:t>
      </w:r>
      <w:r>
        <w:rPr>
          <w:rFonts w:ascii="宋体"/>
        </w:rPr>
        <w:t xml:space="preserve">规范中的相关要求和规定施工。 </w:t>
      </w:r>
    </w:p>
    <w:p>
      <w:pPr>
        <w:pStyle w:val="1280"/>
        <w:ind w:firstLine="440"/>
        <w:rPr>
          <w:rFonts w:ascii="宋体"/>
        </w:rPr>
      </w:pPr>
      <w:r>
        <w:rPr>
          <w:rFonts w:ascii="宋体"/>
        </w:rPr>
        <w:t>挖方路段，路基的施工应按</w:t>
      </w:r>
      <w:r>
        <w:rPr>
          <w:rFonts w:hint="eastAsia" w:ascii="宋体"/>
        </w:rPr>
        <w:t>《公路路基施工技术规范》（</w:t>
      </w:r>
      <w:r>
        <w:rPr>
          <w:rFonts w:ascii="宋体"/>
        </w:rPr>
        <w:t>JTG F10-2006</w:t>
      </w:r>
      <w:r>
        <w:rPr>
          <w:rFonts w:hint="eastAsia" w:ascii="宋体"/>
        </w:rPr>
        <w:t>）</w:t>
      </w:r>
      <w:r>
        <w:rPr>
          <w:rFonts w:ascii="宋体"/>
        </w:rPr>
        <w:t>规范的4.3条及</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w:t>
      </w:r>
      <w:r>
        <w:rPr>
          <w:rFonts w:ascii="宋体"/>
        </w:rPr>
        <w:t>规范中的相关要求和规定进行。</w:t>
      </w:r>
    </w:p>
    <w:p>
      <w:pPr>
        <w:pStyle w:val="1288"/>
        <w:outlineLvl w:val="0"/>
        <w:rPr>
          <w:rFonts w:ascii="宋体" w:hAnsi="宋体"/>
          <w:color w:val="auto"/>
        </w:rPr>
      </w:pPr>
      <w:bookmarkStart w:id="4369" w:name="_Toc475588392"/>
      <w:bookmarkStart w:id="4370" w:name="_Toc106050139"/>
      <w:bookmarkStart w:id="4371" w:name="_Toc106883403"/>
      <w:r>
        <w:rPr>
          <w:rFonts w:hint="eastAsia" w:ascii="宋体" w:hAnsi="宋体"/>
          <w:color w:val="auto"/>
        </w:rPr>
        <w:t>4.6.4.6.1</w:t>
      </w:r>
      <w:r>
        <w:rPr>
          <w:rFonts w:ascii="宋体" w:hAnsi="宋体"/>
          <w:color w:val="auto"/>
        </w:rPr>
        <w:t xml:space="preserve"> 挖方</w:t>
      </w:r>
      <w:bookmarkEnd w:id="4369"/>
      <w:r>
        <w:rPr>
          <w:rFonts w:ascii="宋体" w:hAnsi="宋体"/>
          <w:color w:val="auto"/>
        </w:rPr>
        <w:t>路基</w:t>
      </w:r>
      <w:bookmarkEnd w:id="4370"/>
      <w:bookmarkEnd w:id="4371"/>
    </w:p>
    <w:p>
      <w:pPr>
        <w:pStyle w:val="1280"/>
        <w:ind w:firstLine="440"/>
        <w:rPr>
          <w:rFonts w:ascii="宋体"/>
        </w:rPr>
      </w:pPr>
      <w:r>
        <w:rPr>
          <w:rFonts w:hint="eastAsia" w:ascii="宋体"/>
        </w:rPr>
        <w:t>1、</w:t>
      </w:r>
      <w:r>
        <w:rPr>
          <w:rFonts w:ascii="宋体"/>
        </w:rPr>
        <w:t>一般要求</w:t>
      </w:r>
    </w:p>
    <w:p>
      <w:pPr>
        <w:pStyle w:val="1280"/>
        <w:ind w:firstLine="440"/>
        <w:rPr>
          <w:rFonts w:ascii="宋体"/>
        </w:rPr>
      </w:pPr>
      <w:r>
        <w:rPr>
          <w:rFonts w:hint="eastAsia" w:ascii="宋体"/>
        </w:rPr>
        <w:t>（1）</w:t>
      </w:r>
      <w:r>
        <w:rPr>
          <w:rFonts w:ascii="宋体"/>
        </w:rPr>
        <w:t>在路基挖方开工前至少28天，承包商应将开挖工程断面图报项目监理批准，否则不得开挖。</w:t>
      </w:r>
    </w:p>
    <w:p>
      <w:pPr>
        <w:pStyle w:val="1280"/>
        <w:ind w:firstLine="440"/>
        <w:rPr>
          <w:rFonts w:ascii="宋体"/>
        </w:rPr>
      </w:pPr>
      <w:r>
        <w:rPr>
          <w:rFonts w:hint="eastAsia" w:ascii="宋体"/>
        </w:rPr>
        <w:t>（2）</w:t>
      </w:r>
      <w:r>
        <w:rPr>
          <w:rFonts w:ascii="宋体"/>
        </w:rPr>
        <w:t>所有挖方作业均应符合图纸、《公路路基施工技术规范》</w:t>
      </w:r>
      <w:r>
        <w:rPr>
          <w:rFonts w:hint="eastAsia" w:ascii="宋体"/>
        </w:rPr>
        <w:t>（</w:t>
      </w:r>
      <w:r>
        <w:rPr>
          <w:rFonts w:ascii="宋体"/>
        </w:rPr>
        <w:t>JTG F10-2006</w:t>
      </w:r>
      <w:r>
        <w:rPr>
          <w:rFonts w:hint="eastAsia" w:ascii="宋体"/>
        </w:rPr>
        <w:t>）</w:t>
      </w:r>
      <w:r>
        <w:rPr>
          <w:rFonts w:ascii="宋体"/>
        </w:rPr>
        <w:t>和</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w:t>
      </w:r>
      <w:r>
        <w:rPr>
          <w:rFonts w:ascii="宋体"/>
        </w:rPr>
        <w:t>规范的有关规定，并应按项目监理的要求施工。</w:t>
      </w:r>
    </w:p>
    <w:p>
      <w:pPr>
        <w:pStyle w:val="1280"/>
        <w:ind w:firstLine="440"/>
        <w:rPr>
          <w:rFonts w:ascii="宋体"/>
        </w:rPr>
      </w:pPr>
      <w:r>
        <w:rPr>
          <w:rFonts w:hint="eastAsia" w:ascii="宋体"/>
        </w:rPr>
        <w:t>（3）</w:t>
      </w:r>
      <w:r>
        <w:rPr>
          <w:rFonts w:ascii="宋体"/>
        </w:rPr>
        <w:t>挖方作业应保持边坡的稳定，不得对邻近的各种结构物及设施产生损坏或干扰，否则，由此而引起的责任应由承包商自负。</w:t>
      </w:r>
    </w:p>
    <w:p>
      <w:pPr>
        <w:pStyle w:val="1280"/>
        <w:ind w:firstLine="440"/>
        <w:rPr>
          <w:rFonts w:ascii="宋体"/>
        </w:rPr>
      </w:pPr>
      <w:r>
        <w:rPr>
          <w:rFonts w:hint="eastAsia" w:ascii="宋体"/>
        </w:rPr>
        <w:t>（4）</w:t>
      </w:r>
      <w:r>
        <w:rPr>
          <w:rFonts w:ascii="宋体"/>
        </w:rPr>
        <w:t>在开挖中出现石方时，承包商应测量土石分界线，经项目监理鉴定认可后，分层进行开挖。如果出现零星石方，承包商应在事前量测石方数量，报经项目监理批准后，方能继续施工。</w:t>
      </w:r>
    </w:p>
    <w:p>
      <w:pPr>
        <w:pStyle w:val="1280"/>
        <w:ind w:firstLine="440"/>
        <w:rPr>
          <w:rFonts w:ascii="宋体"/>
        </w:rPr>
      </w:pPr>
      <w:r>
        <w:rPr>
          <w:rFonts w:hint="eastAsia" w:ascii="宋体"/>
        </w:rPr>
        <w:t>（5）</w:t>
      </w:r>
      <w:r>
        <w:rPr>
          <w:rFonts w:ascii="宋体"/>
        </w:rPr>
        <w:t>路基挖方材料应尽量予以利用，但不得重复计算利用材料的开挖数量。除图纸规定或被定为非适用材料外，不得任意废弃，并力争填、挖、借、弃合理。</w:t>
      </w:r>
    </w:p>
    <w:p>
      <w:pPr>
        <w:pStyle w:val="1280"/>
        <w:ind w:firstLine="440"/>
        <w:rPr>
          <w:rFonts w:ascii="宋体"/>
        </w:rPr>
      </w:pPr>
      <w:r>
        <w:rPr>
          <w:rFonts w:hint="eastAsia" w:ascii="宋体"/>
        </w:rPr>
        <w:t>（6）</w:t>
      </w:r>
      <w:r>
        <w:rPr>
          <w:rFonts w:ascii="宋体"/>
        </w:rPr>
        <w:t>如路床面开挖超过图纸或项目监理规定要求时，承包商应自费回填并压实。</w:t>
      </w:r>
    </w:p>
    <w:p>
      <w:pPr>
        <w:pStyle w:val="1280"/>
        <w:ind w:firstLine="440"/>
        <w:rPr>
          <w:rFonts w:ascii="宋体"/>
        </w:rPr>
      </w:pPr>
      <w:r>
        <w:rPr>
          <w:rFonts w:hint="eastAsia" w:ascii="宋体"/>
        </w:rPr>
        <w:t>（7）</w:t>
      </w:r>
      <w:r>
        <w:rPr>
          <w:rFonts w:ascii="宋体"/>
        </w:rPr>
        <w:t>在整个施工期间，承包商必须始终保证路基排水畅通。如因排水不当而造成工程损坏时，承包商应立即自费对其进行修补。</w:t>
      </w:r>
    </w:p>
    <w:p>
      <w:pPr>
        <w:pStyle w:val="1280"/>
        <w:ind w:firstLine="440"/>
        <w:rPr>
          <w:rFonts w:ascii="宋体"/>
        </w:rPr>
      </w:pPr>
      <w:r>
        <w:rPr>
          <w:rFonts w:hint="eastAsia" w:ascii="宋体"/>
        </w:rPr>
        <w:t>（8）</w:t>
      </w:r>
      <w:r>
        <w:rPr>
          <w:rFonts w:ascii="宋体"/>
        </w:rPr>
        <w:t>施工前，应对图纸提供的弃土方案进行现场核对，若有疑问，应及时处理。沿线弃土堆的设置应符合图纸要求和《公路路基施工技术规范》</w:t>
      </w:r>
      <w:r>
        <w:rPr>
          <w:rFonts w:hint="eastAsia" w:ascii="宋体"/>
        </w:rPr>
        <w:t>（</w:t>
      </w:r>
      <w:r>
        <w:rPr>
          <w:rFonts w:ascii="宋体"/>
        </w:rPr>
        <w:t>JTG F10-2006</w:t>
      </w:r>
      <w:r>
        <w:rPr>
          <w:rFonts w:hint="eastAsia" w:ascii="宋体"/>
        </w:rPr>
        <w:t>）</w:t>
      </w:r>
      <w:r>
        <w:rPr>
          <w:rFonts w:ascii="宋体"/>
        </w:rPr>
        <w:t>第4.3.4条的相关规定。</w:t>
      </w:r>
    </w:p>
    <w:p>
      <w:pPr>
        <w:pStyle w:val="1280"/>
        <w:ind w:firstLine="440"/>
        <w:rPr>
          <w:rFonts w:ascii="宋体"/>
        </w:rPr>
      </w:pPr>
      <w:bookmarkStart w:id="4372" w:name="_Toc320555486"/>
      <w:r>
        <w:rPr>
          <w:rFonts w:hint="eastAsia" w:ascii="宋体"/>
        </w:rPr>
        <w:t>2、</w:t>
      </w:r>
      <w:r>
        <w:rPr>
          <w:rFonts w:ascii="宋体"/>
        </w:rPr>
        <w:t>施工要求</w:t>
      </w:r>
      <w:bookmarkEnd w:id="4372"/>
    </w:p>
    <w:p>
      <w:pPr>
        <w:pStyle w:val="1280"/>
        <w:ind w:firstLine="440"/>
        <w:rPr>
          <w:rFonts w:ascii="宋体"/>
        </w:rPr>
      </w:pPr>
      <w:r>
        <w:rPr>
          <w:rFonts w:hint="eastAsia" w:ascii="宋体"/>
        </w:rPr>
        <w:t>（1）</w:t>
      </w:r>
      <w:r>
        <w:rPr>
          <w:rFonts w:ascii="宋体"/>
        </w:rPr>
        <w:t>土方开挖</w:t>
      </w:r>
    </w:p>
    <w:p>
      <w:pPr>
        <w:pStyle w:val="1280"/>
        <w:ind w:firstLine="440"/>
        <w:rPr>
          <w:rFonts w:ascii="宋体"/>
        </w:rPr>
      </w:pPr>
      <w:r>
        <w:rPr>
          <w:rFonts w:hint="eastAsia" w:ascii="宋体"/>
        </w:rPr>
        <w:t>1）</w:t>
      </w:r>
      <w:r>
        <w:rPr>
          <w:rFonts w:ascii="宋体"/>
        </w:rPr>
        <w:t>土方开挖应按图纸要求自上而下的进行，不得乱挖或超挖。无论工程量多大，土层多深，均严禁用爆破法施工或掏洞取土。</w:t>
      </w:r>
    </w:p>
    <w:p>
      <w:pPr>
        <w:pStyle w:val="1280"/>
        <w:ind w:firstLine="440"/>
        <w:rPr>
          <w:rFonts w:ascii="宋体"/>
        </w:rPr>
      </w:pPr>
      <w:r>
        <w:rPr>
          <w:rFonts w:hint="eastAsia" w:ascii="宋体"/>
        </w:rPr>
        <w:t>2）</w:t>
      </w:r>
      <w:r>
        <w:rPr>
          <w:rFonts w:ascii="宋体"/>
        </w:rPr>
        <w:t>开挖中如发现土层性质有变化时，应修改施工方案及挖方边坡，并及时报项目监理批准。开挖过程中，应采取措施保证边坡稳定。开挖至边坡线前，应预留一定宽度。预留的宽度应保证刷坡过程中设计边坡线外的土层不受到扰动。</w:t>
      </w:r>
    </w:p>
    <w:p>
      <w:pPr>
        <w:pStyle w:val="1280"/>
        <w:ind w:firstLine="440"/>
        <w:rPr>
          <w:rFonts w:ascii="宋体"/>
        </w:rPr>
      </w:pPr>
      <w:r>
        <w:rPr>
          <w:rFonts w:hint="eastAsia" w:ascii="宋体"/>
        </w:rPr>
        <w:t>3）</w:t>
      </w:r>
      <w:r>
        <w:rPr>
          <w:rFonts w:ascii="宋体"/>
        </w:rPr>
        <w:t>如果在指定的弃土场不能满足弃方要求时，承包商应尽早重新选择弃土位置并相应修改施工方案报项目监理批准。</w:t>
      </w:r>
    </w:p>
    <w:p>
      <w:pPr>
        <w:pStyle w:val="1280"/>
        <w:ind w:firstLine="440"/>
        <w:rPr>
          <w:rFonts w:ascii="宋体"/>
        </w:rPr>
      </w:pPr>
      <w:r>
        <w:rPr>
          <w:rFonts w:hint="eastAsia" w:ascii="宋体"/>
        </w:rPr>
        <w:t>4）</w:t>
      </w:r>
      <w:r>
        <w:rPr>
          <w:rFonts w:ascii="宋体"/>
        </w:rPr>
        <w:t>沿溪及沿山坡和其他按图纸规定不能横向弃置废方的开挖路段，承包商必须严格在指定的弃土场弃方。否则，承包商必须自费清除和移运到指定地点，并赔偿所造成的损失；</w:t>
      </w:r>
    </w:p>
    <w:p>
      <w:pPr>
        <w:pStyle w:val="1280"/>
        <w:ind w:firstLine="440"/>
        <w:rPr>
          <w:rFonts w:ascii="宋体"/>
        </w:rPr>
      </w:pPr>
      <w:r>
        <w:rPr>
          <w:rFonts w:hint="eastAsia" w:ascii="宋体"/>
        </w:rPr>
        <w:t>5）</w:t>
      </w:r>
      <w:r>
        <w:rPr>
          <w:rFonts w:ascii="宋体"/>
        </w:rPr>
        <w:t>承包商必须注意对图纸未示出的地下管道、缆线、文物古迹和其他结构物的保护。开挖中一旦发现上述结构物应立即报告项目监理，且应停止作业并保护现场听候处理。</w:t>
      </w:r>
    </w:p>
    <w:p>
      <w:pPr>
        <w:pStyle w:val="1280"/>
        <w:ind w:firstLine="440"/>
        <w:rPr>
          <w:rFonts w:ascii="宋体"/>
        </w:rPr>
      </w:pPr>
      <w:r>
        <w:rPr>
          <w:rFonts w:hint="eastAsia" w:ascii="宋体"/>
        </w:rPr>
        <w:t>6）</w:t>
      </w:r>
      <w:r>
        <w:rPr>
          <w:rFonts w:ascii="宋体"/>
        </w:rPr>
        <w:t>居民区附近的开挖，承包商应采取有效措施，以保护居民区房屋及保证居民和施工人员的安全，并为附近居民的生活及交通提供临时便道或便桥。</w:t>
      </w:r>
    </w:p>
    <w:p>
      <w:pPr>
        <w:pStyle w:val="1280"/>
        <w:ind w:firstLine="440"/>
        <w:rPr>
          <w:rFonts w:ascii="宋体"/>
        </w:rPr>
      </w:pPr>
      <w:r>
        <w:rPr>
          <w:rFonts w:hint="eastAsia" w:ascii="宋体"/>
        </w:rPr>
        <w:t>7）</w:t>
      </w:r>
      <w:r>
        <w:rPr>
          <w:rFonts w:ascii="宋体"/>
        </w:rPr>
        <w:t>土方地段的路床顶面标高，应考虑因压实而产生的下沉量，其值由试验确定。路床顶面以下300mm的压实度，或路床顶面以下换土超过300mm时，其压实度均应不小于95%。承包商应按《公路土工试验规程》</w:t>
      </w:r>
      <w:r>
        <w:rPr>
          <w:rFonts w:hint="eastAsia" w:ascii="宋体"/>
        </w:rPr>
        <w:t>（</w:t>
      </w:r>
      <w:r>
        <w:rPr>
          <w:rFonts w:ascii="宋体"/>
        </w:rPr>
        <w:t>JTG E40-2007</w:t>
      </w:r>
      <w:r>
        <w:rPr>
          <w:rFonts w:hint="eastAsia" w:ascii="宋体"/>
        </w:rPr>
        <w:t>）</w:t>
      </w:r>
      <w:r>
        <w:rPr>
          <w:rFonts w:ascii="宋体"/>
        </w:rPr>
        <w:t>重型击实法进行检验，如不符合要求，承包商应进一步压实或采取其他措施进行处理，使之达到规定的压实度。</w:t>
      </w:r>
    </w:p>
    <w:p>
      <w:pPr>
        <w:pStyle w:val="1280"/>
        <w:ind w:firstLine="440"/>
        <w:rPr>
          <w:rFonts w:ascii="宋体"/>
        </w:rPr>
      </w:pPr>
      <w:r>
        <w:rPr>
          <w:rFonts w:hint="eastAsia" w:ascii="宋体"/>
        </w:rPr>
        <w:t>8）</w:t>
      </w:r>
      <w:r>
        <w:rPr>
          <w:rFonts w:ascii="宋体"/>
        </w:rPr>
        <w:t>当因气候条件使挖出的材料无法按照本规范的要求用于填筑路基和压实时，承包商应停止开挖，直到气候条件转好。</w:t>
      </w:r>
    </w:p>
    <w:p>
      <w:pPr>
        <w:pStyle w:val="1280"/>
        <w:ind w:firstLine="440"/>
        <w:rPr>
          <w:rFonts w:ascii="宋体"/>
        </w:rPr>
      </w:pPr>
      <w:r>
        <w:rPr>
          <w:rFonts w:hint="eastAsia" w:ascii="宋体"/>
        </w:rPr>
        <w:t>9）</w:t>
      </w:r>
      <w:r>
        <w:rPr>
          <w:rFonts w:ascii="宋体"/>
        </w:rPr>
        <w:t>开挖至零填、路堑路床部分后，应尽快进行路床施工；如不能及时进行，宜在设计路床顶高程以上预留至少300mm厚的保护层。</w:t>
      </w:r>
    </w:p>
    <w:p>
      <w:pPr>
        <w:pStyle w:val="1280"/>
        <w:ind w:firstLine="440"/>
        <w:rPr>
          <w:rFonts w:ascii="宋体"/>
        </w:rPr>
      </w:pPr>
      <w:r>
        <w:rPr>
          <w:rFonts w:hint="eastAsia" w:ascii="宋体"/>
        </w:rPr>
        <w:t>10）</w:t>
      </w:r>
      <w:r>
        <w:rPr>
          <w:rFonts w:ascii="宋体"/>
        </w:rPr>
        <w:t>挖方路基施工遇到地下水时应按下列规定处理</w:t>
      </w:r>
    </w:p>
    <w:p>
      <w:pPr>
        <w:pStyle w:val="1280"/>
        <w:ind w:firstLine="440"/>
        <w:rPr>
          <w:rFonts w:ascii="宋体"/>
        </w:rPr>
      </w:pPr>
      <w:r>
        <w:rPr>
          <w:rFonts w:ascii="宋体"/>
        </w:rPr>
        <w:t>a</w:t>
      </w:r>
      <w:r>
        <w:rPr>
          <w:rFonts w:hint="eastAsia" w:ascii="宋体"/>
        </w:rPr>
        <w:t>、</w:t>
      </w:r>
      <w:r>
        <w:rPr>
          <w:rFonts w:ascii="宋体"/>
        </w:rPr>
        <w:t>应采取排导措施，将水引入路基排水系统。不得随意堵塞泉眼。</w:t>
      </w:r>
    </w:p>
    <w:p>
      <w:pPr>
        <w:pStyle w:val="1280"/>
        <w:ind w:firstLine="440"/>
        <w:rPr>
          <w:rFonts w:ascii="宋体"/>
        </w:rPr>
      </w:pPr>
      <w:r>
        <w:rPr>
          <w:rFonts w:ascii="宋体"/>
        </w:rPr>
        <w:t>b</w:t>
      </w:r>
      <w:r>
        <w:rPr>
          <w:rFonts w:hint="eastAsia" w:ascii="宋体"/>
        </w:rPr>
        <w:t>、</w:t>
      </w:r>
      <w:r>
        <w:rPr>
          <w:rFonts w:ascii="宋体"/>
        </w:rPr>
        <w:t>路床土含土率高或为含水层时，应采取设置渗沟、换填表、改良土质、土工织物等处理措施。路床填料除应符合本技术规范表</w:t>
      </w:r>
      <w:r>
        <w:rPr>
          <w:rFonts w:hint="eastAsia" w:ascii="宋体"/>
        </w:rPr>
        <w:t>4-3</w:t>
      </w:r>
      <w:r>
        <w:rPr>
          <w:rFonts w:ascii="宋体"/>
        </w:rPr>
        <w:t>-</w:t>
      </w:r>
      <w:r>
        <w:rPr>
          <w:rFonts w:hint="eastAsia" w:ascii="宋体"/>
        </w:rPr>
        <w:t>3</w:t>
      </w:r>
      <w:r>
        <w:rPr>
          <w:rFonts w:ascii="宋体"/>
        </w:rPr>
        <w:t>的规定外，还应具有良好的透水性能。</w:t>
      </w:r>
    </w:p>
    <w:p>
      <w:pPr>
        <w:pStyle w:val="1280"/>
        <w:ind w:firstLine="440"/>
        <w:rPr>
          <w:rFonts w:ascii="宋体"/>
        </w:rPr>
      </w:pPr>
      <w:r>
        <w:rPr>
          <w:rFonts w:hint="eastAsia" w:ascii="宋体"/>
        </w:rPr>
        <w:t>（2）</w:t>
      </w:r>
      <w:r>
        <w:rPr>
          <w:rFonts w:ascii="宋体"/>
        </w:rPr>
        <w:t>石方开挖</w:t>
      </w:r>
    </w:p>
    <w:p>
      <w:pPr>
        <w:pStyle w:val="1280"/>
        <w:ind w:firstLine="440"/>
        <w:rPr>
          <w:rFonts w:ascii="宋体"/>
        </w:rPr>
      </w:pPr>
      <w:r>
        <w:rPr>
          <w:rFonts w:ascii="宋体"/>
        </w:rPr>
        <w:t>岩石定义为所有根据监理的意见，需要通过爆破作业，或使用金属楔子和大锤，或使用压缩空气钻进行移动，且不能被少于150个公制马力的、后置单齿重型拖拉机的裂土器所分解的材料。</w:t>
      </w:r>
    </w:p>
    <w:p>
      <w:pPr>
        <w:pStyle w:val="1280"/>
        <w:ind w:firstLine="440"/>
        <w:rPr>
          <w:rFonts w:ascii="宋体"/>
        </w:rPr>
      </w:pPr>
      <w:r>
        <w:rPr>
          <w:rFonts w:hint="eastAsia" w:ascii="宋体"/>
        </w:rPr>
        <w:t>1）</w:t>
      </w:r>
      <w:r>
        <w:rPr>
          <w:rFonts w:ascii="宋体"/>
        </w:rPr>
        <w:t>承包商应根据地形、地质、开挖断面及施工机械配备等情况，采用能保证边坡稳定的方法施工。</w:t>
      </w:r>
    </w:p>
    <w:p>
      <w:pPr>
        <w:pStyle w:val="1280"/>
        <w:ind w:firstLine="440"/>
        <w:rPr>
          <w:rFonts w:ascii="宋体"/>
        </w:rPr>
      </w:pPr>
      <w:r>
        <w:rPr>
          <w:rFonts w:hint="eastAsia" w:ascii="宋体"/>
        </w:rPr>
        <w:t>2）</w:t>
      </w:r>
      <w:r>
        <w:rPr>
          <w:rFonts w:ascii="宋体"/>
        </w:rPr>
        <w:t>石方爆破作业以小型及松动爆破为主，严禁过量爆破，并应在事前14d作出计划和措施报项目监理批准。未经项目监理批准，不得采用大爆破施工。当确需地进行大爆破施工时，承包商应严格按《爆破安全规程》</w:t>
      </w:r>
      <w:r>
        <w:rPr>
          <w:rFonts w:hint="eastAsia" w:ascii="宋体"/>
        </w:rPr>
        <w:t>（</w:t>
      </w:r>
      <w:r>
        <w:rPr>
          <w:rFonts w:ascii="宋体"/>
        </w:rPr>
        <w:t>GB 6722-20</w:t>
      </w:r>
      <w:r>
        <w:rPr>
          <w:rFonts w:hint="eastAsia" w:ascii="宋体"/>
        </w:rPr>
        <w:t>14）</w:t>
      </w:r>
      <w:r>
        <w:rPr>
          <w:rFonts w:ascii="宋体"/>
        </w:rPr>
        <w:t>和国家关于爆破施工相关规定编制爆破施工组织设文件，于爆破施工前28d报项目监理审批。</w:t>
      </w:r>
    </w:p>
    <w:p>
      <w:pPr>
        <w:pStyle w:val="1280"/>
        <w:ind w:firstLine="440"/>
        <w:rPr>
          <w:rFonts w:ascii="宋体"/>
        </w:rPr>
      </w:pPr>
      <w:r>
        <w:rPr>
          <w:rFonts w:hint="eastAsia" w:ascii="宋体"/>
        </w:rPr>
        <w:t>3）</w:t>
      </w:r>
      <w:r>
        <w:rPr>
          <w:rFonts w:ascii="宋体"/>
        </w:rPr>
        <w:t>承包商应就爆破器材的存放地点、数量、警卫、收发、安全措施及必要的工艺图纸编制报告，并应在爆破器材进入工地前28天报项目监理审批，同时将运人路线和时间报有关管理部门批准，待取得通行证后方可将爆破器材运人工地保管。</w:t>
      </w:r>
    </w:p>
    <w:p>
      <w:pPr>
        <w:pStyle w:val="1280"/>
        <w:ind w:firstLine="440"/>
        <w:rPr>
          <w:rFonts w:ascii="宋体"/>
        </w:rPr>
      </w:pPr>
      <w:r>
        <w:rPr>
          <w:rFonts w:hint="eastAsia" w:ascii="宋体"/>
        </w:rPr>
        <w:t>4）</w:t>
      </w:r>
      <w:r>
        <w:rPr>
          <w:rFonts w:ascii="宋体"/>
        </w:rPr>
        <w:t>承包商应确定爆破的危险区，并采取有效措施防止人、畜、建筑物和其它公共设施受到危害和损坏。在危险区的边界应设置明显的标志，建立警戒线和显示爆破时间的警戒信号，在危险区的入口或附近道路应设置标志，并派专人看守，严禁人员在爆破时进入危险区。</w:t>
      </w:r>
    </w:p>
    <w:p>
      <w:pPr>
        <w:pStyle w:val="1280"/>
        <w:ind w:firstLine="440"/>
        <w:rPr>
          <w:rFonts w:ascii="宋体"/>
        </w:rPr>
      </w:pPr>
      <w:r>
        <w:rPr>
          <w:rFonts w:hint="eastAsia" w:ascii="宋体"/>
        </w:rPr>
        <w:t>5）</w:t>
      </w:r>
      <w:r>
        <w:rPr>
          <w:rFonts w:ascii="宋体"/>
        </w:rPr>
        <w:t>由于爆破引起的松动岩石，必须清除。当属于超挖工程量时则不予计量。深挖石方路基施工，应逐级开挖，逐级按图纸要求进行防护。</w:t>
      </w:r>
    </w:p>
    <w:p>
      <w:pPr>
        <w:pStyle w:val="1280"/>
        <w:ind w:firstLine="440"/>
        <w:rPr>
          <w:rFonts w:ascii="宋体"/>
        </w:rPr>
      </w:pPr>
      <w:r>
        <w:rPr>
          <w:rFonts w:ascii="宋体"/>
        </w:rPr>
        <w:t>深挖路基施工应随时对边坡稳定性进行监测，并根据地形征设置边坡控制点。</w:t>
      </w:r>
    </w:p>
    <w:p>
      <w:pPr>
        <w:pStyle w:val="1280"/>
        <w:ind w:firstLine="440"/>
        <w:rPr>
          <w:rFonts w:ascii="宋体"/>
        </w:rPr>
      </w:pPr>
      <w:r>
        <w:rPr>
          <w:rFonts w:hint="eastAsia" w:ascii="宋体"/>
        </w:rPr>
        <w:t>6）</w:t>
      </w:r>
      <w:r>
        <w:rPr>
          <w:rFonts w:ascii="宋体"/>
        </w:rPr>
        <w:t>石方路堑的路床顶面标高，应符合图纸要求，高出部分应辅以人工凿平，超挖部分应按项目监理批准的材料回填并碾压密实稳固。路床顶面标高的允许偏差见下面表</w:t>
      </w:r>
      <w:r>
        <w:rPr>
          <w:rFonts w:hint="eastAsia" w:ascii="宋体"/>
        </w:rPr>
        <w:t>4-3</w:t>
      </w:r>
      <w:r>
        <w:rPr>
          <w:rFonts w:ascii="宋体"/>
        </w:rPr>
        <w:t>-2。</w:t>
      </w:r>
    </w:p>
    <w:p>
      <w:pPr>
        <w:pStyle w:val="1280"/>
        <w:ind w:firstLine="440"/>
        <w:rPr>
          <w:rFonts w:ascii="宋体"/>
        </w:rPr>
      </w:pPr>
      <w:r>
        <w:rPr>
          <w:rFonts w:hint="eastAsia" w:ascii="宋体"/>
        </w:rPr>
        <w:t>（3）</w:t>
      </w:r>
      <w:r>
        <w:rPr>
          <w:rFonts w:ascii="宋体"/>
        </w:rPr>
        <w:t>非适用材料的处理</w:t>
      </w:r>
    </w:p>
    <w:p>
      <w:pPr>
        <w:pStyle w:val="1280"/>
        <w:ind w:firstLine="440"/>
        <w:rPr>
          <w:rFonts w:ascii="宋体"/>
        </w:rPr>
      </w:pPr>
      <w:r>
        <w:rPr>
          <w:rFonts w:hint="eastAsia" w:ascii="宋体"/>
        </w:rPr>
        <w:t>1）</w:t>
      </w:r>
      <w:r>
        <w:rPr>
          <w:rFonts w:ascii="宋体"/>
        </w:rPr>
        <w:t>当要求承包商在填方区挖除低于原地表面的非适用材料时，其挖除深度及范围应由项目监理确定。在挖除前，应测量必要的断面并报项目监理批准。</w:t>
      </w:r>
    </w:p>
    <w:p>
      <w:pPr>
        <w:pStyle w:val="1280"/>
        <w:ind w:firstLine="440"/>
        <w:rPr>
          <w:rFonts w:ascii="宋体"/>
        </w:rPr>
      </w:pPr>
      <w:r>
        <w:rPr>
          <w:rFonts w:hint="eastAsia" w:ascii="宋体"/>
        </w:rPr>
        <w:t>2）</w:t>
      </w:r>
      <w:r>
        <w:rPr>
          <w:rFonts w:ascii="宋体"/>
        </w:rPr>
        <w:t>路基挖至规定断面后，如仍留有非适用材料，应按项目监理要求的宽度和深度继续挖除，并用项目监理批准的材料回填和压实到图纸规定或与其毗连路段相同规定的密实度。在回填前，应测量必要的断面并报项目监理批准。</w:t>
      </w:r>
    </w:p>
    <w:p>
      <w:pPr>
        <w:pStyle w:val="1280"/>
        <w:ind w:firstLine="440"/>
        <w:rPr>
          <w:rFonts w:ascii="宋体"/>
        </w:rPr>
      </w:pPr>
      <w:r>
        <w:rPr>
          <w:rFonts w:hint="eastAsia" w:ascii="宋体"/>
        </w:rPr>
        <w:t>3）</w:t>
      </w:r>
      <w:r>
        <w:rPr>
          <w:rFonts w:ascii="宋体"/>
        </w:rPr>
        <w:t>除非项目监理另有许可，在暴露出的挖方是适用材料和非适用材料相混杂的挖方部分，应分别开挖、移运。适用材料供填方使用，且不应被非适用材料污染，已污染的材料应按弃方处理。</w:t>
      </w:r>
    </w:p>
    <w:p>
      <w:pPr>
        <w:pStyle w:val="1280"/>
        <w:ind w:firstLine="440"/>
        <w:rPr>
          <w:rFonts w:ascii="宋体"/>
        </w:rPr>
      </w:pPr>
      <w:r>
        <w:rPr>
          <w:rFonts w:hint="eastAsia" w:ascii="宋体"/>
        </w:rPr>
        <w:t>4）</w:t>
      </w:r>
      <w:r>
        <w:rPr>
          <w:rFonts w:ascii="宋体"/>
        </w:rPr>
        <w:t>经项目监理批准，在路基挖方或填方区内挖除的非适用材料，应按弃方要求处理。</w:t>
      </w:r>
    </w:p>
    <w:p>
      <w:pPr>
        <w:pStyle w:val="1280"/>
        <w:ind w:firstLine="440"/>
        <w:rPr>
          <w:rFonts w:ascii="宋体"/>
        </w:rPr>
      </w:pPr>
      <w:r>
        <w:rPr>
          <w:rFonts w:hint="eastAsia" w:ascii="宋体"/>
        </w:rPr>
        <w:t>（4）</w:t>
      </w:r>
      <w:r>
        <w:rPr>
          <w:rFonts w:ascii="宋体"/>
        </w:rPr>
        <w:t>弃方的处理</w:t>
      </w:r>
    </w:p>
    <w:p>
      <w:pPr>
        <w:pStyle w:val="1280"/>
        <w:ind w:firstLine="440"/>
        <w:rPr>
          <w:rFonts w:ascii="宋体"/>
        </w:rPr>
      </w:pPr>
      <w:r>
        <w:rPr>
          <w:rFonts w:hint="eastAsia" w:ascii="宋体"/>
        </w:rPr>
        <w:t>1）</w:t>
      </w:r>
      <w:r>
        <w:rPr>
          <w:rFonts w:ascii="宋体"/>
        </w:rPr>
        <w:t>承包商在有弃方的路段开工前至少28天，应提出开挖、调运施工方案报项目监理批准。该方案包括挖方及弃方的数量、调运方案、弃方位置及其堆放形式、坡脚加固处理、排水系统的布置以及有关的计划安排等。</w:t>
      </w:r>
    </w:p>
    <w:p>
      <w:pPr>
        <w:pStyle w:val="1280"/>
        <w:ind w:firstLine="440"/>
        <w:rPr>
          <w:rFonts w:ascii="宋体"/>
        </w:rPr>
      </w:pPr>
      <w:r>
        <w:rPr>
          <w:rFonts w:hint="eastAsia" w:ascii="宋体"/>
        </w:rPr>
        <w:t>2）</w:t>
      </w:r>
      <w:r>
        <w:rPr>
          <w:rFonts w:ascii="宋体"/>
        </w:rPr>
        <w:t>弃土场的位置由承包商自行调查确定，并得到相关部门的批准。当弃土场的位置、堆放形式或施工方案等有更改时，必须在更改前不少于14天将更改方案报项目监理批准。</w:t>
      </w:r>
    </w:p>
    <w:p>
      <w:pPr>
        <w:pStyle w:val="1280"/>
        <w:ind w:firstLine="440"/>
        <w:rPr>
          <w:rFonts w:ascii="宋体"/>
        </w:rPr>
      </w:pPr>
      <w:r>
        <w:rPr>
          <w:rFonts w:hint="eastAsia" w:ascii="宋体"/>
        </w:rPr>
        <w:t>3）</w:t>
      </w:r>
      <w:r>
        <w:rPr>
          <w:rFonts w:ascii="宋体"/>
        </w:rPr>
        <w:t>弃土堆应堆置整齐、稳定，排水畅通，避免对土堆周围的建筑物、排水及其它任何设施产生干扰或损坏，避免对环境造成污染。否则，因此而引起的一切责任，应由承包商自费处理。</w:t>
      </w:r>
    </w:p>
    <w:p>
      <w:pPr>
        <w:pStyle w:val="1280"/>
        <w:ind w:firstLine="440"/>
        <w:rPr>
          <w:rFonts w:ascii="宋体"/>
        </w:rPr>
      </w:pPr>
      <w:r>
        <w:rPr>
          <w:rFonts w:hint="eastAsia" w:ascii="宋体"/>
        </w:rPr>
        <w:t>4）</w:t>
      </w:r>
      <w:r>
        <w:rPr>
          <w:rFonts w:ascii="宋体"/>
        </w:rPr>
        <w:t>沿线弃土堆设置应符合图纸要求</w:t>
      </w:r>
    </w:p>
    <w:p>
      <w:pPr>
        <w:pStyle w:val="1280"/>
        <w:ind w:firstLine="440"/>
        <w:rPr>
          <w:rFonts w:ascii="宋体"/>
        </w:rPr>
      </w:pPr>
      <w:r>
        <w:rPr>
          <w:rFonts w:ascii="宋体"/>
        </w:rPr>
        <w:t>弃土不得占用耕地。沿河弃不得影响排洪、通航，不得加剧可岸冲刷。不得向水库、湖泊、岩溶漏斗及暗河口处弃土。禁止在贴近桥墩台、涵洞口处弃土。</w:t>
      </w:r>
    </w:p>
    <w:p>
      <w:pPr>
        <w:pStyle w:val="1280"/>
        <w:ind w:firstLine="440"/>
        <w:rPr>
          <w:rFonts w:ascii="宋体"/>
        </w:rPr>
      </w:pPr>
      <w:r>
        <w:rPr>
          <w:rFonts w:hint="eastAsia" w:ascii="宋体"/>
        </w:rPr>
        <w:t>5）</w:t>
      </w:r>
      <w:r>
        <w:rPr>
          <w:rFonts w:ascii="宋体"/>
        </w:rPr>
        <w:t>弃土应按图纸要求进行压实，且应按图纸要求及时完成弃土场的结构防护、排水工程。承包商还应按本规范的有关技术要求对弃土场进行绿化，以保障生态环境不受破坏。</w:t>
      </w:r>
    </w:p>
    <w:p>
      <w:pPr>
        <w:pStyle w:val="1280"/>
        <w:ind w:firstLine="440"/>
        <w:rPr>
          <w:rFonts w:ascii="宋体"/>
        </w:rPr>
      </w:pPr>
      <w:r>
        <w:rPr>
          <w:rFonts w:hint="eastAsia" w:ascii="宋体"/>
        </w:rPr>
        <w:t>（5）</w:t>
      </w:r>
      <w:r>
        <w:rPr>
          <w:rFonts w:ascii="宋体"/>
        </w:rPr>
        <w:t>边沟、截水沟、排水沟的开挖</w:t>
      </w:r>
    </w:p>
    <w:p>
      <w:pPr>
        <w:pStyle w:val="1280"/>
        <w:ind w:firstLine="440"/>
        <w:rPr>
          <w:rFonts w:ascii="宋体"/>
        </w:rPr>
      </w:pPr>
      <w:r>
        <w:rPr>
          <w:rFonts w:hint="eastAsia" w:ascii="宋体"/>
        </w:rPr>
        <w:t>1）</w:t>
      </w:r>
      <w:r>
        <w:rPr>
          <w:rFonts w:ascii="宋体"/>
        </w:rPr>
        <w:t>边沟、截水沟和排水沟开挖的位置、断面尺寸和沟底纵坡应符合图纸或项目监理的要求。当其需要铺砌时，应按图纸或项目监理的指示，增加开挖深度和宽度。</w:t>
      </w:r>
    </w:p>
    <w:p>
      <w:pPr>
        <w:pStyle w:val="1280"/>
        <w:ind w:firstLine="440"/>
        <w:rPr>
          <w:rFonts w:ascii="宋体"/>
        </w:rPr>
      </w:pPr>
      <w:r>
        <w:rPr>
          <w:rFonts w:hint="eastAsia" w:ascii="宋体"/>
        </w:rPr>
        <w:t>2）</w:t>
      </w:r>
      <w:r>
        <w:rPr>
          <w:rFonts w:ascii="宋体"/>
        </w:rPr>
        <w:t>在有超高路段的边沟沟底纵坡，应与曲线段前后沟底相衔接，不允许曲线段内侧边沟积水或外溢。</w:t>
      </w:r>
    </w:p>
    <w:p>
      <w:pPr>
        <w:pStyle w:val="1280"/>
        <w:ind w:firstLine="440"/>
        <w:rPr>
          <w:rFonts w:ascii="宋体"/>
        </w:rPr>
      </w:pPr>
      <w:r>
        <w:rPr>
          <w:rFonts w:hint="eastAsia" w:ascii="宋体"/>
        </w:rPr>
        <w:t>3）</w:t>
      </w:r>
      <w:r>
        <w:rPr>
          <w:rFonts w:ascii="宋体"/>
        </w:rPr>
        <w:t>路堑与路堤连接处，边沟应缓顺引向路堤两侧的自然沟或排水沟，勿使路堤附近积水，亦不得冲蚀路堤。</w:t>
      </w:r>
    </w:p>
    <w:p>
      <w:pPr>
        <w:pStyle w:val="1280"/>
        <w:ind w:firstLine="440"/>
        <w:rPr>
          <w:rFonts w:ascii="宋体"/>
        </w:rPr>
      </w:pPr>
      <w:r>
        <w:rPr>
          <w:rFonts w:hint="eastAsia" w:ascii="宋体"/>
        </w:rPr>
        <w:t>4）</w:t>
      </w:r>
      <w:r>
        <w:rPr>
          <w:rFonts w:ascii="宋体"/>
        </w:rPr>
        <w:t>开炸石质边沟、排水沟，应用小孔、少量炸药。超挖部分，要用小石块浆砌密实，沟底凸出部分，应予凿平。</w:t>
      </w:r>
    </w:p>
    <w:p>
      <w:pPr>
        <w:pStyle w:val="1280"/>
        <w:ind w:firstLine="440"/>
        <w:rPr>
          <w:rFonts w:ascii="宋体"/>
        </w:rPr>
      </w:pPr>
      <w:r>
        <w:rPr>
          <w:rFonts w:hint="eastAsia" w:ascii="宋体"/>
        </w:rPr>
        <w:t>5）</w:t>
      </w:r>
      <w:r>
        <w:rPr>
          <w:rFonts w:ascii="宋体"/>
        </w:rPr>
        <w:t>边沟与截水沟应从下游向上游开挖。截水沟通过地面坑凹处时，应将凹处填平夯实。边沟及截水沟开挖后，应及时进行防渗处理，不得渗漏、积水和冲刷边坡及路基。</w:t>
      </w:r>
    </w:p>
    <w:p>
      <w:pPr>
        <w:pStyle w:val="1280"/>
        <w:ind w:firstLine="440"/>
        <w:rPr>
          <w:rFonts w:ascii="宋体"/>
        </w:rPr>
      </w:pPr>
      <w:r>
        <w:rPr>
          <w:rFonts w:hint="eastAsia" w:ascii="宋体"/>
        </w:rPr>
        <w:t>（6）</w:t>
      </w:r>
      <w:r>
        <w:rPr>
          <w:rFonts w:ascii="宋体"/>
        </w:rPr>
        <w:t>改河、改渠、改路的开挖</w:t>
      </w:r>
    </w:p>
    <w:p>
      <w:pPr>
        <w:pStyle w:val="1280"/>
        <w:ind w:firstLine="440"/>
        <w:rPr>
          <w:rFonts w:ascii="宋体"/>
        </w:rPr>
      </w:pPr>
      <w:r>
        <w:rPr>
          <w:rFonts w:ascii="宋体"/>
        </w:rPr>
        <w:t>按图纸所示的位置和断面尺寸进行施工。开挖出的土方除可利用的外，应按弃方妥善处理。</w:t>
      </w:r>
    </w:p>
    <w:p>
      <w:pPr>
        <w:pStyle w:val="1280"/>
        <w:ind w:firstLine="440"/>
        <w:rPr>
          <w:rFonts w:ascii="宋体"/>
        </w:rPr>
      </w:pPr>
      <w:bookmarkStart w:id="4373" w:name="_Toc320555487"/>
      <w:r>
        <w:rPr>
          <w:rFonts w:hint="eastAsia" w:ascii="宋体"/>
        </w:rPr>
        <w:t>3、</w:t>
      </w:r>
      <w:r>
        <w:rPr>
          <w:rFonts w:ascii="宋体"/>
        </w:rPr>
        <w:t>质量检验</w:t>
      </w:r>
      <w:bookmarkEnd w:id="4373"/>
    </w:p>
    <w:p>
      <w:pPr>
        <w:pStyle w:val="1280"/>
        <w:ind w:firstLine="440"/>
        <w:rPr>
          <w:rFonts w:ascii="宋体"/>
        </w:rPr>
      </w:pPr>
      <w:r>
        <w:rPr>
          <w:rFonts w:hint="eastAsia" w:ascii="宋体"/>
        </w:rPr>
        <w:t>（1）</w:t>
      </w:r>
      <w:r>
        <w:rPr>
          <w:rFonts w:ascii="宋体"/>
        </w:rPr>
        <w:t>基本要求</w:t>
      </w:r>
    </w:p>
    <w:p>
      <w:pPr>
        <w:pStyle w:val="1280"/>
        <w:ind w:firstLine="440"/>
        <w:rPr>
          <w:rFonts w:ascii="宋体"/>
        </w:rPr>
      </w:pPr>
      <w:r>
        <w:rPr>
          <w:rFonts w:hint="eastAsia" w:ascii="宋体"/>
        </w:rPr>
        <w:t>1）</w:t>
      </w:r>
      <w:r>
        <w:rPr>
          <w:rFonts w:ascii="宋体"/>
        </w:rPr>
        <w:t>路基的路床标高、宽度、线形及边坡坡度应符合图纸要求；边沟、截水沟和排水沟沟底无阻水、积水现象，具备铺砌要求；临时排水设施与现有排水沟渠连通，挖出的废方按指定的地点整齐堆放。</w:t>
      </w:r>
    </w:p>
    <w:p>
      <w:pPr>
        <w:pStyle w:val="1280"/>
        <w:ind w:firstLine="440"/>
        <w:rPr>
          <w:rFonts w:ascii="宋体"/>
        </w:rPr>
      </w:pPr>
      <w:r>
        <w:rPr>
          <w:rFonts w:hint="eastAsia" w:ascii="宋体"/>
        </w:rPr>
        <w:t>2）</w:t>
      </w:r>
      <w:r>
        <w:rPr>
          <w:rFonts w:ascii="宋体"/>
        </w:rPr>
        <w:t>石方边坡平顺稳定，无险石、悬石。</w:t>
      </w:r>
    </w:p>
    <w:p>
      <w:pPr>
        <w:pStyle w:val="1280"/>
        <w:ind w:firstLine="440"/>
        <w:rPr>
          <w:rFonts w:ascii="宋体"/>
        </w:rPr>
      </w:pPr>
      <w:r>
        <w:rPr>
          <w:rFonts w:hint="eastAsia" w:ascii="宋体"/>
        </w:rPr>
        <w:t>3）</w:t>
      </w:r>
      <w:r>
        <w:rPr>
          <w:rFonts w:ascii="宋体"/>
        </w:rPr>
        <w:t>对质量检验不合格的工程，承包商须整改或进行返工，业主不承担额外的费用。</w:t>
      </w:r>
    </w:p>
    <w:p>
      <w:pPr>
        <w:pStyle w:val="1280"/>
        <w:ind w:firstLine="440"/>
        <w:rPr>
          <w:rFonts w:ascii="宋体"/>
        </w:rPr>
      </w:pPr>
      <w:r>
        <w:rPr>
          <w:rFonts w:hint="eastAsia" w:ascii="宋体"/>
        </w:rPr>
        <w:t>4）</w:t>
      </w:r>
      <w:r>
        <w:rPr>
          <w:rFonts w:ascii="宋体"/>
        </w:rPr>
        <w:t>石质边坡不宜超挖。</w:t>
      </w:r>
    </w:p>
    <w:p>
      <w:pPr>
        <w:pStyle w:val="1280"/>
        <w:ind w:firstLine="440"/>
        <w:rPr>
          <w:rFonts w:ascii="宋体"/>
        </w:rPr>
      </w:pPr>
      <w:r>
        <w:rPr>
          <w:rFonts w:hint="eastAsia" w:ascii="宋体"/>
        </w:rPr>
        <w:t>（2）</w:t>
      </w:r>
      <w:r>
        <w:rPr>
          <w:rFonts w:ascii="宋体"/>
        </w:rPr>
        <w:t>检查项目及标准</w:t>
      </w:r>
    </w:p>
    <w:p>
      <w:pPr>
        <w:pStyle w:val="1280"/>
        <w:ind w:firstLine="440"/>
        <w:rPr>
          <w:rFonts w:ascii="宋体"/>
        </w:rPr>
      </w:pPr>
      <w:r>
        <w:rPr>
          <w:rFonts w:ascii="宋体"/>
        </w:rPr>
        <w:t>土方路基检查项目及检验标准见表</w:t>
      </w:r>
      <w:r>
        <w:rPr>
          <w:rFonts w:hint="eastAsia" w:ascii="宋体"/>
        </w:rPr>
        <w:t>4-3</w:t>
      </w:r>
      <w:r>
        <w:rPr>
          <w:rFonts w:ascii="宋体"/>
        </w:rPr>
        <w:t>-1。</w:t>
      </w:r>
    </w:p>
    <w:p>
      <w:pPr>
        <w:pStyle w:val="1280"/>
        <w:ind w:firstLine="440"/>
        <w:rPr>
          <w:rFonts w:ascii="宋体"/>
        </w:rPr>
      </w:pPr>
      <w:r>
        <w:rPr>
          <w:rFonts w:ascii="宋体"/>
        </w:rPr>
        <w:t>石方路基检查项目及检验标准见表</w:t>
      </w:r>
      <w:r>
        <w:rPr>
          <w:rFonts w:hint="eastAsia" w:ascii="宋体"/>
        </w:rPr>
        <w:t>4-3</w:t>
      </w:r>
      <w:r>
        <w:rPr>
          <w:rFonts w:ascii="宋体"/>
        </w:rPr>
        <w:t>-2。</w:t>
      </w:r>
    </w:p>
    <w:p>
      <w:pPr>
        <w:pStyle w:val="1280"/>
        <w:ind w:firstLine="440"/>
        <w:rPr>
          <w:rFonts w:ascii="宋体"/>
        </w:rPr>
      </w:pPr>
      <w:r>
        <w:rPr>
          <w:rFonts w:hint="eastAsia" w:ascii="宋体"/>
        </w:rPr>
        <w:t>（3）</w:t>
      </w:r>
      <w:r>
        <w:rPr>
          <w:rFonts w:ascii="宋体"/>
        </w:rPr>
        <w:t>外观鉴定</w:t>
      </w:r>
    </w:p>
    <w:p>
      <w:pPr>
        <w:pStyle w:val="1280"/>
        <w:ind w:firstLine="440"/>
        <w:rPr>
          <w:rFonts w:ascii="宋体"/>
        </w:rPr>
      </w:pPr>
      <w:r>
        <w:rPr>
          <w:rFonts w:hint="eastAsia" w:ascii="宋体"/>
        </w:rPr>
        <w:t>1）</w:t>
      </w:r>
      <w:r>
        <w:rPr>
          <w:rFonts w:ascii="宋体"/>
        </w:rPr>
        <w:t>路基表面平整、密实，曲线圆滑，边线顺直。</w:t>
      </w:r>
    </w:p>
    <w:p>
      <w:pPr>
        <w:pStyle w:val="1280"/>
        <w:ind w:firstLine="440"/>
        <w:rPr>
          <w:rFonts w:ascii="宋体"/>
        </w:rPr>
      </w:pPr>
      <w:r>
        <w:rPr>
          <w:rFonts w:hint="eastAsia" w:ascii="宋体"/>
        </w:rPr>
        <w:t>2）</w:t>
      </w:r>
      <w:r>
        <w:rPr>
          <w:rFonts w:ascii="宋体"/>
        </w:rPr>
        <w:t>边坡坡面平顺稳定。</w:t>
      </w:r>
    </w:p>
    <w:p>
      <w:pPr>
        <w:pStyle w:val="1280"/>
        <w:ind w:firstLine="440"/>
        <w:rPr>
          <w:rFonts w:ascii="宋体"/>
        </w:rPr>
      </w:pPr>
      <w:r>
        <w:rPr>
          <w:rFonts w:hint="eastAsia" w:ascii="宋体"/>
        </w:rPr>
        <w:t>3）</w:t>
      </w:r>
      <w:r>
        <w:rPr>
          <w:rFonts w:ascii="宋体"/>
        </w:rPr>
        <w:t>边沟整齐，沟底无阻水或积水现象。</w:t>
      </w:r>
    </w:p>
    <w:p>
      <w:pPr>
        <w:pStyle w:val="1286"/>
        <w:jc w:val="center"/>
        <w:rPr>
          <w:rFonts w:ascii="宋体" w:hAnsi="宋体"/>
          <w:color w:val="auto"/>
        </w:rPr>
      </w:pPr>
      <w:r>
        <w:rPr>
          <w:rFonts w:ascii="宋体" w:hAnsi="宋体"/>
          <w:color w:val="auto"/>
        </w:rPr>
        <w:t>表</w:t>
      </w:r>
      <w:r>
        <w:rPr>
          <w:rFonts w:hint="eastAsia" w:ascii="宋体" w:hAnsi="宋体"/>
          <w:color w:val="auto"/>
        </w:rPr>
        <w:t>4-3</w:t>
      </w:r>
      <w:r>
        <w:rPr>
          <w:rFonts w:ascii="宋体" w:hAnsi="宋体"/>
          <w:color w:val="auto"/>
        </w:rPr>
        <w:t>-1</w:t>
      </w:r>
      <w:r>
        <w:rPr>
          <w:rFonts w:hint="eastAsia" w:ascii="宋体" w:hAnsi="宋体"/>
          <w:color w:val="auto"/>
        </w:rPr>
        <w:t xml:space="preserve">   </w:t>
      </w:r>
      <w:r>
        <w:rPr>
          <w:rFonts w:ascii="宋体" w:hAnsi="宋体"/>
          <w:color w:val="auto"/>
        </w:rPr>
        <w:t>土方路基检查项目</w:t>
      </w:r>
    </w:p>
    <w:tbl>
      <w:tblPr>
        <w:tblStyle w:val="77"/>
        <w:tblW w:w="86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417"/>
        <w:gridCol w:w="1701"/>
        <w:gridCol w:w="992"/>
        <w:gridCol w:w="693"/>
        <w:gridCol w:w="16"/>
        <w:gridCol w:w="650"/>
        <w:gridCol w:w="59"/>
        <w:gridCol w:w="385"/>
        <w:gridCol w:w="2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项目</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允许偏差</w:t>
            </w:r>
          </w:p>
        </w:tc>
        <w:tc>
          <w:tcPr>
            <w:tcW w:w="2795" w:type="dxa"/>
            <w:gridSpan w:val="6"/>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检验频率</w:t>
            </w:r>
          </w:p>
        </w:tc>
        <w:tc>
          <w:tcPr>
            <w:tcW w:w="2308"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范围（m）</w:t>
            </w:r>
          </w:p>
        </w:tc>
        <w:tc>
          <w:tcPr>
            <w:tcW w:w="1803" w:type="dxa"/>
            <w:gridSpan w:val="5"/>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点数</w:t>
            </w: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路床纵断高程（mm）</w:t>
            </w:r>
          </w:p>
        </w:tc>
        <w:tc>
          <w:tcPr>
            <w:tcW w:w="1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p>
            <w:pPr>
              <w:pStyle w:val="1286"/>
              <w:rPr>
                <w:rFonts w:ascii="宋体" w:hAnsi="宋体"/>
                <w:color w:val="auto"/>
              </w:rPr>
            </w:pPr>
            <w:r>
              <w:rPr>
                <w:rFonts w:ascii="宋体" w:hAnsi="宋体"/>
                <w:color w:val="auto"/>
              </w:rPr>
              <w:t>+10</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1803" w:type="dxa"/>
            <w:gridSpan w:val="5"/>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23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用水准仪测量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路床中线偏位（mm）</w:t>
            </w:r>
          </w:p>
        </w:tc>
        <w:tc>
          <w:tcPr>
            <w:tcW w:w="1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100</w:t>
            </w:r>
          </w:p>
        </w:tc>
        <w:tc>
          <w:tcPr>
            <w:tcW w:w="1803" w:type="dxa"/>
            <w:gridSpan w:val="5"/>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23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用经纬仪、钢尺量取最大值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26"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平</w:t>
            </w:r>
          </w:p>
          <w:p>
            <w:pPr>
              <w:pStyle w:val="1286"/>
              <w:rPr>
                <w:rFonts w:ascii="宋体" w:hAnsi="宋体"/>
                <w:color w:val="auto"/>
              </w:rPr>
            </w:pPr>
            <w:r>
              <w:rPr>
                <w:rFonts w:ascii="宋体" w:hAnsi="宋体"/>
                <w:color w:val="auto"/>
              </w:rPr>
              <w:t>整</w:t>
            </w:r>
          </w:p>
          <w:p>
            <w:pPr>
              <w:pStyle w:val="1286"/>
              <w:rPr>
                <w:rFonts w:ascii="宋体" w:hAnsi="宋体"/>
                <w:color w:val="auto"/>
              </w:rPr>
            </w:pPr>
            <w:r>
              <w:rPr>
                <w:rFonts w:ascii="宋体" w:hAnsi="宋体"/>
                <w:color w:val="auto"/>
              </w:rPr>
              <w:t>度</w:t>
            </w:r>
          </w:p>
        </w:tc>
        <w:tc>
          <w:tcPr>
            <w:tcW w:w="1417"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路基各压实层</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709" w:type="dxa"/>
            <w:gridSpan w:val="2"/>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路宽（m）</w:t>
            </w:r>
          </w:p>
        </w:tc>
        <w:tc>
          <w:tcPr>
            <w:tcW w:w="709"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＜9</w:t>
            </w:r>
          </w:p>
        </w:tc>
        <w:tc>
          <w:tcPr>
            <w:tcW w:w="38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2308"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用3m直尺和塞尺连续量两尺取较大值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trPr>
        <w:tc>
          <w:tcPr>
            <w:tcW w:w="426"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09" w:type="dxa"/>
            <w:gridSpan w:val="2"/>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09" w:type="dxa"/>
            <w:gridSpan w:val="2"/>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9～15</w:t>
            </w:r>
          </w:p>
        </w:tc>
        <w:tc>
          <w:tcPr>
            <w:tcW w:w="385"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trPr>
        <w:tc>
          <w:tcPr>
            <w:tcW w:w="426"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417"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  床</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09" w:type="dxa"/>
            <w:gridSpan w:val="2"/>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09" w:type="dxa"/>
            <w:gridSpan w:val="2"/>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385"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26"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09" w:type="dxa"/>
            <w:gridSpan w:val="2"/>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09"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38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w:t>
            </w: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路床宽度（mm）</w:t>
            </w:r>
          </w:p>
        </w:tc>
        <w:tc>
          <w:tcPr>
            <w:tcW w:w="1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不小于设计值＋B</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1803" w:type="dxa"/>
            <w:gridSpan w:val="5"/>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23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用钢尺量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路床横坡</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±0.3%且不反坡</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693"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路宽（m）</w:t>
            </w:r>
          </w:p>
        </w:tc>
        <w:tc>
          <w:tcPr>
            <w:tcW w:w="666"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＜9</w:t>
            </w:r>
          </w:p>
        </w:tc>
        <w:tc>
          <w:tcPr>
            <w:tcW w:w="444"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2308"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用水准仪测量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693"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666"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9～15</w:t>
            </w:r>
          </w:p>
        </w:tc>
        <w:tc>
          <w:tcPr>
            <w:tcW w:w="444"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693"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666"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444"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6</w:t>
            </w: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43"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边坡</w:t>
            </w:r>
          </w:p>
        </w:tc>
        <w:tc>
          <w:tcPr>
            <w:tcW w:w="1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不陡于设计值</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1803" w:type="dxa"/>
            <w:gridSpan w:val="5"/>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23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用坡度尺量，每侧1点</w:t>
            </w:r>
          </w:p>
        </w:tc>
      </w:tr>
    </w:tbl>
    <w:p>
      <w:pPr>
        <w:pStyle w:val="1286"/>
        <w:rPr>
          <w:rFonts w:ascii="宋体" w:hAnsi="宋体"/>
          <w:color w:val="auto"/>
        </w:rPr>
      </w:pPr>
      <w:r>
        <w:rPr>
          <w:rFonts w:ascii="宋体" w:hAnsi="宋体"/>
          <w:color w:val="auto"/>
        </w:rPr>
        <w:t>注：B为施工时必要的附加宽度</w:t>
      </w:r>
    </w:p>
    <w:p>
      <w:pPr>
        <w:pStyle w:val="1286"/>
        <w:jc w:val="center"/>
        <w:rPr>
          <w:rFonts w:ascii="宋体" w:hAnsi="宋体"/>
          <w:color w:val="auto"/>
        </w:rPr>
      </w:pPr>
      <w:r>
        <w:rPr>
          <w:rFonts w:ascii="宋体" w:hAnsi="宋体"/>
          <w:color w:val="auto"/>
        </w:rPr>
        <w:t>表</w:t>
      </w:r>
      <w:r>
        <w:rPr>
          <w:rFonts w:hint="eastAsia" w:ascii="宋体" w:hAnsi="宋体"/>
          <w:color w:val="auto"/>
        </w:rPr>
        <w:t>4-3</w:t>
      </w:r>
      <w:r>
        <w:rPr>
          <w:rFonts w:ascii="宋体" w:hAnsi="宋体"/>
          <w:color w:val="auto"/>
        </w:rPr>
        <w:t>-2</w:t>
      </w:r>
      <w:r>
        <w:rPr>
          <w:rFonts w:hint="eastAsia" w:ascii="宋体" w:hAnsi="宋体"/>
          <w:color w:val="auto"/>
        </w:rPr>
        <w:t xml:space="preserve">      </w:t>
      </w:r>
      <w:r>
        <w:rPr>
          <w:rFonts w:ascii="宋体" w:hAnsi="宋体"/>
          <w:color w:val="auto"/>
        </w:rPr>
        <w:t>石方路基实测项目</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2"/>
        <w:gridCol w:w="1843"/>
        <w:gridCol w:w="993"/>
        <w:gridCol w:w="960"/>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892"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项目</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允许偏差</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检验频率</w:t>
            </w:r>
          </w:p>
        </w:tc>
        <w:tc>
          <w:tcPr>
            <w:tcW w:w="2347" w:type="dxa"/>
            <w:vMerge w:val="restart"/>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1892"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范围（m）</w:t>
            </w:r>
          </w:p>
        </w:tc>
        <w:tc>
          <w:tcPr>
            <w:tcW w:w="96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点数</w:t>
            </w:r>
          </w:p>
        </w:tc>
        <w:tc>
          <w:tcPr>
            <w:tcW w:w="2347" w:type="dxa"/>
            <w:vMerge w:val="continue"/>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路床纵断高程（mm）</w:t>
            </w:r>
          </w:p>
        </w:tc>
        <w:tc>
          <w:tcPr>
            <w:tcW w:w="184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﹢50</w:t>
            </w:r>
          </w:p>
          <w:p>
            <w:pPr>
              <w:pStyle w:val="1286"/>
              <w:rPr>
                <w:rFonts w:ascii="宋体" w:hAnsi="宋体"/>
                <w:color w:val="auto"/>
              </w:rPr>
            </w:pPr>
            <w:r>
              <w:rPr>
                <w:rFonts w:ascii="宋体" w:hAnsi="宋体"/>
                <w:color w:val="auto"/>
              </w:rPr>
              <w:t>-100</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96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234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用水准仪测量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8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路床中线偏位 （mm）</w:t>
            </w:r>
          </w:p>
        </w:tc>
        <w:tc>
          <w:tcPr>
            <w:tcW w:w="184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100</w:t>
            </w:r>
          </w:p>
        </w:tc>
        <w:tc>
          <w:tcPr>
            <w:tcW w:w="96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234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用经纬仪、钢尺量取最大值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路床宽（mm）</w:t>
            </w:r>
          </w:p>
        </w:tc>
        <w:tc>
          <w:tcPr>
            <w:tcW w:w="184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不小于设计规定＋B</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96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234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用钢尺量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边坡（％）</w:t>
            </w:r>
          </w:p>
        </w:tc>
        <w:tc>
          <w:tcPr>
            <w:tcW w:w="184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不陡于设计规定</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96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234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用坡度尺量,每侧1点</w:t>
            </w:r>
          </w:p>
        </w:tc>
      </w:tr>
    </w:tbl>
    <w:p>
      <w:pPr>
        <w:pStyle w:val="1286"/>
        <w:rPr>
          <w:rFonts w:ascii="宋体" w:hAnsi="宋体"/>
          <w:color w:val="auto"/>
        </w:rPr>
      </w:pPr>
      <w:r>
        <w:rPr>
          <w:rFonts w:ascii="宋体" w:hAnsi="宋体"/>
          <w:color w:val="auto"/>
        </w:rPr>
        <w:t>注：B为施工时必要的附加宽度</w:t>
      </w:r>
    </w:p>
    <w:p>
      <w:pPr>
        <w:pStyle w:val="1280"/>
        <w:ind w:firstLine="440"/>
        <w:rPr>
          <w:rFonts w:ascii="宋体"/>
        </w:rPr>
      </w:pPr>
      <w:bookmarkStart w:id="4374" w:name="_Toc475588393"/>
    </w:p>
    <w:p>
      <w:pPr>
        <w:pStyle w:val="1288"/>
        <w:outlineLvl w:val="0"/>
        <w:rPr>
          <w:rFonts w:ascii="宋体" w:hAnsi="宋体"/>
          <w:color w:val="auto"/>
        </w:rPr>
      </w:pPr>
      <w:bookmarkStart w:id="4375" w:name="_Toc106050140"/>
      <w:bookmarkStart w:id="4376" w:name="_Toc106883404"/>
      <w:r>
        <w:rPr>
          <w:rFonts w:hint="eastAsia" w:ascii="宋体" w:hAnsi="宋体"/>
          <w:color w:val="auto"/>
        </w:rPr>
        <w:t>4.6.4.6.2</w:t>
      </w:r>
      <w:r>
        <w:rPr>
          <w:rFonts w:ascii="宋体" w:hAnsi="宋体"/>
          <w:color w:val="auto"/>
        </w:rPr>
        <w:t xml:space="preserve"> 填方</w:t>
      </w:r>
      <w:bookmarkEnd w:id="4374"/>
      <w:r>
        <w:rPr>
          <w:rFonts w:ascii="宋体" w:hAnsi="宋体"/>
          <w:color w:val="auto"/>
        </w:rPr>
        <w:t>路基</w:t>
      </w:r>
      <w:bookmarkEnd w:id="4375"/>
      <w:bookmarkEnd w:id="4376"/>
    </w:p>
    <w:p>
      <w:pPr>
        <w:pStyle w:val="1280"/>
        <w:ind w:firstLine="440"/>
        <w:rPr>
          <w:rFonts w:ascii="宋体"/>
        </w:rPr>
      </w:pPr>
      <w:r>
        <w:rPr>
          <w:rFonts w:hint="eastAsia" w:ascii="宋体"/>
        </w:rPr>
        <w:t>1、</w:t>
      </w:r>
      <w:r>
        <w:rPr>
          <w:rFonts w:ascii="宋体"/>
        </w:rPr>
        <w:t>填筑材料</w:t>
      </w:r>
    </w:p>
    <w:p>
      <w:pPr>
        <w:pStyle w:val="1280"/>
        <w:ind w:firstLine="440"/>
        <w:rPr>
          <w:rFonts w:ascii="宋体"/>
        </w:rPr>
      </w:pPr>
      <w:r>
        <w:rPr>
          <w:rFonts w:hint="eastAsia" w:ascii="宋体"/>
        </w:rPr>
        <w:t>（1）</w:t>
      </w:r>
      <w:r>
        <w:rPr>
          <w:rFonts w:ascii="宋体"/>
        </w:rPr>
        <w:t>凡具有规定强度且能被压实到规定密实度和能形成稳定填方的材料均为适用填料。通常情况下，下列材料为非适用材料：</w:t>
      </w:r>
    </w:p>
    <w:p>
      <w:pPr>
        <w:pStyle w:val="1280"/>
        <w:ind w:firstLine="440"/>
        <w:rPr>
          <w:rFonts w:ascii="宋体"/>
        </w:rPr>
      </w:pPr>
      <w:r>
        <w:rPr>
          <w:rFonts w:hint="eastAsia" w:ascii="宋体"/>
        </w:rPr>
        <w:t>1）</w:t>
      </w:r>
      <w:r>
        <w:rPr>
          <w:rFonts w:ascii="宋体"/>
        </w:rPr>
        <w:t>沼泽土、淤泥、泥炭、冻土、生活垃圾、建筑垃圾。</w:t>
      </w:r>
    </w:p>
    <w:p>
      <w:pPr>
        <w:pStyle w:val="1280"/>
        <w:ind w:firstLine="440"/>
        <w:rPr>
          <w:rFonts w:ascii="宋体"/>
        </w:rPr>
      </w:pPr>
      <w:r>
        <w:rPr>
          <w:rFonts w:hint="eastAsia" w:ascii="宋体"/>
        </w:rPr>
        <w:t>2）</w:t>
      </w:r>
      <w:r>
        <w:rPr>
          <w:rFonts w:ascii="宋体"/>
        </w:rPr>
        <w:t>含有树根和易腐朽物质的土。</w:t>
      </w:r>
    </w:p>
    <w:p>
      <w:pPr>
        <w:pStyle w:val="1280"/>
        <w:ind w:firstLine="440"/>
        <w:rPr>
          <w:rFonts w:ascii="宋体"/>
        </w:rPr>
      </w:pPr>
      <w:r>
        <w:rPr>
          <w:rFonts w:hint="eastAsia" w:ascii="宋体"/>
        </w:rPr>
        <w:t>3）</w:t>
      </w:r>
      <w:r>
        <w:rPr>
          <w:rFonts w:ascii="宋体"/>
        </w:rPr>
        <w:t>有机质含量大于5%的土。</w:t>
      </w:r>
    </w:p>
    <w:p>
      <w:pPr>
        <w:pStyle w:val="1280"/>
        <w:ind w:firstLine="440"/>
        <w:rPr>
          <w:rFonts w:ascii="宋体"/>
        </w:rPr>
      </w:pPr>
      <w:r>
        <w:rPr>
          <w:rFonts w:hint="eastAsia" w:ascii="宋体"/>
        </w:rPr>
        <w:t>4）</w:t>
      </w:r>
      <w:r>
        <w:rPr>
          <w:rFonts w:ascii="宋体"/>
        </w:rPr>
        <w:t>液限大于50%、塑性指数大于26的土。</w:t>
      </w:r>
    </w:p>
    <w:p>
      <w:pPr>
        <w:pStyle w:val="1280"/>
        <w:ind w:firstLine="440"/>
        <w:rPr>
          <w:rFonts w:ascii="宋体"/>
        </w:rPr>
      </w:pPr>
      <w:r>
        <w:rPr>
          <w:rFonts w:hint="eastAsia" w:ascii="宋体"/>
        </w:rPr>
        <w:t>（2）</w:t>
      </w:r>
      <w:r>
        <w:rPr>
          <w:rFonts w:ascii="宋体"/>
        </w:rPr>
        <w:t>对于盐渍土、膨胀土及含水量超过规定的土，不得直接作为路堤填料，在采取图纸要求的技术措施并经项目监理批准后，方可使用。</w:t>
      </w:r>
    </w:p>
    <w:p>
      <w:pPr>
        <w:pStyle w:val="1280"/>
        <w:ind w:firstLine="440"/>
        <w:rPr>
          <w:rFonts w:ascii="宋体"/>
        </w:rPr>
      </w:pPr>
      <w:r>
        <w:rPr>
          <w:rFonts w:hint="eastAsia" w:ascii="宋体"/>
        </w:rPr>
        <w:t>（3）</w:t>
      </w:r>
      <w:r>
        <w:rPr>
          <w:rFonts w:ascii="宋体"/>
        </w:rPr>
        <w:t>利用粉煤灰等工业废渣填筑路堤，应先进行试验，并将试验报告及其施工方案报项目监理批准后，方可使用。</w:t>
      </w:r>
    </w:p>
    <w:p>
      <w:pPr>
        <w:pStyle w:val="1280"/>
        <w:ind w:firstLine="440"/>
        <w:rPr>
          <w:rFonts w:ascii="宋体"/>
        </w:rPr>
      </w:pPr>
      <w:r>
        <w:rPr>
          <w:rFonts w:hint="eastAsia" w:ascii="宋体"/>
        </w:rPr>
        <w:t>（4）</w:t>
      </w:r>
      <w:r>
        <w:rPr>
          <w:rFonts w:ascii="宋体"/>
        </w:rPr>
        <w:t>对填挖交界、台背回填、上路床</w:t>
      </w:r>
      <w:r>
        <w:rPr>
          <w:rFonts w:hint="eastAsia" w:ascii="宋体"/>
        </w:rPr>
        <w:t>（</w:t>
      </w:r>
      <w:r>
        <w:rPr>
          <w:rFonts w:ascii="宋体"/>
        </w:rPr>
        <w:t>0～300mm</w:t>
      </w:r>
      <w:r>
        <w:rPr>
          <w:rFonts w:hint="eastAsia" w:ascii="宋体"/>
        </w:rPr>
        <w:t>）</w:t>
      </w:r>
      <w:r>
        <w:rPr>
          <w:rFonts w:ascii="宋体"/>
        </w:rPr>
        <w:t>等部位的填筑材料，应先报告项目监理批准后，方可使用。粉质土不宜直接填筑于路床，不得直接填筑于浸水部分的路提及冻土地区的路床。</w:t>
      </w:r>
    </w:p>
    <w:p>
      <w:pPr>
        <w:pStyle w:val="1280"/>
        <w:ind w:firstLine="440"/>
        <w:rPr>
          <w:rFonts w:ascii="宋体"/>
        </w:rPr>
      </w:pPr>
      <w:r>
        <w:rPr>
          <w:rFonts w:hint="eastAsia" w:ascii="宋体"/>
        </w:rPr>
        <w:t>（5）</w:t>
      </w:r>
      <w:r>
        <w:rPr>
          <w:rFonts w:ascii="宋体"/>
        </w:rPr>
        <w:t>填石路堤填料中其石块最大粒径应不大于500mm，并不宜超过层厚的2/3，不均匀系数宜为15～20；路床底床面以下400mm范围内，填料粒径应小于150mm。</w:t>
      </w:r>
    </w:p>
    <w:p>
      <w:pPr>
        <w:pStyle w:val="1280"/>
        <w:ind w:firstLine="440"/>
        <w:rPr>
          <w:rFonts w:ascii="宋体"/>
        </w:rPr>
      </w:pPr>
      <w:r>
        <w:rPr>
          <w:rFonts w:hint="eastAsia" w:ascii="宋体"/>
        </w:rPr>
        <w:t>（6）</w:t>
      </w:r>
      <w:r>
        <w:rPr>
          <w:rFonts w:ascii="宋体"/>
        </w:rPr>
        <w:t>路堤填料最小强度和最大粒径应符合表</w:t>
      </w:r>
      <w:r>
        <w:rPr>
          <w:rFonts w:hint="eastAsia" w:ascii="宋体"/>
        </w:rPr>
        <w:t>4-3</w:t>
      </w:r>
      <w:r>
        <w:rPr>
          <w:rFonts w:ascii="宋体"/>
        </w:rPr>
        <w:t>-</w:t>
      </w:r>
      <w:r>
        <w:rPr>
          <w:rFonts w:hint="eastAsia" w:ascii="宋体"/>
        </w:rPr>
        <w:t>3</w:t>
      </w:r>
      <w:r>
        <w:rPr>
          <w:rFonts w:ascii="宋体"/>
        </w:rPr>
        <w:t>要求。</w:t>
      </w:r>
    </w:p>
    <w:p>
      <w:pPr>
        <w:pStyle w:val="1286"/>
        <w:jc w:val="center"/>
        <w:rPr>
          <w:rFonts w:ascii="宋体" w:hAnsi="宋体"/>
          <w:color w:val="auto"/>
        </w:rPr>
      </w:pPr>
      <w:r>
        <w:rPr>
          <w:rFonts w:ascii="宋体" w:hAnsi="宋体"/>
          <w:color w:val="auto"/>
        </w:rPr>
        <w:t>表</w:t>
      </w:r>
      <w:r>
        <w:rPr>
          <w:rFonts w:hint="eastAsia" w:ascii="宋体" w:hAnsi="宋体"/>
          <w:color w:val="auto"/>
        </w:rPr>
        <w:t>4-3</w:t>
      </w:r>
      <w:r>
        <w:rPr>
          <w:rFonts w:ascii="宋体" w:hAnsi="宋体"/>
          <w:color w:val="auto"/>
        </w:rPr>
        <w:t>-</w:t>
      </w:r>
      <w:r>
        <w:rPr>
          <w:rFonts w:hint="eastAsia" w:ascii="宋体" w:hAnsi="宋体"/>
          <w:color w:val="auto"/>
        </w:rPr>
        <w:t>3</w:t>
      </w:r>
      <w:r>
        <w:rPr>
          <w:rFonts w:ascii="宋体" w:hAnsi="宋体"/>
          <w:color w:val="auto"/>
        </w:rPr>
        <w:t xml:space="preserve"> 路基</w:t>
      </w:r>
      <w:r>
        <w:rPr>
          <w:rFonts w:hint="eastAsia" w:ascii="宋体" w:hAnsi="宋体"/>
          <w:color w:val="auto"/>
        </w:rPr>
        <w:t>压实度、</w:t>
      </w:r>
      <w:r>
        <w:rPr>
          <w:rFonts w:ascii="宋体" w:hAnsi="宋体"/>
          <w:color w:val="auto"/>
        </w:rPr>
        <w:t>填料最小强度和最大粒径要求</w:t>
      </w:r>
    </w:p>
    <w:tbl>
      <w:tblPr>
        <w:tblStyle w:val="77"/>
        <w:tblW w:w="4391"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1" w:type="dxa"/>
          <w:bottom w:w="0" w:type="dxa"/>
          <w:right w:w="11" w:type="dxa"/>
        </w:tblCellMar>
      </w:tblPr>
      <w:tblGrid>
        <w:gridCol w:w="1014"/>
        <w:gridCol w:w="1264"/>
        <w:gridCol w:w="669"/>
        <w:gridCol w:w="707"/>
        <w:gridCol w:w="574"/>
        <w:gridCol w:w="708"/>
        <w:gridCol w:w="710"/>
        <w:gridCol w:w="565"/>
        <w:gridCol w:w="12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cantSplit/>
          <w:tblHeader/>
          <w:jc w:val="center"/>
        </w:trPr>
        <w:tc>
          <w:tcPr>
            <w:tcW w:w="677" w:type="pct"/>
            <w:vMerge w:val="restart"/>
            <w:shd w:val="clear" w:color="auto" w:fill="auto"/>
            <w:vAlign w:val="center"/>
          </w:tcPr>
          <w:p>
            <w:pPr>
              <w:pStyle w:val="1286"/>
              <w:rPr>
                <w:rFonts w:ascii="宋体" w:hAnsi="宋体"/>
                <w:color w:val="auto"/>
              </w:rPr>
            </w:pPr>
            <w:r>
              <w:rPr>
                <w:rFonts w:ascii="宋体" w:hAnsi="宋体"/>
                <w:color w:val="auto"/>
              </w:rPr>
              <w:t>项目分类</w:t>
            </w:r>
          </w:p>
        </w:tc>
        <w:tc>
          <w:tcPr>
            <w:tcW w:w="844" w:type="pct"/>
            <w:vMerge w:val="restart"/>
            <w:shd w:val="clear" w:color="auto" w:fill="auto"/>
            <w:vAlign w:val="center"/>
          </w:tcPr>
          <w:p>
            <w:pPr>
              <w:pStyle w:val="1286"/>
              <w:rPr>
                <w:rFonts w:ascii="宋体" w:hAnsi="宋体"/>
                <w:color w:val="auto"/>
              </w:rPr>
            </w:pPr>
            <w:r>
              <w:rPr>
                <w:rFonts w:ascii="宋体" w:hAnsi="宋体"/>
                <w:color w:val="auto"/>
              </w:rPr>
              <w:t>路床顶面以下深度（cm）</w:t>
            </w:r>
          </w:p>
        </w:tc>
        <w:tc>
          <w:tcPr>
            <w:tcW w:w="1302" w:type="pct"/>
            <w:gridSpan w:val="3"/>
          </w:tcPr>
          <w:p>
            <w:pPr>
              <w:pStyle w:val="1286"/>
              <w:rPr>
                <w:rFonts w:ascii="宋体" w:hAnsi="宋体"/>
                <w:color w:val="auto"/>
              </w:rPr>
            </w:pPr>
            <w:r>
              <w:rPr>
                <w:rFonts w:ascii="宋体" w:hAnsi="宋体"/>
                <w:color w:val="auto"/>
              </w:rPr>
              <w:t>路基最小压实度（％）</w:t>
            </w:r>
          </w:p>
          <w:p>
            <w:pPr>
              <w:pStyle w:val="1286"/>
              <w:rPr>
                <w:rFonts w:ascii="宋体" w:hAnsi="宋体"/>
                <w:color w:val="auto"/>
              </w:rPr>
            </w:pPr>
            <w:r>
              <w:rPr>
                <w:rFonts w:ascii="宋体" w:hAnsi="宋体"/>
                <w:color w:val="auto"/>
              </w:rPr>
              <w:t>（重型击实）</w:t>
            </w:r>
          </w:p>
        </w:tc>
        <w:tc>
          <w:tcPr>
            <w:tcW w:w="1324" w:type="pct"/>
            <w:gridSpan w:val="3"/>
          </w:tcPr>
          <w:p>
            <w:pPr>
              <w:pStyle w:val="1286"/>
              <w:rPr>
                <w:rFonts w:ascii="宋体" w:hAnsi="宋体"/>
                <w:color w:val="auto"/>
              </w:rPr>
            </w:pPr>
            <w:r>
              <w:rPr>
                <w:rFonts w:ascii="宋体" w:hAnsi="宋体"/>
                <w:color w:val="auto"/>
              </w:rPr>
              <w:t>填料最小强度</w:t>
            </w:r>
          </w:p>
          <w:p>
            <w:pPr>
              <w:pStyle w:val="1286"/>
              <w:rPr>
                <w:rFonts w:ascii="宋体" w:hAnsi="宋体"/>
                <w:color w:val="auto"/>
              </w:rPr>
            </w:pPr>
            <w:r>
              <w:rPr>
                <w:rFonts w:ascii="宋体" w:hAnsi="宋体"/>
                <w:color w:val="auto"/>
              </w:rPr>
              <w:t>（CBR）%</w:t>
            </w:r>
          </w:p>
        </w:tc>
        <w:tc>
          <w:tcPr>
            <w:tcW w:w="853" w:type="pct"/>
            <w:vMerge w:val="restart"/>
            <w:shd w:val="clear" w:color="auto" w:fill="auto"/>
            <w:vAlign w:val="center"/>
          </w:tcPr>
          <w:p>
            <w:pPr>
              <w:pStyle w:val="1286"/>
              <w:rPr>
                <w:rFonts w:ascii="宋体" w:hAnsi="宋体"/>
                <w:color w:val="auto"/>
              </w:rPr>
            </w:pPr>
            <w:r>
              <w:rPr>
                <w:rFonts w:ascii="宋体" w:hAnsi="宋体"/>
                <w:color w:val="auto"/>
              </w:rPr>
              <w:t>最大粒径</w:t>
            </w:r>
          </w:p>
          <w:p>
            <w:pPr>
              <w:pStyle w:val="1286"/>
              <w:rPr>
                <w:rFonts w:ascii="宋体" w:hAnsi="宋体"/>
                <w:color w:val="auto"/>
              </w:rPr>
            </w:pPr>
            <w:r>
              <w:rPr>
                <w:rFonts w:ascii="宋体" w:hAnsi="宋体"/>
                <w:color w:val="auto"/>
              </w:rPr>
              <w:t>（mm）</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cantSplit/>
          <w:jc w:val="center"/>
        </w:trPr>
        <w:tc>
          <w:tcPr>
            <w:tcW w:w="677" w:type="pct"/>
            <w:vMerge w:val="continue"/>
            <w:shd w:val="clear" w:color="auto" w:fill="auto"/>
            <w:vAlign w:val="center"/>
          </w:tcPr>
          <w:p>
            <w:pPr>
              <w:pStyle w:val="1286"/>
              <w:rPr>
                <w:rFonts w:ascii="宋体" w:hAnsi="宋体"/>
                <w:color w:val="auto"/>
              </w:rPr>
            </w:pPr>
          </w:p>
        </w:tc>
        <w:tc>
          <w:tcPr>
            <w:tcW w:w="844" w:type="pct"/>
            <w:vMerge w:val="continue"/>
            <w:shd w:val="clear" w:color="auto" w:fill="auto"/>
            <w:vAlign w:val="center"/>
          </w:tcPr>
          <w:p>
            <w:pPr>
              <w:pStyle w:val="1286"/>
              <w:rPr>
                <w:rFonts w:ascii="宋体" w:hAnsi="宋体"/>
                <w:color w:val="auto"/>
              </w:rPr>
            </w:pPr>
          </w:p>
        </w:tc>
        <w:tc>
          <w:tcPr>
            <w:tcW w:w="447" w:type="pct"/>
          </w:tcPr>
          <w:p>
            <w:pPr>
              <w:pStyle w:val="1286"/>
              <w:rPr>
                <w:rFonts w:ascii="宋体" w:hAnsi="宋体"/>
                <w:color w:val="auto"/>
              </w:rPr>
            </w:pPr>
            <w:r>
              <w:rPr>
                <w:rFonts w:hint="eastAsia" w:ascii="宋体" w:hAnsi="宋体"/>
                <w:color w:val="auto"/>
              </w:rPr>
              <w:t>主干路</w:t>
            </w:r>
          </w:p>
        </w:tc>
        <w:tc>
          <w:tcPr>
            <w:tcW w:w="472" w:type="pct"/>
            <w:shd w:val="clear" w:color="auto" w:fill="auto"/>
            <w:vAlign w:val="center"/>
          </w:tcPr>
          <w:p>
            <w:pPr>
              <w:pStyle w:val="1286"/>
              <w:rPr>
                <w:rFonts w:ascii="宋体" w:hAnsi="宋体"/>
                <w:color w:val="auto"/>
              </w:rPr>
            </w:pPr>
            <w:r>
              <w:rPr>
                <w:rFonts w:ascii="宋体" w:hAnsi="宋体"/>
                <w:color w:val="auto"/>
              </w:rPr>
              <w:t>次干路</w:t>
            </w:r>
          </w:p>
        </w:tc>
        <w:tc>
          <w:tcPr>
            <w:tcW w:w="383" w:type="pct"/>
            <w:shd w:val="clear" w:color="auto" w:fill="auto"/>
            <w:vAlign w:val="center"/>
          </w:tcPr>
          <w:p>
            <w:pPr>
              <w:pStyle w:val="1286"/>
              <w:rPr>
                <w:rFonts w:ascii="宋体" w:hAnsi="宋体"/>
                <w:color w:val="auto"/>
              </w:rPr>
            </w:pPr>
            <w:r>
              <w:rPr>
                <w:rFonts w:ascii="宋体" w:hAnsi="宋体"/>
                <w:color w:val="auto"/>
              </w:rPr>
              <w:t>支路</w:t>
            </w:r>
          </w:p>
        </w:tc>
        <w:tc>
          <w:tcPr>
            <w:tcW w:w="473" w:type="pct"/>
          </w:tcPr>
          <w:p>
            <w:pPr>
              <w:pStyle w:val="1286"/>
              <w:rPr>
                <w:rFonts w:ascii="宋体" w:hAnsi="宋体"/>
                <w:color w:val="auto"/>
              </w:rPr>
            </w:pPr>
            <w:r>
              <w:rPr>
                <w:rFonts w:hint="eastAsia" w:ascii="宋体" w:hAnsi="宋体"/>
                <w:color w:val="auto"/>
              </w:rPr>
              <w:t>主干路</w:t>
            </w:r>
          </w:p>
        </w:tc>
        <w:tc>
          <w:tcPr>
            <w:tcW w:w="474" w:type="pct"/>
            <w:shd w:val="clear" w:color="auto" w:fill="auto"/>
            <w:vAlign w:val="center"/>
          </w:tcPr>
          <w:p>
            <w:pPr>
              <w:pStyle w:val="1286"/>
              <w:rPr>
                <w:rFonts w:ascii="宋体" w:hAnsi="宋体"/>
                <w:color w:val="auto"/>
              </w:rPr>
            </w:pPr>
            <w:r>
              <w:rPr>
                <w:rFonts w:ascii="宋体" w:hAnsi="宋体"/>
                <w:color w:val="auto"/>
              </w:rPr>
              <w:t>次干路</w:t>
            </w:r>
          </w:p>
        </w:tc>
        <w:tc>
          <w:tcPr>
            <w:tcW w:w="377" w:type="pct"/>
            <w:shd w:val="clear" w:color="auto" w:fill="auto"/>
            <w:vAlign w:val="center"/>
          </w:tcPr>
          <w:p>
            <w:pPr>
              <w:pStyle w:val="1286"/>
              <w:rPr>
                <w:rFonts w:ascii="宋体" w:hAnsi="宋体"/>
                <w:color w:val="auto"/>
              </w:rPr>
            </w:pPr>
            <w:r>
              <w:rPr>
                <w:rFonts w:ascii="宋体" w:hAnsi="宋体"/>
                <w:color w:val="auto"/>
              </w:rPr>
              <w:t>支路</w:t>
            </w:r>
          </w:p>
        </w:tc>
        <w:tc>
          <w:tcPr>
            <w:tcW w:w="853" w:type="pct"/>
            <w:vMerge w:val="continue"/>
            <w:shd w:val="clear" w:color="auto" w:fill="auto"/>
            <w:vAlign w:val="center"/>
          </w:tcPr>
          <w:p>
            <w:pPr>
              <w:pStyle w:val="1286"/>
              <w:rPr>
                <w:rFonts w:ascii="宋体" w:hAnsi="宋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cantSplit/>
          <w:jc w:val="center"/>
        </w:trPr>
        <w:tc>
          <w:tcPr>
            <w:tcW w:w="677" w:type="pct"/>
            <w:vMerge w:val="restart"/>
            <w:shd w:val="clear" w:color="auto" w:fill="auto"/>
            <w:vAlign w:val="center"/>
          </w:tcPr>
          <w:p>
            <w:pPr>
              <w:pStyle w:val="1286"/>
              <w:rPr>
                <w:rFonts w:ascii="宋体" w:hAnsi="宋体"/>
                <w:color w:val="auto"/>
              </w:rPr>
            </w:pPr>
            <w:r>
              <w:rPr>
                <w:rFonts w:ascii="宋体" w:hAnsi="宋体"/>
                <w:color w:val="auto"/>
              </w:rPr>
              <w:t>填方路基</w:t>
            </w:r>
          </w:p>
        </w:tc>
        <w:tc>
          <w:tcPr>
            <w:tcW w:w="844" w:type="pct"/>
            <w:shd w:val="clear" w:color="auto" w:fill="auto"/>
            <w:vAlign w:val="center"/>
          </w:tcPr>
          <w:p>
            <w:pPr>
              <w:pStyle w:val="1286"/>
              <w:rPr>
                <w:rFonts w:ascii="宋体" w:hAnsi="宋体"/>
                <w:color w:val="auto"/>
              </w:rPr>
            </w:pPr>
            <w:r>
              <w:rPr>
                <w:rFonts w:ascii="宋体" w:hAnsi="宋体"/>
                <w:color w:val="auto"/>
              </w:rPr>
              <w:t>0～80</w:t>
            </w:r>
          </w:p>
        </w:tc>
        <w:tc>
          <w:tcPr>
            <w:tcW w:w="447" w:type="pct"/>
          </w:tcPr>
          <w:p>
            <w:pPr>
              <w:pStyle w:val="1286"/>
              <w:rPr>
                <w:rFonts w:ascii="宋体" w:hAnsi="宋体"/>
                <w:color w:val="auto"/>
              </w:rPr>
            </w:pPr>
            <w:r>
              <w:rPr>
                <w:rFonts w:hint="eastAsia" w:ascii="宋体" w:hAnsi="宋体"/>
                <w:color w:val="auto"/>
              </w:rPr>
              <w:t>95</w:t>
            </w:r>
          </w:p>
        </w:tc>
        <w:tc>
          <w:tcPr>
            <w:tcW w:w="472" w:type="pct"/>
            <w:shd w:val="clear" w:color="auto" w:fill="auto"/>
            <w:vAlign w:val="center"/>
          </w:tcPr>
          <w:p>
            <w:pPr>
              <w:pStyle w:val="1286"/>
              <w:rPr>
                <w:rFonts w:ascii="宋体" w:hAnsi="宋体"/>
                <w:color w:val="auto"/>
              </w:rPr>
            </w:pPr>
            <w:r>
              <w:rPr>
                <w:rFonts w:ascii="宋体" w:hAnsi="宋体"/>
                <w:color w:val="auto"/>
              </w:rPr>
              <w:t>94</w:t>
            </w:r>
          </w:p>
        </w:tc>
        <w:tc>
          <w:tcPr>
            <w:tcW w:w="383" w:type="pct"/>
            <w:shd w:val="clear" w:color="auto" w:fill="auto"/>
            <w:vAlign w:val="center"/>
          </w:tcPr>
          <w:p>
            <w:pPr>
              <w:pStyle w:val="1286"/>
              <w:rPr>
                <w:rFonts w:ascii="宋体" w:hAnsi="宋体"/>
                <w:color w:val="auto"/>
              </w:rPr>
            </w:pPr>
            <w:r>
              <w:rPr>
                <w:rFonts w:ascii="宋体" w:hAnsi="宋体"/>
                <w:color w:val="auto"/>
              </w:rPr>
              <w:t>92</w:t>
            </w:r>
          </w:p>
        </w:tc>
        <w:tc>
          <w:tcPr>
            <w:tcW w:w="473" w:type="pct"/>
          </w:tcPr>
          <w:p>
            <w:pPr>
              <w:pStyle w:val="1286"/>
              <w:rPr>
                <w:rFonts w:ascii="宋体" w:hAnsi="宋体"/>
                <w:color w:val="auto"/>
              </w:rPr>
            </w:pPr>
          </w:p>
        </w:tc>
        <w:tc>
          <w:tcPr>
            <w:tcW w:w="474" w:type="pct"/>
            <w:shd w:val="clear" w:color="auto" w:fill="auto"/>
            <w:vAlign w:val="center"/>
          </w:tcPr>
          <w:p>
            <w:pPr>
              <w:pStyle w:val="1286"/>
              <w:rPr>
                <w:rFonts w:ascii="宋体" w:hAnsi="宋体"/>
                <w:color w:val="auto"/>
              </w:rPr>
            </w:pPr>
          </w:p>
        </w:tc>
        <w:tc>
          <w:tcPr>
            <w:tcW w:w="377" w:type="pct"/>
            <w:shd w:val="clear" w:color="auto" w:fill="auto"/>
            <w:vAlign w:val="center"/>
          </w:tcPr>
          <w:p>
            <w:pPr>
              <w:pStyle w:val="1286"/>
              <w:rPr>
                <w:rFonts w:ascii="宋体" w:hAnsi="宋体"/>
                <w:color w:val="auto"/>
              </w:rPr>
            </w:pPr>
          </w:p>
        </w:tc>
        <w:tc>
          <w:tcPr>
            <w:tcW w:w="853" w:type="pct"/>
            <w:shd w:val="clear" w:color="auto" w:fill="auto"/>
            <w:vAlign w:val="center"/>
          </w:tcPr>
          <w:p>
            <w:pPr>
              <w:pStyle w:val="1286"/>
              <w:rPr>
                <w:rFonts w:ascii="宋体" w:hAnsi="宋体"/>
                <w:color w:val="auto"/>
              </w:rPr>
            </w:pPr>
            <w:r>
              <w:rPr>
                <w:rFonts w:ascii="宋体" w:hAnsi="宋体"/>
                <w:color w:val="auto"/>
              </w:rPr>
              <w:t>＜100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cantSplit/>
          <w:jc w:val="center"/>
        </w:trPr>
        <w:tc>
          <w:tcPr>
            <w:tcW w:w="677" w:type="pct"/>
            <w:vMerge w:val="continue"/>
            <w:shd w:val="clear" w:color="auto" w:fill="auto"/>
            <w:vAlign w:val="center"/>
          </w:tcPr>
          <w:p>
            <w:pPr>
              <w:pStyle w:val="1286"/>
              <w:rPr>
                <w:rFonts w:ascii="宋体" w:hAnsi="宋体"/>
                <w:color w:val="auto"/>
              </w:rPr>
            </w:pPr>
          </w:p>
        </w:tc>
        <w:tc>
          <w:tcPr>
            <w:tcW w:w="844" w:type="pct"/>
            <w:shd w:val="clear" w:color="auto" w:fill="auto"/>
            <w:vAlign w:val="center"/>
          </w:tcPr>
          <w:p>
            <w:pPr>
              <w:pStyle w:val="1286"/>
              <w:rPr>
                <w:rFonts w:ascii="宋体" w:hAnsi="宋体"/>
                <w:color w:val="auto"/>
              </w:rPr>
            </w:pPr>
            <w:r>
              <w:rPr>
                <w:rFonts w:ascii="宋体" w:hAnsi="宋体"/>
                <w:color w:val="auto"/>
              </w:rPr>
              <w:t>80～150</w:t>
            </w:r>
          </w:p>
        </w:tc>
        <w:tc>
          <w:tcPr>
            <w:tcW w:w="447" w:type="pct"/>
          </w:tcPr>
          <w:p>
            <w:pPr>
              <w:pStyle w:val="1286"/>
              <w:rPr>
                <w:rFonts w:ascii="宋体" w:hAnsi="宋体"/>
                <w:color w:val="auto"/>
              </w:rPr>
            </w:pPr>
            <w:r>
              <w:rPr>
                <w:rFonts w:hint="eastAsia" w:ascii="宋体" w:hAnsi="宋体"/>
                <w:color w:val="auto"/>
              </w:rPr>
              <w:t>93</w:t>
            </w:r>
          </w:p>
        </w:tc>
        <w:tc>
          <w:tcPr>
            <w:tcW w:w="472" w:type="pct"/>
            <w:shd w:val="clear" w:color="auto" w:fill="auto"/>
            <w:vAlign w:val="center"/>
          </w:tcPr>
          <w:p>
            <w:pPr>
              <w:pStyle w:val="1286"/>
              <w:rPr>
                <w:rFonts w:ascii="宋体" w:hAnsi="宋体"/>
                <w:color w:val="auto"/>
              </w:rPr>
            </w:pPr>
            <w:r>
              <w:rPr>
                <w:rFonts w:ascii="宋体" w:hAnsi="宋体"/>
                <w:color w:val="auto"/>
              </w:rPr>
              <w:t>92</w:t>
            </w:r>
          </w:p>
        </w:tc>
        <w:tc>
          <w:tcPr>
            <w:tcW w:w="383" w:type="pct"/>
            <w:shd w:val="clear" w:color="auto" w:fill="auto"/>
            <w:vAlign w:val="center"/>
          </w:tcPr>
          <w:p>
            <w:pPr>
              <w:pStyle w:val="1286"/>
              <w:rPr>
                <w:rFonts w:ascii="宋体" w:hAnsi="宋体"/>
                <w:color w:val="auto"/>
              </w:rPr>
            </w:pPr>
            <w:r>
              <w:rPr>
                <w:rFonts w:ascii="宋体" w:hAnsi="宋体"/>
                <w:color w:val="auto"/>
              </w:rPr>
              <w:t>91</w:t>
            </w:r>
          </w:p>
        </w:tc>
        <w:tc>
          <w:tcPr>
            <w:tcW w:w="473" w:type="pct"/>
          </w:tcPr>
          <w:p>
            <w:pPr>
              <w:pStyle w:val="1286"/>
              <w:rPr>
                <w:rFonts w:ascii="宋体" w:hAnsi="宋体"/>
                <w:color w:val="auto"/>
              </w:rPr>
            </w:pPr>
            <w:r>
              <w:rPr>
                <w:rFonts w:hint="eastAsia" w:ascii="宋体" w:hAnsi="宋体"/>
                <w:color w:val="auto"/>
              </w:rPr>
              <w:t>4</w:t>
            </w:r>
          </w:p>
        </w:tc>
        <w:tc>
          <w:tcPr>
            <w:tcW w:w="474" w:type="pct"/>
            <w:shd w:val="clear" w:color="auto" w:fill="auto"/>
            <w:vAlign w:val="center"/>
          </w:tcPr>
          <w:p>
            <w:pPr>
              <w:pStyle w:val="1286"/>
              <w:rPr>
                <w:rFonts w:ascii="宋体" w:hAnsi="宋体"/>
                <w:color w:val="auto"/>
              </w:rPr>
            </w:pPr>
            <w:r>
              <w:rPr>
                <w:rFonts w:ascii="宋体" w:hAnsi="宋体"/>
                <w:color w:val="auto"/>
              </w:rPr>
              <w:t>3</w:t>
            </w:r>
          </w:p>
        </w:tc>
        <w:tc>
          <w:tcPr>
            <w:tcW w:w="377" w:type="pct"/>
            <w:shd w:val="clear" w:color="auto" w:fill="auto"/>
            <w:vAlign w:val="center"/>
          </w:tcPr>
          <w:p>
            <w:pPr>
              <w:pStyle w:val="1286"/>
              <w:rPr>
                <w:rFonts w:ascii="宋体" w:hAnsi="宋体"/>
                <w:color w:val="auto"/>
              </w:rPr>
            </w:pPr>
            <w:r>
              <w:rPr>
                <w:rFonts w:ascii="宋体" w:hAnsi="宋体"/>
                <w:color w:val="auto"/>
              </w:rPr>
              <w:t>3</w:t>
            </w:r>
          </w:p>
        </w:tc>
        <w:tc>
          <w:tcPr>
            <w:tcW w:w="853" w:type="pct"/>
            <w:vMerge w:val="restart"/>
            <w:shd w:val="clear" w:color="auto" w:fill="auto"/>
            <w:vAlign w:val="center"/>
          </w:tcPr>
          <w:p>
            <w:pPr>
              <w:pStyle w:val="1286"/>
              <w:rPr>
                <w:rFonts w:ascii="宋体" w:hAnsi="宋体"/>
                <w:color w:val="auto"/>
              </w:rPr>
            </w:pPr>
            <w:r>
              <w:rPr>
                <w:rFonts w:ascii="宋体" w:hAnsi="宋体"/>
                <w:color w:val="auto"/>
              </w:rPr>
              <w:t>＜150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cantSplit/>
          <w:jc w:val="center"/>
        </w:trPr>
        <w:tc>
          <w:tcPr>
            <w:tcW w:w="677" w:type="pct"/>
            <w:vMerge w:val="continue"/>
            <w:shd w:val="clear" w:color="auto" w:fill="auto"/>
            <w:vAlign w:val="center"/>
          </w:tcPr>
          <w:p>
            <w:pPr>
              <w:pStyle w:val="1286"/>
              <w:rPr>
                <w:rFonts w:ascii="宋体" w:hAnsi="宋体"/>
                <w:color w:val="auto"/>
              </w:rPr>
            </w:pPr>
          </w:p>
        </w:tc>
        <w:tc>
          <w:tcPr>
            <w:tcW w:w="844" w:type="pct"/>
            <w:shd w:val="clear" w:color="auto" w:fill="auto"/>
            <w:vAlign w:val="center"/>
          </w:tcPr>
          <w:p>
            <w:pPr>
              <w:pStyle w:val="1286"/>
              <w:rPr>
                <w:rFonts w:ascii="宋体" w:hAnsi="宋体"/>
                <w:color w:val="auto"/>
              </w:rPr>
            </w:pPr>
            <w:r>
              <w:rPr>
                <w:rFonts w:ascii="宋体" w:hAnsi="宋体"/>
                <w:color w:val="auto"/>
              </w:rPr>
              <w:t>&gt;150</w:t>
            </w:r>
          </w:p>
        </w:tc>
        <w:tc>
          <w:tcPr>
            <w:tcW w:w="447" w:type="pct"/>
          </w:tcPr>
          <w:p>
            <w:pPr>
              <w:pStyle w:val="1286"/>
              <w:rPr>
                <w:rFonts w:ascii="宋体" w:hAnsi="宋体"/>
                <w:color w:val="auto"/>
              </w:rPr>
            </w:pPr>
            <w:r>
              <w:rPr>
                <w:rFonts w:hint="eastAsia" w:ascii="宋体" w:hAnsi="宋体"/>
                <w:color w:val="auto"/>
              </w:rPr>
              <w:t>92</w:t>
            </w:r>
          </w:p>
        </w:tc>
        <w:tc>
          <w:tcPr>
            <w:tcW w:w="472" w:type="pct"/>
            <w:shd w:val="clear" w:color="auto" w:fill="auto"/>
            <w:vAlign w:val="center"/>
          </w:tcPr>
          <w:p>
            <w:pPr>
              <w:pStyle w:val="1286"/>
              <w:rPr>
                <w:rFonts w:ascii="宋体" w:hAnsi="宋体"/>
                <w:color w:val="auto"/>
              </w:rPr>
            </w:pPr>
            <w:r>
              <w:rPr>
                <w:rFonts w:ascii="宋体" w:hAnsi="宋体"/>
                <w:color w:val="auto"/>
              </w:rPr>
              <w:t>91</w:t>
            </w:r>
          </w:p>
        </w:tc>
        <w:tc>
          <w:tcPr>
            <w:tcW w:w="383" w:type="pct"/>
            <w:shd w:val="clear" w:color="auto" w:fill="auto"/>
            <w:vAlign w:val="center"/>
          </w:tcPr>
          <w:p>
            <w:pPr>
              <w:pStyle w:val="1286"/>
              <w:rPr>
                <w:rFonts w:ascii="宋体" w:hAnsi="宋体"/>
                <w:color w:val="auto"/>
              </w:rPr>
            </w:pPr>
            <w:r>
              <w:rPr>
                <w:rFonts w:ascii="宋体" w:hAnsi="宋体"/>
                <w:color w:val="auto"/>
              </w:rPr>
              <w:t>90</w:t>
            </w:r>
          </w:p>
        </w:tc>
        <w:tc>
          <w:tcPr>
            <w:tcW w:w="473" w:type="pct"/>
          </w:tcPr>
          <w:p>
            <w:pPr>
              <w:pStyle w:val="1286"/>
              <w:rPr>
                <w:rFonts w:ascii="宋体" w:hAnsi="宋体"/>
                <w:color w:val="auto"/>
              </w:rPr>
            </w:pPr>
            <w:r>
              <w:rPr>
                <w:rFonts w:hint="eastAsia" w:ascii="宋体" w:hAnsi="宋体"/>
                <w:color w:val="auto"/>
              </w:rPr>
              <w:t>3</w:t>
            </w:r>
          </w:p>
        </w:tc>
        <w:tc>
          <w:tcPr>
            <w:tcW w:w="474" w:type="pct"/>
            <w:shd w:val="clear" w:color="auto" w:fill="auto"/>
            <w:vAlign w:val="center"/>
          </w:tcPr>
          <w:p>
            <w:pPr>
              <w:pStyle w:val="1286"/>
              <w:rPr>
                <w:rFonts w:ascii="宋体" w:hAnsi="宋体"/>
                <w:color w:val="auto"/>
              </w:rPr>
            </w:pPr>
            <w:r>
              <w:rPr>
                <w:rFonts w:ascii="宋体" w:hAnsi="宋体"/>
                <w:color w:val="auto"/>
              </w:rPr>
              <w:t>2</w:t>
            </w:r>
          </w:p>
        </w:tc>
        <w:tc>
          <w:tcPr>
            <w:tcW w:w="377" w:type="pct"/>
            <w:shd w:val="clear" w:color="auto" w:fill="auto"/>
            <w:vAlign w:val="center"/>
          </w:tcPr>
          <w:p>
            <w:pPr>
              <w:pStyle w:val="1286"/>
              <w:rPr>
                <w:rFonts w:ascii="宋体" w:hAnsi="宋体"/>
                <w:color w:val="auto"/>
              </w:rPr>
            </w:pPr>
            <w:r>
              <w:rPr>
                <w:rFonts w:ascii="宋体" w:hAnsi="宋体"/>
                <w:color w:val="auto"/>
              </w:rPr>
              <w:t>2</w:t>
            </w:r>
          </w:p>
        </w:tc>
        <w:tc>
          <w:tcPr>
            <w:tcW w:w="853" w:type="pct"/>
            <w:vMerge w:val="continue"/>
            <w:shd w:val="clear" w:color="auto" w:fill="auto"/>
            <w:vAlign w:val="center"/>
          </w:tcPr>
          <w:p>
            <w:pPr>
              <w:pStyle w:val="1286"/>
              <w:rPr>
                <w:rFonts w:ascii="宋体" w:hAnsi="宋体"/>
                <w:color w:val="auto"/>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cantSplit/>
          <w:jc w:val="center"/>
        </w:trPr>
        <w:tc>
          <w:tcPr>
            <w:tcW w:w="677" w:type="pct"/>
            <w:vMerge w:val="restart"/>
            <w:shd w:val="clear" w:color="auto" w:fill="auto"/>
            <w:vAlign w:val="center"/>
          </w:tcPr>
          <w:p>
            <w:pPr>
              <w:pStyle w:val="1286"/>
              <w:rPr>
                <w:rFonts w:ascii="宋体" w:hAnsi="宋体"/>
                <w:color w:val="auto"/>
              </w:rPr>
            </w:pPr>
            <w:r>
              <w:rPr>
                <w:rFonts w:ascii="宋体" w:hAnsi="宋体"/>
                <w:color w:val="auto"/>
              </w:rPr>
              <w:t>零填方或</w:t>
            </w:r>
          </w:p>
          <w:p>
            <w:pPr>
              <w:pStyle w:val="1286"/>
              <w:rPr>
                <w:rFonts w:ascii="宋体" w:hAnsi="宋体"/>
                <w:color w:val="auto"/>
              </w:rPr>
            </w:pPr>
            <w:r>
              <w:rPr>
                <w:rFonts w:ascii="宋体" w:hAnsi="宋体"/>
                <w:color w:val="auto"/>
              </w:rPr>
              <w:t>挖方路基</w:t>
            </w:r>
          </w:p>
        </w:tc>
        <w:tc>
          <w:tcPr>
            <w:tcW w:w="844" w:type="pct"/>
            <w:shd w:val="clear" w:color="auto" w:fill="auto"/>
            <w:vAlign w:val="center"/>
          </w:tcPr>
          <w:p>
            <w:pPr>
              <w:pStyle w:val="1286"/>
              <w:rPr>
                <w:rFonts w:ascii="宋体" w:hAnsi="宋体"/>
                <w:color w:val="auto"/>
              </w:rPr>
            </w:pPr>
            <w:r>
              <w:rPr>
                <w:rFonts w:ascii="宋体" w:hAnsi="宋体"/>
                <w:color w:val="auto"/>
              </w:rPr>
              <w:t>0～30</w:t>
            </w:r>
          </w:p>
        </w:tc>
        <w:tc>
          <w:tcPr>
            <w:tcW w:w="447" w:type="pct"/>
          </w:tcPr>
          <w:p>
            <w:pPr>
              <w:pStyle w:val="1286"/>
              <w:rPr>
                <w:rFonts w:ascii="宋体" w:hAnsi="宋体"/>
                <w:color w:val="auto"/>
              </w:rPr>
            </w:pPr>
            <w:r>
              <w:rPr>
                <w:rFonts w:hint="eastAsia" w:ascii="宋体" w:hAnsi="宋体"/>
                <w:color w:val="auto"/>
              </w:rPr>
              <w:t>95</w:t>
            </w:r>
          </w:p>
        </w:tc>
        <w:tc>
          <w:tcPr>
            <w:tcW w:w="472" w:type="pct"/>
            <w:shd w:val="clear" w:color="auto" w:fill="auto"/>
            <w:vAlign w:val="center"/>
          </w:tcPr>
          <w:p>
            <w:pPr>
              <w:pStyle w:val="1286"/>
              <w:rPr>
                <w:rFonts w:ascii="宋体" w:hAnsi="宋体"/>
                <w:color w:val="auto"/>
              </w:rPr>
            </w:pPr>
            <w:r>
              <w:rPr>
                <w:rFonts w:ascii="宋体" w:hAnsi="宋体"/>
                <w:color w:val="auto"/>
              </w:rPr>
              <w:t>94</w:t>
            </w:r>
          </w:p>
        </w:tc>
        <w:tc>
          <w:tcPr>
            <w:tcW w:w="383" w:type="pct"/>
            <w:shd w:val="clear" w:color="auto" w:fill="auto"/>
            <w:vAlign w:val="center"/>
          </w:tcPr>
          <w:p>
            <w:pPr>
              <w:pStyle w:val="1286"/>
              <w:rPr>
                <w:rFonts w:ascii="宋体" w:hAnsi="宋体"/>
                <w:color w:val="auto"/>
              </w:rPr>
            </w:pPr>
            <w:r>
              <w:rPr>
                <w:rFonts w:ascii="宋体" w:hAnsi="宋体"/>
                <w:color w:val="auto"/>
              </w:rPr>
              <w:t>92</w:t>
            </w:r>
          </w:p>
        </w:tc>
        <w:tc>
          <w:tcPr>
            <w:tcW w:w="473" w:type="pct"/>
          </w:tcPr>
          <w:p>
            <w:pPr>
              <w:pStyle w:val="1286"/>
              <w:rPr>
                <w:rFonts w:ascii="宋体" w:hAnsi="宋体"/>
                <w:color w:val="auto"/>
              </w:rPr>
            </w:pPr>
            <w:r>
              <w:rPr>
                <w:rFonts w:hint="eastAsia" w:ascii="宋体" w:hAnsi="宋体"/>
                <w:color w:val="auto"/>
              </w:rPr>
              <w:t>8</w:t>
            </w:r>
          </w:p>
        </w:tc>
        <w:tc>
          <w:tcPr>
            <w:tcW w:w="474" w:type="pct"/>
            <w:shd w:val="clear" w:color="auto" w:fill="auto"/>
            <w:vAlign w:val="center"/>
          </w:tcPr>
          <w:p>
            <w:pPr>
              <w:pStyle w:val="1286"/>
              <w:rPr>
                <w:rFonts w:ascii="宋体" w:hAnsi="宋体"/>
                <w:color w:val="auto"/>
              </w:rPr>
            </w:pPr>
            <w:r>
              <w:rPr>
                <w:rFonts w:ascii="宋体" w:hAnsi="宋体"/>
                <w:color w:val="auto"/>
              </w:rPr>
              <w:t>6</w:t>
            </w:r>
          </w:p>
        </w:tc>
        <w:tc>
          <w:tcPr>
            <w:tcW w:w="377" w:type="pct"/>
            <w:shd w:val="clear" w:color="auto" w:fill="auto"/>
            <w:vAlign w:val="center"/>
          </w:tcPr>
          <w:p>
            <w:pPr>
              <w:pStyle w:val="1286"/>
              <w:rPr>
                <w:rFonts w:ascii="宋体" w:hAnsi="宋体"/>
                <w:color w:val="auto"/>
              </w:rPr>
            </w:pPr>
            <w:r>
              <w:rPr>
                <w:rFonts w:ascii="宋体" w:hAnsi="宋体"/>
                <w:color w:val="auto"/>
              </w:rPr>
              <w:t>5</w:t>
            </w:r>
          </w:p>
        </w:tc>
        <w:tc>
          <w:tcPr>
            <w:tcW w:w="853" w:type="pct"/>
            <w:vMerge w:val="restart"/>
            <w:shd w:val="clear" w:color="auto" w:fill="auto"/>
            <w:vAlign w:val="center"/>
          </w:tcPr>
          <w:p>
            <w:pPr>
              <w:pStyle w:val="1286"/>
              <w:rPr>
                <w:rFonts w:ascii="宋体" w:hAnsi="宋体"/>
                <w:color w:val="auto"/>
              </w:rPr>
            </w:pPr>
            <w:r>
              <w:rPr>
                <w:rFonts w:ascii="宋体" w:hAnsi="宋体"/>
                <w:color w:val="auto"/>
              </w:rPr>
              <w:t>＜100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 w:type="dxa"/>
            <w:bottom w:w="0" w:type="dxa"/>
            <w:right w:w="11" w:type="dxa"/>
          </w:tblCellMar>
        </w:tblPrEx>
        <w:trPr>
          <w:cantSplit/>
          <w:jc w:val="center"/>
        </w:trPr>
        <w:tc>
          <w:tcPr>
            <w:tcW w:w="677" w:type="pct"/>
            <w:vMerge w:val="continue"/>
            <w:shd w:val="clear" w:color="auto" w:fill="auto"/>
            <w:vAlign w:val="center"/>
          </w:tcPr>
          <w:p>
            <w:pPr>
              <w:pStyle w:val="1286"/>
              <w:rPr>
                <w:rFonts w:ascii="宋体" w:hAnsi="宋体"/>
                <w:color w:val="auto"/>
              </w:rPr>
            </w:pPr>
          </w:p>
        </w:tc>
        <w:tc>
          <w:tcPr>
            <w:tcW w:w="844" w:type="pct"/>
            <w:shd w:val="clear" w:color="auto" w:fill="auto"/>
            <w:vAlign w:val="center"/>
          </w:tcPr>
          <w:p>
            <w:pPr>
              <w:pStyle w:val="1286"/>
              <w:rPr>
                <w:rFonts w:ascii="宋体" w:hAnsi="宋体"/>
                <w:color w:val="auto"/>
              </w:rPr>
            </w:pPr>
            <w:r>
              <w:rPr>
                <w:rFonts w:ascii="宋体" w:hAnsi="宋体"/>
                <w:color w:val="auto"/>
              </w:rPr>
              <w:t>30～80</w:t>
            </w:r>
          </w:p>
        </w:tc>
        <w:tc>
          <w:tcPr>
            <w:tcW w:w="447" w:type="pct"/>
          </w:tcPr>
          <w:p>
            <w:pPr>
              <w:pStyle w:val="1286"/>
              <w:rPr>
                <w:rFonts w:ascii="宋体" w:hAnsi="宋体"/>
                <w:color w:val="auto"/>
              </w:rPr>
            </w:pPr>
            <w:r>
              <w:rPr>
                <w:rFonts w:hint="eastAsia" w:ascii="宋体" w:hAnsi="宋体"/>
                <w:color w:val="auto"/>
              </w:rPr>
              <w:t>93</w:t>
            </w:r>
          </w:p>
        </w:tc>
        <w:tc>
          <w:tcPr>
            <w:tcW w:w="472" w:type="pct"/>
            <w:shd w:val="clear" w:color="auto" w:fill="auto"/>
            <w:vAlign w:val="center"/>
          </w:tcPr>
          <w:p>
            <w:pPr>
              <w:pStyle w:val="1286"/>
              <w:rPr>
                <w:rFonts w:ascii="宋体" w:hAnsi="宋体"/>
                <w:color w:val="auto"/>
              </w:rPr>
            </w:pPr>
            <w:r>
              <w:rPr>
                <w:rFonts w:ascii="宋体" w:hAnsi="宋体"/>
                <w:color w:val="auto"/>
              </w:rPr>
              <w:t>—</w:t>
            </w:r>
          </w:p>
        </w:tc>
        <w:tc>
          <w:tcPr>
            <w:tcW w:w="383" w:type="pct"/>
            <w:shd w:val="clear" w:color="auto" w:fill="auto"/>
            <w:vAlign w:val="center"/>
          </w:tcPr>
          <w:p>
            <w:pPr>
              <w:pStyle w:val="1286"/>
              <w:rPr>
                <w:rFonts w:ascii="宋体" w:hAnsi="宋体"/>
                <w:color w:val="auto"/>
              </w:rPr>
            </w:pPr>
            <w:r>
              <w:rPr>
                <w:rFonts w:ascii="宋体" w:hAnsi="宋体"/>
                <w:color w:val="auto"/>
              </w:rPr>
              <w:t>—</w:t>
            </w:r>
          </w:p>
        </w:tc>
        <w:tc>
          <w:tcPr>
            <w:tcW w:w="473" w:type="pct"/>
          </w:tcPr>
          <w:p>
            <w:pPr>
              <w:pStyle w:val="1286"/>
              <w:rPr>
                <w:rFonts w:ascii="宋体" w:hAnsi="宋体"/>
                <w:color w:val="auto"/>
              </w:rPr>
            </w:pPr>
            <w:r>
              <w:rPr>
                <w:rFonts w:hint="eastAsia" w:ascii="宋体" w:hAnsi="宋体"/>
                <w:color w:val="auto"/>
              </w:rPr>
              <w:t>5</w:t>
            </w:r>
          </w:p>
        </w:tc>
        <w:tc>
          <w:tcPr>
            <w:tcW w:w="474" w:type="pct"/>
            <w:shd w:val="clear" w:color="auto" w:fill="auto"/>
            <w:vAlign w:val="center"/>
          </w:tcPr>
          <w:p>
            <w:pPr>
              <w:pStyle w:val="1286"/>
              <w:rPr>
                <w:rFonts w:ascii="宋体" w:hAnsi="宋体"/>
                <w:color w:val="auto"/>
              </w:rPr>
            </w:pPr>
            <w:r>
              <w:rPr>
                <w:rFonts w:ascii="宋体" w:hAnsi="宋体"/>
                <w:color w:val="auto"/>
              </w:rPr>
              <w:t>4</w:t>
            </w:r>
          </w:p>
        </w:tc>
        <w:tc>
          <w:tcPr>
            <w:tcW w:w="377" w:type="pct"/>
            <w:shd w:val="clear" w:color="auto" w:fill="auto"/>
            <w:vAlign w:val="center"/>
          </w:tcPr>
          <w:p>
            <w:pPr>
              <w:pStyle w:val="1286"/>
              <w:rPr>
                <w:rFonts w:ascii="宋体" w:hAnsi="宋体"/>
                <w:color w:val="auto"/>
              </w:rPr>
            </w:pPr>
            <w:r>
              <w:rPr>
                <w:rFonts w:ascii="宋体" w:hAnsi="宋体"/>
                <w:color w:val="auto"/>
              </w:rPr>
              <w:t>3</w:t>
            </w:r>
          </w:p>
        </w:tc>
        <w:tc>
          <w:tcPr>
            <w:tcW w:w="853" w:type="pct"/>
            <w:vMerge w:val="continue"/>
            <w:shd w:val="clear" w:color="auto" w:fill="auto"/>
            <w:vAlign w:val="center"/>
          </w:tcPr>
          <w:p>
            <w:pPr>
              <w:pStyle w:val="1286"/>
              <w:rPr>
                <w:rFonts w:ascii="宋体" w:hAnsi="宋体"/>
                <w:color w:val="auto"/>
              </w:rPr>
            </w:pPr>
          </w:p>
        </w:tc>
      </w:tr>
    </w:tbl>
    <w:p>
      <w:pPr>
        <w:pStyle w:val="1280"/>
        <w:ind w:firstLine="440"/>
        <w:rPr>
          <w:rFonts w:ascii="宋体"/>
        </w:rPr>
      </w:pPr>
      <w:r>
        <w:rPr>
          <w:rFonts w:hint="eastAsia" w:ascii="宋体"/>
        </w:rPr>
        <w:t>2、</w:t>
      </w:r>
      <w:r>
        <w:rPr>
          <w:rFonts w:ascii="宋体"/>
        </w:rPr>
        <w:t>试验</w:t>
      </w:r>
    </w:p>
    <w:p>
      <w:pPr>
        <w:pStyle w:val="1280"/>
        <w:ind w:firstLine="440"/>
        <w:rPr>
          <w:rFonts w:ascii="宋体"/>
        </w:rPr>
      </w:pPr>
      <w:bookmarkStart w:id="4377" w:name="_Toc320555488"/>
      <w:r>
        <w:rPr>
          <w:rFonts w:hint="eastAsia" w:ascii="宋体"/>
        </w:rPr>
        <w:t>（1）</w:t>
      </w:r>
      <w:r>
        <w:rPr>
          <w:rFonts w:ascii="宋体"/>
        </w:rPr>
        <w:t>填方材料的试验</w:t>
      </w:r>
      <w:bookmarkEnd w:id="4377"/>
    </w:p>
    <w:p>
      <w:pPr>
        <w:pStyle w:val="1280"/>
        <w:ind w:firstLine="440"/>
        <w:rPr>
          <w:rFonts w:ascii="宋体"/>
        </w:rPr>
      </w:pPr>
      <w:r>
        <w:rPr>
          <w:rFonts w:ascii="宋体"/>
        </w:rPr>
        <w:t>在路堤填筑前，填方材料应每5000m</w:t>
      </w:r>
      <w:r>
        <w:rPr>
          <w:rFonts w:ascii="宋体"/>
          <w:vertAlign w:val="superscript"/>
        </w:rPr>
        <w:t>3</w:t>
      </w:r>
      <w:r>
        <w:rPr>
          <w:rFonts w:ascii="宋体"/>
        </w:rPr>
        <w:t>或在土质变化时取样，按《公路土工试验规程》</w:t>
      </w:r>
      <w:r>
        <w:rPr>
          <w:rFonts w:hint="eastAsia" w:ascii="宋体"/>
        </w:rPr>
        <w:t>（</w:t>
      </w:r>
      <w:r>
        <w:rPr>
          <w:rFonts w:ascii="宋体"/>
        </w:rPr>
        <w:t>JTG E40-2007</w:t>
      </w:r>
      <w:r>
        <w:rPr>
          <w:rFonts w:hint="eastAsia" w:ascii="宋体"/>
        </w:rPr>
        <w:t>）</w:t>
      </w:r>
      <w:r>
        <w:rPr>
          <w:rFonts w:ascii="宋体"/>
        </w:rPr>
        <w:t>规定的方法进行颗粒分析、含水量与密实度、液限和塑限、有机质含量、承载比</w:t>
      </w:r>
      <w:r>
        <w:rPr>
          <w:rFonts w:hint="eastAsia" w:ascii="宋体"/>
        </w:rPr>
        <w:t>（</w:t>
      </w:r>
      <w:r>
        <w:rPr>
          <w:rFonts w:ascii="宋体"/>
        </w:rPr>
        <w:t>CBR</w:t>
      </w:r>
      <w:r>
        <w:rPr>
          <w:rFonts w:hint="eastAsia" w:ascii="宋体"/>
        </w:rPr>
        <w:t>）</w:t>
      </w:r>
      <w:r>
        <w:rPr>
          <w:rFonts w:ascii="宋体"/>
        </w:rPr>
        <w:t>试验和击实试验。</w:t>
      </w:r>
    </w:p>
    <w:p>
      <w:pPr>
        <w:pStyle w:val="1280"/>
        <w:ind w:firstLine="440"/>
        <w:rPr>
          <w:rFonts w:ascii="宋体"/>
        </w:rPr>
      </w:pPr>
      <w:bookmarkStart w:id="4378" w:name="_Toc320555489"/>
      <w:r>
        <w:rPr>
          <w:rFonts w:hint="eastAsia" w:ascii="宋体"/>
        </w:rPr>
        <w:t>（2）</w:t>
      </w:r>
      <w:r>
        <w:rPr>
          <w:rFonts w:ascii="宋体"/>
        </w:rPr>
        <w:t>填方试验路段</w:t>
      </w:r>
      <w:bookmarkEnd w:id="4378"/>
    </w:p>
    <w:p>
      <w:pPr>
        <w:pStyle w:val="1280"/>
        <w:ind w:firstLine="440"/>
        <w:rPr>
          <w:rFonts w:ascii="宋体"/>
        </w:rPr>
      </w:pPr>
      <w:r>
        <w:rPr>
          <w:rFonts w:hint="eastAsia" w:ascii="宋体"/>
        </w:rPr>
        <w:t>1）</w:t>
      </w:r>
      <w:r>
        <w:rPr>
          <w:rFonts w:ascii="宋体"/>
        </w:rPr>
        <w:t>承包商应在开工前28天，用路堤填料铺筑长度不小于100m</w:t>
      </w:r>
      <w:r>
        <w:rPr>
          <w:rFonts w:hint="eastAsia" w:ascii="宋体"/>
        </w:rPr>
        <w:t>（</w:t>
      </w:r>
      <w:r>
        <w:rPr>
          <w:rFonts w:ascii="宋体"/>
        </w:rPr>
        <w:t>全幅路基</w:t>
      </w:r>
      <w:r>
        <w:rPr>
          <w:rFonts w:hint="eastAsia" w:ascii="宋体"/>
        </w:rPr>
        <w:t>）</w:t>
      </w:r>
      <w:r>
        <w:rPr>
          <w:rFonts w:ascii="宋体"/>
        </w:rPr>
        <w:t>的试验路段，并将试验结果报项目监理审批。</w:t>
      </w:r>
    </w:p>
    <w:p>
      <w:pPr>
        <w:pStyle w:val="1280"/>
        <w:ind w:firstLine="440"/>
        <w:rPr>
          <w:rFonts w:ascii="宋体"/>
        </w:rPr>
      </w:pPr>
      <w:r>
        <w:rPr>
          <w:rFonts w:hint="eastAsia" w:ascii="宋体"/>
        </w:rPr>
        <w:t>2）</w:t>
      </w:r>
      <w:r>
        <w:rPr>
          <w:rFonts w:ascii="宋体"/>
        </w:rPr>
        <w:t>现场试验应进行到能有效地使该种填料达到规定的压实度为止。试验时应记录：压实设备的类型、最佳组合方式；碾压遍数及碾压速度、工序；每层材料的松铺厚度、材料的含水量等，试验结果报经项目监理批准后，即可作为该种填料施工控制的依据。试验结束时，试验段若达到表</w:t>
      </w:r>
      <w:r>
        <w:rPr>
          <w:rFonts w:hint="eastAsia" w:ascii="宋体"/>
        </w:rPr>
        <w:t>4-3</w:t>
      </w:r>
      <w:r>
        <w:rPr>
          <w:rFonts w:ascii="宋体"/>
        </w:rPr>
        <w:t>-</w:t>
      </w:r>
      <w:r>
        <w:rPr>
          <w:rFonts w:hint="eastAsia" w:ascii="宋体"/>
        </w:rPr>
        <w:t>1</w:t>
      </w:r>
      <w:r>
        <w:rPr>
          <w:rFonts w:ascii="宋体"/>
        </w:rPr>
        <w:t>质量检验标准，可作为路基的一部分，否则，应予挖除，重新进行试验。</w:t>
      </w:r>
    </w:p>
    <w:p>
      <w:pPr>
        <w:pStyle w:val="1280"/>
        <w:ind w:firstLine="440"/>
        <w:rPr>
          <w:rFonts w:ascii="宋体"/>
        </w:rPr>
      </w:pPr>
      <w:r>
        <w:rPr>
          <w:rFonts w:hint="eastAsia" w:ascii="宋体"/>
        </w:rPr>
        <w:t>3）</w:t>
      </w:r>
      <w:r>
        <w:rPr>
          <w:rFonts w:ascii="宋体"/>
        </w:rPr>
        <w:t>用于填方</w:t>
      </w:r>
      <w:r>
        <w:rPr>
          <w:rFonts w:hint="eastAsia" w:ascii="宋体"/>
        </w:rPr>
        <w:t>（</w:t>
      </w:r>
      <w:r>
        <w:rPr>
          <w:rFonts w:ascii="宋体"/>
        </w:rPr>
        <w:t>包括回填</w:t>
      </w:r>
      <w:r>
        <w:rPr>
          <w:rFonts w:hint="eastAsia" w:ascii="宋体"/>
        </w:rPr>
        <w:t>）</w:t>
      </w:r>
      <w:r>
        <w:rPr>
          <w:rFonts w:ascii="宋体"/>
        </w:rPr>
        <w:t>的每种类型的材料，都应进行现场压实试验。试验段所用的填料和机具应与施工所用材料和机具相同。</w:t>
      </w:r>
    </w:p>
    <w:p>
      <w:pPr>
        <w:pStyle w:val="1280"/>
        <w:ind w:firstLine="440"/>
        <w:rPr>
          <w:rFonts w:ascii="宋体"/>
        </w:rPr>
      </w:pPr>
      <w:r>
        <w:rPr>
          <w:rFonts w:hint="eastAsia" w:ascii="宋体"/>
        </w:rPr>
        <w:t>4）</w:t>
      </w:r>
      <w:r>
        <w:rPr>
          <w:rFonts w:ascii="宋体"/>
        </w:rPr>
        <w:t>对于工程质量不合格的工程，要坚决返工，并重新进行试验段的施工，业主不另行支付额外的费用。</w:t>
      </w:r>
    </w:p>
    <w:p>
      <w:pPr>
        <w:pStyle w:val="1280"/>
        <w:ind w:firstLine="440"/>
        <w:rPr>
          <w:rFonts w:ascii="宋体"/>
        </w:rPr>
      </w:pPr>
      <w:bookmarkStart w:id="4379" w:name="_Toc320555490"/>
      <w:r>
        <w:rPr>
          <w:rFonts w:hint="eastAsia" w:ascii="宋体"/>
        </w:rPr>
        <w:t>3、</w:t>
      </w:r>
      <w:r>
        <w:rPr>
          <w:rFonts w:ascii="宋体"/>
        </w:rPr>
        <w:t>施工要求</w:t>
      </w:r>
      <w:bookmarkEnd w:id="4379"/>
    </w:p>
    <w:p>
      <w:pPr>
        <w:pStyle w:val="1280"/>
        <w:ind w:firstLine="440"/>
        <w:rPr>
          <w:rFonts w:ascii="宋体"/>
        </w:rPr>
      </w:pPr>
      <w:r>
        <w:rPr>
          <w:rFonts w:hint="eastAsia" w:ascii="宋体"/>
        </w:rPr>
        <w:t>（1）</w:t>
      </w:r>
      <w:r>
        <w:rPr>
          <w:rFonts w:ascii="宋体"/>
        </w:rPr>
        <w:t>一般要求</w:t>
      </w:r>
    </w:p>
    <w:p>
      <w:pPr>
        <w:pStyle w:val="1280"/>
        <w:ind w:firstLine="440"/>
        <w:rPr>
          <w:rFonts w:ascii="宋体"/>
        </w:rPr>
      </w:pPr>
      <w:r>
        <w:rPr>
          <w:rFonts w:hint="eastAsia" w:ascii="宋体"/>
        </w:rPr>
        <w:t>1）</w:t>
      </w:r>
      <w:r>
        <w:rPr>
          <w:rFonts w:ascii="宋体"/>
        </w:rPr>
        <w:t>填方路堤施工前，应按</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w:t>
      </w:r>
      <w:r>
        <w:rPr>
          <w:rFonts w:ascii="宋体"/>
        </w:rPr>
        <w:t>规范的有关规定对原地面进行清理及压实。所有填方作业均应严格按照图纸或项目监理的要求施工。</w:t>
      </w:r>
    </w:p>
    <w:p>
      <w:pPr>
        <w:pStyle w:val="1280"/>
        <w:ind w:firstLine="440"/>
        <w:rPr>
          <w:rFonts w:ascii="宋体"/>
        </w:rPr>
      </w:pPr>
      <w:r>
        <w:rPr>
          <w:rFonts w:hint="eastAsia" w:ascii="宋体"/>
        </w:rPr>
        <w:t>2）</w:t>
      </w:r>
      <w:r>
        <w:rPr>
          <w:rFonts w:ascii="宋体"/>
        </w:rPr>
        <w:t>路堤基底应在填筑前进行压实，承包商应将压后新测绘的填方工程断面图提交项目监理核准，否则不得填筑。</w:t>
      </w:r>
    </w:p>
    <w:p>
      <w:pPr>
        <w:pStyle w:val="1280"/>
        <w:ind w:firstLine="440"/>
        <w:rPr>
          <w:rFonts w:ascii="宋体"/>
        </w:rPr>
      </w:pPr>
      <w:r>
        <w:rPr>
          <w:rFonts w:hint="eastAsia" w:ascii="宋体"/>
        </w:rPr>
        <w:t>3）</w:t>
      </w:r>
      <w:r>
        <w:rPr>
          <w:rFonts w:ascii="宋体"/>
        </w:rPr>
        <w:t>填方作业不得对邻近的结构物和其它设施产生损坏及干扰，否则，由此而引起的后果应由承包商自负。</w:t>
      </w:r>
    </w:p>
    <w:p>
      <w:pPr>
        <w:pStyle w:val="1280"/>
        <w:ind w:firstLine="440"/>
        <w:rPr>
          <w:rFonts w:ascii="宋体"/>
        </w:rPr>
      </w:pPr>
      <w:r>
        <w:rPr>
          <w:rFonts w:hint="eastAsia" w:ascii="宋体"/>
        </w:rPr>
        <w:t>4）</w:t>
      </w:r>
      <w:r>
        <w:rPr>
          <w:rFonts w:ascii="宋体"/>
        </w:rPr>
        <w:t>整个施工期间，承包商必须保证排水畅通。如因排水不当而造成工程损坏，承包商应自费立即进行修补。</w:t>
      </w:r>
    </w:p>
    <w:p>
      <w:pPr>
        <w:pStyle w:val="1280"/>
        <w:ind w:firstLine="440"/>
        <w:rPr>
          <w:rFonts w:ascii="宋体"/>
        </w:rPr>
      </w:pPr>
      <w:r>
        <w:rPr>
          <w:rFonts w:hint="eastAsia" w:ascii="宋体"/>
        </w:rPr>
        <w:t>5）</w:t>
      </w:r>
      <w:r>
        <w:rPr>
          <w:rFonts w:ascii="宋体"/>
        </w:rPr>
        <w:t>路堤填料中石料含量等于或大于70%时，应按填石路堤施工；小于70%时，按填土路堤施工。</w:t>
      </w:r>
    </w:p>
    <w:p>
      <w:pPr>
        <w:pStyle w:val="1280"/>
        <w:ind w:firstLine="440"/>
        <w:rPr>
          <w:rFonts w:ascii="宋体"/>
        </w:rPr>
      </w:pPr>
      <w:r>
        <w:rPr>
          <w:rFonts w:hint="eastAsia" w:ascii="宋体"/>
        </w:rPr>
        <w:t>6）</w:t>
      </w:r>
      <w:r>
        <w:rPr>
          <w:rFonts w:ascii="宋体"/>
        </w:rPr>
        <w:t>特殊路基施工前，承包商应按图纸要求，提出处理方案报项目监理批准。</w:t>
      </w:r>
    </w:p>
    <w:p>
      <w:pPr>
        <w:pStyle w:val="1280"/>
        <w:ind w:firstLine="440"/>
        <w:rPr>
          <w:rFonts w:ascii="宋体"/>
        </w:rPr>
      </w:pPr>
      <w:r>
        <w:rPr>
          <w:rFonts w:hint="eastAsia" w:ascii="宋体"/>
        </w:rPr>
        <w:t>7）</w:t>
      </w:r>
      <w:r>
        <w:rPr>
          <w:rFonts w:ascii="宋体"/>
        </w:rPr>
        <w:t>路堤基底及路堤每层施工完成后未经项目监理检验合格，不得进行上一层的填土施工。</w:t>
      </w:r>
    </w:p>
    <w:p>
      <w:pPr>
        <w:pStyle w:val="1280"/>
        <w:ind w:firstLine="440"/>
        <w:rPr>
          <w:rFonts w:ascii="宋体"/>
        </w:rPr>
      </w:pPr>
      <w:bookmarkStart w:id="4380" w:name="_Toc320555491"/>
      <w:r>
        <w:rPr>
          <w:rFonts w:hint="eastAsia" w:ascii="宋体"/>
        </w:rPr>
        <w:t>（2）</w:t>
      </w:r>
      <w:r>
        <w:rPr>
          <w:rFonts w:ascii="宋体"/>
        </w:rPr>
        <w:t>零填挖路基</w:t>
      </w:r>
      <w:bookmarkEnd w:id="4380"/>
    </w:p>
    <w:p>
      <w:pPr>
        <w:pStyle w:val="1280"/>
        <w:ind w:firstLine="440"/>
        <w:rPr>
          <w:rFonts w:ascii="宋体"/>
        </w:rPr>
      </w:pPr>
      <w:r>
        <w:rPr>
          <w:rFonts w:hint="eastAsia" w:ascii="宋体"/>
        </w:rPr>
        <w:t>1）</w:t>
      </w:r>
      <w:r>
        <w:rPr>
          <w:rFonts w:ascii="宋体"/>
        </w:rPr>
        <w:t>零填挖路床顶面以下0～300mm范围内的压实度，次干路不应小于94%，支路不应小于92%。如不符合要求，承包商应翻松后再压实，使压实度达到规定的要求。</w:t>
      </w:r>
    </w:p>
    <w:p>
      <w:pPr>
        <w:pStyle w:val="1280"/>
        <w:ind w:firstLine="440"/>
        <w:rPr>
          <w:rFonts w:ascii="宋体"/>
        </w:rPr>
      </w:pPr>
      <w:r>
        <w:rPr>
          <w:rFonts w:hint="eastAsia" w:ascii="宋体"/>
        </w:rPr>
        <w:t>2）</w:t>
      </w:r>
      <w:r>
        <w:rPr>
          <w:rFonts w:ascii="宋体"/>
        </w:rPr>
        <w:t>特殊路基土层上的零填挖路床面，承包商应按图纸或项目监理的要求，进行换填、改善或翻拌晾晒。换填、改善厚度应按图纸或由项目监理根据现场情况确定，并分层压实，其压实度应达到表</w:t>
      </w:r>
      <w:r>
        <w:rPr>
          <w:rFonts w:hint="eastAsia" w:ascii="宋体"/>
        </w:rPr>
        <w:t>4-3</w:t>
      </w:r>
      <w:r>
        <w:rPr>
          <w:rFonts w:ascii="宋体"/>
        </w:rPr>
        <w:t>-</w:t>
      </w:r>
      <w:r>
        <w:rPr>
          <w:rFonts w:hint="eastAsia" w:ascii="宋体"/>
        </w:rPr>
        <w:t>3</w:t>
      </w:r>
      <w:r>
        <w:rPr>
          <w:rFonts w:ascii="宋体"/>
        </w:rPr>
        <w:t>的要求</w:t>
      </w:r>
    </w:p>
    <w:p>
      <w:pPr>
        <w:pStyle w:val="1280"/>
        <w:ind w:firstLine="440"/>
        <w:rPr>
          <w:rFonts w:ascii="宋体"/>
        </w:rPr>
      </w:pPr>
      <w:bookmarkStart w:id="4381" w:name="_Toc320555492"/>
      <w:r>
        <w:rPr>
          <w:rFonts w:hint="eastAsia" w:ascii="宋体"/>
        </w:rPr>
        <w:t>（3）</w:t>
      </w:r>
      <w:r>
        <w:rPr>
          <w:rFonts w:ascii="宋体"/>
        </w:rPr>
        <w:t>填土路堤</w:t>
      </w:r>
      <w:bookmarkEnd w:id="4381"/>
    </w:p>
    <w:p>
      <w:pPr>
        <w:pStyle w:val="1280"/>
        <w:ind w:firstLine="440"/>
        <w:rPr>
          <w:rFonts w:ascii="宋体"/>
        </w:rPr>
      </w:pPr>
      <w:r>
        <w:rPr>
          <w:rFonts w:hint="eastAsia" w:ascii="宋体"/>
        </w:rPr>
        <w:t>1）</w:t>
      </w:r>
      <w:r>
        <w:rPr>
          <w:rFonts w:ascii="宋体"/>
        </w:rPr>
        <w:t>填方路基必须按路面平行线分层控制填土标高；填方作业应分层平行摊铺；保证路基压实度。每层填料铺设的宽度，每侧应超出路堤的设计宽度300mm，以保证修整路基边坡后的路堤边缘有足够的压实度。不同土质的填料应分层填筑，且应尽量减少层数，每种填料层总厚度不得小于500mm。土方路堤填筑至路床顶面最后一层的压实层厚度不应小于100mm。</w:t>
      </w:r>
    </w:p>
    <w:p>
      <w:pPr>
        <w:pStyle w:val="1280"/>
        <w:ind w:firstLine="440"/>
        <w:rPr>
          <w:rFonts w:ascii="宋体"/>
        </w:rPr>
      </w:pPr>
      <w:r>
        <w:rPr>
          <w:rFonts w:hint="eastAsia" w:ascii="宋体"/>
        </w:rPr>
        <w:t>2）</w:t>
      </w:r>
      <w:r>
        <w:rPr>
          <w:rFonts w:ascii="宋体"/>
        </w:rPr>
        <w:t>路堤填土高度小于800mm</w:t>
      </w:r>
      <w:r>
        <w:rPr>
          <w:rFonts w:hint="eastAsia" w:ascii="宋体"/>
        </w:rPr>
        <w:t>（</w:t>
      </w:r>
      <w:r>
        <w:rPr>
          <w:rFonts w:ascii="宋体"/>
        </w:rPr>
        <w:t>不包括路面厚度</w:t>
      </w:r>
      <w:r>
        <w:rPr>
          <w:rFonts w:hint="eastAsia" w:ascii="宋体"/>
        </w:rPr>
        <w:t>）</w:t>
      </w:r>
      <w:r>
        <w:rPr>
          <w:rFonts w:ascii="宋体"/>
        </w:rPr>
        <w:t>时，对于原地表清理与挖除之后的土质基底，应将表面翻松深300mm，然后整平压实。其压实度应符合表</w:t>
      </w:r>
      <w:r>
        <w:rPr>
          <w:rFonts w:hint="eastAsia" w:ascii="宋体"/>
        </w:rPr>
        <w:t>4-3</w:t>
      </w:r>
      <w:r>
        <w:rPr>
          <w:rFonts w:ascii="宋体"/>
        </w:rPr>
        <w:t>-</w:t>
      </w:r>
      <w:r>
        <w:rPr>
          <w:rFonts w:hint="eastAsia" w:ascii="宋体"/>
        </w:rPr>
        <w:t>3</w:t>
      </w:r>
      <w:r>
        <w:rPr>
          <w:rFonts w:ascii="宋体"/>
        </w:rPr>
        <w:t>的要求。</w:t>
      </w:r>
    </w:p>
    <w:p>
      <w:pPr>
        <w:pStyle w:val="1280"/>
        <w:ind w:firstLine="440"/>
        <w:rPr>
          <w:rFonts w:ascii="宋体"/>
        </w:rPr>
      </w:pPr>
      <w:r>
        <w:rPr>
          <w:rFonts w:hint="eastAsia" w:ascii="宋体"/>
        </w:rPr>
        <w:t>3）</w:t>
      </w:r>
      <w:r>
        <w:rPr>
          <w:rFonts w:ascii="宋体"/>
        </w:rPr>
        <w:t>路堤填土高度大于800mm时，应将路堤基底整平处理并在填筑前进行碾压，其压实度不应小于93%。</w:t>
      </w:r>
    </w:p>
    <w:p>
      <w:pPr>
        <w:pStyle w:val="1280"/>
        <w:ind w:firstLine="440"/>
        <w:rPr>
          <w:rFonts w:ascii="宋体"/>
        </w:rPr>
      </w:pPr>
      <w:r>
        <w:rPr>
          <w:rFonts w:hint="eastAsia" w:ascii="宋体"/>
        </w:rPr>
        <w:t>4）</w:t>
      </w:r>
      <w:r>
        <w:rPr>
          <w:rFonts w:ascii="宋体"/>
        </w:rPr>
        <w:t>地面自然横坡或纵坡陡于1:5时，应将原地面挖成台阶，台阶宽度应满足摊铺和压实设备操作的需要，且不得小于1m。台阶顶作成2%～4%的内倾斜坡。砂类土上则不挖台阶，但应将原地面以下200～300mm的表土翻松。</w:t>
      </w:r>
    </w:p>
    <w:p>
      <w:pPr>
        <w:pStyle w:val="1280"/>
        <w:ind w:firstLine="440"/>
        <w:rPr>
          <w:rFonts w:ascii="宋体"/>
        </w:rPr>
      </w:pPr>
      <w:r>
        <w:rPr>
          <w:rFonts w:hint="eastAsia" w:ascii="宋体"/>
        </w:rPr>
        <w:t>5）</w:t>
      </w:r>
      <w:r>
        <w:rPr>
          <w:rFonts w:ascii="宋体"/>
        </w:rPr>
        <w:t>加宽旧路堤时，应沿旧路堤边坡挖成向内倾斜的台阶；所用填料宜与旧路堤相同或选用透水性较好的材料。</w:t>
      </w:r>
    </w:p>
    <w:p>
      <w:pPr>
        <w:pStyle w:val="1280"/>
        <w:ind w:firstLine="440"/>
        <w:rPr>
          <w:rFonts w:ascii="宋体"/>
        </w:rPr>
      </w:pPr>
      <w:r>
        <w:rPr>
          <w:rFonts w:hint="eastAsia" w:ascii="宋体"/>
        </w:rPr>
        <w:t>6）</w:t>
      </w:r>
      <w:r>
        <w:rPr>
          <w:rFonts w:ascii="宋体"/>
        </w:rPr>
        <w:t>连接结构物的路堤工程，其施工方法不应危害结构物的安全与稳定。</w:t>
      </w:r>
    </w:p>
    <w:p>
      <w:pPr>
        <w:pStyle w:val="1280"/>
        <w:ind w:firstLine="440"/>
        <w:rPr>
          <w:rFonts w:ascii="宋体"/>
        </w:rPr>
      </w:pPr>
      <w:r>
        <w:rPr>
          <w:rFonts w:hint="eastAsia" w:ascii="宋体"/>
        </w:rPr>
        <w:t>7）</w:t>
      </w:r>
      <w:r>
        <w:rPr>
          <w:rFonts w:ascii="宋体"/>
        </w:rPr>
        <w:t>如在路堤范围内修筑便道或引道时，该便道或引道不得做为路堤填筑的部分，应重新填筑成符合规定要求的新路堤。</w:t>
      </w:r>
    </w:p>
    <w:p>
      <w:pPr>
        <w:pStyle w:val="1280"/>
        <w:ind w:firstLine="440"/>
        <w:rPr>
          <w:rFonts w:ascii="宋体"/>
        </w:rPr>
      </w:pPr>
      <w:r>
        <w:rPr>
          <w:rFonts w:hint="eastAsia" w:ascii="宋体"/>
        </w:rPr>
        <w:t>8）</w:t>
      </w:r>
      <w:r>
        <w:rPr>
          <w:rFonts w:ascii="宋体"/>
        </w:rPr>
        <w:t>任何靠压实设备无法压碎的大块硬质材料，应予以清除或破碎，破碎后的硬质材料最大尺寸不超过压实层厚度的2/3，并应均匀分布，以便达到要求的压实度。</w:t>
      </w:r>
    </w:p>
    <w:p>
      <w:pPr>
        <w:pStyle w:val="1280"/>
        <w:ind w:firstLine="440"/>
        <w:rPr>
          <w:rFonts w:ascii="宋体"/>
        </w:rPr>
      </w:pPr>
      <w:r>
        <w:rPr>
          <w:rFonts w:hint="eastAsia" w:ascii="宋体"/>
        </w:rPr>
        <w:t>9）</w:t>
      </w:r>
      <w:r>
        <w:rPr>
          <w:rFonts w:ascii="宋体"/>
        </w:rPr>
        <w:t>填土路堤分几个作业段施工时，两个相邻段交接处不在同一时间填筑，则先填段应按1：1坡度分层留台阶；如两段同时施工，则应分层相互交叠衔接，其搭接长度不得小于2m。</w:t>
      </w:r>
    </w:p>
    <w:p>
      <w:pPr>
        <w:pStyle w:val="1280"/>
        <w:ind w:firstLine="440"/>
        <w:rPr>
          <w:rFonts w:ascii="宋体"/>
        </w:rPr>
      </w:pPr>
      <w:r>
        <w:rPr>
          <w:rFonts w:hint="eastAsia" w:ascii="宋体"/>
        </w:rPr>
        <w:t>10）</w:t>
      </w:r>
      <w:r>
        <w:rPr>
          <w:rFonts w:ascii="宋体"/>
        </w:rPr>
        <w:t>用透水性较小的土填筑路堤时，应将含水量控制在最佳含水量±2%范围内；当填筑路堤下层时，其顶部应做成4%的双向横坡；如填筑上层时，不应覆盖在由透水性较好的土所填筑的路堤边坡上。</w:t>
      </w:r>
    </w:p>
    <w:p>
      <w:pPr>
        <w:pStyle w:val="1280"/>
        <w:ind w:firstLine="440"/>
        <w:rPr>
          <w:rFonts w:ascii="宋体"/>
        </w:rPr>
      </w:pPr>
      <w:r>
        <w:rPr>
          <w:rFonts w:hint="eastAsia" w:ascii="宋体"/>
        </w:rPr>
        <w:t>11）</w:t>
      </w:r>
      <w:r>
        <w:rPr>
          <w:rFonts w:ascii="宋体"/>
        </w:rPr>
        <w:t>在土石混合填料中不得采用倾填法施工，应进行分层填筑，松铺厚度宜为300～400mm或经试验确定。</w:t>
      </w:r>
    </w:p>
    <w:p>
      <w:pPr>
        <w:pStyle w:val="1280"/>
        <w:ind w:firstLine="440"/>
        <w:rPr>
          <w:rFonts w:ascii="宋体"/>
        </w:rPr>
      </w:pPr>
      <w:r>
        <w:rPr>
          <w:rFonts w:hint="eastAsia" w:ascii="宋体"/>
        </w:rPr>
        <w:t>12）</w:t>
      </w:r>
      <w:r>
        <w:rPr>
          <w:rFonts w:ascii="宋体"/>
        </w:rPr>
        <w:t>用土石混合料填筑路堤压实度由现场试验确定，并报经项目监理检验批准。</w:t>
      </w:r>
    </w:p>
    <w:p>
      <w:pPr>
        <w:pStyle w:val="1280"/>
        <w:ind w:firstLine="440"/>
        <w:rPr>
          <w:rFonts w:ascii="宋体"/>
        </w:rPr>
      </w:pPr>
      <w:bookmarkStart w:id="4382" w:name="_Toc320555493"/>
      <w:r>
        <w:rPr>
          <w:rFonts w:hint="eastAsia" w:ascii="宋体"/>
        </w:rPr>
        <w:t>（4）</w:t>
      </w:r>
      <w:r>
        <w:rPr>
          <w:rFonts w:ascii="宋体"/>
        </w:rPr>
        <w:t>填石路堤</w:t>
      </w:r>
      <w:bookmarkEnd w:id="4382"/>
    </w:p>
    <w:p>
      <w:pPr>
        <w:pStyle w:val="1280"/>
        <w:ind w:firstLine="440"/>
        <w:rPr>
          <w:rFonts w:ascii="宋体"/>
        </w:rPr>
      </w:pPr>
      <w:r>
        <w:rPr>
          <w:rFonts w:hint="eastAsia" w:ascii="宋体"/>
        </w:rPr>
        <w:t>1）</w:t>
      </w:r>
      <w:r>
        <w:rPr>
          <w:rFonts w:ascii="宋体"/>
        </w:rPr>
        <w:t>修筑填石路堤，应将石块逐层水平填筑，分层厚度不宜大于500mm。石料强度不应小于15MPa，石块最大粒径不得超过压实厚度的2/3。大面向下摆放平稳，紧密靠拢，所有缝隙填以小石块或石屑。在路床顶面以下500mm的范围内应铺填有适当级配的砂石料，最大粒径不超过100mm。超粒径石料应进行破碎使填料颗粒符合要求。</w:t>
      </w:r>
    </w:p>
    <w:p>
      <w:pPr>
        <w:pStyle w:val="1280"/>
        <w:ind w:firstLine="440"/>
        <w:rPr>
          <w:rFonts w:ascii="宋体"/>
        </w:rPr>
      </w:pPr>
      <w:r>
        <w:rPr>
          <w:rFonts w:hint="eastAsia" w:ascii="宋体"/>
        </w:rPr>
        <w:t>2）</w:t>
      </w:r>
      <w:r>
        <w:rPr>
          <w:rFonts w:ascii="宋体"/>
        </w:rPr>
        <w:t>填石路堤应使用重型振动压路机分层洒水压实。压实时继续用小石块或石屑填缝，直到压实层顶面稳定、不再下沉(无轮迹)、石块紧密、表面平整为止。</w:t>
      </w:r>
    </w:p>
    <w:p>
      <w:pPr>
        <w:pStyle w:val="1280"/>
        <w:ind w:firstLine="440"/>
        <w:rPr>
          <w:rFonts w:ascii="宋体"/>
        </w:rPr>
      </w:pPr>
      <w:r>
        <w:rPr>
          <w:rFonts w:hint="eastAsia" w:ascii="宋体"/>
        </w:rPr>
        <w:t>3）</w:t>
      </w:r>
      <w:r>
        <w:rPr>
          <w:rFonts w:ascii="宋体"/>
        </w:rPr>
        <w:t>施工中压实度由压实遍数控制。压实遍数由现场试验确定，并报经项目监理检验批准。</w:t>
      </w:r>
    </w:p>
    <w:p>
      <w:pPr>
        <w:pStyle w:val="1280"/>
        <w:ind w:firstLine="440"/>
        <w:rPr>
          <w:rFonts w:ascii="宋体"/>
        </w:rPr>
      </w:pPr>
      <w:bookmarkStart w:id="4383" w:name="_Toc320555494"/>
      <w:r>
        <w:rPr>
          <w:rFonts w:hint="eastAsia" w:ascii="宋体"/>
        </w:rPr>
        <w:t>（5）</w:t>
      </w:r>
      <w:r>
        <w:rPr>
          <w:rFonts w:ascii="宋体"/>
        </w:rPr>
        <w:t>结构物处的回填</w:t>
      </w:r>
      <w:bookmarkEnd w:id="4383"/>
    </w:p>
    <w:p>
      <w:pPr>
        <w:pStyle w:val="1280"/>
        <w:ind w:firstLine="440"/>
        <w:rPr>
          <w:rFonts w:ascii="宋体"/>
        </w:rPr>
      </w:pPr>
      <w:r>
        <w:rPr>
          <w:rFonts w:hint="eastAsia" w:ascii="宋体"/>
        </w:rPr>
        <w:t>1）</w:t>
      </w:r>
      <w:r>
        <w:rPr>
          <w:rFonts w:ascii="宋体"/>
        </w:rPr>
        <w:t>结构物</w:t>
      </w:r>
      <w:r>
        <w:rPr>
          <w:rFonts w:hint="eastAsia" w:ascii="宋体"/>
        </w:rPr>
        <w:t>（包括</w:t>
      </w:r>
      <w:r>
        <w:rPr>
          <w:rFonts w:ascii="宋体"/>
        </w:rPr>
        <w:t>挡土墙墙背等</w:t>
      </w:r>
      <w:r>
        <w:rPr>
          <w:rFonts w:hint="eastAsia" w:ascii="宋体"/>
        </w:rPr>
        <w:t>）</w:t>
      </w:r>
      <w:r>
        <w:rPr>
          <w:rFonts w:ascii="宋体"/>
        </w:rPr>
        <w:t>的回填是指结构物完成后，用符合要求的材料分层填筑结构物与路基之间的遗留部分。</w:t>
      </w:r>
    </w:p>
    <w:p>
      <w:pPr>
        <w:pStyle w:val="1280"/>
        <w:ind w:firstLine="440"/>
        <w:rPr>
          <w:rFonts w:ascii="宋体"/>
        </w:rPr>
      </w:pPr>
      <w:r>
        <w:rPr>
          <w:rFonts w:hint="eastAsia" w:ascii="宋体"/>
        </w:rPr>
        <w:t>2）</w:t>
      </w:r>
      <w:r>
        <w:rPr>
          <w:rFonts w:ascii="宋体"/>
        </w:rPr>
        <w:t>结构物处的回填，应按图纸和项目监理的要求进行。回填时圬工强度的具体要求及回填时间，应按</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w:t>
      </w:r>
      <w:r>
        <w:rPr>
          <w:rFonts w:ascii="宋体"/>
        </w:rPr>
        <w:t>的有关规定执行。</w:t>
      </w:r>
    </w:p>
    <w:p>
      <w:pPr>
        <w:pStyle w:val="1280"/>
        <w:ind w:firstLine="440"/>
        <w:rPr>
          <w:rFonts w:ascii="宋体"/>
        </w:rPr>
      </w:pPr>
      <w:r>
        <w:rPr>
          <w:rFonts w:hint="eastAsia" w:ascii="宋体"/>
        </w:rPr>
        <w:t>3）</w:t>
      </w:r>
      <w:r>
        <w:rPr>
          <w:rFonts w:ascii="宋体"/>
        </w:rPr>
        <w:t>回填材料除图纸另有规定外，宜选用透水性材料如砂砾、碎石、矿渣、碎石土等，或半刚性材料如石灰土等，或项目监理同意的其它材料；填料的最大粒径不得超过50mm。</w:t>
      </w:r>
    </w:p>
    <w:p>
      <w:pPr>
        <w:pStyle w:val="1280"/>
        <w:ind w:firstLine="440"/>
        <w:rPr>
          <w:rFonts w:ascii="宋体"/>
        </w:rPr>
      </w:pPr>
      <w:r>
        <w:rPr>
          <w:rFonts w:hint="eastAsia" w:ascii="宋体"/>
        </w:rPr>
        <w:t>4）</w:t>
      </w:r>
      <w:r>
        <w:rPr>
          <w:rFonts w:ascii="宋体"/>
        </w:rPr>
        <w:t>结构物处的填土应分层填筑，每层松铺厚度不宜超过150mm，结构物处的压实度要求从填方基底至路床顶面均为95%。</w:t>
      </w:r>
    </w:p>
    <w:p>
      <w:pPr>
        <w:pStyle w:val="1280"/>
        <w:ind w:firstLine="440"/>
        <w:rPr>
          <w:rFonts w:ascii="宋体"/>
        </w:rPr>
      </w:pPr>
      <w:r>
        <w:rPr>
          <w:rFonts w:hint="eastAsia" w:ascii="宋体"/>
        </w:rPr>
        <w:t>5）</w:t>
      </w:r>
      <w:r>
        <w:rPr>
          <w:rFonts w:ascii="宋体"/>
        </w:rPr>
        <w:t>当用石灰土作填料时按《公路路面基层施工技术细则》</w:t>
      </w:r>
      <w:r>
        <w:rPr>
          <w:rFonts w:hint="eastAsia" w:ascii="宋体"/>
        </w:rPr>
        <w:t>（</w:t>
      </w:r>
      <w:r>
        <w:rPr>
          <w:rFonts w:ascii="宋体"/>
        </w:rPr>
        <w:t>JTG/T F20-2015</w:t>
      </w:r>
      <w:r>
        <w:rPr>
          <w:rFonts w:hint="eastAsia" w:ascii="宋体"/>
        </w:rPr>
        <w:t>）和《城镇道路工程施工与质量验收规范》（</w:t>
      </w:r>
      <w:r>
        <w:rPr>
          <w:rFonts w:ascii="宋体"/>
        </w:rPr>
        <w:t>CJJ</w:t>
      </w:r>
      <w:r>
        <w:rPr>
          <w:rFonts w:hint="eastAsia" w:ascii="宋体"/>
        </w:rPr>
        <w:t xml:space="preserve"> </w:t>
      </w:r>
      <w:r>
        <w:rPr>
          <w:rFonts w:ascii="宋体"/>
        </w:rPr>
        <w:t>1-2008</w:t>
      </w:r>
      <w:r>
        <w:rPr>
          <w:rFonts w:hint="eastAsia" w:ascii="宋体"/>
        </w:rPr>
        <w:t>）</w:t>
      </w:r>
      <w:r>
        <w:rPr>
          <w:rFonts w:ascii="宋体"/>
        </w:rPr>
        <w:t>有关规定执行。</w:t>
      </w:r>
    </w:p>
    <w:p>
      <w:pPr>
        <w:pStyle w:val="1280"/>
        <w:ind w:firstLine="440"/>
        <w:rPr>
          <w:rFonts w:ascii="宋体"/>
        </w:rPr>
      </w:pPr>
      <w:r>
        <w:rPr>
          <w:rFonts w:hint="eastAsia" w:ascii="宋体"/>
        </w:rPr>
        <w:t>6）</w:t>
      </w:r>
      <w:r>
        <w:rPr>
          <w:rFonts w:ascii="宋体"/>
        </w:rPr>
        <w:t>在回填压实施工中，应对称回填压实并保持结构物完好无损。压路机达不到的地方，应使用小型机动夯具或项目监理同意的其它方法压实。如对结构物有损坏，承包商应自费进行补救，直到项目监理验收合格为止。</w:t>
      </w:r>
    </w:p>
    <w:p>
      <w:pPr>
        <w:pStyle w:val="1280"/>
        <w:ind w:firstLine="440"/>
        <w:rPr>
          <w:rFonts w:ascii="宋体"/>
        </w:rPr>
      </w:pPr>
      <w:r>
        <w:rPr>
          <w:rFonts w:hint="eastAsia" w:ascii="宋体"/>
        </w:rPr>
        <w:t>7）</w:t>
      </w:r>
      <w:r>
        <w:rPr>
          <w:rFonts w:ascii="宋体"/>
        </w:rPr>
        <w:t>填料宜采用透水性材料、轻质材料、无机结合料等；非透水性材料不得直接用于回填。</w:t>
      </w:r>
    </w:p>
    <w:p>
      <w:pPr>
        <w:pStyle w:val="1280"/>
        <w:ind w:firstLine="440"/>
        <w:rPr>
          <w:rFonts w:ascii="宋体"/>
        </w:rPr>
      </w:pPr>
      <w:r>
        <w:rPr>
          <w:rFonts w:hint="eastAsia" w:ascii="宋体"/>
        </w:rPr>
        <w:t>8）</w:t>
      </w:r>
      <w:r>
        <w:rPr>
          <w:rFonts w:ascii="宋体"/>
        </w:rPr>
        <w:t>基坑回填必须在隐蔽工程验收合格后方可进行。基坑回填应分层填筑、分层压实，分层厚度宜为100～200mm。采用小型夯实机具时，基坑回填的分层压</w:t>
      </w:r>
      <w:r>
        <w:rPr>
          <w:rFonts w:hint="eastAsia" w:ascii="宋体"/>
        </w:rPr>
        <w:t>（</w:t>
      </w:r>
      <w:r>
        <w:rPr>
          <w:rFonts w:ascii="宋体"/>
        </w:rPr>
        <w:t>夯</w:t>
      </w:r>
      <w:r>
        <w:rPr>
          <w:rFonts w:hint="eastAsia" w:ascii="宋体"/>
        </w:rPr>
        <w:t>）</w:t>
      </w:r>
      <w:r>
        <w:rPr>
          <w:rFonts w:ascii="宋体"/>
        </w:rPr>
        <w:t>实厚度不宜大于150mm，并应压(夯)实到图纸要求的压实度。</w:t>
      </w:r>
    </w:p>
    <w:p>
      <w:pPr>
        <w:pStyle w:val="1280"/>
        <w:ind w:firstLine="440"/>
        <w:rPr>
          <w:rFonts w:ascii="宋体"/>
        </w:rPr>
      </w:pPr>
      <w:bookmarkStart w:id="4384" w:name="_Toc320555496"/>
      <w:r>
        <w:rPr>
          <w:rFonts w:hint="eastAsia" w:ascii="宋体"/>
        </w:rPr>
        <w:t>（6）</w:t>
      </w:r>
      <w:r>
        <w:rPr>
          <w:rFonts w:ascii="宋体"/>
        </w:rPr>
        <w:t>排水</w:t>
      </w:r>
      <w:bookmarkEnd w:id="4384"/>
    </w:p>
    <w:p>
      <w:pPr>
        <w:pStyle w:val="1280"/>
        <w:ind w:firstLine="440"/>
        <w:rPr>
          <w:rFonts w:ascii="宋体"/>
        </w:rPr>
      </w:pPr>
      <w:r>
        <w:rPr>
          <w:rFonts w:hint="eastAsia" w:ascii="宋体"/>
        </w:rPr>
        <w:t>1）</w:t>
      </w:r>
      <w:r>
        <w:rPr>
          <w:rFonts w:ascii="宋体"/>
        </w:rPr>
        <w:t>在地表过分潮湿或水田地段，应在路堤两侧护坡道外开挖纵向排水沟、在路基范围内开挖纵横向排水沟，排除积水，切断或降低地下水，并应按排水设计或项目监理的指示进行施工。</w:t>
      </w:r>
    </w:p>
    <w:p>
      <w:pPr>
        <w:pStyle w:val="1280"/>
        <w:ind w:firstLine="440"/>
        <w:rPr>
          <w:rFonts w:ascii="宋体"/>
        </w:rPr>
      </w:pPr>
      <w:r>
        <w:rPr>
          <w:rFonts w:hint="eastAsia" w:ascii="宋体"/>
        </w:rPr>
        <w:t>2）</w:t>
      </w:r>
      <w:r>
        <w:rPr>
          <w:rFonts w:ascii="宋体"/>
        </w:rPr>
        <w:t>在护坡道外侧的排水沟，应在沟的外侧填筑土埂，防止水流入。</w:t>
      </w:r>
    </w:p>
    <w:p>
      <w:pPr>
        <w:pStyle w:val="1280"/>
        <w:ind w:firstLine="440"/>
        <w:rPr>
          <w:rFonts w:ascii="宋体"/>
        </w:rPr>
      </w:pPr>
      <w:r>
        <w:rPr>
          <w:rFonts w:hint="eastAsia" w:ascii="宋体"/>
        </w:rPr>
        <w:t>3）</w:t>
      </w:r>
      <w:r>
        <w:rPr>
          <w:rFonts w:ascii="宋体"/>
        </w:rPr>
        <w:t>在路基范围内开挖的横向排水沟，当为切断或降低地下水位作用时，应回填渗水性良好的砂砾料。</w:t>
      </w:r>
    </w:p>
    <w:p>
      <w:pPr>
        <w:pStyle w:val="1280"/>
        <w:ind w:firstLine="440"/>
        <w:rPr>
          <w:rFonts w:ascii="宋体"/>
        </w:rPr>
      </w:pPr>
      <w:r>
        <w:rPr>
          <w:rFonts w:hint="eastAsia" w:ascii="宋体"/>
        </w:rPr>
        <w:t>4）</w:t>
      </w:r>
      <w:r>
        <w:rPr>
          <w:rFonts w:ascii="宋体"/>
        </w:rPr>
        <w:t>在路基范围内有大片低洼积水地段时，可先作土埂排除积水，并将杂草、淤泥以及不适宜的材料清除出路堤以外，按项目监理要求的深度将此地面翻松</w:t>
      </w:r>
      <w:r>
        <w:rPr>
          <w:rFonts w:hint="eastAsia" w:ascii="宋体"/>
        </w:rPr>
        <w:t>（</w:t>
      </w:r>
      <w:r>
        <w:rPr>
          <w:rFonts w:ascii="宋体"/>
        </w:rPr>
        <w:t>如此地面密实度达到要求可不挖松</w:t>
      </w:r>
      <w:r>
        <w:rPr>
          <w:rFonts w:hint="eastAsia" w:ascii="宋体"/>
        </w:rPr>
        <w:t>）</w:t>
      </w:r>
      <w:r>
        <w:rPr>
          <w:rFonts w:ascii="宋体"/>
        </w:rPr>
        <w:t>，经处理后再进行压实。对旱地或地表土质疏松时也应进行原地面压实。对压实度的要求，均应符合表</w:t>
      </w:r>
      <w:r>
        <w:rPr>
          <w:rFonts w:hint="eastAsia" w:ascii="宋体"/>
        </w:rPr>
        <w:t>4-3</w:t>
      </w:r>
      <w:r>
        <w:rPr>
          <w:rFonts w:ascii="宋体"/>
        </w:rPr>
        <w:t>-</w:t>
      </w:r>
      <w:r>
        <w:rPr>
          <w:rFonts w:hint="eastAsia" w:ascii="宋体"/>
        </w:rPr>
        <w:t>3</w:t>
      </w:r>
      <w:r>
        <w:rPr>
          <w:rFonts w:ascii="宋体"/>
        </w:rPr>
        <w:t>的要求。</w:t>
      </w:r>
    </w:p>
    <w:p>
      <w:pPr>
        <w:pStyle w:val="1280"/>
        <w:ind w:firstLine="440"/>
        <w:rPr>
          <w:rFonts w:ascii="宋体"/>
        </w:rPr>
      </w:pPr>
      <w:bookmarkStart w:id="4385" w:name="_Toc320555497"/>
      <w:r>
        <w:rPr>
          <w:rFonts w:hint="eastAsia" w:ascii="宋体"/>
        </w:rPr>
        <w:t>4、</w:t>
      </w:r>
      <w:r>
        <w:rPr>
          <w:rFonts w:ascii="宋体"/>
        </w:rPr>
        <w:t>质量检验</w:t>
      </w:r>
      <w:bookmarkEnd w:id="4385"/>
    </w:p>
    <w:p>
      <w:pPr>
        <w:pStyle w:val="1280"/>
        <w:ind w:firstLine="440"/>
        <w:rPr>
          <w:rFonts w:ascii="宋体"/>
        </w:rPr>
      </w:pPr>
      <w:r>
        <w:rPr>
          <w:rFonts w:hint="eastAsia" w:ascii="宋体"/>
        </w:rPr>
        <w:t>（1）</w:t>
      </w:r>
      <w:r>
        <w:rPr>
          <w:rFonts w:ascii="宋体"/>
        </w:rPr>
        <w:t>基本要求</w:t>
      </w:r>
    </w:p>
    <w:p>
      <w:pPr>
        <w:pStyle w:val="1280"/>
        <w:ind w:firstLine="440"/>
        <w:rPr>
          <w:rFonts w:ascii="宋体"/>
        </w:rPr>
      </w:pPr>
      <w:r>
        <w:rPr>
          <w:rFonts w:hint="eastAsia" w:ascii="宋体"/>
        </w:rPr>
        <w:t>1）</w:t>
      </w:r>
      <w:r>
        <w:rPr>
          <w:rFonts w:ascii="宋体"/>
        </w:rPr>
        <w:t>土方路基</w:t>
      </w:r>
    </w:p>
    <w:p>
      <w:pPr>
        <w:pStyle w:val="1280"/>
        <w:ind w:firstLine="440"/>
        <w:rPr>
          <w:rFonts w:ascii="宋体"/>
        </w:rPr>
      </w:pPr>
      <w:r>
        <w:rPr>
          <w:rFonts w:ascii="宋体"/>
        </w:rPr>
        <w:t>a</w:t>
      </w:r>
      <w:r>
        <w:rPr>
          <w:rFonts w:hint="eastAsia" w:ascii="宋体"/>
        </w:rPr>
        <w:t>、</w:t>
      </w:r>
      <w:r>
        <w:rPr>
          <w:rFonts w:ascii="宋体"/>
        </w:rPr>
        <w:t>在路基用地和取土坑范围内，应清除地表植被、杂物、积水、淤泥和表土，处理坑塘，并按规范和设计要求对基底进行压实。</w:t>
      </w:r>
    </w:p>
    <w:p>
      <w:pPr>
        <w:pStyle w:val="1280"/>
        <w:ind w:firstLine="440"/>
        <w:rPr>
          <w:rFonts w:ascii="宋体"/>
        </w:rPr>
      </w:pPr>
      <w:r>
        <w:rPr>
          <w:rFonts w:ascii="宋体"/>
        </w:rPr>
        <w:t>b</w:t>
      </w:r>
      <w:r>
        <w:rPr>
          <w:rFonts w:hint="eastAsia" w:ascii="宋体"/>
        </w:rPr>
        <w:t>、</w:t>
      </w:r>
      <w:r>
        <w:rPr>
          <w:rFonts w:ascii="宋体"/>
        </w:rPr>
        <w:t>路基填料应符合规范和设计的规定，经认真调查、试验后合理选用。</w:t>
      </w:r>
    </w:p>
    <w:p>
      <w:pPr>
        <w:pStyle w:val="1280"/>
        <w:ind w:firstLine="440"/>
        <w:rPr>
          <w:rFonts w:ascii="宋体"/>
        </w:rPr>
      </w:pPr>
      <w:r>
        <w:rPr>
          <w:rFonts w:ascii="宋体"/>
        </w:rPr>
        <w:t>c</w:t>
      </w:r>
      <w:r>
        <w:rPr>
          <w:rFonts w:hint="eastAsia" w:ascii="宋体"/>
        </w:rPr>
        <w:t>、</w:t>
      </w:r>
      <w:r>
        <w:rPr>
          <w:rFonts w:ascii="宋体"/>
        </w:rPr>
        <w:t>填方路基须分层填筑压实，每层表面平整，路供合适，排水良好。</w:t>
      </w:r>
    </w:p>
    <w:p>
      <w:pPr>
        <w:pStyle w:val="1280"/>
        <w:ind w:firstLine="440"/>
        <w:rPr>
          <w:rFonts w:ascii="宋体"/>
        </w:rPr>
      </w:pPr>
      <w:r>
        <w:rPr>
          <w:rFonts w:ascii="宋体"/>
        </w:rPr>
        <w:t>d</w:t>
      </w:r>
      <w:r>
        <w:rPr>
          <w:rFonts w:hint="eastAsia" w:ascii="宋体"/>
        </w:rPr>
        <w:t>、</w:t>
      </w:r>
      <w:r>
        <w:rPr>
          <w:rFonts w:ascii="宋体"/>
        </w:rPr>
        <w:t>施工临时排水系统应与设计排水系统结合，避免冲刷边坡，勿使路基附近积水。</w:t>
      </w:r>
    </w:p>
    <w:p>
      <w:pPr>
        <w:pStyle w:val="1280"/>
        <w:ind w:firstLine="440"/>
        <w:rPr>
          <w:rFonts w:ascii="宋体"/>
        </w:rPr>
      </w:pPr>
      <w:r>
        <w:rPr>
          <w:rFonts w:ascii="宋体"/>
        </w:rPr>
        <w:t>e</w:t>
      </w:r>
      <w:r>
        <w:rPr>
          <w:rFonts w:hint="eastAsia" w:ascii="宋体"/>
        </w:rPr>
        <w:t>、</w:t>
      </w:r>
      <w:r>
        <w:rPr>
          <w:rFonts w:ascii="宋体"/>
        </w:rPr>
        <w:t>在设定取土区内合理取土，不得滥开滥挖；完工后应按要求对取土坑和弃土局场进行修整，保持合理的几何外形。</w:t>
      </w:r>
    </w:p>
    <w:p>
      <w:pPr>
        <w:pStyle w:val="1280"/>
        <w:ind w:firstLine="440"/>
        <w:rPr>
          <w:rFonts w:ascii="宋体"/>
        </w:rPr>
      </w:pPr>
      <w:bookmarkStart w:id="4386" w:name="_Toc320555498"/>
      <w:r>
        <w:rPr>
          <w:rFonts w:hint="eastAsia" w:ascii="宋体"/>
        </w:rPr>
        <w:t>2）</w:t>
      </w:r>
      <w:r>
        <w:rPr>
          <w:rFonts w:ascii="宋体"/>
        </w:rPr>
        <w:t>石方路基</w:t>
      </w:r>
      <w:bookmarkEnd w:id="4386"/>
    </w:p>
    <w:p>
      <w:pPr>
        <w:pStyle w:val="1280"/>
        <w:ind w:firstLine="440"/>
        <w:rPr>
          <w:rFonts w:ascii="宋体"/>
        </w:rPr>
      </w:pPr>
      <w:r>
        <w:rPr>
          <w:rFonts w:ascii="宋体"/>
        </w:rPr>
        <w:t>a</w:t>
      </w:r>
      <w:r>
        <w:rPr>
          <w:rFonts w:hint="eastAsia" w:ascii="宋体"/>
        </w:rPr>
        <w:t>、</w:t>
      </w:r>
      <w:r>
        <w:rPr>
          <w:rFonts w:ascii="宋体"/>
        </w:rPr>
        <w:t>修筑填石路堤时应进行地表清理，逐层水平填筑石块，摆方平稳，码砌边部。填筑层厚度及石坡块尺寸应符合设计和施工规范规定。填石空隙用石渣、石屑嵌压稳定。上、下路床填料和石料最大尽寸应符合规范规定。采用振动压路机分层碾压，压至填筑层顶面石块稳定，20t以上压路机振压两遍无明显高程差异。</w:t>
      </w:r>
    </w:p>
    <w:p>
      <w:pPr>
        <w:pStyle w:val="1280"/>
        <w:ind w:firstLine="440"/>
        <w:rPr>
          <w:rFonts w:ascii="宋体"/>
        </w:rPr>
      </w:pPr>
      <w:r>
        <w:rPr>
          <w:rFonts w:ascii="宋体"/>
        </w:rPr>
        <w:t>b</w:t>
      </w:r>
      <w:r>
        <w:rPr>
          <w:rFonts w:hint="eastAsia" w:ascii="宋体"/>
        </w:rPr>
        <w:t>、</w:t>
      </w:r>
      <w:r>
        <w:rPr>
          <w:rFonts w:ascii="宋体"/>
        </w:rPr>
        <w:t>填石路堤填筑至设计高程并整修完成后，其路基表面应平整、施工质量应符合表</w:t>
      </w:r>
      <w:r>
        <w:rPr>
          <w:rFonts w:hint="eastAsia" w:ascii="宋体"/>
        </w:rPr>
        <w:t>4-3</w:t>
      </w:r>
      <w:r>
        <w:rPr>
          <w:rFonts w:ascii="宋体"/>
        </w:rPr>
        <w:t>-2的规定。</w:t>
      </w:r>
    </w:p>
    <w:p>
      <w:pPr>
        <w:pStyle w:val="1280"/>
        <w:ind w:firstLine="440"/>
        <w:rPr>
          <w:rFonts w:ascii="宋体"/>
        </w:rPr>
      </w:pPr>
      <w:r>
        <w:rPr>
          <w:rFonts w:ascii="宋体"/>
        </w:rPr>
        <w:t>c</w:t>
      </w:r>
      <w:r>
        <w:rPr>
          <w:rFonts w:hint="eastAsia" w:ascii="宋体"/>
        </w:rPr>
        <w:t>、</w:t>
      </w:r>
      <w:r>
        <w:rPr>
          <w:rFonts w:ascii="宋体"/>
        </w:rPr>
        <w:t>中硬、硬质石料土石路堤质量应符合以下规定：</w:t>
      </w:r>
    </w:p>
    <w:p>
      <w:pPr>
        <w:pStyle w:val="1280"/>
        <w:ind w:firstLine="440"/>
        <w:rPr>
          <w:rFonts w:ascii="宋体"/>
        </w:rPr>
      </w:pPr>
      <w:r>
        <w:rPr>
          <w:rFonts w:hint="eastAsia" w:ascii="宋体"/>
        </w:rPr>
        <w:t>（a）</w:t>
      </w:r>
      <w:r>
        <w:rPr>
          <w:rFonts w:ascii="宋体"/>
        </w:rPr>
        <w:t>施工过程中的每一压实层，可用试验路段确定的工艺流程和工艺参数，控制压实过程；用试验路段确定的沉降差指标，检测压实质量。</w:t>
      </w:r>
    </w:p>
    <w:p>
      <w:pPr>
        <w:pStyle w:val="1280"/>
        <w:ind w:firstLine="440"/>
        <w:rPr>
          <w:rFonts w:ascii="宋体"/>
        </w:rPr>
      </w:pPr>
      <w:r>
        <w:rPr>
          <w:rFonts w:hint="eastAsia" w:ascii="宋体"/>
        </w:rPr>
        <w:t>（b）</w:t>
      </w:r>
      <w:r>
        <w:rPr>
          <w:rFonts w:ascii="宋体"/>
        </w:rPr>
        <w:t>路基成型后质量应符合表</w:t>
      </w:r>
      <w:r>
        <w:rPr>
          <w:rFonts w:hint="eastAsia" w:ascii="宋体"/>
        </w:rPr>
        <w:t>4-3</w:t>
      </w:r>
      <w:r>
        <w:rPr>
          <w:rFonts w:ascii="宋体"/>
        </w:rPr>
        <w:t>-2的规定。</w:t>
      </w:r>
    </w:p>
    <w:p>
      <w:pPr>
        <w:pStyle w:val="1280"/>
        <w:ind w:firstLine="440"/>
        <w:rPr>
          <w:rFonts w:ascii="宋体"/>
        </w:rPr>
      </w:pPr>
      <w:r>
        <w:rPr>
          <w:rFonts w:hint="eastAsia" w:ascii="宋体"/>
        </w:rPr>
        <w:t>（2）</w:t>
      </w:r>
      <w:r>
        <w:rPr>
          <w:rFonts w:ascii="宋体"/>
        </w:rPr>
        <w:t>检查项目</w:t>
      </w:r>
    </w:p>
    <w:p>
      <w:pPr>
        <w:pStyle w:val="1280"/>
        <w:ind w:firstLine="440"/>
        <w:rPr>
          <w:rFonts w:ascii="宋体"/>
        </w:rPr>
      </w:pPr>
      <w:r>
        <w:rPr>
          <w:rFonts w:ascii="宋体"/>
        </w:rPr>
        <w:t>路基检查项目按表</w:t>
      </w:r>
      <w:r>
        <w:rPr>
          <w:rFonts w:hint="eastAsia" w:ascii="宋体"/>
        </w:rPr>
        <w:t>4-3</w:t>
      </w:r>
      <w:r>
        <w:rPr>
          <w:rFonts w:ascii="宋体"/>
        </w:rPr>
        <w:t>-1和表</w:t>
      </w:r>
      <w:r>
        <w:rPr>
          <w:rFonts w:hint="eastAsia" w:ascii="宋体"/>
        </w:rPr>
        <w:t>4-3</w:t>
      </w:r>
      <w:r>
        <w:rPr>
          <w:rFonts w:ascii="宋体"/>
        </w:rPr>
        <w:t>-2的规定。</w:t>
      </w:r>
    </w:p>
    <w:p>
      <w:pPr>
        <w:pStyle w:val="1280"/>
        <w:ind w:firstLine="440"/>
        <w:rPr>
          <w:rFonts w:ascii="宋体"/>
        </w:rPr>
      </w:pPr>
      <w:r>
        <w:rPr>
          <w:rFonts w:hint="eastAsia" w:ascii="宋体"/>
        </w:rPr>
        <w:t>（3）</w:t>
      </w:r>
      <w:r>
        <w:rPr>
          <w:rFonts w:ascii="宋体"/>
        </w:rPr>
        <w:t>外观鉴定</w:t>
      </w:r>
    </w:p>
    <w:p>
      <w:pPr>
        <w:pStyle w:val="1280"/>
        <w:ind w:firstLine="440"/>
        <w:rPr>
          <w:rFonts w:ascii="宋体"/>
        </w:rPr>
      </w:pPr>
      <w:r>
        <w:rPr>
          <w:rFonts w:hint="eastAsia" w:ascii="宋体"/>
        </w:rPr>
        <w:t>1）</w:t>
      </w:r>
      <w:r>
        <w:rPr>
          <w:rFonts w:ascii="宋体"/>
        </w:rPr>
        <w:t>土方路基</w:t>
      </w:r>
    </w:p>
    <w:p>
      <w:pPr>
        <w:pStyle w:val="1280"/>
        <w:ind w:firstLine="440"/>
        <w:rPr>
          <w:rFonts w:ascii="宋体"/>
        </w:rPr>
      </w:pPr>
      <w:r>
        <w:rPr>
          <w:rFonts w:ascii="宋体"/>
        </w:rPr>
        <w:t>a</w:t>
      </w:r>
      <w:r>
        <w:rPr>
          <w:rFonts w:hint="eastAsia" w:ascii="宋体"/>
        </w:rPr>
        <w:t>、</w:t>
      </w:r>
      <w:r>
        <w:rPr>
          <w:rFonts w:ascii="宋体"/>
        </w:rPr>
        <w:t>路基表面平整、密实、无局部坑洼、曲线圆滑，边线顺直。</w:t>
      </w:r>
    </w:p>
    <w:p>
      <w:pPr>
        <w:pStyle w:val="1280"/>
        <w:ind w:firstLine="440"/>
        <w:rPr>
          <w:rFonts w:ascii="宋体"/>
        </w:rPr>
      </w:pPr>
      <w:r>
        <w:rPr>
          <w:rFonts w:ascii="宋体"/>
        </w:rPr>
        <w:t>b</w:t>
      </w:r>
      <w:r>
        <w:rPr>
          <w:rFonts w:hint="eastAsia" w:ascii="宋体"/>
        </w:rPr>
        <w:t>、</w:t>
      </w:r>
      <w:r>
        <w:rPr>
          <w:rFonts w:ascii="宋体"/>
        </w:rPr>
        <w:t>边坡坡面平顺稳定，不得亏坡，曲线圆滑。</w:t>
      </w:r>
    </w:p>
    <w:p>
      <w:pPr>
        <w:pStyle w:val="1280"/>
        <w:ind w:firstLine="440"/>
        <w:rPr>
          <w:rFonts w:ascii="宋体"/>
        </w:rPr>
      </w:pPr>
      <w:r>
        <w:rPr>
          <w:rFonts w:ascii="宋体"/>
        </w:rPr>
        <w:t>c</w:t>
      </w:r>
      <w:r>
        <w:rPr>
          <w:rFonts w:hint="eastAsia" w:ascii="宋体"/>
        </w:rPr>
        <w:t>、</w:t>
      </w:r>
      <w:r>
        <w:rPr>
          <w:rFonts w:ascii="宋体"/>
        </w:rPr>
        <w:t>取土坑、弃土堆、护坡道、碎落台的位置适当，外形整齐、美观，防止水土流失。</w:t>
      </w:r>
    </w:p>
    <w:p>
      <w:pPr>
        <w:pStyle w:val="1280"/>
        <w:ind w:firstLine="440"/>
        <w:rPr>
          <w:rFonts w:ascii="宋体"/>
        </w:rPr>
      </w:pPr>
      <w:r>
        <w:rPr>
          <w:rFonts w:ascii="宋体"/>
        </w:rPr>
        <w:t>d</w:t>
      </w:r>
      <w:r>
        <w:rPr>
          <w:rFonts w:hint="eastAsia" w:ascii="宋体"/>
        </w:rPr>
        <w:t>、</w:t>
      </w:r>
      <w:r>
        <w:rPr>
          <w:rFonts w:ascii="宋体"/>
        </w:rPr>
        <w:t>对取土造成的裸露面，应采取整治或防护措施。</w:t>
      </w:r>
    </w:p>
    <w:p>
      <w:pPr>
        <w:pStyle w:val="1280"/>
        <w:ind w:firstLine="440"/>
        <w:rPr>
          <w:rFonts w:ascii="宋体"/>
        </w:rPr>
      </w:pPr>
      <w:r>
        <w:rPr>
          <w:rFonts w:hint="eastAsia" w:ascii="宋体"/>
        </w:rPr>
        <w:t>2）</w:t>
      </w:r>
      <w:r>
        <w:rPr>
          <w:rFonts w:ascii="宋体"/>
        </w:rPr>
        <w:t>石方路基</w:t>
      </w:r>
    </w:p>
    <w:p>
      <w:pPr>
        <w:pStyle w:val="1280"/>
        <w:ind w:firstLine="440"/>
        <w:rPr>
          <w:rFonts w:ascii="宋体"/>
        </w:rPr>
      </w:pPr>
      <w:r>
        <w:rPr>
          <w:rFonts w:ascii="宋体"/>
        </w:rPr>
        <w:t>a</w:t>
      </w:r>
      <w:r>
        <w:rPr>
          <w:rFonts w:hint="eastAsia" w:ascii="宋体"/>
        </w:rPr>
        <w:t>、</w:t>
      </w:r>
      <w:r>
        <w:rPr>
          <w:rFonts w:ascii="宋体"/>
        </w:rPr>
        <w:t>上边坡不得有松石，路基边线直顺，曲线圆滑。</w:t>
      </w:r>
    </w:p>
    <w:p>
      <w:pPr>
        <w:pStyle w:val="1280"/>
        <w:ind w:firstLine="440"/>
        <w:rPr>
          <w:rFonts w:ascii="宋体"/>
        </w:rPr>
      </w:pPr>
      <w:r>
        <w:rPr>
          <w:rFonts w:ascii="宋体"/>
        </w:rPr>
        <w:t>b</w:t>
      </w:r>
      <w:r>
        <w:rPr>
          <w:rFonts w:hint="eastAsia" w:ascii="宋体"/>
        </w:rPr>
        <w:t>、</w:t>
      </w:r>
      <w:r>
        <w:rPr>
          <w:rFonts w:ascii="宋体"/>
        </w:rPr>
        <w:t>土石路堤成型后的外观质量标准为路堤表面无明显孔洞，大粒径填石不松动，铁锹挖动困难。</w:t>
      </w:r>
    </w:p>
    <w:p>
      <w:pPr>
        <w:pStyle w:val="1280"/>
        <w:ind w:firstLine="440"/>
        <w:rPr>
          <w:rFonts w:ascii="宋体"/>
        </w:rPr>
      </w:pPr>
      <w:r>
        <w:rPr>
          <w:rFonts w:ascii="宋体"/>
        </w:rPr>
        <w:t>c</w:t>
      </w:r>
      <w:r>
        <w:rPr>
          <w:rFonts w:hint="eastAsia" w:ascii="宋体"/>
        </w:rPr>
        <w:t>、</w:t>
      </w:r>
      <w:r>
        <w:rPr>
          <w:rFonts w:ascii="宋体"/>
        </w:rPr>
        <w:t>中硬、硬质石料土石路基边坡码砌紧贴、密实、无明显孔洞、松动，砌块间承接面向内倾斜，坡面平面。</w:t>
      </w:r>
    </w:p>
    <w:p>
      <w:pPr>
        <w:pStyle w:val="1288"/>
        <w:outlineLvl w:val="0"/>
        <w:rPr>
          <w:rFonts w:ascii="宋体" w:hAnsi="宋体"/>
          <w:color w:val="auto"/>
        </w:rPr>
      </w:pPr>
      <w:bookmarkStart w:id="4387" w:name="_Toc475588395"/>
      <w:bookmarkStart w:id="4388" w:name="_Toc106050141"/>
      <w:bookmarkStart w:id="4389" w:name="_Toc106883405"/>
      <w:r>
        <w:rPr>
          <w:rFonts w:hint="eastAsia" w:ascii="宋体" w:hAnsi="宋体"/>
          <w:color w:val="auto"/>
        </w:rPr>
        <w:t>4.6.4.6.3</w:t>
      </w:r>
      <w:r>
        <w:rPr>
          <w:rFonts w:ascii="宋体" w:hAnsi="宋体"/>
          <w:color w:val="auto"/>
        </w:rPr>
        <w:t xml:space="preserve"> 路基整修</w:t>
      </w:r>
      <w:bookmarkEnd w:id="4387"/>
      <w:bookmarkEnd w:id="4388"/>
      <w:bookmarkEnd w:id="4389"/>
    </w:p>
    <w:p>
      <w:pPr>
        <w:pStyle w:val="1280"/>
        <w:ind w:firstLine="440"/>
        <w:rPr>
          <w:rFonts w:ascii="宋体"/>
        </w:rPr>
      </w:pPr>
      <w:r>
        <w:rPr>
          <w:rFonts w:hint="eastAsia" w:ascii="宋体"/>
        </w:rPr>
        <w:t>1、</w:t>
      </w:r>
      <w:r>
        <w:rPr>
          <w:rFonts w:ascii="宋体"/>
        </w:rPr>
        <w:t>一般要求</w:t>
      </w:r>
    </w:p>
    <w:p>
      <w:pPr>
        <w:pStyle w:val="1280"/>
        <w:ind w:firstLine="440"/>
        <w:rPr>
          <w:rFonts w:ascii="宋体"/>
        </w:rPr>
      </w:pPr>
      <w:r>
        <w:rPr>
          <w:rFonts w:ascii="宋体"/>
        </w:rPr>
        <w:t>路基整修应在路基工程陆续完毕，所有排水构造物已经完成并在回填之后进行。</w:t>
      </w:r>
    </w:p>
    <w:p>
      <w:pPr>
        <w:pStyle w:val="1280"/>
        <w:ind w:firstLine="440"/>
        <w:rPr>
          <w:rFonts w:ascii="宋体"/>
        </w:rPr>
      </w:pPr>
      <w:bookmarkStart w:id="4390" w:name="_Toc320555499"/>
      <w:r>
        <w:rPr>
          <w:rFonts w:hint="eastAsia" w:ascii="宋体"/>
        </w:rPr>
        <w:t>2、</w:t>
      </w:r>
      <w:r>
        <w:rPr>
          <w:rFonts w:ascii="宋体"/>
        </w:rPr>
        <w:t>施工要求</w:t>
      </w:r>
      <w:bookmarkEnd w:id="4390"/>
    </w:p>
    <w:p>
      <w:pPr>
        <w:pStyle w:val="1280"/>
        <w:ind w:firstLine="440"/>
        <w:rPr>
          <w:rFonts w:ascii="宋体"/>
        </w:rPr>
      </w:pPr>
      <w:r>
        <w:rPr>
          <w:rFonts w:hint="eastAsia" w:ascii="宋体"/>
        </w:rPr>
        <w:t>（1）</w:t>
      </w:r>
      <w:r>
        <w:rPr>
          <w:rFonts w:ascii="宋体"/>
        </w:rPr>
        <w:t>承包商应恢复各项标桩，按设计图纸要求检查路基的中线位置、宽度、纵坡、横坡、边坡及相应的标高等。根据检查结果，编制出整修计划。整修工作应在检查结果及整修计划经项目监理核查与批准后方能动工。</w:t>
      </w:r>
    </w:p>
    <w:p>
      <w:pPr>
        <w:pStyle w:val="1280"/>
        <w:ind w:firstLine="440"/>
        <w:rPr>
          <w:rFonts w:ascii="宋体"/>
        </w:rPr>
      </w:pPr>
      <w:r>
        <w:rPr>
          <w:rFonts w:hint="eastAsia" w:ascii="宋体"/>
        </w:rPr>
        <w:t>（2）</w:t>
      </w:r>
      <w:r>
        <w:rPr>
          <w:rFonts w:ascii="宋体"/>
        </w:rPr>
        <w:t>土质路基应用人工或机械刮土或补土的方法整修成型。深路堑边坡整修应按设计要求的坡度，自上而下进行刷坡，不得在边坡上以土贴补。</w:t>
      </w:r>
    </w:p>
    <w:p>
      <w:pPr>
        <w:pStyle w:val="1280"/>
        <w:ind w:firstLine="440"/>
        <w:rPr>
          <w:rFonts w:ascii="宋体"/>
        </w:rPr>
      </w:pPr>
      <w:r>
        <w:rPr>
          <w:rFonts w:hint="eastAsia" w:ascii="宋体"/>
        </w:rPr>
        <w:t>（3）</w:t>
      </w:r>
      <w:r>
        <w:rPr>
          <w:rFonts w:ascii="宋体"/>
        </w:rPr>
        <w:t>在整修需加固的坡面时，应预留加固位置。当填土不足或边坡受雨水冲刷形成小冲沟时，应将原边坡挖成台阶，分层填补，仔细夯实。如填补的厚度很小</w:t>
      </w:r>
      <w:r>
        <w:rPr>
          <w:rFonts w:hint="eastAsia" w:ascii="宋体"/>
        </w:rPr>
        <w:t>（</w:t>
      </w:r>
      <w:r>
        <w:rPr>
          <w:rFonts w:ascii="宋体"/>
        </w:rPr>
        <w:t>100～200mm</w:t>
      </w:r>
      <w:r>
        <w:rPr>
          <w:rFonts w:hint="eastAsia" w:ascii="宋体"/>
        </w:rPr>
        <w:t>）</w:t>
      </w:r>
      <w:r>
        <w:rPr>
          <w:rFonts w:ascii="宋体"/>
        </w:rPr>
        <w:t>，而又是非边坡加固地段时，可用种草整修的方法以种植土来填补。</w:t>
      </w:r>
    </w:p>
    <w:p>
      <w:pPr>
        <w:pStyle w:val="1280"/>
        <w:ind w:firstLine="440"/>
        <w:rPr>
          <w:rFonts w:ascii="宋体"/>
        </w:rPr>
      </w:pPr>
      <w:r>
        <w:rPr>
          <w:rFonts w:hint="eastAsia" w:ascii="宋体"/>
        </w:rPr>
        <w:t>（4）</w:t>
      </w:r>
      <w:r>
        <w:rPr>
          <w:rFonts w:ascii="宋体"/>
        </w:rPr>
        <w:t>土质路基表面做到设计标高后应采用平地机或推土机刮平，铲下的土不足以填补凹陷时，应采用与路基表面相同的土填平夯实。石质路基表面应用石屑嵌缝紧密、平整，不得有坑槽和松石。</w:t>
      </w:r>
    </w:p>
    <w:p>
      <w:pPr>
        <w:pStyle w:val="1280"/>
        <w:ind w:firstLine="440"/>
        <w:rPr>
          <w:rFonts w:ascii="宋体"/>
        </w:rPr>
      </w:pPr>
      <w:r>
        <w:rPr>
          <w:rFonts w:hint="eastAsia" w:ascii="宋体"/>
        </w:rPr>
        <w:t>（5）</w:t>
      </w:r>
      <w:r>
        <w:rPr>
          <w:rFonts w:ascii="宋体"/>
        </w:rPr>
        <w:t>修整的路基表层厚150mm以内，松散的或半埋的尺寸大于100mm的石块，应从路基表面层移走，并按规定填平压实。</w:t>
      </w:r>
    </w:p>
    <w:p>
      <w:pPr>
        <w:pStyle w:val="1280"/>
        <w:ind w:firstLine="440"/>
        <w:rPr>
          <w:rFonts w:ascii="宋体"/>
        </w:rPr>
      </w:pPr>
      <w:r>
        <w:rPr>
          <w:rFonts w:hint="eastAsia" w:ascii="宋体"/>
        </w:rPr>
        <w:t>（6）</w:t>
      </w:r>
      <w:r>
        <w:rPr>
          <w:rFonts w:ascii="宋体"/>
        </w:rPr>
        <w:t>边沟的整修应挂线进行。对各种水沟的纵坡</w:t>
      </w:r>
      <w:r>
        <w:rPr>
          <w:rFonts w:hint="eastAsia" w:ascii="宋体"/>
        </w:rPr>
        <w:t>（</w:t>
      </w:r>
      <w:r>
        <w:rPr>
          <w:rFonts w:ascii="宋体"/>
        </w:rPr>
        <w:t>包括取土坑纵坡</w:t>
      </w:r>
      <w:r>
        <w:rPr>
          <w:rFonts w:hint="eastAsia" w:ascii="宋体"/>
        </w:rPr>
        <w:t>）</w:t>
      </w:r>
      <w:r>
        <w:rPr>
          <w:rFonts w:ascii="宋体"/>
        </w:rPr>
        <w:t>应用仪器检测，修整到符合图纸及规范要求。各种水沟的纵坡，应按图纸及规范要求办理，不得随意用土填补。</w:t>
      </w:r>
    </w:p>
    <w:p>
      <w:pPr>
        <w:pStyle w:val="1280"/>
        <w:ind w:firstLine="440"/>
        <w:rPr>
          <w:rFonts w:ascii="宋体"/>
        </w:rPr>
      </w:pPr>
      <w:r>
        <w:rPr>
          <w:rFonts w:hint="eastAsia" w:ascii="宋体"/>
        </w:rPr>
        <w:t>（7）</w:t>
      </w:r>
      <w:r>
        <w:rPr>
          <w:rFonts w:ascii="宋体"/>
        </w:rPr>
        <w:t>填土路基两侧超填的宽度按图纸要求和项目监理的指示进行切除，如遇边坡缺土时，必须挖成台阶，分层填补夯实。</w:t>
      </w:r>
    </w:p>
    <w:p>
      <w:pPr>
        <w:pStyle w:val="1280"/>
        <w:ind w:firstLine="440"/>
        <w:rPr>
          <w:rFonts w:ascii="宋体"/>
        </w:rPr>
      </w:pPr>
      <w:r>
        <w:rPr>
          <w:rFonts w:hint="eastAsia" w:ascii="宋体"/>
        </w:rPr>
        <w:t>（8）</w:t>
      </w:r>
      <w:r>
        <w:rPr>
          <w:rFonts w:ascii="宋体"/>
        </w:rPr>
        <w:t>在路面铺筑完成后或铺筑时，应立即填筑土路肩，同时按设计要求进行加固。</w:t>
      </w:r>
    </w:p>
    <w:p>
      <w:pPr>
        <w:pStyle w:val="1280"/>
        <w:ind w:firstLine="440"/>
        <w:rPr>
          <w:rFonts w:ascii="宋体"/>
        </w:rPr>
      </w:pPr>
      <w:r>
        <w:rPr>
          <w:rFonts w:hint="eastAsia" w:ascii="宋体"/>
        </w:rPr>
        <w:t>（9）</w:t>
      </w:r>
      <w:r>
        <w:rPr>
          <w:rFonts w:ascii="宋体"/>
        </w:rPr>
        <w:t>路基整修完毕后，堆于路基范围内的废弃土料应按图纸要求或项目监理的指示予以清除。</w:t>
      </w:r>
    </w:p>
    <w:p>
      <w:pPr>
        <w:pStyle w:val="1280"/>
        <w:ind w:firstLine="440"/>
        <w:rPr>
          <w:rFonts w:ascii="宋体"/>
        </w:rPr>
      </w:pPr>
      <w:r>
        <w:rPr>
          <w:rFonts w:hint="eastAsia" w:ascii="宋体"/>
        </w:rPr>
        <w:t>（10）</w:t>
      </w:r>
      <w:r>
        <w:rPr>
          <w:rFonts w:ascii="宋体"/>
        </w:rPr>
        <w:t>路基工程完工后路面未施工前及公路工程初验后至终验前，路基如有损毁，承包商应负责维修，并保证路基排水设施完好，及时清除排水设施中淤积物、杂草等。</w:t>
      </w:r>
    </w:p>
    <w:p>
      <w:pPr>
        <w:pStyle w:val="1280"/>
        <w:ind w:firstLine="440"/>
        <w:rPr>
          <w:rFonts w:ascii="宋体"/>
        </w:rPr>
      </w:pPr>
      <w:r>
        <w:rPr>
          <w:rFonts w:hint="eastAsia" w:ascii="宋体"/>
        </w:rPr>
        <w:t>（11）</w:t>
      </w:r>
      <w:r>
        <w:rPr>
          <w:rFonts w:ascii="宋体"/>
        </w:rPr>
        <w:t>对中途停工较长时间和暂时不做路面的路基，亦应做好排水设施，复工前应对路基各分项工程予以修整。</w:t>
      </w:r>
    </w:p>
    <w:p>
      <w:pPr>
        <w:pStyle w:val="1280"/>
        <w:ind w:firstLine="440"/>
        <w:rPr>
          <w:rFonts w:ascii="宋体"/>
        </w:rPr>
      </w:pPr>
      <w:r>
        <w:rPr>
          <w:rFonts w:hint="eastAsia" w:ascii="宋体"/>
        </w:rPr>
        <w:t>（12）</w:t>
      </w:r>
      <w:r>
        <w:rPr>
          <w:rFonts w:ascii="宋体"/>
        </w:rPr>
        <w:t>路基工程完成后，每当大雨、连日暴雨或积雪融化后，应控制施工机械车辆在土质路基上通行。若不可避免时，应将碾压的坑槽中的积水及时排干，整平坑槽，对修复部分重新压实。</w:t>
      </w:r>
    </w:p>
    <w:p>
      <w:pPr>
        <w:pStyle w:val="1280"/>
        <w:ind w:firstLine="440"/>
        <w:rPr>
          <w:rFonts w:ascii="宋体"/>
        </w:rPr>
      </w:pPr>
      <w:bookmarkStart w:id="4391" w:name="_Toc320555500"/>
      <w:r>
        <w:rPr>
          <w:rFonts w:hint="eastAsia" w:ascii="宋体"/>
        </w:rPr>
        <w:t>3、</w:t>
      </w:r>
      <w:r>
        <w:rPr>
          <w:rFonts w:ascii="宋体"/>
        </w:rPr>
        <w:t>质量标准</w:t>
      </w:r>
      <w:bookmarkEnd w:id="4391"/>
    </w:p>
    <w:p>
      <w:pPr>
        <w:pStyle w:val="1280"/>
        <w:ind w:firstLine="440"/>
        <w:rPr>
          <w:rFonts w:ascii="宋体"/>
        </w:rPr>
      </w:pPr>
      <w:r>
        <w:rPr>
          <w:rFonts w:ascii="宋体"/>
        </w:rPr>
        <w:t>修整后的路基应符合本规范表</w:t>
      </w:r>
      <w:r>
        <w:rPr>
          <w:rFonts w:hint="eastAsia" w:ascii="宋体"/>
        </w:rPr>
        <w:t>4-3</w:t>
      </w:r>
      <w:r>
        <w:rPr>
          <w:rFonts w:ascii="宋体"/>
        </w:rPr>
        <w:t>-1和表</w:t>
      </w:r>
      <w:r>
        <w:rPr>
          <w:rFonts w:hint="eastAsia" w:ascii="宋体"/>
        </w:rPr>
        <w:t>4-3</w:t>
      </w:r>
      <w:r>
        <w:rPr>
          <w:rFonts w:ascii="宋体"/>
        </w:rPr>
        <w:t>-2的要求。</w:t>
      </w:r>
    </w:p>
    <w:p>
      <w:pPr>
        <w:pStyle w:val="1284"/>
        <w:outlineLvl w:val="0"/>
        <w:rPr>
          <w:rFonts w:ascii="宋体" w:hAnsi="宋体"/>
        </w:rPr>
      </w:pPr>
      <w:bookmarkStart w:id="4392" w:name="_Toc403637001"/>
      <w:bookmarkStart w:id="4393" w:name="_Toc266663053"/>
      <w:bookmarkStart w:id="4394" w:name="_Toc517382622"/>
      <w:bookmarkStart w:id="4395" w:name="_Toc518376675"/>
      <w:bookmarkStart w:id="4396" w:name="_Toc521491997"/>
      <w:bookmarkStart w:id="4397" w:name="_Toc521492854"/>
      <w:bookmarkStart w:id="4398" w:name="_Toc521493528"/>
      <w:bookmarkStart w:id="4399" w:name="_Toc106050142"/>
      <w:bookmarkStart w:id="4400" w:name="_Toc106883406"/>
      <w:r>
        <w:rPr>
          <w:rFonts w:hint="eastAsia" w:ascii="宋体" w:hAnsi="宋体"/>
        </w:rPr>
        <w:t xml:space="preserve">4.6.4.7 </w:t>
      </w:r>
      <w:r>
        <w:rPr>
          <w:rFonts w:ascii="宋体" w:hAnsi="宋体"/>
        </w:rPr>
        <w:t>路基压实</w:t>
      </w:r>
      <w:bookmarkEnd w:id="4392"/>
      <w:bookmarkEnd w:id="4393"/>
      <w:bookmarkEnd w:id="4394"/>
      <w:bookmarkEnd w:id="4395"/>
      <w:bookmarkEnd w:id="4396"/>
      <w:bookmarkEnd w:id="4397"/>
      <w:bookmarkEnd w:id="4398"/>
      <w:bookmarkEnd w:id="4399"/>
      <w:bookmarkEnd w:id="4400"/>
    </w:p>
    <w:p>
      <w:pPr>
        <w:pStyle w:val="1280"/>
        <w:ind w:firstLine="440"/>
        <w:rPr>
          <w:rFonts w:ascii="宋体"/>
        </w:rPr>
      </w:pPr>
      <w:r>
        <w:rPr>
          <w:rFonts w:ascii="宋体"/>
        </w:rPr>
        <w:t>承包商施工的路基，其压实应严格按</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）和《公路路基施工技术规范》（</w:t>
      </w:r>
      <w:r>
        <w:rPr>
          <w:rFonts w:ascii="宋体"/>
        </w:rPr>
        <w:t>JTG F10-2006</w:t>
      </w:r>
      <w:r>
        <w:rPr>
          <w:rFonts w:hint="eastAsia" w:ascii="宋体"/>
        </w:rPr>
        <w:t>）</w:t>
      </w:r>
      <w:r>
        <w:rPr>
          <w:rFonts w:ascii="宋体"/>
        </w:rPr>
        <w:t>规范中的表4.2.2-1、表4.2.3-1、表4.4.1等的相关要求和规定施工，相同标准不统一的，以较严格的为准。</w:t>
      </w:r>
    </w:p>
    <w:p>
      <w:pPr>
        <w:pStyle w:val="1280"/>
        <w:ind w:firstLine="440"/>
        <w:rPr>
          <w:rFonts w:ascii="宋体"/>
        </w:rPr>
      </w:pPr>
      <w:r>
        <w:rPr>
          <w:rFonts w:ascii="宋体"/>
        </w:rPr>
        <w:t>软土地基路堤的处理除应符合</w:t>
      </w:r>
      <w:r>
        <w:rPr>
          <w:rFonts w:hint="eastAsia" w:ascii="宋体"/>
        </w:rPr>
        <w:t>《城镇道路工程施工与质量验收规范》（</w:t>
      </w:r>
      <w:r>
        <w:rPr>
          <w:rFonts w:ascii="宋体"/>
        </w:rPr>
        <w:t>CJJ</w:t>
      </w:r>
      <w:r>
        <w:rPr>
          <w:rFonts w:hint="eastAsia" w:ascii="宋体"/>
        </w:rPr>
        <w:t xml:space="preserve"> </w:t>
      </w:r>
      <w:r>
        <w:rPr>
          <w:rFonts w:ascii="宋体"/>
        </w:rPr>
        <w:t>1-2008</w:t>
      </w:r>
      <w:r>
        <w:rPr>
          <w:rFonts w:hint="eastAsia" w:ascii="宋体"/>
        </w:rPr>
        <w:t>）和《公路路基施工技术规范》（</w:t>
      </w:r>
      <w:r>
        <w:rPr>
          <w:rFonts w:ascii="宋体"/>
        </w:rPr>
        <w:t>JTG F10-2006</w:t>
      </w:r>
      <w:r>
        <w:rPr>
          <w:rFonts w:hint="eastAsia" w:ascii="宋体"/>
        </w:rPr>
        <w:t>）</w:t>
      </w:r>
      <w:r>
        <w:rPr>
          <w:rFonts w:ascii="宋体"/>
        </w:rPr>
        <w:t>规范的规定。还应达到</w:t>
      </w:r>
      <w:r>
        <w:rPr>
          <w:rFonts w:hint="eastAsia" w:ascii="宋体"/>
        </w:rPr>
        <w:t>《土工试验方法标准》（2007版）（</w:t>
      </w:r>
      <w:r>
        <w:rPr>
          <w:rFonts w:ascii="宋体"/>
        </w:rPr>
        <w:t>GB/T</w:t>
      </w:r>
      <w:r>
        <w:rPr>
          <w:rFonts w:hint="eastAsia" w:ascii="宋体"/>
        </w:rPr>
        <w:t xml:space="preserve"> </w:t>
      </w:r>
      <w:r>
        <w:rPr>
          <w:rFonts w:ascii="宋体"/>
        </w:rPr>
        <w:t>50123</w:t>
      </w:r>
      <w:r>
        <w:rPr>
          <w:rFonts w:hint="eastAsia" w:ascii="宋体"/>
        </w:rPr>
        <w:t>-</w:t>
      </w:r>
      <w:r>
        <w:rPr>
          <w:rFonts w:ascii="宋体"/>
        </w:rPr>
        <w:t>1999</w:t>
      </w:r>
      <w:r>
        <w:rPr>
          <w:rFonts w:hint="eastAsia" w:ascii="宋体"/>
        </w:rPr>
        <w:t>）</w:t>
      </w:r>
      <w:r>
        <w:rPr>
          <w:rFonts w:ascii="宋体"/>
        </w:rPr>
        <w:t>规定的标准或设计要求标准或当地政府质量检验部门要求的标准。</w:t>
      </w:r>
    </w:p>
    <w:p>
      <w:pPr>
        <w:pStyle w:val="1281"/>
        <w:outlineLvl w:val="0"/>
        <w:rPr>
          <w:rFonts w:ascii="宋体" w:hAnsi="宋体"/>
          <w:color w:val="auto"/>
        </w:rPr>
      </w:pPr>
      <w:bookmarkStart w:id="4401" w:name="_Toc403637002"/>
      <w:bookmarkStart w:id="4402" w:name="_Toc266663054"/>
      <w:bookmarkStart w:id="4403" w:name="_Toc517382623"/>
      <w:bookmarkStart w:id="4404" w:name="_Toc518376676"/>
      <w:bookmarkStart w:id="4405" w:name="_Toc521491998"/>
      <w:bookmarkStart w:id="4406" w:name="_Toc521492855"/>
      <w:bookmarkStart w:id="4407" w:name="_Toc521493529"/>
      <w:bookmarkStart w:id="4408" w:name="_Toc106883407"/>
      <w:r>
        <w:rPr>
          <w:rFonts w:hint="eastAsia" w:ascii="宋体" w:hAnsi="宋体"/>
          <w:color w:val="auto"/>
        </w:rPr>
        <w:t xml:space="preserve">4.6.5 </w:t>
      </w:r>
      <w:r>
        <w:rPr>
          <w:rFonts w:ascii="宋体" w:hAnsi="宋体"/>
          <w:color w:val="auto"/>
        </w:rPr>
        <w:t>路面工程</w:t>
      </w:r>
      <w:bookmarkEnd w:id="4401"/>
      <w:bookmarkEnd w:id="4402"/>
      <w:bookmarkEnd w:id="4403"/>
      <w:bookmarkEnd w:id="4404"/>
      <w:bookmarkEnd w:id="4405"/>
      <w:bookmarkEnd w:id="4406"/>
      <w:bookmarkEnd w:id="4407"/>
      <w:bookmarkEnd w:id="4408"/>
    </w:p>
    <w:p>
      <w:pPr>
        <w:pStyle w:val="1284"/>
        <w:outlineLvl w:val="0"/>
        <w:rPr>
          <w:rFonts w:ascii="宋体" w:hAnsi="宋体"/>
        </w:rPr>
      </w:pPr>
      <w:bookmarkStart w:id="4409" w:name="_Toc521491999"/>
      <w:bookmarkStart w:id="4410" w:name="_Toc517382624"/>
      <w:bookmarkStart w:id="4411" w:name="_Toc266663055"/>
      <w:bookmarkStart w:id="4412" w:name="_Toc518376677"/>
      <w:bookmarkStart w:id="4413" w:name="_Toc403637003"/>
      <w:bookmarkStart w:id="4414" w:name="_Toc521492856"/>
      <w:bookmarkStart w:id="4415" w:name="_Toc521493530"/>
      <w:bookmarkStart w:id="4416" w:name="_Toc106050144"/>
      <w:bookmarkStart w:id="4417" w:name="_Toc106883408"/>
      <w:r>
        <w:rPr>
          <w:rFonts w:hint="eastAsia" w:ascii="宋体" w:hAnsi="宋体"/>
        </w:rPr>
        <w:t>4.6.5.1</w:t>
      </w:r>
      <w:r>
        <w:rPr>
          <w:rFonts w:ascii="宋体" w:hAnsi="宋体"/>
        </w:rPr>
        <w:t>范围</w:t>
      </w:r>
      <w:bookmarkEnd w:id="4409"/>
      <w:bookmarkEnd w:id="4410"/>
      <w:bookmarkEnd w:id="4411"/>
      <w:bookmarkEnd w:id="4412"/>
      <w:bookmarkEnd w:id="4413"/>
      <w:bookmarkEnd w:id="4414"/>
      <w:bookmarkEnd w:id="4415"/>
      <w:bookmarkEnd w:id="4416"/>
      <w:bookmarkEnd w:id="4417"/>
    </w:p>
    <w:p>
      <w:pPr>
        <w:pStyle w:val="1280"/>
        <w:ind w:firstLine="440"/>
        <w:rPr>
          <w:rFonts w:ascii="宋体"/>
        </w:rPr>
      </w:pPr>
      <w:r>
        <w:rPr>
          <w:rFonts w:ascii="宋体"/>
        </w:rPr>
        <w:t>包括在已完成并经项目监理验收合格的路基上铺筑各种垫层、底基层、基层和面层，以及修筑路面附属设施及其有关的作业。</w:t>
      </w:r>
    </w:p>
    <w:p>
      <w:pPr>
        <w:pStyle w:val="1284"/>
        <w:outlineLvl w:val="0"/>
        <w:rPr>
          <w:rFonts w:ascii="宋体" w:hAnsi="宋体"/>
        </w:rPr>
      </w:pPr>
      <w:bookmarkStart w:id="4418" w:name="_Toc403637004"/>
      <w:bookmarkStart w:id="4419" w:name="_Toc266663056"/>
      <w:bookmarkStart w:id="4420" w:name="_Toc517382625"/>
      <w:bookmarkStart w:id="4421" w:name="_Toc518376678"/>
      <w:bookmarkStart w:id="4422" w:name="_Toc521492000"/>
      <w:bookmarkStart w:id="4423" w:name="_Toc521492857"/>
      <w:bookmarkStart w:id="4424" w:name="_Toc521493531"/>
      <w:bookmarkStart w:id="4425" w:name="_Toc106050145"/>
      <w:bookmarkStart w:id="4426" w:name="_Toc106883409"/>
      <w:r>
        <w:rPr>
          <w:rFonts w:hint="eastAsia" w:ascii="宋体" w:hAnsi="宋体"/>
        </w:rPr>
        <w:t>4.6.5.2</w:t>
      </w:r>
      <w:r>
        <w:rPr>
          <w:rFonts w:ascii="宋体" w:hAnsi="宋体"/>
        </w:rPr>
        <w:t>材料</w:t>
      </w:r>
      <w:bookmarkEnd w:id="4418"/>
      <w:bookmarkEnd w:id="4419"/>
      <w:bookmarkEnd w:id="4420"/>
      <w:bookmarkEnd w:id="4421"/>
      <w:bookmarkEnd w:id="4422"/>
      <w:bookmarkEnd w:id="4423"/>
      <w:bookmarkEnd w:id="4424"/>
      <w:bookmarkEnd w:id="4425"/>
      <w:bookmarkEnd w:id="4426"/>
    </w:p>
    <w:p>
      <w:pPr>
        <w:pStyle w:val="1280"/>
        <w:ind w:firstLine="440"/>
        <w:rPr>
          <w:rFonts w:ascii="宋体"/>
        </w:rPr>
      </w:pPr>
      <w:r>
        <w:rPr>
          <w:rFonts w:ascii="宋体"/>
        </w:rPr>
        <w:t>1、碎石</w:t>
      </w:r>
    </w:p>
    <w:p>
      <w:pPr>
        <w:pStyle w:val="1280"/>
        <w:ind w:firstLine="440"/>
        <w:rPr>
          <w:rFonts w:ascii="宋体"/>
        </w:rPr>
      </w:pPr>
      <w:r>
        <w:rPr>
          <w:rFonts w:ascii="宋体"/>
        </w:rPr>
        <w:t>碎石由岩石或砾石轧制而成，应洁净、干燥，并具有足够的强度和耐磨耗性。其颗粒形状应具有棱角，接近立方体，不得含有软质和其它杂质。碎石的压碎值应不大于30%，碎石中的扁平、长条颗粒的总含量不超过20%，碎石中不应含有粘土块、植物等有害物质。</w:t>
      </w:r>
    </w:p>
    <w:p>
      <w:pPr>
        <w:pStyle w:val="1280"/>
        <w:ind w:firstLine="440"/>
        <w:rPr>
          <w:rFonts w:ascii="宋体"/>
        </w:rPr>
      </w:pPr>
      <w:r>
        <w:rPr>
          <w:rFonts w:ascii="宋体"/>
        </w:rPr>
        <w:t>采用破除既有路面破碎集料的，要求与一般碎石的要求一致，如果破碎集料不能满足设计要求，可以采用掺加一些其他碎石改良破碎集料的性能指标，达到要求后方可使用。</w:t>
      </w:r>
    </w:p>
    <w:p>
      <w:pPr>
        <w:pStyle w:val="1280"/>
        <w:ind w:firstLine="440"/>
        <w:rPr>
          <w:rFonts w:ascii="宋体"/>
        </w:rPr>
      </w:pPr>
      <w:bookmarkStart w:id="4427" w:name="_Toc106050146"/>
      <w:r>
        <w:rPr>
          <w:rFonts w:ascii="宋体"/>
        </w:rPr>
        <w:t>2、砾石</w:t>
      </w:r>
      <w:bookmarkEnd w:id="4427"/>
    </w:p>
    <w:p>
      <w:pPr>
        <w:pStyle w:val="1280"/>
        <w:ind w:firstLine="440"/>
        <w:rPr>
          <w:rFonts w:ascii="宋体"/>
        </w:rPr>
      </w:pPr>
      <w:r>
        <w:rPr>
          <w:rFonts w:ascii="宋体"/>
        </w:rPr>
        <w:t>砾石应坚硬、耐久；有机质、粘土块和其它有害物质的含量应符合有关规范的规定。</w:t>
      </w:r>
    </w:p>
    <w:p>
      <w:pPr>
        <w:pStyle w:val="1280"/>
        <w:ind w:firstLine="440"/>
        <w:rPr>
          <w:rFonts w:ascii="宋体"/>
        </w:rPr>
      </w:pPr>
      <w:bookmarkStart w:id="4428" w:name="_Toc106050147"/>
      <w:r>
        <w:rPr>
          <w:rFonts w:ascii="宋体"/>
        </w:rPr>
        <w:t>3、砂</w:t>
      </w:r>
      <w:bookmarkEnd w:id="4428"/>
    </w:p>
    <w:p>
      <w:pPr>
        <w:pStyle w:val="1280"/>
        <w:ind w:firstLine="440"/>
        <w:rPr>
          <w:rFonts w:ascii="宋体"/>
        </w:rPr>
      </w:pPr>
      <w:r>
        <w:rPr>
          <w:rFonts w:ascii="宋体"/>
        </w:rPr>
        <w:t>砂应洁净、坚硬、干燥、无风化、无杂质，符合规定级配，其泥土杂物含量应小于3%。</w:t>
      </w:r>
    </w:p>
    <w:p>
      <w:pPr>
        <w:pStyle w:val="1280"/>
        <w:ind w:firstLine="440"/>
        <w:rPr>
          <w:rFonts w:ascii="宋体"/>
        </w:rPr>
      </w:pPr>
      <w:bookmarkStart w:id="4429" w:name="_Toc106050148"/>
      <w:r>
        <w:rPr>
          <w:rFonts w:ascii="宋体"/>
        </w:rPr>
        <w:t>4、石屑</w:t>
      </w:r>
      <w:bookmarkEnd w:id="4429"/>
    </w:p>
    <w:p>
      <w:pPr>
        <w:pStyle w:val="1280"/>
        <w:ind w:firstLine="440"/>
        <w:rPr>
          <w:rFonts w:ascii="宋体"/>
        </w:rPr>
      </w:pPr>
      <w:r>
        <w:rPr>
          <w:rFonts w:ascii="宋体"/>
        </w:rPr>
        <w:t>石屑系机械轧制而成。石屑应坚硬、清洁、干燥、无风化、无杂质，并具有适当的级配。</w:t>
      </w:r>
    </w:p>
    <w:p>
      <w:pPr>
        <w:pStyle w:val="1280"/>
        <w:ind w:firstLine="440"/>
        <w:rPr>
          <w:rFonts w:ascii="宋体"/>
        </w:rPr>
      </w:pPr>
      <w:bookmarkStart w:id="4430" w:name="_Toc106050149"/>
      <w:r>
        <w:rPr>
          <w:rFonts w:ascii="宋体"/>
        </w:rPr>
        <w:t>5、水泥</w:t>
      </w:r>
      <w:bookmarkEnd w:id="4430"/>
    </w:p>
    <w:p>
      <w:pPr>
        <w:pStyle w:val="1280"/>
        <w:ind w:firstLine="440"/>
        <w:rPr>
          <w:rFonts w:ascii="宋体"/>
        </w:rPr>
      </w:pPr>
      <w:r>
        <w:rPr>
          <w:rFonts w:ascii="宋体"/>
        </w:rPr>
        <w:t>普通硅酸盐水泥用于稳定碎石，应选用初凝时间4h以上和终凝时间较长（宜在6h以上）的水泥。快硬水泥、早强水泥以及已受潮变质的水泥不应使用。宜采用标号较低（P.O.32.5普通硅酸盐水泥）的水泥。采用其他种类水泥应报项目监理批准。</w:t>
      </w:r>
    </w:p>
    <w:p>
      <w:pPr>
        <w:pStyle w:val="1280"/>
        <w:ind w:firstLine="440"/>
        <w:rPr>
          <w:rFonts w:ascii="宋体"/>
        </w:rPr>
      </w:pPr>
      <w:bookmarkStart w:id="4431" w:name="_Toc106050150"/>
      <w:r>
        <w:rPr>
          <w:rFonts w:ascii="宋体"/>
        </w:rPr>
        <w:t>6、矿粉</w:t>
      </w:r>
      <w:bookmarkEnd w:id="4431"/>
    </w:p>
    <w:p>
      <w:pPr>
        <w:pStyle w:val="1280"/>
        <w:ind w:firstLine="440"/>
        <w:rPr>
          <w:rFonts w:ascii="宋体"/>
        </w:rPr>
      </w:pPr>
      <w:r>
        <w:rPr>
          <w:rFonts w:ascii="宋体"/>
        </w:rPr>
        <w:t>必须采用石灰岩或岩浆岩中的强基性岩石等憎水性石料经磨细得到的矿粉，原石料中的泥土杂质应除净。矿粉应干燥、洁净，能自由地从矿粉仓流出，其质量应符合</w:t>
      </w:r>
      <w:r>
        <w:rPr>
          <w:rFonts w:hint="eastAsia" w:ascii="宋体"/>
        </w:rPr>
        <w:t>《城镇道路工程施工与质量验收规范》（CJJ 1-2008）</w:t>
      </w:r>
      <w:r>
        <w:rPr>
          <w:rFonts w:ascii="宋体"/>
        </w:rPr>
        <w:t>表</w:t>
      </w:r>
      <w:r>
        <w:rPr>
          <w:rFonts w:hint="eastAsia" w:ascii="宋体"/>
        </w:rPr>
        <w:t>8.1.7-11</w:t>
      </w:r>
      <w:r>
        <w:rPr>
          <w:rFonts w:ascii="宋体"/>
        </w:rPr>
        <w:t>。</w:t>
      </w:r>
    </w:p>
    <w:p>
      <w:pPr>
        <w:pStyle w:val="1280"/>
        <w:ind w:firstLine="440"/>
        <w:rPr>
          <w:rFonts w:ascii="宋体"/>
        </w:rPr>
      </w:pPr>
      <w:bookmarkStart w:id="4432" w:name="_Toc106050151"/>
      <w:r>
        <w:rPr>
          <w:rFonts w:ascii="宋体"/>
        </w:rPr>
        <w:t>7、沥青</w:t>
      </w:r>
      <w:bookmarkEnd w:id="4432"/>
    </w:p>
    <w:p>
      <w:pPr>
        <w:pStyle w:val="1280"/>
        <w:ind w:firstLine="440"/>
        <w:rPr>
          <w:rFonts w:ascii="宋体"/>
        </w:rPr>
      </w:pPr>
      <w:r>
        <w:rPr>
          <w:rFonts w:ascii="宋体"/>
        </w:rPr>
        <w:t>采用符合“</w:t>
      </w:r>
      <w:r>
        <w:rPr>
          <w:rFonts w:hint="eastAsia" w:ascii="宋体"/>
        </w:rPr>
        <w:t>重</w:t>
      </w:r>
      <w:r>
        <w:rPr>
          <w:rFonts w:ascii="宋体"/>
        </w:rPr>
        <w:t>、</w:t>
      </w:r>
      <w:r>
        <w:rPr>
          <w:rFonts w:hint="eastAsia" w:ascii="宋体"/>
        </w:rPr>
        <w:t>中</w:t>
      </w:r>
      <w:r>
        <w:rPr>
          <w:rFonts w:ascii="宋体"/>
        </w:rPr>
        <w:t>交通道路石油沥青技术标准”的沥青，基质沥青标号70号A级。每一批沥青材料都应有厂家的技术标准、试验分析证明书，并提交项目监理审核。</w:t>
      </w:r>
    </w:p>
    <w:p>
      <w:pPr>
        <w:pStyle w:val="1280"/>
        <w:ind w:firstLine="440"/>
        <w:rPr>
          <w:rFonts w:ascii="宋体"/>
        </w:rPr>
      </w:pPr>
      <w:bookmarkStart w:id="4433" w:name="_Toc106050152"/>
      <w:r>
        <w:rPr>
          <w:rFonts w:ascii="宋体"/>
        </w:rPr>
        <w:t>8、</w:t>
      </w:r>
      <w:r>
        <w:rPr>
          <w:rFonts w:hint="eastAsia" w:ascii="宋体"/>
        </w:rPr>
        <w:t>纤维稳定剂</w:t>
      </w:r>
      <w:bookmarkEnd w:id="4433"/>
    </w:p>
    <w:p>
      <w:pPr>
        <w:pStyle w:val="1280"/>
        <w:ind w:firstLine="440"/>
        <w:rPr>
          <w:rFonts w:ascii="宋体"/>
        </w:rPr>
      </w:pPr>
      <w:r>
        <w:rPr>
          <w:rFonts w:hint="eastAsia" w:ascii="宋体"/>
        </w:rPr>
        <w:t>纤维稳定剂</w:t>
      </w:r>
      <w:r>
        <w:rPr>
          <w:rFonts w:ascii="宋体"/>
        </w:rPr>
        <w:t>应满足相关技术标准，应符合</w:t>
      </w:r>
      <w:r>
        <w:rPr>
          <w:rFonts w:hint="eastAsia" w:ascii="宋体"/>
        </w:rPr>
        <w:t>《JTT 776.1-2010 公路工程 玄武岩纤维及其制品 第1部分：玄武岩短切纤维》中的</w:t>
      </w:r>
      <w:r>
        <w:rPr>
          <w:rFonts w:ascii="宋体"/>
        </w:rPr>
        <w:t>相关要求。</w:t>
      </w:r>
    </w:p>
    <w:p>
      <w:pPr>
        <w:pStyle w:val="1284"/>
        <w:outlineLvl w:val="0"/>
        <w:rPr>
          <w:rFonts w:ascii="宋体" w:hAnsi="宋体"/>
        </w:rPr>
      </w:pPr>
      <w:bookmarkStart w:id="4434" w:name="_Toc403637005"/>
      <w:bookmarkStart w:id="4435" w:name="_Toc266663057"/>
      <w:bookmarkStart w:id="4436" w:name="_Toc517382626"/>
      <w:bookmarkStart w:id="4437" w:name="_Toc518376679"/>
      <w:bookmarkStart w:id="4438" w:name="_Toc521492001"/>
      <w:bookmarkStart w:id="4439" w:name="_Toc521492858"/>
      <w:bookmarkStart w:id="4440" w:name="_Toc521493532"/>
      <w:bookmarkStart w:id="4441" w:name="_Toc106050153"/>
      <w:bookmarkStart w:id="4442" w:name="_Toc106883410"/>
      <w:r>
        <w:rPr>
          <w:rFonts w:hint="eastAsia" w:ascii="宋体" w:hAnsi="宋体"/>
        </w:rPr>
        <w:t>4.6.5.3</w:t>
      </w:r>
      <w:r>
        <w:rPr>
          <w:rFonts w:ascii="宋体" w:hAnsi="宋体"/>
        </w:rPr>
        <w:t xml:space="preserve"> 一般要求</w:t>
      </w:r>
      <w:bookmarkEnd w:id="4434"/>
      <w:bookmarkEnd w:id="4435"/>
      <w:bookmarkEnd w:id="4436"/>
      <w:bookmarkEnd w:id="4437"/>
      <w:bookmarkEnd w:id="4438"/>
      <w:bookmarkEnd w:id="4439"/>
      <w:bookmarkEnd w:id="4440"/>
      <w:bookmarkEnd w:id="4441"/>
      <w:bookmarkEnd w:id="4442"/>
    </w:p>
    <w:p>
      <w:pPr>
        <w:pStyle w:val="1280"/>
        <w:ind w:firstLine="440"/>
        <w:rPr>
          <w:rFonts w:ascii="宋体"/>
        </w:rPr>
      </w:pPr>
      <w:r>
        <w:rPr>
          <w:rFonts w:ascii="宋体"/>
        </w:rPr>
        <w:t>1、路面施工应符合《公路路面基层施工技术细则》</w:t>
      </w:r>
      <w:r>
        <w:rPr>
          <w:rFonts w:hint="eastAsia" w:ascii="宋体"/>
        </w:rPr>
        <w:t>（</w:t>
      </w:r>
      <w:r>
        <w:rPr>
          <w:rFonts w:ascii="宋体"/>
        </w:rPr>
        <w:t>JTG/T F20-2015</w:t>
      </w:r>
      <w:r>
        <w:rPr>
          <w:rFonts w:hint="eastAsia" w:ascii="宋体"/>
        </w:rPr>
        <w:t>）</w:t>
      </w:r>
      <w:r>
        <w:rPr>
          <w:rFonts w:ascii="宋体"/>
        </w:rPr>
        <w:t>、《公路沥青路面施工技术规范》</w:t>
      </w:r>
      <w:r>
        <w:rPr>
          <w:rFonts w:hint="eastAsia" w:ascii="宋体"/>
        </w:rPr>
        <w:t>（</w:t>
      </w:r>
      <w:r>
        <w:rPr>
          <w:rFonts w:ascii="宋体"/>
        </w:rPr>
        <w:t>JTG F40-2004</w:t>
      </w:r>
      <w:r>
        <w:rPr>
          <w:rFonts w:hint="eastAsia" w:ascii="宋体"/>
        </w:rPr>
        <w:t>）、</w:t>
      </w:r>
      <w:r>
        <w:rPr>
          <w:rFonts w:ascii="宋体"/>
        </w:rPr>
        <w:t>《公路水泥混凝土路面施工技术细则》</w:t>
      </w:r>
      <w:r>
        <w:rPr>
          <w:rFonts w:hint="eastAsia" w:ascii="宋体"/>
        </w:rPr>
        <w:t>（</w:t>
      </w:r>
      <w:r>
        <w:rPr>
          <w:rFonts w:ascii="宋体"/>
        </w:rPr>
        <w:t>JTG/T F30-2014</w:t>
      </w:r>
      <w:r>
        <w:rPr>
          <w:rFonts w:hint="eastAsia" w:ascii="宋体"/>
        </w:rPr>
        <w:t>）和《城镇道路工程施工与质量验收规范》（CJJ 1-2008）</w:t>
      </w:r>
      <w:r>
        <w:rPr>
          <w:rFonts w:ascii="宋体"/>
        </w:rPr>
        <w:t>的要求。</w:t>
      </w:r>
    </w:p>
    <w:p>
      <w:pPr>
        <w:pStyle w:val="1280"/>
        <w:ind w:firstLine="440"/>
        <w:rPr>
          <w:rFonts w:ascii="宋体"/>
        </w:rPr>
      </w:pPr>
      <w:r>
        <w:rPr>
          <w:rFonts w:ascii="宋体"/>
        </w:rPr>
        <w:t>2、承包商不得随意改变材料的来源，未经批准的材料不得用于工程。由于材料不合格造成工程损失应由承包商承担一切费用。</w:t>
      </w:r>
    </w:p>
    <w:p>
      <w:pPr>
        <w:pStyle w:val="1284"/>
        <w:outlineLvl w:val="0"/>
        <w:rPr>
          <w:rFonts w:ascii="宋体" w:hAnsi="宋体"/>
        </w:rPr>
      </w:pPr>
      <w:bookmarkStart w:id="4443" w:name="_Toc403637006"/>
      <w:bookmarkStart w:id="4444" w:name="_Toc266663058"/>
      <w:bookmarkStart w:id="4445" w:name="_Toc517382627"/>
      <w:bookmarkStart w:id="4446" w:name="_Toc518376680"/>
      <w:bookmarkStart w:id="4447" w:name="_Toc521492002"/>
      <w:bookmarkStart w:id="4448" w:name="_Toc521492859"/>
      <w:bookmarkStart w:id="4449" w:name="_Toc521493533"/>
      <w:bookmarkStart w:id="4450" w:name="_Toc106050154"/>
      <w:bookmarkStart w:id="4451" w:name="_Toc106883411"/>
      <w:r>
        <w:rPr>
          <w:rFonts w:hint="eastAsia" w:ascii="宋体" w:hAnsi="宋体"/>
        </w:rPr>
        <w:t>4.6.5.4</w:t>
      </w:r>
      <w:r>
        <w:rPr>
          <w:rFonts w:ascii="宋体" w:hAnsi="宋体"/>
        </w:rPr>
        <w:t xml:space="preserve"> 材料的取样和试验</w:t>
      </w:r>
      <w:bookmarkEnd w:id="4443"/>
      <w:bookmarkEnd w:id="4444"/>
      <w:bookmarkEnd w:id="4445"/>
      <w:bookmarkEnd w:id="4446"/>
      <w:bookmarkEnd w:id="4447"/>
      <w:bookmarkEnd w:id="4448"/>
      <w:bookmarkEnd w:id="4449"/>
      <w:bookmarkEnd w:id="4450"/>
      <w:bookmarkEnd w:id="4451"/>
    </w:p>
    <w:p>
      <w:pPr>
        <w:pStyle w:val="1280"/>
        <w:ind w:firstLine="440"/>
        <w:rPr>
          <w:rFonts w:ascii="宋体"/>
        </w:rPr>
      </w:pPr>
      <w:r>
        <w:rPr>
          <w:rFonts w:ascii="宋体"/>
        </w:rPr>
        <w:t>各种材料必须在使用前56d选定。承包商应将具有代表性的样品，委托中心试验室或项目监理确认的试验室，按规定进行材料的标准试验或混合料配合比设计。试验结果提交项目监理审批，未经批准的材料不得使用，未经批准的混合料配合比设计不能用于施工。试验所需费用由承包商负担。项目监理未批准的混合料，应由承包商在规定的时间清除出现场，并用符合要求的材料替换，所需费用承包商自负。</w:t>
      </w:r>
    </w:p>
    <w:p>
      <w:pPr>
        <w:pStyle w:val="1284"/>
        <w:outlineLvl w:val="0"/>
        <w:rPr>
          <w:rFonts w:ascii="宋体" w:hAnsi="宋体"/>
        </w:rPr>
      </w:pPr>
      <w:bookmarkStart w:id="4452" w:name="_Toc403637007"/>
      <w:bookmarkStart w:id="4453" w:name="_Toc266663059"/>
      <w:bookmarkStart w:id="4454" w:name="_Toc517382628"/>
      <w:bookmarkStart w:id="4455" w:name="_Toc518376681"/>
      <w:bookmarkStart w:id="4456" w:name="_Toc521492003"/>
      <w:bookmarkStart w:id="4457" w:name="_Toc521492860"/>
      <w:bookmarkStart w:id="4458" w:name="_Toc521493534"/>
      <w:bookmarkStart w:id="4459" w:name="_Toc106050155"/>
      <w:bookmarkStart w:id="4460" w:name="_Toc106883412"/>
      <w:r>
        <w:rPr>
          <w:rFonts w:hint="eastAsia" w:ascii="宋体" w:hAnsi="宋体"/>
        </w:rPr>
        <w:t>4.6.5.5</w:t>
      </w:r>
      <w:r>
        <w:rPr>
          <w:rFonts w:ascii="宋体" w:hAnsi="宋体"/>
        </w:rPr>
        <w:t xml:space="preserve"> 试验路段</w:t>
      </w:r>
      <w:bookmarkEnd w:id="4452"/>
      <w:bookmarkEnd w:id="4453"/>
      <w:bookmarkEnd w:id="4454"/>
      <w:bookmarkEnd w:id="4455"/>
      <w:bookmarkEnd w:id="4456"/>
      <w:bookmarkEnd w:id="4457"/>
      <w:bookmarkEnd w:id="4458"/>
      <w:bookmarkEnd w:id="4459"/>
      <w:bookmarkEnd w:id="4460"/>
    </w:p>
    <w:p>
      <w:pPr>
        <w:pStyle w:val="1280"/>
        <w:ind w:firstLine="440"/>
        <w:rPr>
          <w:rFonts w:ascii="宋体"/>
        </w:rPr>
      </w:pPr>
      <w:r>
        <w:rPr>
          <w:rFonts w:ascii="宋体"/>
        </w:rPr>
        <w:t>1、承包商在各结构层施工前均应铺筑长度为100～200m的试验路段。</w:t>
      </w:r>
    </w:p>
    <w:p>
      <w:pPr>
        <w:pStyle w:val="1280"/>
        <w:ind w:firstLine="440"/>
        <w:rPr>
          <w:rFonts w:ascii="宋体"/>
        </w:rPr>
      </w:pPr>
      <w:r>
        <w:rPr>
          <w:rFonts w:ascii="宋体"/>
        </w:rPr>
        <w:t>2、在试验路段开始至少14天之前，承包商应提出铺筑试验路段的施工方案报送项目监理审批。施工方案内容包括：试验人员、机械设备、施工工序和施工工艺等详细说明。</w:t>
      </w:r>
    </w:p>
    <w:p>
      <w:pPr>
        <w:pStyle w:val="1280"/>
        <w:ind w:firstLine="440"/>
        <w:rPr>
          <w:rFonts w:ascii="宋体"/>
        </w:rPr>
      </w:pPr>
      <w:r>
        <w:rPr>
          <w:rFonts w:ascii="宋体"/>
        </w:rPr>
        <w:t>3、试验路段的目的是为了验证混合料的质量和稳定性，检验承包商采用的机械能否满足备料、运输、摊铺、拌和和压实的要求和工作效率，以及施工组织和施工工艺的合理性和适应性。</w:t>
      </w:r>
    </w:p>
    <w:p>
      <w:pPr>
        <w:pStyle w:val="1280"/>
        <w:ind w:firstLine="440"/>
        <w:rPr>
          <w:rFonts w:ascii="宋体"/>
        </w:rPr>
      </w:pPr>
      <w:r>
        <w:rPr>
          <w:rFonts w:ascii="宋体"/>
        </w:rPr>
        <w:t>4、试验路段确认的压实方法、压实机械类型、工序、压实系数、碾压遍数和压实厚度、最佳含水量等均作为今后施工现场控制的依据。</w:t>
      </w:r>
    </w:p>
    <w:p>
      <w:pPr>
        <w:pStyle w:val="1280"/>
        <w:ind w:firstLine="440"/>
        <w:rPr>
          <w:rFonts w:ascii="宋体"/>
        </w:rPr>
      </w:pPr>
      <w:r>
        <w:rPr>
          <w:rFonts w:ascii="宋体"/>
        </w:rPr>
        <w:t>5、此项试验应在项目监理监督下进行，如果试验路段经项目监理批准验收，可作为永久工程的一部分，按合同规定的项目计量支付。否则，应移出重做试验，费用由承包商自负。</w:t>
      </w:r>
    </w:p>
    <w:p>
      <w:pPr>
        <w:pStyle w:val="1284"/>
        <w:outlineLvl w:val="0"/>
        <w:rPr>
          <w:rFonts w:ascii="宋体" w:hAnsi="宋体"/>
        </w:rPr>
      </w:pPr>
      <w:bookmarkStart w:id="4461" w:name="_Toc403637008"/>
      <w:bookmarkStart w:id="4462" w:name="_Toc266663060"/>
      <w:bookmarkStart w:id="4463" w:name="_Toc517382629"/>
      <w:bookmarkStart w:id="4464" w:name="_Toc518376682"/>
      <w:bookmarkStart w:id="4465" w:name="_Toc521492004"/>
      <w:bookmarkStart w:id="4466" w:name="_Toc521492861"/>
      <w:bookmarkStart w:id="4467" w:name="_Toc521493535"/>
      <w:bookmarkStart w:id="4468" w:name="_Toc106050156"/>
      <w:bookmarkStart w:id="4469" w:name="_Toc106883413"/>
      <w:r>
        <w:rPr>
          <w:rFonts w:hint="eastAsia" w:ascii="宋体" w:hAnsi="宋体"/>
        </w:rPr>
        <w:t>4.6.5.6</w:t>
      </w:r>
      <w:r>
        <w:rPr>
          <w:rFonts w:ascii="宋体" w:hAnsi="宋体"/>
        </w:rPr>
        <w:t xml:space="preserve"> 料场作业</w:t>
      </w:r>
      <w:bookmarkEnd w:id="4461"/>
      <w:bookmarkEnd w:id="4462"/>
      <w:bookmarkEnd w:id="4463"/>
      <w:bookmarkEnd w:id="4464"/>
      <w:bookmarkEnd w:id="4465"/>
      <w:bookmarkEnd w:id="4466"/>
      <w:bookmarkEnd w:id="4467"/>
      <w:bookmarkEnd w:id="4468"/>
      <w:bookmarkEnd w:id="4469"/>
    </w:p>
    <w:p>
      <w:pPr>
        <w:pStyle w:val="1280"/>
        <w:ind w:firstLine="440"/>
        <w:rPr>
          <w:rFonts w:ascii="宋体"/>
        </w:rPr>
      </w:pPr>
      <w:r>
        <w:rPr>
          <w:rFonts w:ascii="宋体"/>
        </w:rPr>
        <w:t>1、料场应按图纸所示设置或由承包商自己选择并经项目监理批准。料场应依照试验室提供的集料组成设计指定的各种集料规格进行开采作业。承包商应经常检验材质的变化情况，随时向项目监理报告。不符合要求的集料不得使用，否则，所发生的费用，由承包商承担。</w:t>
      </w:r>
    </w:p>
    <w:p>
      <w:pPr>
        <w:pStyle w:val="1280"/>
        <w:ind w:firstLine="440"/>
        <w:rPr>
          <w:rFonts w:ascii="宋体"/>
        </w:rPr>
      </w:pPr>
      <w:r>
        <w:rPr>
          <w:rFonts w:ascii="宋体"/>
        </w:rPr>
        <w:t>2、料场应剥去覆盖层，清除杂草和其它杂质后始得开采。弃土应在指定的地点处理。</w:t>
      </w:r>
    </w:p>
    <w:p>
      <w:pPr>
        <w:pStyle w:val="1280"/>
        <w:ind w:firstLine="440"/>
        <w:rPr>
          <w:rFonts w:ascii="宋体"/>
        </w:rPr>
      </w:pPr>
      <w:r>
        <w:rPr>
          <w:rFonts w:ascii="宋体"/>
        </w:rPr>
        <w:t>3、合格的集料应分等级堆放在硬化、无污染场地上。</w:t>
      </w:r>
    </w:p>
    <w:p>
      <w:pPr>
        <w:pStyle w:val="1280"/>
        <w:ind w:firstLine="440"/>
        <w:rPr>
          <w:rFonts w:ascii="宋体"/>
        </w:rPr>
      </w:pPr>
      <w:r>
        <w:rPr>
          <w:rFonts w:ascii="宋体"/>
        </w:rPr>
        <w:t>4、材料开采完毕后，应进行清理，防止水土流失，并符合环境保护部门的有关要求。</w:t>
      </w:r>
    </w:p>
    <w:p>
      <w:pPr>
        <w:pStyle w:val="1280"/>
        <w:ind w:firstLine="440"/>
        <w:rPr>
          <w:rFonts w:ascii="宋体"/>
        </w:rPr>
      </w:pPr>
      <w:r>
        <w:rPr>
          <w:rFonts w:ascii="宋体"/>
        </w:rPr>
        <w:t>5、料场的清理、剥离覆盖层、运输道路的修建、养护和防冲刷等费用，均包括在工程量清单中路面工程有关项目的投标价格内，不单独计量与支付。</w:t>
      </w:r>
    </w:p>
    <w:p>
      <w:pPr>
        <w:pStyle w:val="1284"/>
        <w:outlineLvl w:val="0"/>
        <w:rPr>
          <w:rFonts w:ascii="宋体" w:hAnsi="宋体"/>
        </w:rPr>
      </w:pPr>
      <w:bookmarkStart w:id="4470" w:name="_Toc403637009"/>
      <w:bookmarkStart w:id="4471" w:name="_Toc266663061"/>
      <w:bookmarkStart w:id="4472" w:name="_Toc517382630"/>
      <w:bookmarkStart w:id="4473" w:name="_Toc518376683"/>
      <w:bookmarkStart w:id="4474" w:name="_Toc521492005"/>
      <w:bookmarkStart w:id="4475" w:name="_Toc521492862"/>
      <w:bookmarkStart w:id="4476" w:name="_Toc521493536"/>
      <w:bookmarkStart w:id="4477" w:name="_Toc106050157"/>
      <w:bookmarkStart w:id="4478" w:name="_Toc106883414"/>
      <w:r>
        <w:rPr>
          <w:rFonts w:hint="eastAsia" w:ascii="宋体" w:hAnsi="宋体"/>
        </w:rPr>
        <w:t>4.6.5.7</w:t>
      </w:r>
      <w:r>
        <w:rPr>
          <w:rFonts w:ascii="宋体" w:hAnsi="宋体"/>
        </w:rPr>
        <w:t>雨季施工</w:t>
      </w:r>
      <w:bookmarkEnd w:id="4470"/>
      <w:bookmarkEnd w:id="4471"/>
      <w:bookmarkEnd w:id="4472"/>
      <w:bookmarkEnd w:id="4473"/>
      <w:bookmarkEnd w:id="4474"/>
      <w:bookmarkEnd w:id="4475"/>
      <w:bookmarkEnd w:id="4476"/>
      <w:bookmarkEnd w:id="4477"/>
      <w:bookmarkEnd w:id="4478"/>
    </w:p>
    <w:p>
      <w:pPr>
        <w:pStyle w:val="1280"/>
        <w:ind w:firstLine="440"/>
        <w:rPr>
          <w:rFonts w:ascii="宋体"/>
        </w:rPr>
      </w:pPr>
      <w:r>
        <w:rPr>
          <w:rFonts w:ascii="宋体"/>
        </w:rPr>
        <w:t>1、集中力量，分段铺筑，在雨前做到碾压坚实。</w:t>
      </w:r>
    </w:p>
    <w:p>
      <w:pPr>
        <w:pStyle w:val="1280"/>
        <w:ind w:firstLine="440"/>
        <w:rPr>
          <w:rFonts w:ascii="宋体"/>
        </w:rPr>
      </w:pPr>
      <w:r>
        <w:rPr>
          <w:rFonts w:ascii="宋体"/>
        </w:rPr>
        <w:t>2、施工时应随时疏通边沟，保证排水良好。</w:t>
      </w:r>
    </w:p>
    <w:p>
      <w:pPr>
        <w:pStyle w:val="1280"/>
        <w:ind w:firstLine="440"/>
        <w:rPr>
          <w:rFonts w:ascii="宋体"/>
        </w:rPr>
      </w:pPr>
      <w:r>
        <w:rPr>
          <w:rFonts w:ascii="宋体"/>
        </w:rPr>
        <w:t>3、在垫层或基层施工之前，完工的路基顶面或垫层，应根据项目监理的指示始终保持合格的状态。在雨季期间，路基或垫层不允许车辆通行。</w:t>
      </w:r>
    </w:p>
    <w:p>
      <w:pPr>
        <w:pStyle w:val="1284"/>
        <w:outlineLvl w:val="0"/>
        <w:rPr>
          <w:rFonts w:ascii="宋体" w:hAnsi="宋体"/>
        </w:rPr>
      </w:pPr>
      <w:bookmarkStart w:id="4479" w:name="_Toc517382631"/>
      <w:bookmarkStart w:id="4480" w:name="_Toc518376684"/>
      <w:bookmarkStart w:id="4481" w:name="_Toc403637010"/>
      <w:bookmarkStart w:id="4482" w:name="_Toc266663062"/>
      <w:bookmarkStart w:id="4483" w:name="_Toc521492006"/>
      <w:bookmarkStart w:id="4484" w:name="_Toc521492863"/>
      <w:bookmarkStart w:id="4485" w:name="_Toc521493537"/>
      <w:bookmarkStart w:id="4486" w:name="_Toc106050158"/>
      <w:bookmarkStart w:id="4487" w:name="_Toc106883415"/>
      <w:bookmarkStart w:id="4488" w:name="_Toc475588398"/>
      <w:r>
        <w:rPr>
          <w:rFonts w:hint="eastAsia" w:ascii="宋体" w:hAnsi="宋体"/>
        </w:rPr>
        <w:t>4.6.5.8</w:t>
      </w:r>
      <w:r>
        <w:rPr>
          <w:rFonts w:ascii="宋体" w:hAnsi="宋体"/>
        </w:rPr>
        <w:t xml:space="preserve"> 水泥稳定碎石底基层、基层</w:t>
      </w:r>
      <w:bookmarkEnd w:id="4479"/>
      <w:bookmarkEnd w:id="4480"/>
      <w:bookmarkEnd w:id="4481"/>
      <w:bookmarkEnd w:id="4482"/>
      <w:bookmarkEnd w:id="4483"/>
      <w:bookmarkEnd w:id="4484"/>
      <w:bookmarkEnd w:id="4485"/>
      <w:bookmarkEnd w:id="4486"/>
      <w:bookmarkEnd w:id="4487"/>
    </w:p>
    <w:p>
      <w:pPr>
        <w:pStyle w:val="1288"/>
        <w:outlineLvl w:val="0"/>
        <w:rPr>
          <w:rFonts w:ascii="宋体" w:hAnsi="宋体"/>
          <w:color w:val="auto"/>
        </w:rPr>
      </w:pPr>
      <w:bookmarkStart w:id="4489" w:name="_Toc320555517"/>
      <w:bookmarkStart w:id="4490" w:name="_Toc174279654"/>
      <w:bookmarkStart w:id="4491" w:name="_Toc173907041"/>
      <w:bookmarkStart w:id="4492" w:name="_Toc133166273"/>
      <w:bookmarkStart w:id="4493" w:name="_Toc106050159"/>
      <w:bookmarkStart w:id="4494" w:name="_Toc106883416"/>
      <w:r>
        <w:rPr>
          <w:rFonts w:hint="eastAsia" w:ascii="宋体" w:hAnsi="宋体"/>
          <w:color w:val="auto"/>
        </w:rPr>
        <w:t>4.6.5.8.1</w:t>
      </w:r>
      <w:r>
        <w:rPr>
          <w:rFonts w:ascii="宋体" w:hAnsi="宋体"/>
          <w:color w:val="auto"/>
        </w:rPr>
        <w:t xml:space="preserve"> 范围</w:t>
      </w:r>
      <w:bookmarkEnd w:id="4489"/>
      <w:bookmarkEnd w:id="4490"/>
      <w:bookmarkEnd w:id="4491"/>
      <w:bookmarkEnd w:id="4492"/>
      <w:bookmarkEnd w:id="4493"/>
      <w:bookmarkEnd w:id="4494"/>
    </w:p>
    <w:p>
      <w:pPr>
        <w:pStyle w:val="1280"/>
        <w:ind w:firstLine="440"/>
        <w:rPr>
          <w:rFonts w:ascii="宋体"/>
        </w:rPr>
      </w:pPr>
      <w:bookmarkStart w:id="4495" w:name="_Toc174279655"/>
      <w:bookmarkStart w:id="4496" w:name="_Toc173907042"/>
      <w:bookmarkStart w:id="4497" w:name="_Toc133166274"/>
      <w:r>
        <w:rPr>
          <w:rFonts w:ascii="宋体"/>
        </w:rPr>
        <w:t>内容是在已完成并经项目监理验收合格的土路床或垫层上铺筑水泥稳定碎石基层、级配砂砾石垫层。它包括所需的设备、劳力和材料，以及施工、试验等全部作业。</w:t>
      </w:r>
    </w:p>
    <w:p>
      <w:pPr>
        <w:pStyle w:val="1288"/>
        <w:outlineLvl w:val="0"/>
        <w:rPr>
          <w:rFonts w:ascii="宋体" w:hAnsi="宋体"/>
          <w:color w:val="auto"/>
        </w:rPr>
      </w:pPr>
      <w:bookmarkStart w:id="4498" w:name="_Toc320555518"/>
      <w:bookmarkStart w:id="4499" w:name="_Toc106050160"/>
      <w:bookmarkStart w:id="4500" w:name="_Toc106883417"/>
      <w:r>
        <w:rPr>
          <w:rFonts w:hint="eastAsia" w:ascii="宋体" w:hAnsi="宋体"/>
          <w:color w:val="auto"/>
        </w:rPr>
        <w:t>4.6.5.8.2</w:t>
      </w:r>
      <w:r>
        <w:rPr>
          <w:rFonts w:ascii="宋体" w:hAnsi="宋体"/>
          <w:color w:val="auto"/>
        </w:rPr>
        <w:t>材料</w:t>
      </w:r>
      <w:bookmarkEnd w:id="4495"/>
      <w:bookmarkEnd w:id="4496"/>
      <w:bookmarkEnd w:id="4497"/>
      <w:bookmarkEnd w:id="4498"/>
      <w:bookmarkEnd w:id="4499"/>
      <w:bookmarkEnd w:id="4500"/>
    </w:p>
    <w:p>
      <w:pPr>
        <w:pStyle w:val="1280"/>
        <w:ind w:firstLine="440"/>
        <w:rPr>
          <w:rFonts w:ascii="宋体"/>
        </w:rPr>
      </w:pPr>
      <w:r>
        <w:rPr>
          <w:rFonts w:ascii="宋体"/>
        </w:rPr>
        <w:t>1、水泥稳定碎石基层</w:t>
      </w:r>
    </w:p>
    <w:p>
      <w:pPr>
        <w:pStyle w:val="1280"/>
        <w:ind w:firstLine="440"/>
        <w:rPr>
          <w:rFonts w:ascii="宋体"/>
        </w:rPr>
      </w:pPr>
      <w:r>
        <w:rPr>
          <w:rFonts w:hint="eastAsia" w:ascii="宋体"/>
        </w:rPr>
        <w:t>（1）</w:t>
      </w:r>
      <w:r>
        <w:rPr>
          <w:rFonts w:ascii="宋体"/>
        </w:rPr>
        <w:t>用于上基层碎石的最大粒径不应超过</w:t>
      </w:r>
      <w:r>
        <w:rPr>
          <w:rFonts w:hint="eastAsia" w:ascii="宋体"/>
        </w:rPr>
        <w:t>37</w:t>
      </w:r>
      <w:r>
        <w:rPr>
          <w:rFonts w:ascii="宋体"/>
        </w:rPr>
        <w:t>.5mm，压碎值主干路不宜大于30%，次干路不宜大于35%，支路不宜大于40%。</w:t>
      </w:r>
    </w:p>
    <w:p>
      <w:pPr>
        <w:pStyle w:val="1280"/>
        <w:ind w:firstLine="440"/>
        <w:rPr>
          <w:rFonts w:ascii="宋体"/>
        </w:rPr>
      </w:pPr>
      <w:r>
        <w:rPr>
          <w:rFonts w:hint="eastAsia" w:ascii="宋体"/>
        </w:rPr>
        <w:t>（2）</w:t>
      </w:r>
      <w:r>
        <w:rPr>
          <w:rFonts w:ascii="宋体"/>
        </w:rPr>
        <w:t>有机质含量不得超过2%。</w:t>
      </w:r>
    </w:p>
    <w:p>
      <w:pPr>
        <w:pStyle w:val="1280"/>
        <w:ind w:firstLine="440"/>
        <w:rPr>
          <w:rFonts w:ascii="宋体"/>
        </w:rPr>
      </w:pPr>
      <w:r>
        <w:rPr>
          <w:rFonts w:hint="eastAsia" w:ascii="宋体"/>
        </w:rPr>
        <w:t>（3）</w:t>
      </w:r>
      <w:r>
        <w:rPr>
          <w:rFonts w:ascii="宋体"/>
        </w:rPr>
        <w:t>水泥稳定碎石基层的压实度不低于9</w:t>
      </w:r>
      <w:r>
        <w:rPr>
          <w:rFonts w:hint="eastAsia" w:ascii="宋体"/>
        </w:rPr>
        <w:t>8</w:t>
      </w:r>
      <w:r>
        <w:rPr>
          <w:rFonts w:ascii="宋体"/>
        </w:rPr>
        <w:t>%，7天</w:t>
      </w:r>
      <w:r>
        <w:rPr>
          <w:rFonts w:hint="eastAsia" w:ascii="宋体"/>
        </w:rPr>
        <w:t>无侧限</w:t>
      </w:r>
      <w:r>
        <w:rPr>
          <w:rFonts w:ascii="宋体"/>
        </w:rPr>
        <w:t>抗压强度≥3.</w:t>
      </w:r>
      <w:r>
        <w:rPr>
          <w:rFonts w:hint="eastAsia" w:ascii="宋体"/>
        </w:rPr>
        <w:t>5</w:t>
      </w:r>
      <w:r>
        <w:rPr>
          <w:rFonts w:ascii="宋体"/>
        </w:rPr>
        <w:t>Mpa。混合料中碎石级配应符合</w:t>
      </w:r>
      <w:r>
        <w:rPr>
          <w:rFonts w:hint="eastAsia" w:ascii="宋体"/>
        </w:rPr>
        <w:t>下表</w:t>
      </w:r>
      <w:r>
        <w:rPr>
          <w:rFonts w:ascii="宋体"/>
        </w:rPr>
        <w:t>的要求。</w:t>
      </w:r>
    </w:p>
    <w:p>
      <w:pPr>
        <w:snapToGrid w:val="0"/>
        <w:spacing w:line="360" w:lineRule="auto"/>
        <w:ind w:firstLine="425" w:firstLineChars="224"/>
        <w:jc w:val="center"/>
        <w:rPr>
          <w:rFonts w:ascii="宋体" w:hAnsi="宋体"/>
          <w:sz w:val="18"/>
          <w:szCs w:val="18"/>
        </w:rPr>
      </w:pPr>
      <w:r>
        <w:rPr>
          <w:rFonts w:hint="eastAsia" w:ascii="宋体" w:hAnsi="宋体"/>
          <w:sz w:val="18"/>
          <w:szCs w:val="18"/>
        </w:rPr>
        <w:t>表4</w:t>
      </w:r>
      <w:r>
        <w:rPr>
          <w:rFonts w:ascii="宋体" w:hAnsi="宋体"/>
          <w:sz w:val="18"/>
          <w:szCs w:val="18"/>
        </w:rPr>
        <w:t>-4-1 水泥稳定级配碎石基层级配表</w:t>
      </w:r>
    </w:p>
    <w:tbl>
      <w:tblPr>
        <w:tblStyle w:val="77"/>
        <w:tblW w:w="8908"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037"/>
        <w:gridCol w:w="993"/>
        <w:gridCol w:w="567"/>
        <w:gridCol w:w="850"/>
        <w:gridCol w:w="851"/>
        <w:gridCol w:w="708"/>
        <w:gridCol w:w="709"/>
        <w:gridCol w:w="709"/>
        <w:gridCol w:w="709"/>
        <w:gridCol w:w="567"/>
        <w:gridCol w:w="567"/>
        <w:gridCol w:w="641"/>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743" w:hRule="exact"/>
          <w:tblHeader/>
          <w:jc w:val="center"/>
        </w:trPr>
        <w:tc>
          <w:tcPr>
            <w:tcW w:w="2030" w:type="dxa"/>
            <w:gridSpan w:val="2"/>
            <w:vAlign w:val="center"/>
          </w:tcPr>
          <w:p>
            <w:pPr>
              <w:adjustRightInd w:val="0"/>
              <w:snapToGrid w:val="0"/>
              <w:jc w:val="center"/>
              <w:rPr>
                <w:rFonts w:ascii="宋体" w:hAnsi="宋体"/>
                <w:sz w:val="18"/>
                <w:szCs w:val="18"/>
              </w:rPr>
            </w:pPr>
            <w:r>
              <w:rPr>
                <w:rFonts w:ascii="宋体" w:hAnsi="宋体"/>
                <w:sz w:val="18"/>
                <w:szCs w:val="18"/>
              </w:rPr>
              <w:t>筛孔尺寸</w:t>
            </w:r>
            <w:r>
              <w:rPr>
                <w:rFonts w:hint="eastAsia" w:ascii="宋体" w:hAnsi="宋体"/>
                <w:sz w:val="18"/>
                <w:szCs w:val="18"/>
              </w:rPr>
              <w:t>（</w:t>
            </w:r>
            <w:r>
              <w:rPr>
                <w:rFonts w:ascii="宋体" w:hAnsi="宋体"/>
                <w:sz w:val="18"/>
                <w:szCs w:val="18"/>
              </w:rPr>
              <w:t>mm</w:t>
            </w:r>
            <w:r>
              <w:rPr>
                <w:rFonts w:hint="eastAsia" w:ascii="宋体" w:hAnsi="宋体"/>
                <w:sz w:val="18"/>
                <w:szCs w:val="18"/>
              </w:rPr>
              <w:t>）</w:t>
            </w:r>
          </w:p>
          <w:p>
            <w:pPr>
              <w:adjustRightInd w:val="0"/>
              <w:snapToGrid w:val="0"/>
              <w:jc w:val="center"/>
              <w:rPr>
                <w:rFonts w:ascii="宋体" w:hAnsi="宋体"/>
                <w:sz w:val="18"/>
                <w:szCs w:val="18"/>
              </w:rPr>
            </w:pPr>
            <w:r>
              <w:rPr>
                <w:rFonts w:hint="eastAsia" w:ascii="宋体" w:hAnsi="宋体"/>
                <w:sz w:val="18"/>
                <w:szCs w:val="18"/>
              </w:rPr>
              <w:t>（</w:t>
            </w:r>
            <w:r>
              <w:rPr>
                <w:rFonts w:ascii="宋体" w:hAnsi="宋体"/>
                <w:sz w:val="18"/>
                <w:szCs w:val="18"/>
              </w:rPr>
              <w:t>方孔筛</w:t>
            </w:r>
            <w:r>
              <w:rPr>
                <w:rFonts w:hint="eastAsia"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37.5</w:t>
            </w:r>
          </w:p>
        </w:tc>
        <w:tc>
          <w:tcPr>
            <w:tcW w:w="850" w:type="dxa"/>
            <w:vAlign w:val="center"/>
          </w:tcPr>
          <w:p>
            <w:pPr>
              <w:adjustRightInd w:val="0"/>
              <w:snapToGrid w:val="0"/>
              <w:jc w:val="center"/>
              <w:rPr>
                <w:rFonts w:ascii="宋体" w:hAnsi="宋体"/>
                <w:sz w:val="18"/>
                <w:szCs w:val="18"/>
              </w:rPr>
            </w:pPr>
            <w:r>
              <w:rPr>
                <w:rFonts w:ascii="宋体" w:hAnsi="宋体"/>
                <w:sz w:val="18"/>
                <w:szCs w:val="18"/>
              </w:rPr>
              <w:t>31.5</w:t>
            </w:r>
          </w:p>
        </w:tc>
        <w:tc>
          <w:tcPr>
            <w:tcW w:w="851" w:type="dxa"/>
            <w:vAlign w:val="center"/>
          </w:tcPr>
          <w:p>
            <w:pPr>
              <w:adjustRightInd w:val="0"/>
              <w:snapToGrid w:val="0"/>
              <w:jc w:val="center"/>
              <w:rPr>
                <w:rFonts w:ascii="宋体" w:hAnsi="宋体"/>
                <w:sz w:val="18"/>
                <w:szCs w:val="18"/>
              </w:rPr>
            </w:pPr>
            <w:r>
              <w:rPr>
                <w:rFonts w:ascii="宋体" w:hAnsi="宋体"/>
                <w:sz w:val="18"/>
                <w:szCs w:val="18"/>
              </w:rPr>
              <w:t>26.5</w:t>
            </w:r>
          </w:p>
        </w:tc>
        <w:tc>
          <w:tcPr>
            <w:tcW w:w="708" w:type="dxa"/>
            <w:vAlign w:val="center"/>
          </w:tcPr>
          <w:p>
            <w:pPr>
              <w:adjustRightInd w:val="0"/>
              <w:snapToGrid w:val="0"/>
              <w:jc w:val="center"/>
              <w:rPr>
                <w:rFonts w:ascii="宋体" w:hAnsi="宋体"/>
                <w:sz w:val="18"/>
                <w:szCs w:val="18"/>
              </w:rPr>
            </w:pPr>
            <w:r>
              <w:rPr>
                <w:rFonts w:ascii="宋体" w:hAnsi="宋体"/>
                <w:sz w:val="18"/>
                <w:szCs w:val="18"/>
              </w:rPr>
              <w:t>19</w:t>
            </w:r>
          </w:p>
        </w:tc>
        <w:tc>
          <w:tcPr>
            <w:tcW w:w="709" w:type="dxa"/>
            <w:vAlign w:val="center"/>
          </w:tcPr>
          <w:p>
            <w:pPr>
              <w:adjustRightInd w:val="0"/>
              <w:snapToGrid w:val="0"/>
              <w:jc w:val="center"/>
              <w:rPr>
                <w:rFonts w:ascii="宋体" w:hAnsi="宋体"/>
                <w:sz w:val="18"/>
                <w:szCs w:val="18"/>
              </w:rPr>
            </w:pPr>
            <w:r>
              <w:rPr>
                <w:rFonts w:ascii="宋体" w:hAnsi="宋体"/>
                <w:sz w:val="18"/>
                <w:szCs w:val="18"/>
              </w:rPr>
              <w:t>9.5</w:t>
            </w:r>
          </w:p>
        </w:tc>
        <w:tc>
          <w:tcPr>
            <w:tcW w:w="709" w:type="dxa"/>
            <w:vAlign w:val="center"/>
          </w:tcPr>
          <w:p>
            <w:pPr>
              <w:adjustRightInd w:val="0"/>
              <w:snapToGrid w:val="0"/>
              <w:jc w:val="center"/>
              <w:rPr>
                <w:rFonts w:ascii="宋体" w:hAnsi="宋体"/>
                <w:sz w:val="18"/>
                <w:szCs w:val="18"/>
              </w:rPr>
            </w:pPr>
            <w:r>
              <w:rPr>
                <w:rFonts w:ascii="宋体" w:hAnsi="宋体"/>
                <w:sz w:val="18"/>
                <w:szCs w:val="18"/>
              </w:rPr>
              <w:t>4.75</w:t>
            </w:r>
          </w:p>
        </w:tc>
        <w:tc>
          <w:tcPr>
            <w:tcW w:w="709" w:type="dxa"/>
            <w:vAlign w:val="center"/>
          </w:tcPr>
          <w:p>
            <w:pPr>
              <w:adjustRightInd w:val="0"/>
              <w:snapToGrid w:val="0"/>
              <w:jc w:val="center"/>
              <w:rPr>
                <w:rFonts w:ascii="宋体" w:hAnsi="宋体"/>
                <w:sz w:val="18"/>
                <w:szCs w:val="18"/>
              </w:rPr>
            </w:pPr>
            <w:r>
              <w:rPr>
                <w:rFonts w:ascii="宋体" w:hAnsi="宋体"/>
                <w:sz w:val="18"/>
                <w:szCs w:val="18"/>
              </w:rPr>
              <w:t>2.36</w:t>
            </w:r>
          </w:p>
        </w:tc>
        <w:tc>
          <w:tcPr>
            <w:tcW w:w="567" w:type="dxa"/>
            <w:vAlign w:val="center"/>
          </w:tcPr>
          <w:p>
            <w:pPr>
              <w:adjustRightInd w:val="0"/>
              <w:snapToGrid w:val="0"/>
              <w:jc w:val="center"/>
              <w:rPr>
                <w:rFonts w:ascii="宋体" w:hAnsi="宋体"/>
                <w:sz w:val="18"/>
                <w:szCs w:val="18"/>
              </w:rPr>
            </w:pPr>
            <w:r>
              <w:rPr>
                <w:rFonts w:ascii="宋体" w:hAnsi="宋体"/>
                <w:sz w:val="18"/>
                <w:szCs w:val="18"/>
              </w:rPr>
              <w:t>1.18</w:t>
            </w:r>
          </w:p>
        </w:tc>
        <w:tc>
          <w:tcPr>
            <w:tcW w:w="567" w:type="dxa"/>
            <w:vAlign w:val="center"/>
          </w:tcPr>
          <w:p>
            <w:pPr>
              <w:adjustRightInd w:val="0"/>
              <w:snapToGrid w:val="0"/>
              <w:jc w:val="center"/>
              <w:rPr>
                <w:rFonts w:ascii="宋体" w:hAnsi="宋体"/>
                <w:sz w:val="18"/>
                <w:szCs w:val="18"/>
              </w:rPr>
            </w:pPr>
            <w:r>
              <w:rPr>
                <w:rFonts w:ascii="宋体" w:hAnsi="宋体"/>
                <w:sz w:val="18"/>
                <w:szCs w:val="18"/>
              </w:rPr>
              <w:t>0.6</w:t>
            </w:r>
          </w:p>
        </w:tc>
        <w:tc>
          <w:tcPr>
            <w:tcW w:w="641" w:type="dxa"/>
            <w:vAlign w:val="center"/>
          </w:tcPr>
          <w:p>
            <w:pPr>
              <w:adjustRightInd w:val="0"/>
              <w:snapToGrid w:val="0"/>
              <w:jc w:val="center"/>
              <w:rPr>
                <w:rFonts w:ascii="宋体" w:hAnsi="宋体"/>
                <w:sz w:val="18"/>
                <w:szCs w:val="18"/>
              </w:rPr>
            </w:pPr>
            <w:r>
              <w:rPr>
                <w:rFonts w:ascii="宋体" w:hAnsi="宋体"/>
                <w:sz w:val="18"/>
                <w:szCs w:val="18"/>
              </w:rPr>
              <w:t>0</w:t>
            </w:r>
            <w:r>
              <w:rPr>
                <w:rFonts w:hint="eastAsia" w:ascii="宋体" w:hAnsi="宋体"/>
                <w:sz w:val="18"/>
                <w:szCs w:val="18"/>
              </w:rPr>
              <w:t>.</w:t>
            </w:r>
            <w:r>
              <w:rPr>
                <w:rFonts w:ascii="宋体" w:hAnsi="宋体"/>
                <w:sz w:val="18"/>
                <w:szCs w:val="18"/>
              </w:rPr>
              <w:t>075</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037" w:type="dxa"/>
            <w:vMerge w:val="restart"/>
            <w:vAlign w:val="center"/>
          </w:tcPr>
          <w:p>
            <w:pPr>
              <w:adjustRightInd w:val="0"/>
              <w:snapToGrid w:val="0"/>
              <w:jc w:val="center"/>
              <w:rPr>
                <w:rFonts w:ascii="宋体" w:hAnsi="宋体"/>
                <w:sz w:val="18"/>
                <w:szCs w:val="18"/>
              </w:rPr>
            </w:pPr>
            <w:r>
              <w:rPr>
                <w:rFonts w:ascii="宋体" w:hAnsi="宋体"/>
                <w:sz w:val="18"/>
                <w:szCs w:val="18"/>
              </w:rPr>
              <w:t>通过质量</w:t>
            </w:r>
          </w:p>
          <w:p>
            <w:pPr>
              <w:adjustRightInd w:val="0"/>
              <w:snapToGrid w:val="0"/>
              <w:jc w:val="center"/>
              <w:rPr>
                <w:rFonts w:ascii="宋体" w:hAnsi="宋体"/>
                <w:sz w:val="18"/>
                <w:szCs w:val="18"/>
              </w:rPr>
            </w:pPr>
            <w:r>
              <w:rPr>
                <w:rFonts w:ascii="宋体" w:hAnsi="宋体"/>
                <w:sz w:val="18"/>
                <w:szCs w:val="18"/>
              </w:rPr>
              <w:t>百分率(%)</w:t>
            </w:r>
          </w:p>
        </w:tc>
        <w:tc>
          <w:tcPr>
            <w:tcW w:w="993" w:type="dxa"/>
            <w:vAlign w:val="center"/>
          </w:tcPr>
          <w:p>
            <w:pPr>
              <w:adjustRightInd w:val="0"/>
              <w:snapToGrid w:val="0"/>
              <w:jc w:val="center"/>
              <w:rPr>
                <w:rFonts w:ascii="宋体" w:hAnsi="宋体"/>
                <w:sz w:val="18"/>
                <w:szCs w:val="18"/>
              </w:rPr>
            </w:pPr>
            <w:r>
              <w:rPr>
                <w:rFonts w:ascii="宋体" w:hAnsi="宋体"/>
                <w:sz w:val="18"/>
                <w:szCs w:val="18"/>
              </w:rPr>
              <w:t>主干路</w:t>
            </w:r>
          </w:p>
        </w:tc>
        <w:tc>
          <w:tcPr>
            <w:tcW w:w="567" w:type="dxa"/>
            <w:vAlign w:val="center"/>
          </w:tcPr>
          <w:p>
            <w:pPr>
              <w:adjustRightInd w:val="0"/>
              <w:snapToGrid w:val="0"/>
              <w:jc w:val="center"/>
              <w:rPr>
                <w:rFonts w:ascii="宋体" w:hAnsi="宋体"/>
                <w:sz w:val="18"/>
                <w:szCs w:val="18"/>
              </w:rPr>
            </w:pPr>
          </w:p>
        </w:tc>
        <w:tc>
          <w:tcPr>
            <w:tcW w:w="850" w:type="dxa"/>
            <w:vAlign w:val="center"/>
          </w:tcPr>
          <w:p>
            <w:pPr>
              <w:adjustRightInd w:val="0"/>
              <w:snapToGrid w:val="0"/>
              <w:jc w:val="center"/>
              <w:rPr>
                <w:rFonts w:ascii="宋体" w:hAnsi="宋体"/>
                <w:sz w:val="18"/>
                <w:szCs w:val="18"/>
              </w:rPr>
            </w:pPr>
            <w:r>
              <w:rPr>
                <w:rFonts w:ascii="宋体" w:hAnsi="宋体"/>
                <w:sz w:val="18"/>
                <w:szCs w:val="18"/>
              </w:rPr>
              <w:t>100</w:t>
            </w:r>
          </w:p>
        </w:tc>
        <w:tc>
          <w:tcPr>
            <w:tcW w:w="851" w:type="dxa"/>
            <w:vAlign w:val="center"/>
          </w:tcPr>
          <w:p>
            <w:pPr>
              <w:adjustRightInd w:val="0"/>
              <w:snapToGrid w:val="0"/>
              <w:jc w:val="center"/>
              <w:rPr>
                <w:rFonts w:ascii="宋体" w:hAnsi="宋体"/>
                <w:sz w:val="18"/>
                <w:szCs w:val="18"/>
              </w:rPr>
            </w:pPr>
            <w:r>
              <w:rPr>
                <w:rFonts w:ascii="宋体" w:hAnsi="宋体"/>
                <w:sz w:val="18"/>
                <w:szCs w:val="18"/>
              </w:rPr>
              <w:t>90-100</w:t>
            </w:r>
          </w:p>
        </w:tc>
        <w:tc>
          <w:tcPr>
            <w:tcW w:w="708" w:type="dxa"/>
            <w:vAlign w:val="center"/>
          </w:tcPr>
          <w:p>
            <w:pPr>
              <w:adjustRightInd w:val="0"/>
              <w:snapToGrid w:val="0"/>
              <w:jc w:val="center"/>
              <w:rPr>
                <w:rFonts w:ascii="宋体" w:hAnsi="宋体"/>
                <w:sz w:val="18"/>
                <w:szCs w:val="18"/>
              </w:rPr>
            </w:pPr>
            <w:r>
              <w:rPr>
                <w:rFonts w:ascii="宋体" w:hAnsi="宋体"/>
                <w:sz w:val="18"/>
                <w:szCs w:val="18"/>
              </w:rPr>
              <w:t>72-89</w:t>
            </w:r>
          </w:p>
        </w:tc>
        <w:tc>
          <w:tcPr>
            <w:tcW w:w="709" w:type="dxa"/>
            <w:vAlign w:val="center"/>
          </w:tcPr>
          <w:p>
            <w:pPr>
              <w:adjustRightInd w:val="0"/>
              <w:snapToGrid w:val="0"/>
              <w:jc w:val="center"/>
              <w:rPr>
                <w:rFonts w:ascii="宋体" w:hAnsi="宋体"/>
                <w:sz w:val="18"/>
                <w:szCs w:val="18"/>
              </w:rPr>
            </w:pPr>
            <w:r>
              <w:rPr>
                <w:rFonts w:ascii="宋体" w:hAnsi="宋体"/>
                <w:sz w:val="18"/>
                <w:szCs w:val="18"/>
              </w:rPr>
              <w:t>47-67</w:t>
            </w:r>
          </w:p>
        </w:tc>
        <w:tc>
          <w:tcPr>
            <w:tcW w:w="709" w:type="dxa"/>
            <w:vAlign w:val="center"/>
          </w:tcPr>
          <w:p>
            <w:pPr>
              <w:adjustRightInd w:val="0"/>
              <w:snapToGrid w:val="0"/>
              <w:jc w:val="center"/>
              <w:rPr>
                <w:rFonts w:ascii="宋体" w:hAnsi="宋体"/>
                <w:sz w:val="18"/>
                <w:szCs w:val="18"/>
              </w:rPr>
            </w:pPr>
            <w:r>
              <w:rPr>
                <w:rFonts w:ascii="宋体" w:hAnsi="宋体"/>
                <w:sz w:val="18"/>
                <w:szCs w:val="18"/>
              </w:rPr>
              <w:t>29-49</w:t>
            </w:r>
          </w:p>
        </w:tc>
        <w:tc>
          <w:tcPr>
            <w:tcW w:w="709" w:type="dxa"/>
            <w:vAlign w:val="center"/>
          </w:tcPr>
          <w:p>
            <w:pPr>
              <w:adjustRightInd w:val="0"/>
              <w:snapToGrid w:val="0"/>
              <w:jc w:val="center"/>
              <w:rPr>
                <w:rFonts w:ascii="宋体" w:hAnsi="宋体"/>
                <w:sz w:val="18"/>
                <w:szCs w:val="18"/>
              </w:rPr>
            </w:pPr>
            <w:r>
              <w:rPr>
                <w:rFonts w:ascii="宋体" w:hAnsi="宋体"/>
                <w:sz w:val="18"/>
                <w:szCs w:val="18"/>
              </w:rPr>
              <w:t>17-35</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8-22</w:t>
            </w:r>
          </w:p>
        </w:tc>
        <w:tc>
          <w:tcPr>
            <w:tcW w:w="641" w:type="dxa"/>
            <w:vAlign w:val="center"/>
          </w:tcPr>
          <w:p>
            <w:pPr>
              <w:adjustRightInd w:val="0"/>
              <w:snapToGrid w:val="0"/>
              <w:jc w:val="center"/>
              <w:rPr>
                <w:rFonts w:ascii="宋体" w:hAnsi="宋体"/>
                <w:sz w:val="18"/>
                <w:szCs w:val="18"/>
              </w:rPr>
            </w:pPr>
            <w:r>
              <w:rPr>
                <w:rFonts w:ascii="宋体" w:hAnsi="宋体"/>
                <w:sz w:val="18"/>
                <w:szCs w:val="18"/>
              </w:rPr>
              <w:t>0-7</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037" w:type="dxa"/>
            <w:vMerge w:val="continue"/>
            <w:vAlign w:val="center"/>
          </w:tcPr>
          <w:p>
            <w:pPr>
              <w:adjustRightInd w:val="0"/>
              <w:snapToGrid w:val="0"/>
              <w:jc w:val="center"/>
              <w:rPr>
                <w:rFonts w:ascii="宋体" w:hAnsi="宋体"/>
                <w:sz w:val="18"/>
                <w:szCs w:val="18"/>
              </w:rPr>
            </w:pPr>
          </w:p>
        </w:tc>
        <w:tc>
          <w:tcPr>
            <w:tcW w:w="993" w:type="dxa"/>
            <w:vAlign w:val="center"/>
          </w:tcPr>
          <w:p>
            <w:pPr>
              <w:adjustRightInd w:val="0"/>
              <w:snapToGrid w:val="0"/>
              <w:jc w:val="center"/>
              <w:rPr>
                <w:rFonts w:ascii="宋体" w:hAnsi="宋体"/>
                <w:sz w:val="18"/>
                <w:szCs w:val="18"/>
              </w:rPr>
            </w:pPr>
            <w:r>
              <w:rPr>
                <w:rFonts w:ascii="宋体" w:hAnsi="宋体"/>
                <w:sz w:val="18"/>
                <w:szCs w:val="18"/>
              </w:rPr>
              <w:t>次干路及以下道路</w:t>
            </w:r>
          </w:p>
        </w:tc>
        <w:tc>
          <w:tcPr>
            <w:tcW w:w="567" w:type="dxa"/>
            <w:vAlign w:val="center"/>
          </w:tcPr>
          <w:p>
            <w:pPr>
              <w:adjustRightInd w:val="0"/>
              <w:snapToGrid w:val="0"/>
              <w:jc w:val="center"/>
              <w:rPr>
                <w:rFonts w:ascii="宋体" w:hAnsi="宋体"/>
                <w:sz w:val="18"/>
                <w:szCs w:val="18"/>
              </w:rPr>
            </w:pPr>
            <w:r>
              <w:rPr>
                <w:rFonts w:ascii="宋体" w:hAnsi="宋体"/>
                <w:sz w:val="18"/>
                <w:szCs w:val="18"/>
              </w:rPr>
              <w:t>100</w:t>
            </w:r>
          </w:p>
        </w:tc>
        <w:tc>
          <w:tcPr>
            <w:tcW w:w="850" w:type="dxa"/>
            <w:vAlign w:val="center"/>
          </w:tcPr>
          <w:p>
            <w:pPr>
              <w:adjustRightInd w:val="0"/>
              <w:snapToGrid w:val="0"/>
              <w:jc w:val="center"/>
              <w:rPr>
                <w:rFonts w:ascii="宋体" w:hAnsi="宋体"/>
                <w:sz w:val="18"/>
                <w:szCs w:val="18"/>
              </w:rPr>
            </w:pPr>
            <w:r>
              <w:rPr>
                <w:rFonts w:ascii="宋体" w:hAnsi="宋体"/>
                <w:sz w:val="18"/>
                <w:szCs w:val="18"/>
              </w:rPr>
              <w:t>90-100</w:t>
            </w:r>
          </w:p>
        </w:tc>
        <w:tc>
          <w:tcPr>
            <w:tcW w:w="851" w:type="dxa"/>
            <w:vAlign w:val="center"/>
          </w:tcPr>
          <w:p>
            <w:pPr>
              <w:adjustRightInd w:val="0"/>
              <w:snapToGrid w:val="0"/>
              <w:jc w:val="center"/>
              <w:rPr>
                <w:rFonts w:ascii="宋体" w:hAnsi="宋体"/>
                <w:sz w:val="18"/>
                <w:szCs w:val="18"/>
              </w:rPr>
            </w:pPr>
            <w:r>
              <w:rPr>
                <w:rFonts w:ascii="宋体" w:hAnsi="宋体"/>
                <w:sz w:val="18"/>
                <w:szCs w:val="18"/>
              </w:rPr>
              <w:t>-</w:t>
            </w:r>
          </w:p>
        </w:tc>
        <w:tc>
          <w:tcPr>
            <w:tcW w:w="708" w:type="dxa"/>
            <w:vAlign w:val="center"/>
          </w:tcPr>
          <w:p>
            <w:pPr>
              <w:adjustRightInd w:val="0"/>
              <w:snapToGrid w:val="0"/>
              <w:jc w:val="center"/>
              <w:rPr>
                <w:rFonts w:ascii="宋体" w:hAnsi="宋体"/>
                <w:sz w:val="18"/>
                <w:szCs w:val="18"/>
              </w:rPr>
            </w:pPr>
            <w:r>
              <w:rPr>
                <w:rFonts w:ascii="宋体" w:hAnsi="宋体"/>
                <w:sz w:val="18"/>
                <w:szCs w:val="18"/>
              </w:rPr>
              <w:t>67-90</w:t>
            </w:r>
          </w:p>
        </w:tc>
        <w:tc>
          <w:tcPr>
            <w:tcW w:w="709" w:type="dxa"/>
            <w:vAlign w:val="center"/>
          </w:tcPr>
          <w:p>
            <w:pPr>
              <w:adjustRightInd w:val="0"/>
              <w:snapToGrid w:val="0"/>
              <w:jc w:val="center"/>
              <w:rPr>
                <w:rFonts w:ascii="宋体" w:hAnsi="宋体"/>
                <w:sz w:val="18"/>
                <w:szCs w:val="18"/>
              </w:rPr>
            </w:pPr>
            <w:r>
              <w:rPr>
                <w:rFonts w:ascii="宋体" w:hAnsi="宋体"/>
                <w:sz w:val="18"/>
                <w:szCs w:val="18"/>
              </w:rPr>
              <w:t>45-68</w:t>
            </w:r>
          </w:p>
        </w:tc>
        <w:tc>
          <w:tcPr>
            <w:tcW w:w="709" w:type="dxa"/>
            <w:vAlign w:val="center"/>
          </w:tcPr>
          <w:p>
            <w:pPr>
              <w:adjustRightInd w:val="0"/>
              <w:snapToGrid w:val="0"/>
              <w:jc w:val="center"/>
              <w:rPr>
                <w:rFonts w:ascii="宋体" w:hAnsi="宋体"/>
                <w:sz w:val="18"/>
                <w:szCs w:val="18"/>
              </w:rPr>
            </w:pPr>
            <w:r>
              <w:rPr>
                <w:rFonts w:ascii="宋体" w:hAnsi="宋体"/>
                <w:sz w:val="18"/>
                <w:szCs w:val="18"/>
              </w:rPr>
              <w:t>29-50</w:t>
            </w:r>
          </w:p>
        </w:tc>
        <w:tc>
          <w:tcPr>
            <w:tcW w:w="709" w:type="dxa"/>
            <w:vAlign w:val="center"/>
          </w:tcPr>
          <w:p>
            <w:pPr>
              <w:adjustRightInd w:val="0"/>
              <w:snapToGrid w:val="0"/>
              <w:jc w:val="center"/>
              <w:rPr>
                <w:rFonts w:ascii="宋体" w:hAnsi="宋体"/>
                <w:sz w:val="18"/>
                <w:szCs w:val="18"/>
              </w:rPr>
            </w:pPr>
            <w:r>
              <w:rPr>
                <w:rFonts w:ascii="宋体" w:hAnsi="宋体"/>
                <w:sz w:val="18"/>
                <w:szCs w:val="18"/>
              </w:rPr>
              <w:t>18-38</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8-22</w:t>
            </w:r>
          </w:p>
        </w:tc>
        <w:tc>
          <w:tcPr>
            <w:tcW w:w="641" w:type="dxa"/>
            <w:vAlign w:val="center"/>
          </w:tcPr>
          <w:p>
            <w:pPr>
              <w:adjustRightInd w:val="0"/>
              <w:snapToGrid w:val="0"/>
              <w:jc w:val="center"/>
              <w:rPr>
                <w:rFonts w:ascii="宋体" w:hAnsi="宋体"/>
                <w:sz w:val="18"/>
                <w:szCs w:val="18"/>
              </w:rPr>
            </w:pPr>
            <w:r>
              <w:rPr>
                <w:rFonts w:ascii="宋体" w:hAnsi="宋体"/>
                <w:sz w:val="18"/>
                <w:szCs w:val="18"/>
              </w:rPr>
              <w:t>0-7</w:t>
            </w:r>
          </w:p>
        </w:tc>
      </w:tr>
    </w:tbl>
    <w:p>
      <w:pPr>
        <w:pStyle w:val="1280"/>
        <w:ind w:firstLine="440"/>
        <w:rPr>
          <w:rFonts w:ascii="宋体"/>
        </w:rPr>
      </w:pPr>
      <w:r>
        <w:rPr>
          <w:rFonts w:hint="eastAsia" w:ascii="宋体"/>
        </w:rPr>
        <w:t>2、水泥稳定碎石底基层</w:t>
      </w:r>
    </w:p>
    <w:p>
      <w:pPr>
        <w:pStyle w:val="1280"/>
        <w:ind w:firstLine="440"/>
        <w:rPr>
          <w:rFonts w:ascii="宋体"/>
        </w:rPr>
      </w:pPr>
      <w:r>
        <w:rPr>
          <w:rFonts w:hint="eastAsia" w:ascii="宋体"/>
        </w:rPr>
        <w:t>（1）</w:t>
      </w:r>
      <w:r>
        <w:rPr>
          <w:rFonts w:ascii="宋体"/>
        </w:rPr>
        <w:t>用于</w:t>
      </w:r>
      <w:r>
        <w:rPr>
          <w:rFonts w:hint="eastAsia" w:ascii="宋体"/>
        </w:rPr>
        <w:t>底</w:t>
      </w:r>
      <w:r>
        <w:rPr>
          <w:rFonts w:ascii="宋体"/>
        </w:rPr>
        <w:t>基层碎石的最大粒径主干路不宜超过37.5mm，次干路及以下道路不应超过53mm，压碎值主干路不大于30%，其他等级道路不大于35%</w:t>
      </w:r>
      <w:r>
        <w:rPr>
          <w:rFonts w:hint="eastAsia" w:ascii="宋体"/>
        </w:rPr>
        <w:t>。</w:t>
      </w:r>
    </w:p>
    <w:p>
      <w:pPr>
        <w:pStyle w:val="1280"/>
        <w:ind w:firstLine="440"/>
        <w:rPr>
          <w:rFonts w:ascii="宋体"/>
        </w:rPr>
      </w:pPr>
      <w:r>
        <w:rPr>
          <w:rFonts w:hint="eastAsia" w:ascii="宋体"/>
        </w:rPr>
        <w:t>（2）</w:t>
      </w:r>
      <w:r>
        <w:rPr>
          <w:rFonts w:ascii="宋体"/>
        </w:rPr>
        <w:t>有机质含量不得超过2%。</w:t>
      </w:r>
    </w:p>
    <w:p>
      <w:pPr>
        <w:pStyle w:val="1280"/>
        <w:ind w:firstLine="440"/>
        <w:rPr>
          <w:rFonts w:ascii="宋体"/>
        </w:rPr>
      </w:pPr>
      <w:r>
        <w:rPr>
          <w:rFonts w:hint="eastAsia" w:ascii="宋体"/>
        </w:rPr>
        <w:t>（3）</w:t>
      </w:r>
      <w:r>
        <w:rPr>
          <w:rFonts w:ascii="宋体"/>
        </w:rPr>
        <w:t>水泥稳定碎石基层的压实度不低于9</w:t>
      </w:r>
      <w:r>
        <w:rPr>
          <w:rFonts w:hint="eastAsia" w:ascii="宋体"/>
        </w:rPr>
        <w:t>7</w:t>
      </w:r>
      <w:r>
        <w:rPr>
          <w:rFonts w:ascii="宋体"/>
        </w:rPr>
        <w:t>%，7天</w:t>
      </w:r>
      <w:r>
        <w:rPr>
          <w:rFonts w:hint="eastAsia" w:ascii="宋体"/>
        </w:rPr>
        <w:t>无侧限</w:t>
      </w:r>
      <w:r>
        <w:rPr>
          <w:rFonts w:ascii="宋体"/>
        </w:rPr>
        <w:t>抗压强度≥</w:t>
      </w:r>
      <w:r>
        <w:rPr>
          <w:rFonts w:hint="eastAsia" w:ascii="宋体"/>
        </w:rPr>
        <w:t>2</w:t>
      </w:r>
      <w:r>
        <w:rPr>
          <w:rFonts w:ascii="宋体"/>
        </w:rPr>
        <w:t>.0Mpa。混合料中碎石级配应符合</w:t>
      </w:r>
      <w:r>
        <w:rPr>
          <w:rFonts w:hint="eastAsia" w:ascii="宋体"/>
        </w:rPr>
        <w:t>下表</w:t>
      </w:r>
      <w:r>
        <w:rPr>
          <w:rFonts w:ascii="宋体"/>
        </w:rPr>
        <w:t>的要求。</w:t>
      </w:r>
    </w:p>
    <w:p>
      <w:pPr>
        <w:adjustRightInd w:val="0"/>
        <w:snapToGrid w:val="0"/>
        <w:spacing w:line="360" w:lineRule="auto"/>
        <w:ind w:firstLine="425" w:firstLineChars="224"/>
        <w:jc w:val="center"/>
        <w:rPr>
          <w:rFonts w:ascii="宋体" w:hAnsi="宋体"/>
          <w:sz w:val="18"/>
          <w:szCs w:val="18"/>
        </w:rPr>
      </w:pPr>
      <w:r>
        <w:rPr>
          <w:rFonts w:hint="eastAsia" w:ascii="宋体" w:hAnsi="宋体"/>
          <w:sz w:val="18"/>
          <w:szCs w:val="18"/>
        </w:rPr>
        <w:t>表4</w:t>
      </w:r>
      <w:r>
        <w:rPr>
          <w:rFonts w:ascii="宋体" w:hAnsi="宋体"/>
          <w:sz w:val="18"/>
          <w:szCs w:val="18"/>
        </w:rPr>
        <w:t>-4-2水泥稳定级配碎石</w:t>
      </w:r>
      <w:r>
        <w:rPr>
          <w:rFonts w:hint="eastAsia" w:ascii="宋体" w:hAnsi="宋体"/>
          <w:sz w:val="18"/>
          <w:szCs w:val="18"/>
        </w:rPr>
        <w:t>底</w:t>
      </w:r>
      <w:r>
        <w:rPr>
          <w:rFonts w:ascii="宋体" w:hAnsi="宋体"/>
          <w:sz w:val="18"/>
          <w:szCs w:val="18"/>
        </w:rPr>
        <w:t>基层级配表</w:t>
      </w:r>
    </w:p>
    <w:tbl>
      <w:tblPr>
        <w:tblStyle w:val="77"/>
        <w:tblW w:w="9523"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093"/>
        <w:gridCol w:w="992"/>
        <w:gridCol w:w="516"/>
        <w:gridCol w:w="567"/>
        <w:gridCol w:w="567"/>
        <w:gridCol w:w="567"/>
        <w:gridCol w:w="425"/>
        <w:gridCol w:w="567"/>
        <w:gridCol w:w="851"/>
        <w:gridCol w:w="567"/>
        <w:gridCol w:w="567"/>
        <w:gridCol w:w="850"/>
        <w:gridCol w:w="709"/>
        <w:gridCol w:w="685"/>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40" w:hRule="exact"/>
          <w:tblHeader/>
          <w:jc w:val="center"/>
        </w:trPr>
        <w:tc>
          <w:tcPr>
            <w:tcW w:w="2085" w:type="dxa"/>
            <w:gridSpan w:val="2"/>
            <w:vAlign w:val="center"/>
          </w:tcPr>
          <w:p>
            <w:pPr>
              <w:adjustRightInd w:val="0"/>
              <w:snapToGrid w:val="0"/>
              <w:jc w:val="center"/>
              <w:rPr>
                <w:rFonts w:ascii="宋体" w:hAnsi="宋体"/>
                <w:sz w:val="18"/>
                <w:szCs w:val="18"/>
              </w:rPr>
            </w:pPr>
            <w:r>
              <w:rPr>
                <w:rFonts w:ascii="宋体" w:hAnsi="宋体"/>
                <w:sz w:val="18"/>
                <w:szCs w:val="18"/>
              </w:rPr>
              <w:t>筛孔尺寸</w:t>
            </w:r>
            <w:r>
              <w:rPr>
                <w:rFonts w:hint="eastAsia" w:ascii="宋体" w:hAnsi="宋体"/>
                <w:sz w:val="18"/>
                <w:szCs w:val="18"/>
              </w:rPr>
              <w:t>（</w:t>
            </w:r>
            <w:r>
              <w:rPr>
                <w:rFonts w:ascii="宋体" w:hAnsi="宋体"/>
                <w:sz w:val="18"/>
                <w:szCs w:val="18"/>
              </w:rPr>
              <w:t>mm</w:t>
            </w:r>
            <w:r>
              <w:rPr>
                <w:rFonts w:hint="eastAsia" w:ascii="宋体" w:hAnsi="宋体"/>
                <w:sz w:val="18"/>
                <w:szCs w:val="18"/>
              </w:rPr>
              <w:t>）</w:t>
            </w:r>
          </w:p>
          <w:p>
            <w:pPr>
              <w:adjustRightInd w:val="0"/>
              <w:snapToGrid w:val="0"/>
              <w:jc w:val="center"/>
              <w:rPr>
                <w:rFonts w:ascii="宋体" w:hAnsi="宋体"/>
                <w:sz w:val="18"/>
                <w:szCs w:val="18"/>
              </w:rPr>
            </w:pPr>
            <w:r>
              <w:rPr>
                <w:rFonts w:ascii="宋体" w:hAnsi="宋体"/>
                <w:sz w:val="18"/>
                <w:szCs w:val="18"/>
              </w:rPr>
              <w:t>(方孔筛)</w:t>
            </w:r>
          </w:p>
        </w:tc>
        <w:tc>
          <w:tcPr>
            <w:tcW w:w="516" w:type="dxa"/>
            <w:vAlign w:val="center"/>
          </w:tcPr>
          <w:p>
            <w:pPr>
              <w:adjustRightInd w:val="0"/>
              <w:snapToGrid w:val="0"/>
              <w:jc w:val="center"/>
              <w:rPr>
                <w:rFonts w:ascii="宋体" w:hAnsi="宋体"/>
                <w:sz w:val="18"/>
                <w:szCs w:val="18"/>
              </w:rPr>
            </w:pPr>
            <w:r>
              <w:rPr>
                <w:rFonts w:ascii="宋体" w:hAnsi="宋体"/>
                <w:sz w:val="18"/>
                <w:szCs w:val="18"/>
              </w:rPr>
              <w:t>53</w:t>
            </w:r>
          </w:p>
        </w:tc>
        <w:tc>
          <w:tcPr>
            <w:tcW w:w="567" w:type="dxa"/>
            <w:vAlign w:val="center"/>
          </w:tcPr>
          <w:p>
            <w:pPr>
              <w:adjustRightInd w:val="0"/>
              <w:snapToGrid w:val="0"/>
              <w:jc w:val="center"/>
              <w:rPr>
                <w:rFonts w:ascii="宋体" w:hAnsi="宋体"/>
                <w:sz w:val="18"/>
                <w:szCs w:val="18"/>
              </w:rPr>
            </w:pPr>
            <w:r>
              <w:rPr>
                <w:rFonts w:ascii="宋体" w:hAnsi="宋体"/>
                <w:sz w:val="18"/>
                <w:szCs w:val="18"/>
              </w:rPr>
              <w:t>37.5</w:t>
            </w:r>
          </w:p>
        </w:tc>
        <w:tc>
          <w:tcPr>
            <w:tcW w:w="567" w:type="dxa"/>
            <w:vAlign w:val="center"/>
          </w:tcPr>
          <w:p>
            <w:pPr>
              <w:adjustRightInd w:val="0"/>
              <w:snapToGrid w:val="0"/>
              <w:jc w:val="center"/>
              <w:rPr>
                <w:rFonts w:ascii="宋体" w:hAnsi="宋体"/>
                <w:sz w:val="18"/>
                <w:szCs w:val="18"/>
              </w:rPr>
            </w:pPr>
            <w:r>
              <w:rPr>
                <w:rFonts w:ascii="宋体" w:hAnsi="宋体"/>
                <w:sz w:val="18"/>
                <w:szCs w:val="18"/>
              </w:rPr>
              <w:t>31.5</w:t>
            </w:r>
          </w:p>
        </w:tc>
        <w:tc>
          <w:tcPr>
            <w:tcW w:w="567" w:type="dxa"/>
            <w:vAlign w:val="center"/>
          </w:tcPr>
          <w:p>
            <w:pPr>
              <w:adjustRightInd w:val="0"/>
              <w:snapToGrid w:val="0"/>
              <w:jc w:val="center"/>
              <w:rPr>
                <w:rFonts w:ascii="宋体" w:hAnsi="宋体"/>
                <w:sz w:val="18"/>
                <w:szCs w:val="18"/>
              </w:rPr>
            </w:pPr>
            <w:r>
              <w:rPr>
                <w:rFonts w:ascii="宋体" w:hAnsi="宋体"/>
                <w:sz w:val="18"/>
                <w:szCs w:val="18"/>
              </w:rPr>
              <w:t>26.5</w:t>
            </w:r>
          </w:p>
        </w:tc>
        <w:tc>
          <w:tcPr>
            <w:tcW w:w="425" w:type="dxa"/>
            <w:vAlign w:val="center"/>
          </w:tcPr>
          <w:p>
            <w:pPr>
              <w:adjustRightInd w:val="0"/>
              <w:snapToGrid w:val="0"/>
              <w:jc w:val="center"/>
              <w:rPr>
                <w:rFonts w:ascii="宋体" w:hAnsi="宋体"/>
                <w:sz w:val="18"/>
                <w:szCs w:val="18"/>
              </w:rPr>
            </w:pPr>
            <w:r>
              <w:rPr>
                <w:rFonts w:ascii="宋体" w:hAnsi="宋体"/>
                <w:sz w:val="18"/>
                <w:szCs w:val="18"/>
              </w:rPr>
              <w:t>19</w:t>
            </w:r>
          </w:p>
        </w:tc>
        <w:tc>
          <w:tcPr>
            <w:tcW w:w="567" w:type="dxa"/>
            <w:vAlign w:val="center"/>
          </w:tcPr>
          <w:p>
            <w:pPr>
              <w:adjustRightInd w:val="0"/>
              <w:snapToGrid w:val="0"/>
              <w:jc w:val="center"/>
              <w:rPr>
                <w:rFonts w:ascii="宋体" w:hAnsi="宋体"/>
                <w:sz w:val="18"/>
                <w:szCs w:val="18"/>
              </w:rPr>
            </w:pPr>
            <w:r>
              <w:rPr>
                <w:rFonts w:ascii="宋体" w:hAnsi="宋体"/>
                <w:sz w:val="18"/>
                <w:szCs w:val="18"/>
              </w:rPr>
              <w:t>9.5</w:t>
            </w:r>
          </w:p>
        </w:tc>
        <w:tc>
          <w:tcPr>
            <w:tcW w:w="851" w:type="dxa"/>
            <w:vAlign w:val="center"/>
          </w:tcPr>
          <w:p>
            <w:pPr>
              <w:adjustRightInd w:val="0"/>
              <w:snapToGrid w:val="0"/>
              <w:jc w:val="center"/>
              <w:rPr>
                <w:rFonts w:ascii="宋体" w:hAnsi="宋体"/>
                <w:sz w:val="18"/>
                <w:szCs w:val="18"/>
              </w:rPr>
            </w:pPr>
            <w:r>
              <w:rPr>
                <w:rFonts w:ascii="宋体" w:hAnsi="宋体"/>
                <w:sz w:val="18"/>
                <w:szCs w:val="18"/>
              </w:rPr>
              <w:t>4.75</w:t>
            </w:r>
          </w:p>
        </w:tc>
        <w:tc>
          <w:tcPr>
            <w:tcW w:w="567" w:type="dxa"/>
            <w:vAlign w:val="center"/>
          </w:tcPr>
          <w:p>
            <w:pPr>
              <w:adjustRightInd w:val="0"/>
              <w:snapToGrid w:val="0"/>
              <w:jc w:val="center"/>
              <w:rPr>
                <w:rFonts w:ascii="宋体" w:hAnsi="宋体"/>
                <w:sz w:val="18"/>
                <w:szCs w:val="18"/>
              </w:rPr>
            </w:pPr>
            <w:r>
              <w:rPr>
                <w:rFonts w:ascii="宋体" w:hAnsi="宋体"/>
                <w:sz w:val="18"/>
                <w:szCs w:val="18"/>
              </w:rPr>
              <w:t>2.36</w:t>
            </w:r>
          </w:p>
        </w:tc>
        <w:tc>
          <w:tcPr>
            <w:tcW w:w="567" w:type="dxa"/>
            <w:vAlign w:val="center"/>
          </w:tcPr>
          <w:p>
            <w:pPr>
              <w:adjustRightInd w:val="0"/>
              <w:snapToGrid w:val="0"/>
              <w:jc w:val="center"/>
              <w:rPr>
                <w:rFonts w:ascii="宋体" w:hAnsi="宋体"/>
                <w:sz w:val="18"/>
                <w:szCs w:val="18"/>
              </w:rPr>
            </w:pPr>
            <w:r>
              <w:rPr>
                <w:rFonts w:ascii="宋体" w:hAnsi="宋体"/>
                <w:sz w:val="18"/>
                <w:szCs w:val="18"/>
              </w:rPr>
              <w:t>1.18</w:t>
            </w:r>
          </w:p>
        </w:tc>
        <w:tc>
          <w:tcPr>
            <w:tcW w:w="850" w:type="dxa"/>
            <w:vAlign w:val="center"/>
          </w:tcPr>
          <w:p>
            <w:pPr>
              <w:adjustRightInd w:val="0"/>
              <w:snapToGrid w:val="0"/>
              <w:jc w:val="center"/>
              <w:rPr>
                <w:rFonts w:ascii="宋体" w:hAnsi="宋体"/>
                <w:sz w:val="18"/>
                <w:szCs w:val="18"/>
              </w:rPr>
            </w:pPr>
            <w:r>
              <w:rPr>
                <w:rFonts w:ascii="宋体" w:hAnsi="宋体"/>
                <w:sz w:val="18"/>
                <w:szCs w:val="18"/>
              </w:rPr>
              <w:t>0.6</w:t>
            </w:r>
          </w:p>
        </w:tc>
        <w:tc>
          <w:tcPr>
            <w:tcW w:w="709" w:type="dxa"/>
            <w:vAlign w:val="center"/>
          </w:tcPr>
          <w:p>
            <w:pPr>
              <w:adjustRightInd w:val="0"/>
              <w:snapToGrid w:val="0"/>
              <w:jc w:val="center"/>
              <w:rPr>
                <w:rFonts w:ascii="宋体" w:hAnsi="宋体"/>
                <w:sz w:val="18"/>
                <w:szCs w:val="18"/>
              </w:rPr>
            </w:pPr>
            <w:r>
              <w:rPr>
                <w:rFonts w:ascii="宋体" w:hAnsi="宋体"/>
                <w:sz w:val="18"/>
                <w:szCs w:val="18"/>
              </w:rPr>
              <w:t>0.075</w:t>
            </w:r>
          </w:p>
        </w:tc>
        <w:tc>
          <w:tcPr>
            <w:tcW w:w="685" w:type="dxa"/>
            <w:vAlign w:val="center"/>
          </w:tcPr>
          <w:p>
            <w:pPr>
              <w:adjustRightInd w:val="0"/>
              <w:snapToGrid w:val="0"/>
              <w:jc w:val="center"/>
              <w:rPr>
                <w:rFonts w:ascii="宋体" w:hAnsi="宋体"/>
                <w:sz w:val="18"/>
                <w:szCs w:val="18"/>
              </w:rPr>
            </w:pPr>
            <w:r>
              <w:rPr>
                <w:rFonts w:ascii="宋体" w:hAnsi="宋体"/>
                <w:sz w:val="18"/>
                <w:szCs w:val="18"/>
              </w:rPr>
              <w:t>0.002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093" w:type="dxa"/>
            <w:vMerge w:val="restart"/>
            <w:vAlign w:val="center"/>
          </w:tcPr>
          <w:p>
            <w:pPr>
              <w:adjustRightInd w:val="0"/>
              <w:snapToGrid w:val="0"/>
              <w:jc w:val="center"/>
              <w:rPr>
                <w:rFonts w:ascii="宋体" w:hAnsi="宋体"/>
                <w:sz w:val="18"/>
                <w:szCs w:val="18"/>
              </w:rPr>
            </w:pPr>
            <w:r>
              <w:rPr>
                <w:rFonts w:ascii="宋体" w:hAnsi="宋体"/>
                <w:sz w:val="18"/>
                <w:szCs w:val="18"/>
              </w:rPr>
              <w:t>通过质量百分率(%)</w:t>
            </w:r>
          </w:p>
        </w:tc>
        <w:tc>
          <w:tcPr>
            <w:tcW w:w="992" w:type="dxa"/>
            <w:vAlign w:val="center"/>
          </w:tcPr>
          <w:p>
            <w:pPr>
              <w:adjustRightInd w:val="0"/>
              <w:snapToGrid w:val="0"/>
              <w:jc w:val="center"/>
              <w:rPr>
                <w:rFonts w:ascii="宋体" w:hAnsi="宋体"/>
                <w:sz w:val="18"/>
                <w:szCs w:val="18"/>
              </w:rPr>
            </w:pPr>
            <w:r>
              <w:rPr>
                <w:rFonts w:ascii="宋体" w:hAnsi="宋体"/>
                <w:sz w:val="18"/>
                <w:szCs w:val="18"/>
              </w:rPr>
              <w:t>主干路</w:t>
            </w:r>
          </w:p>
        </w:tc>
        <w:tc>
          <w:tcPr>
            <w:tcW w:w="516" w:type="dxa"/>
            <w:vAlign w:val="center"/>
          </w:tcPr>
          <w:p>
            <w:pPr>
              <w:adjustRightInd w:val="0"/>
              <w:snapToGrid w:val="0"/>
              <w:jc w:val="center"/>
              <w:rPr>
                <w:rFonts w:ascii="宋体" w:hAnsi="宋体"/>
                <w:sz w:val="18"/>
                <w:szCs w:val="18"/>
              </w:rPr>
            </w:pPr>
          </w:p>
        </w:tc>
        <w:tc>
          <w:tcPr>
            <w:tcW w:w="567" w:type="dxa"/>
            <w:vAlign w:val="center"/>
          </w:tcPr>
          <w:p>
            <w:pPr>
              <w:adjustRightInd w:val="0"/>
              <w:snapToGrid w:val="0"/>
              <w:jc w:val="center"/>
              <w:rPr>
                <w:rFonts w:ascii="宋体" w:hAnsi="宋体"/>
                <w:sz w:val="18"/>
                <w:szCs w:val="18"/>
              </w:rPr>
            </w:pPr>
            <w:r>
              <w:rPr>
                <w:rFonts w:ascii="宋体" w:hAnsi="宋体"/>
                <w:sz w:val="18"/>
                <w:szCs w:val="18"/>
              </w:rPr>
              <w:t>100</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425"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851" w:type="dxa"/>
            <w:vAlign w:val="center"/>
          </w:tcPr>
          <w:p>
            <w:pPr>
              <w:adjustRightInd w:val="0"/>
              <w:snapToGrid w:val="0"/>
              <w:jc w:val="center"/>
              <w:rPr>
                <w:rFonts w:ascii="宋体" w:hAnsi="宋体"/>
                <w:sz w:val="18"/>
                <w:szCs w:val="18"/>
              </w:rPr>
            </w:pPr>
            <w:r>
              <w:rPr>
                <w:rFonts w:ascii="宋体" w:hAnsi="宋体"/>
                <w:sz w:val="18"/>
                <w:szCs w:val="18"/>
              </w:rPr>
              <w:t>50-100</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850" w:type="dxa"/>
            <w:vAlign w:val="center"/>
          </w:tcPr>
          <w:p>
            <w:pPr>
              <w:adjustRightInd w:val="0"/>
              <w:snapToGrid w:val="0"/>
              <w:jc w:val="center"/>
              <w:rPr>
                <w:rFonts w:ascii="宋体" w:hAnsi="宋体"/>
                <w:sz w:val="18"/>
                <w:szCs w:val="18"/>
              </w:rPr>
            </w:pPr>
            <w:r>
              <w:rPr>
                <w:rFonts w:ascii="宋体" w:hAnsi="宋体"/>
                <w:sz w:val="18"/>
                <w:szCs w:val="18"/>
              </w:rPr>
              <w:t>17-100</w:t>
            </w:r>
          </w:p>
        </w:tc>
        <w:tc>
          <w:tcPr>
            <w:tcW w:w="709" w:type="dxa"/>
            <w:vAlign w:val="center"/>
          </w:tcPr>
          <w:p>
            <w:pPr>
              <w:adjustRightInd w:val="0"/>
              <w:snapToGrid w:val="0"/>
              <w:jc w:val="center"/>
              <w:rPr>
                <w:rFonts w:ascii="宋体" w:hAnsi="宋体"/>
                <w:sz w:val="18"/>
                <w:szCs w:val="18"/>
              </w:rPr>
            </w:pPr>
            <w:r>
              <w:rPr>
                <w:rFonts w:ascii="宋体" w:hAnsi="宋体"/>
                <w:sz w:val="18"/>
                <w:szCs w:val="18"/>
              </w:rPr>
              <w:t>0-30</w:t>
            </w:r>
          </w:p>
        </w:tc>
        <w:tc>
          <w:tcPr>
            <w:tcW w:w="685" w:type="dxa"/>
            <w:vAlign w:val="center"/>
          </w:tcPr>
          <w:p>
            <w:pPr>
              <w:adjustRightInd w:val="0"/>
              <w:snapToGrid w:val="0"/>
              <w:jc w:val="center"/>
              <w:rPr>
                <w:rFonts w:ascii="宋体" w:hAnsi="宋体"/>
                <w:sz w:val="18"/>
                <w:szCs w:val="18"/>
              </w:rPr>
            </w:pPr>
            <w:r>
              <w:rPr>
                <w:rFonts w:ascii="宋体" w:hAnsi="宋体"/>
                <w:sz w:val="18"/>
                <w:szCs w:val="18"/>
              </w:rPr>
              <w:t>-</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36" w:hRule="exact"/>
          <w:jc w:val="center"/>
        </w:trPr>
        <w:tc>
          <w:tcPr>
            <w:tcW w:w="1093" w:type="dxa"/>
            <w:vMerge w:val="continue"/>
            <w:vAlign w:val="center"/>
          </w:tcPr>
          <w:p>
            <w:pPr>
              <w:adjustRightInd w:val="0"/>
              <w:snapToGrid w:val="0"/>
              <w:jc w:val="center"/>
              <w:rPr>
                <w:rFonts w:ascii="宋体" w:hAnsi="宋体"/>
                <w:sz w:val="18"/>
                <w:szCs w:val="18"/>
              </w:rPr>
            </w:pPr>
          </w:p>
        </w:tc>
        <w:tc>
          <w:tcPr>
            <w:tcW w:w="992" w:type="dxa"/>
            <w:vAlign w:val="center"/>
          </w:tcPr>
          <w:p>
            <w:pPr>
              <w:adjustRightInd w:val="0"/>
              <w:snapToGrid w:val="0"/>
              <w:jc w:val="center"/>
              <w:rPr>
                <w:rFonts w:ascii="宋体" w:hAnsi="宋体"/>
                <w:sz w:val="18"/>
                <w:szCs w:val="18"/>
              </w:rPr>
            </w:pPr>
            <w:r>
              <w:rPr>
                <w:rFonts w:ascii="宋体" w:hAnsi="宋体"/>
                <w:sz w:val="18"/>
                <w:szCs w:val="18"/>
              </w:rPr>
              <w:t>次干路及以下道路</w:t>
            </w:r>
          </w:p>
        </w:tc>
        <w:tc>
          <w:tcPr>
            <w:tcW w:w="516" w:type="dxa"/>
            <w:vAlign w:val="center"/>
          </w:tcPr>
          <w:p>
            <w:pPr>
              <w:adjustRightInd w:val="0"/>
              <w:snapToGrid w:val="0"/>
              <w:jc w:val="center"/>
              <w:rPr>
                <w:rFonts w:ascii="宋体" w:hAnsi="宋体"/>
                <w:sz w:val="18"/>
                <w:szCs w:val="18"/>
              </w:rPr>
            </w:pPr>
            <w:r>
              <w:rPr>
                <w:rFonts w:ascii="宋体" w:hAnsi="宋体"/>
                <w:sz w:val="18"/>
                <w:szCs w:val="18"/>
              </w:rPr>
              <w:t>100</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425"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851" w:type="dxa"/>
            <w:vAlign w:val="center"/>
          </w:tcPr>
          <w:p>
            <w:pPr>
              <w:adjustRightInd w:val="0"/>
              <w:snapToGrid w:val="0"/>
              <w:jc w:val="center"/>
              <w:rPr>
                <w:rFonts w:ascii="宋体" w:hAnsi="宋体"/>
                <w:sz w:val="18"/>
                <w:szCs w:val="18"/>
              </w:rPr>
            </w:pPr>
            <w:r>
              <w:rPr>
                <w:rFonts w:ascii="宋体" w:hAnsi="宋体"/>
                <w:sz w:val="18"/>
                <w:szCs w:val="18"/>
              </w:rPr>
              <w:t>50-100</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567" w:type="dxa"/>
            <w:vAlign w:val="center"/>
          </w:tcPr>
          <w:p>
            <w:pPr>
              <w:adjustRightInd w:val="0"/>
              <w:snapToGrid w:val="0"/>
              <w:jc w:val="center"/>
              <w:rPr>
                <w:rFonts w:ascii="宋体" w:hAnsi="宋体"/>
                <w:sz w:val="18"/>
                <w:szCs w:val="18"/>
              </w:rPr>
            </w:pPr>
            <w:r>
              <w:rPr>
                <w:rFonts w:ascii="宋体" w:hAnsi="宋体"/>
                <w:sz w:val="18"/>
                <w:szCs w:val="18"/>
              </w:rPr>
              <w:t>-</w:t>
            </w:r>
          </w:p>
        </w:tc>
        <w:tc>
          <w:tcPr>
            <w:tcW w:w="850" w:type="dxa"/>
            <w:vAlign w:val="center"/>
          </w:tcPr>
          <w:p>
            <w:pPr>
              <w:adjustRightInd w:val="0"/>
              <w:snapToGrid w:val="0"/>
              <w:jc w:val="center"/>
              <w:rPr>
                <w:rFonts w:ascii="宋体" w:hAnsi="宋体"/>
                <w:sz w:val="18"/>
                <w:szCs w:val="18"/>
              </w:rPr>
            </w:pPr>
            <w:r>
              <w:rPr>
                <w:rFonts w:ascii="宋体" w:hAnsi="宋体"/>
                <w:sz w:val="18"/>
                <w:szCs w:val="18"/>
              </w:rPr>
              <w:t>17-100</w:t>
            </w:r>
          </w:p>
        </w:tc>
        <w:tc>
          <w:tcPr>
            <w:tcW w:w="709" w:type="dxa"/>
            <w:vAlign w:val="center"/>
          </w:tcPr>
          <w:p>
            <w:pPr>
              <w:adjustRightInd w:val="0"/>
              <w:snapToGrid w:val="0"/>
              <w:jc w:val="center"/>
              <w:rPr>
                <w:rFonts w:ascii="宋体" w:hAnsi="宋体"/>
                <w:sz w:val="18"/>
                <w:szCs w:val="18"/>
              </w:rPr>
            </w:pPr>
            <w:r>
              <w:rPr>
                <w:rFonts w:ascii="宋体" w:hAnsi="宋体"/>
                <w:sz w:val="18"/>
                <w:szCs w:val="18"/>
              </w:rPr>
              <w:t>0-50</w:t>
            </w:r>
          </w:p>
        </w:tc>
        <w:tc>
          <w:tcPr>
            <w:tcW w:w="685" w:type="dxa"/>
            <w:vAlign w:val="center"/>
          </w:tcPr>
          <w:p>
            <w:pPr>
              <w:adjustRightInd w:val="0"/>
              <w:snapToGrid w:val="0"/>
              <w:jc w:val="center"/>
              <w:rPr>
                <w:rFonts w:ascii="宋体" w:hAnsi="宋体"/>
                <w:sz w:val="18"/>
                <w:szCs w:val="18"/>
              </w:rPr>
            </w:pPr>
            <w:r>
              <w:rPr>
                <w:rFonts w:ascii="宋体" w:hAnsi="宋体"/>
                <w:sz w:val="18"/>
                <w:szCs w:val="18"/>
              </w:rPr>
              <w:t>0-30</w:t>
            </w:r>
          </w:p>
        </w:tc>
      </w:tr>
    </w:tbl>
    <w:p>
      <w:pPr>
        <w:pStyle w:val="1280"/>
        <w:ind w:firstLine="440"/>
        <w:rPr>
          <w:rFonts w:ascii="宋体"/>
        </w:rPr>
      </w:pPr>
      <w:r>
        <w:rPr>
          <w:rFonts w:hint="eastAsia" w:ascii="宋体"/>
        </w:rPr>
        <w:t>3</w:t>
      </w:r>
      <w:r>
        <w:rPr>
          <w:rFonts w:ascii="宋体"/>
        </w:rPr>
        <w:t>、级配碎石垫层</w:t>
      </w:r>
    </w:p>
    <w:p>
      <w:pPr>
        <w:pStyle w:val="1280"/>
        <w:ind w:firstLine="440"/>
        <w:rPr>
          <w:rFonts w:ascii="宋体"/>
        </w:rPr>
      </w:pPr>
      <w:r>
        <w:rPr>
          <w:rFonts w:hint="eastAsia" w:ascii="宋体"/>
        </w:rPr>
        <w:t>（1）</w:t>
      </w:r>
      <w:r>
        <w:rPr>
          <w:rFonts w:ascii="宋体"/>
        </w:rPr>
        <w:t>用于</w:t>
      </w:r>
      <w:r>
        <w:rPr>
          <w:rFonts w:hint="eastAsia" w:ascii="宋体"/>
        </w:rPr>
        <w:t>垫</w:t>
      </w:r>
      <w:r>
        <w:rPr>
          <w:rFonts w:ascii="宋体"/>
        </w:rPr>
        <w:t>层的碎石最大粒径不应超过53mm。压碎值主干路不宜大于30%，次干路不宜大于35%，支路不宜大于40%。</w:t>
      </w:r>
    </w:p>
    <w:p>
      <w:pPr>
        <w:pStyle w:val="1280"/>
        <w:ind w:firstLine="440"/>
        <w:rPr>
          <w:rFonts w:ascii="宋体"/>
        </w:rPr>
      </w:pPr>
      <w:r>
        <w:rPr>
          <w:rFonts w:hint="eastAsia" w:ascii="宋体"/>
        </w:rPr>
        <w:t>（2）</w:t>
      </w:r>
      <w:r>
        <w:rPr>
          <w:rFonts w:ascii="宋体"/>
        </w:rPr>
        <w:t>碎石中细长及扁平颗粒含量应小于20%。</w:t>
      </w:r>
    </w:p>
    <w:p>
      <w:pPr>
        <w:pStyle w:val="1280"/>
        <w:ind w:firstLine="440"/>
        <w:rPr>
          <w:rFonts w:ascii="宋体"/>
        </w:rPr>
      </w:pPr>
      <w:r>
        <w:rPr>
          <w:rFonts w:hint="eastAsia" w:ascii="宋体"/>
        </w:rPr>
        <w:t>（3）</w:t>
      </w:r>
      <w:r>
        <w:rPr>
          <w:rFonts w:ascii="宋体"/>
        </w:rPr>
        <w:t>级配碎石垫层压实度≥96%；</w:t>
      </w:r>
    </w:p>
    <w:p>
      <w:pPr>
        <w:pStyle w:val="1280"/>
        <w:ind w:firstLine="440"/>
        <w:rPr>
          <w:rFonts w:ascii="宋体"/>
        </w:rPr>
      </w:pPr>
      <w:r>
        <w:rPr>
          <w:rFonts w:hint="eastAsia" w:ascii="宋体"/>
        </w:rPr>
        <w:t>（4）</w:t>
      </w:r>
      <w:r>
        <w:rPr>
          <w:rFonts w:ascii="宋体"/>
        </w:rPr>
        <w:t>碎石垫层的级配范围应符合碎石垫层级配表的要求</w:t>
      </w:r>
    </w:p>
    <w:p>
      <w:pPr>
        <w:adjustRightInd w:val="0"/>
        <w:snapToGrid w:val="0"/>
        <w:spacing w:line="360" w:lineRule="auto"/>
        <w:ind w:firstLine="425" w:firstLineChars="224"/>
        <w:jc w:val="center"/>
        <w:rPr>
          <w:rFonts w:ascii="宋体" w:hAnsi="宋体"/>
          <w:sz w:val="18"/>
          <w:szCs w:val="18"/>
        </w:rPr>
      </w:pPr>
      <w:r>
        <w:rPr>
          <w:rFonts w:hint="eastAsia" w:ascii="宋体" w:hAnsi="宋体"/>
          <w:sz w:val="18"/>
          <w:szCs w:val="18"/>
        </w:rPr>
        <w:t>表4</w:t>
      </w:r>
      <w:r>
        <w:rPr>
          <w:rFonts w:ascii="宋体" w:hAnsi="宋体"/>
          <w:sz w:val="18"/>
          <w:szCs w:val="18"/>
        </w:rPr>
        <w:t>-4-3 碎石垫层级配表</w:t>
      </w:r>
    </w:p>
    <w:tbl>
      <w:tblPr>
        <w:tblStyle w:val="77"/>
        <w:tblW w:w="8659"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319"/>
        <w:gridCol w:w="972"/>
        <w:gridCol w:w="567"/>
        <w:gridCol w:w="851"/>
        <w:gridCol w:w="850"/>
        <w:gridCol w:w="709"/>
        <w:gridCol w:w="709"/>
        <w:gridCol w:w="708"/>
        <w:gridCol w:w="709"/>
        <w:gridCol w:w="567"/>
        <w:gridCol w:w="698"/>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62" w:hRule="exact"/>
          <w:tblHeader/>
          <w:jc w:val="center"/>
        </w:trPr>
        <w:tc>
          <w:tcPr>
            <w:tcW w:w="2291" w:type="dxa"/>
            <w:gridSpan w:val="2"/>
            <w:vAlign w:val="center"/>
          </w:tcPr>
          <w:p>
            <w:pPr>
              <w:adjustRightInd w:val="0"/>
              <w:snapToGrid w:val="0"/>
              <w:jc w:val="center"/>
              <w:rPr>
                <w:rFonts w:ascii="宋体" w:hAnsi="宋体"/>
                <w:sz w:val="18"/>
                <w:szCs w:val="18"/>
              </w:rPr>
            </w:pPr>
            <w:r>
              <w:rPr>
                <w:rFonts w:ascii="宋体" w:hAnsi="宋体"/>
                <w:sz w:val="18"/>
                <w:szCs w:val="18"/>
              </w:rPr>
              <w:t>筛孔尺寸(mm)</w:t>
            </w:r>
          </w:p>
          <w:p>
            <w:pPr>
              <w:adjustRightInd w:val="0"/>
              <w:snapToGrid w:val="0"/>
              <w:jc w:val="center"/>
              <w:rPr>
                <w:rFonts w:ascii="宋体" w:hAnsi="宋体"/>
                <w:sz w:val="18"/>
                <w:szCs w:val="18"/>
              </w:rPr>
            </w:pPr>
            <w:r>
              <w:rPr>
                <w:rFonts w:ascii="宋体" w:hAnsi="宋体"/>
                <w:sz w:val="18"/>
                <w:szCs w:val="18"/>
              </w:rPr>
              <w:t>(方孔筛)</w:t>
            </w:r>
          </w:p>
        </w:tc>
        <w:tc>
          <w:tcPr>
            <w:tcW w:w="567" w:type="dxa"/>
            <w:vAlign w:val="center"/>
          </w:tcPr>
          <w:p>
            <w:pPr>
              <w:adjustRightInd w:val="0"/>
              <w:snapToGrid w:val="0"/>
              <w:jc w:val="center"/>
              <w:rPr>
                <w:rFonts w:ascii="宋体" w:hAnsi="宋体"/>
                <w:sz w:val="18"/>
                <w:szCs w:val="18"/>
              </w:rPr>
            </w:pPr>
            <w:r>
              <w:rPr>
                <w:rFonts w:ascii="宋体" w:hAnsi="宋体"/>
                <w:sz w:val="18"/>
                <w:szCs w:val="18"/>
              </w:rPr>
              <w:t>53</w:t>
            </w:r>
          </w:p>
        </w:tc>
        <w:tc>
          <w:tcPr>
            <w:tcW w:w="851" w:type="dxa"/>
            <w:vAlign w:val="center"/>
          </w:tcPr>
          <w:p>
            <w:pPr>
              <w:adjustRightInd w:val="0"/>
              <w:snapToGrid w:val="0"/>
              <w:jc w:val="center"/>
              <w:rPr>
                <w:rFonts w:ascii="宋体" w:hAnsi="宋体"/>
                <w:sz w:val="18"/>
                <w:szCs w:val="18"/>
              </w:rPr>
            </w:pPr>
            <w:r>
              <w:rPr>
                <w:rFonts w:ascii="宋体" w:hAnsi="宋体"/>
                <w:sz w:val="18"/>
                <w:szCs w:val="18"/>
              </w:rPr>
              <w:t>37.5</w:t>
            </w:r>
          </w:p>
        </w:tc>
        <w:tc>
          <w:tcPr>
            <w:tcW w:w="850" w:type="dxa"/>
            <w:vAlign w:val="center"/>
          </w:tcPr>
          <w:p>
            <w:pPr>
              <w:adjustRightInd w:val="0"/>
              <w:snapToGrid w:val="0"/>
              <w:jc w:val="center"/>
              <w:rPr>
                <w:rFonts w:ascii="宋体" w:hAnsi="宋体"/>
                <w:sz w:val="18"/>
                <w:szCs w:val="18"/>
              </w:rPr>
            </w:pPr>
            <w:r>
              <w:rPr>
                <w:rFonts w:ascii="宋体" w:hAnsi="宋体"/>
                <w:sz w:val="18"/>
                <w:szCs w:val="18"/>
              </w:rPr>
              <w:t>31.5</w:t>
            </w:r>
          </w:p>
        </w:tc>
        <w:tc>
          <w:tcPr>
            <w:tcW w:w="709" w:type="dxa"/>
            <w:vAlign w:val="center"/>
          </w:tcPr>
          <w:p>
            <w:pPr>
              <w:adjustRightInd w:val="0"/>
              <w:snapToGrid w:val="0"/>
              <w:jc w:val="center"/>
              <w:rPr>
                <w:rFonts w:ascii="宋体" w:hAnsi="宋体"/>
                <w:sz w:val="18"/>
                <w:szCs w:val="18"/>
              </w:rPr>
            </w:pPr>
            <w:r>
              <w:rPr>
                <w:rFonts w:ascii="宋体" w:hAnsi="宋体"/>
                <w:sz w:val="18"/>
                <w:szCs w:val="18"/>
              </w:rPr>
              <w:t>19.0</w:t>
            </w:r>
          </w:p>
        </w:tc>
        <w:tc>
          <w:tcPr>
            <w:tcW w:w="709" w:type="dxa"/>
            <w:vAlign w:val="center"/>
          </w:tcPr>
          <w:p>
            <w:pPr>
              <w:adjustRightInd w:val="0"/>
              <w:snapToGrid w:val="0"/>
              <w:jc w:val="center"/>
              <w:rPr>
                <w:rFonts w:ascii="宋体" w:hAnsi="宋体"/>
                <w:sz w:val="18"/>
                <w:szCs w:val="18"/>
              </w:rPr>
            </w:pPr>
            <w:r>
              <w:rPr>
                <w:rFonts w:ascii="宋体" w:hAnsi="宋体"/>
                <w:sz w:val="18"/>
                <w:szCs w:val="18"/>
              </w:rPr>
              <w:t>9.5</w:t>
            </w:r>
          </w:p>
        </w:tc>
        <w:tc>
          <w:tcPr>
            <w:tcW w:w="708" w:type="dxa"/>
            <w:vAlign w:val="center"/>
          </w:tcPr>
          <w:p>
            <w:pPr>
              <w:adjustRightInd w:val="0"/>
              <w:snapToGrid w:val="0"/>
              <w:jc w:val="center"/>
              <w:rPr>
                <w:rFonts w:ascii="宋体" w:hAnsi="宋体"/>
                <w:sz w:val="18"/>
                <w:szCs w:val="18"/>
              </w:rPr>
            </w:pPr>
            <w:r>
              <w:rPr>
                <w:rFonts w:ascii="宋体" w:hAnsi="宋体"/>
                <w:sz w:val="18"/>
                <w:szCs w:val="18"/>
              </w:rPr>
              <w:t>4.75</w:t>
            </w:r>
          </w:p>
        </w:tc>
        <w:tc>
          <w:tcPr>
            <w:tcW w:w="709" w:type="dxa"/>
            <w:vAlign w:val="center"/>
          </w:tcPr>
          <w:p>
            <w:pPr>
              <w:adjustRightInd w:val="0"/>
              <w:snapToGrid w:val="0"/>
              <w:jc w:val="center"/>
              <w:rPr>
                <w:rFonts w:ascii="宋体" w:hAnsi="宋体"/>
                <w:sz w:val="18"/>
                <w:szCs w:val="18"/>
              </w:rPr>
            </w:pPr>
            <w:r>
              <w:rPr>
                <w:rFonts w:ascii="宋体" w:hAnsi="宋体"/>
                <w:sz w:val="18"/>
                <w:szCs w:val="18"/>
              </w:rPr>
              <w:t>2.36</w:t>
            </w:r>
          </w:p>
        </w:tc>
        <w:tc>
          <w:tcPr>
            <w:tcW w:w="567" w:type="dxa"/>
            <w:vAlign w:val="center"/>
          </w:tcPr>
          <w:p>
            <w:pPr>
              <w:adjustRightInd w:val="0"/>
              <w:snapToGrid w:val="0"/>
              <w:jc w:val="center"/>
              <w:rPr>
                <w:rFonts w:ascii="宋体" w:hAnsi="宋体"/>
                <w:sz w:val="18"/>
                <w:szCs w:val="18"/>
              </w:rPr>
            </w:pPr>
            <w:r>
              <w:rPr>
                <w:rFonts w:ascii="宋体" w:hAnsi="宋体"/>
                <w:sz w:val="18"/>
                <w:szCs w:val="18"/>
              </w:rPr>
              <w:t>0.6</w:t>
            </w:r>
          </w:p>
        </w:tc>
        <w:tc>
          <w:tcPr>
            <w:tcW w:w="698" w:type="dxa"/>
            <w:vAlign w:val="center"/>
          </w:tcPr>
          <w:p>
            <w:pPr>
              <w:adjustRightInd w:val="0"/>
              <w:snapToGrid w:val="0"/>
              <w:jc w:val="center"/>
              <w:rPr>
                <w:rFonts w:ascii="宋体" w:hAnsi="宋体"/>
                <w:sz w:val="18"/>
                <w:szCs w:val="18"/>
              </w:rPr>
            </w:pPr>
            <w:r>
              <w:rPr>
                <w:rFonts w:ascii="宋体" w:hAnsi="宋体"/>
                <w:sz w:val="18"/>
                <w:szCs w:val="18"/>
              </w:rPr>
              <w:t>0.075</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297" w:hRule="exact"/>
          <w:jc w:val="center"/>
        </w:trPr>
        <w:tc>
          <w:tcPr>
            <w:tcW w:w="1319" w:type="dxa"/>
            <w:vMerge w:val="restart"/>
            <w:vAlign w:val="center"/>
          </w:tcPr>
          <w:p>
            <w:pPr>
              <w:adjustRightInd w:val="0"/>
              <w:snapToGrid w:val="0"/>
              <w:jc w:val="center"/>
              <w:rPr>
                <w:rFonts w:ascii="宋体" w:hAnsi="宋体"/>
                <w:sz w:val="18"/>
                <w:szCs w:val="18"/>
              </w:rPr>
            </w:pPr>
            <w:r>
              <w:rPr>
                <w:rFonts w:ascii="宋体" w:hAnsi="宋体"/>
                <w:sz w:val="18"/>
                <w:szCs w:val="18"/>
              </w:rPr>
              <w:t>通过质量</w:t>
            </w:r>
          </w:p>
          <w:p>
            <w:pPr>
              <w:adjustRightInd w:val="0"/>
              <w:snapToGrid w:val="0"/>
              <w:jc w:val="center"/>
              <w:rPr>
                <w:rFonts w:ascii="宋体" w:hAnsi="宋体"/>
                <w:sz w:val="18"/>
                <w:szCs w:val="18"/>
              </w:rPr>
            </w:pPr>
            <w:r>
              <w:rPr>
                <w:rFonts w:ascii="宋体" w:hAnsi="宋体"/>
                <w:sz w:val="18"/>
                <w:szCs w:val="18"/>
              </w:rPr>
              <w:t>百分率(%)</w:t>
            </w:r>
          </w:p>
        </w:tc>
        <w:tc>
          <w:tcPr>
            <w:tcW w:w="972" w:type="dxa"/>
            <w:vAlign w:val="center"/>
          </w:tcPr>
          <w:p>
            <w:pPr>
              <w:adjustRightInd w:val="0"/>
              <w:snapToGrid w:val="0"/>
              <w:jc w:val="center"/>
              <w:rPr>
                <w:rFonts w:ascii="宋体" w:hAnsi="宋体"/>
                <w:sz w:val="18"/>
                <w:szCs w:val="18"/>
              </w:rPr>
            </w:pPr>
            <w:r>
              <w:rPr>
                <w:rFonts w:ascii="宋体" w:hAnsi="宋体"/>
                <w:sz w:val="18"/>
                <w:szCs w:val="18"/>
              </w:rPr>
              <w:t>主干路</w:t>
            </w:r>
          </w:p>
        </w:tc>
        <w:tc>
          <w:tcPr>
            <w:tcW w:w="567" w:type="dxa"/>
            <w:vAlign w:val="center"/>
          </w:tcPr>
          <w:p>
            <w:pPr>
              <w:adjustRightInd w:val="0"/>
              <w:snapToGrid w:val="0"/>
              <w:jc w:val="center"/>
              <w:rPr>
                <w:rFonts w:ascii="宋体" w:hAnsi="宋体"/>
                <w:sz w:val="18"/>
                <w:szCs w:val="18"/>
              </w:rPr>
            </w:pPr>
          </w:p>
        </w:tc>
        <w:tc>
          <w:tcPr>
            <w:tcW w:w="851" w:type="dxa"/>
            <w:vAlign w:val="center"/>
          </w:tcPr>
          <w:p>
            <w:pPr>
              <w:adjustRightInd w:val="0"/>
              <w:snapToGrid w:val="0"/>
              <w:jc w:val="center"/>
              <w:rPr>
                <w:rFonts w:ascii="宋体" w:hAnsi="宋体"/>
                <w:sz w:val="18"/>
                <w:szCs w:val="18"/>
              </w:rPr>
            </w:pPr>
            <w:r>
              <w:rPr>
                <w:rFonts w:ascii="宋体" w:hAnsi="宋体"/>
                <w:sz w:val="18"/>
                <w:szCs w:val="18"/>
              </w:rPr>
              <w:t>100</w:t>
            </w:r>
          </w:p>
        </w:tc>
        <w:tc>
          <w:tcPr>
            <w:tcW w:w="850" w:type="dxa"/>
            <w:vAlign w:val="center"/>
          </w:tcPr>
          <w:p>
            <w:pPr>
              <w:adjustRightInd w:val="0"/>
              <w:snapToGrid w:val="0"/>
              <w:jc w:val="center"/>
              <w:rPr>
                <w:rFonts w:ascii="宋体" w:hAnsi="宋体"/>
                <w:sz w:val="18"/>
                <w:szCs w:val="18"/>
              </w:rPr>
            </w:pPr>
            <w:r>
              <w:rPr>
                <w:rFonts w:ascii="宋体" w:hAnsi="宋体"/>
                <w:sz w:val="18"/>
                <w:szCs w:val="18"/>
              </w:rPr>
              <w:t>83-100</w:t>
            </w:r>
          </w:p>
        </w:tc>
        <w:tc>
          <w:tcPr>
            <w:tcW w:w="709" w:type="dxa"/>
            <w:vAlign w:val="center"/>
          </w:tcPr>
          <w:p>
            <w:pPr>
              <w:adjustRightInd w:val="0"/>
              <w:snapToGrid w:val="0"/>
              <w:jc w:val="center"/>
              <w:rPr>
                <w:rFonts w:ascii="宋体" w:hAnsi="宋体"/>
                <w:sz w:val="18"/>
                <w:szCs w:val="18"/>
              </w:rPr>
            </w:pPr>
            <w:r>
              <w:rPr>
                <w:rFonts w:ascii="宋体" w:hAnsi="宋体"/>
                <w:sz w:val="18"/>
                <w:szCs w:val="18"/>
              </w:rPr>
              <w:t>54-84</w:t>
            </w:r>
          </w:p>
        </w:tc>
        <w:tc>
          <w:tcPr>
            <w:tcW w:w="709" w:type="dxa"/>
            <w:vAlign w:val="center"/>
          </w:tcPr>
          <w:p>
            <w:pPr>
              <w:adjustRightInd w:val="0"/>
              <w:snapToGrid w:val="0"/>
              <w:jc w:val="center"/>
              <w:rPr>
                <w:rFonts w:ascii="宋体" w:hAnsi="宋体"/>
                <w:sz w:val="18"/>
                <w:szCs w:val="18"/>
              </w:rPr>
            </w:pPr>
            <w:r>
              <w:rPr>
                <w:rFonts w:ascii="宋体" w:hAnsi="宋体"/>
                <w:sz w:val="18"/>
                <w:szCs w:val="18"/>
              </w:rPr>
              <w:t>29-59</w:t>
            </w:r>
          </w:p>
        </w:tc>
        <w:tc>
          <w:tcPr>
            <w:tcW w:w="708" w:type="dxa"/>
            <w:vAlign w:val="center"/>
          </w:tcPr>
          <w:p>
            <w:pPr>
              <w:adjustRightInd w:val="0"/>
              <w:snapToGrid w:val="0"/>
              <w:jc w:val="center"/>
              <w:rPr>
                <w:rFonts w:ascii="宋体" w:hAnsi="宋体"/>
                <w:sz w:val="18"/>
                <w:szCs w:val="18"/>
              </w:rPr>
            </w:pPr>
            <w:r>
              <w:rPr>
                <w:rFonts w:ascii="宋体" w:hAnsi="宋体"/>
                <w:sz w:val="18"/>
                <w:szCs w:val="18"/>
              </w:rPr>
              <w:t>17-45</w:t>
            </w:r>
          </w:p>
        </w:tc>
        <w:tc>
          <w:tcPr>
            <w:tcW w:w="709" w:type="dxa"/>
            <w:vAlign w:val="center"/>
          </w:tcPr>
          <w:p>
            <w:pPr>
              <w:adjustRightInd w:val="0"/>
              <w:snapToGrid w:val="0"/>
              <w:jc w:val="center"/>
              <w:rPr>
                <w:rFonts w:ascii="宋体" w:hAnsi="宋体"/>
                <w:sz w:val="18"/>
                <w:szCs w:val="18"/>
              </w:rPr>
            </w:pPr>
            <w:r>
              <w:rPr>
                <w:rFonts w:ascii="宋体" w:hAnsi="宋体"/>
                <w:sz w:val="18"/>
                <w:szCs w:val="18"/>
              </w:rPr>
              <w:t>11-35</w:t>
            </w:r>
          </w:p>
        </w:tc>
        <w:tc>
          <w:tcPr>
            <w:tcW w:w="567" w:type="dxa"/>
            <w:vAlign w:val="center"/>
          </w:tcPr>
          <w:p>
            <w:pPr>
              <w:adjustRightInd w:val="0"/>
              <w:snapToGrid w:val="0"/>
              <w:jc w:val="center"/>
              <w:rPr>
                <w:rFonts w:ascii="宋体" w:hAnsi="宋体"/>
                <w:sz w:val="18"/>
                <w:szCs w:val="18"/>
              </w:rPr>
            </w:pPr>
            <w:r>
              <w:rPr>
                <w:rFonts w:ascii="宋体" w:hAnsi="宋体"/>
                <w:sz w:val="18"/>
                <w:szCs w:val="18"/>
              </w:rPr>
              <w:t>6-21</w:t>
            </w:r>
          </w:p>
        </w:tc>
        <w:tc>
          <w:tcPr>
            <w:tcW w:w="698" w:type="dxa"/>
            <w:vAlign w:val="center"/>
          </w:tcPr>
          <w:p>
            <w:pPr>
              <w:adjustRightInd w:val="0"/>
              <w:snapToGrid w:val="0"/>
              <w:jc w:val="center"/>
              <w:rPr>
                <w:rFonts w:ascii="宋体" w:hAnsi="宋体"/>
                <w:sz w:val="18"/>
                <w:szCs w:val="18"/>
              </w:rPr>
            </w:pPr>
            <w:r>
              <w:rPr>
                <w:rFonts w:ascii="宋体" w:hAnsi="宋体"/>
                <w:sz w:val="18"/>
                <w:szCs w:val="18"/>
              </w:rPr>
              <w:t>0-10</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698" w:hRule="exact"/>
          <w:jc w:val="center"/>
        </w:trPr>
        <w:tc>
          <w:tcPr>
            <w:tcW w:w="1319" w:type="dxa"/>
            <w:vMerge w:val="continue"/>
            <w:vAlign w:val="center"/>
          </w:tcPr>
          <w:p>
            <w:pPr>
              <w:adjustRightInd w:val="0"/>
              <w:snapToGrid w:val="0"/>
              <w:jc w:val="center"/>
              <w:rPr>
                <w:rFonts w:ascii="宋体" w:hAnsi="宋体"/>
                <w:sz w:val="18"/>
                <w:szCs w:val="18"/>
              </w:rPr>
            </w:pPr>
          </w:p>
        </w:tc>
        <w:tc>
          <w:tcPr>
            <w:tcW w:w="972" w:type="dxa"/>
            <w:vAlign w:val="center"/>
          </w:tcPr>
          <w:p>
            <w:pPr>
              <w:adjustRightInd w:val="0"/>
              <w:snapToGrid w:val="0"/>
              <w:jc w:val="center"/>
              <w:rPr>
                <w:rFonts w:ascii="宋体" w:hAnsi="宋体"/>
                <w:sz w:val="18"/>
                <w:szCs w:val="18"/>
              </w:rPr>
            </w:pPr>
            <w:r>
              <w:rPr>
                <w:rFonts w:ascii="宋体" w:hAnsi="宋体"/>
                <w:sz w:val="18"/>
                <w:szCs w:val="18"/>
              </w:rPr>
              <w:t>次干路及以下道路</w:t>
            </w:r>
          </w:p>
        </w:tc>
        <w:tc>
          <w:tcPr>
            <w:tcW w:w="567" w:type="dxa"/>
            <w:vAlign w:val="center"/>
          </w:tcPr>
          <w:p>
            <w:pPr>
              <w:adjustRightInd w:val="0"/>
              <w:snapToGrid w:val="0"/>
              <w:jc w:val="center"/>
              <w:rPr>
                <w:rFonts w:ascii="宋体" w:hAnsi="宋体"/>
                <w:sz w:val="18"/>
                <w:szCs w:val="18"/>
              </w:rPr>
            </w:pPr>
            <w:r>
              <w:rPr>
                <w:rFonts w:ascii="宋体" w:hAnsi="宋体"/>
                <w:sz w:val="18"/>
                <w:szCs w:val="18"/>
              </w:rPr>
              <w:t>100</w:t>
            </w:r>
          </w:p>
        </w:tc>
        <w:tc>
          <w:tcPr>
            <w:tcW w:w="851" w:type="dxa"/>
            <w:vAlign w:val="center"/>
          </w:tcPr>
          <w:p>
            <w:pPr>
              <w:adjustRightInd w:val="0"/>
              <w:snapToGrid w:val="0"/>
              <w:jc w:val="center"/>
              <w:rPr>
                <w:rFonts w:ascii="宋体" w:hAnsi="宋体"/>
                <w:sz w:val="18"/>
                <w:szCs w:val="18"/>
              </w:rPr>
            </w:pPr>
            <w:r>
              <w:rPr>
                <w:rFonts w:ascii="宋体" w:hAnsi="宋体"/>
                <w:sz w:val="18"/>
                <w:szCs w:val="18"/>
              </w:rPr>
              <w:t>85-100</w:t>
            </w:r>
          </w:p>
        </w:tc>
        <w:tc>
          <w:tcPr>
            <w:tcW w:w="850" w:type="dxa"/>
            <w:vAlign w:val="center"/>
          </w:tcPr>
          <w:p>
            <w:pPr>
              <w:adjustRightInd w:val="0"/>
              <w:snapToGrid w:val="0"/>
              <w:jc w:val="center"/>
              <w:rPr>
                <w:rFonts w:ascii="宋体" w:hAnsi="宋体"/>
                <w:sz w:val="18"/>
                <w:szCs w:val="18"/>
              </w:rPr>
            </w:pPr>
            <w:r>
              <w:rPr>
                <w:rFonts w:ascii="宋体" w:hAnsi="宋体"/>
                <w:sz w:val="18"/>
                <w:szCs w:val="18"/>
              </w:rPr>
              <w:t>69-88</w:t>
            </w:r>
          </w:p>
        </w:tc>
        <w:tc>
          <w:tcPr>
            <w:tcW w:w="709" w:type="dxa"/>
            <w:vAlign w:val="center"/>
          </w:tcPr>
          <w:p>
            <w:pPr>
              <w:adjustRightInd w:val="0"/>
              <w:snapToGrid w:val="0"/>
              <w:jc w:val="center"/>
              <w:rPr>
                <w:rFonts w:ascii="宋体" w:hAnsi="宋体"/>
                <w:sz w:val="18"/>
                <w:szCs w:val="18"/>
              </w:rPr>
            </w:pPr>
            <w:r>
              <w:rPr>
                <w:rFonts w:ascii="宋体" w:hAnsi="宋体"/>
                <w:sz w:val="18"/>
                <w:szCs w:val="18"/>
              </w:rPr>
              <w:t>40-65</w:t>
            </w:r>
          </w:p>
        </w:tc>
        <w:tc>
          <w:tcPr>
            <w:tcW w:w="709" w:type="dxa"/>
            <w:vAlign w:val="center"/>
          </w:tcPr>
          <w:p>
            <w:pPr>
              <w:adjustRightInd w:val="0"/>
              <w:snapToGrid w:val="0"/>
              <w:jc w:val="center"/>
              <w:rPr>
                <w:rFonts w:ascii="宋体" w:hAnsi="宋体"/>
                <w:sz w:val="18"/>
                <w:szCs w:val="18"/>
              </w:rPr>
            </w:pPr>
            <w:r>
              <w:rPr>
                <w:rFonts w:ascii="宋体" w:hAnsi="宋体"/>
                <w:sz w:val="18"/>
                <w:szCs w:val="18"/>
              </w:rPr>
              <w:t>19-43</w:t>
            </w:r>
          </w:p>
        </w:tc>
        <w:tc>
          <w:tcPr>
            <w:tcW w:w="708" w:type="dxa"/>
            <w:vAlign w:val="center"/>
          </w:tcPr>
          <w:p>
            <w:pPr>
              <w:adjustRightInd w:val="0"/>
              <w:snapToGrid w:val="0"/>
              <w:jc w:val="center"/>
              <w:rPr>
                <w:rFonts w:ascii="宋体" w:hAnsi="宋体"/>
                <w:sz w:val="18"/>
                <w:szCs w:val="18"/>
              </w:rPr>
            </w:pPr>
            <w:r>
              <w:rPr>
                <w:rFonts w:ascii="宋体" w:hAnsi="宋体"/>
                <w:sz w:val="18"/>
                <w:szCs w:val="18"/>
              </w:rPr>
              <w:t>10-30</w:t>
            </w:r>
          </w:p>
        </w:tc>
        <w:tc>
          <w:tcPr>
            <w:tcW w:w="709" w:type="dxa"/>
            <w:vAlign w:val="center"/>
          </w:tcPr>
          <w:p>
            <w:pPr>
              <w:adjustRightInd w:val="0"/>
              <w:snapToGrid w:val="0"/>
              <w:jc w:val="center"/>
              <w:rPr>
                <w:rFonts w:ascii="宋体" w:hAnsi="宋体"/>
                <w:sz w:val="18"/>
                <w:szCs w:val="18"/>
              </w:rPr>
            </w:pPr>
            <w:r>
              <w:rPr>
                <w:rFonts w:ascii="宋体" w:hAnsi="宋体"/>
                <w:sz w:val="18"/>
                <w:szCs w:val="18"/>
              </w:rPr>
              <w:t>8-25</w:t>
            </w:r>
          </w:p>
        </w:tc>
        <w:tc>
          <w:tcPr>
            <w:tcW w:w="567" w:type="dxa"/>
            <w:vAlign w:val="center"/>
          </w:tcPr>
          <w:p>
            <w:pPr>
              <w:adjustRightInd w:val="0"/>
              <w:snapToGrid w:val="0"/>
              <w:jc w:val="center"/>
              <w:rPr>
                <w:rFonts w:ascii="宋体" w:hAnsi="宋体"/>
                <w:sz w:val="18"/>
                <w:szCs w:val="18"/>
              </w:rPr>
            </w:pPr>
            <w:r>
              <w:rPr>
                <w:rFonts w:ascii="宋体" w:hAnsi="宋体"/>
                <w:sz w:val="18"/>
                <w:szCs w:val="18"/>
              </w:rPr>
              <w:t>6-18</w:t>
            </w:r>
          </w:p>
        </w:tc>
        <w:tc>
          <w:tcPr>
            <w:tcW w:w="698" w:type="dxa"/>
            <w:vAlign w:val="center"/>
          </w:tcPr>
          <w:p>
            <w:pPr>
              <w:adjustRightInd w:val="0"/>
              <w:snapToGrid w:val="0"/>
              <w:jc w:val="center"/>
              <w:rPr>
                <w:rFonts w:ascii="宋体" w:hAnsi="宋体"/>
                <w:sz w:val="18"/>
                <w:szCs w:val="18"/>
              </w:rPr>
            </w:pPr>
            <w:r>
              <w:rPr>
                <w:rFonts w:ascii="宋体" w:hAnsi="宋体"/>
                <w:sz w:val="18"/>
                <w:szCs w:val="18"/>
              </w:rPr>
              <w:t>0-10</w:t>
            </w:r>
          </w:p>
        </w:tc>
      </w:tr>
    </w:tbl>
    <w:p>
      <w:pPr>
        <w:pStyle w:val="1288"/>
        <w:rPr>
          <w:rFonts w:ascii="宋体" w:hAnsi="宋体"/>
          <w:color w:val="auto"/>
        </w:rPr>
      </w:pPr>
      <w:bookmarkStart w:id="4501" w:name="_Toc133166275"/>
      <w:bookmarkStart w:id="4502" w:name="_Toc173907043"/>
      <w:bookmarkStart w:id="4503" w:name="_Toc174279656"/>
      <w:bookmarkStart w:id="4504" w:name="_Toc320555519"/>
      <w:r>
        <w:rPr>
          <w:rFonts w:hint="eastAsia" w:ascii="宋体" w:hAnsi="宋体"/>
          <w:color w:val="auto"/>
        </w:rPr>
        <w:t>4.6.5.8.3</w:t>
      </w:r>
      <w:r>
        <w:rPr>
          <w:rFonts w:ascii="宋体" w:hAnsi="宋体"/>
          <w:color w:val="auto"/>
        </w:rPr>
        <w:t xml:space="preserve"> 施工要求</w:t>
      </w:r>
      <w:bookmarkEnd w:id="4501"/>
      <w:bookmarkEnd w:id="4502"/>
      <w:bookmarkEnd w:id="4503"/>
      <w:bookmarkEnd w:id="4504"/>
    </w:p>
    <w:p>
      <w:pPr>
        <w:pStyle w:val="1280"/>
        <w:ind w:firstLine="440"/>
        <w:rPr>
          <w:rFonts w:ascii="宋体"/>
        </w:rPr>
      </w:pPr>
      <w:r>
        <w:rPr>
          <w:rFonts w:ascii="宋体"/>
        </w:rPr>
        <w:t>1、水泥稳定碎石</w:t>
      </w:r>
    </w:p>
    <w:p>
      <w:pPr>
        <w:pStyle w:val="1280"/>
        <w:ind w:firstLine="440"/>
        <w:rPr>
          <w:rFonts w:ascii="宋体"/>
        </w:rPr>
      </w:pPr>
      <w:r>
        <w:rPr>
          <w:rFonts w:hint="eastAsia" w:ascii="宋体"/>
        </w:rPr>
        <w:t>（1）</w:t>
      </w:r>
      <w:r>
        <w:rPr>
          <w:rFonts w:ascii="宋体"/>
        </w:rPr>
        <w:t>水泥稳定碎石应在料场集中拌和。</w:t>
      </w:r>
    </w:p>
    <w:p>
      <w:pPr>
        <w:pStyle w:val="1280"/>
        <w:ind w:firstLine="440"/>
        <w:rPr>
          <w:rFonts w:ascii="宋体"/>
        </w:rPr>
      </w:pPr>
      <w:r>
        <w:rPr>
          <w:rFonts w:hint="eastAsia" w:ascii="宋体"/>
        </w:rPr>
        <w:t>（2）</w:t>
      </w:r>
      <w:r>
        <w:rPr>
          <w:rFonts w:ascii="宋体"/>
        </w:rPr>
        <w:t>承包商应在项目监理批准的路基上摊铺水泥稳定碎石。未经项目监理批准而在其上摊铺的材料，应由承包商自费清除。</w:t>
      </w:r>
    </w:p>
    <w:p>
      <w:pPr>
        <w:pStyle w:val="1280"/>
        <w:ind w:firstLine="440"/>
        <w:rPr>
          <w:rFonts w:ascii="宋体"/>
        </w:rPr>
      </w:pPr>
      <w:r>
        <w:rPr>
          <w:rFonts w:hint="eastAsia" w:ascii="宋体"/>
        </w:rPr>
        <w:t>（3）</w:t>
      </w:r>
      <w:r>
        <w:rPr>
          <w:rFonts w:ascii="宋体"/>
        </w:rPr>
        <w:t>承包商应根据项目监理批准的试验路段的施工工艺、施工机械进行混合料的施工。</w:t>
      </w:r>
    </w:p>
    <w:p>
      <w:pPr>
        <w:pStyle w:val="1280"/>
        <w:ind w:firstLine="440"/>
        <w:rPr>
          <w:rFonts w:ascii="宋体"/>
        </w:rPr>
      </w:pPr>
      <w:r>
        <w:rPr>
          <w:rFonts w:hint="eastAsia" w:ascii="宋体"/>
        </w:rPr>
        <w:t>（4）</w:t>
      </w:r>
      <w:r>
        <w:rPr>
          <w:rFonts w:ascii="宋体"/>
        </w:rPr>
        <w:t>在任何情况下，拌和的水泥稳定碎石都应均匀，含水量适当，无粗细颗粒离析现象。</w:t>
      </w:r>
    </w:p>
    <w:p>
      <w:pPr>
        <w:pStyle w:val="1280"/>
        <w:ind w:firstLine="440"/>
        <w:rPr>
          <w:rFonts w:ascii="宋体"/>
        </w:rPr>
      </w:pPr>
      <w:r>
        <w:rPr>
          <w:rFonts w:hint="eastAsia" w:ascii="宋体"/>
        </w:rPr>
        <w:t>（5）</w:t>
      </w:r>
      <w:r>
        <w:rPr>
          <w:rFonts w:ascii="宋体"/>
        </w:rPr>
        <w:t>水泥稳定碎石应在最佳含水量时遵循先轻后重的原则进行碾压，并碾压至要求的压实度。</w:t>
      </w:r>
    </w:p>
    <w:p>
      <w:pPr>
        <w:pStyle w:val="1280"/>
        <w:ind w:firstLine="440"/>
        <w:rPr>
          <w:rFonts w:ascii="宋体"/>
        </w:rPr>
      </w:pPr>
      <w:r>
        <w:rPr>
          <w:rFonts w:hint="eastAsia" w:ascii="宋体"/>
        </w:rPr>
        <w:t>（6）</w:t>
      </w:r>
      <w:r>
        <w:rPr>
          <w:rFonts w:ascii="宋体"/>
        </w:rPr>
        <w:t>严禁压路机在已完成的或正在碾压的路段上调头和急刹车。</w:t>
      </w:r>
    </w:p>
    <w:p>
      <w:pPr>
        <w:pStyle w:val="1280"/>
        <w:ind w:firstLine="440"/>
        <w:rPr>
          <w:rFonts w:ascii="宋体"/>
        </w:rPr>
      </w:pPr>
      <w:r>
        <w:rPr>
          <w:rFonts w:ascii="宋体"/>
        </w:rPr>
        <w:t>（7）在已完成的底基层、基层上按表4-4-4要求进行取样试验，所有试验结果均应报项目监理审批，所发生的一切费用由承包商自理。</w:t>
      </w:r>
    </w:p>
    <w:p>
      <w:pPr>
        <w:adjustRightInd w:val="0"/>
        <w:snapToGrid w:val="0"/>
        <w:spacing w:line="360" w:lineRule="auto"/>
        <w:jc w:val="center"/>
        <w:rPr>
          <w:rFonts w:ascii="宋体" w:hAnsi="宋体"/>
          <w:sz w:val="18"/>
          <w:szCs w:val="18"/>
        </w:rPr>
      </w:pPr>
      <w:r>
        <w:rPr>
          <w:rFonts w:ascii="宋体" w:hAnsi="宋体"/>
          <w:sz w:val="18"/>
          <w:szCs w:val="18"/>
        </w:rPr>
        <w:t>表4-4-4</w:t>
      </w:r>
      <w:r>
        <w:rPr>
          <w:rFonts w:hint="eastAsia" w:ascii="宋体" w:hAnsi="宋体"/>
        </w:rPr>
        <w:t xml:space="preserve"> </w:t>
      </w:r>
      <w:r>
        <w:rPr>
          <w:rFonts w:ascii="宋体" w:hAnsi="宋体"/>
          <w:sz w:val="18"/>
          <w:szCs w:val="18"/>
        </w:rPr>
        <w:t xml:space="preserve">水泥稳定碎石试验项目与频度            </w:t>
      </w:r>
      <w:r>
        <w:rPr>
          <w:rFonts w:hint="eastAsia" w:ascii="宋体" w:hAnsi="宋体"/>
          <w:sz w:val="18"/>
          <w:szCs w:val="18"/>
        </w:rPr>
        <w:t xml:space="preserve">    </w:t>
      </w:r>
      <w:r>
        <w:rPr>
          <w:rFonts w:ascii="宋体" w:hAnsi="宋体"/>
          <w:sz w:val="18"/>
          <w:szCs w:val="18"/>
        </w:rPr>
        <w:t xml:space="preserve">          </w:t>
      </w:r>
    </w:p>
    <w:tbl>
      <w:tblPr>
        <w:tblStyle w:val="77"/>
        <w:tblW w:w="81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031"/>
        <w:gridCol w:w="4234"/>
        <w:gridCol w:w="289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1031" w:type="dxa"/>
            <w:tcBorders>
              <w:top w:val="single" w:color="auto" w:sz="8"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项  目</w:t>
            </w:r>
          </w:p>
        </w:tc>
        <w:tc>
          <w:tcPr>
            <w:tcW w:w="4234" w:type="dxa"/>
            <w:tcBorders>
              <w:top w:val="single" w:color="auto" w:sz="8"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频度</w:t>
            </w:r>
          </w:p>
        </w:tc>
        <w:tc>
          <w:tcPr>
            <w:tcW w:w="2897" w:type="dxa"/>
            <w:tcBorders>
              <w:top w:val="single" w:color="auto" w:sz="8"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质量标准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1031"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级配</w:t>
            </w:r>
          </w:p>
        </w:tc>
        <w:tc>
          <w:tcPr>
            <w:tcW w:w="42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每2000m</w:t>
            </w:r>
            <w:r>
              <w:rPr>
                <w:rFonts w:ascii="宋体" w:hAnsi="宋体"/>
                <w:sz w:val="18"/>
                <w:szCs w:val="18"/>
                <w:vertAlign w:val="superscript"/>
              </w:rPr>
              <w:t xml:space="preserve">2  </w:t>
            </w:r>
            <w:r>
              <w:rPr>
                <w:rFonts w:ascii="宋体" w:hAnsi="宋体"/>
                <w:sz w:val="18"/>
                <w:szCs w:val="18"/>
              </w:rPr>
              <w:t>1次</w:t>
            </w:r>
          </w:p>
        </w:tc>
        <w:tc>
          <w:tcPr>
            <w:tcW w:w="2897"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在规定范围内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1031"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均匀性</w:t>
            </w:r>
          </w:p>
        </w:tc>
        <w:tc>
          <w:tcPr>
            <w:tcW w:w="42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随时观察</w:t>
            </w:r>
          </w:p>
        </w:tc>
        <w:tc>
          <w:tcPr>
            <w:tcW w:w="2897"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无粗细集料离析现象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1031"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压实度</w:t>
            </w:r>
          </w:p>
        </w:tc>
        <w:tc>
          <w:tcPr>
            <w:tcW w:w="42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每一作业段或不超过2000m</w:t>
            </w:r>
            <w:r>
              <w:rPr>
                <w:rFonts w:ascii="宋体" w:hAnsi="宋体"/>
                <w:sz w:val="18"/>
                <w:szCs w:val="18"/>
                <w:vertAlign w:val="superscript"/>
              </w:rPr>
              <w:t>2</w:t>
            </w:r>
            <w:r>
              <w:rPr>
                <w:rFonts w:ascii="宋体" w:hAnsi="宋体"/>
                <w:sz w:val="18"/>
                <w:szCs w:val="18"/>
              </w:rPr>
              <w:t>检查6次以上</w:t>
            </w:r>
          </w:p>
        </w:tc>
        <w:tc>
          <w:tcPr>
            <w:tcW w:w="2897"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级配集料基层和中间层97％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1031"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塑性指数</w:t>
            </w:r>
          </w:p>
        </w:tc>
        <w:tc>
          <w:tcPr>
            <w:tcW w:w="42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每1000m</w:t>
            </w:r>
            <w:r>
              <w:rPr>
                <w:rFonts w:ascii="宋体" w:hAnsi="宋体"/>
                <w:sz w:val="18"/>
                <w:szCs w:val="18"/>
                <w:vertAlign w:val="superscript"/>
              </w:rPr>
              <w:t>2</w:t>
            </w:r>
            <w:r>
              <w:rPr>
                <w:rFonts w:ascii="宋体" w:hAnsi="宋体"/>
                <w:sz w:val="18"/>
                <w:szCs w:val="18"/>
              </w:rPr>
              <w:t xml:space="preserve"> 1次，异常时随时试验</w:t>
            </w:r>
          </w:p>
        </w:tc>
        <w:tc>
          <w:tcPr>
            <w:tcW w:w="2897"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小于规定值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1031"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集料压碎值</w:t>
            </w:r>
          </w:p>
        </w:tc>
        <w:tc>
          <w:tcPr>
            <w:tcW w:w="42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据观察，异常时随时试验</w:t>
            </w:r>
          </w:p>
        </w:tc>
        <w:tc>
          <w:tcPr>
            <w:tcW w:w="2897"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不超过规定值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1031"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承载比</w:t>
            </w:r>
          </w:p>
        </w:tc>
        <w:tc>
          <w:tcPr>
            <w:tcW w:w="42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每3000m</w:t>
            </w:r>
            <w:r>
              <w:rPr>
                <w:rFonts w:ascii="宋体" w:hAnsi="宋体"/>
                <w:sz w:val="18"/>
                <w:szCs w:val="18"/>
                <w:vertAlign w:val="superscript"/>
              </w:rPr>
              <w:t xml:space="preserve">2  </w:t>
            </w:r>
            <w:r>
              <w:rPr>
                <w:rFonts w:ascii="宋体" w:hAnsi="宋体"/>
                <w:sz w:val="18"/>
                <w:szCs w:val="18"/>
              </w:rPr>
              <w:t>1次，据观察，异常时随时增加试验</w:t>
            </w:r>
          </w:p>
        </w:tc>
        <w:tc>
          <w:tcPr>
            <w:tcW w:w="2897"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不小于规定值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1031"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弯沉值检验</w:t>
            </w:r>
          </w:p>
        </w:tc>
        <w:tc>
          <w:tcPr>
            <w:tcW w:w="42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每一评定段（不超过1km）第一线车道40～50个测点</w:t>
            </w:r>
          </w:p>
        </w:tc>
        <w:tc>
          <w:tcPr>
            <w:tcW w:w="2897"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95％或97.7％概率的上波动界限</w:t>
            </w:r>
          </w:p>
          <w:p>
            <w:pPr>
              <w:jc w:val="center"/>
              <w:rPr>
                <w:rFonts w:ascii="宋体" w:hAnsi="宋体"/>
                <w:sz w:val="18"/>
                <w:szCs w:val="18"/>
              </w:rPr>
            </w:pPr>
            <w:r>
              <w:rPr>
                <w:rFonts w:ascii="宋体" w:hAnsi="宋体"/>
                <w:sz w:val="18"/>
                <w:szCs w:val="18"/>
              </w:rPr>
              <w:t>不大于计算的容许值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1031" w:type="dxa"/>
            <w:tcBorders>
              <w:top w:val="single" w:color="auto" w:sz="4" w:space="0"/>
              <w:left w:val="single" w:color="auto" w:sz="8" w:space="0"/>
              <w:bottom w:val="single" w:color="auto" w:sz="8" w:space="0"/>
              <w:right w:val="single" w:color="auto" w:sz="4" w:space="0"/>
            </w:tcBorders>
            <w:vAlign w:val="center"/>
          </w:tcPr>
          <w:p>
            <w:pPr>
              <w:jc w:val="center"/>
              <w:rPr>
                <w:rFonts w:ascii="宋体" w:hAnsi="宋体"/>
                <w:sz w:val="18"/>
                <w:szCs w:val="18"/>
              </w:rPr>
            </w:pPr>
            <w:r>
              <w:rPr>
                <w:rFonts w:ascii="宋体" w:hAnsi="宋体"/>
                <w:sz w:val="18"/>
                <w:szCs w:val="18"/>
              </w:rPr>
              <w:t>含水量</w:t>
            </w:r>
          </w:p>
        </w:tc>
        <w:tc>
          <w:tcPr>
            <w:tcW w:w="4234" w:type="dxa"/>
            <w:tcBorders>
              <w:top w:val="single" w:color="auto" w:sz="4" w:space="0"/>
              <w:left w:val="single" w:color="auto" w:sz="4" w:space="0"/>
              <w:bottom w:val="single" w:color="auto" w:sz="8" w:space="0"/>
              <w:right w:val="single" w:color="auto" w:sz="4" w:space="0"/>
            </w:tcBorders>
            <w:vAlign w:val="center"/>
          </w:tcPr>
          <w:p>
            <w:pPr>
              <w:jc w:val="center"/>
              <w:rPr>
                <w:rFonts w:ascii="宋体" w:hAnsi="宋体"/>
                <w:sz w:val="18"/>
                <w:szCs w:val="18"/>
              </w:rPr>
            </w:pPr>
            <w:r>
              <w:rPr>
                <w:rFonts w:ascii="宋体" w:hAnsi="宋体"/>
                <w:sz w:val="18"/>
                <w:szCs w:val="18"/>
              </w:rPr>
              <w:t>据观察，异常时随时试验</w:t>
            </w:r>
          </w:p>
        </w:tc>
        <w:tc>
          <w:tcPr>
            <w:tcW w:w="2897" w:type="dxa"/>
            <w:tcBorders>
              <w:top w:val="single" w:color="auto" w:sz="4" w:space="0"/>
              <w:left w:val="single" w:color="auto" w:sz="4" w:space="0"/>
              <w:bottom w:val="single" w:color="auto" w:sz="8" w:space="0"/>
              <w:right w:val="single" w:color="auto" w:sz="8" w:space="0"/>
            </w:tcBorders>
            <w:vAlign w:val="center"/>
          </w:tcPr>
          <w:p>
            <w:pPr>
              <w:jc w:val="center"/>
              <w:rPr>
                <w:rFonts w:ascii="宋体" w:hAnsi="宋体"/>
                <w:sz w:val="18"/>
                <w:szCs w:val="18"/>
              </w:rPr>
            </w:pPr>
            <w:r>
              <w:rPr>
                <w:rFonts w:ascii="宋体" w:hAnsi="宋体"/>
                <w:sz w:val="18"/>
                <w:szCs w:val="18"/>
              </w:rPr>
              <w:t>最佳含水量(-1％～+2％)</w:t>
            </w:r>
          </w:p>
        </w:tc>
      </w:tr>
    </w:tbl>
    <w:p>
      <w:pPr>
        <w:pStyle w:val="1280"/>
        <w:ind w:firstLine="440"/>
        <w:rPr>
          <w:rFonts w:ascii="宋体"/>
        </w:rPr>
      </w:pPr>
      <w:bookmarkStart w:id="4505" w:name="_Toc174279657"/>
      <w:bookmarkStart w:id="4506" w:name="_Toc133166276"/>
      <w:bookmarkStart w:id="4507" w:name="_Toc173907044"/>
      <w:r>
        <w:rPr>
          <w:rFonts w:ascii="宋体"/>
        </w:rPr>
        <w:t>2、级配碎石垫层</w:t>
      </w:r>
    </w:p>
    <w:p>
      <w:pPr>
        <w:pStyle w:val="1280"/>
        <w:ind w:firstLine="440"/>
        <w:rPr>
          <w:rFonts w:ascii="宋体"/>
        </w:rPr>
      </w:pPr>
      <w:r>
        <w:rPr>
          <w:rFonts w:hint="eastAsia" w:ascii="宋体"/>
        </w:rPr>
        <w:t>（1）</w:t>
      </w:r>
      <w:r>
        <w:rPr>
          <w:rFonts w:ascii="宋体"/>
        </w:rPr>
        <w:t>级配碎</w:t>
      </w:r>
      <w:r>
        <w:rPr>
          <w:rFonts w:hint="eastAsia" w:ascii="宋体"/>
        </w:rPr>
        <w:t>（</w:t>
      </w:r>
      <w:r>
        <w:rPr>
          <w:rFonts w:ascii="宋体"/>
        </w:rPr>
        <w:t>砾</w:t>
      </w:r>
      <w:r>
        <w:rPr>
          <w:rFonts w:hint="eastAsia" w:ascii="宋体"/>
        </w:rPr>
        <w:t>）</w:t>
      </w:r>
      <w:r>
        <w:rPr>
          <w:rFonts w:ascii="宋体"/>
        </w:rPr>
        <w:t>石混合料应在料场集中拌和。</w:t>
      </w:r>
    </w:p>
    <w:p>
      <w:pPr>
        <w:pStyle w:val="1280"/>
        <w:ind w:firstLine="440"/>
        <w:rPr>
          <w:rFonts w:ascii="宋体"/>
        </w:rPr>
      </w:pPr>
      <w:r>
        <w:rPr>
          <w:rFonts w:hint="eastAsia" w:ascii="宋体"/>
        </w:rPr>
        <w:t>（2）</w:t>
      </w:r>
      <w:r>
        <w:rPr>
          <w:rFonts w:ascii="宋体"/>
        </w:rPr>
        <w:t>承包商应在项目监理批准的路基上摊铺级配碎</w:t>
      </w:r>
      <w:r>
        <w:rPr>
          <w:rFonts w:hint="eastAsia" w:ascii="宋体"/>
        </w:rPr>
        <w:t>（</w:t>
      </w:r>
      <w:r>
        <w:rPr>
          <w:rFonts w:ascii="宋体"/>
        </w:rPr>
        <w:t>砾</w:t>
      </w:r>
      <w:r>
        <w:rPr>
          <w:rFonts w:hint="eastAsia" w:ascii="宋体"/>
        </w:rPr>
        <w:t>）</w:t>
      </w:r>
      <w:r>
        <w:rPr>
          <w:rFonts w:ascii="宋体"/>
        </w:rPr>
        <w:t>石混合料。未经项目监理批准而在其上摊铺的材料，应由承包商自费清除。</w:t>
      </w:r>
    </w:p>
    <w:p>
      <w:pPr>
        <w:pStyle w:val="1280"/>
        <w:ind w:firstLine="440"/>
        <w:rPr>
          <w:rFonts w:ascii="宋体"/>
        </w:rPr>
      </w:pPr>
      <w:r>
        <w:rPr>
          <w:rFonts w:hint="eastAsia" w:ascii="宋体"/>
        </w:rPr>
        <w:t>（3）</w:t>
      </w:r>
      <w:r>
        <w:rPr>
          <w:rFonts w:ascii="宋体"/>
        </w:rPr>
        <w:t>承包商应根据项目监理批准的试验路段的施工工艺、施工机械进行混合料的施工。</w:t>
      </w:r>
    </w:p>
    <w:p>
      <w:pPr>
        <w:pStyle w:val="1280"/>
        <w:ind w:firstLine="440"/>
        <w:rPr>
          <w:rFonts w:ascii="宋体"/>
        </w:rPr>
      </w:pPr>
      <w:r>
        <w:rPr>
          <w:rFonts w:hint="eastAsia" w:ascii="宋体"/>
        </w:rPr>
        <w:t>（4）</w:t>
      </w:r>
      <w:r>
        <w:rPr>
          <w:rFonts w:ascii="宋体"/>
        </w:rPr>
        <w:t>在任何情况下，拌和的混合料都应均匀，含水率适当，无粗细颗粒离析现象。</w:t>
      </w:r>
    </w:p>
    <w:p>
      <w:pPr>
        <w:pStyle w:val="1280"/>
        <w:ind w:firstLine="440"/>
        <w:rPr>
          <w:rFonts w:ascii="宋体"/>
        </w:rPr>
      </w:pPr>
      <w:r>
        <w:rPr>
          <w:rFonts w:hint="eastAsia" w:ascii="宋体"/>
        </w:rPr>
        <w:t>（5）</w:t>
      </w:r>
      <w:r>
        <w:rPr>
          <w:rFonts w:ascii="宋体"/>
        </w:rPr>
        <w:t>级配碎</w:t>
      </w:r>
      <w:r>
        <w:rPr>
          <w:rFonts w:hint="eastAsia" w:ascii="宋体"/>
        </w:rPr>
        <w:t>（</w:t>
      </w:r>
      <w:r>
        <w:rPr>
          <w:rFonts w:ascii="宋体"/>
        </w:rPr>
        <w:t>砾</w:t>
      </w:r>
      <w:r>
        <w:rPr>
          <w:rFonts w:hint="eastAsia" w:ascii="宋体"/>
        </w:rPr>
        <w:t>）</w:t>
      </w:r>
      <w:r>
        <w:rPr>
          <w:rFonts w:ascii="宋体"/>
        </w:rPr>
        <w:t>石应在最佳含水率时遵循先轻后重的原则进行碾压，并碾压至要求的压实度。</w:t>
      </w:r>
    </w:p>
    <w:p>
      <w:pPr>
        <w:pStyle w:val="1280"/>
        <w:ind w:firstLine="440"/>
        <w:rPr>
          <w:rFonts w:ascii="宋体"/>
        </w:rPr>
      </w:pPr>
      <w:r>
        <w:rPr>
          <w:rFonts w:hint="eastAsia" w:ascii="宋体"/>
        </w:rPr>
        <w:t>（6）</w:t>
      </w:r>
      <w:r>
        <w:rPr>
          <w:rFonts w:ascii="宋体"/>
        </w:rPr>
        <w:t>严禁压路机在已完成的或正在碾压的路段上掉头或紧急制动。</w:t>
      </w:r>
    </w:p>
    <w:p>
      <w:pPr>
        <w:pStyle w:val="1280"/>
        <w:ind w:firstLine="440"/>
        <w:rPr>
          <w:rFonts w:ascii="宋体"/>
        </w:rPr>
      </w:pPr>
      <w:r>
        <w:rPr>
          <w:rFonts w:hint="eastAsia" w:ascii="宋体"/>
        </w:rPr>
        <w:t>（7）</w:t>
      </w:r>
      <w:r>
        <w:rPr>
          <w:rFonts w:ascii="宋体"/>
        </w:rPr>
        <w:t>在已完成的底基层、基层上按表4-4-5要求进行取样试验，所有试验结果均应报项目监理审批，所发生的一切费用由承包商自理。</w:t>
      </w:r>
    </w:p>
    <w:p>
      <w:pPr>
        <w:pStyle w:val="1280"/>
        <w:ind w:firstLine="440"/>
        <w:rPr>
          <w:rFonts w:ascii="宋体"/>
        </w:rPr>
      </w:pPr>
      <w:r>
        <w:rPr>
          <w:rFonts w:hint="eastAsia" w:ascii="宋体"/>
        </w:rPr>
        <w:t>（8）</w:t>
      </w:r>
      <w:r>
        <w:rPr>
          <w:rFonts w:ascii="宋体"/>
        </w:rPr>
        <w:t>碎石层在最佳含水率时进行碾压，按重型击实试验法确定的压实度，底基层达到96％以上，基层达到98％以上。</w:t>
      </w:r>
    </w:p>
    <w:p>
      <w:pPr>
        <w:adjustRightInd w:val="0"/>
        <w:snapToGrid w:val="0"/>
        <w:spacing w:line="360" w:lineRule="auto"/>
        <w:jc w:val="center"/>
        <w:rPr>
          <w:rFonts w:ascii="宋体" w:hAnsi="宋体"/>
          <w:sz w:val="18"/>
          <w:szCs w:val="18"/>
        </w:rPr>
      </w:pPr>
      <w:r>
        <w:rPr>
          <w:rFonts w:hint="eastAsia" w:ascii="宋体" w:hAnsi="宋体"/>
          <w:sz w:val="18"/>
          <w:szCs w:val="18"/>
        </w:rPr>
        <w:t>表</w:t>
      </w:r>
      <w:r>
        <w:rPr>
          <w:rFonts w:ascii="宋体" w:hAnsi="宋体"/>
          <w:sz w:val="18"/>
          <w:szCs w:val="18"/>
        </w:rPr>
        <w:t>4-4-5 级配碎</w:t>
      </w:r>
      <w:r>
        <w:rPr>
          <w:rFonts w:hint="eastAsia" w:ascii="宋体" w:hAnsi="宋体"/>
          <w:sz w:val="18"/>
          <w:szCs w:val="18"/>
        </w:rPr>
        <w:t>（</w:t>
      </w:r>
      <w:r>
        <w:rPr>
          <w:rFonts w:ascii="宋体" w:hAnsi="宋体"/>
          <w:sz w:val="18"/>
          <w:szCs w:val="18"/>
        </w:rPr>
        <w:t>砾</w:t>
      </w:r>
      <w:r>
        <w:rPr>
          <w:rFonts w:hint="eastAsia" w:ascii="宋体" w:hAnsi="宋体"/>
          <w:sz w:val="18"/>
          <w:szCs w:val="18"/>
        </w:rPr>
        <w:t>）</w:t>
      </w:r>
      <w:r>
        <w:rPr>
          <w:rFonts w:ascii="宋体" w:hAnsi="宋体"/>
          <w:sz w:val="18"/>
          <w:szCs w:val="18"/>
        </w:rPr>
        <w:t xml:space="preserve">石试验项目与频度     </w:t>
      </w:r>
      <w:r>
        <w:rPr>
          <w:rFonts w:hint="eastAsia" w:ascii="宋体" w:hAnsi="宋体"/>
          <w:sz w:val="18"/>
          <w:szCs w:val="18"/>
        </w:rPr>
        <w:t xml:space="preserve">            </w:t>
      </w:r>
      <w:r>
        <w:rPr>
          <w:rFonts w:ascii="宋体" w:hAnsi="宋体"/>
          <w:sz w:val="18"/>
          <w:szCs w:val="18"/>
        </w:rPr>
        <w:t xml:space="preserve">        </w:t>
      </w:r>
    </w:p>
    <w:tbl>
      <w:tblPr>
        <w:tblStyle w:val="77"/>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4394"/>
        <w:gridCol w:w="3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项目</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频度</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质量标准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级配</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每2000</w:t>
            </w:r>
            <w:r>
              <w:rPr>
                <w:rFonts w:hint="eastAsia" w:ascii="宋体" w:hAnsi="宋体"/>
                <w:sz w:val="18"/>
                <w:szCs w:val="18"/>
              </w:rPr>
              <w:t>m</w:t>
            </w:r>
            <w:r>
              <w:rPr>
                <w:rFonts w:hint="eastAsia" w:ascii="宋体" w:hAnsi="宋体"/>
                <w:sz w:val="18"/>
                <w:szCs w:val="18"/>
                <w:vertAlign w:val="superscript"/>
              </w:rPr>
              <w:t>2</w:t>
            </w:r>
            <w:r>
              <w:rPr>
                <w:rFonts w:hint="eastAsia" w:ascii="宋体" w:hAnsi="宋体"/>
                <w:sz w:val="18"/>
                <w:szCs w:val="18"/>
              </w:rPr>
              <w:t xml:space="preserve">  </w:t>
            </w:r>
            <w:r>
              <w:rPr>
                <w:rFonts w:ascii="宋体" w:hAnsi="宋体"/>
                <w:sz w:val="18"/>
                <w:szCs w:val="18"/>
              </w:rPr>
              <w:t>1次</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在规定范围内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均匀性</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随时观察</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无粗细集料离析现象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exact"/>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压实度</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每一作业段或不超过2000</w:t>
            </w:r>
            <w:r>
              <w:rPr>
                <w:rFonts w:hint="eastAsia" w:ascii="宋体" w:hAnsi="宋体"/>
                <w:sz w:val="18"/>
                <w:szCs w:val="18"/>
              </w:rPr>
              <w:t>m</w:t>
            </w:r>
            <w:r>
              <w:rPr>
                <w:rFonts w:hint="eastAsia" w:ascii="宋体" w:hAnsi="宋体"/>
                <w:sz w:val="18"/>
                <w:szCs w:val="18"/>
                <w:vertAlign w:val="superscript"/>
              </w:rPr>
              <w:t>2</w:t>
            </w:r>
            <w:r>
              <w:rPr>
                <w:rFonts w:ascii="宋体" w:hAnsi="宋体"/>
                <w:sz w:val="18"/>
                <w:szCs w:val="18"/>
              </w:rPr>
              <w:t>检查6次以上</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级配集料基层和中间层98%，</w:t>
            </w:r>
          </w:p>
          <w:p>
            <w:pPr>
              <w:jc w:val="center"/>
              <w:rPr>
                <w:rFonts w:ascii="宋体" w:hAnsi="宋体"/>
                <w:sz w:val="18"/>
                <w:szCs w:val="18"/>
              </w:rPr>
            </w:pPr>
            <w:r>
              <w:rPr>
                <w:rFonts w:ascii="宋体" w:hAnsi="宋体"/>
                <w:sz w:val="18"/>
                <w:szCs w:val="18"/>
              </w:rPr>
              <w:t>填隙碎石因体体积率85%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塑性指数</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每1000m</w:t>
            </w:r>
            <w:r>
              <w:rPr>
                <w:rFonts w:ascii="宋体" w:hAnsi="宋体"/>
                <w:sz w:val="18"/>
                <w:szCs w:val="18"/>
                <w:vertAlign w:val="superscript"/>
              </w:rPr>
              <w:t>2</w:t>
            </w:r>
            <w:r>
              <w:rPr>
                <w:rFonts w:hint="eastAsia" w:ascii="宋体" w:hAnsi="宋体"/>
                <w:sz w:val="18"/>
                <w:szCs w:val="18"/>
              </w:rPr>
              <w:t xml:space="preserve">  </w:t>
            </w:r>
            <w:r>
              <w:rPr>
                <w:rFonts w:ascii="宋体" w:hAnsi="宋体"/>
                <w:sz w:val="18"/>
                <w:szCs w:val="18"/>
              </w:rPr>
              <w:t>1次，异常时随时试验</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小于规定值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集料压碎值</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据观察，异常时随时试验</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不超过规定值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承载比</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每3000m</w:t>
            </w:r>
            <w:r>
              <w:rPr>
                <w:rFonts w:ascii="宋体" w:hAnsi="宋体"/>
                <w:sz w:val="18"/>
                <w:szCs w:val="18"/>
                <w:vertAlign w:val="superscript"/>
              </w:rPr>
              <w:t>2</w:t>
            </w:r>
            <w:r>
              <w:rPr>
                <w:rFonts w:hint="eastAsia" w:ascii="宋体" w:hAnsi="宋体"/>
                <w:sz w:val="18"/>
                <w:szCs w:val="18"/>
              </w:rPr>
              <w:t xml:space="preserve"> </w:t>
            </w:r>
            <w:r>
              <w:rPr>
                <w:rFonts w:ascii="宋体" w:hAnsi="宋体"/>
                <w:sz w:val="18"/>
                <w:szCs w:val="18"/>
              </w:rPr>
              <w:t>1次</w:t>
            </w:r>
            <w:r>
              <w:rPr>
                <w:rFonts w:hint="eastAsia" w:ascii="宋体" w:hAnsi="宋体"/>
                <w:sz w:val="18"/>
                <w:szCs w:val="18"/>
              </w:rPr>
              <w:t>，</w:t>
            </w:r>
            <w:r>
              <w:rPr>
                <w:rFonts w:ascii="宋体" w:hAnsi="宋体"/>
                <w:sz w:val="18"/>
                <w:szCs w:val="18"/>
              </w:rPr>
              <w:t>据观察，异常时随时增加试验</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不小于规定值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湾沉值检验</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每一评定段</w:t>
            </w:r>
            <w:r>
              <w:rPr>
                <w:rFonts w:hint="eastAsia" w:ascii="宋体" w:hAnsi="宋体"/>
                <w:sz w:val="18"/>
                <w:szCs w:val="18"/>
              </w:rPr>
              <w:t>（</w:t>
            </w:r>
            <w:r>
              <w:rPr>
                <w:rFonts w:ascii="宋体" w:hAnsi="宋体"/>
                <w:sz w:val="18"/>
                <w:szCs w:val="18"/>
              </w:rPr>
              <w:t>不超过1km</w:t>
            </w:r>
            <w:r>
              <w:rPr>
                <w:rFonts w:hint="eastAsia" w:ascii="宋体" w:hAnsi="宋体"/>
                <w:sz w:val="18"/>
                <w:szCs w:val="18"/>
              </w:rPr>
              <w:t>）</w:t>
            </w:r>
            <w:r>
              <w:rPr>
                <w:rFonts w:ascii="宋体" w:hAnsi="宋体"/>
                <w:sz w:val="18"/>
                <w:szCs w:val="18"/>
              </w:rPr>
              <w:t>第一线车道40～50个测点</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95%或97.7%概率的上波动界限</w:t>
            </w:r>
          </w:p>
          <w:p>
            <w:pPr>
              <w:jc w:val="center"/>
              <w:rPr>
                <w:rFonts w:ascii="宋体" w:hAnsi="宋体"/>
                <w:sz w:val="18"/>
                <w:szCs w:val="18"/>
              </w:rPr>
            </w:pPr>
            <w:r>
              <w:rPr>
                <w:rFonts w:ascii="宋体" w:hAnsi="宋体"/>
                <w:sz w:val="18"/>
                <w:szCs w:val="18"/>
              </w:rPr>
              <w:t>不大于计算的容许值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68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含水量</w:t>
            </w:r>
          </w:p>
        </w:tc>
        <w:tc>
          <w:tcPr>
            <w:tcW w:w="255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据观察，异常时随时试验</w:t>
            </w:r>
          </w:p>
        </w:tc>
        <w:tc>
          <w:tcPr>
            <w:tcW w:w="175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最佳含水率-1%～+2%</w:t>
            </w:r>
          </w:p>
        </w:tc>
      </w:tr>
    </w:tbl>
    <w:p>
      <w:pPr>
        <w:pStyle w:val="1288"/>
        <w:rPr>
          <w:rFonts w:ascii="宋体" w:hAnsi="宋体"/>
          <w:color w:val="auto"/>
        </w:rPr>
      </w:pPr>
      <w:bookmarkStart w:id="4508" w:name="_Toc320555520"/>
      <w:r>
        <w:rPr>
          <w:rFonts w:hint="eastAsia" w:ascii="宋体" w:hAnsi="宋体"/>
          <w:color w:val="auto"/>
        </w:rPr>
        <w:t>4.6.5.8.4</w:t>
      </w:r>
      <w:r>
        <w:rPr>
          <w:rFonts w:ascii="宋体" w:hAnsi="宋体"/>
          <w:color w:val="auto"/>
        </w:rPr>
        <w:t xml:space="preserve"> 质量检验</w:t>
      </w:r>
      <w:bookmarkEnd w:id="4505"/>
      <w:bookmarkEnd w:id="4506"/>
      <w:bookmarkEnd w:id="4507"/>
      <w:bookmarkEnd w:id="4508"/>
    </w:p>
    <w:p>
      <w:pPr>
        <w:pStyle w:val="1280"/>
        <w:ind w:firstLine="440"/>
        <w:rPr>
          <w:rFonts w:ascii="宋体"/>
        </w:rPr>
      </w:pPr>
      <w:r>
        <w:rPr>
          <w:rFonts w:ascii="宋体"/>
        </w:rPr>
        <w:t>1、基本要求</w:t>
      </w:r>
    </w:p>
    <w:p>
      <w:pPr>
        <w:pStyle w:val="1280"/>
        <w:ind w:firstLine="440"/>
        <w:rPr>
          <w:rFonts w:ascii="宋体"/>
        </w:rPr>
      </w:pPr>
      <w:r>
        <w:rPr>
          <w:rFonts w:hint="eastAsia" w:ascii="宋体"/>
        </w:rPr>
        <w:t>（1）</w:t>
      </w:r>
      <w:r>
        <w:rPr>
          <w:rFonts w:ascii="宋体"/>
        </w:rPr>
        <w:t>石料质地坚韧、无杂质，颗粒级配符合要求。</w:t>
      </w:r>
    </w:p>
    <w:p>
      <w:pPr>
        <w:pStyle w:val="1280"/>
        <w:ind w:firstLine="440"/>
        <w:rPr>
          <w:rFonts w:ascii="宋体"/>
        </w:rPr>
      </w:pPr>
      <w:r>
        <w:rPr>
          <w:rFonts w:hint="eastAsia" w:ascii="宋体"/>
        </w:rPr>
        <w:t>（2）</w:t>
      </w:r>
      <w:r>
        <w:rPr>
          <w:rFonts w:ascii="宋体"/>
        </w:rPr>
        <w:t>配料必须准确，塑性指数应符合规定。</w:t>
      </w:r>
    </w:p>
    <w:p>
      <w:pPr>
        <w:pStyle w:val="1280"/>
        <w:ind w:firstLine="440"/>
        <w:rPr>
          <w:rFonts w:ascii="宋体"/>
        </w:rPr>
      </w:pPr>
      <w:r>
        <w:rPr>
          <w:rFonts w:hint="eastAsia" w:ascii="宋体"/>
        </w:rPr>
        <w:t>（3）</w:t>
      </w:r>
      <w:r>
        <w:rPr>
          <w:rFonts w:ascii="宋体"/>
        </w:rPr>
        <w:t>混合料拌和均匀，无粗细颗粒离析现象。</w:t>
      </w:r>
    </w:p>
    <w:p>
      <w:pPr>
        <w:pStyle w:val="1280"/>
        <w:ind w:firstLine="440"/>
        <w:rPr>
          <w:rFonts w:ascii="宋体"/>
        </w:rPr>
      </w:pPr>
      <w:r>
        <w:rPr>
          <w:rFonts w:hint="eastAsia" w:ascii="宋体"/>
        </w:rPr>
        <w:t>（4）</w:t>
      </w:r>
      <w:r>
        <w:rPr>
          <w:rFonts w:ascii="宋体"/>
        </w:rPr>
        <w:t>碾压达到要求的密实度。</w:t>
      </w:r>
    </w:p>
    <w:p>
      <w:pPr>
        <w:pStyle w:val="1280"/>
        <w:ind w:firstLine="440"/>
        <w:rPr>
          <w:rFonts w:ascii="宋体"/>
        </w:rPr>
      </w:pPr>
      <w:r>
        <w:rPr>
          <w:rFonts w:ascii="宋体"/>
        </w:rPr>
        <w:t>2、检查项目</w:t>
      </w:r>
    </w:p>
    <w:p>
      <w:pPr>
        <w:pStyle w:val="1280"/>
        <w:ind w:firstLine="440"/>
        <w:rPr>
          <w:rFonts w:ascii="宋体"/>
        </w:rPr>
      </w:pPr>
      <w:r>
        <w:rPr>
          <w:rFonts w:ascii="宋体"/>
        </w:rPr>
        <w:t>水泥稳定碎石底基层和基层、级配碎石垫层检查项目及检验标准见表4-4-6和4-4-7。</w:t>
      </w:r>
    </w:p>
    <w:p>
      <w:pPr>
        <w:pStyle w:val="1280"/>
        <w:ind w:firstLine="440"/>
        <w:rPr>
          <w:rFonts w:ascii="宋体"/>
        </w:rPr>
      </w:pPr>
      <w:r>
        <w:rPr>
          <w:rFonts w:ascii="宋体"/>
        </w:rPr>
        <w:t>3、外观鉴定</w:t>
      </w:r>
    </w:p>
    <w:p>
      <w:pPr>
        <w:pStyle w:val="1280"/>
        <w:ind w:firstLine="440"/>
        <w:rPr>
          <w:rFonts w:ascii="宋体"/>
        </w:rPr>
      </w:pPr>
      <w:r>
        <w:rPr>
          <w:rFonts w:ascii="宋体"/>
        </w:rPr>
        <w:t>表面平整密实，边线整齐，无松散现象。</w:t>
      </w:r>
    </w:p>
    <w:p>
      <w:pPr>
        <w:adjustRightInd w:val="0"/>
        <w:snapToGrid w:val="0"/>
        <w:spacing w:line="360" w:lineRule="auto"/>
        <w:jc w:val="center"/>
        <w:rPr>
          <w:rFonts w:ascii="宋体" w:hAnsi="宋体"/>
          <w:sz w:val="18"/>
          <w:szCs w:val="18"/>
        </w:rPr>
      </w:pPr>
      <w:r>
        <w:rPr>
          <w:rFonts w:hint="eastAsia" w:ascii="宋体" w:hAnsi="宋体"/>
          <w:sz w:val="18"/>
          <w:szCs w:val="18"/>
        </w:rPr>
        <w:t>表</w:t>
      </w:r>
      <w:r>
        <w:rPr>
          <w:rFonts w:ascii="宋体" w:hAnsi="宋体"/>
          <w:sz w:val="18"/>
          <w:szCs w:val="18"/>
        </w:rPr>
        <w:t>4-4-6 水泥稳定碎石底基层、基层检查项目</w:t>
      </w:r>
      <w:r>
        <w:rPr>
          <w:rFonts w:ascii="宋体" w:hAnsi="宋体"/>
          <w:sz w:val="18"/>
          <w:szCs w:val="18"/>
        </w:rPr>
        <w:tab/>
      </w:r>
      <w:r>
        <w:rPr>
          <w:rFonts w:ascii="宋体" w:hAnsi="宋体"/>
          <w:sz w:val="18"/>
          <w:szCs w:val="18"/>
        </w:rPr>
        <w:t xml:space="preserve">        </w:t>
      </w:r>
      <w:r>
        <w:rPr>
          <w:rFonts w:hint="eastAsia" w:ascii="宋体" w:hAnsi="宋体"/>
          <w:sz w:val="18"/>
          <w:szCs w:val="18"/>
        </w:rPr>
        <w:t xml:space="preserve">          </w:t>
      </w:r>
      <w:r>
        <w:rPr>
          <w:rFonts w:ascii="宋体" w:hAnsi="宋体"/>
          <w:sz w:val="18"/>
          <w:szCs w:val="18"/>
        </w:rPr>
        <w:t xml:space="preserve"> </w:t>
      </w:r>
    </w:p>
    <w:tbl>
      <w:tblPr>
        <w:tblStyle w:val="77"/>
        <w:tblW w:w="872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06"/>
        <w:gridCol w:w="1417"/>
        <w:gridCol w:w="1134"/>
        <w:gridCol w:w="1134"/>
        <w:gridCol w:w="453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506" w:type="dxa"/>
            <w:vMerge w:val="restart"/>
            <w:tcBorders>
              <w:top w:val="single" w:color="auto" w:sz="8"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项次</w:t>
            </w:r>
          </w:p>
        </w:tc>
        <w:tc>
          <w:tcPr>
            <w:tcW w:w="1417" w:type="dxa"/>
            <w:vMerge w:val="restart"/>
            <w:tcBorders>
              <w:top w:val="single" w:color="auto" w:sz="8"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检查项目</w:t>
            </w:r>
          </w:p>
        </w:tc>
        <w:tc>
          <w:tcPr>
            <w:tcW w:w="2268" w:type="dxa"/>
            <w:gridSpan w:val="2"/>
            <w:tcBorders>
              <w:top w:val="single" w:color="auto" w:sz="8"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规定值或允许偏差</w:t>
            </w:r>
          </w:p>
        </w:tc>
        <w:tc>
          <w:tcPr>
            <w:tcW w:w="4536" w:type="dxa"/>
            <w:vMerge w:val="restart"/>
            <w:tcBorders>
              <w:top w:val="single" w:color="auto" w:sz="8"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检查方法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506" w:type="dxa"/>
            <w:vMerge w:val="continue"/>
            <w:tcBorders>
              <w:top w:val="single" w:color="auto" w:sz="8" w:space="0"/>
              <w:left w:val="single" w:color="auto" w:sz="8" w:space="0"/>
              <w:bottom w:val="single" w:color="auto" w:sz="4" w:space="0"/>
              <w:right w:val="single" w:color="auto" w:sz="4" w:space="0"/>
            </w:tcBorders>
            <w:vAlign w:val="center"/>
          </w:tcPr>
          <w:p>
            <w:pPr>
              <w:widowControl/>
              <w:jc w:val="center"/>
              <w:rPr>
                <w:rFonts w:ascii="宋体" w:hAnsi="宋体"/>
                <w:sz w:val="18"/>
                <w:szCs w:val="18"/>
              </w:rPr>
            </w:pPr>
          </w:p>
        </w:tc>
        <w:tc>
          <w:tcPr>
            <w:tcW w:w="1417" w:type="dxa"/>
            <w:vMerge w:val="continue"/>
            <w:tcBorders>
              <w:top w:val="single" w:color="auto" w:sz="8" w:space="0"/>
              <w:left w:val="single" w:color="auto" w:sz="4" w:space="0"/>
              <w:bottom w:val="single" w:color="auto" w:sz="4" w:space="0"/>
              <w:right w:val="single" w:color="auto" w:sz="4" w:space="0"/>
            </w:tcBorders>
            <w:vAlign w:val="center"/>
          </w:tcPr>
          <w:p>
            <w:pPr>
              <w:widowControl/>
              <w:jc w:val="center"/>
              <w:rPr>
                <w:rFonts w:ascii="宋体" w:hAnsi="宋体"/>
                <w:sz w:val="18"/>
                <w:szCs w:val="18"/>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底基层</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基层</w:t>
            </w:r>
          </w:p>
        </w:tc>
        <w:tc>
          <w:tcPr>
            <w:tcW w:w="4536" w:type="dxa"/>
            <w:vMerge w:val="continue"/>
            <w:tcBorders>
              <w:top w:val="single" w:color="auto" w:sz="8" w:space="0"/>
              <w:left w:val="single" w:color="auto" w:sz="4" w:space="0"/>
              <w:bottom w:val="single" w:color="auto" w:sz="4" w:space="0"/>
              <w:right w:val="single" w:color="auto" w:sz="8" w:space="0"/>
            </w:tcBorders>
            <w:vAlign w:val="center"/>
          </w:tcPr>
          <w:p>
            <w:pPr>
              <w:widowControl/>
              <w:jc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64"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1</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压实度</w:t>
            </w:r>
            <w:r>
              <w:rPr>
                <w:rFonts w:hint="eastAsia" w:ascii="宋体" w:hAnsi="宋体"/>
                <w:sz w:val="18"/>
                <w:szCs w:val="18"/>
              </w:rPr>
              <w:t>（</w:t>
            </w:r>
            <w:r>
              <w:rPr>
                <w:rFonts w:ascii="宋体" w:hAnsi="宋体"/>
                <w:sz w:val="18"/>
                <w:szCs w:val="18"/>
              </w:rPr>
              <w:t>％</w:t>
            </w:r>
            <w:r>
              <w:rPr>
                <w:rFonts w:hint="eastAsia" w:ascii="宋体" w:hAnsi="宋体"/>
                <w:sz w:val="18"/>
                <w:szCs w:val="18"/>
              </w:rPr>
              <w:t>）</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≥96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≥98</w:t>
            </w:r>
          </w:p>
        </w:tc>
        <w:tc>
          <w:tcPr>
            <w:tcW w:w="4536"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 xml:space="preserve">按JTG F80/1-2017附录B和JTG </w:t>
            </w:r>
            <w:r>
              <w:fldChar w:fldCharType="begin"/>
            </w:r>
            <w:r>
              <w:instrText xml:space="preserve"> HYPERLINK "http://www.csres.com/detail/192435.html" \t "_blank" </w:instrText>
            </w:r>
            <w:r>
              <w:fldChar w:fldCharType="separate"/>
            </w:r>
            <w:r>
              <w:rPr>
                <w:rStyle w:val="85"/>
                <w:rFonts w:ascii="宋体" w:hAnsi="宋体"/>
                <w:sz w:val="18"/>
                <w:szCs w:val="18"/>
              </w:rPr>
              <w:t>E60-2008</w:t>
            </w:r>
            <w:r>
              <w:rPr>
                <w:rStyle w:val="85"/>
                <w:rFonts w:ascii="宋体" w:hAnsi="宋体"/>
                <w:sz w:val="18"/>
                <w:szCs w:val="18"/>
              </w:rPr>
              <w:fldChar w:fldCharType="end"/>
            </w:r>
            <w:r>
              <w:rPr>
                <w:rFonts w:ascii="宋体" w:hAnsi="宋体"/>
                <w:sz w:val="18"/>
                <w:szCs w:val="18"/>
              </w:rPr>
              <w:t>要求检查，每200mm 4处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2</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平整度</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≤12</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≤8</w:t>
            </w:r>
          </w:p>
        </w:tc>
        <w:tc>
          <w:tcPr>
            <w:tcW w:w="4536"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3m直尺：每200m</w:t>
            </w:r>
            <w:r>
              <w:rPr>
                <w:rFonts w:ascii="宋体" w:hAnsi="宋体"/>
                <w:sz w:val="18"/>
                <w:szCs w:val="18"/>
                <w:vertAlign w:val="superscript"/>
              </w:rPr>
              <w:t>2</w:t>
            </w:r>
            <w:r>
              <w:rPr>
                <w:rFonts w:ascii="宋体" w:hAnsi="宋体"/>
                <w:sz w:val="18"/>
                <w:szCs w:val="18"/>
              </w:rPr>
              <w:t>处×10尺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3</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纵断高程</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+5，-15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+5，-10</w:t>
            </w:r>
          </w:p>
        </w:tc>
        <w:tc>
          <w:tcPr>
            <w:tcW w:w="4536"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水准仪：每20延米1个断面，每断面3～5点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4</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宽度</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226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不小于设计值值</w:t>
            </w:r>
          </w:p>
        </w:tc>
        <w:tc>
          <w:tcPr>
            <w:tcW w:w="4536"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尺量：每40延米1处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5</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厚度</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-10</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-8</w:t>
            </w:r>
          </w:p>
        </w:tc>
        <w:tc>
          <w:tcPr>
            <w:tcW w:w="4536"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挖验：每1500～2000m</w:t>
            </w:r>
            <w:r>
              <w:rPr>
                <w:rFonts w:ascii="宋体" w:hAnsi="宋体"/>
                <w:sz w:val="18"/>
                <w:szCs w:val="18"/>
                <w:vertAlign w:val="superscript"/>
              </w:rPr>
              <w:t>2</w:t>
            </w:r>
            <w:r>
              <w:rPr>
                <w:rFonts w:ascii="宋体" w:hAnsi="宋体"/>
                <w:sz w:val="18"/>
                <w:szCs w:val="18"/>
              </w:rPr>
              <w:t xml:space="preserve"> 6个点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6</w:t>
            </w:r>
          </w:p>
        </w:tc>
        <w:tc>
          <w:tcPr>
            <w:tcW w:w="14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横坡</w:t>
            </w:r>
            <w:r>
              <w:rPr>
                <w:rFonts w:hint="eastAsia" w:ascii="宋体" w:hAnsi="宋体"/>
                <w:sz w:val="18"/>
                <w:szCs w:val="18"/>
              </w:rPr>
              <w:t>（</w:t>
            </w:r>
            <w:r>
              <w:rPr>
                <w:rFonts w:ascii="宋体" w:hAnsi="宋体"/>
                <w:sz w:val="18"/>
                <w:szCs w:val="18"/>
              </w:rPr>
              <w:t>％</w:t>
            </w:r>
            <w:r>
              <w:rPr>
                <w:rFonts w:hint="eastAsia" w:ascii="宋体" w:hAnsi="宋体"/>
                <w:sz w:val="18"/>
                <w:szCs w:val="18"/>
              </w:rPr>
              <w:t>）</w:t>
            </w:r>
          </w:p>
        </w:tc>
        <w:tc>
          <w:tcPr>
            <w:tcW w:w="226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18"/>
                <w:szCs w:val="18"/>
              </w:rPr>
            </w:pPr>
            <w:r>
              <w:rPr>
                <w:rFonts w:ascii="宋体" w:hAnsi="宋体"/>
                <w:sz w:val="18"/>
                <w:szCs w:val="18"/>
              </w:rPr>
              <w:t>±0.3</w:t>
            </w:r>
          </w:p>
        </w:tc>
        <w:tc>
          <w:tcPr>
            <w:tcW w:w="4536" w:type="dxa"/>
            <w:tcBorders>
              <w:top w:val="single" w:color="auto" w:sz="4" w:space="0"/>
              <w:left w:val="single" w:color="auto" w:sz="4" w:space="0"/>
              <w:bottom w:val="single" w:color="auto" w:sz="4" w:space="0"/>
              <w:right w:val="single" w:color="auto" w:sz="8" w:space="0"/>
            </w:tcBorders>
            <w:vAlign w:val="center"/>
          </w:tcPr>
          <w:p>
            <w:pPr>
              <w:jc w:val="center"/>
              <w:rPr>
                <w:rFonts w:ascii="宋体" w:hAnsi="宋体"/>
                <w:sz w:val="18"/>
                <w:szCs w:val="18"/>
              </w:rPr>
            </w:pPr>
            <w:r>
              <w:rPr>
                <w:rFonts w:ascii="宋体" w:hAnsi="宋体"/>
                <w:sz w:val="18"/>
                <w:szCs w:val="18"/>
              </w:rPr>
              <w:t>水准仪：每100延米3处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506" w:type="dxa"/>
            <w:tcBorders>
              <w:top w:val="single" w:color="auto" w:sz="4" w:space="0"/>
              <w:left w:val="single" w:color="auto" w:sz="8" w:space="0"/>
              <w:bottom w:val="single" w:color="auto" w:sz="8" w:space="0"/>
              <w:right w:val="single" w:color="auto" w:sz="4" w:space="0"/>
            </w:tcBorders>
            <w:vAlign w:val="center"/>
          </w:tcPr>
          <w:p>
            <w:pPr>
              <w:jc w:val="center"/>
              <w:rPr>
                <w:rFonts w:ascii="宋体" w:hAnsi="宋体"/>
                <w:sz w:val="18"/>
                <w:szCs w:val="18"/>
              </w:rPr>
            </w:pPr>
            <w:r>
              <w:rPr>
                <w:rFonts w:ascii="宋体" w:hAnsi="宋体"/>
                <w:sz w:val="18"/>
                <w:szCs w:val="18"/>
              </w:rPr>
              <w:t>7</w:t>
            </w:r>
          </w:p>
        </w:tc>
        <w:tc>
          <w:tcPr>
            <w:tcW w:w="1417" w:type="dxa"/>
            <w:tcBorders>
              <w:top w:val="single" w:color="auto" w:sz="4" w:space="0"/>
              <w:left w:val="single" w:color="auto" w:sz="4" w:space="0"/>
              <w:bottom w:val="single" w:color="auto" w:sz="8" w:space="0"/>
              <w:right w:val="single" w:color="auto" w:sz="4" w:space="0"/>
            </w:tcBorders>
            <w:vAlign w:val="center"/>
          </w:tcPr>
          <w:p>
            <w:pPr>
              <w:jc w:val="center"/>
              <w:rPr>
                <w:rFonts w:ascii="宋体" w:hAnsi="宋体"/>
                <w:sz w:val="18"/>
                <w:szCs w:val="18"/>
              </w:rPr>
            </w:pPr>
            <w:r>
              <w:rPr>
                <w:rFonts w:ascii="宋体" w:hAnsi="宋体"/>
                <w:sz w:val="18"/>
                <w:szCs w:val="18"/>
              </w:rPr>
              <w:t>颗粒组成</w:t>
            </w:r>
          </w:p>
        </w:tc>
        <w:tc>
          <w:tcPr>
            <w:tcW w:w="2268" w:type="dxa"/>
            <w:gridSpan w:val="2"/>
            <w:tcBorders>
              <w:top w:val="single" w:color="auto" w:sz="4" w:space="0"/>
              <w:left w:val="single" w:color="auto" w:sz="4" w:space="0"/>
              <w:bottom w:val="single" w:color="auto" w:sz="8" w:space="0"/>
              <w:right w:val="single" w:color="auto" w:sz="4" w:space="0"/>
            </w:tcBorders>
            <w:vAlign w:val="center"/>
          </w:tcPr>
          <w:p>
            <w:pPr>
              <w:jc w:val="center"/>
              <w:rPr>
                <w:rFonts w:ascii="宋体" w:hAnsi="宋体"/>
                <w:sz w:val="18"/>
                <w:szCs w:val="18"/>
              </w:rPr>
            </w:pPr>
            <w:r>
              <w:rPr>
                <w:rFonts w:ascii="宋体" w:hAnsi="宋体"/>
                <w:sz w:val="18"/>
                <w:szCs w:val="18"/>
              </w:rPr>
              <w:t>级配曲线规定范围内</w:t>
            </w:r>
          </w:p>
        </w:tc>
        <w:tc>
          <w:tcPr>
            <w:tcW w:w="4536" w:type="dxa"/>
            <w:tcBorders>
              <w:top w:val="single" w:color="auto" w:sz="4" w:space="0"/>
              <w:left w:val="single" w:color="auto" w:sz="4" w:space="0"/>
              <w:bottom w:val="single" w:color="auto" w:sz="8" w:space="0"/>
              <w:right w:val="single" w:color="auto" w:sz="8" w:space="0"/>
            </w:tcBorders>
            <w:vAlign w:val="center"/>
          </w:tcPr>
          <w:p>
            <w:pPr>
              <w:jc w:val="center"/>
              <w:rPr>
                <w:rFonts w:ascii="宋体" w:hAnsi="宋体"/>
                <w:sz w:val="18"/>
                <w:szCs w:val="18"/>
              </w:rPr>
            </w:pPr>
            <w:r>
              <w:rPr>
                <w:rFonts w:ascii="宋体" w:hAnsi="宋体"/>
                <w:sz w:val="18"/>
                <w:szCs w:val="18"/>
              </w:rPr>
              <w:t>碾压前取样筛分，每200m</w:t>
            </w:r>
            <w:r>
              <w:rPr>
                <w:rFonts w:hint="eastAsia" w:ascii="宋体" w:hAnsi="宋体"/>
                <w:sz w:val="18"/>
                <w:szCs w:val="18"/>
              </w:rPr>
              <w:t xml:space="preserve"> </w:t>
            </w:r>
            <w:r>
              <w:rPr>
                <w:rFonts w:ascii="宋体" w:hAnsi="宋体"/>
                <w:sz w:val="18"/>
                <w:szCs w:val="18"/>
              </w:rPr>
              <w:t>l处</w:t>
            </w:r>
          </w:p>
        </w:tc>
      </w:tr>
    </w:tbl>
    <w:p>
      <w:pPr>
        <w:adjustRightInd w:val="0"/>
        <w:snapToGrid w:val="0"/>
        <w:spacing w:before="203" w:beforeLines="50" w:line="360" w:lineRule="auto"/>
        <w:jc w:val="center"/>
        <w:rPr>
          <w:rFonts w:ascii="宋体" w:hAnsi="宋体"/>
          <w:sz w:val="18"/>
          <w:szCs w:val="18"/>
        </w:rPr>
      </w:pPr>
      <w:bookmarkStart w:id="4509" w:name="_Toc266663063"/>
      <w:bookmarkStart w:id="4510" w:name="_Toc174279658"/>
      <w:bookmarkStart w:id="4511" w:name="_Toc173907045"/>
      <w:bookmarkStart w:id="4512" w:name="_Toc133166277"/>
      <w:r>
        <w:rPr>
          <w:rFonts w:hint="eastAsia" w:ascii="宋体" w:hAnsi="宋体"/>
          <w:sz w:val="18"/>
          <w:szCs w:val="18"/>
        </w:rPr>
        <w:t>表</w:t>
      </w:r>
      <w:r>
        <w:rPr>
          <w:rFonts w:ascii="宋体" w:hAnsi="宋体"/>
          <w:sz w:val="18"/>
          <w:szCs w:val="18"/>
        </w:rPr>
        <w:t>4-4-7 级配碎石</w:t>
      </w:r>
      <w:r>
        <w:rPr>
          <w:rFonts w:hint="eastAsia" w:ascii="宋体" w:hAnsi="宋体"/>
          <w:sz w:val="18"/>
          <w:szCs w:val="18"/>
        </w:rPr>
        <w:t>垫层</w:t>
      </w:r>
      <w:r>
        <w:rPr>
          <w:rFonts w:ascii="宋体" w:hAnsi="宋体"/>
          <w:sz w:val="18"/>
          <w:szCs w:val="18"/>
        </w:rPr>
        <w:t xml:space="preserve">检查项目    </w:t>
      </w:r>
      <w:r>
        <w:rPr>
          <w:rFonts w:hint="eastAsia" w:ascii="宋体" w:hAnsi="宋体"/>
          <w:sz w:val="18"/>
          <w:szCs w:val="18"/>
        </w:rPr>
        <w:t xml:space="preserve">       </w:t>
      </w:r>
      <w:r>
        <w:rPr>
          <w:rFonts w:ascii="宋体" w:hAnsi="宋体"/>
          <w:sz w:val="18"/>
          <w:szCs w:val="18"/>
        </w:rPr>
        <w:t xml:space="preserve">      </w:t>
      </w:r>
      <w:r>
        <w:rPr>
          <w:rFonts w:hint="eastAsia" w:ascii="宋体" w:hAnsi="宋体"/>
          <w:sz w:val="18"/>
          <w:szCs w:val="18"/>
        </w:rPr>
        <w:t xml:space="preserve">  </w:t>
      </w:r>
      <w:r>
        <w:rPr>
          <w:rFonts w:ascii="宋体" w:hAnsi="宋体"/>
          <w:sz w:val="18"/>
          <w:szCs w:val="18"/>
        </w:rPr>
        <w:t xml:space="preserve"> </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85"/>
        <w:gridCol w:w="1701"/>
        <w:gridCol w:w="4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7"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项次</w:t>
            </w:r>
          </w:p>
        </w:tc>
        <w:tc>
          <w:tcPr>
            <w:tcW w:w="1138"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检查项目</w:t>
            </w:r>
          </w:p>
        </w:tc>
        <w:tc>
          <w:tcPr>
            <w:tcW w:w="975"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规定值或允许偏差</w:t>
            </w:r>
          </w:p>
        </w:tc>
        <w:tc>
          <w:tcPr>
            <w:tcW w:w="2499" w:type="pct"/>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检查方法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7"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 w:val="18"/>
                <w:szCs w:val="18"/>
              </w:rPr>
            </w:pPr>
          </w:p>
        </w:tc>
        <w:tc>
          <w:tcPr>
            <w:tcW w:w="1138"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 w:val="18"/>
                <w:szCs w:val="18"/>
              </w:rPr>
            </w:pPr>
          </w:p>
        </w:tc>
        <w:tc>
          <w:tcPr>
            <w:tcW w:w="975"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垫层</w:t>
            </w:r>
          </w:p>
        </w:tc>
        <w:tc>
          <w:tcPr>
            <w:tcW w:w="2499"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jc w:val="center"/>
        </w:trPr>
        <w:tc>
          <w:tcPr>
            <w:tcW w:w="387"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1</w:t>
            </w:r>
          </w:p>
        </w:tc>
        <w:tc>
          <w:tcPr>
            <w:tcW w:w="113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压实度</w:t>
            </w:r>
            <w:r>
              <w:rPr>
                <w:rFonts w:hint="eastAsia" w:ascii="宋体" w:hAnsi="宋体"/>
                <w:sz w:val="18"/>
                <w:szCs w:val="18"/>
              </w:rPr>
              <w:t>（</w:t>
            </w:r>
            <w:r>
              <w:rPr>
                <w:rFonts w:ascii="宋体" w:hAnsi="宋体"/>
                <w:sz w:val="18"/>
                <w:szCs w:val="18"/>
              </w:rPr>
              <w:t>代表值</w:t>
            </w:r>
            <w:r>
              <w:rPr>
                <w:rFonts w:hint="eastAsia" w:ascii="宋体" w:hAnsi="宋体"/>
                <w:sz w:val="18"/>
                <w:szCs w:val="18"/>
              </w:rPr>
              <w:t>）（%）</w:t>
            </w:r>
          </w:p>
        </w:tc>
        <w:tc>
          <w:tcPr>
            <w:tcW w:w="975"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96</w:t>
            </w:r>
          </w:p>
        </w:tc>
        <w:tc>
          <w:tcPr>
            <w:tcW w:w="2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按JTG F80/1-2107附录B检查,每200m每车道2处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7"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2</w:t>
            </w:r>
          </w:p>
        </w:tc>
        <w:tc>
          <w:tcPr>
            <w:tcW w:w="113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湾沉值</w:t>
            </w:r>
            <w:r>
              <w:rPr>
                <w:rFonts w:hint="eastAsia" w:ascii="宋体" w:hAnsi="宋体"/>
                <w:sz w:val="18"/>
                <w:szCs w:val="18"/>
              </w:rPr>
              <w:t>（</w:t>
            </w:r>
            <w:r>
              <w:rPr>
                <w:rFonts w:ascii="宋体" w:hAnsi="宋体"/>
                <w:sz w:val="18"/>
                <w:szCs w:val="18"/>
              </w:rPr>
              <w:t>0.01mm</w:t>
            </w:r>
            <w:r>
              <w:rPr>
                <w:rFonts w:hint="eastAsia" w:ascii="宋体" w:hAnsi="宋体"/>
                <w:sz w:val="18"/>
                <w:szCs w:val="18"/>
              </w:rPr>
              <w:t>）</w:t>
            </w:r>
          </w:p>
        </w:tc>
        <w:tc>
          <w:tcPr>
            <w:tcW w:w="975"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符合设计要求</w:t>
            </w:r>
          </w:p>
        </w:tc>
        <w:tc>
          <w:tcPr>
            <w:tcW w:w="2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按JTG F80/1-2017附录I检查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7"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3</w:t>
            </w:r>
          </w:p>
        </w:tc>
        <w:tc>
          <w:tcPr>
            <w:tcW w:w="113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平整度</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975"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12</w:t>
            </w:r>
          </w:p>
        </w:tc>
        <w:tc>
          <w:tcPr>
            <w:tcW w:w="2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3m直尺：每200m</w:t>
            </w:r>
            <w:r>
              <w:rPr>
                <w:rFonts w:ascii="宋体" w:hAnsi="宋体"/>
                <w:sz w:val="18"/>
                <w:szCs w:val="18"/>
                <w:vertAlign w:val="superscript"/>
              </w:rPr>
              <w:t>2</w:t>
            </w:r>
            <w:r>
              <w:rPr>
                <w:rFonts w:ascii="宋体" w:hAnsi="宋体"/>
                <w:sz w:val="18"/>
                <w:szCs w:val="18"/>
              </w:rPr>
              <w:t>处×10尺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7"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4</w:t>
            </w:r>
          </w:p>
        </w:tc>
        <w:tc>
          <w:tcPr>
            <w:tcW w:w="113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纵断高程</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975"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+5，-15</w:t>
            </w:r>
          </w:p>
        </w:tc>
        <w:tc>
          <w:tcPr>
            <w:tcW w:w="2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水准仪：每200m测4断面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7"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5</w:t>
            </w:r>
          </w:p>
        </w:tc>
        <w:tc>
          <w:tcPr>
            <w:tcW w:w="113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宽度</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975"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符合设计要求</w:t>
            </w:r>
          </w:p>
        </w:tc>
        <w:tc>
          <w:tcPr>
            <w:tcW w:w="2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尺量：每200m测4处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7"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6</w:t>
            </w:r>
          </w:p>
        </w:tc>
        <w:tc>
          <w:tcPr>
            <w:tcW w:w="113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厚度</w:t>
            </w:r>
            <w:r>
              <w:rPr>
                <w:rFonts w:hint="eastAsia" w:ascii="宋体" w:hAnsi="宋体"/>
                <w:sz w:val="18"/>
                <w:szCs w:val="18"/>
              </w:rPr>
              <w:t>（</w:t>
            </w:r>
            <w:r>
              <w:rPr>
                <w:rFonts w:ascii="宋体" w:hAnsi="宋体"/>
                <w:sz w:val="18"/>
                <w:szCs w:val="18"/>
              </w:rPr>
              <w:t>代表值</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975"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-10</w:t>
            </w:r>
          </w:p>
        </w:tc>
        <w:tc>
          <w:tcPr>
            <w:tcW w:w="2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 w:val="18"/>
                <w:szCs w:val="18"/>
              </w:rPr>
            </w:pPr>
            <w:r>
              <w:rPr>
                <w:rFonts w:ascii="宋体" w:hAnsi="宋体"/>
                <w:sz w:val="18"/>
                <w:szCs w:val="18"/>
              </w:rPr>
              <w:t>按JTG F80/1-2017附录H检查</w:t>
            </w:r>
            <w:r>
              <w:rPr>
                <w:rFonts w:hint="eastAsia" w:ascii="宋体" w:hAnsi="宋体"/>
                <w:sz w:val="18"/>
                <w:szCs w:val="18"/>
              </w:rPr>
              <w:t>，</w:t>
            </w:r>
            <w:r>
              <w:rPr>
                <w:rFonts w:ascii="宋体" w:hAnsi="宋体"/>
                <w:sz w:val="18"/>
                <w:szCs w:val="18"/>
              </w:rPr>
              <w:t>每200m每车道1点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87"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7</w:t>
            </w:r>
          </w:p>
        </w:tc>
        <w:tc>
          <w:tcPr>
            <w:tcW w:w="1138"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横坡</w:t>
            </w:r>
            <w:r>
              <w:rPr>
                <w:rFonts w:hint="eastAsia" w:ascii="宋体" w:hAnsi="宋体"/>
                <w:bCs/>
                <w:sz w:val="18"/>
                <w:szCs w:val="18"/>
              </w:rPr>
              <w:t>（</w:t>
            </w:r>
            <w:r>
              <w:rPr>
                <w:rFonts w:ascii="宋体" w:hAnsi="宋体"/>
                <w:bCs/>
                <w:sz w:val="18"/>
                <w:szCs w:val="18"/>
              </w:rPr>
              <w:t>%</w:t>
            </w:r>
            <w:r>
              <w:rPr>
                <w:rFonts w:hint="eastAsia" w:ascii="宋体" w:hAnsi="宋体"/>
                <w:bCs/>
                <w:sz w:val="18"/>
                <w:szCs w:val="18"/>
              </w:rPr>
              <w:t>）</w:t>
            </w:r>
          </w:p>
        </w:tc>
        <w:tc>
          <w:tcPr>
            <w:tcW w:w="975"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±0.3</w:t>
            </w:r>
          </w:p>
        </w:tc>
        <w:tc>
          <w:tcPr>
            <w:tcW w:w="2499"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水准仪：每200m测4断面</w:t>
            </w:r>
          </w:p>
        </w:tc>
      </w:tr>
    </w:tbl>
    <w:p>
      <w:pPr>
        <w:pStyle w:val="1284"/>
        <w:rPr>
          <w:rFonts w:ascii="宋体" w:hAnsi="宋体"/>
        </w:rPr>
      </w:pPr>
      <w:bookmarkStart w:id="4513" w:name="_Toc403637011"/>
      <w:bookmarkStart w:id="4514" w:name="_Toc517382632"/>
      <w:bookmarkStart w:id="4515" w:name="_Toc518376685"/>
      <w:bookmarkStart w:id="4516" w:name="_Toc521492007"/>
      <w:bookmarkStart w:id="4517" w:name="_Toc521492864"/>
      <w:bookmarkStart w:id="4518" w:name="_Toc521493538"/>
      <w:bookmarkStart w:id="4519" w:name="_Toc106883418"/>
      <w:r>
        <w:rPr>
          <w:rFonts w:hint="eastAsia" w:ascii="宋体" w:hAnsi="宋体"/>
        </w:rPr>
        <w:t>4.6.6</w:t>
      </w:r>
      <w:r>
        <w:rPr>
          <w:rFonts w:ascii="宋体" w:hAnsi="宋体"/>
        </w:rPr>
        <w:t xml:space="preserve"> 热拌沥青混合料面层</w:t>
      </w:r>
      <w:bookmarkEnd w:id="4513"/>
      <w:bookmarkEnd w:id="4514"/>
      <w:bookmarkEnd w:id="4515"/>
      <w:bookmarkEnd w:id="4516"/>
      <w:bookmarkEnd w:id="4517"/>
      <w:bookmarkEnd w:id="4518"/>
      <w:bookmarkEnd w:id="4519"/>
    </w:p>
    <w:p>
      <w:pPr>
        <w:pStyle w:val="1288"/>
        <w:outlineLvl w:val="0"/>
        <w:rPr>
          <w:rFonts w:ascii="宋体" w:hAnsi="宋体"/>
          <w:color w:val="auto"/>
        </w:rPr>
      </w:pPr>
      <w:bookmarkStart w:id="4520" w:name="_Toc320555522"/>
      <w:bookmarkStart w:id="4521" w:name="_Toc106050162"/>
      <w:bookmarkStart w:id="4522" w:name="_Toc106883419"/>
      <w:r>
        <w:rPr>
          <w:rFonts w:hint="eastAsia" w:ascii="宋体" w:hAnsi="宋体"/>
          <w:color w:val="auto"/>
        </w:rPr>
        <w:t>4.6.6.1</w:t>
      </w:r>
      <w:r>
        <w:rPr>
          <w:rFonts w:ascii="宋体" w:hAnsi="宋体"/>
          <w:color w:val="auto"/>
        </w:rPr>
        <w:t xml:space="preserve"> 范围</w:t>
      </w:r>
      <w:bookmarkEnd w:id="4520"/>
      <w:bookmarkEnd w:id="4521"/>
      <w:bookmarkEnd w:id="4522"/>
    </w:p>
    <w:p>
      <w:pPr>
        <w:pStyle w:val="1280"/>
        <w:ind w:firstLine="440"/>
        <w:rPr>
          <w:rFonts w:ascii="宋体"/>
        </w:rPr>
      </w:pPr>
      <w:r>
        <w:rPr>
          <w:rFonts w:ascii="宋体"/>
        </w:rPr>
        <w:t>本节工作内容为在经项目监理验收合格的基层上，按照图纸和项目监理指示铺筑一层或多层的热拌沥青混合料面层。它包括提供全部设备、劳力和材料，以及施工、养护、试验等全部作业。</w:t>
      </w:r>
    </w:p>
    <w:p>
      <w:pPr>
        <w:pStyle w:val="1288"/>
        <w:outlineLvl w:val="0"/>
        <w:rPr>
          <w:rFonts w:ascii="宋体" w:hAnsi="宋体"/>
          <w:color w:val="auto"/>
        </w:rPr>
      </w:pPr>
      <w:bookmarkStart w:id="4523" w:name="_Toc320555523"/>
      <w:bookmarkStart w:id="4524" w:name="_Toc106050163"/>
      <w:bookmarkStart w:id="4525" w:name="_Toc106883420"/>
      <w:r>
        <w:rPr>
          <w:rFonts w:hint="eastAsia" w:ascii="宋体" w:hAnsi="宋体"/>
          <w:color w:val="auto"/>
        </w:rPr>
        <w:t>4.6.6.2</w:t>
      </w:r>
      <w:r>
        <w:rPr>
          <w:rFonts w:ascii="宋体" w:hAnsi="宋体"/>
          <w:color w:val="auto"/>
        </w:rPr>
        <w:t>材料</w:t>
      </w:r>
      <w:bookmarkEnd w:id="4523"/>
      <w:bookmarkEnd w:id="4524"/>
      <w:bookmarkEnd w:id="4525"/>
    </w:p>
    <w:p>
      <w:pPr>
        <w:pStyle w:val="1280"/>
        <w:ind w:firstLine="440"/>
        <w:rPr>
          <w:rFonts w:ascii="宋体"/>
        </w:rPr>
      </w:pPr>
      <w:r>
        <w:rPr>
          <w:rFonts w:ascii="宋体"/>
        </w:rPr>
        <w:t>1</w:t>
      </w:r>
      <w:r>
        <w:rPr>
          <w:rFonts w:hint="eastAsia" w:ascii="宋体"/>
        </w:rPr>
        <w:t>、</w:t>
      </w:r>
      <w:r>
        <w:rPr>
          <w:rFonts w:ascii="宋体"/>
        </w:rPr>
        <w:t>粗集料</w:t>
      </w:r>
    </w:p>
    <w:p>
      <w:pPr>
        <w:pStyle w:val="1280"/>
        <w:ind w:firstLine="440"/>
        <w:rPr>
          <w:rFonts w:ascii="宋体"/>
        </w:rPr>
      </w:pPr>
      <w:r>
        <w:rPr>
          <w:rFonts w:hint="eastAsia" w:ascii="宋体"/>
        </w:rPr>
        <w:t>（1）</w:t>
      </w:r>
      <w:r>
        <w:rPr>
          <w:rFonts w:ascii="宋体"/>
        </w:rPr>
        <w:t>粗集料包括碎石、破碎砾石、筛选砾石、钢渣、矿渣等，它应洁净、干燥、表面粗糙。</w:t>
      </w:r>
    </w:p>
    <w:p>
      <w:pPr>
        <w:pStyle w:val="1280"/>
        <w:ind w:firstLine="440"/>
        <w:rPr>
          <w:rFonts w:ascii="宋体"/>
        </w:rPr>
      </w:pPr>
      <w:r>
        <w:rPr>
          <w:rFonts w:hint="eastAsia" w:ascii="宋体"/>
        </w:rPr>
        <w:t>（2）</w:t>
      </w:r>
      <w:r>
        <w:rPr>
          <w:rFonts w:ascii="宋体"/>
        </w:rPr>
        <w:t>粗集料的质量应符合表4-4-8的要求。</w:t>
      </w:r>
    </w:p>
    <w:p>
      <w:pPr>
        <w:pStyle w:val="1280"/>
        <w:ind w:firstLine="440"/>
        <w:rPr>
          <w:rFonts w:ascii="宋体"/>
        </w:rPr>
      </w:pPr>
      <w:r>
        <w:rPr>
          <w:rFonts w:hint="eastAsia" w:ascii="宋体"/>
        </w:rPr>
        <w:t>（3）</w:t>
      </w:r>
      <w:r>
        <w:rPr>
          <w:rFonts w:ascii="宋体"/>
        </w:rPr>
        <w:t>粗集料的粒径规格应符合图纸要求，并按表4-4-9的要求选用。</w:t>
      </w:r>
    </w:p>
    <w:p>
      <w:pPr>
        <w:pStyle w:val="1280"/>
        <w:ind w:firstLine="440"/>
        <w:rPr>
          <w:rFonts w:ascii="宋体"/>
        </w:rPr>
      </w:pPr>
      <w:r>
        <w:rPr>
          <w:rFonts w:hint="eastAsia" w:ascii="宋体"/>
        </w:rPr>
        <w:t>（4）</w:t>
      </w:r>
      <w:r>
        <w:rPr>
          <w:rFonts w:ascii="宋体"/>
        </w:rPr>
        <w:t>当按《公路工程沥青及沥青混合料试验规程》</w:t>
      </w:r>
      <w:r>
        <w:rPr>
          <w:rFonts w:hint="eastAsia" w:ascii="宋体"/>
        </w:rPr>
        <w:t>（</w:t>
      </w:r>
      <w:r>
        <w:rPr>
          <w:rFonts w:ascii="宋体"/>
        </w:rPr>
        <w:t>JTG E20-2011</w:t>
      </w:r>
      <w:r>
        <w:rPr>
          <w:rFonts w:hint="eastAsia" w:ascii="宋体"/>
        </w:rPr>
        <w:t>）</w:t>
      </w:r>
      <w:r>
        <w:rPr>
          <w:rFonts w:ascii="宋体"/>
        </w:rPr>
        <w:t>规定的方法试验时，沥青与集料的黏附性不低于4级，否则，应掺加外掺剂。外掺剂的精确比例由试验室确定。</w:t>
      </w:r>
    </w:p>
    <w:p>
      <w:pPr>
        <w:adjustRightInd w:val="0"/>
        <w:snapToGrid w:val="0"/>
        <w:spacing w:line="360" w:lineRule="auto"/>
        <w:jc w:val="center"/>
        <w:rPr>
          <w:rFonts w:ascii="宋体" w:hAnsi="宋体"/>
          <w:sz w:val="18"/>
          <w:szCs w:val="18"/>
        </w:rPr>
      </w:pPr>
      <w:r>
        <w:rPr>
          <w:rFonts w:ascii="宋体" w:hAnsi="宋体"/>
          <w:sz w:val="18"/>
          <w:szCs w:val="18"/>
        </w:rPr>
        <w:t>表</w:t>
      </w:r>
      <w:r>
        <w:rPr>
          <w:rFonts w:ascii="宋体" w:hAnsi="宋体"/>
          <w:kern w:val="0"/>
          <w:sz w:val="18"/>
          <w:szCs w:val="18"/>
        </w:rPr>
        <w:t>4-4-8</w:t>
      </w:r>
      <w:r>
        <w:rPr>
          <w:rFonts w:hint="eastAsia" w:ascii="宋体" w:hAnsi="宋体"/>
          <w:sz w:val="18"/>
          <w:szCs w:val="18"/>
        </w:rPr>
        <w:t xml:space="preserve">   </w:t>
      </w:r>
      <w:r>
        <w:rPr>
          <w:rFonts w:ascii="宋体" w:hAnsi="宋体"/>
          <w:sz w:val="18"/>
          <w:szCs w:val="18"/>
        </w:rPr>
        <w:t xml:space="preserve">沥青面层用粗集料质量技术要求        </w:t>
      </w:r>
      <w:r>
        <w:rPr>
          <w:rFonts w:hint="eastAsia" w:ascii="宋体" w:hAnsi="宋体"/>
          <w:sz w:val="18"/>
          <w:szCs w:val="18"/>
        </w:rPr>
        <w:t xml:space="preserve">         </w:t>
      </w:r>
      <w:r>
        <w:rPr>
          <w:rFonts w:ascii="宋体" w:hAnsi="宋体"/>
          <w:sz w:val="18"/>
          <w:szCs w:val="18"/>
        </w:rPr>
        <w:t xml:space="preserve">          </w:t>
      </w:r>
    </w:p>
    <w:tbl>
      <w:tblPr>
        <w:tblStyle w:val="77"/>
        <w:tblW w:w="7976"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2922"/>
        <w:gridCol w:w="1369"/>
        <w:gridCol w:w="1559"/>
        <w:gridCol w:w="2126"/>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tblHeader/>
          <w:jc w:val="center"/>
        </w:trPr>
        <w:tc>
          <w:tcPr>
            <w:tcW w:w="2922" w:type="dxa"/>
            <w:vMerge w:val="restart"/>
            <w:vAlign w:val="center"/>
          </w:tcPr>
          <w:p>
            <w:pPr>
              <w:pStyle w:val="254"/>
              <w:adjustRightInd w:val="0"/>
              <w:snapToGrid w:val="0"/>
              <w:jc w:val="center"/>
              <w:rPr>
                <w:rFonts w:ascii="宋体" w:hAnsi="宋体"/>
                <w:sz w:val="18"/>
                <w:szCs w:val="18"/>
              </w:rPr>
            </w:pPr>
            <w:r>
              <w:rPr>
                <w:rFonts w:ascii="宋体" w:hAnsi="宋体"/>
                <w:sz w:val="18"/>
                <w:szCs w:val="18"/>
              </w:rPr>
              <w:t>技术指标（%）</w:t>
            </w:r>
          </w:p>
        </w:tc>
        <w:tc>
          <w:tcPr>
            <w:tcW w:w="2928" w:type="dxa"/>
            <w:gridSpan w:val="2"/>
            <w:vAlign w:val="center"/>
          </w:tcPr>
          <w:p>
            <w:pPr>
              <w:pStyle w:val="254"/>
              <w:adjustRightInd w:val="0"/>
              <w:snapToGrid w:val="0"/>
              <w:jc w:val="center"/>
              <w:rPr>
                <w:rFonts w:ascii="宋体" w:hAnsi="宋体"/>
                <w:sz w:val="18"/>
                <w:szCs w:val="18"/>
              </w:rPr>
            </w:pPr>
            <w:r>
              <w:rPr>
                <w:rFonts w:ascii="宋体" w:hAnsi="宋体"/>
                <w:sz w:val="18"/>
                <w:szCs w:val="18"/>
              </w:rPr>
              <w:t>上面层碎石</w:t>
            </w:r>
          </w:p>
        </w:tc>
        <w:tc>
          <w:tcPr>
            <w:tcW w:w="2126" w:type="dxa"/>
            <w:vMerge w:val="restart"/>
            <w:vAlign w:val="center"/>
          </w:tcPr>
          <w:p>
            <w:pPr>
              <w:pStyle w:val="254"/>
              <w:adjustRightInd w:val="0"/>
              <w:snapToGrid w:val="0"/>
              <w:jc w:val="center"/>
              <w:rPr>
                <w:rFonts w:ascii="宋体" w:hAnsi="宋体"/>
                <w:sz w:val="18"/>
                <w:szCs w:val="18"/>
              </w:rPr>
            </w:pPr>
            <w:r>
              <w:rPr>
                <w:rFonts w:ascii="宋体" w:hAnsi="宋体"/>
                <w:sz w:val="18"/>
                <w:szCs w:val="18"/>
              </w:rPr>
              <w:t>测试方法</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tblHeader/>
          <w:jc w:val="center"/>
        </w:trPr>
        <w:tc>
          <w:tcPr>
            <w:tcW w:w="2922" w:type="dxa"/>
            <w:vMerge w:val="continue"/>
            <w:vAlign w:val="center"/>
          </w:tcPr>
          <w:p>
            <w:pPr>
              <w:pStyle w:val="254"/>
              <w:adjustRightInd w:val="0"/>
              <w:snapToGrid w:val="0"/>
              <w:jc w:val="center"/>
              <w:rPr>
                <w:rFonts w:ascii="宋体" w:hAnsi="宋体"/>
                <w:sz w:val="18"/>
                <w:szCs w:val="18"/>
              </w:rPr>
            </w:pP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主干路</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其他道路</w:t>
            </w:r>
          </w:p>
        </w:tc>
        <w:tc>
          <w:tcPr>
            <w:tcW w:w="2126" w:type="dxa"/>
            <w:vMerge w:val="continue"/>
            <w:vAlign w:val="center"/>
          </w:tcPr>
          <w:p>
            <w:pPr>
              <w:pStyle w:val="254"/>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Align w:val="center"/>
          </w:tcPr>
          <w:p>
            <w:pPr>
              <w:pStyle w:val="254"/>
              <w:adjustRightInd w:val="0"/>
              <w:snapToGrid w:val="0"/>
              <w:jc w:val="center"/>
              <w:rPr>
                <w:rFonts w:ascii="宋体" w:hAnsi="宋体"/>
                <w:sz w:val="18"/>
                <w:szCs w:val="18"/>
              </w:rPr>
            </w:pPr>
            <w:r>
              <w:rPr>
                <w:rFonts w:ascii="宋体" w:hAnsi="宋体"/>
                <w:sz w:val="18"/>
                <w:szCs w:val="18"/>
              </w:rPr>
              <w:t>压碎值（BPN）</w:t>
            </w: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≦26</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≦30</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T0316</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Align w:val="center"/>
          </w:tcPr>
          <w:p>
            <w:pPr>
              <w:pStyle w:val="254"/>
              <w:adjustRightInd w:val="0"/>
              <w:snapToGrid w:val="0"/>
              <w:jc w:val="center"/>
              <w:rPr>
                <w:rFonts w:ascii="宋体" w:hAnsi="宋体"/>
                <w:sz w:val="18"/>
                <w:szCs w:val="18"/>
              </w:rPr>
            </w:pPr>
            <w:r>
              <w:rPr>
                <w:rFonts w:ascii="宋体" w:hAnsi="宋体"/>
                <w:sz w:val="18"/>
                <w:szCs w:val="18"/>
              </w:rPr>
              <w:t>洛杉矶磨耗损失（LA）</w:t>
            </w: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≦28</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≦35</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T0317</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Align w:val="center"/>
          </w:tcPr>
          <w:p>
            <w:pPr>
              <w:pStyle w:val="254"/>
              <w:adjustRightInd w:val="0"/>
              <w:snapToGrid w:val="0"/>
              <w:jc w:val="center"/>
              <w:rPr>
                <w:rFonts w:ascii="宋体" w:hAnsi="宋体"/>
                <w:sz w:val="18"/>
                <w:szCs w:val="18"/>
              </w:rPr>
            </w:pPr>
            <w:r>
              <w:rPr>
                <w:rFonts w:ascii="宋体" w:hAnsi="宋体"/>
                <w:sz w:val="18"/>
                <w:szCs w:val="18"/>
              </w:rPr>
              <w:t>表观相对密度（%）</w:t>
            </w: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≧2.6</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≧2.45</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T0304</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Align w:val="center"/>
          </w:tcPr>
          <w:p>
            <w:pPr>
              <w:pStyle w:val="254"/>
              <w:adjustRightInd w:val="0"/>
              <w:snapToGrid w:val="0"/>
              <w:jc w:val="center"/>
              <w:rPr>
                <w:rFonts w:ascii="宋体" w:hAnsi="宋体"/>
                <w:sz w:val="18"/>
                <w:szCs w:val="18"/>
              </w:rPr>
            </w:pPr>
            <w:r>
              <w:rPr>
                <w:rFonts w:ascii="宋体" w:hAnsi="宋体"/>
                <w:sz w:val="18"/>
                <w:szCs w:val="18"/>
              </w:rPr>
              <w:t>吸水率（%）</w:t>
            </w: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≦2.0</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≦3.0</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T0304</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Align w:val="center"/>
          </w:tcPr>
          <w:p>
            <w:pPr>
              <w:pStyle w:val="254"/>
              <w:adjustRightInd w:val="0"/>
              <w:snapToGrid w:val="0"/>
              <w:jc w:val="center"/>
              <w:rPr>
                <w:rFonts w:ascii="宋体" w:hAnsi="宋体"/>
                <w:sz w:val="18"/>
                <w:szCs w:val="18"/>
              </w:rPr>
            </w:pPr>
            <w:r>
              <w:rPr>
                <w:rFonts w:ascii="宋体" w:hAnsi="宋体"/>
                <w:sz w:val="18"/>
                <w:szCs w:val="18"/>
              </w:rPr>
              <w:t>坚固性（%）</w:t>
            </w: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≦12</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T0314</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Merge w:val="restart"/>
            <w:vAlign w:val="center"/>
          </w:tcPr>
          <w:p>
            <w:pPr>
              <w:pStyle w:val="254"/>
              <w:adjustRightInd w:val="0"/>
              <w:snapToGrid w:val="0"/>
              <w:jc w:val="center"/>
              <w:rPr>
                <w:rFonts w:ascii="宋体" w:hAnsi="宋体"/>
                <w:sz w:val="18"/>
                <w:szCs w:val="18"/>
              </w:rPr>
            </w:pPr>
            <w:r>
              <w:rPr>
                <w:rFonts w:ascii="宋体" w:hAnsi="宋体"/>
                <w:sz w:val="18"/>
                <w:szCs w:val="18"/>
              </w:rPr>
              <w:t>针片状颗粒含量（混合料）（%）</w:t>
            </w:r>
          </w:p>
          <w:p>
            <w:pPr>
              <w:pStyle w:val="254"/>
              <w:adjustRightInd w:val="0"/>
              <w:snapToGrid w:val="0"/>
              <w:jc w:val="center"/>
              <w:rPr>
                <w:rFonts w:ascii="宋体" w:hAnsi="宋体"/>
                <w:sz w:val="18"/>
                <w:szCs w:val="18"/>
              </w:rPr>
            </w:pPr>
            <w:r>
              <w:rPr>
                <w:rFonts w:ascii="宋体" w:hAnsi="宋体"/>
                <w:sz w:val="18"/>
                <w:szCs w:val="18"/>
              </w:rPr>
              <w:t>其中粒径大于9.5mm</w:t>
            </w:r>
          </w:p>
          <w:p>
            <w:pPr>
              <w:pStyle w:val="254"/>
              <w:adjustRightInd w:val="0"/>
              <w:snapToGrid w:val="0"/>
              <w:jc w:val="center"/>
              <w:rPr>
                <w:rFonts w:ascii="宋体" w:hAnsi="宋体"/>
                <w:sz w:val="18"/>
                <w:szCs w:val="18"/>
              </w:rPr>
            </w:pPr>
            <w:r>
              <w:rPr>
                <w:rFonts w:ascii="宋体" w:hAnsi="宋体"/>
                <w:sz w:val="18"/>
                <w:szCs w:val="18"/>
              </w:rPr>
              <w:t>其中粒径小于9.5mm</w:t>
            </w: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≦15</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≦20</w:t>
            </w:r>
          </w:p>
        </w:tc>
        <w:tc>
          <w:tcPr>
            <w:tcW w:w="2126" w:type="dxa"/>
            <w:vMerge w:val="restart"/>
            <w:vAlign w:val="center"/>
          </w:tcPr>
          <w:p>
            <w:pPr>
              <w:pStyle w:val="254"/>
              <w:adjustRightInd w:val="0"/>
              <w:snapToGrid w:val="0"/>
              <w:jc w:val="center"/>
              <w:rPr>
                <w:rFonts w:ascii="宋体" w:hAnsi="宋体"/>
                <w:sz w:val="18"/>
                <w:szCs w:val="18"/>
              </w:rPr>
            </w:pPr>
            <w:r>
              <w:rPr>
                <w:rFonts w:ascii="宋体" w:hAnsi="宋体"/>
                <w:sz w:val="18"/>
                <w:szCs w:val="18"/>
              </w:rPr>
              <w:t>T0312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Merge w:val="continue"/>
            <w:vAlign w:val="center"/>
          </w:tcPr>
          <w:p>
            <w:pPr>
              <w:pStyle w:val="254"/>
              <w:adjustRightInd w:val="0"/>
              <w:snapToGrid w:val="0"/>
              <w:jc w:val="center"/>
              <w:rPr>
                <w:rFonts w:ascii="宋体" w:hAnsi="宋体"/>
                <w:sz w:val="18"/>
                <w:szCs w:val="18"/>
              </w:rPr>
            </w:pP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≦12</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w:t>
            </w:r>
          </w:p>
        </w:tc>
        <w:tc>
          <w:tcPr>
            <w:tcW w:w="2126" w:type="dxa"/>
            <w:vMerge w:val="continue"/>
            <w:vAlign w:val="center"/>
          </w:tcPr>
          <w:p>
            <w:pPr>
              <w:pStyle w:val="254"/>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Merge w:val="continue"/>
            <w:vAlign w:val="center"/>
          </w:tcPr>
          <w:p>
            <w:pPr>
              <w:pStyle w:val="254"/>
              <w:adjustRightInd w:val="0"/>
              <w:snapToGrid w:val="0"/>
              <w:jc w:val="center"/>
              <w:rPr>
                <w:rFonts w:ascii="宋体" w:hAnsi="宋体"/>
                <w:sz w:val="18"/>
                <w:szCs w:val="18"/>
              </w:rPr>
            </w:pP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≦18</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w:t>
            </w:r>
          </w:p>
        </w:tc>
        <w:tc>
          <w:tcPr>
            <w:tcW w:w="2126" w:type="dxa"/>
            <w:vMerge w:val="continue"/>
            <w:vAlign w:val="center"/>
          </w:tcPr>
          <w:p>
            <w:pPr>
              <w:pStyle w:val="254"/>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Align w:val="center"/>
          </w:tcPr>
          <w:p>
            <w:pPr>
              <w:pStyle w:val="254"/>
              <w:adjustRightInd w:val="0"/>
              <w:snapToGrid w:val="0"/>
              <w:jc w:val="center"/>
              <w:rPr>
                <w:rFonts w:ascii="宋体" w:hAnsi="宋体"/>
                <w:sz w:val="18"/>
                <w:szCs w:val="18"/>
              </w:rPr>
            </w:pPr>
            <w:r>
              <w:rPr>
                <w:rFonts w:ascii="宋体" w:hAnsi="宋体"/>
                <w:sz w:val="18"/>
                <w:szCs w:val="18"/>
              </w:rPr>
              <w:t>水洗法&lt;0.075mm颗粒含量（%）</w:t>
            </w: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≦1</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≦1</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T0310</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922" w:type="dxa"/>
            <w:vAlign w:val="center"/>
          </w:tcPr>
          <w:p>
            <w:pPr>
              <w:pStyle w:val="254"/>
              <w:adjustRightInd w:val="0"/>
              <w:snapToGrid w:val="0"/>
              <w:jc w:val="center"/>
              <w:rPr>
                <w:rFonts w:ascii="宋体" w:hAnsi="宋体"/>
                <w:sz w:val="18"/>
                <w:szCs w:val="18"/>
              </w:rPr>
            </w:pPr>
            <w:r>
              <w:rPr>
                <w:rFonts w:ascii="宋体" w:hAnsi="宋体"/>
                <w:sz w:val="18"/>
                <w:szCs w:val="18"/>
              </w:rPr>
              <w:t>软石含量（%）</w:t>
            </w:r>
          </w:p>
        </w:tc>
        <w:tc>
          <w:tcPr>
            <w:tcW w:w="1369" w:type="dxa"/>
            <w:vAlign w:val="center"/>
          </w:tcPr>
          <w:p>
            <w:pPr>
              <w:pStyle w:val="254"/>
              <w:adjustRightInd w:val="0"/>
              <w:snapToGrid w:val="0"/>
              <w:jc w:val="center"/>
              <w:rPr>
                <w:rFonts w:ascii="宋体" w:hAnsi="宋体"/>
                <w:sz w:val="18"/>
                <w:szCs w:val="18"/>
              </w:rPr>
            </w:pPr>
            <w:r>
              <w:rPr>
                <w:rFonts w:ascii="宋体" w:hAnsi="宋体"/>
                <w:sz w:val="18"/>
                <w:szCs w:val="18"/>
              </w:rPr>
              <w:t>≦3</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≦5</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T0320</w:t>
            </w:r>
          </w:p>
        </w:tc>
      </w:tr>
    </w:tbl>
    <w:p>
      <w:pPr>
        <w:adjustRightInd w:val="0"/>
        <w:snapToGrid w:val="0"/>
        <w:spacing w:before="203" w:beforeLines="50" w:line="360" w:lineRule="auto"/>
        <w:jc w:val="center"/>
        <w:rPr>
          <w:rFonts w:ascii="宋体" w:hAnsi="宋体"/>
          <w:kern w:val="0"/>
          <w:sz w:val="18"/>
          <w:szCs w:val="18"/>
        </w:rPr>
      </w:pPr>
      <w:r>
        <w:rPr>
          <w:rFonts w:ascii="宋体" w:hAnsi="宋体"/>
          <w:sz w:val="18"/>
          <w:szCs w:val="18"/>
        </w:rPr>
        <w:t>表</w:t>
      </w:r>
      <w:r>
        <w:rPr>
          <w:rFonts w:ascii="宋体" w:hAnsi="宋体"/>
          <w:kern w:val="0"/>
          <w:sz w:val="18"/>
          <w:szCs w:val="18"/>
        </w:rPr>
        <w:t>4-4-9</w:t>
      </w:r>
      <w:r>
        <w:rPr>
          <w:rFonts w:hint="eastAsia" w:ascii="宋体" w:hAnsi="宋体"/>
          <w:sz w:val="18"/>
          <w:szCs w:val="18"/>
        </w:rPr>
        <w:t xml:space="preserve">   </w:t>
      </w:r>
      <w:r>
        <w:rPr>
          <w:rFonts w:ascii="宋体" w:hAnsi="宋体"/>
          <w:kern w:val="0"/>
          <w:sz w:val="18"/>
          <w:szCs w:val="18"/>
        </w:rPr>
        <w:t xml:space="preserve">沥青面层用粗集料规格             </w:t>
      </w:r>
    </w:p>
    <w:tbl>
      <w:tblPr>
        <w:tblStyle w:val="77"/>
        <w:tblW w:w="7306"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644"/>
        <w:gridCol w:w="1559"/>
        <w:gridCol w:w="709"/>
        <w:gridCol w:w="992"/>
        <w:gridCol w:w="992"/>
        <w:gridCol w:w="993"/>
        <w:gridCol w:w="708"/>
        <w:gridCol w:w="709"/>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tblHeader/>
          <w:jc w:val="center"/>
        </w:trPr>
        <w:tc>
          <w:tcPr>
            <w:tcW w:w="644" w:type="dxa"/>
            <w:vMerge w:val="restart"/>
            <w:vAlign w:val="center"/>
          </w:tcPr>
          <w:p>
            <w:pPr>
              <w:pStyle w:val="254"/>
              <w:adjustRightInd w:val="0"/>
              <w:snapToGrid w:val="0"/>
              <w:jc w:val="center"/>
              <w:rPr>
                <w:rFonts w:ascii="宋体" w:hAnsi="宋体"/>
                <w:sz w:val="18"/>
                <w:szCs w:val="18"/>
              </w:rPr>
            </w:pPr>
            <w:r>
              <w:rPr>
                <w:rFonts w:ascii="宋体" w:hAnsi="宋体"/>
                <w:sz w:val="18"/>
                <w:szCs w:val="18"/>
              </w:rPr>
              <w:t>规格</w:t>
            </w:r>
          </w:p>
        </w:tc>
        <w:tc>
          <w:tcPr>
            <w:tcW w:w="1559" w:type="dxa"/>
            <w:vMerge w:val="restart"/>
            <w:vAlign w:val="center"/>
          </w:tcPr>
          <w:p>
            <w:pPr>
              <w:pStyle w:val="254"/>
              <w:adjustRightInd w:val="0"/>
              <w:snapToGrid w:val="0"/>
              <w:jc w:val="center"/>
              <w:rPr>
                <w:rFonts w:ascii="宋体" w:hAnsi="宋体"/>
                <w:sz w:val="18"/>
                <w:szCs w:val="18"/>
              </w:rPr>
            </w:pPr>
            <w:r>
              <w:rPr>
                <w:rFonts w:ascii="宋体" w:hAnsi="宋体"/>
                <w:sz w:val="18"/>
                <w:szCs w:val="18"/>
              </w:rPr>
              <w:t>公称粒径（mm）</w:t>
            </w:r>
          </w:p>
        </w:tc>
        <w:tc>
          <w:tcPr>
            <w:tcW w:w="5103" w:type="dxa"/>
            <w:gridSpan w:val="6"/>
            <w:vAlign w:val="center"/>
          </w:tcPr>
          <w:p>
            <w:pPr>
              <w:pStyle w:val="254"/>
              <w:adjustRightInd w:val="0"/>
              <w:snapToGrid w:val="0"/>
              <w:jc w:val="center"/>
              <w:rPr>
                <w:rFonts w:ascii="宋体" w:hAnsi="宋体"/>
                <w:sz w:val="18"/>
                <w:szCs w:val="18"/>
              </w:rPr>
            </w:pPr>
            <w:r>
              <w:rPr>
                <w:rFonts w:ascii="宋体" w:hAnsi="宋体"/>
                <w:sz w:val="18"/>
                <w:szCs w:val="18"/>
              </w:rPr>
              <w:t>通过各个筛孔的质量百分率（％）</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tblHeader/>
          <w:jc w:val="center"/>
        </w:trPr>
        <w:tc>
          <w:tcPr>
            <w:tcW w:w="644" w:type="dxa"/>
            <w:vMerge w:val="continue"/>
            <w:vAlign w:val="center"/>
          </w:tcPr>
          <w:p>
            <w:pPr>
              <w:pStyle w:val="254"/>
              <w:adjustRightInd w:val="0"/>
              <w:snapToGrid w:val="0"/>
              <w:jc w:val="center"/>
              <w:rPr>
                <w:rFonts w:ascii="宋体" w:hAnsi="宋体"/>
                <w:sz w:val="18"/>
                <w:szCs w:val="18"/>
              </w:rPr>
            </w:pPr>
          </w:p>
        </w:tc>
        <w:tc>
          <w:tcPr>
            <w:tcW w:w="1559" w:type="dxa"/>
            <w:vMerge w:val="continue"/>
            <w:vAlign w:val="center"/>
          </w:tcPr>
          <w:p>
            <w:pPr>
              <w:pStyle w:val="254"/>
              <w:adjustRightInd w:val="0"/>
              <w:snapToGrid w:val="0"/>
              <w:jc w:val="center"/>
              <w:rPr>
                <w:rFonts w:ascii="宋体" w:hAnsi="宋体"/>
                <w:sz w:val="18"/>
                <w:szCs w:val="18"/>
              </w:rPr>
            </w:pPr>
          </w:p>
        </w:tc>
        <w:tc>
          <w:tcPr>
            <w:tcW w:w="709" w:type="dxa"/>
            <w:vAlign w:val="center"/>
          </w:tcPr>
          <w:p>
            <w:pPr>
              <w:pStyle w:val="254"/>
              <w:adjustRightInd w:val="0"/>
              <w:snapToGrid w:val="0"/>
              <w:jc w:val="center"/>
              <w:rPr>
                <w:rFonts w:ascii="宋体" w:hAnsi="宋体"/>
                <w:sz w:val="18"/>
                <w:szCs w:val="18"/>
              </w:rPr>
            </w:pPr>
            <w:r>
              <w:rPr>
                <w:rFonts w:ascii="宋体" w:hAnsi="宋体"/>
                <w:sz w:val="18"/>
                <w:szCs w:val="18"/>
              </w:rPr>
              <w:t>19.0</w:t>
            </w:r>
          </w:p>
        </w:tc>
        <w:tc>
          <w:tcPr>
            <w:tcW w:w="992" w:type="dxa"/>
            <w:vAlign w:val="center"/>
          </w:tcPr>
          <w:p>
            <w:pPr>
              <w:pStyle w:val="254"/>
              <w:adjustRightInd w:val="0"/>
              <w:snapToGrid w:val="0"/>
              <w:jc w:val="center"/>
              <w:rPr>
                <w:rFonts w:ascii="宋体" w:hAnsi="宋体"/>
                <w:sz w:val="18"/>
                <w:szCs w:val="18"/>
              </w:rPr>
            </w:pPr>
            <w:r>
              <w:rPr>
                <w:rFonts w:ascii="宋体" w:hAnsi="宋体"/>
                <w:sz w:val="18"/>
                <w:szCs w:val="18"/>
              </w:rPr>
              <w:t>13.2</w:t>
            </w:r>
          </w:p>
        </w:tc>
        <w:tc>
          <w:tcPr>
            <w:tcW w:w="992" w:type="dxa"/>
            <w:vAlign w:val="center"/>
          </w:tcPr>
          <w:p>
            <w:pPr>
              <w:pStyle w:val="254"/>
              <w:adjustRightInd w:val="0"/>
              <w:snapToGrid w:val="0"/>
              <w:jc w:val="center"/>
              <w:rPr>
                <w:rFonts w:ascii="宋体" w:hAnsi="宋体"/>
                <w:sz w:val="18"/>
                <w:szCs w:val="18"/>
              </w:rPr>
            </w:pPr>
            <w:r>
              <w:rPr>
                <w:rFonts w:ascii="宋体" w:hAnsi="宋体"/>
                <w:sz w:val="18"/>
                <w:szCs w:val="18"/>
              </w:rPr>
              <w:t>9.5</w:t>
            </w:r>
          </w:p>
        </w:tc>
        <w:tc>
          <w:tcPr>
            <w:tcW w:w="993" w:type="dxa"/>
            <w:vAlign w:val="center"/>
          </w:tcPr>
          <w:p>
            <w:pPr>
              <w:pStyle w:val="254"/>
              <w:adjustRightInd w:val="0"/>
              <w:snapToGrid w:val="0"/>
              <w:jc w:val="center"/>
              <w:rPr>
                <w:rFonts w:ascii="宋体" w:hAnsi="宋体"/>
                <w:sz w:val="18"/>
                <w:szCs w:val="18"/>
              </w:rPr>
            </w:pPr>
            <w:r>
              <w:rPr>
                <w:rFonts w:ascii="宋体" w:hAnsi="宋体"/>
                <w:sz w:val="18"/>
                <w:szCs w:val="18"/>
              </w:rPr>
              <w:t>4.75</w:t>
            </w:r>
          </w:p>
        </w:tc>
        <w:tc>
          <w:tcPr>
            <w:tcW w:w="708" w:type="dxa"/>
            <w:vAlign w:val="center"/>
          </w:tcPr>
          <w:p>
            <w:pPr>
              <w:pStyle w:val="254"/>
              <w:adjustRightInd w:val="0"/>
              <w:snapToGrid w:val="0"/>
              <w:jc w:val="center"/>
              <w:rPr>
                <w:rFonts w:ascii="宋体" w:hAnsi="宋体"/>
                <w:sz w:val="18"/>
                <w:szCs w:val="18"/>
              </w:rPr>
            </w:pPr>
            <w:r>
              <w:rPr>
                <w:rFonts w:ascii="宋体" w:hAnsi="宋体"/>
                <w:sz w:val="18"/>
                <w:szCs w:val="18"/>
              </w:rPr>
              <w:t>2.36</w:t>
            </w:r>
          </w:p>
        </w:tc>
        <w:tc>
          <w:tcPr>
            <w:tcW w:w="709" w:type="dxa"/>
            <w:vAlign w:val="center"/>
          </w:tcPr>
          <w:p>
            <w:pPr>
              <w:pStyle w:val="254"/>
              <w:adjustRightInd w:val="0"/>
              <w:snapToGrid w:val="0"/>
              <w:jc w:val="center"/>
              <w:rPr>
                <w:rFonts w:ascii="宋体" w:hAnsi="宋体"/>
                <w:sz w:val="18"/>
                <w:szCs w:val="18"/>
              </w:rPr>
            </w:pPr>
            <w:r>
              <w:rPr>
                <w:rFonts w:ascii="宋体" w:hAnsi="宋体"/>
                <w:sz w:val="18"/>
                <w:szCs w:val="18"/>
              </w:rPr>
              <w:t>0.6</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644" w:type="dxa"/>
            <w:vAlign w:val="center"/>
          </w:tcPr>
          <w:p>
            <w:pPr>
              <w:pStyle w:val="254"/>
              <w:adjustRightInd w:val="0"/>
              <w:snapToGrid w:val="0"/>
              <w:jc w:val="center"/>
              <w:rPr>
                <w:rFonts w:ascii="宋体" w:hAnsi="宋体"/>
                <w:sz w:val="18"/>
                <w:szCs w:val="18"/>
              </w:rPr>
            </w:pPr>
            <w:r>
              <w:rPr>
                <w:rFonts w:ascii="宋体" w:hAnsi="宋体"/>
                <w:sz w:val="18"/>
                <w:szCs w:val="18"/>
              </w:rPr>
              <w:t>S10</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10～15</w:t>
            </w:r>
          </w:p>
        </w:tc>
        <w:tc>
          <w:tcPr>
            <w:tcW w:w="709" w:type="dxa"/>
            <w:vAlign w:val="center"/>
          </w:tcPr>
          <w:p>
            <w:pPr>
              <w:pStyle w:val="254"/>
              <w:adjustRightInd w:val="0"/>
              <w:snapToGrid w:val="0"/>
              <w:jc w:val="center"/>
              <w:rPr>
                <w:rFonts w:ascii="宋体" w:hAnsi="宋体"/>
                <w:sz w:val="18"/>
                <w:szCs w:val="18"/>
              </w:rPr>
            </w:pPr>
            <w:r>
              <w:rPr>
                <w:rFonts w:ascii="宋体" w:hAnsi="宋体"/>
                <w:sz w:val="18"/>
                <w:szCs w:val="18"/>
              </w:rPr>
              <w:t>100</w:t>
            </w:r>
          </w:p>
        </w:tc>
        <w:tc>
          <w:tcPr>
            <w:tcW w:w="992" w:type="dxa"/>
            <w:vAlign w:val="center"/>
          </w:tcPr>
          <w:p>
            <w:pPr>
              <w:pStyle w:val="254"/>
              <w:adjustRightInd w:val="0"/>
              <w:snapToGrid w:val="0"/>
              <w:jc w:val="center"/>
              <w:rPr>
                <w:rFonts w:ascii="宋体" w:hAnsi="宋体"/>
                <w:sz w:val="18"/>
                <w:szCs w:val="18"/>
              </w:rPr>
            </w:pPr>
            <w:r>
              <w:rPr>
                <w:rFonts w:ascii="宋体" w:hAnsi="宋体"/>
                <w:sz w:val="18"/>
                <w:szCs w:val="18"/>
              </w:rPr>
              <w:t>90～100</w:t>
            </w:r>
          </w:p>
        </w:tc>
        <w:tc>
          <w:tcPr>
            <w:tcW w:w="992" w:type="dxa"/>
            <w:vAlign w:val="center"/>
          </w:tcPr>
          <w:p>
            <w:pPr>
              <w:pStyle w:val="254"/>
              <w:adjustRightInd w:val="0"/>
              <w:snapToGrid w:val="0"/>
              <w:jc w:val="center"/>
              <w:rPr>
                <w:rFonts w:ascii="宋体" w:hAnsi="宋体"/>
                <w:sz w:val="18"/>
                <w:szCs w:val="18"/>
              </w:rPr>
            </w:pPr>
            <w:r>
              <w:rPr>
                <w:rFonts w:ascii="宋体" w:hAnsi="宋体"/>
                <w:sz w:val="18"/>
                <w:szCs w:val="18"/>
              </w:rPr>
              <w:t>0～15</w:t>
            </w:r>
          </w:p>
        </w:tc>
        <w:tc>
          <w:tcPr>
            <w:tcW w:w="993" w:type="dxa"/>
            <w:vAlign w:val="center"/>
          </w:tcPr>
          <w:p>
            <w:pPr>
              <w:pStyle w:val="254"/>
              <w:adjustRightInd w:val="0"/>
              <w:snapToGrid w:val="0"/>
              <w:jc w:val="center"/>
              <w:rPr>
                <w:rFonts w:ascii="宋体" w:hAnsi="宋体"/>
                <w:sz w:val="18"/>
                <w:szCs w:val="18"/>
              </w:rPr>
            </w:pPr>
            <w:r>
              <w:rPr>
                <w:rFonts w:ascii="宋体" w:hAnsi="宋体"/>
                <w:sz w:val="18"/>
                <w:szCs w:val="18"/>
              </w:rPr>
              <w:t>0～5</w:t>
            </w:r>
          </w:p>
        </w:tc>
        <w:tc>
          <w:tcPr>
            <w:tcW w:w="708" w:type="dxa"/>
            <w:vAlign w:val="center"/>
          </w:tcPr>
          <w:p>
            <w:pPr>
              <w:pStyle w:val="254"/>
              <w:adjustRightInd w:val="0"/>
              <w:snapToGrid w:val="0"/>
              <w:jc w:val="center"/>
              <w:rPr>
                <w:rFonts w:ascii="宋体" w:hAnsi="宋体"/>
                <w:sz w:val="18"/>
                <w:szCs w:val="18"/>
              </w:rPr>
            </w:pPr>
          </w:p>
        </w:tc>
        <w:tc>
          <w:tcPr>
            <w:tcW w:w="709" w:type="dxa"/>
            <w:vAlign w:val="center"/>
          </w:tcPr>
          <w:p>
            <w:pPr>
              <w:pStyle w:val="254"/>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644" w:type="dxa"/>
            <w:vAlign w:val="center"/>
          </w:tcPr>
          <w:p>
            <w:pPr>
              <w:pStyle w:val="254"/>
              <w:adjustRightInd w:val="0"/>
              <w:snapToGrid w:val="0"/>
              <w:jc w:val="center"/>
              <w:rPr>
                <w:rFonts w:ascii="宋体" w:hAnsi="宋体"/>
                <w:sz w:val="18"/>
                <w:szCs w:val="18"/>
              </w:rPr>
            </w:pPr>
            <w:r>
              <w:rPr>
                <w:rFonts w:ascii="宋体" w:hAnsi="宋体"/>
                <w:sz w:val="18"/>
                <w:szCs w:val="18"/>
              </w:rPr>
              <w:t>S12</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5～10</w:t>
            </w:r>
          </w:p>
        </w:tc>
        <w:tc>
          <w:tcPr>
            <w:tcW w:w="709" w:type="dxa"/>
            <w:vAlign w:val="center"/>
          </w:tcPr>
          <w:p>
            <w:pPr>
              <w:pStyle w:val="254"/>
              <w:adjustRightInd w:val="0"/>
              <w:snapToGrid w:val="0"/>
              <w:jc w:val="center"/>
              <w:rPr>
                <w:rFonts w:ascii="宋体" w:hAnsi="宋体"/>
                <w:sz w:val="18"/>
                <w:szCs w:val="18"/>
              </w:rPr>
            </w:pPr>
          </w:p>
        </w:tc>
        <w:tc>
          <w:tcPr>
            <w:tcW w:w="992" w:type="dxa"/>
            <w:vAlign w:val="center"/>
          </w:tcPr>
          <w:p>
            <w:pPr>
              <w:pStyle w:val="254"/>
              <w:adjustRightInd w:val="0"/>
              <w:snapToGrid w:val="0"/>
              <w:jc w:val="center"/>
              <w:rPr>
                <w:rFonts w:ascii="宋体" w:hAnsi="宋体"/>
                <w:sz w:val="18"/>
                <w:szCs w:val="18"/>
              </w:rPr>
            </w:pPr>
            <w:r>
              <w:rPr>
                <w:rFonts w:ascii="宋体" w:hAnsi="宋体"/>
                <w:sz w:val="18"/>
                <w:szCs w:val="18"/>
              </w:rPr>
              <w:t>100</w:t>
            </w:r>
          </w:p>
        </w:tc>
        <w:tc>
          <w:tcPr>
            <w:tcW w:w="992" w:type="dxa"/>
            <w:vAlign w:val="center"/>
          </w:tcPr>
          <w:p>
            <w:pPr>
              <w:pStyle w:val="254"/>
              <w:adjustRightInd w:val="0"/>
              <w:snapToGrid w:val="0"/>
              <w:jc w:val="center"/>
              <w:rPr>
                <w:rFonts w:ascii="宋体" w:hAnsi="宋体"/>
                <w:sz w:val="18"/>
                <w:szCs w:val="18"/>
              </w:rPr>
            </w:pPr>
            <w:r>
              <w:rPr>
                <w:rFonts w:ascii="宋体" w:hAnsi="宋体"/>
                <w:sz w:val="18"/>
                <w:szCs w:val="18"/>
              </w:rPr>
              <w:t>90～100</w:t>
            </w:r>
          </w:p>
        </w:tc>
        <w:tc>
          <w:tcPr>
            <w:tcW w:w="993" w:type="dxa"/>
            <w:vAlign w:val="center"/>
          </w:tcPr>
          <w:p>
            <w:pPr>
              <w:pStyle w:val="254"/>
              <w:adjustRightInd w:val="0"/>
              <w:snapToGrid w:val="0"/>
              <w:jc w:val="center"/>
              <w:rPr>
                <w:rFonts w:ascii="宋体" w:hAnsi="宋体"/>
                <w:sz w:val="18"/>
                <w:szCs w:val="18"/>
              </w:rPr>
            </w:pPr>
            <w:r>
              <w:rPr>
                <w:rFonts w:ascii="宋体" w:hAnsi="宋体"/>
                <w:sz w:val="18"/>
                <w:szCs w:val="18"/>
              </w:rPr>
              <w:t>0～15</w:t>
            </w:r>
          </w:p>
        </w:tc>
        <w:tc>
          <w:tcPr>
            <w:tcW w:w="708" w:type="dxa"/>
            <w:vAlign w:val="center"/>
          </w:tcPr>
          <w:p>
            <w:pPr>
              <w:pStyle w:val="254"/>
              <w:adjustRightInd w:val="0"/>
              <w:snapToGrid w:val="0"/>
              <w:jc w:val="center"/>
              <w:rPr>
                <w:rFonts w:ascii="宋体" w:hAnsi="宋体"/>
                <w:sz w:val="18"/>
                <w:szCs w:val="18"/>
              </w:rPr>
            </w:pPr>
            <w:r>
              <w:rPr>
                <w:rFonts w:ascii="宋体" w:hAnsi="宋体"/>
                <w:sz w:val="18"/>
                <w:szCs w:val="18"/>
              </w:rPr>
              <w:t>0～5</w:t>
            </w:r>
          </w:p>
        </w:tc>
        <w:tc>
          <w:tcPr>
            <w:tcW w:w="709" w:type="dxa"/>
            <w:vAlign w:val="center"/>
          </w:tcPr>
          <w:p>
            <w:pPr>
              <w:pStyle w:val="254"/>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644" w:type="dxa"/>
            <w:vAlign w:val="center"/>
          </w:tcPr>
          <w:p>
            <w:pPr>
              <w:pStyle w:val="254"/>
              <w:adjustRightInd w:val="0"/>
              <w:snapToGrid w:val="0"/>
              <w:jc w:val="center"/>
              <w:rPr>
                <w:rFonts w:ascii="宋体" w:hAnsi="宋体"/>
                <w:sz w:val="18"/>
                <w:szCs w:val="18"/>
              </w:rPr>
            </w:pPr>
            <w:r>
              <w:rPr>
                <w:rFonts w:ascii="宋体" w:hAnsi="宋体"/>
                <w:sz w:val="18"/>
                <w:szCs w:val="18"/>
              </w:rPr>
              <w:t>S14</w:t>
            </w:r>
          </w:p>
        </w:tc>
        <w:tc>
          <w:tcPr>
            <w:tcW w:w="1559" w:type="dxa"/>
            <w:vAlign w:val="center"/>
          </w:tcPr>
          <w:p>
            <w:pPr>
              <w:pStyle w:val="254"/>
              <w:adjustRightInd w:val="0"/>
              <w:snapToGrid w:val="0"/>
              <w:jc w:val="center"/>
              <w:rPr>
                <w:rFonts w:ascii="宋体" w:hAnsi="宋体"/>
                <w:sz w:val="18"/>
                <w:szCs w:val="18"/>
              </w:rPr>
            </w:pPr>
            <w:r>
              <w:rPr>
                <w:rFonts w:ascii="宋体" w:hAnsi="宋体"/>
                <w:sz w:val="18"/>
                <w:szCs w:val="18"/>
              </w:rPr>
              <w:t>3～5</w:t>
            </w:r>
          </w:p>
        </w:tc>
        <w:tc>
          <w:tcPr>
            <w:tcW w:w="709" w:type="dxa"/>
            <w:vAlign w:val="center"/>
          </w:tcPr>
          <w:p>
            <w:pPr>
              <w:pStyle w:val="254"/>
              <w:adjustRightInd w:val="0"/>
              <w:snapToGrid w:val="0"/>
              <w:jc w:val="center"/>
              <w:rPr>
                <w:rFonts w:ascii="宋体" w:hAnsi="宋体"/>
                <w:sz w:val="18"/>
                <w:szCs w:val="18"/>
              </w:rPr>
            </w:pPr>
          </w:p>
        </w:tc>
        <w:tc>
          <w:tcPr>
            <w:tcW w:w="992" w:type="dxa"/>
            <w:vAlign w:val="center"/>
          </w:tcPr>
          <w:p>
            <w:pPr>
              <w:pStyle w:val="254"/>
              <w:adjustRightInd w:val="0"/>
              <w:snapToGrid w:val="0"/>
              <w:jc w:val="center"/>
              <w:rPr>
                <w:rFonts w:ascii="宋体" w:hAnsi="宋体"/>
                <w:sz w:val="18"/>
                <w:szCs w:val="18"/>
              </w:rPr>
            </w:pPr>
          </w:p>
        </w:tc>
        <w:tc>
          <w:tcPr>
            <w:tcW w:w="992" w:type="dxa"/>
            <w:vAlign w:val="center"/>
          </w:tcPr>
          <w:p>
            <w:pPr>
              <w:pStyle w:val="254"/>
              <w:adjustRightInd w:val="0"/>
              <w:snapToGrid w:val="0"/>
              <w:jc w:val="center"/>
              <w:rPr>
                <w:rFonts w:ascii="宋体" w:hAnsi="宋体"/>
                <w:sz w:val="18"/>
                <w:szCs w:val="18"/>
              </w:rPr>
            </w:pPr>
            <w:r>
              <w:rPr>
                <w:rFonts w:ascii="宋体" w:hAnsi="宋体"/>
                <w:sz w:val="18"/>
                <w:szCs w:val="18"/>
              </w:rPr>
              <w:t>100</w:t>
            </w:r>
          </w:p>
        </w:tc>
        <w:tc>
          <w:tcPr>
            <w:tcW w:w="993" w:type="dxa"/>
            <w:vAlign w:val="center"/>
          </w:tcPr>
          <w:p>
            <w:pPr>
              <w:pStyle w:val="254"/>
              <w:adjustRightInd w:val="0"/>
              <w:snapToGrid w:val="0"/>
              <w:jc w:val="center"/>
              <w:rPr>
                <w:rFonts w:ascii="宋体" w:hAnsi="宋体"/>
                <w:sz w:val="18"/>
                <w:szCs w:val="18"/>
              </w:rPr>
            </w:pPr>
            <w:r>
              <w:rPr>
                <w:rFonts w:ascii="宋体" w:hAnsi="宋体"/>
                <w:sz w:val="18"/>
                <w:szCs w:val="18"/>
              </w:rPr>
              <w:t>90～100</w:t>
            </w:r>
          </w:p>
        </w:tc>
        <w:tc>
          <w:tcPr>
            <w:tcW w:w="708" w:type="dxa"/>
            <w:vAlign w:val="center"/>
          </w:tcPr>
          <w:p>
            <w:pPr>
              <w:pStyle w:val="254"/>
              <w:adjustRightInd w:val="0"/>
              <w:snapToGrid w:val="0"/>
              <w:jc w:val="center"/>
              <w:rPr>
                <w:rFonts w:ascii="宋体" w:hAnsi="宋体"/>
                <w:sz w:val="18"/>
                <w:szCs w:val="18"/>
              </w:rPr>
            </w:pPr>
            <w:r>
              <w:rPr>
                <w:rFonts w:ascii="宋体" w:hAnsi="宋体"/>
                <w:sz w:val="18"/>
                <w:szCs w:val="18"/>
              </w:rPr>
              <w:t>0～15</w:t>
            </w:r>
          </w:p>
        </w:tc>
        <w:tc>
          <w:tcPr>
            <w:tcW w:w="709" w:type="dxa"/>
            <w:vAlign w:val="center"/>
          </w:tcPr>
          <w:p>
            <w:pPr>
              <w:pStyle w:val="254"/>
              <w:adjustRightInd w:val="0"/>
              <w:snapToGrid w:val="0"/>
              <w:jc w:val="center"/>
              <w:rPr>
                <w:rFonts w:ascii="宋体" w:hAnsi="宋体"/>
                <w:sz w:val="18"/>
                <w:szCs w:val="18"/>
              </w:rPr>
            </w:pPr>
            <w:r>
              <w:rPr>
                <w:rFonts w:ascii="宋体" w:hAnsi="宋体"/>
                <w:sz w:val="18"/>
                <w:szCs w:val="18"/>
              </w:rPr>
              <w:t>0～3</w:t>
            </w:r>
          </w:p>
        </w:tc>
      </w:tr>
    </w:tbl>
    <w:p>
      <w:pPr>
        <w:pStyle w:val="1280"/>
        <w:ind w:firstLine="440"/>
        <w:rPr>
          <w:rFonts w:ascii="宋体"/>
        </w:rPr>
      </w:pPr>
      <w:r>
        <w:rPr>
          <w:rFonts w:hint="eastAsia" w:ascii="宋体"/>
        </w:rPr>
        <w:t>2、</w:t>
      </w:r>
      <w:r>
        <w:rPr>
          <w:rFonts w:ascii="宋体"/>
        </w:rPr>
        <w:t>细集料</w:t>
      </w:r>
    </w:p>
    <w:p>
      <w:pPr>
        <w:pStyle w:val="1280"/>
        <w:ind w:firstLine="440"/>
        <w:rPr>
          <w:rFonts w:ascii="宋体"/>
        </w:rPr>
      </w:pPr>
      <w:r>
        <w:rPr>
          <w:rFonts w:hint="eastAsia" w:ascii="宋体"/>
        </w:rPr>
        <w:t>（1）</w:t>
      </w:r>
      <w:r>
        <w:rPr>
          <w:rFonts w:ascii="宋体"/>
        </w:rPr>
        <w:t>细集料可采用天然砂、机制砂、石屑。</w:t>
      </w:r>
    </w:p>
    <w:p>
      <w:pPr>
        <w:pStyle w:val="1280"/>
        <w:ind w:firstLine="440"/>
        <w:rPr>
          <w:rFonts w:ascii="宋体"/>
        </w:rPr>
      </w:pPr>
      <w:r>
        <w:rPr>
          <w:rFonts w:hint="eastAsia" w:ascii="宋体"/>
        </w:rPr>
        <w:t>（2）</w:t>
      </w:r>
      <w:r>
        <w:rPr>
          <w:rFonts w:ascii="宋体"/>
        </w:rPr>
        <w:t>细集料应洁净、干燥、无风化、无杂质或其他有害物质，并有适当的颗粒级配。</w:t>
      </w:r>
    </w:p>
    <w:p>
      <w:pPr>
        <w:pStyle w:val="1280"/>
        <w:ind w:firstLine="440"/>
        <w:rPr>
          <w:rFonts w:ascii="宋体"/>
        </w:rPr>
      </w:pPr>
      <w:r>
        <w:rPr>
          <w:rFonts w:hint="eastAsia" w:ascii="宋体"/>
        </w:rPr>
        <w:t>（3）</w:t>
      </w:r>
      <w:r>
        <w:rPr>
          <w:rFonts w:ascii="宋体"/>
        </w:rPr>
        <w:t>天然砂、机制砂、石屑的规格和细集料的质量技术要求，应符合表4-4-10～4-4-11的要求规定。</w:t>
      </w:r>
    </w:p>
    <w:p>
      <w:pPr>
        <w:adjustRightInd w:val="0"/>
        <w:snapToGrid w:val="0"/>
        <w:spacing w:line="360" w:lineRule="auto"/>
        <w:jc w:val="center"/>
        <w:rPr>
          <w:rFonts w:ascii="宋体" w:hAnsi="宋体"/>
          <w:kern w:val="0"/>
          <w:sz w:val="18"/>
          <w:szCs w:val="18"/>
        </w:rPr>
      </w:pPr>
      <w:r>
        <w:rPr>
          <w:rFonts w:hint="eastAsia" w:ascii="宋体" w:hAnsi="宋体"/>
          <w:kern w:val="0"/>
          <w:sz w:val="18"/>
          <w:szCs w:val="18"/>
        </w:rPr>
        <w:t>表4</w:t>
      </w:r>
      <w:r>
        <w:rPr>
          <w:rFonts w:ascii="宋体" w:hAnsi="宋体"/>
          <w:kern w:val="0"/>
          <w:sz w:val="18"/>
          <w:szCs w:val="18"/>
        </w:rPr>
        <w:t>-4-10 沥青面层</w:t>
      </w:r>
      <w:r>
        <w:rPr>
          <w:rFonts w:hint="eastAsia" w:ascii="宋体" w:hAnsi="宋体"/>
          <w:kern w:val="0"/>
          <w:sz w:val="18"/>
          <w:szCs w:val="18"/>
        </w:rPr>
        <w:t>细集料</w:t>
      </w:r>
      <w:r>
        <w:rPr>
          <w:rFonts w:ascii="宋体" w:hAnsi="宋体"/>
          <w:kern w:val="0"/>
          <w:sz w:val="18"/>
          <w:szCs w:val="18"/>
        </w:rPr>
        <w:t xml:space="preserve">规格              </w:t>
      </w:r>
      <w:r>
        <w:rPr>
          <w:rFonts w:hint="eastAsia" w:ascii="宋体" w:hAnsi="宋体"/>
          <w:kern w:val="0"/>
          <w:sz w:val="18"/>
          <w:szCs w:val="18"/>
        </w:rPr>
        <w:t xml:space="preserve">        </w:t>
      </w:r>
    </w:p>
    <w:tbl>
      <w:tblPr>
        <w:tblStyle w:val="77"/>
        <w:tblW w:w="8190"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677"/>
        <w:gridCol w:w="851"/>
        <w:gridCol w:w="992"/>
        <w:gridCol w:w="992"/>
        <w:gridCol w:w="993"/>
        <w:gridCol w:w="992"/>
        <w:gridCol w:w="992"/>
        <w:gridCol w:w="851"/>
        <w:gridCol w:w="850"/>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677" w:type="dxa"/>
            <w:vMerge w:val="restart"/>
            <w:vAlign w:val="center"/>
          </w:tcPr>
          <w:p>
            <w:pPr>
              <w:adjustRightInd w:val="0"/>
              <w:snapToGrid w:val="0"/>
              <w:jc w:val="center"/>
              <w:rPr>
                <w:rFonts w:ascii="宋体" w:hAnsi="宋体"/>
                <w:sz w:val="18"/>
                <w:szCs w:val="18"/>
              </w:rPr>
            </w:pPr>
            <w:r>
              <w:rPr>
                <w:rFonts w:ascii="宋体" w:hAnsi="宋体"/>
                <w:sz w:val="18"/>
                <w:szCs w:val="18"/>
              </w:rPr>
              <w:t>规格</w:t>
            </w:r>
          </w:p>
        </w:tc>
        <w:tc>
          <w:tcPr>
            <w:tcW w:w="7513" w:type="dxa"/>
            <w:gridSpan w:val="8"/>
            <w:vAlign w:val="center"/>
          </w:tcPr>
          <w:p>
            <w:pPr>
              <w:adjustRightInd w:val="0"/>
              <w:snapToGrid w:val="0"/>
              <w:jc w:val="center"/>
              <w:rPr>
                <w:rFonts w:ascii="宋体" w:hAnsi="宋体"/>
                <w:sz w:val="18"/>
                <w:szCs w:val="18"/>
              </w:rPr>
            </w:pPr>
            <w:r>
              <w:rPr>
                <w:rFonts w:ascii="宋体" w:hAnsi="宋体"/>
                <w:sz w:val="18"/>
                <w:szCs w:val="18"/>
              </w:rPr>
              <w:t>通过下列筛孔（方孔筛mm）的质量百分率（%）</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677" w:type="dxa"/>
            <w:vMerge w:val="continue"/>
            <w:vAlign w:val="center"/>
          </w:tcPr>
          <w:p>
            <w:pPr>
              <w:adjustRightInd w:val="0"/>
              <w:snapToGrid w:val="0"/>
              <w:jc w:val="center"/>
              <w:rPr>
                <w:rFonts w:ascii="宋体" w:hAnsi="宋体"/>
                <w:sz w:val="18"/>
                <w:szCs w:val="18"/>
              </w:rPr>
            </w:pPr>
          </w:p>
        </w:tc>
        <w:tc>
          <w:tcPr>
            <w:tcW w:w="851" w:type="dxa"/>
            <w:vAlign w:val="center"/>
          </w:tcPr>
          <w:p>
            <w:pPr>
              <w:adjustRightInd w:val="0"/>
              <w:snapToGrid w:val="0"/>
              <w:jc w:val="center"/>
              <w:rPr>
                <w:rFonts w:ascii="宋体" w:hAnsi="宋体"/>
                <w:sz w:val="18"/>
                <w:szCs w:val="18"/>
              </w:rPr>
            </w:pPr>
            <w:r>
              <w:rPr>
                <w:rFonts w:ascii="宋体" w:hAnsi="宋体"/>
                <w:sz w:val="18"/>
                <w:szCs w:val="18"/>
              </w:rPr>
              <w:t>9.5</w:t>
            </w:r>
          </w:p>
        </w:tc>
        <w:tc>
          <w:tcPr>
            <w:tcW w:w="992" w:type="dxa"/>
            <w:vAlign w:val="center"/>
          </w:tcPr>
          <w:p>
            <w:pPr>
              <w:adjustRightInd w:val="0"/>
              <w:snapToGrid w:val="0"/>
              <w:jc w:val="center"/>
              <w:rPr>
                <w:rFonts w:ascii="宋体" w:hAnsi="宋体"/>
                <w:sz w:val="18"/>
                <w:szCs w:val="18"/>
              </w:rPr>
            </w:pPr>
            <w:r>
              <w:rPr>
                <w:rFonts w:ascii="宋体" w:hAnsi="宋体"/>
                <w:sz w:val="18"/>
                <w:szCs w:val="18"/>
              </w:rPr>
              <w:t>4.75</w:t>
            </w:r>
          </w:p>
        </w:tc>
        <w:tc>
          <w:tcPr>
            <w:tcW w:w="992" w:type="dxa"/>
            <w:vAlign w:val="center"/>
          </w:tcPr>
          <w:p>
            <w:pPr>
              <w:adjustRightInd w:val="0"/>
              <w:snapToGrid w:val="0"/>
              <w:jc w:val="center"/>
              <w:rPr>
                <w:rFonts w:ascii="宋体" w:hAnsi="宋体"/>
                <w:sz w:val="18"/>
                <w:szCs w:val="18"/>
              </w:rPr>
            </w:pPr>
            <w:r>
              <w:rPr>
                <w:rFonts w:ascii="宋体" w:hAnsi="宋体"/>
                <w:sz w:val="18"/>
                <w:szCs w:val="18"/>
              </w:rPr>
              <w:t>2.36</w:t>
            </w:r>
          </w:p>
        </w:tc>
        <w:tc>
          <w:tcPr>
            <w:tcW w:w="993" w:type="dxa"/>
            <w:vAlign w:val="center"/>
          </w:tcPr>
          <w:p>
            <w:pPr>
              <w:adjustRightInd w:val="0"/>
              <w:snapToGrid w:val="0"/>
              <w:jc w:val="center"/>
              <w:rPr>
                <w:rFonts w:ascii="宋体" w:hAnsi="宋体"/>
                <w:sz w:val="18"/>
                <w:szCs w:val="18"/>
              </w:rPr>
            </w:pPr>
            <w:r>
              <w:rPr>
                <w:rFonts w:ascii="宋体" w:hAnsi="宋体"/>
                <w:sz w:val="18"/>
                <w:szCs w:val="18"/>
              </w:rPr>
              <w:t>1.18</w:t>
            </w:r>
          </w:p>
        </w:tc>
        <w:tc>
          <w:tcPr>
            <w:tcW w:w="992" w:type="dxa"/>
            <w:vAlign w:val="center"/>
          </w:tcPr>
          <w:p>
            <w:pPr>
              <w:adjustRightInd w:val="0"/>
              <w:snapToGrid w:val="0"/>
              <w:jc w:val="center"/>
              <w:rPr>
                <w:rFonts w:ascii="宋体" w:hAnsi="宋体"/>
                <w:sz w:val="18"/>
                <w:szCs w:val="18"/>
              </w:rPr>
            </w:pPr>
            <w:r>
              <w:rPr>
                <w:rFonts w:ascii="宋体" w:hAnsi="宋体"/>
                <w:sz w:val="18"/>
                <w:szCs w:val="18"/>
              </w:rPr>
              <w:t>0.6</w:t>
            </w:r>
          </w:p>
        </w:tc>
        <w:tc>
          <w:tcPr>
            <w:tcW w:w="992" w:type="dxa"/>
            <w:vAlign w:val="center"/>
          </w:tcPr>
          <w:p>
            <w:pPr>
              <w:adjustRightInd w:val="0"/>
              <w:snapToGrid w:val="0"/>
              <w:jc w:val="center"/>
              <w:rPr>
                <w:rFonts w:ascii="宋体" w:hAnsi="宋体"/>
                <w:sz w:val="18"/>
                <w:szCs w:val="18"/>
              </w:rPr>
            </w:pPr>
            <w:r>
              <w:rPr>
                <w:rFonts w:ascii="宋体" w:hAnsi="宋体"/>
                <w:sz w:val="18"/>
                <w:szCs w:val="18"/>
              </w:rPr>
              <w:t>0.3</w:t>
            </w:r>
          </w:p>
        </w:tc>
        <w:tc>
          <w:tcPr>
            <w:tcW w:w="851" w:type="dxa"/>
            <w:vAlign w:val="center"/>
          </w:tcPr>
          <w:p>
            <w:pPr>
              <w:adjustRightInd w:val="0"/>
              <w:snapToGrid w:val="0"/>
              <w:jc w:val="center"/>
              <w:rPr>
                <w:rFonts w:ascii="宋体" w:hAnsi="宋体"/>
                <w:sz w:val="18"/>
                <w:szCs w:val="18"/>
              </w:rPr>
            </w:pPr>
            <w:r>
              <w:rPr>
                <w:rFonts w:ascii="宋体" w:hAnsi="宋体"/>
                <w:sz w:val="18"/>
                <w:szCs w:val="18"/>
              </w:rPr>
              <w:t>0.15</w:t>
            </w:r>
          </w:p>
        </w:tc>
        <w:tc>
          <w:tcPr>
            <w:tcW w:w="850" w:type="dxa"/>
            <w:vAlign w:val="center"/>
          </w:tcPr>
          <w:p>
            <w:pPr>
              <w:adjustRightInd w:val="0"/>
              <w:snapToGrid w:val="0"/>
              <w:jc w:val="center"/>
              <w:rPr>
                <w:rFonts w:ascii="宋体" w:hAnsi="宋体"/>
                <w:sz w:val="18"/>
                <w:szCs w:val="18"/>
              </w:rPr>
            </w:pPr>
            <w:r>
              <w:rPr>
                <w:rFonts w:ascii="宋体" w:hAnsi="宋体"/>
                <w:sz w:val="18"/>
                <w:szCs w:val="18"/>
              </w:rPr>
              <w:t>0.075</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677" w:type="dxa"/>
            <w:vAlign w:val="center"/>
          </w:tcPr>
          <w:p>
            <w:pPr>
              <w:adjustRightInd w:val="0"/>
              <w:snapToGrid w:val="0"/>
              <w:jc w:val="center"/>
              <w:rPr>
                <w:rFonts w:ascii="宋体" w:hAnsi="宋体"/>
                <w:w w:val="90"/>
                <w:sz w:val="18"/>
                <w:szCs w:val="18"/>
              </w:rPr>
            </w:pPr>
            <w:r>
              <w:rPr>
                <w:rFonts w:ascii="宋体" w:hAnsi="宋体"/>
                <w:w w:val="90"/>
                <w:sz w:val="18"/>
                <w:szCs w:val="18"/>
              </w:rPr>
              <w:t>S16</w:t>
            </w:r>
          </w:p>
        </w:tc>
        <w:tc>
          <w:tcPr>
            <w:tcW w:w="851" w:type="dxa"/>
            <w:vAlign w:val="center"/>
          </w:tcPr>
          <w:p>
            <w:pPr>
              <w:adjustRightInd w:val="0"/>
              <w:snapToGrid w:val="0"/>
              <w:jc w:val="center"/>
              <w:rPr>
                <w:rFonts w:ascii="宋体" w:hAnsi="宋体"/>
                <w:w w:val="90"/>
                <w:sz w:val="18"/>
                <w:szCs w:val="18"/>
              </w:rPr>
            </w:pPr>
            <w:r>
              <w:rPr>
                <w:rFonts w:ascii="宋体" w:hAnsi="宋体"/>
                <w:w w:val="90"/>
                <w:sz w:val="18"/>
                <w:szCs w:val="18"/>
              </w:rPr>
              <w:t>—</w:t>
            </w:r>
          </w:p>
        </w:tc>
        <w:tc>
          <w:tcPr>
            <w:tcW w:w="992" w:type="dxa"/>
            <w:vAlign w:val="center"/>
          </w:tcPr>
          <w:p>
            <w:pPr>
              <w:adjustRightInd w:val="0"/>
              <w:snapToGrid w:val="0"/>
              <w:jc w:val="center"/>
              <w:rPr>
                <w:rFonts w:ascii="宋体" w:hAnsi="宋体"/>
                <w:sz w:val="18"/>
                <w:szCs w:val="18"/>
              </w:rPr>
            </w:pPr>
            <w:r>
              <w:rPr>
                <w:rFonts w:ascii="宋体" w:hAnsi="宋体"/>
                <w:sz w:val="18"/>
                <w:szCs w:val="18"/>
              </w:rPr>
              <w:t>100</w:t>
            </w:r>
          </w:p>
        </w:tc>
        <w:tc>
          <w:tcPr>
            <w:tcW w:w="992" w:type="dxa"/>
            <w:vAlign w:val="center"/>
          </w:tcPr>
          <w:p>
            <w:pPr>
              <w:adjustRightInd w:val="0"/>
              <w:snapToGrid w:val="0"/>
              <w:jc w:val="center"/>
              <w:rPr>
                <w:rFonts w:ascii="宋体" w:hAnsi="宋体"/>
                <w:w w:val="90"/>
                <w:sz w:val="18"/>
                <w:szCs w:val="18"/>
              </w:rPr>
            </w:pPr>
            <w:r>
              <w:rPr>
                <w:rFonts w:ascii="宋体" w:hAnsi="宋体"/>
                <w:sz w:val="18"/>
                <w:szCs w:val="18"/>
              </w:rPr>
              <w:t>80～100</w:t>
            </w:r>
          </w:p>
        </w:tc>
        <w:tc>
          <w:tcPr>
            <w:tcW w:w="993" w:type="dxa"/>
            <w:vAlign w:val="center"/>
          </w:tcPr>
          <w:p>
            <w:pPr>
              <w:adjustRightInd w:val="0"/>
              <w:snapToGrid w:val="0"/>
              <w:jc w:val="center"/>
              <w:rPr>
                <w:rFonts w:ascii="宋体" w:hAnsi="宋体"/>
                <w:sz w:val="18"/>
                <w:szCs w:val="18"/>
              </w:rPr>
            </w:pPr>
            <w:r>
              <w:rPr>
                <w:rFonts w:ascii="宋体" w:hAnsi="宋体"/>
                <w:sz w:val="18"/>
                <w:szCs w:val="18"/>
              </w:rPr>
              <w:t>50～80</w:t>
            </w:r>
          </w:p>
        </w:tc>
        <w:tc>
          <w:tcPr>
            <w:tcW w:w="992" w:type="dxa"/>
            <w:vAlign w:val="center"/>
          </w:tcPr>
          <w:p>
            <w:pPr>
              <w:adjustRightInd w:val="0"/>
              <w:snapToGrid w:val="0"/>
              <w:jc w:val="center"/>
              <w:rPr>
                <w:rFonts w:ascii="宋体" w:hAnsi="宋体"/>
                <w:sz w:val="18"/>
                <w:szCs w:val="18"/>
              </w:rPr>
            </w:pPr>
            <w:r>
              <w:rPr>
                <w:rFonts w:ascii="宋体" w:hAnsi="宋体"/>
                <w:sz w:val="18"/>
                <w:szCs w:val="18"/>
              </w:rPr>
              <w:t>25～60</w:t>
            </w:r>
          </w:p>
        </w:tc>
        <w:tc>
          <w:tcPr>
            <w:tcW w:w="992" w:type="dxa"/>
            <w:vAlign w:val="center"/>
          </w:tcPr>
          <w:p>
            <w:pPr>
              <w:adjustRightInd w:val="0"/>
              <w:snapToGrid w:val="0"/>
              <w:jc w:val="center"/>
              <w:rPr>
                <w:rFonts w:ascii="宋体" w:hAnsi="宋体"/>
                <w:sz w:val="18"/>
                <w:szCs w:val="18"/>
              </w:rPr>
            </w:pPr>
            <w:r>
              <w:rPr>
                <w:rFonts w:ascii="宋体" w:hAnsi="宋体"/>
                <w:sz w:val="18"/>
                <w:szCs w:val="18"/>
              </w:rPr>
              <w:t>8～45</w:t>
            </w:r>
          </w:p>
        </w:tc>
        <w:tc>
          <w:tcPr>
            <w:tcW w:w="851" w:type="dxa"/>
            <w:vAlign w:val="center"/>
          </w:tcPr>
          <w:p>
            <w:pPr>
              <w:adjustRightInd w:val="0"/>
              <w:snapToGrid w:val="0"/>
              <w:jc w:val="center"/>
              <w:rPr>
                <w:rFonts w:ascii="宋体" w:hAnsi="宋体"/>
                <w:sz w:val="18"/>
                <w:szCs w:val="18"/>
              </w:rPr>
            </w:pPr>
            <w:r>
              <w:rPr>
                <w:rFonts w:ascii="宋体" w:hAnsi="宋体"/>
                <w:sz w:val="18"/>
                <w:szCs w:val="18"/>
              </w:rPr>
              <w:t>0～25</w:t>
            </w:r>
          </w:p>
        </w:tc>
        <w:tc>
          <w:tcPr>
            <w:tcW w:w="850" w:type="dxa"/>
            <w:vAlign w:val="center"/>
          </w:tcPr>
          <w:p>
            <w:pPr>
              <w:adjustRightInd w:val="0"/>
              <w:snapToGrid w:val="0"/>
              <w:jc w:val="center"/>
              <w:rPr>
                <w:rFonts w:ascii="宋体" w:hAnsi="宋体"/>
                <w:sz w:val="18"/>
                <w:szCs w:val="18"/>
              </w:rPr>
            </w:pPr>
            <w:r>
              <w:rPr>
                <w:rFonts w:ascii="宋体" w:hAnsi="宋体"/>
                <w:sz w:val="18"/>
                <w:szCs w:val="18"/>
              </w:rPr>
              <w:t>0～10</w:t>
            </w:r>
          </w:p>
        </w:tc>
      </w:tr>
    </w:tbl>
    <w:p>
      <w:pPr>
        <w:adjustRightInd w:val="0"/>
        <w:snapToGrid w:val="0"/>
        <w:spacing w:before="203" w:beforeLines="50" w:line="360" w:lineRule="auto"/>
        <w:jc w:val="center"/>
        <w:rPr>
          <w:rFonts w:ascii="宋体" w:hAnsi="宋体"/>
          <w:kern w:val="0"/>
          <w:sz w:val="18"/>
          <w:szCs w:val="18"/>
        </w:rPr>
      </w:pPr>
      <w:r>
        <w:rPr>
          <w:rFonts w:hint="eastAsia" w:ascii="宋体" w:hAnsi="宋体"/>
          <w:kern w:val="0"/>
          <w:sz w:val="18"/>
          <w:szCs w:val="18"/>
        </w:rPr>
        <w:t>表4</w:t>
      </w:r>
      <w:r>
        <w:rPr>
          <w:rFonts w:ascii="宋体" w:hAnsi="宋体"/>
          <w:kern w:val="0"/>
          <w:sz w:val="18"/>
          <w:szCs w:val="18"/>
        </w:rPr>
        <w:t>-4-11</w:t>
      </w:r>
      <w:r>
        <w:rPr>
          <w:rFonts w:hint="eastAsia" w:ascii="宋体" w:hAnsi="宋体"/>
          <w:b/>
          <w:kern w:val="0"/>
          <w:sz w:val="18"/>
          <w:szCs w:val="18"/>
        </w:rPr>
        <w:t xml:space="preserve">  </w:t>
      </w:r>
      <w:r>
        <w:rPr>
          <w:rFonts w:ascii="宋体" w:hAnsi="宋体"/>
          <w:kern w:val="0"/>
          <w:sz w:val="18"/>
          <w:szCs w:val="18"/>
        </w:rPr>
        <w:t xml:space="preserve">沥青面层用细集料质量技术要求        </w:t>
      </w:r>
    </w:p>
    <w:tbl>
      <w:tblPr>
        <w:tblStyle w:val="77"/>
        <w:tblW w:w="6800"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2831"/>
        <w:gridCol w:w="1137"/>
        <w:gridCol w:w="1417"/>
        <w:gridCol w:w="1415"/>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831" w:type="dxa"/>
            <w:vMerge w:val="restart"/>
            <w:vAlign w:val="center"/>
          </w:tcPr>
          <w:p>
            <w:pPr>
              <w:adjustRightInd w:val="0"/>
              <w:snapToGrid w:val="0"/>
              <w:jc w:val="center"/>
              <w:rPr>
                <w:rFonts w:ascii="宋体" w:hAnsi="宋体"/>
                <w:sz w:val="18"/>
                <w:szCs w:val="18"/>
              </w:rPr>
            </w:pPr>
            <w:r>
              <w:rPr>
                <w:rFonts w:ascii="宋体" w:hAnsi="宋体"/>
                <w:sz w:val="18"/>
                <w:szCs w:val="18"/>
              </w:rPr>
              <w:t>指标</w:t>
            </w:r>
          </w:p>
        </w:tc>
        <w:tc>
          <w:tcPr>
            <w:tcW w:w="2554" w:type="dxa"/>
            <w:gridSpan w:val="2"/>
            <w:vAlign w:val="center"/>
          </w:tcPr>
          <w:p>
            <w:pPr>
              <w:adjustRightInd w:val="0"/>
              <w:snapToGrid w:val="0"/>
              <w:jc w:val="center"/>
              <w:rPr>
                <w:rFonts w:ascii="宋体" w:hAnsi="宋体"/>
                <w:sz w:val="18"/>
                <w:szCs w:val="18"/>
              </w:rPr>
            </w:pPr>
            <w:r>
              <w:rPr>
                <w:rFonts w:ascii="宋体" w:hAnsi="宋体"/>
                <w:sz w:val="18"/>
                <w:szCs w:val="18"/>
              </w:rPr>
              <w:t>要求</w:t>
            </w:r>
          </w:p>
        </w:tc>
        <w:tc>
          <w:tcPr>
            <w:tcW w:w="1415" w:type="dxa"/>
            <w:vMerge w:val="restart"/>
            <w:vAlign w:val="center"/>
          </w:tcPr>
          <w:p>
            <w:pPr>
              <w:adjustRightInd w:val="0"/>
              <w:snapToGrid w:val="0"/>
              <w:jc w:val="center"/>
              <w:rPr>
                <w:rFonts w:ascii="宋体" w:hAnsi="宋体"/>
                <w:sz w:val="18"/>
                <w:szCs w:val="18"/>
              </w:rPr>
            </w:pPr>
            <w:r>
              <w:rPr>
                <w:rFonts w:ascii="宋体" w:hAnsi="宋体"/>
                <w:sz w:val="18"/>
                <w:szCs w:val="18"/>
              </w:rPr>
              <w:t>试验方法</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831" w:type="dxa"/>
            <w:vMerge w:val="continue"/>
            <w:vAlign w:val="center"/>
          </w:tcPr>
          <w:p>
            <w:pPr>
              <w:adjustRightInd w:val="0"/>
              <w:snapToGrid w:val="0"/>
              <w:jc w:val="center"/>
              <w:rPr>
                <w:rFonts w:ascii="宋体" w:hAnsi="宋体"/>
                <w:sz w:val="18"/>
                <w:szCs w:val="18"/>
              </w:rPr>
            </w:pPr>
          </w:p>
        </w:tc>
        <w:tc>
          <w:tcPr>
            <w:tcW w:w="1137" w:type="dxa"/>
            <w:vAlign w:val="center"/>
          </w:tcPr>
          <w:p>
            <w:pPr>
              <w:adjustRightInd w:val="0"/>
              <w:snapToGrid w:val="0"/>
              <w:jc w:val="center"/>
              <w:rPr>
                <w:rFonts w:ascii="宋体" w:hAnsi="宋体"/>
                <w:sz w:val="18"/>
                <w:szCs w:val="18"/>
              </w:rPr>
            </w:pPr>
            <w:r>
              <w:rPr>
                <w:rFonts w:ascii="宋体" w:hAnsi="宋体"/>
                <w:sz w:val="18"/>
                <w:szCs w:val="18"/>
              </w:rPr>
              <w:t>主干路</w:t>
            </w:r>
          </w:p>
        </w:tc>
        <w:tc>
          <w:tcPr>
            <w:tcW w:w="1417" w:type="dxa"/>
            <w:vAlign w:val="center"/>
          </w:tcPr>
          <w:p>
            <w:pPr>
              <w:adjustRightInd w:val="0"/>
              <w:snapToGrid w:val="0"/>
              <w:jc w:val="center"/>
              <w:rPr>
                <w:rFonts w:ascii="宋体" w:hAnsi="宋体"/>
                <w:sz w:val="18"/>
                <w:szCs w:val="18"/>
              </w:rPr>
            </w:pPr>
            <w:r>
              <w:rPr>
                <w:rFonts w:ascii="宋体" w:hAnsi="宋体"/>
                <w:sz w:val="18"/>
                <w:szCs w:val="18"/>
              </w:rPr>
              <w:t>次干路及支路</w:t>
            </w:r>
          </w:p>
        </w:tc>
        <w:tc>
          <w:tcPr>
            <w:tcW w:w="1415" w:type="dxa"/>
            <w:vMerge w:val="continue"/>
            <w:vAlign w:val="center"/>
          </w:tcPr>
          <w:p>
            <w:pPr>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831"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表观相对密度</w:t>
            </w:r>
          </w:p>
        </w:tc>
        <w:tc>
          <w:tcPr>
            <w:tcW w:w="113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≧2.50</w:t>
            </w:r>
          </w:p>
        </w:tc>
        <w:tc>
          <w:tcPr>
            <w:tcW w:w="141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≧2.45</w:t>
            </w:r>
          </w:p>
        </w:tc>
        <w:tc>
          <w:tcPr>
            <w:tcW w:w="1415"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T0328</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831"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坚固性（＞0.3mm部分）（%）</w:t>
            </w:r>
          </w:p>
        </w:tc>
        <w:tc>
          <w:tcPr>
            <w:tcW w:w="113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≧12</w:t>
            </w:r>
          </w:p>
        </w:tc>
        <w:tc>
          <w:tcPr>
            <w:tcW w:w="141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w:t>
            </w:r>
          </w:p>
        </w:tc>
        <w:tc>
          <w:tcPr>
            <w:tcW w:w="1415"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T0340</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831"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含泥量（ &lt;0.075mm的含量）（%）</w:t>
            </w:r>
          </w:p>
        </w:tc>
        <w:tc>
          <w:tcPr>
            <w:tcW w:w="113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≦3</w:t>
            </w:r>
          </w:p>
        </w:tc>
        <w:tc>
          <w:tcPr>
            <w:tcW w:w="141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≦5</w:t>
            </w:r>
          </w:p>
        </w:tc>
        <w:tc>
          <w:tcPr>
            <w:tcW w:w="1415"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T0333</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831"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砂当量（%）</w:t>
            </w:r>
          </w:p>
        </w:tc>
        <w:tc>
          <w:tcPr>
            <w:tcW w:w="113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≧60</w:t>
            </w:r>
          </w:p>
        </w:tc>
        <w:tc>
          <w:tcPr>
            <w:tcW w:w="141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≧50</w:t>
            </w:r>
          </w:p>
        </w:tc>
        <w:tc>
          <w:tcPr>
            <w:tcW w:w="1415"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T0334</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831"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亚甲蓝值（g/kg）</w:t>
            </w:r>
          </w:p>
        </w:tc>
        <w:tc>
          <w:tcPr>
            <w:tcW w:w="113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≦25</w:t>
            </w:r>
          </w:p>
        </w:tc>
        <w:tc>
          <w:tcPr>
            <w:tcW w:w="141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w:t>
            </w:r>
          </w:p>
        </w:tc>
        <w:tc>
          <w:tcPr>
            <w:tcW w:w="1415"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T0346</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831"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棱角性（流动时间）（s）</w:t>
            </w:r>
          </w:p>
        </w:tc>
        <w:tc>
          <w:tcPr>
            <w:tcW w:w="113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≧30</w:t>
            </w:r>
          </w:p>
        </w:tc>
        <w:tc>
          <w:tcPr>
            <w:tcW w:w="1417"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w:t>
            </w:r>
          </w:p>
        </w:tc>
        <w:tc>
          <w:tcPr>
            <w:tcW w:w="1415" w:type="dxa"/>
            <w:vAlign w:val="center"/>
          </w:tcPr>
          <w:p>
            <w:pPr>
              <w:pStyle w:val="254"/>
              <w:widowControl w:val="0"/>
              <w:adjustRightInd w:val="0"/>
              <w:snapToGrid w:val="0"/>
              <w:jc w:val="center"/>
              <w:rPr>
                <w:rFonts w:ascii="宋体" w:hAnsi="宋体"/>
                <w:sz w:val="18"/>
                <w:szCs w:val="18"/>
              </w:rPr>
            </w:pPr>
            <w:r>
              <w:rPr>
                <w:rFonts w:ascii="宋体" w:hAnsi="宋体"/>
                <w:sz w:val="18"/>
                <w:szCs w:val="18"/>
              </w:rPr>
              <w:t>T0345</w:t>
            </w:r>
          </w:p>
        </w:tc>
      </w:tr>
    </w:tbl>
    <w:p>
      <w:pPr>
        <w:pStyle w:val="1280"/>
        <w:ind w:firstLine="440"/>
        <w:rPr>
          <w:rFonts w:ascii="宋体"/>
        </w:rPr>
      </w:pPr>
      <w:r>
        <w:rPr>
          <w:rFonts w:ascii="宋体"/>
        </w:rPr>
        <w:t>3</w:t>
      </w:r>
      <w:r>
        <w:rPr>
          <w:rFonts w:hint="eastAsia" w:ascii="宋体"/>
        </w:rPr>
        <w:t>、</w:t>
      </w:r>
      <w:r>
        <w:rPr>
          <w:rFonts w:ascii="宋体"/>
        </w:rPr>
        <w:t>填料</w:t>
      </w:r>
    </w:p>
    <w:p>
      <w:pPr>
        <w:pStyle w:val="1280"/>
        <w:ind w:firstLine="440"/>
        <w:rPr>
          <w:rFonts w:ascii="宋体"/>
        </w:rPr>
      </w:pPr>
      <w:r>
        <w:rPr>
          <w:rFonts w:ascii="宋体"/>
        </w:rPr>
        <w:t>填料必须采用石灰岩或岩浆岩中的强基性岩石等憎水性石料经磨细得到的矿粉，原石料中的泥土杂质应除净。矿粉应干燥、洁净，能自由地从矿粉仓流出，其质量应符合表4-4-9-</w:t>
      </w:r>
      <w:r>
        <w:rPr>
          <w:rFonts w:hint="eastAsia" w:ascii="宋体"/>
        </w:rPr>
        <w:t>5</w:t>
      </w:r>
      <w:r>
        <w:rPr>
          <w:rFonts w:ascii="宋体"/>
        </w:rPr>
        <w:t>的技术要求。</w:t>
      </w:r>
    </w:p>
    <w:p>
      <w:pPr>
        <w:adjustRightInd w:val="0"/>
        <w:snapToGrid w:val="0"/>
        <w:spacing w:line="360" w:lineRule="auto"/>
        <w:jc w:val="center"/>
        <w:rPr>
          <w:rFonts w:ascii="宋体" w:hAnsi="宋体"/>
          <w:kern w:val="0"/>
          <w:sz w:val="18"/>
          <w:szCs w:val="18"/>
        </w:rPr>
      </w:pPr>
      <w:r>
        <w:rPr>
          <w:rFonts w:hint="eastAsia" w:ascii="宋体" w:hAnsi="宋体"/>
          <w:kern w:val="0"/>
          <w:sz w:val="18"/>
          <w:szCs w:val="18"/>
        </w:rPr>
        <w:t>表4</w:t>
      </w:r>
      <w:r>
        <w:rPr>
          <w:rFonts w:ascii="宋体" w:hAnsi="宋体"/>
          <w:kern w:val="0"/>
          <w:sz w:val="18"/>
          <w:szCs w:val="18"/>
        </w:rPr>
        <w:t>-4-12</w:t>
      </w:r>
      <w:r>
        <w:rPr>
          <w:rFonts w:hint="eastAsia" w:ascii="宋体" w:hAnsi="宋体"/>
          <w:b/>
          <w:kern w:val="0"/>
          <w:sz w:val="18"/>
          <w:szCs w:val="18"/>
        </w:rPr>
        <w:t xml:space="preserve"> </w:t>
      </w:r>
      <w:r>
        <w:rPr>
          <w:rFonts w:hint="eastAsia" w:ascii="宋体" w:hAnsi="宋体"/>
          <w:kern w:val="0"/>
          <w:sz w:val="18"/>
          <w:szCs w:val="18"/>
        </w:rPr>
        <w:t xml:space="preserve">    </w:t>
      </w:r>
      <w:r>
        <w:rPr>
          <w:rFonts w:ascii="宋体" w:hAnsi="宋体"/>
          <w:kern w:val="0"/>
          <w:sz w:val="18"/>
          <w:szCs w:val="18"/>
        </w:rPr>
        <w:t xml:space="preserve">沥青面层用矿粉质量技术要求   </w:t>
      </w:r>
      <w:r>
        <w:rPr>
          <w:rFonts w:hint="eastAsia" w:ascii="宋体" w:hAnsi="宋体"/>
          <w:kern w:val="0"/>
          <w:sz w:val="18"/>
          <w:szCs w:val="18"/>
        </w:rPr>
        <w:t xml:space="preserve">  </w:t>
      </w:r>
      <w:r>
        <w:rPr>
          <w:rFonts w:ascii="宋体" w:hAnsi="宋体"/>
          <w:kern w:val="0"/>
          <w:sz w:val="18"/>
          <w:szCs w:val="18"/>
        </w:rPr>
        <w:t xml:space="preserve">     </w:t>
      </w:r>
      <w:r>
        <w:rPr>
          <w:rFonts w:hint="eastAsia" w:ascii="宋体" w:hAnsi="宋体"/>
          <w:kern w:val="0"/>
          <w:sz w:val="18"/>
          <w:szCs w:val="18"/>
        </w:rPr>
        <w:t xml:space="preserve">  </w:t>
      </w:r>
      <w:r>
        <w:rPr>
          <w:rFonts w:ascii="宋体" w:hAnsi="宋体"/>
          <w:kern w:val="0"/>
          <w:sz w:val="18"/>
          <w:szCs w:val="18"/>
        </w:rPr>
        <w:t xml:space="preserve">    </w:t>
      </w:r>
      <w:r>
        <w:rPr>
          <w:rFonts w:hint="eastAsia" w:ascii="宋体" w:hAnsi="宋体"/>
          <w:kern w:val="0"/>
          <w:sz w:val="18"/>
          <w:szCs w:val="18"/>
        </w:rPr>
        <w:t xml:space="preserve">     </w:t>
      </w:r>
      <w:r>
        <w:rPr>
          <w:rFonts w:ascii="宋体" w:hAnsi="宋体"/>
          <w:kern w:val="0"/>
          <w:sz w:val="18"/>
          <w:szCs w:val="18"/>
        </w:rPr>
        <w:t xml:space="preserve">   </w:t>
      </w:r>
    </w:p>
    <w:tbl>
      <w:tblPr>
        <w:tblStyle w:val="77"/>
        <w:tblW w:w="7852"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048"/>
        <w:gridCol w:w="1560"/>
        <w:gridCol w:w="1417"/>
        <w:gridCol w:w="1701"/>
        <w:gridCol w:w="2126"/>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tblHeader/>
          <w:jc w:val="center"/>
        </w:trPr>
        <w:tc>
          <w:tcPr>
            <w:tcW w:w="2608" w:type="dxa"/>
            <w:gridSpan w:val="2"/>
            <w:vMerge w:val="restart"/>
            <w:vAlign w:val="center"/>
          </w:tcPr>
          <w:p>
            <w:pPr>
              <w:pStyle w:val="254"/>
              <w:adjustRightInd w:val="0"/>
              <w:snapToGrid w:val="0"/>
              <w:jc w:val="center"/>
              <w:rPr>
                <w:rFonts w:ascii="宋体" w:hAnsi="宋体"/>
                <w:sz w:val="18"/>
                <w:szCs w:val="18"/>
              </w:rPr>
            </w:pPr>
            <w:r>
              <w:rPr>
                <w:rFonts w:ascii="宋体" w:hAnsi="宋体"/>
                <w:sz w:val="18"/>
                <w:szCs w:val="18"/>
              </w:rPr>
              <w:t>指标</w:t>
            </w:r>
          </w:p>
        </w:tc>
        <w:tc>
          <w:tcPr>
            <w:tcW w:w="3118" w:type="dxa"/>
            <w:gridSpan w:val="2"/>
            <w:vAlign w:val="center"/>
          </w:tcPr>
          <w:p>
            <w:pPr>
              <w:pStyle w:val="254"/>
              <w:adjustRightInd w:val="0"/>
              <w:snapToGrid w:val="0"/>
              <w:jc w:val="center"/>
              <w:rPr>
                <w:rFonts w:ascii="宋体" w:hAnsi="宋体"/>
                <w:sz w:val="18"/>
                <w:szCs w:val="18"/>
              </w:rPr>
            </w:pPr>
            <w:r>
              <w:rPr>
                <w:rFonts w:ascii="宋体" w:hAnsi="宋体"/>
                <w:sz w:val="18"/>
                <w:szCs w:val="18"/>
              </w:rPr>
              <w:t>要求</w:t>
            </w:r>
          </w:p>
        </w:tc>
        <w:tc>
          <w:tcPr>
            <w:tcW w:w="2126" w:type="dxa"/>
            <w:vMerge w:val="restart"/>
            <w:vAlign w:val="center"/>
          </w:tcPr>
          <w:p>
            <w:pPr>
              <w:pStyle w:val="254"/>
              <w:adjustRightInd w:val="0"/>
              <w:snapToGrid w:val="0"/>
              <w:jc w:val="center"/>
              <w:rPr>
                <w:rFonts w:ascii="宋体" w:hAnsi="宋体"/>
                <w:sz w:val="18"/>
                <w:szCs w:val="18"/>
              </w:rPr>
            </w:pPr>
            <w:r>
              <w:rPr>
                <w:rFonts w:ascii="宋体" w:hAnsi="宋体"/>
                <w:sz w:val="18"/>
                <w:szCs w:val="18"/>
              </w:rPr>
              <w:t>试验方法</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608" w:type="dxa"/>
            <w:gridSpan w:val="2"/>
            <w:vMerge w:val="continue"/>
            <w:vAlign w:val="center"/>
          </w:tcPr>
          <w:p>
            <w:pPr>
              <w:pStyle w:val="254"/>
              <w:adjustRightInd w:val="0"/>
              <w:snapToGrid w:val="0"/>
              <w:jc w:val="center"/>
              <w:rPr>
                <w:rFonts w:ascii="宋体" w:hAnsi="宋体"/>
                <w:sz w:val="18"/>
                <w:szCs w:val="18"/>
              </w:rPr>
            </w:pPr>
          </w:p>
        </w:tc>
        <w:tc>
          <w:tcPr>
            <w:tcW w:w="1417" w:type="dxa"/>
            <w:vAlign w:val="center"/>
          </w:tcPr>
          <w:p>
            <w:pPr>
              <w:adjustRightInd w:val="0"/>
              <w:snapToGrid w:val="0"/>
              <w:jc w:val="center"/>
              <w:rPr>
                <w:rFonts w:ascii="宋体" w:hAnsi="宋体"/>
                <w:sz w:val="18"/>
                <w:szCs w:val="18"/>
              </w:rPr>
            </w:pPr>
            <w:r>
              <w:rPr>
                <w:rFonts w:ascii="宋体" w:hAnsi="宋体"/>
                <w:sz w:val="18"/>
                <w:szCs w:val="18"/>
              </w:rPr>
              <w:t>主干路</w:t>
            </w:r>
          </w:p>
        </w:tc>
        <w:tc>
          <w:tcPr>
            <w:tcW w:w="1701" w:type="dxa"/>
            <w:vAlign w:val="center"/>
          </w:tcPr>
          <w:p>
            <w:pPr>
              <w:adjustRightInd w:val="0"/>
              <w:snapToGrid w:val="0"/>
              <w:jc w:val="center"/>
              <w:rPr>
                <w:rFonts w:ascii="宋体" w:hAnsi="宋体"/>
                <w:sz w:val="18"/>
                <w:szCs w:val="18"/>
              </w:rPr>
            </w:pPr>
            <w:r>
              <w:rPr>
                <w:rFonts w:ascii="宋体" w:hAnsi="宋体"/>
                <w:sz w:val="18"/>
                <w:szCs w:val="18"/>
              </w:rPr>
              <w:t>次干路及支路</w:t>
            </w:r>
          </w:p>
        </w:tc>
        <w:tc>
          <w:tcPr>
            <w:tcW w:w="2126" w:type="dxa"/>
            <w:vMerge w:val="continue"/>
            <w:vAlign w:val="center"/>
          </w:tcPr>
          <w:p>
            <w:pPr>
              <w:pStyle w:val="254"/>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608" w:type="dxa"/>
            <w:gridSpan w:val="2"/>
            <w:vAlign w:val="center"/>
          </w:tcPr>
          <w:p>
            <w:pPr>
              <w:pStyle w:val="254"/>
              <w:adjustRightInd w:val="0"/>
              <w:snapToGrid w:val="0"/>
              <w:jc w:val="center"/>
              <w:rPr>
                <w:rFonts w:ascii="宋体" w:hAnsi="宋体"/>
                <w:sz w:val="18"/>
                <w:szCs w:val="18"/>
              </w:rPr>
            </w:pPr>
            <w:r>
              <w:rPr>
                <w:rFonts w:ascii="宋体" w:hAnsi="宋体"/>
                <w:sz w:val="18"/>
                <w:szCs w:val="18"/>
              </w:rPr>
              <w:t>表观密度（t/m</w:t>
            </w:r>
            <w:r>
              <w:rPr>
                <w:rFonts w:ascii="宋体" w:hAnsi="宋体"/>
                <w:sz w:val="18"/>
                <w:szCs w:val="18"/>
                <w:vertAlign w:val="superscript"/>
              </w:rPr>
              <w:t>3</w:t>
            </w:r>
            <w:r>
              <w:rPr>
                <w:rFonts w:ascii="宋体" w:hAnsi="宋体"/>
                <w:sz w:val="18"/>
                <w:szCs w:val="18"/>
              </w:rPr>
              <w:t>）</w:t>
            </w:r>
          </w:p>
        </w:tc>
        <w:tc>
          <w:tcPr>
            <w:tcW w:w="1417" w:type="dxa"/>
            <w:vAlign w:val="center"/>
          </w:tcPr>
          <w:p>
            <w:pPr>
              <w:pStyle w:val="254"/>
              <w:adjustRightInd w:val="0"/>
              <w:snapToGrid w:val="0"/>
              <w:jc w:val="center"/>
              <w:rPr>
                <w:rFonts w:ascii="宋体" w:hAnsi="宋体"/>
                <w:sz w:val="18"/>
                <w:szCs w:val="18"/>
              </w:rPr>
            </w:pPr>
            <w:r>
              <w:rPr>
                <w:rFonts w:ascii="宋体" w:hAnsi="宋体"/>
                <w:sz w:val="18"/>
                <w:szCs w:val="18"/>
              </w:rPr>
              <w:t>≧2.50</w:t>
            </w:r>
          </w:p>
        </w:tc>
        <w:tc>
          <w:tcPr>
            <w:tcW w:w="1701" w:type="dxa"/>
            <w:vAlign w:val="center"/>
          </w:tcPr>
          <w:p>
            <w:pPr>
              <w:pStyle w:val="254"/>
              <w:adjustRightInd w:val="0"/>
              <w:snapToGrid w:val="0"/>
              <w:jc w:val="center"/>
              <w:rPr>
                <w:rFonts w:ascii="宋体" w:hAnsi="宋体"/>
                <w:sz w:val="18"/>
                <w:szCs w:val="18"/>
              </w:rPr>
            </w:pPr>
            <w:r>
              <w:rPr>
                <w:rFonts w:ascii="宋体" w:hAnsi="宋体"/>
                <w:sz w:val="18"/>
                <w:szCs w:val="18"/>
              </w:rPr>
              <w:t>≧2.45</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T0352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608" w:type="dxa"/>
            <w:gridSpan w:val="2"/>
            <w:vAlign w:val="center"/>
          </w:tcPr>
          <w:p>
            <w:pPr>
              <w:pStyle w:val="254"/>
              <w:adjustRightInd w:val="0"/>
              <w:snapToGrid w:val="0"/>
              <w:jc w:val="center"/>
              <w:rPr>
                <w:rFonts w:ascii="宋体" w:hAnsi="宋体"/>
                <w:sz w:val="18"/>
                <w:szCs w:val="18"/>
              </w:rPr>
            </w:pPr>
            <w:r>
              <w:rPr>
                <w:rFonts w:ascii="宋体" w:hAnsi="宋体"/>
                <w:sz w:val="18"/>
                <w:szCs w:val="18"/>
              </w:rPr>
              <w:t>含水量（％）</w:t>
            </w:r>
          </w:p>
        </w:tc>
        <w:tc>
          <w:tcPr>
            <w:tcW w:w="1417" w:type="dxa"/>
            <w:vAlign w:val="center"/>
          </w:tcPr>
          <w:p>
            <w:pPr>
              <w:pStyle w:val="254"/>
              <w:adjustRightInd w:val="0"/>
              <w:snapToGrid w:val="0"/>
              <w:jc w:val="center"/>
              <w:rPr>
                <w:rFonts w:ascii="宋体" w:hAnsi="宋体"/>
                <w:sz w:val="18"/>
                <w:szCs w:val="18"/>
              </w:rPr>
            </w:pPr>
            <w:r>
              <w:rPr>
                <w:rFonts w:ascii="宋体" w:hAnsi="宋体"/>
                <w:sz w:val="18"/>
                <w:szCs w:val="18"/>
              </w:rPr>
              <w:t>≧1</w:t>
            </w:r>
          </w:p>
        </w:tc>
        <w:tc>
          <w:tcPr>
            <w:tcW w:w="1701" w:type="dxa"/>
            <w:vAlign w:val="center"/>
          </w:tcPr>
          <w:p>
            <w:pPr>
              <w:pStyle w:val="254"/>
              <w:adjustRightInd w:val="0"/>
              <w:snapToGrid w:val="0"/>
              <w:jc w:val="center"/>
              <w:rPr>
                <w:rFonts w:ascii="宋体" w:hAnsi="宋体"/>
                <w:sz w:val="18"/>
                <w:szCs w:val="18"/>
              </w:rPr>
            </w:pPr>
            <w:r>
              <w:rPr>
                <w:rFonts w:ascii="宋体" w:hAnsi="宋体"/>
                <w:sz w:val="18"/>
                <w:szCs w:val="18"/>
              </w:rPr>
              <w:t>≧1</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T0103烘干法</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1048" w:type="dxa"/>
            <w:vMerge w:val="restart"/>
            <w:vAlign w:val="center"/>
          </w:tcPr>
          <w:p>
            <w:pPr>
              <w:pStyle w:val="254"/>
              <w:adjustRightInd w:val="0"/>
              <w:snapToGrid w:val="0"/>
              <w:jc w:val="center"/>
              <w:rPr>
                <w:rFonts w:ascii="宋体" w:hAnsi="宋体"/>
                <w:sz w:val="18"/>
                <w:szCs w:val="18"/>
              </w:rPr>
            </w:pPr>
            <w:r>
              <w:rPr>
                <w:rFonts w:ascii="宋体" w:hAnsi="宋体"/>
                <w:sz w:val="18"/>
                <w:szCs w:val="18"/>
              </w:rPr>
              <w:t>颗粒范围</w:t>
            </w:r>
          </w:p>
        </w:tc>
        <w:tc>
          <w:tcPr>
            <w:tcW w:w="1560" w:type="dxa"/>
            <w:vAlign w:val="center"/>
          </w:tcPr>
          <w:p>
            <w:pPr>
              <w:pStyle w:val="254"/>
              <w:adjustRightInd w:val="0"/>
              <w:snapToGrid w:val="0"/>
              <w:jc w:val="center"/>
              <w:rPr>
                <w:rFonts w:ascii="宋体" w:hAnsi="宋体"/>
                <w:sz w:val="18"/>
                <w:szCs w:val="18"/>
              </w:rPr>
            </w:pPr>
            <w:r>
              <w:rPr>
                <w:rFonts w:ascii="宋体" w:hAnsi="宋体"/>
                <w:sz w:val="18"/>
                <w:szCs w:val="18"/>
              </w:rPr>
              <w:t>＜0.6mm (％)</w:t>
            </w:r>
          </w:p>
        </w:tc>
        <w:tc>
          <w:tcPr>
            <w:tcW w:w="1417" w:type="dxa"/>
            <w:vAlign w:val="center"/>
          </w:tcPr>
          <w:p>
            <w:pPr>
              <w:pStyle w:val="254"/>
              <w:adjustRightInd w:val="0"/>
              <w:snapToGrid w:val="0"/>
              <w:jc w:val="center"/>
              <w:rPr>
                <w:rFonts w:ascii="宋体" w:hAnsi="宋体"/>
                <w:sz w:val="18"/>
                <w:szCs w:val="18"/>
              </w:rPr>
            </w:pPr>
            <w:r>
              <w:rPr>
                <w:rFonts w:ascii="宋体" w:hAnsi="宋体"/>
                <w:sz w:val="18"/>
                <w:szCs w:val="18"/>
              </w:rPr>
              <w:t>100</w:t>
            </w:r>
          </w:p>
        </w:tc>
        <w:tc>
          <w:tcPr>
            <w:tcW w:w="1701" w:type="dxa"/>
            <w:vAlign w:val="center"/>
          </w:tcPr>
          <w:p>
            <w:pPr>
              <w:pStyle w:val="254"/>
              <w:adjustRightInd w:val="0"/>
              <w:snapToGrid w:val="0"/>
              <w:jc w:val="center"/>
              <w:rPr>
                <w:rFonts w:ascii="宋体" w:hAnsi="宋体"/>
                <w:sz w:val="18"/>
                <w:szCs w:val="18"/>
              </w:rPr>
            </w:pPr>
            <w:r>
              <w:rPr>
                <w:rFonts w:ascii="宋体" w:hAnsi="宋体"/>
                <w:sz w:val="18"/>
                <w:szCs w:val="18"/>
              </w:rPr>
              <w:t>100</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T0351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1048" w:type="dxa"/>
            <w:vMerge w:val="continue"/>
            <w:vAlign w:val="center"/>
          </w:tcPr>
          <w:p>
            <w:pPr>
              <w:pStyle w:val="254"/>
              <w:adjustRightInd w:val="0"/>
              <w:snapToGrid w:val="0"/>
              <w:jc w:val="center"/>
              <w:rPr>
                <w:rFonts w:ascii="宋体" w:hAnsi="宋体"/>
                <w:sz w:val="18"/>
                <w:szCs w:val="18"/>
              </w:rPr>
            </w:pPr>
          </w:p>
        </w:tc>
        <w:tc>
          <w:tcPr>
            <w:tcW w:w="1560" w:type="dxa"/>
            <w:vAlign w:val="center"/>
          </w:tcPr>
          <w:p>
            <w:pPr>
              <w:pStyle w:val="254"/>
              <w:adjustRightInd w:val="0"/>
              <w:snapToGrid w:val="0"/>
              <w:jc w:val="center"/>
              <w:rPr>
                <w:rFonts w:ascii="宋体" w:hAnsi="宋体"/>
                <w:sz w:val="18"/>
                <w:szCs w:val="18"/>
              </w:rPr>
            </w:pPr>
            <w:r>
              <w:rPr>
                <w:rFonts w:ascii="宋体" w:hAnsi="宋体"/>
                <w:sz w:val="18"/>
                <w:szCs w:val="18"/>
              </w:rPr>
              <w:t>＜0.15mm (％)</w:t>
            </w:r>
          </w:p>
        </w:tc>
        <w:tc>
          <w:tcPr>
            <w:tcW w:w="1417" w:type="dxa"/>
            <w:vAlign w:val="center"/>
          </w:tcPr>
          <w:p>
            <w:pPr>
              <w:pStyle w:val="254"/>
              <w:adjustRightInd w:val="0"/>
              <w:snapToGrid w:val="0"/>
              <w:jc w:val="center"/>
              <w:rPr>
                <w:rFonts w:ascii="宋体" w:hAnsi="宋体"/>
                <w:sz w:val="18"/>
                <w:szCs w:val="18"/>
              </w:rPr>
            </w:pPr>
            <w:r>
              <w:rPr>
                <w:rFonts w:ascii="宋体" w:hAnsi="宋体"/>
                <w:sz w:val="18"/>
                <w:szCs w:val="18"/>
              </w:rPr>
              <w:t>90～100</w:t>
            </w:r>
          </w:p>
        </w:tc>
        <w:tc>
          <w:tcPr>
            <w:tcW w:w="1701" w:type="dxa"/>
            <w:vAlign w:val="center"/>
          </w:tcPr>
          <w:p>
            <w:pPr>
              <w:pStyle w:val="254"/>
              <w:adjustRightInd w:val="0"/>
              <w:snapToGrid w:val="0"/>
              <w:jc w:val="center"/>
              <w:rPr>
                <w:rFonts w:ascii="宋体" w:hAnsi="宋体"/>
                <w:sz w:val="18"/>
                <w:szCs w:val="18"/>
              </w:rPr>
            </w:pPr>
            <w:r>
              <w:rPr>
                <w:rFonts w:ascii="宋体" w:hAnsi="宋体"/>
                <w:sz w:val="18"/>
                <w:szCs w:val="18"/>
              </w:rPr>
              <w:t>90～100</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T0351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1048" w:type="dxa"/>
            <w:vMerge w:val="continue"/>
            <w:vAlign w:val="center"/>
          </w:tcPr>
          <w:p>
            <w:pPr>
              <w:pStyle w:val="254"/>
              <w:adjustRightInd w:val="0"/>
              <w:snapToGrid w:val="0"/>
              <w:jc w:val="center"/>
              <w:rPr>
                <w:rFonts w:ascii="宋体" w:hAnsi="宋体"/>
                <w:sz w:val="18"/>
                <w:szCs w:val="18"/>
              </w:rPr>
            </w:pPr>
          </w:p>
        </w:tc>
        <w:tc>
          <w:tcPr>
            <w:tcW w:w="1560" w:type="dxa"/>
            <w:vAlign w:val="center"/>
          </w:tcPr>
          <w:p>
            <w:pPr>
              <w:pStyle w:val="254"/>
              <w:adjustRightInd w:val="0"/>
              <w:snapToGrid w:val="0"/>
              <w:jc w:val="center"/>
              <w:rPr>
                <w:rFonts w:ascii="宋体" w:hAnsi="宋体"/>
                <w:sz w:val="18"/>
                <w:szCs w:val="18"/>
              </w:rPr>
            </w:pPr>
            <w:r>
              <w:rPr>
                <w:rFonts w:ascii="宋体" w:hAnsi="宋体"/>
                <w:sz w:val="18"/>
                <w:szCs w:val="18"/>
              </w:rPr>
              <w:t>＜0.075mm (％)</w:t>
            </w:r>
          </w:p>
        </w:tc>
        <w:tc>
          <w:tcPr>
            <w:tcW w:w="1417" w:type="dxa"/>
            <w:vAlign w:val="center"/>
          </w:tcPr>
          <w:p>
            <w:pPr>
              <w:pStyle w:val="254"/>
              <w:adjustRightInd w:val="0"/>
              <w:snapToGrid w:val="0"/>
              <w:jc w:val="center"/>
              <w:rPr>
                <w:rFonts w:ascii="宋体" w:hAnsi="宋体"/>
                <w:sz w:val="18"/>
                <w:szCs w:val="18"/>
              </w:rPr>
            </w:pPr>
            <w:r>
              <w:rPr>
                <w:rFonts w:ascii="宋体" w:hAnsi="宋体"/>
                <w:sz w:val="18"/>
                <w:szCs w:val="18"/>
              </w:rPr>
              <w:t>70～100</w:t>
            </w:r>
          </w:p>
        </w:tc>
        <w:tc>
          <w:tcPr>
            <w:tcW w:w="1701" w:type="dxa"/>
            <w:vAlign w:val="center"/>
          </w:tcPr>
          <w:p>
            <w:pPr>
              <w:pStyle w:val="254"/>
              <w:adjustRightInd w:val="0"/>
              <w:snapToGrid w:val="0"/>
              <w:jc w:val="center"/>
              <w:rPr>
                <w:rFonts w:ascii="宋体" w:hAnsi="宋体"/>
                <w:sz w:val="18"/>
                <w:szCs w:val="18"/>
              </w:rPr>
            </w:pPr>
            <w:r>
              <w:rPr>
                <w:rFonts w:ascii="宋体" w:hAnsi="宋体"/>
                <w:sz w:val="18"/>
                <w:szCs w:val="18"/>
              </w:rPr>
              <w:t>70～100</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T0351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608" w:type="dxa"/>
            <w:gridSpan w:val="2"/>
            <w:vAlign w:val="center"/>
          </w:tcPr>
          <w:p>
            <w:pPr>
              <w:pStyle w:val="254"/>
              <w:adjustRightInd w:val="0"/>
              <w:snapToGrid w:val="0"/>
              <w:jc w:val="center"/>
              <w:rPr>
                <w:rFonts w:ascii="宋体" w:hAnsi="宋体"/>
                <w:sz w:val="18"/>
                <w:szCs w:val="18"/>
              </w:rPr>
            </w:pPr>
            <w:r>
              <w:rPr>
                <w:rFonts w:ascii="宋体" w:hAnsi="宋体"/>
                <w:sz w:val="18"/>
                <w:szCs w:val="18"/>
              </w:rPr>
              <w:t>亲水系数</w:t>
            </w:r>
          </w:p>
        </w:tc>
        <w:tc>
          <w:tcPr>
            <w:tcW w:w="3118" w:type="dxa"/>
            <w:gridSpan w:val="2"/>
            <w:vAlign w:val="center"/>
          </w:tcPr>
          <w:p>
            <w:pPr>
              <w:pStyle w:val="254"/>
              <w:adjustRightInd w:val="0"/>
              <w:snapToGrid w:val="0"/>
              <w:jc w:val="center"/>
              <w:rPr>
                <w:rFonts w:ascii="宋体" w:hAnsi="宋体"/>
                <w:sz w:val="18"/>
                <w:szCs w:val="18"/>
              </w:rPr>
            </w:pPr>
            <w:r>
              <w:rPr>
                <w:rFonts w:ascii="宋体" w:hAnsi="宋体"/>
                <w:sz w:val="18"/>
                <w:szCs w:val="18"/>
              </w:rPr>
              <w:t>＜1</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T0353</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608" w:type="dxa"/>
            <w:gridSpan w:val="2"/>
            <w:vAlign w:val="center"/>
          </w:tcPr>
          <w:p>
            <w:pPr>
              <w:pStyle w:val="254"/>
              <w:adjustRightInd w:val="0"/>
              <w:snapToGrid w:val="0"/>
              <w:jc w:val="center"/>
              <w:rPr>
                <w:rFonts w:ascii="宋体" w:hAnsi="宋体"/>
                <w:sz w:val="18"/>
                <w:szCs w:val="18"/>
              </w:rPr>
            </w:pPr>
            <w:r>
              <w:rPr>
                <w:rFonts w:ascii="宋体" w:hAnsi="宋体"/>
                <w:sz w:val="18"/>
                <w:szCs w:val="18"/>
              </w:rPr>
              <w:t>塑性指数（％）</w:t>
            </w:r>
          </w:p>
        </w:tc>
        <w:tc>
          <w:tcPr>
            <w:tcW w:w="3118" w:type="dxa"/>
            <w:gridSpan w:val="2"/>
            <w:vAlign w:val="center"/>
          </w:tcPr>
          <w:p>
            <w:pPr>
              <w:pStyle w:val="254"/>
              <w:adjustRightInd w:val="0"/>
              <w:snapToGrid w:val="0"/>
              <w:jc w:val="center"/>
              <w:rPr>
                <w:rFonts w:ascii="宋体" w:hAnsi="宋体"/>
                <w:sz w:val="18"/>
                <w:szCs w:val="18"/>
              </w:rPr>
            </w:pPr>
            <w:r>
              <w:rPr>
                <w:rFonts w:ascii="宋体" w:hAnsi="宋体"/>
                <w:sz w:val="18"/>
                <w:szCs w:val="18"/>
              </w:rPr>
              <w:t>＜4</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T0354</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608" w:type="dxa"/>
            <w:gridSpan w:val="2"/>
            <w:vAlign w:val="center"/>
          </w:tcPr>
          <w:p>
            <w:pPr>
              <w:pStyle w:val="254"/>
              <w:adjustRightInd w:val="0"/>
              <w:snapToGrid w:val="0"/>
              <w:jc w:val="center"/>
              <w:rPr>
                <w:rFonts w:ascii="宋体" w:hAnsi="宋体"/>
                <w:sz w:val="18"/>
                <w:szCs w:val="18"/>
              </w:rPr>
            </w:pPr>
            <w:r>
              <w:rPr>
                <w:rFonts w:ascii="宋体" w:hAnsi="宋体"/>
                <w:sz w:val="18"/>
                <w:szCs w:val="18"/>
              </w:rPr>
              <w:t>加热安定性</w:t>
            </w:r>
          </w:p>
        </w:tc>
        <w:tc>
          <w:tcPr>
            <w:tcW w:w="3118" w:type="dxa"/>
            <w:gridSpan w:val="2"/>
            <w:vAlign w:val="center"/>
          </w:tcPr>
          <w:p>
            <w:pPr>
              <w:pStyle w:val="254"/>
              <w:adjustRightInd w:val="0"/>
              <w:snapToGrid w:val="0"/>
              <w:jc w:val="center"/>
              <w:rPr>
                <w:rFonts w:ascii="宋体" w:hAnsi="宋体"/>
                <w:sz w:val="18"/>
                <w:szCs w:val="18"/>
              </w:rPr>
            </w:pPr>
            <w:r>
              <w:rPr>
                <w:rFonts w:ascii="宋体" w:hAnsi="宋体"/>
                <w:sz w:val="18"/>
                <w:szCs w:val="18"/>
              </w:rPr>
              <w:t>实测记录</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T0355</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608" w:type="dxa"/>
            <w:gridSpan w:val="2"/>
            <w:vAlign w:val="center"/>
          </w:tcPr>
          <w:p>
            <w:pPr>
              <w:pStyle w:val="254"/>
              <w:adjustRightInd w:val="0"/>
              <w:snapToGrid w:val="0"/>
              <w:jc w:val="center"/>
              <w:rPr>
                <w:rFonts w:ascii="宋体" w:hAnsi="宋体"/>
                <w:sz w:val="18"/>
                <w:szCs w:val="18"/>
              </w:rPr>
            </w:pPr>
            <w:r>
              <w:rPr>
                <w:rFonts w:ascii="宋体" w:hAnsi="宋体"/>
                <w:sz w:val="18"/>
                <w:szCs w:val="18"/>
              </w:rPr>
              <w:t>外观</w:t>
            </w:r>
          </w:p>
        </w:tc>
        <w:tc>
          <w:tcPr>
            <w:tcW w:w="3118" w:type="dxa"/>
            <w:gridSpan w:val="2"/>
            <w:vAlign w:val="center"/>
          </w:tcPr>
          <w:p>
            <w:pPr>
              <w:pStyle w:val="254"/>
              <w:adjustRightInd w:val="0"/>
              <w:snapToGrid w:val="0"/>
              <w:jc w:val="center"/>
              <w:rPr>
                <w:rFonts w:ascii="宋体" w:hAnsi="宋体"/>
                <w:sz w:val="18"/>
                <w:szCs w:val="18"/>
              </w:rPr>
            </w:pPr>
            <w:r>
              <w:rPr>
                <w:rFonts w:ascii="宋体" w:hAnsi="宋体"/>
                <w:sz w:val="18"/>
                <w:szCs w:val="18"/>
              </w:rPr>
              <w:t>无团粒结块</w:t>
            </w:r>
          </w:p>
        </w:tc>
        <w:tc>
          <w:tcPr>
            <w:tcW w:w="2126" w:type="dxa"/>
            <w:vAlign w:val="center"/>
          </w:tcPr>
          <w:p>
            <w:pPr>
              <w:pStyle w:val="254"/>
              <w:adjustRightInd w:val="0"/>
              <w:snapToGrid w:val="0"/>
              <w:jc w:val="center"/>
              <w:rPr>
                <w:rFonts w:ascii="宋体" w:hAnsi="宋体"/>
                <w:sz w:val="18"/>
                <w:szCs w:val="18"/>
              </w:rPr>
            </w:pPr>
            <w:r>
              <w:rPr>
                <w:rFonts w:ascii="宋体" w:hAnsi="宋体"/>
                <w:sz w:val="18"/>
                <w:szCs w:val="18"/>
              </w:rPr>
              <w:t>-</w:t>
            </w:r>
          </w:p>
        </w:tc>
      </w:tr>
    </w:tbl>
    <w:p>
      <w:pPr>
        <w:pStyle w:val="1280"/>
        <w:ind w:firstLine="440"/>
        <w:rPr>
          <w:rFonts w:ascii="宋体"/>
        </w:rPr>
      </w:pPr>
      <w:r>
        <w:rPr>
          <w:rFonts w:ascii="宋体"/>
        </w:rPr>
        <w:t>4</w:t>
      </w:r>
      <w:r>
        <w:rPr>
          <w:rFonts w:hint="eastAsia" w:ascii="宋体"/>
        </w:rPr>
        <w:t>、</w:t>
      </w:r>
      <w:r>
        <w:rPr>
          <w:rFonts w:ascii="宋体"/>
        </w:rPr>
        <w:t>沥青</w:t>
      </w:r>
    </w:p>
    <w:p>
      <w:pPr>
        <w:pStyle w:val="1280"/>
        <w:ind w:firstLine="440"/>
        <w:rPr>
          <w:rFonts w:ascii="宋体"/>
        </w:rPr>
      </w:pPr>
      <w:r>
        <w:rPr>
          <w:rFonts w:hint="eastAsia" w:ascii="宋体"/>
        </w:rPr>
        <w:t>（1）</w:t>
      </w:r>
      <w:r>
        <w:rPr>
          <w:rFonts w:ascii="宋体"/>
        </w:rPr>
        <w:t>使用的沥青材料应为道路石油沥青。</w:t>
      </w:r>
    </w:p>
    <w:p>
      <w:pPr>
        <w:pStyle w:val="1280"/>
        <w:ind w:firstLine="440"/>
        <w:rPr>
          <w:rFonts w:ascii="宋体"/>
        </w:rPr>
      </w:pPr>
      <w:r>
        <w:rPr>
          <w:rFonts w:hint="eastAsia" w:ascii="宋体"/>
        </w:rPr>
        <w:t>（2）</w:t>
      </w:r>
      <w:r>
        <w:rPr>
          <w:rFonts w:ascii="宋体"/>
        </w:rPr>
        <w:t>运到现场的每批沥青都应附有制造厂的证明和出厂试验报告，并说明装运数量、装运日期、订货数量等。</w:t>
      </w:r>
    </w:p>
    <w:p>
      <w:pPr>
        <w:pStyle w:val="1280"/>
        <w:ind w:firstLine="440"/>
        <w:rPr>
          <w:rFonts w:ascii="宋体"/>
        </w:rPr>
      </w:pPr>
      <w:r>
        <w:rPr>
          <w:rFonts w:hint="eastAsia" w:ascii="宋体"/>
        </w:rPr>
        <w:t>（3）</w:t>
      </w:r>
      <w:r>
        <w:rPr>
          <w:rFonts w:ascii="宋体"/>
        </w:rPr>
        <w:t>沥青材料的技术要求应符合《</w:t>
      </w:r>
      <w:r>
        <w:rPr>
          <w:rFonts w:hint="eastAsia" w:ascii="宋体"/>
        </w:rPr>
        <w:t>城镇道路工程施工与质量验收规程</w:t>
      </w:r>
      <w:r>
        <w:rPr>
          <w:rFonts w:ascii="宋体"/>
        </w:rPr>
        <w:t>》（CJJ 1-2008）的规定。沥青标号应按照公路等级、当地的气候条件、交通条件、路面类型及在结构层中的层位及受力特点、施工方法等，结合当地的使用经验情况和图纸要求确定，并取得项目监理的批准。</w:t>
      </w:r>
    </w:p>
    <w:p>
      <w:pPr>
        <w:pStyle w:val="1280"/>
        <w:ind w:firstLine="440"/>
        <w:rPr>
          <w:rFonts w:ascii="宋体"/>
        </w:rPr>
      </w:pPr>
      <w:r>
        <w:rPr>
          <w:rFonts w:hint="eastAsia" w:ascii="宋体"/>
        </w:rPr>
        <w:t>（4）</w:t>
      </w:r>
      <w:r>
        <w:rPr>
          <w:rFonts w:ascii="宋体"/>
        </w:rPr>
        <w:t>承包商应于施工开始前28d将拟用的沥青样品和上述证明及试验报告提交项目监理检验、批准。除项目监理另有指示外，承包商不得在施工中以其他沥青替代。</w:t>
      </w:r>
    </w:p>
    <w:p>
      <w:pPr>
        <w:pStyle w:val="1280"/>
        <w:ind w:firstLine="440"/>
        <w:rPr>
          <w:rFonts w:ascii="宋体"/>
        </w:rPr>
      </w:pPr>
      <w:r>
        <w:rPr>
          <w:rFonts w:hint="eastAsia" w:ascii="宋体"/>
        </w:rPr>
        <w:t>（5）</w:t>
      </w:r>
      <w:r>
        <w:rPr>
          <w:rFonts w:ascii="宋体"/>
        </w:rPr>
        <w:t>进场沥青每批都应重新进行取样和试验。取样和试验应符合《公路工程沥青及沥青混合料试验规程》</w:t>
      </w:r>
      <w:r>
        <w:rPr>
          <w:rFonts w:hint="eastAsia" w:ascii="宋体"/>
        </w:rPr>
        <w:t>（</w:t>
      </w:r>
      <w:r>
        <w:rPr>
          <w:rFonts w:ascii="宋体"/>
        </w:rPr>
        <w:t>JTG E20-2011</w:t>
      </w:r>
      <w:r>
        <w:rPr>
          <w:rFonts w:hint="eastAsia" w:ascii="宋体"/>
        </w:rPr>
        <w:t>）</w:t>
      </w:r>
      <w:r>
        <w:rPr>
          <w:rFonts w:ascii="宋体"/>
        </w:rPr>
        <w:t>的规定。</w:t>
      </w:r>
    </w:p>
    <w:p>
      <w:pPr>
        <w:pStyle w:val="1280"/>
        <w:ind w:firstLine="440"/>
        <w:rPr>
          <w:rFonts w:ascii="宋体"/>
        </w:rPr>
      </w:pPr>
      <w:r>
        <w:rPr>
          <w:rFonts w:hint="eastAsia" w:ascii="宋体"/>
        </w:rPr>
        <w:t>（6）</w:t>
      </w:r>
      <w:r>
        <w:rPr>
          <w:rFonts w:ascii="宋体"/>
        </w:rPr>
        <w:t>不同生产厂家、不同标号的沥青必须分开存放，不得混杂，并应有防水措施。</w:t>
      </w:r>
    </w:p>
    <w:p>
      <w:pPr>
        <w:pStyle w:val="1288"/>
        <w:outlineLvl w:val="0"/>
        <w:rPr>
          <w:rFonts w:ascii="宋体" w:hAnsi="宋体"/>
          <w:color w:val="auto"/>
        </w:rPr>
      </w:pPr>
      <w:bookmarkStart w:id="4526" w:name="_Toc320555524"/>
      <w:bookmarkStart w:id="4527" w:name="_Toc106050164"/>
      <w:bookmarkStart w:id="4528" w:name="_Toc106883421"/>
      <w:r>
        <w:rPr>
          <w:rFonts w:hint="eastAsia" w:ascii="宋体" w:hAnsi="宋体"/>
          <w:color w:val="auto"/>
        </w:rPr>
        <w:t>4.6.6.3</w:t>
      </w:r>
      <w:r>
        <w:rPr>
          <w:rFonts w:ascii="宋体" w:hAnsi="宋体"/>
          <w:color w:val="auto"/>
        </w:rPr>
        <w:t xml:space="preserve"> 沥青混合料组成设计</w:t>
      </w:r>
      <w:bookmarkEnd w:id="4526"/>
      <w:bookmarkEnd w:id="4527"/>
      <w:bookmarkEnd w:id="4528"/>
    </w:p>
    <w:p>
      <w:pPr>
        <w:pStyle w:val="1280"/>
        <w:ind w:firstLine="440"/>
        <w:rPr>
          <w:rFonts w:ascii="宋体"/>
        </w:rPr>
      </w:pPr>
      <w:r>
        <w:rPr>
          <w:rFonts w:ascii="宋体"/>
        </w:rPr>
        <w:t>1</w:t>
      </w:r>
      <w:r>
        <w:rPr>
          <w:rFonts w:hint="eastAsia" w:ascii="宋体"/>
        </w:rPr>
        <w:t>、</w:t>
      </w:r>
      <w:r>
        <w:rPr>
          <w:rFonts w:ascii="宋体"/>
        </w:rPr>
        <w:t>沥青混合料各层应满足所在层位的功能性要求，便于施工，不容易离析。</w:t>
      </w:r>
    </w:p>
    <w:p>
      <w:pPr>
        <w:pStyle w:val="1280"/>
        <w:ind w:firstLine="440"/>
        <w:rPr>
          <w:rFonts w:ascii="宋体"/>
        </w:rPr>
      </w:pPr>
      <w:r>
        <w:rPr>
          <w:rFonts w:ascii="宋体"/>
        </w:rPr>
        <w:t>2</w:t>
      </w:r>
      <w:r>
        <w:rPr>
          <w:rFonts w:hint="eastAsia" w:ascii="宋体"/>
        </w:rPr>
        <w:t>、</w:t>
      </w:r>
      <w:r>
        <w:rPr>
          <w:rFonts w:ascii="宋体"/>
        </w:rPr>
        <w:t>各层沥青混合料的技术标准，应符合《</w:t>
      </w:r>
      <w:r>
        <w:rPr>
          <w:rFonts w:hint="eastAsia" w:ascii="宋体"/>
        </w:rPr>
        <w:t>城镇道路工程施工与质量验收规程</w:t>
      </w:r>
      <w:r>
        <w:rPr>
          <w:rFonts w:ascii="宋体"/>
        </w:rPr>
        <w:t>》</w:t>
      </w:r>
      <w:r>
        <w:rPr>
          <w:rFonts w:hint="eastAsia" w:ascii="宋体"/>
        </w:rPr>
        <w:t>（</w:t>
      </w:r>
      <w:r>
        <w:rPr>
          <w:rFonts w:ascii="宋体"/>
        </w:rPr>
        <w:t>CJJ 1-2008</w:t>
      </w:r>
      <w:r>
        <w:rPr>
          <w:rFonts w:hint="eastAsia" w:ascii="宋体"/>
        </w:rPr>
        <w:t>）</w:t>
      </w:r>
      <w:r>
        <w:rPr>
          <w:rFonts w:ascii="宋体"/>
        </w:rPr>
        <w:t>的规定。</w:t>
      </w:r>
    </w:p>
    <w:p>
      <w:pPr>
        <w:pStyle w:val="1280"/>
        <w:ind w:firstLine="440"/>
        <w:rPr>
          <w:rFonts w:ascii="宋体"/>
        </w:rPr>
      </w:pPr>
      <w:r>
        <w:rPr>
          <w:rFonts w:ascii="宋体"/>
        </w:rPr>
        <w:t>3</w:t>
      </w:r>
      <w:r>
        <w:rPr>
          <w:rFonts w:hint="eastAsia" w:ascii="宋体"/>
        </w:rPr>
        <w:t>、</w:t>
      </w:r>
      <w:r>
        <w:rPr>
          <w:rFonts w:ascii="宋体"/>
        </w:rPr>
        <w:t>承包商应按目标配合比设计、生产配合比设计和生产配合比验证三阶段进行沥青混合料的配合比设计。沥青混合料配合比的设计与检验应按《公路沥青路面施工技术规范》</w:t>
      </w:r>
      <w:r>
        <w:rPr>
          <w:rFonts w:hint="eastAsia" w:ascii="宋体"/>
        </w:rPr>
        <w:t>（</w:t>
      </w:r>
      <w:r>
        <w:rPr>
          <w:rFonts w:ascii="宋体"/>
        </w:rPr>
        <w:t>JTG F40-2004</w:t>
      </w:r>
      <w:r>
        <w:rPr>
          <w:rFonts w:hint="eastAsia" w:ascii="宋体"/>
        </w:rPr>
        <w:t>）</w:t>
      </w:r>
      <w:r>
        <w:rPr>
          <w:rFonts w:ascii="宋体"/>
        </w:rPr>
        <w:t>附录B、C或D规定的方法进行。</w:t>
      </w:r>
    </w:p>
    <w:p>
      <w:pPr>
        <w:pStyle w:val="1280"/>
        <w:ind w:firstLine="440"/>
        <w:rPr>
          <w:rFonts w:ascii="宋体"/>
        </w:rPr>
      </w:pPr>
      <w:r>
        <w:rPr>
          <w:rFonts w:ascii="宋体"/>
        </w:rPr>
        <w:t>4</w:t>
      </w:r>
      <w:r>
        <w:rPr>
          <w:rFonts w:hint="eastAsia" w:ascii="宋体"/>
        </w:rPr>
        <w:t>、</w:t>
      </w:r>
      <w:r>
        <w:rPr>
          <w:rFonts w:ascii="宋体"/>
        </w:rPr>
        <w:t>承包商应在28d前向项目监理提交拟用的沥青混合料级配、沥青结合料用量及沥青混合料稳定度、流值、空隙率、动稳定度、残留稳定度等各项技术指标作出书面详细说明。在承包商提交的目标配合比未经项目监理批准前，不得进入生产配合比设计。</w:t>
      </w:r>
    </w:p>
    <w:p>
      <w:pPr>
        <w:pStyle w:val="1280"/>
        <w:ind w:firstLine="440"/>
        <w:rPr>
          <w:rFonts w:ascii="宋体"/>
        </w:rPr>
      </w:pPr>
      <w:r>
        <w:rPr>
          <w:rFonts w:ascii="宋体"/>
        </w:rPr>
        <w:t>5</w:t>
      </w:r>
      <w:r>
        <w:rPr>
          <w:rFonts w:hint="eastAsia" w:ascii="宋体"/>
        </w:rPr>
        <w:t>、</w:t>
      </w:r>
      <w:r>
        <w:rPr>
          <w:rFonts w:ascii="宋体"/>
        </w:rPr>
        <w:t>如果承包商建议改变料源时，应在材料生产之前，把新的目标配合比设计报告项目监理审批。审批新的工地拌和料级配时应做试验。由于这些变化而产生的所有费用都应由承包商支付。</w:t>
      </w:r>
    </w:p>
    <w:p>
      <w:pPr>
        <w:pStyle w:val="1280"/>
        <w:ind w:firstLine="440"/>
        <w:rPr>
          <w:rFonts w:ascii="宋体"/>
        </w:rPr>
      </w:pPr>
      <w:r>
        <w:rPr>
          <w:rFonts w:ascii="宋体"/>
        </w:rPr>
        <w:t>6</w:t>
      </w:r>
      <w:r>
        <w:rPr>
          <w:rFonts w:hint="eastAsia" w:ascii="宋体"/>
        </w:rPr>
        <w:t>、</w:t>
      </w:r>
      <w:r>
        <w:rPr>
          <w:rFonts w:ascii="宋体"/>
        </w:rPr>
        <w:t>在沥青混合料未被批准之前，不得进行下一步工序。未经项目监理认可，批准的沥青混合料配合比和原材料品种不得更改。</w:t>
      </w:r>
    </w:p>
    <w:p>
      <w:pPr>
        <w:pStyle w:val="1288"/>
        <w:outlineLvl w:val="0"/>
        <w:rPr>
          <w:rFonts w:ascii="宋体" w:hAnsi="宋体"/>
          <w:color w:val="auto"/>
        </w:rPr>
      </w:pPr>
      <w:bookmarkStart w:id="4529" w:name="_Toc320555525"/>
      <w:bookmarkStart w:id="4530" w:name="_Toc106050165"/>
      <w:bookmarkStart w:id="4531" w:name="_Toc106883422"/>
      <w:r>
        <w:rPr>
          <w:rFonts w:hint="eastAsia" w:ascii="宋体" w:hAnsi="宋体"/>
          <w:color w:val="auto"/>
        </w:rPr>
        <w:t>4.6.6.4</w:t>
      </w:r>
      <w:r>
        <w:rPr>
          <w:rFonts w:ascii="宋体" w:hAnsi="宋体"/>
          <w:color w:val="auto"/>
        </w:rPr>
        <w:t xml:space="preserve"> 施工要求</w:t>
      </w:r>
      <w:bookmarkEnd w:id="4529"/>
      <w:bookmarkEnd w:id="4530"/>
      <w:bookmarkEnd w:id="4531"/>
    </w:p>
    <w:p>
      <w:pPr>
        <w:pStyle w:val="1280"/>
        <w:ind w:firstLine="440"/>
        <w:rPr>
          <w:rFonts w:ascii="宋体"/>
        </w:rPr>
      </w:pPr>
      <w:r>
        <w:rPr>
          <w:rFonts w:ascii="宋体"/>
        </w:rPr>
        <w:t>1</w:t>
      </w:r>
      <w:r>
        <w:rPr>
          <w:rFonts w:hint="eastAsia" w:ascii="宋体"/>
        </w:rPr>
        <w:t>、</w:t>
      </w:r>
      <w:r>
        <w:rPr>
          <w:rFonts w:ascii="宋体"/>
        </w:rPr>
        <w:t>施工设备</w:t>
      </w:r>
    </w:p>
    <w:p>
      <w:pPr>
        <w:pStyle w:val="1280"/>
        <w:ind w:firstLine="440"/>
        <w:rPr>
          <w:rFonts w:ascii="宋体"/>
        </w:rPr>
      </w:pPr>
      <w:r>
        <w:rPr>
          <w:rFonts w:hint="eastAsia" w:ascii="宋体"/>
        </w:rPr>
        <w:t>（1）</w:t>
      </w:r>
      <w:r>
        <w:rPr>
          <w:rFonts w:ascii="宋体"/>
        </w:rPr>
        <w:t>沥青拌和厂</w:t>
      </w:r>
    </w:p>
    <w:p>
      <w:pPr>
        <w:pStyle w:val="1280"/>
        <w:ind w:firstLine="440"/>
        <w:rPr>
          <w:rFonts w:ascii="宋体"/>
        </w:rPr>
      </w:pPr>
      <w:r>
        <w:rPr>
          <w:rFonts w:ascii="宋体"/>
        </w:rPr>
        <w:t>a</w:t>
      </w:r>
      <w:r>
        <w:rPr>
          <w:rFonts w:hint="eastAsia" w:ascii="宋体"/>
        </w:rPr>
        <w:t>、</w:t>
      </w:r>
      <w:r>
        <w:rPr>
          <w:rFonts w:ascii="宋体"/>
        </w:rPr>
        <w:t>拌和厂应在其设计、协调配合和操作方面，都能使生产的沥青混合料符合工地配合比设计要求。拌和厂必须配备足够试验设备的试验室，能及时提供试验资料，并应将试验人员的资质及试验设备报请项目监理批准。</w:t>
      </w:r>
    </w:p>
    <w:p>
      <w:pPr>
        <w:pStyle w:val="1280"/>
        <w:ind w:firstLine="440"/>
        <w:rPr>
          <w:rFonts w:ascii="宋体"/>
        </w:rPr>
      </w:pPr>
      <w:r>
        <w:rPr>
          <w:rFonts w:ascii="宋体"/>
        </w:rPr>
        <w:t>b</w:t>
      </w:r>
      <w:r>
        <w:rPr>
          <w:rFonts w:hint="eastAsia" w:ascii="宋体"/>
        </w:rPr>
        <w:t>、</w:t>
      </w:r>
      <w:r>
        <w:rPr>
          <w:rFonts w:ascii="宋体"/>
        </w:rPr>
        <w:t>拌和设备应是能按用量</w:t>
      </w:r>
      <w:r>
        <w:rPr>
          <w:rFonts w:hint="eastAsia" w:ascii="宋体"/>
        </w:rPr>
        <w:t>（</w:t>
      </w:r>
      <w:r>
        <w:rPr>
          <w:rFonts w:ascii="宋体"/>
        </w:rPr>
        <w:t>以质量计</w:t>
      </w:r>
      <w:r>
        <w:rPr>
          <w:rFonts w:hint="eastAsia" w:ascii="宋体"/>
        </w:rPr>
        <w:t>）</w:t>
      </w:r>
      <w:r>
        <w:rPr>
          <w:rFonts w:ascii="宋体"/>
        </w:rPr>
        <w:t>分批配料的间歇式拌和机，其产量应不小于120t</w:t>
      </w:r>
      <w:r>
        <w:rPr>
          <w:rFonts w:hint="eastAsia" w:ascii="宋体"/>
        </w:rPr>
        <w:t>/</w:t>
      </w:r>
      <w:r>
        <w:rPr>
          <w:rFonts w:ascii="宋体"/>
        </w:rPr>
        <w:t>h，并装有温度检测系统及保温的成品储料仓和二级除尘设施。拌和设备的产量应和生产进度相匹配，在安装完成后应进行标定，并按批准的配合比进行试拌调试，直到符合要求。其偏差值应符合《公路沥青路面施工技术规范》</w:t>
      </w:r>
      <w:r>
        <w:rPr>
          <w:rFonts w:hint="eastAsia" w:ascii="宋体"/>
        </w:rPr>
        <w:t>（</w:t>
      </w:r>
      <w:r>
        <w:rPr>
          <w:rFonts w:ascii="宋体"/>
        </w:rPr>
        <w:t>JTG F40-2004</w:t>
      </w:r>
      <w:r>
        <w:rPr>
          <w:rFonts w:hint="eastAsia" w:ascii="宋体"/>
        </w:rPr>
        <w:t>）</w:t>
      </w:r>
      <w:r>
        <w:rPr>
          <w:rFonts w:ascii="宋体"/>
        </w:rPr>
        <w:t>表l 1.4.4的规定。</w:t>
      </w:r>
    </w:p>
    <w:p>
      <w:pPr>
        <w:pStyle w:val="1280"/>
        <w:ind w:firstLine="440"/>
        <w:rPr>
          <w:rFonts w:ascii="宋体"/>
        </w:rPr>
      </w:pPr>
      <w:r>
        <w:rPr>
          <w:rFonts w:ascii="宋体"/>
        </w:rPr>
        <w:t>c</w:t>
      </w:r>
      <w:r>
        <w:rPr>
          <w:rFonts w:hint="eastAsia" w:ascii="宋体"/>
        </w:rPr>
        <w:t>、</w:t>
      </w:r>
      <w:r>
        <w:rPr>
          <w:rFonts w:ascii="宋体"/>
        </w:rPr>
        <w:t>拌和场地布置，应保证热料运送距离合理，进出方便，电、水供应好，且远离居民区，并应符合《公路环境保护设计规范》</w:t>
      </w:r>
      <w:r>
        <w:rPr>
          <w:rFonts w:hint="eastAsia" w:ascii="宋体"/>
        </w:rPr>
        <w:t>（</w:t>
      </w:r>
      <w:r>
        <w:rPr>
          <w:rFonts w:ascii="宋体"/>
        </w:rPr>
        <w:t>JTG B04-2010</w:t>
      </w:r>
      <w:r>
        <w:rPr>
          <w:rFonts w:hint="eastAsia" w:ascii="宋体"/>
        </w:rPr>
        <w:t>）</w:t>
      </w:r>
      <w:r>
        <w:rPr>
          <w:rFonts w:ascii="宋体"/>
        </w:rPr>
        <w:t>和本技术规范附件《环境管理计划》的有关要求。</w:t>
      </w:r>
    </w:p>
    <w:p>
      <w:pPr>
        <w:pStyle w:val="1280"/>
        <w:ind w:firstLine="440"/>
        <w:rPr>
          <w:rFonts w:ascii="宋体"/>
        </w:rPr>
      </w:pPr>
      <w:r>
        <w:rPr>
          <w:rFonts w:hint="eastAsia" w:ascii="宋体"/>
        </w:rPr>
        <w:t>（2）</w:t>
      </w:r>
      <w:r>
        <w:rPr>
          <w:rFonts w:ascii="宋体"/>
        </w:rPr>
        <w:t>运料设备应采用干净有金属底板的自卸槽斗车辆运送混合料，车槽内不得沾有杂物。运输车辆应备有覆盖设备，车槽四角应密封坚固。</w:t>
      </w:r>
    </w:p>
    <w:p>
      <w:pPr>
        <w:pStyle w:val="1280"/>
        <w:ind w:firstLine="440"/>
        <w:rPr>
          <w:rFonts w:ascii="宋体"/>
        </w:rPr>
      </w:pPr>
      <w:r>
        <w:rPr>
          <w:rFonts w:hint="eastAsia" w:ascii="宋体"/>
        </w:rPr>
        <w:t>（3）</w:t>
      </w:r>
      <w:r>
        <w:rPr>
          <w:rFonts w:ascii="宋体"/>
        </w:rPr>
        <w:t>摊铺机械</w:t>
      </w:r>
    </w:p>
    <w:p>
      <w:pPr>
        <w:pStyle w:val="1280"/>
        <w:ind w:firstLine="440"/>
        <w:rPr>
          <w:rFonts w:ascii="宋体"/>
        </w:rPr>
      </w:pPr>
      <w:r>
        <w:rPr>
          <w:rFonts w:ascii="宋体"/>
        </w:rPr>
        <w:t>a</w:t>
      </w:r>
      <w:r>
        <w:rPr>
          <w:rFonts w:hint="eastAsia" w:ascii="宋体"/>
        </w:rPr>
        <w:t>、</w:t>
      </w:r>
      <w:r>
        <w:rPr>
          <w:rFonts w:ascii="宋体"/>
        </w:rPr>
        <w:t>沥青混合料摊铺设备，应是自动找平式的，安装有可调的熨平板或整平组件。熨平板在需要时可以加热，能按照规定的典型横断面和图纸所示的厚度在车道宽度内摊铺，摊铺机应有振动夯锤或可调整振幅的振动熨平板的组合装置，夯锤与振动熨平板的频率和振幅，应能各自单独的调整。</w:t>
      </w:r>
    </w:p>
    <w:p>
      <w:pPr>
        <w:pStyle w:val="1280"/>
        <w:ind w:firstLine="440"/>
        <w:rPr>
          <w:rFonts w:ascii="宋体"/>
        </w:rPr>
      </w:pPr>
      <w:r>
        <w:rPr>
          <w:rFonts w:ascii="宋体"/>
        </w:rPr>
        <w:t>b</w:t>
      </w:r>
      <w:r>
        <w:rPr>
          <w:rFonts w:hint="eastAsia" w:ascii="宋体"/>
        </w:rPr>
        <w:t>、</w:t>
      </w:r>
      <w:r>
        <w:rPr>
          <w:rFonts w:ascii="宋体"/>
        </w:rPr>
        <w:t>摊铺沥青混合料时，摊铺机的摊铺速度应根据拌和机产量、施工机械配套情况及摊铺层厚度、宽度确定。</w:t>
      </w:r>
    </w:p>
    <w:p>
      <w:pPr>
        <w:pStyle w:val="1280"/>
        <w:ind w:firstLine="440"/>
        <w:rPr>
          <w:rFonts w:ascii="宋体"/>
        </w:rPr>
      </w:pPr>
      <w:r>
        <w:rPr>
          <w:rFonts w:ascii="宋体"/>
        </w:rPr>
        <w:t>c</w:t>
      </w:r>
      <w:r>
        <w:rPr>
          <w:rFonts w:hint="eastAsia" w:ascii="宋体"/>
        </w:rPr>
        <w:t>、</w:t>
      </w:r>
      <w:r>
        <w:rPr>
          <w:rFonts w:ascii="宋体"/>
        </w:rPr>
        <w:t>摊铺机应配备熨平板自控装置，传感器可通过基准线自动发出信号来操纵熨平板，使摊铺机能铺筑出理想的纵横坡度和平整度。</w:t>
      </w:r>
    </w:p>
    <w:p>
      <w:pPr>
        <w:pStyle w:val="1280"/>
        <w:ind w:firstLine="440"/>
        <w:rPr>
          <w:rFonts w:ascii="宋体"/>
        </w:rPr>
      </w:pPr>
      <w:r>
        <w:rPr>
          <w:rFonts w:hint="eastAsia" w:ascii="宋体"/>
        </w:rPr>
        <w:t>（4）</w:t>
      </w:r>
      <w:r>
        <w:rPr>
          <w:rFonts w:ascii="宋体"/>
        </w:rPr>
        <w:t>压实机械</w:t>
      </w:r>
    </w:p>
    <w:p>
      <w:pPr>
        <w:pStyle w:val="1280"/>
        <w:ind w:firstLine="440"/>
        <w:rPr>
          <w:rFonts w:ascii="宋体"/>
        </w:rPr>
      </w:pPr>
      <w:r>
        <w:rPr>
          <w:rFonts w:ascii="宋体"/>
        </w:rPr>
        <w:t>压实设备应配有钢筒式压路机、轮胎式及振动压路机，能按合理的压实工艺进行组合压实。还应备有项目监理认可的小型振动压路机具，以用于压路机不便压实的地方。</w:t>
      </w:r>
    </w:p>
    <w:p>
      <w:pPr>
        <w:pStyle w:val="1280"/>
        <w:ind w:firstLine="440"/>
        <w:rPr>
          <w:rFonts w:ascii="宋体"/>
        </w:rPr>
      </w:pPr>
      <w:r>
        <w:rPr>
          <w:rFonts w:ascii="宋体"/>
        </w:rPr>
        <w:t>2</w:t>
      </w:r>
      <w:r>
        <w:rPr>
          <w:rFonts w:hint="eastAsia" w:ascii="宋体"/>
        </w:rPr>
        <w:t>、</w:t>
      </w:r>
      <w:r>
        <w:rPr>
          <w:rFonts w:ascii="宋体"/>
        </w:rPr>
        <w:t>沥青混合料的拌和</w:t>
      </w:r>
    </w:p>
    <w:p>
      <w:pPr>
        <w:pStyle w:val="1280"/>
        <w:ind w:firstLine="440"/>
        <w:rPr>
          <w:rFonts w:ascii="宋体"/>
        </w:rPr>
      </w:pPr>
      <w:r>
        <w:rPr>
          <w:rFonts w:hint="eastAsia" w:ascii="宋体"/>
        </w:rPr>
        <w:t>（1）</w:t>
      </w:r>
      <w:r>
        <w:rPr>
          <w:rFonts w:ascii="宋体"/>
        </w:rPr>
        <w:t>粗、细集料应分类堆放和供料，取自不同料源的集料应分开堆放。每个料源的材料应进行抽样试验，并经项目监理批准。</w:t>
      </w:r>
    </w:p>
    <w:p>
      <w:pPr>
        <w:pStyle w:val="1280"/>
        <w:ind w:firstLine="440"/>
        <w:rPr>
          <w:rFonts w:ascii="宋体"/>
        </w:rPr>
      </w:pPr>
      <w:r>
        <w:rPr>
          <w:rFonts w:hint="eastAsia" w:ascii="宋体"/>
        </w:rPr>
        <w:t>（2）</w:t>
      </w:r>
      <w:r>
        <w:rPr>
          <w:rFonts w:ascii="宋体"/>
        </w:rPr>
        <w:t>拌和时，每种规格的集料、矿粉和沥青都必须按批准的生产配合比准确计量，其计量误差应控制在规定的范围内。</w:t>
      </w:r>
    </w:p>
    <w:p>
      <w:pPr>
        <w:pStyle w:val="1280"/>
        <w:ind w:firstLine="440"/>
        <w:rPr>
          <w:rFonts w:ascii="宋体"/>
        </w:rPr>
      </w:pPr>
      <w:r>
        <w:rPr>
          <w:rFonts w:hint="eastAsia" w:ascii="宋体"/>
        </w:rPr>
        <w:t>（3）</w:t>
      </w:r>
      <w:r>
        <w:rPr>
          <w:rFonts w:ascii="宋体"/>
        </w:rPr>
        <w:t>沥青的加热温度、矿料加热温度、沥青混合料的出厂温度，保证运到施工现场的温度均应符合《</w:t>
      </w:r>
      <w:r>
        <w:rPr>
          <w:rFonts w:hint="eastAsia" w:ascii="宋体"/>
        </w:rPr>
        <w:t>城镇道路工程施工与质量验收规程</w:t>
      </w:r>
      <w:r>
        <w:rPr>
          <w:rFonts w:ascii="宋体"/>
        </w:rPr>
        <w:t>》</w:t>
      </w:r>
      <w:r>
        <w:rPr>
          <w:rFonts w:hint="eastAsia" w:ascii="宋体"/>
        </w:rPr>
        <w:t>（</w:t>
      </w:r>
      <w:r>
        <w:rPr>
          <w:rFonts w:ascii="宋体"/>
        </w:rPr>
        <w:t>CJJ 1-2008</w:t>
      </w:r>
      <w:r>
        <w:rPr>
          <w:rFonts w:hint="eastAsia" w:ascii="宋体"/>
        </w:rPr>
        <w:t>）和</w:t>
      </w:r>
      <w:r>
        <w:rPr>
          <w:rFonts w:ascii="宋体"/>
        </w:rPr>
        <w:t>《公路沥青路面施工技术规范》</w:t>
      </w:r>
      <w:r>
        <w:rPr>
          <w:rFonts w:hint="eastAsia" w:ascii="宋体"/>
        </w:rPr>
        <w:t>（</w:t>
      </w:r>
      <w:r>
        <w:rPr>
          <w:rFonts w:ascii="宋体"/>
        </w:rPr>
        <w:t>JTG F40-2004</w:t>
      </w:r>
      <w:r>
        <w:rPr>
          <w:rFonts w:hint="eastAsia" w:ascii="宋体"/>
        </w:rPr>
        <w:t>）</w:t>
      </w:r>
      <w:r>
        <w:rPr>
          <w:rFonts w:ascii="宋体"/>
        </w:rPr>
        <w:t>表5.6.6的要求。</w:t>
      </w:r>
    </w:p>
    <w:p>
      <w:pPr>
        <w:pStyle w:val="1280"/>
        <w:ind w:firstLine="440"/>
        <w:rPr>
          <w:rFonts w:ascii="宋体"/>
        </w:rPr>
      </w:pPr>
      <w:r>
        <w:rPr>
          <w:rFonts w:hint="eastAsia" w:ascii="宋体"/>
        </w:rPr>
        <w:t>（4）</w:t>
      </w:r>
      <w:r>
        <w:rPr>
          <w:rFonts w:ascii="宋体"/>
        </w:rPr>
        <w:t>所有过度加热即沥青混合料出厂温度超过正常温度高限的30</w:t>
      </w:r>
      <w:r>
        <w:rPr>
          <w:rFonts w:hint="eastAsia" w:ascii="宋体" w:cs="宋体"/>
        </w:rPr>
        <w:t>℃</w:t>
      </w:r>
      <w:r>
        <w:rPr>
          <w:rFonts w:ascii="宋体"/>
        </w:rPr>
        <w:t>时，混合料应予废弃。拌和后的混合料必须均匀一致，无花白、无粗细料离析和结团现象。</w:t>
      </w:r>
    </w:p>
    <w:p>
      <w:pPr>
        <w:pStyle w:val="1280"/>
        <w:ind w:firstLine="440"/>
        <w:rPr>
          <w:rFonts w:ascii="宋体"/>
        </w:rPr>
      </w:pPr>
      <w:r>
        <w:rPr>
          <w:rFonts w:hint="eastAsia" w:ascii="宋体"/>
        </w:rPr>
        <w:t>（5）</w:t>
      </w:r>
      <w:r>
        <w:rPr>
          <w:rFonts w:ascii="宋体"/>
        </w:rPr>
        <w:t>材料的规格或配合比发生改变时，都应根据室内试验资料进行试拌。试拌时必须抽样检查混合料的沥青含量、级配组成和有关指标，并报请项目监理批准。</w:t>
      </w:r>
    </w:p>
    <w:p>
      <w:pPr>
        <w:pStyle w:val="1280"/>
        <w:ind w:firstLine="440"/>
        <w:rPr>
          <w:rFonts w:ascii="宋体"/>
        </w:rPr>
      </w:pPr>
      <w:r>
        <w:rPr>
          <w:rFonts w:hint="eastAsia" w:ascii="宋体"/>
        </w:rPr>
        <w:t>3、</w:t>
      </w:r>
      <w:r>
        <w:rPr>
          <w:rFonts w:ascii="宋体"/>
        </w:rPr>
        <w:t>沥青混合料的运送</w:t>
      </w:r>
    </w:p>
    <w:p>
      <w:pPr>
        <w:pStyle w:val="1280"/>
        <w:ind w:firstLine="440"/>
        <w:rPr>
          <w:rFonts w:ascii="宋体"/>
        </w:rPr>
      </w:pPr>
      <w:r>
        <w:rPr>
          <w:rFonts w:hint="eastAsia" w:ascii="宋体"/>
        </w:rPr>
        <w:t>（1）</w:t>
      </w:r>
      <w:r>
        <w:rPr>
          <w:rFonts w:ascii="宋体"/>
        </w:rPr>
        <w:t>已经离析或结成团块或在运料车辆卸料时滞留于车上的混合料，以及低于规定铺筑温度或被雨水淋湿的混合料都应废弃。</w:t>
      </w:r>
    </w:p>
    <w:p>
      <w:pPr>
        <w:pStyle w:val="1280"/>
        <w:ind w:firstLine="440"/>
        <w:rPr>
          <w:rFonts w:ascii="宋体"/>
        </w:rPr>
      </w:pPr>
      <w:r>
        <w:rPr>
          <w:rFonts w:hint="eastAsia" w:ascii="宋体"/>
        </w:rPr>
        <w:t>（2）</w:t>
      </w:r>
      <w:r>
        <w:rPr>
          <w:rFonts w:ascii="宋体"/>
        </w:rPr>
        <w:t>运至铺筑现场的混合料，应在当天或当班完成压实。</w:t>
      </w:r>
    </w:p>
    <w:p>
      <w:pPr>
        <w:pStyle w:val="1280"/>
        <w:ind w:firstLine="440"/>
        <w:rPr>
          <w:rFonts w:ascii="宋体"/>
        </w:rPr>
      </w:pPr>
      <w:r>
        <w:rPr>
          <w:rFonts w:hint="eastAsia" w:ascii="宋体"/>
        </w:rPr>
        <w:t>4、</w:t>
      </w:r>
      <w:r>
        <w:rPr>
          <w:rFonts w:ascii="宋体"/>
        </w:rPr>
        <w:t>沥青混合料的摊铺</w:t>
      </w:r>
    </w:p>
    <w:p>
      <w:pPr>
        <w:pStyle w:val="1280"/>
        <w:ind w:firstLine="440"/>
        <w:rPr>
          <w:rFonts w:ascii="宋体"/>
        </w:rPr>
      </w:pPr>
      <w:r>
        <w:rPr>
          <w:rFonts w:hint="eastAsia" w:ascii="宋体"/>
        </w:rPr>
        <w:t>（1）</w:t>
      </w:r>
      <w:r>
        <w:rPr>
          <w:rFonts w:ascii="宋体"/>
        </w:rPr>
        <w:t>半刚性基层沥青路面的基层与沥青层宜在同一年内施工，以减少路面开裂。在清扫干净的基层上，也可先做下封层，以防止基层干缩开裂，同时保护基层免遭施工车辆破坏，宜在铺设下封层后的10～30d内开始铺筑沥青面层的底面层。在经项目监理验收合格的基层上，方可铺筑沥青混合料。摊铺必须均匀、缓慢、连续不断地进行。并在摊铺面层时必须采取措施防止层面之问被污染。</w:t>
      </w:r>
    </w:p>
    <w:p>
      <w:pPr>
        <w:pStyle w:val="1280"/>
        <w:ind w:firstLine="440"/>
        <w:rPr>
          <w:rFonts w:ascii="宋体"/>
        </w:rPr>
      </w:pPr>
      <w:r>
        <w:rPr>
          <w:rFonts w:hint="eastAsia" w:ascii="宋体"/>
        </w:rPr>
        <w:t>（2）</w:t>
      </w:r>
      <w:r>
        <w:rPr>
          <w:rFonts w:ascii="宋体"/>
        </w:rPr>
        <w:t>通常应采用两台或两台以上摊铺机组成梯队联合摊铺，两台摊铺机前后的距离，一般为10～20m。前后两台摊铺机轨道重叠30～60mm。</w:t>
      </w:r>
    </w:p>
    <w:p>
      <w:pPr>
        <w:pStyle w:val="1280"/>
        <w:ind w:firstLine="440"/>
        <w:rPr>
          <w:rFonts w:ascii="宋体"/>
        </w:rPr>
      </w:pPr>
      <w:r>
        <w:rPr>
          <w:rFonts w:hint="eastAsia" w:ascii="宋体"/>
        </w:rPr>
        <w:t>（3）</w:t>
      </w:r>
      <w:r>
        <w:rPr>
          <w:rFonts w:ascii="宋体"/>
        </w:rPr>
        <w:t>沥青混合料的摊铺温度应符合《</w:t>
      </w:r>
      <w:r>
        <w:rPr>
          <w:rFonts w:hint="eastAsia" w:ascii="宋体"/>
        </w:rPr>
        <w:t>城镇道路工程施工与质量验收规程</w:t>
      </w:r>
      <w:r>
        <w:rPr>
          <w:rFonts w:ascii="宋体"/>
        </w:rPr>
        <w:t>》（CJJ 1-2008）的要求，并应随沥青的标号及气温的不同通过试验确定。</w:t>
      </w:r>
    </w:p>
    <w:p>
      <w:pPr>
        <w:pStyle w:val="1280"/>
        <w:ind w:firstLine="440"/>
        <w:rPr>
          <w:rFonts w:ascii="宋体"/>
        </w:rPr>
      </w:pPr>
      <w:r>
        <w:rPr>
          <w:rFonts w:hint="eastAsia" w:ascii="宋体"/>
        </w:rPr>
        <w:t>（4）</w:t>
      </w:r>
      <w:r>
        <w:rPr>
          <w:rFonts w:ascii="宋体"/>
        </w:rPr>
        <w:t>摊铺机应以均匀的速度行驶，其摊铺速度根据拌和能力、摊铺厚度、宽度及连续摊铺的长度而定。</w:t>
      </w:r>
    </w:p>
    <w:p>
      <w:pPr>
        <w:pStyle w:val="1280"/>
        <w:ind w:firstLine="440"/>
        <w:rPr>
          <w:rFonts w:ascii="宋体"/>
        </w:rPr>
      </w:pPr>
      <w:r>
        <w:rPr>
          <w:rFonts w:hint="eastAsia" w:ascii="宋体"/>
        </w:rPr>
        <w:t>（5）</w:t>
      </w:r>
      <w:r>
        <w:rPr>
          <w:rFonts w:ascii="宋体"/>
        </w:rPr>
        <w:t>要注意摊铺机接料斗的操作程序，以减少粗细料的离析，并避免运料车卸料时撞击摊铺机。</w:t>
      </w:r>
    </w:p>
    <w:p>
      <w:pPr>
        <w:pStyle w:val="1280"/>
        <w:ind w:firstLine="440"/>
        <w:rPr>
          <w:rFonts w:ascii="宋体"/>
        </w:rPr>
      </w:pPr>
      <w:r>
        <w:rPr>
          <w:rFonts w:hint="eastAsia" w:ascii="宋体"/>
        </w:rPr>
        <w:t>（6）</w:t>
      </w:r>
      <w:r>
        <w:rPr>
          <w:rFonts w:ascii="宋体"/>
        </w:rPr>
        <w:t>摊铺时应调整好摊铺机熨平板的激振强度，使各块熨平板激振力相一致。以避免激振强度强弱不均使铺层粗、细料在表面和铺层下部分布不均，摊铺的初压实度≥85％。</w:t>
      </w:r>
    </w:p>
    <w:p>
      <w:pPr>
        <w:pStyle w:val="1280"/>
        <w:ind w:firstLine="440"/>
        <w:rPr>
          <w:rFonts w:ascii="宋体"/>
        </w:rPr>
      </w:pPr>
      <w:r>
        <w:rPr>
          <w:rFonts w:hint="eastAsia" w:ascii="宋体"/>
        </w:rPr>
        <w:t>（7）</w:t>
      </w:r>
      <w:r>
        <w:rPr>
          <w:rFonts w:ascii="宋体"/>
        </w:rPr>
        <w:t>对于铺面上所出现洞眼，应在碾压前用人工及时填入适量热沥青混合料，以达到平整。</w:t>
      </w:r>
    </w:p>
    <w:p>
      <w:pPr>
        <w:pStyle w:val="1280"/>
        <w:ind w:firstLine="440"/>
        <w:rPr>
          <w:rFonts w:ascii="宋体"/>
        </w:rPr>
      </w:pPr>
      <w:r>
        <w:rPr>
          <w:rFonts w:hint="eastAsia" w:ascii="宋体"/>
        </w:rPr>
        <w:t>（8）</w:t>
      </w:r>
      <w:r>
        <w:rPr>
          <w:rFonts w:ascii="宋体"/>
        </w:rPr>
        <w:t>沥青混合料摊铺过程中随时检查其宽度、厚度、平整度、路拱及温度，对不合格之处应及时进行调整。</w:t>
      </w:r>
    </w:p>
    <w:p>
      <w:pPr>
        <w:pStyle w:val="1280"/>
        <w:ind w:firstLine="440"/>
        <w:rPr>
          <w:rFonts w:ascii="宋体"/>
        </w:rPr>
      </w:pPr>
      <w:r>
        <w:rPr>
          <w:rFonts w:hint="eastAsia" w:ascii="宋体"/>
        </w:rPr>
        <w:t>（9）</w:t>
      </w:r>
      <w:r>
        <w:rPr>
          <w:rFonts w:ascii="宋体"/>
        </w:rPr>
        <w:t>对外形不规则、路面厚度不同、空间受到限制以及人工构造物接头等摊铺机无法工作的地方，经项目监理批准可以采用人工铺筑混合料。</w:t>
      </w:r>
    </w:p>
    <w:p>
      <w:pPr>
        <w:pStyle w:val="1280"/>
        <w:ind w:firstLine="440"/>
        <w:rPr>
          <w:rFonts w:ascii="宋体"/>
        </w:rPr>
      </w:pPr>
      <w:r>
        <w:rPr>
          <w:rFonts w:ascii="宋体"/>
        </w:rPr>
        <w:t>5</w:t>
      </w:r>
      <w:r>
        <w:rPr>
          <w:rFonts w:hint="eastAsia" w:ascii="宋体"/>
        </w:rPr>
        <w:t>、</w:t>
      </w:r>
      <w:r>
        <w:rPr>
          <w:rFonts w:ascii="宋体"/>
        </w:rPr>
        <w:t>沥青混合料的压实</w:t>
      </w:r>
    </w:p>
    <w:p>
      <w:pPr>
        <w:pStyle w:val="1280"/>
        <w:ind w:firstLine="440"/>
        <w:rPr>
          <w:rFonts w:ascii="宋体"/>
        </w:rPr>
      </w:pPr>
      <w:r>
        <w:rPr>
          <w:rFonts w:hint="eastAsia" w:ascii="宋体"/>
        </w:rPr>
        <w:t>（1）</w:t>
      </w:r>
      <w:r>
        <w:rPr>
          <w:rFonts w:ascii="宋体"/>
        </w:rPr>
        <w:t>混合料摊铺后应立即进行压实作业。压实分初压、复压和终压</w:t>
      </w:r>
      <w:r>
        <w:rPr>
          <w:rFonts w:hint="eastAsia" w:ascii="宋体"/>
        </w:rPr>
        <w:t>（</w:t>
      </w:r>
      <w:r>
        <w:rPr>
          <w:rFonts w:ascii="宋体"/>
        </w:rPr>
        <w:t>包括成型</w:t>
      </w:r>
      <w:r>
        <w:rPr>
          <w:rFonts w:hint="eastAsia" w:ascii="宋体"/>
        </w:rPr>
        <w:t>）</w:t>
      </w:r>
      <w:r>
        <w:rPr>
          <w:rFonts w:ascii="宋体"/>
        </w:rPr>
        <w:t>三个阶段，每阶段的碾压速度应符合《</w:t>
      </w:r>
      <w:r>
        <w:rPr>
          <w:rFonts w:hint="eastAsia" w:ascii="宋体"/>
        </w:rPr>
        <w:t>城镇道路工程施工与质量验收规程</w:t>
      </w:r>
      <w:r>
        <w:rPr>
          <w:rFonts w:ascii="宋体"/>
        </w:rPr>
        <w:t>》（CJJ 1-2008）的要求。</w:t>
      </w:r>
    </w:p>
    <w:p>
      <w:pPr>
        <w:pStyle w:val="1280"/>
        <w:ind w:firstLine="440"/>
        <w:rPr>
          <w:rFonts w:ascii="宋体"/>
        </w:rPr>
      </w:pPr>
      <w:r>
        <w:rPr>
          <w:rFonts w:hint="eastAsia" w:ascii="宋体"/>
        </w:rPr>
        <w:t>（2）</w:t>
      </w:r>
      <w:r>
        <w:rPr>
          <w:rFonts w:ascii="宋体"/>
        </w:rPr>
        <w:t>压路机不得在未碾压成型或未冷却的路段上转向、制动或停留。同时，应采取有效措施，防止油料、润滑脂、汽油或其他杂质在压路机操作或停放期间落在路面上。</w:t>
      </w:r>
    </w:p>
    <w:p>
      <w:pPr>
        <w:pStyle w:val="1280"/>
        <w:ind w:firstLine="440"/>
        <w:rPr>
          <w:rFonts w:ascii="宋体"/>
        </w:rPr>
      </w:pPr>
      <w:r>
        <w:rPr>
          <w:rFonts w:hint="eastAsia" w:ascii="宋体"/>
        </w:rPr>
        <w:t>（3）</w:t>
      </w:r>
      <w:r>
        <w:rPr>
          <w:rFonts w:ascii="宋体"/>
        </w:rPr>
        <w:t>压路机的碾压温度，应按试验路确定的碾压温度进行碾压，并应符合《</w:t>
      </w:r>
      <w:r>
        <w:rPr>
          <w:rFonts w:hint="eastAsia" w:ascii="宋体"/>
        </w:rPr>
        <w:t>城镇道路工程施工与质量验收规程</w:t>
      </w:r>
      <w:r>
        <w:rPr>
          <w:rFonts w:ascii="宋体"/>
        </w:rPr>
        <w:t>》</w:t>
      </w:r>
      <w:r>
        <w:rPr>
          <w:rFonts w:hint="eastAsia" w:ascii="宋体"/>
        </w:rPr>
        <w:t>（</w:t>
      </w:r>
      <w:r>
        <w:rPr>
          <w:rFonts w:ascii="宋体"/>
        </w:rPr>
        <w:t>CJJ 1-2008</w:t>
      </w:r>
      <w:r>
        <w:rPr>
          <w:rFonts w:hint="eastAsia" w:ascii="宋体"/>
        </w:rPr>
        <w:t>）和</w:t>
      </w:r>
      <w:r>
        <w:rPr>
          <w:rFonts w:ascii="宋体"/>
        </w:rPr>
        <w:t>《公路沥青路面施工技术规范》</w:t>
      </w:r>
      <w:r>
        <w:rPr>
          <w:rFonts w:hint="eastAsia" w:ascii="宋体"/>
        </w:rPr>
        <w:t>（</w:t>
      </w:r>
      <w:r>
        <w:rPr>
          <w:rFonts w:ascii="宋体"/>
        </w:rPr>
        <w:t>JTG</w:t>
      </w:r>
      <w:r>
        <w:rPr>
          <w:rFonts w:hint="eastAsia" w:ascii="宋体"/>
        </w:rPr>
        <w:t xml:space="preserve"> </w:t>
      </w:r>
      <w:r>
        <w:rPr>
          <w:rFonts w:ascii="宋体"/>
        </w:rPr>
        <w:t>F40-2004</w:t>
      </w:r>
      <w:r>
        <w:rPr>
          <w:rFonts w:hint="eastAsia" w:ascii="宋体"/>
        </w:rPr>
        <w:t>）</w:t>
      </w:r>
      <w:r>
        <w:rPr>
          <w:rFonts w:ascii="宋体"/>
        </w:rPr>
        <w:t>表5.2.2的要求，并根据混合料种类、压路机、气温、层厚等情况经试压确定。在不产生严重推移和裂缝的前提下，初压、复压、终压都应在尽可能高的温度下进行。同时不得在低温状况下作反复碾压，以防石料棱角磨损、压碎、破坏集料嵌挤。</w:t>
      </w:r>
    </w:p>
    <w:p>
      <w:pPr>
        <w:pStyle w:val="1280"/>
        <w:ind w:firstLine="440"/>
        <w:rPr>
          <w:rFonts w:ascii="宋体"/>
        </w:rPr>
      </w:pPr>
      <w:r>
        <w:rPr>
          <w:rFonts w:hint="eastAsia" w:ascii="宋体"/>
        </w:rPr>
        <w:t>（4）</w:t>
      </w:r>
      <w:r>
        <w:rPr>
          <w:rFonts w:ascii="宋体"/>
        </w:rPr>
        <w:t>碾压中应注意压路机的粘轮现象，对于钢轮压路机和轮胎压路机应分别采用各自相适应措施进行处理。</w:t>
      </w:r>
    </w:p>
    <w:p>
      <w:pPr>
        <w:pStyle w:val="1280"/>
        <w:ind w:firstLine="440"/>
        <w:rPr>
          <w:rFonts w:ascii="宋体"/>
        </w:rPr>
      </w:pPr>
      <w:r>
        <w:rPr>
          <w:rFonts w:hint="eastAsia" w:ascii="宋体"/>
        </w:rPr>
        <w:t>（5）</w:t>
      </w:r>
      <w:r>
        <w:rPr>
          <w:rFonts w:ascii="宋体"/>
        </w:rPr>
        <w:t>沥青混合料施工应按试验室标准密度和最大理论密度双控指标进行控制，即压实度应大于试验室标准密度的97％，并大于最大理论密度的93％</w:t>
      </w:r>
      <w:r>
        <w:rPr>
          <w:rFonts w:hint="eastAsia" w:ascii="宋体"/>
        </w:rPr>
        <w:t>（</w:t>
      </w:r>
      <w:r>
        <w:rPr>
          <w:rFonts w:ascii="宋体"/>
        </w:rPr>
        <w:t>空隙率4％～7％</w:t>
      </w:r>
      <w:r>
        <w:rPr>
          <w:rFonts w:hint="eastAsia" w:ascii="宋体"/>
        </w:rPr>
        <w:t>）</w:t>
      </w:r>
      <w:r>
        <w:rPr>
          <w:rFonts w:ascii="宋体"/>
        </w:rPr>
        <w:t>。</w:t>
      </w:r>
    </w:p>
    <w:p>
      <w:pPr>
        <w:pStyle w:val="1280"/>
        <w:ind w:firstLine="440"/>
        <w:rPr>
          <w:rFonts w:ascii="宋体"/>
        </w:rPr>
      </w:pPr>
      <w:r>
        <w:rPr>
          <w:rFonts w:hint="eastAsia" w:ascii="宋体"/>
        </w:rPr>
        <w:t>（6）</w:t>
      </w:r>
      <w:r>
        <w:rPr>
          <w:rFonts w:ascii="宋体"/>
        </w:rPr>
        <w:t>在沿着缘石或压路机压不到的其他地方，应采用小型振动压路机或振动夯板把混合料充分压实。已经完成碾压的路面，不得修补表皮。</w:t>
      </w:r>
    </w:p>
    <w:p>
      <w:pPr>
        <w:pStyle w:val="1280"/>
        <w:ind w:firstLine="440"/>
        <w:rPr>
          <w:rFonts w:ascii="宋体"/>
        </w:rPr>
      </w:pPr>
      <w:r>
        <w:rPr>
          <w:rFonts w:hint="eastAsia" w:ascii="宋体"/>
        </w:rPr>
        <w:t>（7）</w:t>
      </w:r>
      <w:r>
        <w:rPr>
          <w:rFonts w:ascii="宋体"/>
        </w:rPr>
        <w:t>桥面铺装不得采用振动碾压，应使用振荡式压路机。</w:t>
      </w:r>
    </w:p>
    <w:p>
      <w:pPr>
        <w:pStyle w:val="1280"/>
        <w:ind w:firstLine="440"/>
        <w:rPr>
          <w:rFonts w:ascii="宋体"/>
        </w:rPr>
      </w:pPr>
      <w:r>
        <w:rPr>
          <w:rFonts w:ascii="宋体"/>
        </w:rPr>
        <w:t>6</w:t>
      </w:r>
      <w:r>
        <w:rPr>
          <w:rFonts w:hint="eastAsia" w:ascii="宋体"/>
        </w:rPr>
        <w:t>、</w:t>
      </w:r>
      <w:r>
        <w:rPr>
          <w:rFonts w:ascii="宋体"/>
        </w:rPr>
        <w:t>气候条件</w:t>
      </w:r>
    </w:p>
    <w:p>
      <w:pPr>
        <w:pStyle w:val="1280"/>
        <w:ind w:firstLine="440"/>
        <w:rPr>
          <w:rFonts w:ascii="宋体"/>
        </w:rPr>
      </w:pPr>
      <w:r>
        <w:rPr>
          <w:rFonts w:hint="eastAsia" w:ascii="宋体"/>
        </w:rPr>
        <w:t>（1）</w:t>
      </w:r>
      <w:r>
        <w:rPr>
          <w:rFonts w:ascii="宋体"/>
        </w:rPr>
        <w:t>沥青混合料的摊铺应避免在雨天进行。当路面滞水或潮湿时，应暂停施工。</w:t>
      </w:r>
    </w:p>
    <w:p>
      <w:pPr>
        <w:pStyle w:val="1280"/>
        <w:ind w:firstLine="440"/>
        <w:rPr>
          <w:rFonts w:ascii="宋体"/>
        </w:rPr>
      </w:pPr>
      <w:r>
        <w:rPr>
          <w:rFonts w:hint="eastAsia" w:ascii="宋体"/>
        </w:rPr>
        <w:t>（2）</w:t>
      </w:r>
      <w:r>
        <w:rPr>
          <w:rFonts w:ascii="宋体"/>
        </w:rPr>
        <w:t>施工气温低于5</w:t>
      </w:r>
      <w:r>
        <w:rPr>
          <w:rFonts w:hint="eastAsia" w:ascii="宋体" w:cs="宋体"/>
        </w:rPr>
        <w:t>℃</w:t>
      </w:r>
      <w:r>
        <w:rPr>
          <w:rFonts w:ascii="宋体"/>
        </w:rPr>
        <w:t>时，不得进行沥青面层施工。</w:t>
      </w:r>
    </w:p>
    <w:p>
      <w:pPr>
        <w:pStyle w:val="1280"/>
        <w:ind w:firstLine="440"/>
        <w:rPr>
          <w:rFonts w:ascii="宋体"/>
        </w:rPr>
      </w:pPr>
      <w:r>
        <w:rPr>
          <w:rFonts w:hint="eastAsia" w:ascii="宋体"/>
        </w:rPr>
        <w:t>（3）</w:t>
      </w:r>
      <w:r>
        <w:rPr>
          <w:rFonts w:ascii="宋体"/>
        </w:rPr>
        <w:t>未经压实即遭雨淋的沥青混合料应全部清除，更换新料。所发生的一切费用由承包商负担。</w:t>
      </w:r>
    </w:p>
    <w:p>
      <w:pPr>
        <w:pStyle w:val="1280"/>
        <w:ind w:firstLine="440"/>
        <w:rPr>
          <w:rFonts w:ascii="宋体"/>
        </w:rPr>
      </w:pPr>
      <w:r>
        <w:rPr>
          <w:rFonts w:ascii="宋体"/>
        </w:rPr>
        <w:t>7</w:t>
      </w:r>
      <w:r>
        <w:rPr>
          <w:rFonts w:hint="eastAsia" w:ascii="宋体"/>
        </w:rPr>
        <w:t>、</w:t>
      </w:r>
      <w:r>
        <w:rPr>
          <w:rFonts w:ascii="宋体"/>
        </w:rPr>
        <w:t>路面平整度的控制</w:t>
      </w:r>
    </w:p>
    <w:p>
      <w:pPr>
        <w:pStyle w:val="1280"/>
        <w:ind w:firstLine="440"/>
        <w:rPr>
          <w:rFonts w:ascii="宋体"/>
        </w:rPr>
      </w:pPr>
      <w:r>
        <w:rPr>
          <w:rFonts w:hint="eastAsia" w:ascii="宋体"/>
        </w:rPr>
        <w:t>（1）</w:t>
      </w:r>
      <w:r>
        <w:rPr>
          <w:rFonts w:ascii="宋体"/>
        </w:rPr>
        <w:t>各面层平整度的质量缺陷应及时得到弥补，否则将会影响上一级面层的平整度。应特别注意清除表面污染，保证表面清洁；应按规定做好桥头搭板前后、面层施工接缝和桥梁接缝等位置衔接。</w:t>
      </w:r>
    </w:p>
    <w:p>
      <w:pPr>
        <w:pStyle w:val="1280"/>
        <w:ind w:firstLine="440"/>
        <w:rPr>
          <w:rFonts w:ascii="宋体"/>
        </w:rPr>
      </w:pPr>
      <w:r>
        <w:rPr>
          <w:rFonts w:hint="eastAsia" w:ascii="宋体"/>
        </w:rPr>
        <w:t>（2）</w:t>
      </w:r>
      <w:r>
        <w:rPr>
          <w:rFonts w:ascii="宋体"/>
        </w:rPr>
        <w:t>必须严格控制面层集料最大粒径的含量和级配的准确性，以减少压实系数的波动，从而保证路面平整度。</w:t>
      </w:r>
    </w:p>
    <w:p>
      <w:pPr>
        <w:pStyle w:val="1280"/>
        <w:ind w:firstLine="440"/>
        <w:rPr>
          <w:rFonts w:ascii="宋体"/>
        </w:rPr>
      </w:pPr>
      <w:r>
        <w:rPr>
          <w:rFonts w:hint="eastAsia" w:ascii="宋体"/>
        </w:rPr>
        <w:t>（3）</w:t>
      </w:r>
      <w:r>
        <w:rPr>
          <w:rFonts w:ascii="宋体"/>
        </w:rPr>
        <w:t>注意机械设备的调试和日常检修，应采用具有自动调整摊铺厚度装置</w:t>
      </w:r>
      <w:r>
        <w:rPr>
          <w:rFonts w:hint="eastAsia" w:ascii="宋体"/>
        </w:rPr>
        <w:t>（</w:t>
      </w:r>
      <w:r>
        <w:rPr>
          <w:rFonts w:ascii="宋体"/>
        </w:rPr>
        <w:t>接触式或非接触式平衡梁</w:t>
      </w:r>
      <w:r>
        <w:rPr>
          <w:rFonts w:hint="eastAsia" w:ascii="宋体"/>
        </w:rPr>
        <w:t>）</w:t>
      </w:r>
      <w:r>
        <w:rPr>
          <w:rFonts w:ascii="宋体"/>
        </w:rPr>
        <w:t>的摊铺机进行沥青面层施工；应注意减少压路机初压产生的推挤现象，保证平整度。</w:t>
      </w:r>
    </w:p>
    <w:p>
      <w:pPr>
        <w:pStyle w:val="1280"/>
        <w:ind w:firstLine="440"/>
        <w:rPr>
          <w:rFonts w:ascii="宋体"/>
        </w:rPr>
      </w:pPr>
      <w:r>
        <w:rPr>
          <w:rFonts w:hint="eastAsia" w:ascii="宋体"/>
        </w:rPr>
        <w:t>（4）</w:t>
      </w:r>
      <w:r>
        <w:rPr>
          <w:rFonts w:ascii="宋体"/>
        </w:rPr>
        <w:t>合理确定拌和、运输的生产能力和摊铺能力相匹配，以保证均匀、连续不断地摊铺。</w:t>
      </w:r>
    </w:p>
    <w:p>
      <w:pPr>
        <w:pStyle w:val="1280"/>
        <w:ind w:firstLine="440"/>
        <w:rPr>
          <w:rFonts w:ascii="宋体"/>
        </w:rPr>
      </w:pPr>
      <w:r>
        <w:rPr>
          <w:rFonts w:ascii="宋体"/>
        </w:rPr>
        <w:t>8</w:t>
      </w:r>
      <w:r>
        <w:rPr>
          <w:rFonts w:hint="eastAsia" w:ascii="宋体"/>
        </w:rPr>
        <w:t>、</w:t>
      </w:r>
      <w:r>
        <w:rPr>
          <w:rFonts w:ascii="宋体"/>
        </w:rPr>
        <w:t>取样和试验</w:t>
      </w:r>
    </w:p>
    <w:p>
      <w:pPr>
        <w:pStyle w:val="1280"/>
        <w:ind w:firstLine="440"/>
        <w:rPr>
          <w:rFonts w:ascii="宋体"/>
        </w:rPr>
      </w:pPr>
      <w:r>
        <w:rPr>
          <w:rFonts w:hint="eastAsia" w:ascii="宋体"/>
        </w:rPr>
        <w:t>（1）</w:t>
      </w:r>
      <w:r>
        <w:rPr>
          <w:rFonts w:ascii="宋体"/>
        </w:rPr>
        <w:t>沥青混合料应按《公路工程沥青及沥青混合料试验规程》</w:t>
      </w:r>
      <w:r>
        <w:rPr>
          <w:rFonts w:hint="eastAsia" w:ascii="宋体"/>
        </w:rPr>
        <w:t>（</w:t>
      </w:r>
      <w:r>
        <w:rPr>
          <w:rFonts w:ascii="宋体"/>
        </w:rPr>
        <w:t>JTG E20-2011</w:t>
      </w:r>
      <w:r>
        <w:rPr>
          <w:rFonts w:hint="eastAsia" w:ascii="宋体"/>
        </w:rPr>
        <w:t>）</w:t>
      </w:r>
      <w:r>
        <w:rPr>
          <w:rFonts w:ascii="宋体"/>
        </w:rPr>
        <w:t>规定的方法取样，以测定矿料级配、沥青含量。混合料的试样，每台拌和机应在每天进行l～2次取样，并按《</w:t>
      </w:r>
      <w:r>
        <w:rPr>
          <w:rFonts w:hint="eastAsia" w:ascii="宋体"/>
        </w:rPr>
        <w:t>城镇道路工程施工与质量验收规程</w:t>
      </w:r>
      <w:r>
        <w:rPr>
          <w:rFonts w:ascii="宋体"/>
        </w:rPr>
        <w:t>》（CJJ 1-2008）的规定进行检验。</w:t>
      </w:r>
    </w:p>
    <w:p>
      <w:pPr>
        <w:pStyle w:val="1280"/>
        <w:ind w:firstLine="440"/>
        <w:rPr>
          <w:rFonts w:ascii="宋体"/>
        </w:rPr>
      </w:pPr>
      <w:r>
        <w:rPr>
          <w:rFonts w:hint="eastAsia" w:ascii="宋体"/>
        </w:rPr>
        <w:t>（2）</w:t>
      </w:r>
      <w:r>
        <w:rPr>
          <w:rFonts w:ascii="宋体"/>
        </w:rPr>
        <w:t>压实的沥青路面应按《公路路基路面现场测试规程》</w:t>
      </w:r>
      <w:r>
        <w:rPr>
          <w:rFonts w:hint="eastAsia" w:ascii="宋体"/>
        </w:rPr>
        <w:t>（</w:t>
      </w:r>
      <w:r>
        <w:rPr>
          <w:rFonts w:ascii="宋体"/>
        </w:rPr>
        <w:t>JTG E60-2008</w:t>
      </w:r>
      <w:r>
        <w:rPr>
          <w:rFonts w:hint="eastAsia" w:ascii="宋体"/>
        </w:rPr>
        <w:t>）</w:t>
      </w:r>
      <w:r>
        <w:rPr>
          <w:rFonts w:ascii="宋体"/>
        </w:rPr>
        <w:t>要求的方法钻孔取样，或用核子密度仪测定其压实度。</w:t>
      </w:r>
    </w:p>
    <w:p>
      <w:pPr>
        <w:pStyle w:val="1280"/>
        <w:ind w:firstLine="440"/>
        <w:rPr>
          <w:rFonts w:ascii="宋体"/>
        </w:rPr>
      </w:pPr>
      <w:r>
        <w:rPr>
          <w:rFonts w:hint="eastAsia" w:ascii="宋体"/>
        </w:rPr>
        <w:t>（3）</w:t>
      </w:r>
      <w:r>
        <w:rPr>
          <w:rFonts w:ascii="宋体"/>
        </w:rPr>
        <w:t>所有试验结果均应报项目监理审批。所发生的一切费用由承包商自理。</w:t>
      </w:r>
    </w:p>
    <w:p>
      <w:pPr>
        <w:pStyle w:val="1288"/>
        <w:outlineLvl w:val="0"/>
        <w:rPr>
          <w:rFonts w:ascii="宋体" w:hAnsi="宋体"/>
          <w:color w:val="auto"/>
        </w:rPr>
      </w:pPr>
      <w:bookmarkStart w:id="4532" w:name="_Toc320555526"/>
      <w:bookmarkStart w:id="4533" w:name="_Toc106050166"/>
      <w:bookmarkStart w:id="4534" w:name="_Toc106883423"/>
      <w:r>
        <w:rPr>
          <w:rFonts w:hint="eastAsia" w:ascii="宋体" w:hAnsi="宋体"/>
          <w:color w:val="auto"/>
        </w:rPr>
        <w:t>4.6.6.5</w:t>
      </w:r>
      <w:r>
        <w:rPr>
          <w:rFonts w:ascii="宋体" w:hAnsi="宋体"/>
          <w:color w:val="auto"/>
        </w:rPr>
        <w:t xml:space="preserve"> 质量检验</w:t>
      </w:r>
      <w:bookmarkEnd w:id="4532"/>
      <w:bookmarkEnd w:id="4533"/>
      <w:bookmarkEnd w:id="4534"/>
    </w:p>
    <w:p>
      <w:pPr>
        <w:pStyle w:val="1280"/>
        <w:ind w:firstLine="440"/>
        <w:rPr>
          <w:rFonts w:ascii="宋体"/>
        </w:rPr>
      </w:pPr>
      <w:r>
        <w:rPr>
          <w:rFonts w:ascii="宋体"/>
        </w:rPr>
        <w:t>1</w:t>
      </w:r>
      <w:r>
        <w:rPr>
          <w:rFonts w:hint="eastAsia" w:ascii="宋体"/>
        </w:rPr>
        <w:t>、</w:t>
      </w:r>
      <w:r>
        <w:rPr>
          <w:rFonts w:ascii="宋体"/>
        </w:rPr>
        <w:t>基本要求</w:t>
      </w:r>
    </w:p>
    <w:p>
      <w:pPr>
        <w:pStyle w:val="1280"/>
        <w:ind w:firstLine="440"/>
        <w:rPr>
          <w:rFonts w:ascii="宋体"/>
        </w:rPr>
      </w:pPr>
      <w:r>
        <w:rPr>
          <w:rFonts w:hint="eastAsia" w:ascii="宋体"/>
        </w:rPr>
        <w:t>（1）</w:t>
      </w:r>
      <w:r>
        <w:rPr>
          <w:rFonts w:ascii="宋体"/>
        </w:rPr>
        <w:t>沥青混合料的矿料质量及矿料级配应符合设计要求和施工规范的规定。</w:t>
      </w:r>
    </w:p>
    <w:p>
      <w:pPr>
        <w:pStyle w:val="1280"/>
        <w:ind w:firstLine="440"/>
        <w:rPr>
          <w:rFonts w:ascii="宋体"/>
        </w:rPr>
      </w:pPr>
      <w:r>
        <w:rPr>
          <w:rFonts w:hint="eastAsia" w:ascii="宋体"/>
        </w:rPr>
        <w:t>（2）</w:t>
      </w:r>
      <w:r>
        <w:rPr>
          <w:rFonts w:ascii="宋体"/>
        </w:rPr>
        <w:t>严格控制各种矿料和沥青用量及各种材料和沥青混合料的加热温度。</w:t>
      </w:r>
    </w:p>
    <w:p>
      <w:pPr>
        <w:pStyle w:val="1280"/>
        <w:ind w:firstLine="440"/>
        <w:rPr>
          <w:rFonts w:ascii="宋体"/>
        </w:rPr>
      </w:pPr>
      <w:r>
        <w:rPr>
          <w:rFonts w:hint="eastAsia" w:ascii="宋体"/>
        </w:rPr>
        <w:t>（3）</w:t>
      </w:r>
      <w:r>
        <w:rPr>
          <w:rFonts w:ascii="宋体"/>
        </w:rPr>
        <w:t>拌和后的沥青混合料应均匀一致，无花白，无粗细料分离和结团成块现象。</w:t>
      </w:r>
    </w:p>
    <w:p>
      <w:pPr>
        <w:pStyle w:val="1280"/>
        <w:ind w:firstLine="440"/>
        <w:rPr>
          <w:rFonts w:ascii="宋体"/>
        </w:rPr>
      </w:pPr>
      <w:r>
        <w:rPr>
          <w:rFonts w:hint="eastAsia" w:ascii="宋体"/>
        </w:rPr>
        <w:t>（4）</w:t>
      </w:r>
      <w:r>
        <w:rPr>
          <w:rFonts w:ascii="宋体"/>
        </w:rPr>
        <w:t>摊铺时应严格掌握厚度和平整度，细致找平，要注意控制摊铺和碾压温度，碾压至要求的密实度。</w:t>
      </w:r>
    </w:p>
    <w:p>
      <w:pPr>
        <w:pStyle w:val="1280"/>
        <w:ind w:firstLine="440"/>
        <w:rPr>
          <w:rFonts w:ascii="宋体"/>
        </w:rPr>
      </w:pPr>
      <w:r>
        <w:rPr>
          <w:rFonts w:ascii="宋体"/>
        </w:rPr>
        <w:t>2</w:t>
      </w:r>
      <w:r>
        <w:rPr>
          <w:rFonts w:hint="eastAsia" w:ascii="宋体"/>
        </w:rPr>
        <w:t>、</w:t>
      </w:r>
      <w:r>
        <w:rPr>
          <w:rFonts w:ascii="宋体"/>
        </w:rPr>
        <w:t>检查项目</w:t>
      </w:r>
    </w:p>
    <w:p>
      <w:pPr>
        <w:pStyle w:val="1280"/>
        <w:ind w:firstLine="440"/>
        <w:rPr>
          <w:rFonts w:ascii="宋体"/>
        </w:rPr>
      </w:pPr>
      <w:r>
        <w:rPr>
          <w:rFonts w:ascii="宋体"/>
        </w:rPr>
        <w:t>沥青混凝土面层检查项目及检验标准见表4-4-13。</w:t>
      </w:r>
    </w:p>
    <w:p>
      <w:pPr>
        <w:pStyle w:val="1280"/>
        <w:ind w:firstLine="440"/>
        <w:rPr>
          <w:rFonts w:ascii="宋体"/>
        </w:rPr>
      </w:pPr>
      <w:r>
        <w:rPr>
          <w:rFonts w:ascii="宋体"/>
        </w:rPr>
        <w:t>3</w:t>
      </w:r>
      <w:r>
        <w:rPr>
          <w:rFonts w:hint="eastAsia" w:ascii="宋体"/>
        </w:rPr>
        <w:t>、</w:t>
      </w:r>
      <w:r>
        <w:rPr>
          <w:rFonts w:ascii="宋体"/>
        </w:rPr>
        <w:t>外观鉴定</w:t>
      </w:r>
    </w:p>
    <w:p>
      <w:pPr>
        <w:pStyle w:val="1280"/>
        <w:ind w:firstLine="440"/>
        <w:rPr>
          <w:rFonts w:ascii="宋体"/>
        </w:rPr>
      </w:pPr>
      <w:r>
        <w:rPr>
          <w:rFonts w:hint="eastAsia" w:ascii="宋体"/>
        </w:rPr>
        <w:t>（1）</w:t>
      </w:r>
      <w:r>
        <w:rPr>
          <w:rFonts w:ascii="宋体"/>
        </w:rPr>
        <w:t>表面平整密实，无泛油、松散、裂缝和明显离析等现象。</w:t>
      </w:r>
    </w:p>
    <w:p>
      <w:pPr>
        <w:pStyle w:val="1280"/>
        <w:ind w:firstLine="440"/>
        <w:rPr>
          <w:rFonts w:ascii="宋体"/>
        </w:rPr>
      </w:pPr>
      <w:r>
        <w:rPr>
          <w:rFonts w:hint="eastAsia" w:ascii="宋体"/>
        </w:rPr>
        <w:t>（2）</w:t>
      </w:r>
      <w:r>
        <w:rPr>
          <w:rFonts w:ascii="宋体"/>
        </w:rPr>
        <w:t>表面无明显碾压轮迹。</w:t>
      </w:r>
    </w:p>
    <w:p>
      <w:pPr>
        <w:pStyle w:val="1280"/>
        <w:ind w:firstLine="440"/>
        <w:rPr>
          <w:rFonts w:ascii="宋体"/>
        </w:rPr>
      </w:pPr>
      <w:r>
        <w:rPr>
          <w:rFonts w:hint="eastAsia" w:ascii="宋体"/>
        </w:rPr>
        <w:t>（3）</w:t>
      </w:r>
      <w:r>
        <w:rPr>
          <w:rFonts w:ascii="宋体"/>
        </w:rPr>
        <w:t>接缝紧密、平顺，烫缝不应枯焦。</w:t>
      </w:r>
    </w:p>
    <w:p>
      <w:pPr>
        <w:pStyle w:val="1280"/>
        <w:ind w:firstLine="440"/>
        <w:rPr>
          <w:rFonts w:ascii="宋体"/>
        </w:rPr>
      </w:pPr>
      <w:r>
        <w:rPr>
          <w:rFonts w:hint="eastAsia" w:ascii="宋体"/>
        </w:rPr>
        <w:t>（4）</w:t>
      </w:r>
      <w:r>
        <w:rPr>
          <w:rFonts w:ascii="宋体"/>
        </w:rPr>
        <w:t>面层与路缘石及其他构筑物衔接平顺，无积水现象。</w:t>
      </w:r>
    </w:p>
    <w:p>
      <w:pPr>
        <w:pStyle w:val="1280"/>
        <w:ind w:firstLine="440"/>
        <w:rPr>
          <w:rFonts w:ascii="宋体"/>
        </w:rPr>
      </w:pPr>
      <w:r>
        <w:rPr>
          <w:rFonts w:hint="eastAsia" w:ascii="宋体"/>
        </w:rPr>
        <w:t>（5）</w:t>
      </w:r>
      <w:r>
        <w:rPr>
          <w:rFonts w:ascii="宋体"/>
        </w:rPr>
        <w:t>沥青面层内部及表面的水要排除到路面范围之外，路面无积水。</w:t>
      </w:r>
    </w:p>
    <w:p>
      <w:pPr>
        <w:snapToGrid w:val="0"/>
        <w:jc w:val="center"/>
        <w:rPr>
          <w:rFonts w:ascii="宋体" w:hAnsi="宋体"/>
          <w:b/>
          <w:kern w:val="0"/>
          <w:sz w:val="18"/>
          <w:szCs w:val="18"/>
        </w:rPr>
      </w:pPr>
      <w:bookmarkStart w:id="4535" w:name="_Toc403637012"/>
      <w:r>
        <w:rPr>
          <w:rFonts w:ascii="宋体" w:hAnsi="宋体"/>
          <w:b/>
          <w:kern w:val="0"/>
          <w:sz w:val="18"/>
          <w:szCs w:val="18"/>
        </w:rPr>
        <w:t xml:space="preserve">表4-4-13 沥青混凝土面层实测项目                </w:t>
      </w:r>
      <w:r>
        <w:rPr>
          <w:rFonts w:hint="eastAsia" w:ascii="宋体" w:hAnsi="宋体"/>
          <w:b/>
          <w:kern w:val="0"/>
          <w:sz w:val="18"/>
          <w:szCs w:val="18"/>
        </w:rPr>
        <w:t xml:space="preserve">     </w:t>
      </w:r>
      <w:r>
        <w:rPr>
          <w:rFonts w:ascii="宋体" w:hAnsi="宋体"/>
          <w:b/>
          <w:kern w:val="0"/>
          <w:sz w:val="18"/>
          <w:szCs w:val="18"/>
        </w:rPr>
        <w:t xml:space="preserve"> </w:t>
      </w:r>
    </w:p>
    <w:tbl>
      <w:tblPr>
        <w:tblStyle w:val="77"/>
        <w:tblW w:w="46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723"/>
        <w:gridCol w:w="34"/>
        <w:gridCol w:w="1512"/>
        <w:gridCol w:w="2551"/>
        <w:gridCol w:w="2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exact"/>
          <w:tblHeader/>
          <w:jc w:val="center"/>
        </w:trPr>
        <w:tc>
          <w:tcPr>
            <w:tcW w:w="40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项次</w:t>
            </w:r>
          </w:p>
        </w:tc>
        <w:tc>
          <w:tcPr>
            <w:tcW w:w="1399" w:type="pct"/>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检查项目</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规定值或允许偏差</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检查方法(每幅车道)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exact"/>
          <w:jc w:val="center"/>
        </w:trPr>
        <w:tc>
          <w:tcPr>
            <w:tcW w:w="40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1</w:t>
            </w:r>
          </w:p>
        </w:tc>
        <w:tc>
          <w:tcPr>
            <w:tcW w:w="1399" w:type="pct"/>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压实度(%)</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试验室标准密度的96%(98%)</w:t>
            </w:r>
          </w:p>
          <w:p>
            <w:pPr>
              <w:autoSpaceDE w:val="0"/>
              <w:autoSpaceDN w:val="0"/>
              <w:adjustRightInd w:val="0"/>
              <w:snapToGrid w:val="0"/>
              <w:jc w:val="center"/>
              <w:rPr>
                <w:rFonts w:ascii="宋体" w:hAnsi="宋体"/>
                <w:bCs/>
                <w:sz w:val="18"/>
                <w:szCs w:val="18"/>
              </w:rPr>
            </w:pPr>
            <w:r>
              <w:rPr>
                <w:rFonts w:ascii="宋体" w:hAnsi="宋体"/>
                <w:bCs/>
                <w:sz w:val="18"/>
                <w:szCs w:val="18"/>
              </w:rPr>
              <w:t>最大理论密度的92%(94%)</w:t>
            </w:r>
          </w:p>
          <w:p>
            <w:pPr>
              <w:autoSpaceDE w:val="0"/>
              <w:autoSpaceDN w:val="0"/>
              <w:adjustRightInd w:val="0"/>
              <w:snapToGrid w:val="0"/>
              <w:jc w:val="center"/>
              <w:rPr>
                <w:rFonts w:ascii="宋体" w:hAnsi="宋体"/>
                <w:bCs/>
                <w:sz w:val="18"/>
                <w:szCs w:val="18"/>
              </w:rPr>
            </w:pPr>
            <w:r>
              <w:rPr>
                <w:rFonts w:ascii="宋体" w:hAnsi="宋体"/>
                <w:bCs/>
                <w:sz w:val="18"/>
                <w:szCs w:val="18"/>
              </w:rPr>
              <w:t>试验段密度的98%(99%)</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按JTG F80/1-2017附录B检查</w:t>
            </w:r>
            <w:r>
              <w:rPr>
                <w:rFonts w:hint="eastAsia" w:ascii="宋体" w:hAnsi="宋体"/>
                <w:bCs/>
                <w:sz w:val="18"/>
                <w:szCs w:val="18"/>
              </w:rPr>
              <w:t>，</w:t>
            </w:r>
            <w:r>
              <w:rPr>
                <w:rFonts w:ascii="宋体" w:hAnsi="宋体"/>
                <w:bCs/>
                <w:sz w:val="18"/>
                <w:szCs w:val="18"/>
              </w:rPr>
              <w:t>每200m每车道1处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2</w:t>
            </w:r>
          </w:p>
        </w:tc>
        <w:tc>
          <w:tcPr>
            <w:tcW w:w="467" w:type="pct"/>
            <w:gridSpan w:val="2"/>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平整度</w:t>
            </w:r>
          </w:p>
        </w:tc>
        <w:tc>
          <w:tcPr>
            <w:tcW w:w="93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ó(mm)</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2.5</w:t>
            </w:r>
          </w:p>
        </w:tc>
        <w:tc>
          <w:tcPr>
            <w:tcW w:w="1626"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平整度仪:全线每车道连续按每100m计算IRI或à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exact"/>
          <w:jc w:val="center"/>
        </w:trPr>
        <w:tc>
          <w:tcPr>
            <w:tcW w:w="403"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467" w:type="pct"/>
            <w:gridSpan w:val="2"/>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93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IRI(m/km)</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4.2</w:t>
            </w:r>
          </w:p>
        </w:tc>
        <w:tc>
          <w:tcPr>
            <w:tcW w:w="1626"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403"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467" w:type="pct"/>
            <w:gridSpan w:val="2"/>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93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最大间隙h(mm)</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5</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3m直尺：每200m测2处×10尺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3</w:t>
            </w:r>
          </w:p>
        </w:tc>
        <w:tc>
          <w:tcPr>
            <w:tcW w:w="1399" w:type="pct"/>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弯沉值(0.01mm)</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符合设计要求</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按JTG F80/1-2017附录I检查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4</w:t>
            </w:r>
          </w:p>
        </w:tc>
        <w:tc>
          <w:tcPr>
            <w:tcW w:w="1399" w:type="pct"/>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渗水系数</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渗水试验仪:每200m测1处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exact"/>
          <w:jc w:val="center"/>
        </w:trPr>
        <w:tc>
          <w:tcPr>
            <w:tcW w:w="403"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5</w:t>
            </w:r>
          </w:p>
        </w:tc>
        <w:tc>
          <w:tcPr>
            <w:tcW w:w="446"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搞滑</w:t>
            </w:r>
          </w:p>
        </w:tc>
        <w:tc>
          <w:tcPr>
            <w:tcW w:w="953" w:type="pct"/>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摩擦系数</w:t>
            </w:r>
          </w:p>
        </w:tc>
        <w:tc>
          <w:tcPr>
            <w:tcW w:w="1573"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摆式仪:每200m测1处</w:t>
            </w:r>
          </w:p>
          <w:p>
            <w:pPr>
              <w:autoSpaceDE w:val="0"/>
              <w:autoSpaceDN w:val="0"/>
              <w:adjustRightInd w:val="0"/>
              <w:snapToGrid w:val="0"/>
              <w:jc w:val="center"/>
              <w:rPr>
                <w:rFonts w:ascii="宋体" w:hAnsi="宋体"/>
                <w:bCs/>
                <w:sz w:val="18"/>
                <w:szCs w:val="18"/>
              </w:rPr>
            </w:pPr>
            <w:r>
              <w:rPr>
                <w:rFonts w:ascii="宋体" w:hAnsi="宋体"/>
                <w:bCs/>
                <w:sz w:val="18"/>
                <w:szCs w:val="18"/>
              </w:rPr>
              <w:t>横向力系数测定车:全线结续，按JTG F80/1-2017附录K评定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403"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446"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953" w:type="pct"/>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构造深度</w:t>
            </w:r>
          </w:p>
        </w:tc>
        <w:tc>
          <w:tcPr>
            <w:tcW w:w="1573"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砂铺法:每200m测1处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6</w:t>
            </w:r>
          </w:p>
        </w:tc>
        <w:tc>
          <w:tcPr>
            <w:tcW w:w="446"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厚度(mm)</w:t>
            </w:r>
          </w:p>
        </w:tc>
        <w:tc>
          <w:tcPr>
            <w:tcW w:w="953" w:type="pct"/>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代表值</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-8%H</w:t>
            </w:r>
          </w:p>
        </w:tc>
        <w:tc>
          <w:tcPr>
            <w:tcW w:w="1626"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按JTG F80/1-2017附录H检查</w:t>
            </w:r>
            <w:r>
              <w:rPr>
                <w:rFonts w:hint="eastAsia" w:ascii="宋体" w:hAnsi="宋体"/>
                <w:bCs/>
                <w:sz w:val="18"/>
                <w:szCs w:val="18"/>
              </w:rPr>
              <w:t>；</w:t>
            </w:r>
            <w:r>
              <w:rPr>
                <w:rFonts w:ascii="宋体" w:hAnsi="宋体"/>
                <w:bCs/>
                <w:sz w:val="18"/>
                <w:szCs w:val="18"/>
              </w:rPr>
              <w:t>双车道每200m测1处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446"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953" w:type="pct"/>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合格值</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-15%H</w:t>
            </w:r>
          </w:p>
        </w:tc>
        <w:tc>
          <w:tcPr>
            <w:tcW w:w="1626"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7</w:t>
            </w:r>
          </w:p>
        </w:tc>
        <w:tc>
          <w:tcPr>
            <w:tcW w:w="1399" w:type="pct"/>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中线平面偏位(mm)</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30</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经纬仪:每200m测4点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8</w:t>
            </w:r>
          </w:p>
        </w:tc>
        <w:tc>
          <w:tcPr>
            <w:tcW w:w="1399" w:type="pct"/>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纵断面高程(mm)</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±20</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水准仪: 每200m测4断面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9</w:t>
            </w:r>
          </w:p>
        </w:tc>
        <w:tc>
          <w:tcPr>
            <w:tcW w:w="446"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宽度(mm)</w:t>
            </w:r>
          </w:p>
        </w:tc>
        <w:tc>
          <w:tcPr>
            <w:tcW w:w="953" w:type="pct"/>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人侧石</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±30</w:t>
            </w:r>
          </w:p>
        </w:tc>
        <w:tc>
          <w:tcPr>
            <w:tcW w:w="1626" w:type="pct"/>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尺量: 每200m测4断面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446"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c>
          <w:tcPr>
            <w:tcW w:w="953" w:type="pct"/>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无侧石</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不小于设计</w:t>
            </w:r>
          </w:p>
        </w:tc>
        <w:tc>
          <w:tcPr>
            <w:tcW w:w="1626" w:type="pct"/>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10</w:t>
            </w:r>
          </w:p>
        </w:tc>
        <w:tc>
          <w:tcPr>
            <w:tcW w:w="1399" w:type="pct"/>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横坡(%)</w:t>
            </w:r>
          </w:p>
        </w:tc>
        <w:tc>
          <w:tcPr>
            <w:tcW w:w="157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±0.5</w:t>
            </w:r>
          </w:p>
        </w:tc>
        <w:tc>
          <w:tcPr>
            <w:tcW w:w="162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宋体" w:hAnsi="宋体"/>
                <w:bCs/>
                <w:sz w:val="18"/>
                <w:szCs w:val="18"/>
              </w:rPr>
            </w:pPr>
            <w:r>
              <w:rPr>
                <w:rFonts w:ascii="宋体" w:hAnsi="宋体"/>
                <w:bCs/>
                <w:sz w:val="18"/>
                <w:szCs w:val="18"/>
              </w:rPr>
              <w:t>水准仪: 每200m测4断面</w:t>
            </w:r>
          </w:p>
        </w:tc>
      </w:tr>
    </w:tbl>
    <w:p>
      <w:pPr>
        <w:adjustRightInd w:val="0"/>
        <w:snapToGrid w:val="0"/>
        <w:spacing w:before="203" w:beforeLines="50" w:line="360" w:lineRule="auto"/>
        <w:ind w:firstLine="380" w:firstLineChars="200"/>
        <w:rPr>
          <w:rFonts w:ascii="宋体" w:hAnsi="宋体"/>
          <w:kern w:val="0"/>
          <w:sz w:val="18"/>
          <w:szCs w:val="18"/>
        </w:rPr>
      </w:pPr>
      <w:r>
        <w:rPr>
          <w:rFonts w:ascii="宋体" w:hAnsi="宋体"/>
          <w:kern w:val="0"/>
          <w:sz w:val="18"/>
          <w:szCs w:val="18"/>
        </w:rPr>
        <w:t>注：1</w:t>
      </w:r>
      <w:r>
        <w:rPr>
          <w:rFonts w:hint="eastAsia" w:ascii="宋体" w:hAnsi="宋体"/>
          <w:kern w:val="0"/>
          <w:sz w:val="18"/>
          <w:szCs w:val="18"/>
        </w:rPr>
        <w:t>、</w:t>
      </w:r>
      <w:r>
        <w:rPr>
          <w:rFonts w:ascii="宋体" w:hAnsi="宋体"/>
          <w:kern w:val="0"/>
          <w:sz w:val="18"/>
          <w:szCs w:val="18"/>
        </w:rPr>
        <w:t>表内压实度可选用其中的1个或2个标准评定，选用两个标准时，以合格率低的作为评定结果。带*号者是指SMA路面，其他为普通混凝土路面。</w:t>
      </w:r>
    </w:p>
    <w:p>
      <w:pPr>
        <w:adjustRightInd w:val="0"/>
        <w:snapToGrid w:val="0"/>
        <w:spacing w:line="360" w:lineRule="auto"/>
        <w:ind w:firstLine="380" w:firstLineChars="200"/>
        <w:rPr>
          <w:rFonts w:ascii="宋体" w:hAnsi="宋体"/>
        </w:rPr>
      </w:pPr>
      <w:r>
        <w:rPr>
          <w:rFonts w:hint="eastAsia" w:ascii="宋体" w:hAnsi="宋体"/>
          <w:kern w:val="0"/>
          <w:sz w:val="18"/>
          <w:szCs w:val="18"/>
        </w:rPr>
        <w:t xml:space="preserve">    </w:t>
      </w:r>
      <w:r>
        <w:rPr>
          <w:rFonts w:ascii="宋体" w:hAnsi="宋体"/>
          <w:kern w:val="0"/>
          <w:sz w:val="18"/>
          <w:szCs w:val="18"/>
        </w:rPr>
        <w:t>2</w:t>
      </w:r>
      <w:r>
        <w:rPr>
          <w:rFonts w:hint="eastAsia" w:ascii="宋体" w:hAnsi="宋体"/>
          <w:kern w:val="0"/>
          <w:sz w:val="18"/>
          <w:szCs w:val="18"/>
        </w:rPr>
        <w:t>、</w:t>
      </w:r>
      <w:r>
        <w:rPr>
          <w:rFonts w:ascii="宋体" w:hAnsi="宋体"/>
          <w:kern w:val="0"/>
          <w:sz w:val="18"/>
          <w:szCs w:val="18"/>
        </w:rPr>
        <w:t>表列厚度仅规定负允许偏差。其他公路的厚度代表值和合格值允许偏差按总厚度计，当总厚度≤60nn时，允许偏差分别为-5mm和-10mm;总厚度&gt;60mm时，允许偏差分别为-8％和-15％的总厚度，H为总厚度(mm)</w:t>
      </w:r>
      <w:r>
        <w:rPr>
          <w:rFonts w:hint="eastAsia" w:ascii="宋体" w:hAnsi="宋体"/>
          <w:kern w:val="0"/>
          <w:sz w:val="18"/>
          <w:szCs w:val="18"/>
        </w:rPr>
        <w:t>。</w:t>
      </w:r>
    </w:p>
    <w:bookmarkEnd w:id="4509"/>
    <w:bookmarkEnd w:id="4510"/>
    <w:bookmarkEnd w:id="4511"/>
    <w:bookmarkEnd w:id="4512"/>
    <w:bookmarkEnd w:id="4535"/>
    <w:p>
      <w:pPr>
        <w:pStyle w:val="1284"/>
        <w:outlineLvl w:val="0"/>
        <w:rPr>
          <w:rFonts w:ascii="宋体" w:hAnsi="宋体"/>
        </w:rPr>
      </w:pPr>
      <w:bookmarkStart w:id="4536" w:name="_Toc403637013"/>
      <w:bookmarkStart w:id="4537" w:name="_Toc517382633"/>
      <w:bookmarkStart w:id="4538" w:name="_Toc518376686"/>
      <w:bookmarkStart w:id="4539" w:name="_Toc521492008"/>
      <w:bookmarkStart w:id="4540" w:name="_Toc521492865"/>
      <w:bookmarkStart w:id="4541" w:name="_Toc521493539"/>
      <w:bookmarkStart w:id="4542" w:name="_Toc106050167"/>
      <w:bookmarkStart w:id="4543" w:name="_Toc106883424"/>
      <w:r>
        <w:rPr>
          <w:rFonts w:hint="eastAsia" w:ascii="宋体" w:hAnsi="宋体"/>
        </w:rPr>
        <w:t>4.6.6.6</w:t>
      </w:r>
      <w:r>
        <w:rPr>
          <w:rFonts w:ascii="宋体" w:hAnsi="宋体"/>
        </w:rPr>
        <w:t xml:space="preserve"> 透层、粘层和封层</w:t>
      </w:r>
      <w:bookmarkEnd w:id="4536"/>
      <w:bookmarkEnd w:id="4537"/>
      <w:bookmarkEnd w:id="4538"/>
      <w:bookmarkEnd w:id="4539"/>
      <w:bookmarkEnd w:id="4540"/>
      <w:bookmarkEnd w:id="4541"/>
      <w:bookmarkEnd w:id="4542"/>
      <w:bookmarkEnd w:id="4543"/>
    </w:p>
    <w:p>
      <w:pPr>
        <w:pStyle w:val="1288"/>
        <w:outlineLvl w:val="0"/>
        <w:rPr>
          <w:rFonts w:ascii="宋体" w:hAnsi="宋体"/>
          <w:color w:val="auto"/>
        </w:rPr>
      </w:pPr>
      <w:bookmarkStart w:id="4544" w:name="_Toc320555528"/>
      <w:bookmarkStart w:id="4545" w:name="_Toc174279659"/>
      <w:bookmarkStart w:id="4546" w:name="_Toc173907046"/>
      <w:bookmarkStart w:id="4547" w:name="_Toc133166278"/>
      <w:bookmarkStart w:id="4548" w:name="_Toc106050168"/>
      <w:bookmarkStart w:id="4549" w:name="_Toc106883425"/>
      <w:r>
        <w:rPr>
          <w:rFonts w:hint="eastAsia" w:ascii="宋体" w:hAnsi="宋体"/>
          <w:color w:val="auto"/>
        </w:rPr>
        <w:t>4.6.6.7</w:t>
      </w:r>
      <w:r>
        <w:rPr>
          <w:rFonts w:ascii="宋体" w:hAnsi="宋体"/>
          <w:color w:val="auto"/>
        </w:rPr>
        <w:t>范围</w:t>
      </w:r>
      <w:bookmarkEnd w:id="4544"/>
      <w:bookmarkEnd w:id="4545"/>
      <w:bookmarkEnd w:id="4546"/>
      <w:bookmarkEnd w:id="4547"/>
      <w:bookmarkEnd w:id="4548"/>
      <w:bookmarkEnd w:id="4549"/>
    </w:p>
    <w:p>
      <w:pPr>
        <w:pStyle w:val="1280"/>
        <w:ind w:firstLine="440"/>
        <w:rPr>
          <w:rFonts w:ascii="宋体"/>
        </w:rPr>
      </w:pPr>
      <w:r>
        <w:rPr>
          <w:rFonts w:ascii="宋体"/>
        </w:rPr>
        <w:t>为在已建成并经项目监理验收合格的基层上洒布透层沥青；在沥青面层、水泥混凝土路面或桥面上洒布粘层沥青，在沥青面层或沥青面层延迟期较长的基层上铺筑封层。它包括所需的设备、劳力和材料，以及施工、试验等全部作业。</w:t>
      </w:r>
    </w:p>
    <w:p>
      <w:pPr>
        <w:pStyle w:val="1288"/>
        <w:outlineLvl w:val="0"/>
        <w:rPr>
          <w:rFonts w:ascii="宋体" w:hAnsi="宋体"/>
          <w:color w:val="auto"/>
        </w:rPr>
      </w:pPr>
      <w:bookmarkStart w:id="4550" w:name="_Toc320555529"/>
      <w:bookmarkStart w:id="4551" w:name="_Toc174279660"/>
      <w:bookmarkStart w:id="4552" w:name="_Toc173907047"/>
      <w:bookmarkStart w:id="4553" w:name="_Toc133166279"/>
      <w:bookmarkStart w:id="4554" w:name="_Toc106050169"/>
      <w:bookmarkStart w:id="4555" w:name="_Toc106883426"/>
      <w:r>
        <w:rPr>
          <w:rFonts w:hint="eastAsia" w:ascii="宋体" w:hAnsi="宋体"/>
          <w:color w:val="auto"/>
        </w:rPr>
        <w:t>4.6.6.8</w:t>
      </w:r>
      <w:r>
        <w:rPr>
          <w:rFonts w:ascii="宋体" w:hAnsi="宋体"/>
          <w:color w:val="auto"/>
        </w:rPr>
        <w:t xml:space="preserve"> 材料</w:t>
      </w:r>
      <w:bookmarkEnd w:id="4550"/>
      <w:bookmarkEnd w:id="4551"/>
      <w:bookmarkEnd w:id="4552"/>
      <w:bookmarkEnd w:id="4553"/>
      <w:bookmarkEnd w:id="4554"/>
      <w:bookmarkEnd w:id="4555"/>
    </w:p>
    <w:p>
      <w:pPr>
        <w:pStyle w:val="1280"/>
        <w:ind w:firstLine="440"/>
        <w:rPr>
          <w:rFonts w:ascii="宋体"/>
        </w:rPr>
      </w:pPr>
      <w:r>
        <w:rPr>
          <w:rFonts w:ascii="宋体"/>
        </w:rPr>
        <w:t>1、透层</w:t>
      </w:r>
    </w:p>
    <w:p>
      <w:pPr>
        <w:pStyle w:val="1280"/>
        <w:ind w:firstLine="440"/>
        <w:rPr>
          <w:rFonts w:ascii="宋体"/>
        </w:rPr>
      </w:pPr>
      <w:r>
        <w:rPr>
          <w:rFonts w:ascii="宋体"/>
        </w:rPr>
        <w:t>透层的沥青材料宜采用液体石油沥青或慢裂的洒布型乳化沥青或煤沥青。透层沥青的规格和用量，应符合《</w:t>
      </w:r>
      <w:r>
        <w:rPr>
          <w:rFonts w:hint="eastAsia" w:ascii="宋体"/>
        </w:rPr>
        <w:t>城镇道路工程施工与质量验收规程</w:t>
      </w:r>
      <w:r>
        <w:rPr>
          <w:rFonts w:ascii="宋体"/>
        </w:rPr>
        <w:t>》（CJJ 1-2008）的要求。</w:t>
      </w:r>
    </w:p>
    <w:p>
      <w:pPr>
        <w:pStyle w:val="1280"/>
        <w:ind w:firstLine="440"/>
        <w:rPr>
          <w:rFonts w:ascii="宋体"/>
        </w:rPr>
      </w:pPr>
      <w:r>
        <w:rPr>
          <w:rFonts w:ascii="宋体"/>
        </w:rPr>
        <w:t>沥青标号应根据基层的种类、当地气候等条件确定。</w:t>
      </w:r>
    </w:p>
    <w:p>
      <w:pPr>
        <w:pStyle w:val="1280"/>
        <w:ind w:firstLine="440"/>
        <w:rPr>
          <w:rFonts w:ascii="宋体"/>
        </w:rPr>
      </w:pPr>
      <w:r>
        <w:rPr>
          <w:rFonts w:ascii="宋体"/>
        </w:rPr>
        <w:t>2、粘层</w:t>
      </w:r>
    </w:p>
    <w:p>
      <w:pPr>
        <w:pStyle w:val="1280"/>
        <w:ind w:firstLine="440"/>
        <w:rPr>
          <w:rFonts w:ascii="宋体"/>
        </w:rPr>
      </w:pPr>
      <w:r>
        <w:rPr>
          <w:rFonts w:ascii="宋体"/>
        </w:rPr>
        <w:t>粘层用的沥青材料的规格和用量，应符合《</w:t>
      </w:r>
      <w:r>
        <w:rPr>
          <w:rFonts w:hint="eastAsia" w:ascii="宋体"/>
        </w:rPr>
        <w:t>城镇道路工程施工与质量验收规程</w:t>
      </w:r>
      <w:r>
        <w:rPr>
          <w:rFonts w:ascii="宋体"/>
        </w:rPr>
        <w:t>》（CJJ 1-2008）的要求。</w:t>
      </w:r>
    </w:p>
    <w:p>
      <w:pPr>
        <w:pStyle w:val="1280"/>
        <w:ind w:firstLine="440"/>
        <w:rPr>
          <w:rFonts w:ascii="宋体"/>
        </w:rPr>
      </w:pPr>
      <w:r>
        <w:rPr>
          <w:rFonts w:ascii="宋体"/>
        </w:rPr>
        <w:t>3、封层</w:t>
      </w:r>
    </w:p>
    <w:p>
      <w:pPr>
        <w:pStyle w:val="1280"/>
        <w:ind w:firstLine="440"/>
        <w:rPr>
          <w:rFonts w:ascii="宋体"/>
        </w:rPr>
      </w:pPr>
      <w:r>
        <w:rPr>
          <w:rFonts w:ascii="宋体"/>
        </w:rPr>
        <w:t>上封层及下封层适用的沥青材料宜按《</w:t>
      </w:r>
      <w:r>
        <w:rPr>
          <w:rFonts w:hint="eastAsia" w:ascii="宋体"/>
        </w:rPr>
        <w:t>城镇道路工程施工与质量验收规程</w:t>
      </w:r>
      <w:r>
        <w:rPr>
          <w:rFonts w:ascii="宋体"/>
        </w:rPr>
        <w:t>》（CJJ 1-2008）选用。</w:t>
      </w:r>
    </w:p>
    <w:p>
      <w:pPr>
        <w:pStyle w:val="1280"/>
        <w:ind w:firstLine="440"/>
        <w:rPr>
          <w:rFonts w:ascii="宋体"/>
        </w:rPr>
      </w:pPr>
      <w:r>
        <w:rPr>
          <w:rFonts w:ascii="宋体"/>
        </w:rPr>
        <w:t>沥青的标号应根据当地气候情况确定。</w:t>
      </w:r>
    </w:p>
    <w:p>
      <w:pPr>
        <w:pStyle w:val="1280"/>
        <w:ind w:firstLine="440"/>
        <w:rPr>
          <w:rFonts w:ascii="宋体"/>
        </w:rPr>
      </w:pPr>
      <w:r>
        <w:rPr>
          <w:rFonts w:ascii="宋体"/>
        </w:rPr>
        <w:t>4、封层集料及吸附沥青用集料</w:t>
      </w:r>
    </w:p>
    <w:p>
      <w:pPr>
        <w:pStyle w:val="1280"/>
        <w:ind w:firstLine="440"/>
        <w:rPr>
          <w:rFonts w:ascii="宋体"/>
        </w:rPr>
      </w:pPr>
      <w:r>
        <w:rPr>
          <w:rFonts w:ascii="宋体"/>
        </w:rPr>
        <w:t>封层及吸附沥青所用的石屑或粗砂的质量应符合本规范的规定。</w:t>
      </w:r>
    </w:p>
    <w:p>
      <w:pPr>
        <w:pStyle w:val="1288"/>
        <w:outlineLvl w:val="0"/>
        <w:rPr>
          <w:rFonts w:ascii="宋体" w:hAnsi="宋体"/>
          <w:color w:val="auto"/>
        </w:rPr>
      </w:pPr>
      <w:bookmarkStart w:id="4556" w:name="_Toc320555530"/>
      <w:bookmarkStart w:id="4557" w:name="_Toc174279661"/>
      <w:bookmarkStart w:id="4558" w:name="_Toc173907048"/>
      <w:bookmarkStart w:id="4559" w:name="_Toc133166280"/>
      <w:bookmarkStart w:id="4560" w:name="_Toc106050170"/>
      <w:bookmarkStart w:id="4561" w:name="_Toc106883427"/>
      <w:r>
        <w:rPr>
          <w:rFonts w:hint="eastAsia" w:ascii="宋体" w:hAnsi="宋体"/>
          <w:color w:val="auto"/>
        </w:rPr>
        <w:t>4.6.6.9</w:t>
      </w:r>
      <w:r>
        <w:rPr>
          <w:rFonts w:ascii="宋体" w:hAnsi="宋体"/>
          <w:color w:val="auto"/>
        </w:rPr>
        <w:t>施工要求</w:t>
      </w:r>
      <w:bookmarkEnd w:id="4556"/>
      <w:bookmarkEnd w:id="4557"/>
      <w:bookmarkEnd w:id="4558"/>
      <w:bookmarkEnd w:id="4559"/>
      <w:bookmarkEnd w:id="4560"/>
      <w:bookmarkEnd w:id="4561"/>
    </w:p>
    <w:p>
      <w:pPr>
        <w:pStyle w:val="1280"/>
        <w:ind w:firstLine="440"/>
        <w:rPr>
          <w:rFonts w:ascii="宋体"/>
        </w:rPr>
      </w:pPr>
      <w:r>
        <w:rPr>
          <w:rFonts w:ascii="宋体"/>
        </w:rPr>
        <w:t>1、准备工作</w:t>
      </w:r>
    </w:p>
    <w:p>
      <w:pPr>
        <w:pStyle w:val="1280"/>
        <w:ind w:firstLine="440"/>
        <w:rPr>
          <w:rFonts w:ascii="宋体"/>
        </w:rPr>
      </w:pPr>
      <w:r>
        <w:rPr>
          <w:rFonts w:ascii="宋体"/>
        </w:rPr>
        <w:t>准备浇沥青的工作面，应整洁而无尘埃。项目监理应对已准备好的工作面进行检查，在未批准前不得喷洒沥青材料。</w:t>
      </w:r>
    </w:p>
    <w:p>
      <w:pPr>
        <w:pStyle w:val="1280"/>
        <w:ind w:firstLine="440"/>
        <w:rPr>
          <w:rFonts w:ascii="宋体"/>
        </w:rPr>
      </w:pPr>
      <w:r>
        <w:rPr>
          <w:rFonts w:ascii="宋体"/>
        </w:rPr>
        <w:t>2、气候条件</w:t>
      </w:r>
    </w:p>
    <w:p>
      <w:pPr>
        <w:pStyle w:val="1280"/>
        <w:ind w:firstLine="440"/>
        <w:rPr>
          <w:rFonts w:ascii="宋体"/>
        </w:rPr>
      </w:pPr>
      <w:r>
        <w:rPr>
          <w:rFonts w:ascii="宋体"/>
        </w:rPr>
        <w:t>洒布沥青材料的气温不应低于10</w:t>
      </w:r>
      <w:r>
        <w:rPr>
          <w:rFonts w:hint="eastAsia" w:ascii="宋体" w:cs="宋体"/>
        </w:rPr>
        <w:t>℃</w:t>
      </w:r>
      <w:r>
        <w:rPr>
          <w:rFonts w:ascii="宋体"/>
        </w:rPr>
        <w:t>，风速适度</w:t>
      </w:r>
      <w:r>
        <w:rPr>
          <w:rFonts w:hint="eastAsia" w:ascii="宋体"/>
        </w:rPr>
        <w:t>，</w:t>
      </w:r>
      <w:r>
        <w:rPr>
          <w:rFonts w:ascii="宋体"/>
        </w:rPr>
        <w:t>浓雾或下雨不应施工。</w:t>
      </w:r>
    </w:p>
    <w:p>
      <w:pPr>
        <w:pStyle w:val="1280"/>
        <w:ind w:firstLine="440"/>
        <w:rPr>
          <w:rFonts w:ascii="宋体"/>
        </w:rPr>
      </w:pPr>
      <w:r>
        <w:rPr>
          <w:rFonts w:ascii="宋体"/>
        </w:rPr>
        <w:t>3、喷洒温度</w:t>
      </w:r>
    </w:p>
    <w:p>
      <w:pPr>
        <w:pStyle w:val="1280"/>
        <w:ind w:firstLine="440"/>
        <w:rPr>
          <w:rFonts w:ascii="宋体"/>
        </w:rPr>
      </w:pPr>
      <w:r>
        <w:rPr>
          <w:rFonts w:ascii="宋体"/>
        </w:rPr>
        <w:t>液体石油沥青和乳化沥青在正常温度下洒布，如气温较低，稠度较大的可适当加热。</w:t>
      </w:r>
    </w:p>
    <w:p>
      <w:pPr>
        <w:pStyle w:val="1280"/>
        <w:ind w:firstLine="440"/>
        <w:rPr>
          <w:rFonts w:ascii="宋体"/>
        </w:rPr>
      </w:pPr>
      <w:r>
        <w:rPr>
          <w:rFonts w:ascii="宋体"/>
        </w:rPr>
        <w:t>4、沥青用量</w:t>
      </w:r>
    </w:p>
    <w:p>
      <w:pPr>
        <w:pStyle w:val="1280"/>
        <w:ind w:firstLine="440"/>
        <w:rPr>
          <w:rFonts w:ascii="宋体"/>
        </w:rPr>
      </w:pPr>
      <w:r>
        <w:rPr>
          <w:rFonts w:ascii="宋体"/>
        </w:rPr>
        <w:t>承包商应按项目监理的指示，根据基层的种类通过试洒确定透层、粘层所用的沥青品种和用量，并符合《</w:t>
      </w:r>
      <w:r>
        <w:rPr>
          <w:rFonts w:hint="eastAsia" w:ascii="宋体"/>
        </w:rPr>
        <w:t>城镇道路工程施工与质量验收规程</w:t>
      </w:r>
      <w:r>
        <w:rPr>
          <w:rFonts w:ascii="宋体"/>
        </w:rPr>
        <w:t>》（CJJ 1-2008）的要求。封层根据层位及要求选用。</w:t>
      </w:r>
    </w:p>
    <w:p>
      <w:pPr>
        <w:pStyle w:val="1280"/>
        <w:ind w:firstLine="440"/>
        <w:rPr>
          <w:rFonts w:ascii="宋体"/>
        </w:rPr>
      </w:pPr>
      <w:r>
        <w:rPr>
          <w:rFonts w:ascii="宋体"/>
        </w:rPr>
        <w:t>5、喷洒</w:t>
      </w:r>
    </w:p>
    <w:p>
      <w:pPr>
        <w:pStyle w:val="1280"/>
        <w:ind w:firstLine="440"/>
        <w:rPr>
          <w:rFonts w:ascii="宋体"/>
        </w:rPr>
      </w:pPr>
      <w:r>
        <w:rPr>
          <w:rFonts w:hint="eastAsia" w:ascii="宋体"/>
        </w:rPr>
        <w:t>（1）</w:t>
      </w:r>
      <w:r>
        <w:rPr>
          <w:rFonts w:ascii="宋体"/>
        </w:rPr>
        <w:t>承包商应在喷洒工作开始前3天报经项目监理批准。</w:t>
      </w:r>
    </w:p>
    <w:p>
      <w:pPr>
        <w:pStyle w:val="1280"/>
        <w:ind w:firstLine="440"/>
        <w:rPr>
          <w:rFonts w:ascii="宋体"/>
        </w:rPr>
      </w:pPr>
      <w:r>
        <w:rPr>
          <w:rFonts w:hint="eastAsia" w:ascii="宋体"/>
        </w:rPr>
        <w:t>（2）</w:t>
      </w:r>
      <w:r>
        <w:rPr>
          <w:rFonts w:ascii="宋体"/>
        </w:rPr>
        <w:t>透层及粘层沥青应采用沥青洒布车均匀地洒布，并按《公路路基路面现场测试规程》</w:t>
      </w:r>
      <w:r>
        <w:rPr>
          <w:rFonts w:hint="eastAsia" w:ascii="宋体"/>
        </w:rPr>
        <w:t>（</w:t>
      </w:r>
      <w:r>
        <w:rPr>
          <w:rFonts w:ascii="宋体"/>
        </w:rPr>
        <w:t>JTG E60-2008</w:t>
      </w:r>
      <w:r>
        <w:rPr>
          <w:rFonts w:hint="eastAsia" w:ascii="宋体"/>
        </w:rPr>
        <w:t>）</w:t>
      </w:r>
      <w:r>
        <w:rPr>
          <w:rFonts w:ascii="宋体"/>
        </w:rPr>
        <w:t>中有关要求和方法检测洒布用量，每次检测不少于3处。</w:t>
      </w:r>
    </w:p>
    <w:p>
      <w:pPr>
        <w:pStyle w:val="1280"/>
        <w:ind w:firstLine="440"/>
        <w:rPr>
          <w:rFonts w:ascii="宋体"/>
        </w:rPr>
      </w:pPr>
      <w:r>
        <w:rPr>
          <w:rFonts w:hint="eastAsia" w:ascii="宋体"/>
        </w:rPr>
        <w:t>（3）</w:t>
      </w:r>
      <w:r>
        <w:rPr>
          <w:rFonts w:ascii="宋体"/>
        </w:rPr>
        <w:t>沥青洒布设备应配备有适用于不同稠度沥青喷洒用的喷嘴，在沥青洒布机喷不到的地方可采用手工洒布机。喷洒超量或漏洒或少洒的地方应予纠正。</w:t>
      </w:r>
    </w:p>
    <w:p>
      <w:pPr>
        <w:pStyle w:val="1280"/>
        <w:ind w:firstLine="440"/>
        <w:rPr>
          <w:rFonts w:ascii="宋体"/>
        </w:rPr>
      </w:pPr>
      <w:r>
        <w:rPr>
          <w:rFonts w:hint="eastAsia" w:ascii="宋体"/>
        </w:rPr>
        <w:t>（4）</w:t>
      </w:r>
      <w:r>
        <w:rPr>
          <w:rFonts w:ascii="宋体"/>
        </w:rPr>
        <w:t>喷洒区附近的结构物和树木表面应加以保护，以免溅上沥青受到污染。当其受到污染时，承包商应自费清除。</w:t>
      </w:r>
    </w:p>
    <w:p>
      <w:pPr>
        <w:pStyle w:val="1280"/>
        <w:ind w:firstLine="440"/>
        <w:rPr>
          <w:rFonts w:ascii="宋体"/>
        </w:rPr>
      </w:pPr>
      <w:r>
        <w:rPr>
          <w:rFonts w:hint="eastAsia" w:ascii="宋体"/>
        </w:rPr>
        <w:t>（5）</w:t>
      </w:r>
      <w:r>
        <w:rPr>
          <w:rFonts w:ascii="宋体"/>
        </w:rPr>
        <w:t>粘层沥青应在铺筑覆盖层之前24h内洒布或涂刷。</w:t>
      </w:r>
    </w:p>
    <w:p>
      <w:pPr>
        <w:pStyle w:val="1280"/>
        <w:ind w:firstLine="440"/>
        <w:rPr>
          <w:rFonts w:ascii="宋体"/>
        </w:rPr>
      </w:pPr>
      <w:r>
        <w:rPr>
          <w:rFonts w:hint="eastAsia" w:ascii="宋体"/>
        </w:rPr>
        <w:t>（6）</w:t>
      </w:r>
      <w:r>
        <w:rPr>
          <w:rFonts w:ascii="宋体"/>
        </w:rPr>
        <w:t>封层应按《公路沥青路面施工技术规范》</w:t>
      </w:r>
      <w:r>
        <w:rPr>
          <w:rFonts w:hint="eastAsia" w:ascii="宋体"/>
        </w:rPr>
        <w:t>（</w:t>
      </w:r>
      <w:r>
        <w:rPr>
          <w:rFonts w:ascii="宋体"/>
        </w:rPr>
        <w:t>JTG F40-2004</w:t>
      </w:r>
      <w:r>
        <w:rPr>
          <w:rFonts w:hint="eastAsia" w:ascii="宋体"/>
        </w:rPr>
        <w:t>）</w:t>
      </w:r>
      <w:r>
        <w:rPr>
          <w:rFonts w:ascii="宋体"/>
        </w:rPr>
        <w:t>第6节要求的方法铺筑。层铺法的用量应符合该规范表6.2.1的要求，拌和法按本规范的有关要求施工。铺筑下封层前，基层表面应经项目监理验收，合格后才能铺筑。</w:t>
      </w:r>
    </w:p>
    <w:p>
      <w:pPr>
        <w:pStyle w:val="1280"/>
        <w:ind w:firstLine="440"/>
        <w:rPr>
          <w:rFonts w:ascii="宋体"/>
        </w:rPr>
      </w:pPr>
      <w:r>
        <w:rPr>
          <w:rFonts w:hint="eastAsia" w:ascii="宋体"/>
        </w:rPr>
        <w:t>（7）</w:t>
      </w:r>
      <w:r>
        <w:rPr>
          <w:rFonts w:ascii="宋体"/>
        </w:rPr>
        <w:t>在喷洒透层沥青后，如不能立即铺筑沥育面层，而需开放施工车辆通行时，应立即撤布</w:t>
      </w:r>
      <w:r>
        <w:rPr>
          <w:rFonts w:hint="eastAsia" w:ascii="宋体"/>
        </w:rPr>
        <w:t>（</w:t>
      </w:r>
      <w:r>
        <w:rPr>
          <w:rFonts w:ascii="宋体"/>
        </w:rPr>
        <w:t>2～3</w:t>
      </w:r>
      <w:r>
        <w:rPr>
          <w:rFonts w:hint="eastAsia" w:ascii="宋体"/>
        </w:rPr>
        <w:t>）</w:t>
      </w:r>
      <w:r>
        <w:rPr>
          <w:rFonts w:ascii="宋体"/>
        </w:rPr>
        <w:t>m</w:t>
      </w:r>
      <w:r>
        <w:rPr>
          <w:rFonts w:ascii="宋体"/>
          <w:vertAlign w:val="superscript"/>
        </w:rPr>
        <w:t>3</w:t>
      </w:r>
      <w:r>
        <w:rPr>
          <w:rFonts w:ascii="宋体"/>
        </w:rPr>
        <w:t>/1000m</w:t>
      </w:r>
      <w:r>
        <w:rPr>
          <w:rFonts w:ascii="宋体"/>
          <w:vertAlign w:val="superscript"/>
        </w:rPr>
        <w:t>2</w:t>
      </w:r>
      <w:r>
        <w:rPr>
          <w:rFonts w:ascii="宋体"/>
        </w:rPr>
        <w:t>的石屑和粗砂</w:t>
      </w:r>
      <w:r>
        <w:rPr>
          <w:rFonts w:hint="eastAsia" w:ascii="宋体"/>
        </w:rPr>
        <w:t>（</w:t>
      </w:r>
      <w:r>
        <w:rPr>
          <w:rFonts w:ascii="宋体"/>
        </w:rPr>
        <w:t>在半刚性基层洒布透层时，也应撤布石屑或粗砂</w:t>
      </w:r>
      <w:r>
        <w:rPr>
          <w:rFonts w:hint="eastAsia" w:ascii="宋体"/>
        </w:rPr>
        <w:t>）</w:t>
      </w:r>
      <w:r>
        <w:rPr>
          <w:rFonts w:ascii="宋体"/>
        </w:rPr>
        <w:t>并用轻型压路机滚压一遍。</w:t>
      </w:r>
    </w:p>
    <w:p>
      <w:pPr>
        <w:pStyle w:val="1280"/>
        <w:ind w:firstLine="440"/>
        <w:rPr>
          <w:rFonts w:ascii="宋体"/>
        </w:rPr>
      </w:pPr>
      <w:r>
        <w:rPr>
          <w:rFonts w:ascii="宋体"/>
        </w:rPr>
        <w:t>6、养护</w:t>
      </w:r>
    </w:p>
    <w:p>
      <w:pPr>
        <w:pStyle w:val="1280"/>
        <w:ind w:firstLine="440"/>
        <w:rPr>
          <w:rFonts w:ascii="宋体"/>
        </w:rPr>
      </w:pPr>
      <w:r>
        <w:rPr>
          <w:rFonts w:hint="eastAsia" w:ascii="宋体"/>
        </w:rPr>
        <w:t>（1）</w:t>
      </w:r>
      <w:r>
        <w:rPr>
          <w:rFonts w:ascii="宋体"/>
        </w:rPr>
        <w:t>承包商应对洒好透层、粘层或封层沥青的基层和面层保持良好状态。当出现泛油或项目监理有指示时，应按指定用量补撒吸附沥青材科。</w:t>
      </w:r>
    </w:p>
    <w:p>
      <w:pPr>
        <w:pStyle w:val="1280"/>
        <w:ind w:firstLine="440"/>
        <w:rPr>
          <w:rFonts w:ascii="宋体"/>
        </w:rPr>
      </w:pPr>
      <w:r>
        <w:rPr>
          <w:rFonts w:hint="eastAsia" w:ascii="宋体"/>
        </w:rPr>
        <w:t>（2）</w:t>
      </w:r>
      <w:r>
        <w:rPr>
          <w:rFonts w:ascii="宋体"/>
        </w:rPr>
        <w:t>如果透层沥育被尘土或泥土完全吸收，以致使覆盖的面层无法与透层粘结，项目监理可要求在摊铺沥青路面之前在透层上补洒一次粘层沥青。</w:t>
      </w:r>
    </w:p>
    <w:p>
      <w:pPr>
        <w:pStyle w:val="1280"/>
        <w:ind w:firstLine="440"/>
        <w:rPr>
          <w:rFonts w:ascii="宋体"/>
        </w:rPr>
      </w:pPr>
      <w:r>
        <w:rPr>
          <w:rFonts w:hint="eastAsia" w:ascii="宋体"/>
        </w:rPr>
        <w:t>（3）</w:t>
      </w:r>
      <w:r>
        <w:rPr>
          <w:rFonts w:ascii="宋体"/>
        </w:rPr>
        <w:t>养生期间，一般不应在已洒好透层沥青的路面上开放交通。如果在沥青材料充分渗入之前需要开放交通，为了防止车轮粘沥青，应按项目监理的指示撒铺吸附材料，以覆盖尚未完全吸收的沥青。</w:t>
      </w:r>
    </w:p>
    <w:p>
      <w:pPr>
        <w:pStyle w:val="1280"/>
        <w:ind w:firstLine="440"/>
        <w:rPr>
          <w:rFonts w:ascii="宋体"/>
        </w:rPr>
      </w:pPr>
      <w:r>
        <w:rPr>
          <w:rFonts w:hint="eastAsia" w:ascii="宋体"/>
        </w:rPr>
        <w:t>（4）</w:t>
      </w:r>
      <w:r>
        <w:rPr>
          <w:rFonts w:ascii="宋体"/>
        </w:rPr>
        <w:t>除运送沥青外，任何车辆均不得在完成的粘层上通行。</w:t>
      </w:r>
    </w:p>
    <w:p>
      <w:pPr>
        <w:pStyle w:val="1284"/>
        <w:outlineLvl w:val="0"/>
        <w:rPr>
          <w:rFonts w:ascii="宋体" w:hAnsi="宋体"/>
        </w:rPr>
      </w:pPr>
      <w:bookmarkStart w:id="4562" w:name="_Toc403637015"/>
      <w:bookmarkStart w:id="4563" w:name="_Toc266663066"/>
      <w:bookmarkStart w:id="4564" w:name="_Toc174279668"/>
      <w:bookmarkStart w:id="4565" w:name="_Toc173907055"/>
      <w:bookmarkStart w:id="4566" w:name="_Toc133166293"/>
      <w:bookmarkStart w:id="4567" w:name="_Toc517382634"/>
      <w:bookmarkStart w:id="4568" w:name="_Toc518376687"/>
      <w:bookmarkStart w:id="4569" w:name="_Toc521492009"/>
      <w:bookmarkStart w:id="4570" w:name="_Toc521492866"/>
      <w:bookmarkStart w:id="4571" w:name="_Toc521493540"/>
      <w:bookmarkStart w:id="4572" w:name="_Toc106050171"/>
      <w:bookmarkStart w:id="4573" w:name="_Toc106883428"/>
      <w:r>
        <w:rPr>
          <w:rFonts w:hint="eastAsia" w:ascii="宋体" w:hAnsi="宋体"/>
        </w:rPr>
        <w:t>4.6.6.10</w:t>
      </w:r>
      <w:r>
        <w:rPr>
          <w:rFonts w:ascii="宋体" w:hAnsi="宋体"/>
        </w:rPr>
        <w:t>开放交通</w:t>
      </w:r>
      <w:bookmarkEnd w:id="4562"/>
      <w:bookmarkEnd w:id="4563"/>
      <w:bookmarkEnd w:id="4564"/>
      <w:bookmarkEnd w:id="4565"/>
      <w:bookmarkEnd w:id="4566"/>
      <w:bookmarkEnd w:id="4567"/>
      <w:bookmarkEnd w:id="4568"/>
      <w:bookmarkEnd w:id="4569"/>
      <w:bookmarkEnd w:id="4570"/>
      <w:bookmarkEnd w:id="4571"/>
      <w:bookmarkEnd w:id="4572"/>
      <w:bookmarkEnd w:id="4573"/>
    </w:p>
    <w:p>
      <w:pPr>
        <w:pStyle w:val="1280"/>
        <w:ind w:firstLine="440"/>
        <w:rPr>
          <w:rFonts w:ascii="宋体"/>
        </w:rPr>
      </w:pPr>
      <w:r>
        <w:rPr>
          <w:rFonts w:ascii="宋体"/>
        </w:rPr>
        <w:t>沥青混凝土路面开放交通应按照《</w:t>
      </w:r>
      <w:r>
        <w:rPr>
          <w:rFonts w:hint="eastAsia" w:ascii="宋体"/>
        </w:rPr>
        <w:t>城镇道路工程施工与质量验收规程</w:t>
      </w:r>
      <w:r>
        <w:rPr>
          <w:rFonts w:ascii="宋体"/>
        </w:rPr>
        <w:t>》（CJJ 1-2008）的相关规定。</w:t>
      </w:r>
    </w:p>
    <w:p>
      <w:pPr>
        <w:pStyle w:val="1284"/>
        <w:outlineLvl w:val="0"/>
        <w:rPr>
          <w:rFonts w:ascii="宋体" w:hAnsi="宋体"/>
        </w:rPr>
      </w:pPr>
      <w:bookmarkStart w:id="4574" w:name="_Toc403637016"/>
      <w:bookmarkStart w:id="4575" w:name="_Toc266663067"/>
      <w:bookmarkStart w:id="4576" w:name="_Toc174279669"/>
      <w:bookmarkStart w:id="4577" w:name="_Toc173907056"/>
      <w:bookmarkStart w:id="4578" w:name="_Toc133166294"/>
      <w:bookmarkStart w:id="4579" w:name="_Toc517382635"/>
      <w:bookmarkStart w:id="4580" w:name="_Toc518376688"/>
      <w:bookmarkStart w:id="4581" w:name="_Toc521492010"/>
      <w:bookmarkStart w:id="4582" w:name="_Toc521492867"/>
      <w:bookmarkStart w:id="4583" w:name="_Toc521493541"/>
      <w:bookmarkStart w:id="4584" w:name="_Toc106050172"/>
      <w:bookmarkStart w:id="4585" w:name="_Toc106883429"/>
      <w:r>
        <w:rPr>
          <w:rFonts w:hint="eastAsia" w:ascii="宋体" w:hAnsi="宋体"/>
        </w:rPr>
        <w:t>4.6.6.11</w:t>
      </w:r>
      <w:r>
        <w:rPr>
          <w:rFonts w:ascii="宋体" w:hAnsi="宋体"/>
        </w:rPr>
        <w:t>质量检查</w:t>
      </w:r>
      <w:bookmarkEnd w:id="4574"/>
      <w:bookmarkEnd w:id="4575"/>
      <w:bookmarkEnd w:id="4576"/>
      <w:bookmarkEnd w:id="4577"/>
      <w:bookmarkEnd w:id="4578"/>
      <w:bookmarkEnd w:id="4579"/>
      <w:bookmarkEnd w:id="4580"/>
      <w:bookmarkEnd w:id="4581"/>
      <w:bookmarkEnd w:id="4582"/>
      <w:bookmarkEnd w:id="4583"/>
      <w:bookmarkEnd w:id="4584"/>
      <w:bookmarkEnd w:id="4585"/>
    </w:p>
    <w:p>
      <w:pPr>
        <w:pStyle w:val="1280"/>
        <w:ind w:firstLine="440"/>
        <w:rPr>
          <w:rFonts w:ascii="宋体"/>
        </w:rPr>
      </w:pPr>
      <w:r>
        <w:rPr>
          <w:rFonts w:ascii="宋体"/>
        </w:rPr>
        <w:t>道路基层完成后，应检查强度和质量。基层强度应以层顶面的当量回弹模量值或以黄河标准汽车测算回弹弯沉值作为强度检查指标，其值不得低于设计规定。基层质量检查，其允许误差，应符合表4-4-14的规定：</w:t>
      </w:r>
    </w:p>
    <w:p>
      <w:pPr>
        <w:adjustRightInd w:val="0"/>
        <w:snapToGrid w:val="0"/>
        <w:spacing w:line="360" w:lineRule="auto"/>
        <w:ind w:firstLine="641" w:firstLineChars="257"/>
        <w:jc w:val="center"/>
        <w:rPr>
          <w:rFonts w:ascii="宋体" w:hAnsi="宋体"/>
        </w:rPr>
      </w:pPr>
      <w:r>
        <w:rPr>
          <w:rFonts w:ascii="宋体" w:hAnsi="宋体"/>
        </w:rPr>
        <w:t>表4-4-14</w:t>
      </w:r>
    </w:p>
    <w:tbl>
      <w:tblPr>
        <w:tblStyle w:val="77"/>
        <w:tblW w:w="8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842"/>
        <w:gridCol w:w="1560"/>
        <w:gridCol w:w="850"/>
        <w:gridCol w:w="70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2943" w:type="dxa"/>
            <w:gridSpan w:val="2"/>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项目</w:t>
            </w:r>
          </w:p>
        </w:tc>
        <w:tc>
          <w:tcPr>
            <w:tcW w:w="156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允许误差</w:t>
            </w:r>
          </w:p>
        </w:tc>
        <w:tc>
          <w:tcPr>
            <w:tcW w:w="155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检验要求</w:t>
            </w:r>
          </w:p>
        </w:tc>
        <w:tc>
          <w:tcPr>
            <w:tcW w:w="198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2943"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范围</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点数</w:t>
            </w:r>
          </w:p>
        </w:tc>
        <w:tc>
          <w:tcPr>
            <w:tcW w:w="198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9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当量回弹模量值或计算回弹弯沉值</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不小于设计要求</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50m</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w:t>
            </w: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现场实测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jc w:val="center"/>
        </w:trPr>
        <w:tc>
          <w:tcPr>
            <w:tcW w:w="29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压实度</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不小于规定要求</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1000m</w:t>
            </w:r>
            <w:r>
              <w:rPr>
                <w:rFonts w:ascii="宋体" w:hAnsi="宋体"/>
                <w:sz w:val="18"/>
                <w:szCs w:val="18"/>
                <w:vertAlign w:val="superscript"/>
              </w:rPr>
              <w:t>2</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1984" w:type="dxa"/>
            <w:tcBorders>
              <w:top w:val="single" w:color="auto" w:sz="4" w:space="0"/>
              <w:left w:val="single" w:color="auto" w:sz="4" w:space="0"/>
              <w:bottom w:val="single" w:color="auto" w:sz="4" w:space="0"/>
              <w:right w:val="single" w:color="auto" w:sz="4" w:space="0"/>
            </w:tcBorders>
            <w:vAlign w:val="center"/>
          </w:tcPr>
          <w:p>
            <w:pPr>
              <w:pStyle w:val="66"/>
              <w:adjustRightInd w:val="0"/>
              <w:snapToGrid w:val="0"/>
              <w:spacing w:line="240" w:lineRule="auto"/>
              <w:jc w:val="center"/>
              <w:rPr>
                <w:rFonts w:ascii="宋体" w:hAnsi="宋体"/>
                <w:sz w:val="18"/>
                <w:szCs w:val="18"/>
              </w:rPr>
            </w:pPr>
            <w:r>
              <w:rPr>
                <w:rFonts w:ascii="宋体" w:hAnsi="宋体"/>
                <w:sz w:val="18"/>
                <w:szCs w:val="18"/>
                <w:lang w:val="en-US"/>
              </w:rPr>
              <w:t>无骨料：用环刀法测定</w:t>
            </w:r>
          </w:p>
          <w:p>
            <w:pPr>
              <w:adjustRightInd w:val="0"/>
              <w:snapToGrid w:val="0"/>
              <w:jc w:val="center"/>
              <w:rPr>
                <w:rFonts w:ascii="宋体" w:hAnsi="宋体"/>
                <w:sz w:val="18"/>
                <w:szCs w:val="18"/>
              </w:rPr>
            </w:pPr>
            <w:r>
              <w:rPr>
                <w:rFonts w:ascii="宋体" w:hAnsi="宋体"/>
                <w:sz w:val="18"/>
                <w:szCs w:val="18"/>
              </w:rPr>
              <w:t>有骨料：用灌砂法测定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9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厚度</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50m</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用尺量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9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平整度</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10mm</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50m</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用3m直尺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9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宽度</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不小于设计规定</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50m</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用尺量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9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纵坡高程</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±10mm</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20m</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198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用水准仪测量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exact"/>
          <w:jc w:val="center"/>
        </w:trPr>
        <w:tc>
          <w:tcPr>
            <w:tcW w:w="1101"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横坡</w:t>
            </w:r>
          </w:p>
        </w:tc>
        <w:tc>
          <w:tcPr>
            <w:tcW w:w="18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路面款&lt;9m</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100m</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w:t>
            </w:r>
          </w:p>
        </w:tc>
        <w:tc>
          <w:tcPr>
            <w:tcW w:w="198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用水准仪测量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18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路面宽9～15m</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100m</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w:t>
            </w:r>
          </w:p>
        </w:tc>
        <w:tc>
          <w:tcPr>
            <w:tcW w:w="198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10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18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路面宽&gt;15m</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100m</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7</w:t>
            </w:r>
          </w:p>
        </w:tc>
        <w:tc>
          <w:tcPr>
            <w:tcW w:w="198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r>
    </w:tbl>
    <w:p>
      <w:pPr>
        <w:adjustRightInd w:val="0"/>
        <w:snapToGrid w:val="0"/>
        <w:spacing w:before="203" w:beforeLines="50" w:line="360" w:lineRule="auto"/>
        <w:ind w:firstLine="380" w:firstLineChars="200"/>
        <w:rPr>
          <w:rFonts w:ascii="宋体" w:hAnsi="宋体"/>
          <w:sz w:val="18"/>
          <w:szCs w:val="18"/>
        </w:rPr>
      </w:pPr>
      <w:r>
        <w:rPr>
          <w:rFonts w:ascii="宋体" w:hAnsi="宋体"/>
          <w:sz w:val="18"/>
          <w:szCs w:val="18"/>
        </w:rPr>
        <w:t>注：表中压实度（单位重）以重型击实标准试验确定；级配水泥稳定碎石层为97%。</w:t>
      </w:r>
    </w:p>
    <w:p>
      <w:pPr>
        <w:pStyle w:val="1280"/>
        <w:ind w:firstLine="440"/>
        <w:rPr>
          <w:rFonts w:ascii="宋体"/>
        </w:rPr>
      </w:pPr>
      <w:r>
        <w:rPr>
          <w:rFonts w:ascii="宋体"/>
        </w:rPr>
        <w:t>对于质量不合格的工程，承包商应自费修补或返工，业主不另行支付额外的费用。</w:t>
      </w:r>
    </w:p>
    <w:p>
      <w:pPr>
        <w:pStyle w:val="1284"/>
        <w:outlineLvl w:val="0"/>
        <w:rPr>
          <w:rFonts w:ascii="宋体" w:hAnsi="宋体"/>
        </w:rPr>
      </w:pPr>
      <w:bookmarkStart w:id="4586" w:name="_Toc133166295"/>
      <w:bookmarkStart w:id="4587" w:name="_Toc517382636"/>
      <w:bookmarkStart w:id="4588" w:name="_Toc518376689"/>
      <w:bookmarkStart w:id="4589" w:name="_Toc521492011"/>
      <w:bookmarkStart w:id="4590" w:name="_Toc403637017"/>
      <w:bookmarkStart w:id="4591" w:name="_Toc266663068"/>
      <w:bookmarkStart w:id="4592" w:name="_Toc174279670"/>
      <w:bookmarkStart w:id="4593" w:name="_Toc173907057"/>
      <w:bookmarkStart w:id="4594" w:name="_Toc521492868"/>
      <w:bookmarkStart w:id="4595" w:name="_Toc521493542"/>
      <w:bookmarkStart w:id="4596" w:name="_Toc106050173"/>
      <w:bookmarkStart w:id="4597" w:name="_Toc106883430"/>
      <w:r>
        <w:rPr>
          <w:rFonts w:hint="eastAsia" w:ascii="宋体" w:hAnsi="宋体"/>
        </w:rPr>
        <w:t>4.6.6.12</w:t>
      </w:r>
      <w:r>
        <w:rPr>
          <w:rFonts w:ascii="宋体" w:hAnsi="宋体"/>
        </w:rPr>
        <w:t xml:space="preserve"> 人行道板安装施工要求</w:t>
      </w:r>
      <w:bookmarkEnd w:id="4586"/>
      <w:bookmarkEnd w:id="4587"/>
      <w:bookmarkEnd w:id="4588"/>
      <w:bookmarkEnd w:id="4589"/>
      <w:bookmarkEnd w:id="4590"/>
      <w:bookmarkEnd w:id="4591"/>
      <w:bookmarkEnd w:id="4592"/>
      <w:bookmarkEnd w:id="4593"/>
      <w:bookmarkEnd w:id="4594"/>
      <w:bookmarkEnd w:id="4595"/>
      <w:bookmarkEnd w:id="4596"/>
      <w:bookmarkEnd w:id="4597"/>
    </w:p>
    <w:p>
      <w:pPr>
        <w:pStyle w:val="1280"/>
        <w:ind w:firstLine="440"/>
        <w:rPr>
          <w:rFonts w:ascii="宋体"/>
        </w:rPr>
      </w:pPr>
      <w:r>
        <w:rPr>
          <w:rFonts w:ascii="宋体"/>
        </w:rPr>
        <w:t>1、材料</w:t>
      </w:r>
    </w:p>
    <w:p>
      <w:pPr>
        <w:pStyle w:val="1280"/>
        <w:ind w:firstLine="440"/>
        <w:rPr>
          <w:rFonts w:ascii="宋体"/>
        </w:rPr>
      </w:pPr>
      <w:r>
        <w:rPr>
          <w:rFonts w:ascii="宋体"/>
        </w:rPr>
        <w:t>花岗石人行道板、</w:t>
      </w:r>
      <w:r>
        <w:rPr>
          <w:rFonts w:hint="eastAsia" w:ascii="宋体"/>
        </w:rPr>
        <w:t>路缘</w:t>
      </w:r>
      <w:r>
        <w:rPr>
          <w:rFonts w:ascii="宋体"/>
        </w:rPr>
        <w:t>石、盲道板、树</w:t>
      </w:r>
      <w:r>
        <w:rPr>
          <w:rFonts w:hint="eastAsia" w:ascii="宋体"/>
        </w:rPr>
        <w:t>尺盖</w:t>
      </w:r>
      <w:r>
        <w:rPr>
          <w:rFonts w:ascii="宋体"/>
        </w:rPr>
        <w:t>板等进场时，承包商必须提供预制件的产品合格证及性能检测报告，项目监理应对其品种、标号、包装、数量、出厂日期等进行检查验收并需符合设计规定的强度。</w:t>
      </w:r>
    </w:p>
    <w:p>
      <w:pPr>
        <w:pStyle w:val="1280"/>
        <w:ind w:firstLine="440"/>
        <w:rPr>
          <w:rFonts w:ascii="宋体"/>
        </w:rPr>
      </w:pPr>
      <w:r>
        <w:rPr>
          <w:rFonts w:ascii="宋体"/>
        </w:rPr>
        <w:t>2、项目监理应对承包商准备使用的人行道板在铺装前进行检查，目测观察预制人行道板的表面，应平整、洁净、色泽一致，无裂痕和缺损。</w:t>
      </w:r>
    </w:p>
    <w:p>
      <w:pPr>
        <w:pStyle w:val="1280"/>
        <w:ind w:firstLine="440"/>
        <w:rPr>
          <w:rFonts w:ascii="宋体"/>
        </w:rPr>
      </w:pPr>
      <w:r>
        <w:rPr>
          <w:rFonts w:ascii="宋体"/>
        </w:rPr>
        <w:t>3、铺装人行道板、</w:t>
      </w:r>
      <w:r>
        <w:rPr>
          <w:rFonts w:hint="eastAsia" w:ascii="宋体"/>
        </w:rPr>
        <w:t>路缘</w:t>
      </w:r>
      <w:r>
        <w:rPr>
          <w:rFonts w:ascii="宋体"/>
        </w:rPr>
        <w:t>石、盲道板、</w:t>
      </w:r>
      <w:r>
        <w:rPr>
          <w:rFonts w:hint="eastAsia" w:ascii="宋体"/>
        </w:rPr>
        <w:t>树池盖</w:t>
      </w:r>
      <w:r>
        <w:rPr>
          <w:rFonts w:ascii="宋体"/>
        </w:rPr>
        <w:t>板等嵌缝应密实、平直，宽度和深度应符合设计要求，人行道板与基体之间的粘贴材料应饱满、密实。施工中项目监理将用小锤轻击检查，在镶接处，衔接应套割吻合，边缘应整齐。</w:t>
      </w:r>
    </w:p>
    <w:p>
      <w:pPr>
        <w:pStyle w:val="1280"/>
        <w:ind w:firstLine="440"/>
        <w:rPr>
          <w:rFonts w:ascii="宋体"/>
        </w:rPr>
      </w:pPr>
      <w:r>
        <w:rPr>
          <w:rFonts w:ascii="宋体"/>
        </w:rPr>
        <w:t>4、人行道缘石坡道、停步块材、导向块材及人行横道触感块材的材料应符合《无障碍设计规范》</w:t>
      </w:r>
      <w:r>
        <w:rPr>
          <w:rFonts w:hint="eastAsia" w:ascii="宋体"/>
        </w:rPr>
        <w:t>（</w:t>
      </w:r>
      <w:r>
        <w:rPr>
          <w:rFonts w:ascii="宋体"/>
        </w:rPr>
        <w:t>GB</w:t>
      </w:r>
      <w:r>
        <w:rPr>
          <w:rFonts w:hint="eastAsia" w:ascii="宋体"/>
        </w:rPr>
        <w:t xml:space="preserve"> </w:t>
      </w:r>
      <w:r>
        <w:rPr>
          <w:rFonts w:ascii="宋体"/>
        </w:rPr>
        <w:t>50763-2012</w:t>
      </w:r>
      <w:r>
        <w:rPr>
          <w:rFonts w:hint="eastAsia" w:ascii="宋体"/>
        </w:rPr>
        <w:t>）</w:t>
      </w:r>
      <w:r>
        <w:rPr>
          <w:rFonts w:ascii="宋体"/>
        </w:rPr>
        <w:t>的要求。</w:t>
      </w:r>
    </w:p>
    <w:p>
      <w:pPr>
        <w:pStyle w:val="1280"/>
        <w:ind w:firstLine="440"/>
        <w:rPr>
          <w:rFonts w:ascii="宋体"/>
        </w:rPr>
      </w:pPr>
      <w:r>
        <w:rPr>
          <w:rFonts w:ascii="宋体"/>
        </w:rPr>
        <w:t>5、人行道缘石坡道、停步块材、导向块材及人行横道触感块材的施工应符合《建筑地面工程施工质量验收规范》</w:t>
      </w:r>
      <w:r>
        <w:rPr>
          <w:rFonts w:hint="eastAsia" w:ascii="宋体"/>
        </w:rPr>
        <w:t>（</w:t>
      </w:r>
      <w:r>
        <w:rPr>
          <w:rFonts w:ascii="宋体"/>
        </w:rPr>
        <w:t>GB</w:t>
      </w:r>
      <w:r>
        <w:rPr>
          <w:rFonts w:hint="eastAsia" w:ascii="宋体"/>
        </w:rPr>
        <w:t xml:space="preserve"> </w:t>
      </w:r>
      <w:r>
        <w:rPr>
          <w:rFonts w:ascii="宋体"/>
        </w:rPr>
        <w:t>50209-2010</w:t>
      </w:r>
      <w:r>
        <w:rPr>
          <w:rFonts w:hint="eastAsia" w:ascii="宋体"/>
        </w:rPr>
        <w:t>）、</w:t>
      </w:r>
      <w:r>
        <w:rPr>
          <w:rFonts w:ascii="宋体"/>
        </w:rPr>
        <w:t>《建筑装饰装修工程质量验收规范》</w:t>
      </w:r>
      <w:r>
        <w:rPr>
          <w:rFonts w:hint="eastAsia" w:ascii="宋体"/>
        </w:rPr>
        <w:t>（</w:t>
      </w:r>
      <w:r>
        <w:rPr>
          <w:rFonts w:ascii="宋体"/>
        </w:rPr>
        <w:t>GB</w:t>
      </w:r>
      <w:r>
        <w:rPr>
          <w:rFonts w:hint="eastAsia" w:ascii="宋体"/>
        </w:rPr>
        <w:t xml:space="preserve"> </w:t>
      </w:r>
      <w:r>
        <w:rPr>
          <w:rFonts w:ascii="宋体"/>
        </w:rPr>
        <w:t>50210-2001</w:t>
      </w:r>
      <w:r>
        <w:rPr>
          <w:rFonts w:hint="eastAsia" w:ascii="宋体"/>
        </w:rPr>
        <w:t>）</w:t>
      </w:r>
      <w:r>
        <w:rPr>
          <w:rFonts w:ascii="宋体"/>
        </w:rPr>
        <w:t>、《建筑工程饰面砖粘结强度检验标准》</w:t>
      </w:r>
      <w:r>
        <w:rPr>
          <w:rFonts w:hint="eastAsia" w:ascii="宋体"/>
        </w:rPr>
        <w:t>（</w:t>
      </w:r>
      <w:r>
        <w:rPr>
          <w:rFonts w:ascii="宋体"/>
        </w:rPr>
        <w:t>JGJ/T 110-2017</w:t>
      </w:r>
      <w:r>
        <w:rPr>
          <w:rFonts w:hint="eastAsia" w:ascii="宋体"/>
        </w:rPr>
        <w:t>）</w:t>
      </w:r>
      <w:r>
        <w:rPr>
          <w:rFonts w:ascii="宋体"/>
        </w:rPr>
        <w:t>等相应标准的要求。</w:t>
      </w:r>
      <w:bookmarkEnd w:id="4488"/>
    </w:p>
    <w:p>
      <w:pPr>
        <w:pStyle w:val="1284"/>
        <w:outlineLvl w:val="0"/>
        <w:rPr>
          <w:rFonts w:ascii="宋体" w:hAnsi="宋体"/>
        </w:rPr>
      </w:pPr>
      <w:bookmarkStart w:id="4598" w:name="_Toc403637018"/>
      <w:bookmarkStart w:id="4599" w:name="_Toc266663069"/>
      <w:bookmarkStart w:id="4600" w:name="_Toc165179693"/>
      <w:bookmarkStart w:id="4601" w:name="_Toc517382637"/>
      <w:bookmarkStart w:id="4602" w:name="_Toc518376690"/>
      <w:bookmarkStart w:id="4603" w:name="_Toc521492012"/>
      <w:bookmarkStart w:id="4604" w:name="_Toc521492869"/>
      <w:bookmarkStart w:id="4605" w:name="_Toc521493543"/>
      <w:bookmarkStart w:id="4606" w:name="_Toc106050174"/>
      <w:bookmarkStart w:id="4607" w:name="_Toc106883431"/>
      <w:r>
        <w:rPr>
          <w:rFonts w:hint="eastAsia" w:ascii="宋体" w:hAnsi="宋体"/>
        </w:rPr>
        <w:t>4.6.6.13</w:t>
      </w:r>
      <w:r>
        <w:rPr>
          <w:rFonts w:ascii="宋体" w:hAnsi="宋体"/>
        </w:rPr>
        <w:t xml:space="preserve"> 计量与支付</w:t>
      </w:r>
      <w:bookmarkEnd w:id="4598"/>
      <w:bookmarkEnd w:id="4599"/>
      <w:bookmarkEnd w:id="4600"/>
      <w:bookmarkEnd w:id="4601"/>
      <w:bookmarkEnd w:id="4602"/>
      <w:bookmarkEnd w:id="4603"/>
      <w:bookmarkEnd w:id="4604"/>
      <w:bookmarkEnd w:id="4605"/>
      <w:bookmarkEnd w:id="4606"/>
      <w:bookmarkEnd w:id="4607"/>
    </w:p>
    <w:p>
      <w:pPr>
        <w:adjustRightInd w:val="0"/>
        <w:snapToGrid w:val="0"/>
        <w:spacing w:line="360" w:lineRule="auto"/>
        <w:ind w:firstLine="500" w:firstLineChars="200"/>
        <w:rPr>
          <w:rFonts w:ascii="宋体" w:hAnsi="宋体"/>
        </w:rPr>
      </w:pPr>
      <w:r>
        <w:rPr>
          <w:rFonts w:hint="eastAsia" w:ascii="宋体" w:hAnsi="宋体"/>
        </w:rPr>
        <w:t>详见工程量清单。</w:t>
      </w:r>
    </w:p>
    <w:p>
      <w:pPr>
        <w:pStyle w:val="134"/>
        <w:adjustRightInd w:val="0"/>
        <w:snapToGrid w:val="0"/>
        <w:spacing w:before="0" w:beforeAutospacing="0" w:after="0" w:afterAutospacing="0" w:line="360" w:lineRule="auto"/>
        <w:rPr>
          <w:kern w:val="2"/>
          <w:sz w:val="21"/>
          <w:szCs w:val="24"/>
        </w:rPr>
      </w:pPr>
      <w:bookmarkStart w:id="4608" w:name="_Toc339444416"/>
      <w:bookmarkStart w:id="4609" w:name="_Toc164502267"/>
    </w:p>
    <w:p>
      <w:pPr>
        <w:pStyle w:val="1281"/>
        <w:outlineLvl w:val="0"/>
        <w:rPr>
          <w:rFonts w:ascii="宋体" w:hAnsi="宋体"/>
          <w:color w:val="auto"/>
        </w:rPr>
      </w:pPr>
      <w:bookmarkStart w:id="4610" w:name="_Toc403637019"/>
      <w:bookmarkStart w:id="4611" w:name="_Toc517382638"/>
      <w:bookmarkStart w:id="4612" w:name="_Toc518376691"/>
      <w:bookmarkStart w:id="4613" w:name="_Toc521492013"/>
      <w:bookmarkStart w:id="4614" w:name="_Toc521492870"/>
      <w:bookmarkStart w:id="4615" w:name="_Toc521493544"/>
      <w:bookmarkStart w:id="4616" w:name="_Toc106883432"/>
      <w:r>
        <w:rPr>
          <w:rFonts w:hint="eastAsia" w:ascii="宋体" w:hAnsi="宋体"/>
          <w:color w:val="auto"/>
        </w:rPr>
        <w:t xml:space="preserve">4.6.7 </w:t>
      </w:r>
      <w:r>
        <w:rPr>
          <w:rFonts w:ascii="宋体" w:hAnsi="宋体"/>
          <w:color w:val="auto"/>
        </w:rPr>
        <w:t>道路交通标志</w:t>
      </w:r>
      <w:bookmarkEnd w:id="4608"/>
      <w:bookmarkEnd w:id="4610"/>
      <w:bookmarkEnd w:id="4611"/>
      <w:bookmarkEnd w:id="4612"/>
      <w:bookmarkEnd w:id="4613"/>
      <w:bookmarkEnd w:id="4614"/>
      <w:bookmarkEnd w:id="4615"/>
      <w:bookmarkEnd w:id="4616"/>
    </w:p>
    <w:p>
      <w:pPr>
        <w:pStyle w:val="1284"/>
        <w:rPr>
          <w:rFonts w:ascii="宋体" w:hAnsi="宋体"/>
        </w:rPr>
      </w:pPr>
      <w:bookmarkStart w:id="4617" w:name="_Toc339444417"/>
      <w:bookmarkStart w:id="4618" w:name="_Toc338255187"/>
      <w:bookmarkStart w:id="4619" w:name="_Toc403637020"/>
      <w:bookmarkStart w:id="4620" w:name="_Toc275023306"/>
      <w:bookmarkStart w:id="4621" w:name="_Toc266203777"/>
      <w:bookmarkStart w:id="4622" w:name="_Toc517382639"/>
      <w:bookmarkStart w:id="4623" w:name="_Toc518376692"/>
      <w:bookmarkStart w:id="4624" w:name="_Toc521492014"/>
      <w:bookmarkStart w:id="4625" w:name="_Toc521492871"/>
      <w:bookmarkStart w:id="4626" w:name="_Toc521493545"/>
      <w:bookmarkStart w:id="4627" w:name="_Toc106050176"/>
      <w:bookmarkStart w:id="4628" w:name="_Toc106883433"/>
      <w:r>
        <w:rPr>
          <w:rFonts w:hint="eastAsia" w:ascii="宋体" w:hAnsi="宋体"/>
        </w:rPr>
        <w:t>4.6.7.1</w:t>
      </w:r>
      <w:r>
        <w:rPr>
          <w:rFonts w:ascii="宋体" w:hAnsi="宋体"/>
        </w:rPr>
        <w:t xml:space="preserve"> 范围</w:t>
      </w:r>
      <w:bookmarkEnd w:id="4617"/>
      <w:bookmarkEnd w:id="4618"/>
      <w:bookmarkEnd w:id="4619"/>
      <w:bookmarkEnd w:id="4620"/>
      <w:bookmarkEnd w:id="4621"/>
      <w:bookmarkEnd w:id="4622"/>
      <w:bookmarkEnd w:id="4623"/>
      <w:bookmarkEnd w:id="4624"/>
      <w:bookmarkEnd w:id="4625"/>
      <w:bookmarkEnd w:id="4626"/>
      <w:bookmarkEnd w:id="4627"/>
      <w:bookmarkEnd w:id="4628"/>
    </w:p>
    <w:p>
      <w:pPr>
        <w:pStyle w:val="1280"/>
        <w:ind w:firstLine="440"/>
        <w:rPr>
          <w:rFonts w:ascii="宋体"/>
        </w:rPr>
      </w:pPr>
      <w:r>
        <w:rPr>
          <w:rFonts w:ascii="宋体"/>
        </w:rPr>
        <w:t>为各式道路交通标志等的提供和设置及其有关施工作业。</w:t>
      </w:r>
    </w:p>
    <w:p>
      <w:pPr>
        <w:pStyle w:val="1284"/>
        <w:rPr>
          <w:rFonts w:ascii="宋体" w:hAnsi="宋体"/>
        </w:rPr>
      </w:pPr>
      <w:bookmarkStart w:id="4629" w:name="_Toc403637021"/>
      <w:bookmarkStart w:id="4630" w:name="_Toc339444418"/>
      <w:bookmarkStart w:id="4631" w:name="_Toc338255188"/>
      <w:bookmarkStart w:id="4632" w:name="_Toc275023307"/>
      <w:bookmarkStart w:id="4633" w:name="_Toc266203778"/>
      <w:bookmarkStart w:id="4634" w:name="_Toc517382640"/>
      <w:bookmarkStart w:id="4635" w:name="_Toc518376693"/>
      <w:bookmarkStart w:id="4636" w:name="_Toc521492015"/>
      <w:bookmarkStart w:id="4637" w:name="_Toc521492872"/>
      <w:bookmarkStart w:id="4638" w:name="_Toc521493546"/>
      <w:bookmarkStart w:id="4639" w:name="_Toc106050177"/>
      <w:bookmarkStart w:id="4640" w:name="_Toc106883434"/>
      <w:r>
        <w:rPr>
          <w:rFonts w:hint="eastAsia" w:ascii="宋体" w:hAnsi="宋体"/>
        </w:rPr>
        <w:t>4.6.7.2</w:t>
      </w:r>
      <w:r>
        <w:rPr>
          <w:rFonts w:ascii="宋体" w:hAnsi="宋体"/>
        </w:rPr>
        <w:t xml:space="preserve"> 材料</w:t>
      </w:r>
      <w:bookmarkEnd w:id="4629"/>
      <w:bookmarkEnd w:id="4630"/>
      <w:bookmarkEnd w:id="4631"/>
      <w:bookmarkEnd w:id="4632"/>
      <w:bookmarkEnd w:id="4633"/>
      <w:bookmarkEnd w:id="4634"/>
      <w:bookmarkEnd w:id="4635"/>
      <w:bookmarkEnd w:id="4636"/>
      <w:bookmarkEnd w:id="4637"/>
      <w:bookmarkEnd w:id="4638"/>
      <w:bookmarkEnd w:id="4639"/>
      <w:bookmarkEnd w:id="4640"/>
    </w:p>
    <w:p>
      <w:pPr>
        <w:pStyle w:val="1280"/>
        <w:ind w:firstLine="440"/>
        <w:rPr>
          <w:rFonts w:ascii="宋体"/>
        </w:rPr>
      </w:pPr>
      <w:r>
        <w:rPr>
          <w:rFonts w:ascii="宋体"/>
        </w:rPr>
        <w:t>1、材料要求</w:t>
      </w:r>
    </w:p>
    <w:p>
      <w:pPr>
        <w:pStyle w:val="1280"/>
        <w:ind w:firstLine="440"/>
        <w:rPr>
          <w:rFonts w:ascii="宋体"/>
        </w:rPr>
      </w:pPr>
      <w:r>
        <w:rPr>
          <w:rFonts w:hint="eastAsia" w:ascii="宋体"/>
        </w:rPr>
        <w:t>（1）</w:t>
      </w:r>
      <w:r>
        <w:rPr>
          <w:rFonts w:ascii="宋体"/>
        </w:rPr>
        <w:t>立柱</w:t>
      </w:r>
    </w:p>
    <w:p>
      <w:pPr>
        <w:pStyle w:val="1280"/>
        <w:ind w:firstLine="440"/>
        <w:rPr>
          <w:rFonts w:ascii="宋体"/>
        </w:rPr>
      </w:pPr>
      <w:r>
        <w:rPr>
          <w:rFonts w:hint="eastAsia" w:ascii="宋体"/>
        </w:rPr>
        <w:t>a、</w:t>
      </w:r>
      <w:r>
        <w:rPr>
          <w:rFonts w:ascii="宋体"/>
        </w:rPr>
        <w:t>立柱所用的钢板、角钢及槽钢应符合规范所列标准。凡钢管外径在152mm以下</w:t>
      </w:r>
      <w:r>
        <w:rPr>
          <w:rFonts w:hint="eastAsia" w:ascii="宋体"/>
        </w:rPr>
        <w:t>（</w:t>
      </w:r>
      <w:r>
        <w:rPr>
          <w:rFonts w:ascii="宋体"/>
        </w:rPr>
        <w:t>含152mm</w:t>
      </w:r>
      <w:r>
        <w:rPr>
          <w:rFonts w:hint="eastAsia" w:ascii="宋体"/>
        </w:rPr>
        <w:t>）</w:t>
      </w:r>
      <w:r>
        <w:rPr>
          <w:rFonts w:ascii="宋体"/>
        </w:rPr>
        <w:t>的立柱，采用普通碳素结构钢（R235）焊接钢管，应符合《碳素结构钢》（GB/T 700-2006）的要求；凡钢管外径在152mm以上的立柱，采用一般常用热轧无缝钢管，并符合《结构用无缝钢管》（GB/T 8162-2008）的规定。</w:t>
      </w:r>
    </w:p>
    <w:p>
      <w:pPr>
        <w:pStyle w:val="1280"/>
        <w:ind w:firstLine="440"/>
        <w:rPr>
          <w:rFonts w:ascii="宋体"/>
        </w:rPr>
      </w:pPr>
      <w:r>
        <w:rPr>
          <w:rFonts w:ascii="宋体"/>
        </w:rPr>
        <w:t>b</w:t>
      </w:r>
      <w:r>
        <w:rPr>
          <w:rFonts w:hint="eastAsia" w:ascii="宋体"/>
        </w:rPr>
        <w:t>、</w:t>
      </w:r>
      <w:r>
        <w:rPr>
          <w:rFonts w:ascii="宋体"/>
        </w:rPr>
        <w:t>所有标志柱应配有柱帽，柱帽可采用板厚为3mm的钢板焊接或其它方法紧固在立柱上</w:t>
      </w:r>
      <w:r>
        <w:rPr>
          <w:rFonts w:hint="eastAsia" w:ascii="宋体"/>
        </w:rPr>
        <w:t>。</w:t>
      </w:r>
    </w:p>
    <w:p>
      <w:pPr>
        <w:pStyle w:val="1280"/>
        <w:ind w:firstLine="440"/>
        <w:rPr>
          <w:rFonts w:ascii="宋体"/>
        </w:rPr>
      </w:pPr>
      <w:r>
        <w:rPr>
          <w:rFonts w:ascii="宋体"/>
        </w:rPr>
        <w:t>c</w:t>
      </w:r>
      <w:r>
        <w:rPr>
          <w:rFonts w:hint="eastAsia" w:ascii="宋体"/>
        </w:rPr>
        <w:t>、</w:t>
      </w:r>
      <w:r>
        <w:rPr>
          <w:rFonts w:ascii="宋体"/>
        </w:rPr>
        <w:t>反光材料选择：根据《</w:t>
      </w:r>
      <w:r>
        <w:rPr>
          <w:rFonts w:hint="eastAsia" w:ascii="宋体"/>
        </w:rPr>
        <w:t>道路交通</w:t>
      </w:r>
      <w:r>
        <w:rPr>
          <w:rFonts w:ascii="宋体"/>
        </w:rPr>
        <w:t>反光膜》（GB/T</w:t>
      </w:r>
      <w:r>
        <w:rPr>
          <w:rFonts w:hint="eastAsia" w:ascii="宋体"/>
        </w:rPr>
        <w:t xml:space="preserve"> </w:t>
      </w:r>
      <w:r>
        <w:rPr>
          <w:rFonts w:ascii="宋体"/>
        </w:rPr>
        <w:t>18833-2012）规定，本工程的交通标志采用的</w:t>
      </w:r>
      <w:r>
        <w:rPr>
          <w:rFonts w:hint="eastAsia" w:ascii="宋体"/>
        </w:rPr>
        <w:t>四</w:t>
      </w:r>
      <w:r>
        <w:rPr>
          <w:rFonts w:ascii="宋体"/>
        </w:rPr>
        <w:t>级反光膜。</w:t>
      </w:r>
    </w:p>
    <w:p>
      <w:pPr>
        <w:pStyle w:val="1280"/>
        <w:ind w:firstLine="440"/>
        <w:rPr>
          <w:rFonts w:ascii="宋体"/>
        </w:rPr>
      </w:pPr>
      <w:r>
        <w:rPr>
          <w:rFonts w:ascii="宋体"/>
        </w:rPr>
        <w:t>（</w:t>
      </w:r>
      <w:r>
        <w:rPr>
          <w:rFonts w:hint="eastAsia" w:ascii="宋体"/>
        </w:rPr>
        <w:t>2</w:t>
      </w:r>
      <w:r>
        <w:rPr>
          <w:rFonts w:ascii="宋体"/>
        </w:rPr>
        <w:t>）标志支持方式</w:t>
      </w:r>
    </w:p>
    <w:p>
      <w:pPr>
        <w:pStyle w:val="1280"/>
        <w:ind w:firstLine="440"/>
        <w:rPr>
          <w:rFonts w:ascii="宋体"/>
        </w:rPr>
      </w:pPr>
      <w:r>
        <w:rPr>
          <w:rFonts w:hint="eastAsia" w:ascii="宋体"/>
        </w:rPr>
        <w:t>a、</w:t>
      </w:r>
      <w:r>
        <w:rPr>
          <w:rFonts w:ascii="宋体"/>
        </w:rPr>
        <w:t>本工程交通标志支持方式主要采用二种形式：单柱式和悬臂式。</w:t>
      </w:r>
    </w:p>
    <w:p>
      <w:pPr>
        <w:pStyle w:val="1280"/>
        <w:ind w:firstLine="440"/>
        <w:rPr>
          <w:rFonts w:ascii="宋体"/>
        </w:rPr>
      </w:pPr>
      <w:r>
        <w:rPr>
          <w:rFonts w:hint="eastAsia" w:ascii="宋体"/>
        </w:rPr>
        <w:t>b、</w:t>
      </w:r>
      <w:r>
        <w:rPr>
          <w:rFonts w:ascii="宋体"/>
        </w:rPr>
        <w:t>标志结构设计风速为25m/s。</w:t>
      </w:r>
    </w:p>
    <w:p>
      <w:pPr>
        <w:pStyle w:val="1280"/>
        <w:ind w:firstLine="440"/>
        <w:rPr>
          <w:rFonts w:ascii="宋体"/>
        </w:rPr>
      </w:pPr>
      <w:r>
        <w:rPr>
          <w:rFonts w:hint="eastAsia" w:ascii="宋体"/>
        </w:rPr>
        <w:t>c、</w:t>
      </w:r>
      <w:r>
        <w:rPr>
          <w:rFonts w:ascii="宋体"/>
        </w:rPr>
        <w:t>对单柱式标志和悬臂式标志而言，标志板背面铆接滑动槽铝，滑动槽铝内装有滑动螺栓，标志板与钢管横梁（或立柱）通过滑动螺栓、抱箍及抱箍底衬相连接。</w:t>
      </w:r>
    </w:p>
    <w:p>
      <w:pPr>
        <w:pStyle w:val="1280"/>
        <w:ind w:firstLine="440"/>
        <w:rPr>
          <w:rFonts w:ascii="宋体"/>
        </w:rPr>
      </w:pPr>
      <w:r>
        <w:rPr>
          <w:rFonts w:hint="eastAsia" w:ascii="宋体"/>
        </w:rPr>
        <w:t>（3）</w:t>
      </w:r>
      <w:r>
        <w:rPr>
          <w:rFonts w:ascii="宋体"/>
        </w:rPr>
        <w:t>材料规格</w:t>
      </w:r>
    </w:p>
    <w:p>
      <w:pPr>
        <w:pStyle w:val="1280"/>
        <w:ind w:firstLine="440"/>
        <w:rPr>
          <w:rFonts w:ascii="宋体"/>
        </w:rPr>
      </w:pPr>
      <w:r>
        <w:rPr>
          <w:rFonts w:hint="eastAsia" w:ascii="宋体"/>
        </w:rPr>
        <w:t>a、</w:t>
      </w:r>
      <w:r>
        <w:rPr>
          <w:rFonts w:ascii="宋体"/>
        </w:rPr>
        <w:t>标志立柱和横梁:凡钢管外径152mm以下（含152mm）的立柱和横梁，可采用普通碳素结构钢（R235）焊接钢管，应符合《碳素结构钢》（GB/T 700-2006）的要求；凡钢管外径在152mm以上的立柱和横梁采用一般常用热轧无缝钢管，并符合《结构用无缝钢管》（GB/T 8162-2008）的规定。标志立柱柱帽和横梁帽及抱箍采用普通碳素结构钢板，其它钢结构件均采用普通碳素结构钢，并应符合《碳素结构钢》（GB/T 700-2006）的规定。</w:t>
      </w:r>
    </w:p>
    <w:p>
      <w:pPr>
        <w:pStyle w:val="1280"/>
        <w:ind w:firstLine="440"/>
        <w:rPr>
          <w:rFonts w:ascii="宋体"/>
        </w:rPr>
      </w:pPr>
      <w:r>
        <w:rPr>
          <w:rFonts w:hint="eastAsia" w:ascii="宋体"/>
        </w:rPr>
        <w:t>b、</w:t>
      </w:r>
      <w:r>
        <w:rPr>
          <w:rFonts w:ascii="宋体"/>
        </w:rPr>
        <w:t>标志板</w:t>
      </w:r>
      <w:r>
        <w:rPr>
          <w:rFonts w:hint="eastAsia" w:ascii="宋体"/>
        </w:rPr>
        <w:t>：</w:t>
      </w:r>
      <w:r>
        <w:rPr>
          <w:rFonts w:ascii="宋体"/>
        </w:rPr>
        <w:t>采用牌号等于或优于5A02的铝合金板，并符合《道路交通标志板及支撑件》（GB/T 23827-2009）的要求。即：铝合金板的化学成分，冷轧板材牌号、规格、力学性能、尺寸及允许偏差应符合GB 3190、GB 3880、GB 3194的规定。单柱式标志板和悬臂型标志板的厚度见标志板图。</w:t>
      </w:r>
    </w:p>
    <w:p>
      <w:pPr>
        <w:pStyle w:val="1280"/>
        <w:ind w:firstLine="440"/>
        <w:rPr>
          <w:rFonts w:ascii="宋体"/>
        </w:rPr>
      </w:pPr>
      <w:r>
        <w:rPr>
          <w:rFonts w:hint="eastAsia" w:ascii="宋体"/>
        </w:rPr>
        <w:t>c、</w:t>
      </w:r>
      <w:r>
        <w:rPr>
          <w:rFonts w:ascii="宋体"/>
        </w:rPr>
        <w:t>滑动槽铝:采用LC4铝合金挤压型材，并符合《一般工业用铝及铝合金挤压型材》（GB/T 6892-2015）的规定。</w:t>
      </w:r>
    </w:p>
    <w:p>
      <w:pPr>
        <w:pStyle w:val="1280"/>
        <w:ind w:firstLine="440"/>
        <w:rPr>
          <w:rFonts w:ascii="宋体"/>
        </w:rPr>
      </w:pPr>
      <w:r>
        <w:rPr>
          <w:rFonts w:hint="eastAsia" w:ascii="宋体"/>
        </w:rPr>
        <w:t>d、</w:t>
      </w:r>
      <w:r>
        <w:rPr>
          <w:rFonts w:ascii="宋体"/>
        </w:rPr>
        <w:t>高强螺栓</w:t>
      </w:r>
      <w:r>
        <w:rPr>
          <w:rFonts w:hint="eastAsia" w:ascii="宋体"/>
        </w:rPr>
        <w:t>：</w:t>
      </w:r>
      <w:r>
        <w:rPr>
          <w:rFonts w:ascii="宋体"/>
        </w:rPr>
        <w:t>高强连接螺栓和高强地脚螺栓（包括相应的螺母、垫圈）采用40B或45号钢，并符合《钢结构用高强度大六角头螺栓》（GB/T 1228-2006）的规定。</w:t>
      </w:r>
    </w:p>
    <w:p>
      <w:pPr>
        <w:pStyle w:val="1280"/>
        <w:ind w:firstLine="440"/>
        <w:rPr>
          <w:rFonts w:ascii="宋体"/>
        </w:rPr>
      </w:pPr>
      <w:r>
        <w:rPr>
          <w:rFonts w:hint="eastAsia" w:ascii="宋体"/>
        </w:rPr>
        <w:t>e、</w:t>
      </w:r>
      <w:r>
        <w:rPr>
          <w:rFonts w:ascii="宋体"/>
        </w:rPr>
        <w:t>水泥混凝土基础材料: 混凝土强度应不小于25Mpa，并符合现行《公路钢筋混凝土及预应力混凝土桥涵设计规范》的有关规定。</w:t>
      </w:r>
    </w:p>
    <w:p>
      <w:pPr>
        <w:pStyle w:val="1280"/>
        <w:ind w:firstLine="440"/>
        <w:rPr>
          <w:rFonts w:ascii="宋体"/>
        </w:rPr>
      </w:pPr>
      <w:r>
        <w:rPr>
          <w:rFonts w:hint="eastAsia" w:ascii="宋体"/>
        </w:rPr>
        <w:t>f、</w:t>
      </w:r>
      <w:r>
        <w:rPr>
          <w:rFonts w:ascii="宋体"/>
        </w:rPr>
        <w:t>钢筋</w:t>
      </w:r>
      <w:r>
        <w:rPr>
          <w:rFonts w:hint="eastAsia" w:ascii="宋体"/>
        </w:rPr>
        <w:t>：</w:t>
      </w:r>
      <w:r>
        <w:rPr>
          <w:rFonts w:ascii="宋体"/>
        </w:rPr>
        <w:t>采用热轧结构钢筋（Φ14及以上为HRB335钢筋），并符合现行《公路钢筋混凝土及预应力混凝土桥涵设计规范》的有关规定。</w:t>
      </w:r>
    </w:p>
    <w:p>
      <w:pPr>
        <w:pStyle w:val="1280"/>
        <w:ind w:firstLine="440"/>
        <w:rPr>
          <w:rFonts w:ascii="宋体"/>
        </w:rPr>
      </w:pPr>
      <w:r>
        <w:rPr>
          <w:rFonts w:hint="eastAsia" w:ascii="宋体"/>
        </w:rPr>
        <w:t>g、</w:t>
      </w:r>
      <w:r>
        <w:rPr>
          <w:rFonts w:ascii="宋体"/>
        </w:rPr>
        <w:t>反光膜:密封胶囊型，内为鱼鳞式反光纸或蜂窝状六角形玻璃珠层，底部粘合面有压敏型粘胶。应符合《道路交通反光膜》（GB/T18833-2012）的有关规定。</w:t>
      </w:r>
    </w:p>
    <w:p>
      <w:pPr>
        <w:pStyle w:val="1280"/>
        <w:ind w:firstLine="440"/>
        <w:rPr>
          <w:rFonts w:ascii="宋体"/>
        </w:rPr>
      </w:pPr>
      <w:r>
        <w:rPr>
          <w:rFonts w:hint="eastAsia" w:ascii="宋体"/>
        </w:rPr>
        <w:t>h、</w:t>
      </w:r>
      <w:r>
        <w:rPr>
          <w:rFonts w:ascii="宋体"/>
        </w:rPr>
        <w:t>标志结构件中所有的钢构件（包括螺栓、螺母）均需热浸镀锌处理，所用锌应为《锌锭》（GB/T470-2008）中规定的0号或1号锌。其中，立柱、横梁、法兰盘的镀锌量为600g/m²，紧固件为350g/m²，螺栓连接件在镀锌后应清理螺纹或作离心分离处理。镀锌工艺应符合《锌锭》（GB/T470-2008）的要求，保证镀锌的厚度和均匀度，构件镀锌后，外表应整洁光泽，不得有明显的气泡、裂纹、疤痕、毛刺、端面分层等缺陷。</w:t>
      </w:r>
    </w:p>
    <w:p>
      <w:pPr>
        <w:pStyle w:val="1280"/>
        <w:ind w:firstLine="440"/>
        <w:rPr>
          <w:rFonts w:ascii="宋体"/>
        </w:rPr>
      </w:pPr>
      <w:r>
        <w:rPr>
          <w:rFonts w:hint="eastAsia" w:ascii="宋体"/>
        </w:rPr>
        <w:t>（4）</w:t>
      </w:r>
      <w:r>
        <w:rPr>
          <w:rFonts w:ascii="宋体"/>
        </w:rPr>
        <w:t>标志板</w:t>
      </w:r>
      <w:r>
        <w:rPr>
          <w:rFonts w:hint="eastAsia" w:ascii="宋体"/>
        </w:rPr>
        <w:t>（</w:t>
      </w:r>
      <w:r>
        <w:rPr>
          <w:rFonts w:ascii="宋体"/>
        </w:rPr>
        <w:t>未粘贴反光膜</w:t>
      </w:r>
      <w:r>
        <w:rPr>
          <w:rFonts w:hint="eastAsia" w:ascii="宋体"/>
        </w:rPr>
        <w:t>）</w:t>
      </w:r>
    </w:p>
    <w:p>
      <w:pPr>
        <w:pStyle w:val="1280"/>
        <w:ind w:firstLine="440"/>
        <w:rPr>
          <w:rFonts w:ascii="宋体"/>
        </w:rPr>
      </w:pPr>
      <w:r>
        <w:rPr>
          <w:rFonts w:ascii="宋体"/>
        </w:rPr>
        <w:t>a</w:t>
      </w:r>
      <w:r>
        <w:rPr>
          <w:rFonts w:hint="eastAsia" w:ascii="宋体"/>
        </w:rPr>
        <w:t>、</w:t>
      </w:r>
      <w:r>
        <w:rPr>
          <w:rFonts w:ascii="宋体"/>
        </w:rPr>
        <w:t>标志板应符合《道路交通标志牌及支撑件》（GB/T 23827-2009）的规定。</w:t>
      </w:r>
    </w:p>
    <w:p>
      <w:pPr>
        <w:pStyle w:val="1280"/>
        <w:ind w:firstLine="440"/>
        <w:rPr>
          <w:rFonts w:ascii="宋体"/>
        </w:rPr>
      </w:pPr>
      <w:r>
        <w:rPr>
          <w:rFonts w:ascii="宋体"/>
        </w:rPr>
        <w:t>b</w:t>
      </w:r>
      <w:r>
        <w:rPr>
          <w:rFonts w:hint="eastAsia" w:ascii="宋体"/>
        </w:rPr>
        <w:t>、</w:t>
      </w:r>
      <w:r>
        <w:rPr>
          <w:rFonts w:ascii="宋体"/>
        </w:rPr>
        <w:t>标志板采用薄钢板制造时，应符合《冷轧钢板和钢带的尺寸、外形、重量及允许偏差》</w:t>
      </w:r>
      <w:r>
        <w:rPr>
          <w:rFonts w:hint="eastAsia" w:ascii="宋体"/>
        </w:rPr>
        <w:t>（</w:t>
      </w:r>
      <w:r>
        <w:rPr>
          <w:rFonts w:ascii="宋体"/>
        </w:rPr>
        <w:t>GB/T 708-2006</w:t>
      </w:r>
      <w:r>
        <w:rPr>
          <w:rFonts w:hint="eastAsia" w:ascii="宋体"/>
        </w:rPr>
        <w:t>）</w:t>
      </w:r>
      <w:r>
        <w:rPr>
          <w:rFonts w:ascii="宋体"/>
        </w:rPr>
        <w:t>的规定。标志板背面的滑动槽钢和三角钢可采用铝合金挤压型材制成，并符合《一般工业用铝及铝合金挤压型材》</w:t>
      </w:r>
      <w:r>
        <w:rPr>
          <w:rFonts w:hint="eastAsia" w:ascii="宋体"/>
        </w:rPr>
        <w:t>（</w:t>
      </w:r>
      <w:r>
        <w:rPr>
          <w:rFonts w:ascii="宋体"/>
        </w:rPr>
        <w:t>GB/T 6892-2015</w:t>
      </w:r>
      <w:r>
        <w:rPr>
          <w:rFonts w:hint="eastAsia" w:ascii="宋体"/>
        </w:rPr>
        <w:t>）</w:t>
      </w:r>
      <w:r>
        <w:rPr>
          <w:rFonts w:ascii="宋体"/>
        </w:rPr>
        <w:t>的规定。标志板所用铝合金板其最小厚度应不小于2mm。</w:t>
      </w:r>
    </w:p>
    <w:p>
      <w:pPr>
        <w:pStyle w:val="1280"/>
        <w:ind w:firstLine="440"/>
        <w:rPr>
          <w:rFonts w:ascii="宋体"/>
        </w:rPr>
      </w:pPr>
      <w:r>
        <w:rPr>
          <w:rFonts w:ascii="宋体"/>
        </w:rPr>
        <w:t>c</w:t>
      </w:r>
      <w:r>
        <w:rPr>
          <w:rFonts w:hint="eastAsia" w:ascii="宋体"/>
        </w:rPr>
        <w:t>、</w:t>
      </w:r>
      <w:r>
        <w:rPr>
          <w:rFonts w:ascii="宋体"/>
        </w:rPr>
        <w:t>标志板面应无裂缝或其它表面缺陷；标志板边缘应整齐、光滑；标志板的外形尺寸偏差为±5mm，若外形尺寸大于1.2m</w:t>
      </w:r>
      <w:r>
        <w:rPr>
          <w:rFonts w:ascii="宋体"/>
          <w:vertAlign w:val="superscript"/>
        </w:rPr>
        <w:t>2</w:t>
      </w:r>
      <w:r>
        <w:rPr>
          <w:rFonts w:ascii="宋体"/>
        </w:rPr>
        <w:t>时，其偏差为其外形尺寸的0.5%；标志板应平整，表面无明显皱纹、凹痕或变形，每平方米范围内的平整度公差不应大于1.0mm。</w:t>
      </w:r>
    </w:p>
    <w:p>
      <w:pPr>
        <w:pStyle w:val="1280"/>
        <w:ind w:firstLine="440"/>
        <w:rPr>
          <w:rFonts w:ascii="宋体"/>
        </w:rPr>
      </w:pPr>
      <w:r>
        <w:rPr>
          <w:rFonts w:ascii="宋体"/>
        </w:rPr>
        <w:t>d</w:t>
      </w:r>
      <w:r>
        <w:rPr>
          <w:rFonts w:hint="eastAsia" w:ascii="宋体"/>
        </w:rPr>
        <w:t>、</w:t>
      </w:r>
      <w:r>
        <w:rPr>
          <w:rFonts w:ascii="宋体"/>
        </w:rPr>
        <w:t>除尺寸大的指路标志外，所有标志板应由单块铝合金板或薄钢板加工制成，不允许拼接。</w:t>
      </w:r>
    </w:p>
    <w:p>
      <w:pPr>
        <w:pStyle w:val="1280"/>
        <w:ind w:firstLine="440"/>
        <w:rPr>
          <w:rFonts w:ascii="宋体"/>
        </w:rPr>
      </w:pPr>
      <w:r>
        <w:rPr>
          <w:rFonts w:ascii="宋体"/>
        </w:rPr>
        <w:t>e</w:t>
      </w:r>
      <w:r>
        <w:rPr>
          <w:rFonts w:hint="eastAsia" w:ascii="宋体"/>
        </w:rPr>
        <w:t>、</w:t>
      </w:r>
      <w:r>
        <w:rPr>
          <w:rFonts w:ascii="宋体"/>
        </w:rPr>
        <w:t>考虑到大型指路标志在制造、运输、安装过程中的困难，厂家在制造过程中，应在项目监理指示下，根据标志板面设计的具体情况采取适当分割的办法来制造。可以分别粘贴反光膜，分别运输，在安装时可按标志板拼接设计中规定的方法拼接。</w:t>
      </w:r>
    </w:p>
    <w:p>
      <w:pPr>
        <w:pStyle w:val="1280"/>
        <w:ind w:firstLine="440"/>
        <w:rPr>
          <w:rFonts w:ascii="宋体"/>
        </w:rPr>
      </w:pPr>
      <w:r>
        <w:rPr>
          <w:rFonts w:ascii="宋体"/>
        </w:rPr>
        <w:t>f</w:t>
      </w:r>
      <w:r>
        <w:rPr>
          <w:rFonts w:hint="eastAsia" w:ascii="宋体"/>
        </w:rPr>
        <w:t>、</w:t>
      </w:r>
      <w:r>
        <w:rPr>
          <w:rFonts w:ascii="宋体"/>
        </w:rPr>
        <w:t>大型指路标志最多只能分割成4块，并应尽可能减少分块数量。标志板的拼接应采用对接，接缝的最大间隙为1mm。所有接缝应用背衬加强，背衬与标志板用铆钉连接，铆钉的最大间距应小于200mm，背衬的最小宽度为50mm，背衬的材料与板面板材相同。</w:t>
      </w:r>
    </w:p>
    <w:p>
      <w:pPr>
        <w:pStyle w:val="1280"/>
        <w:ind w:firstLine="440"/>
        <w:rPr>
          <w:rFonts w:ascii="宋体"/>
        </w:rPr>
      </w:pPr>
      <w:r>
        <w:rPr>
          <w:rFonts w:ascii="宋体"/>
        </w:rPr>
        <w:t>g</w:t>
      </w:r>
      <w:r>
        <w:rPr>
          <w:rFonts w:hint="eastAsia" w:ascii="宋体"/>
        </w:rPr>
        <w:t>、</w:t>
      </w:r>
      <w:r>
        <w:rPr>
          <w:rFonts w:ascii="宋体"/>
        </w:rPr>
        <w:t>标志底板面应进行化学清洗和浸蚀或磨面处理，清除表面杂质。当标志图案、字符是喷漆制作时，应先在标志底板面均匀涂一层磷化底漆。</w:t>
      </w:r>
    </w:p>
    <w:p>
      <w:pPr>
        <w:pStyle w:val="1280"/>
        <w:ind w:firstLine="440"/>
        <w:rPr>
          <w:rFonts w:ascii="宋体"/>
        </w:rPr>
      </w:pPr>
      <w:r>
        <w:rPr>
          <w:rFonts w:ascii="宋体"/>
        </w:rPr>
        <w:t>h</w:t>
      </w:r>
      <w:r>
        <w:rPr>
          <w:rFonts w:hint="eastAsia" w:ascii="宋体"/>
        </w:rPr>
        <w:t>、</w:t>
      </w:r>
      <w:r>
        <w:rPr>
          <w:rFonts w:ascii="宋体"/>
        </w:rPr>
        <w:t>标志板背面不应涂漆，但应采用适当的化学或物理方法，使其表面变成暗灰色和不反光。标志板背面应无刻痕或其它缺陷。</w:t>
      </w:r>
    </w:p>
    <w:p>
      <w:pPr>
        <w:pStyle w:val="1280"/>
        <w:ind w:firstLine="440"/>
        <w:rPr>
          <w:rFonts w:ascii="宋体"/>
        </w:rPr>
      </w:pPr>
      <w:r>
        <w:rPr>
          <w:rFonts w:hint="eastAsia" w:ascii="宋体"/>
        </w:rPr>
        <w:t>（5）</w:t>
      </w:r>
      <w:r>
        <w:rPr>
          <w:rFonts w:ascii="宋体"/>
        </w:rPr>
        <w:t>标志面</w:t>
      </w:r>
    </w:p>
    <w:p>
      <w:pPr>
        <w:pStyle w:val="1280"/>
        <w:ind w:firstLine="440"/>
        <w:rPr>
          <w:rFonts w:ascii="宋体"/>
        </w:rPr>
      </w:pPr>
      <w:r>
        <w:rPr>
          <w:rFonts w:ascii="宋体"/>
        </w:rPr>
        <w:t>标志面的逆反射材料有反光标志膜</w:t>
      </w:r>
      <w:r>
        <w:rPr>
          <w:rFonts w:hint="eastAsia" w:ascii="宋体"/>
        </w:rPr>
        <w:t>（</w:t>
      </w:r>
      <w:r>
        <w:rPr>
          <w:rFonts w:ascii="宋体"/>
        </w:rPr>
        <w:t>反光膜</w:t>
      </w:r>
      <w:r>
        <w:rPr>
          <w:rFonts w:hint="eastAsia" w:ascii="宋体"/>
        </w:rPr>
        <w:t>）</w:t>
      </w:r>
      <w:r>
        <w:rPr>
          <w:rFonts w:ascii="宋体"/>
        </w:rPr>
        <w:t>、反光涂料及反射器三类。</w:t>
      </w:r>
    </w:p>
    <w:p>
      <w:pPr>
        <w:pStyle w:val="1280"/>
        <w:ind w:firstLine="440"/>
        <w:rPr>
          <w:rFonts w:ascii="宋体"/>
        </w:rPr>
      </w:pPr>
      <w:r>
        <w:rPr>
          <w:rFonts w:ascii="宋体"/>
        </w:rPr>
        <w:t>a</w:t>
      </w:r>
      <w:r>
        <w:rPr>
          <w:rFonts w:hint="eastAsia" w:ascii="宋体"/>
        </w:rPr>
        <w:t>、</w:t>
      </w:r>
      <w:r>
        <w:rPr>
          <w:rFonts w:ascii="宋体"/>
        </w:rPr>
        <w:t>光度性能</w:t>
      </w:r>
    </w:p>
    <w:p>
      <w:pPr>
        <w:pStyle w:val="1280"/>
        <w:ind w:firstLine="440"/>
        <w:rPr>
          <w:rFonts w:ascii="宋体"/>
        </w:rPr>
      </w:pPr>
      <w:r>
        <w:rPr>
          <w:rFonts w:hint="eastAsia" w:ascii="宋体"/>
        </w:rPr>
        <w:t>1）</w:t>
      </w:r>
      <w:r>
        <w:rPr>
          <w:rFonts w:ascii="宋体"/>
        </w:rPr>
        <w:t>反光膜按其最小逆反射系数分为五级，各种标志采用反光膜的级别应符合图纸的规定。</w:t>
      </w:r>
    </w:p>
    <w:p>
      <w:pPr>
        <w:pStyle w:val="1280"/>
        <w:ind w:firstLine="440"/>
        <w:rPr>
          <w:rFonts w:ascii="宋体"/>
        </w:rPr>
      </w:pPr>
      <w:r>
        <w:rPr>
          <w:rFonts w:hint="eastAsia" w:ascii="宋体"/>
        </w:rPr>
        <w:t>2）</w:t>
      </w:r>
      <w:r>
        <w:rPr>
          <w:rFonts w:ascii="宋体"/>
        </w:rPr>
        <w:t>用作标志面的反光膜的逆反射系数值不应低于表804-l～表804-5给出的相应级别的规定。反光涂料的逆反射系数值不应低于表804-5的规定。</w:t>
      </w:r>
    </w:p>
    <w:p>
      <w:pPr>
        <w:pStyle w:val="1280"/>
        <w:ind w:firstLine="440"/>
        <w:rPr>
          <w:rFonts w:ascii="宋体"/>
        </w:rPr>
      </w:pPr>
      <w:r>
        <w:rPr>
          <w:rFonts w:hint="eastAsia" w:ascii="宋体"/>
        </w:rPr>
        <w:t>3）</w:t>
      </w:r>
      <w:r>
        <w:rPr>
          <w:rFonts w:ascii="宋体"/>
        </w:rPr>
        <w:t>用于标志面的反射器的发光强度系数值不应低于表804-6的规定。</w:t>
      </w:r>
    </w:p>
    <w:p>
      <w:pPr>
        <w:pStyle w:val="1280"/>
        <w:ind w:firstLine="440"/>
        <w:rPr>
          <w:rFonts w:ascii="宋体"/>
        </w:rPr>
      </w:pPr>
      <w:r>
        <w:rPr>
          <w:rFonts w:hint="eastAsia" w:ascii="宋体"/>
        </w:rPr>
        <w:t>4）</w:t>
      </w:r>
      <w:r>
        <w:rPr>
          <w:rFonts w:ascii="宋体"/>
        </w:rPr>
        <w:t>在完全潮湿状态下，反光膜或反光涂料的标志面在观测角为12′、入射角为-4°时的逆反射系数值不应低于表804-1～表804-5中相应规定值的80%。</w:t>
      </w:r>
    </w:p>
    <w:p>
      <w:pPr>
        <w:pStyle w:val="1280"/>
        <w:ind w:firstLine="440"/>
        <w:rPr>
          <w:rFonts w:ascii="宋体"/>
        </w:rPr>
      </w:pPr>
      <w:r>
        <w:rPr>
          <w:rFonts w:hint="eastAsia" w:ascii="宋体"/>
        </w:rPr>
        <w:t>b、</w:t>
      </w:r>
      <w:r>
        <w:rPr>
          <w:rFonts w:ascii="宋体"/>
        </w:rPr>
        <w:t>色度性能</w:t>
      </w:r>
    </w:p>
    <w:p>
      <w:pPr>
        <w:pStyle w:val="1280"/>
        <w:ind w:firstLine="440"/>
        <w:rPr>
          <w:rFonts w:ascii="宋体"/>
        </w:rPr>
      </w:pPr>
      <w:r>
        <w:rPr>
          <w:rFonts w:ascii="宋体"/>
        </w:rPr>
        <w:t>标志面的各种颜色的色品坐标和亮度因数应在表804-7规定的范围之内。</w:t>
      </w:r>
    </w:p>
    <w:p>
      <w:pPr>
        <w:pStyle w:val="1280"/>
        <w:ind w:firstLine="440"/>
        <w:rPr>
          <w:rFonts w:ascii="宋体"/>
        </w:rPr>
      </w:pPr>
      <w:r>
        <w:rPr>
          <w:rFonts w:ascii="宋体"/>
        </w:rPr>
        <w:t>c</w:t>
      </w:r>
      <w:r>
        <w:rPr>
          <w:rFonts w:hint="eastAsia" w:ascii="宋体"/>
        </w:rPr>
        <w:t>、</w:t>
      </w:r>
      <w:r>
        <w:rPr>
          <w:rFonts w:ascii="宋体"/>
        </w:rPr>
        <w:t>耐候性能</w:t>
      </w:r>
    </w:p>
    <w:p>
      <w:pPr>
        <w:pStyle w:val="1280"/>
        <w:ind w:firstLine="440"/>
        <w:rPr>
          <w:rFonts w:ascii="宋体"/>
        </w:rPr>
      </w:pPr>
      <w:r>
        <w:rPr>
          <w:rFonts w:ascii="宋体"/>
        </w:rPr>
        <w:t>反光膜应按《道路交通标志板及支撑件》（GB/T 23827-2009）的规定进行自然暴露或人工气候的耐候性能试验，在试验完成后：</w:t>
      </w:r>
    </w:p>
    <w:p>
      <w:pPr>
        <w:pStyle w:val="1280"/>
        <w:ind w:firstLine="440"/>
        <w:rPr>
          <w:rFonts w:ascii="宋体"/>
        </w:rPr>
      </w:pPr>
      <w:r>
        <w:rPr>
          <w:rFonts w:hint="eastAsia" w:ascii="宋体"/>
        </w:rPr>
        <w:t>1）</w:t>
      </w:r>
      <w:r>
        <w:rPr>
          <w:rFonts w:ascii="宋体"/>
        </w:rPr>
        <w:t>试样应无明显的裂缝、刻痕、凹陷、气泡、侵蚀、剥离、粉化或变形，任何一边均不应出现超过2mm的收缩，也不应出现从标志底板边缘脱胶现象。</w:t>
      </w:r>
    </w:p>
    <w:p>
      <w:pPr>
        <w:pStyle w:val="1280"/>
        <w:ind w:firstLine="440"/>
        <w:rPr>
          <w:rFonts w:ascii="宋体"/>
        </w:rPr>
      </w:pPr>
      <w:r>
        <w:rPr>
          <w:rFonts w:hint="eastAsia" w:ascii="宋体"/>
        </w:rPr>
        <w:t>2）</w:t>
      </w:r>
      <w:r>
        <w:rPr>
          <w:rFonts w:ascii="宋体"/>
        </w:rPr>
        <w:t>试样各种颜色的色品坐标应保持在表804-7规定的范围之内。</w:t>
      </w:r>
    </w:p>
    <w:p>
      <w:pPr>
        <w:pStyle w:val="1280"/>
        <w:ind w:firstLine="440"/>
        <w:rPr>
          <w:rFonts w:ascii="宋体"/>
        </w:rPr>
      </w:pPr>
      <w:r>
        <w:rPr>
          <w:rFonts w:hint="eastAsia" w:ascii="宋体"/>
        </w:rPr>
        <w:t>3）</w:t>
      </w:r>
      <w:r>
        <w:rPr>
          <w:rFonts w:ascii="宋体"/>
        </w:rPr>
        <w:t>一、二级反光膜的逆反射系数值不应低于表804-l、表804-2相应规定值的60%；三级反光膜的逆反射系数值不应低于表804-3相应规定值的80%；四、五级反光膜和反光涂料的逆反射系数值不应低于表804-4、表804-5相应规定值的50%；反射器的发光强度系数值不应低于表804-6相应规定值的50%。</w:t>
      </w:r>
    </w:p>
    <w:p>
      <w:pPr>
        <w:pStyle w:val="134"/>
        <w:adjustRightInd w:val="0"/>
        <w:snapToGrid w:val="0"/>
        <w:spacing w:before="0" w:beforeAutospacing="0" w:after="0" w:afterAutospacing="0" w:line="360" w:lineRule="auto"/>
        <w:jc w:val="center"/>
        <w:rPr>
          <w:kern w:val="2"/>
          <w:sz w:val="18"/>
          <w:szCs w:val="18"/>
        </w:rPr>
      </w:pPr>
    </w:p>
    <w:p>
      <w:pPr>
        <w:pStyle w:val="1280"/>
        <w:ind w:firstLine="440"/>
        <w:jc w:val="center"/>
        <w:rPr>
          <w:rFonts w:ascii="宋体"/>
        </w:rPr>
      </w:pPr>
      <w:r>
        <w:rPr>
          <w:rFonts w:ascii="宋体"/>
        </w:rPr>
        <w:t>表4-5-1 一级反光膜</w:t>
      </w:r>
    </w:p>
    <w:tbl>
      <w:tblPr>
        <w:tblStyle w:val="77"/>
        <w:tblW w:w="673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03"/>
        <w:gridCol w:w="709"/>
        <w:gridCol w:w="1134"/>
        <w:gridCol w:w="1134"/>
        <w:gridCol w:w="1134"/>
        <w:gridCol w:w="992"/>
        <w:gridCol w:w="9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703" w:type="dxa"/>
            <w:vMerge w:val="restart"/>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观测角</w:t>
            </w:r>
          </w:p>
        </w:tc>
        <w:tc>
          <w:tcPr>
            <w:tcW w:w="709"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入射角</w:t>
            </w:r>
          </w:p>
        </w:tc>
        <w:tc>
          <w:tcPr>
            <w:tcW w:w="5319" w:type="dxa"/>
            <w:gridSpan w:val="5"/>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最小逆反射系数[cd/(lx·m</w:t>
            </w:r>
            <w:r>
              <w:rPr>
                <w:rFonts w:ascii="宋体" w:hAnsi="宋体"/>
                <w:color w:val="auto"/>
                <w:vertAlign w:val="superscript"/>
              </w:rPr>
              <w:t>2</w:t>
            </w:r>
            <w:r>
              <w:rPr>
                <w:rFonts w:ascii="宋体" w:hAnsi="宋体"/>
                <w:color w:va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703" w:type="dxa"/>
            <w:vMerge w:val="continue"/>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9"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黄色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红色</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绿色</w:t>
            </w:r>
          </w:p>
        </w:tc>
        <w:tc>
          <w:tcPr>
            <w:tcW w:w="925"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蓝色</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703"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709"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600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100</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75</w:t>
            </w:r>
          </w:p>
        </w:tc>
        <w:tc>
          <w:tcPr>
            <w:tcW w:w="925"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703"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9"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60</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45</w:t>
            </w:r>
          </w:p>
        </w:tc>
        <w:tc>
          <w:tcPr>
            <w:tcW w:w="925"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25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703"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9"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180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22</w:t>
            </w:r>
          </w:p>
        </w:tc>
        <w:tc>
          <w:tcPr>
            <w:tcW w:w="925"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703" w:type="dxa"/>
            <w:vMerge w:val="restart"/>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20′</w:t>
            </w:r>
          </w:p>
        </w:tc>
        <w:tc>
          <w:tcPr>
            <w:tcW w:w="709"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360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60</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925"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25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703"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9"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160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99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925"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703"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9"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30°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120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80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18</w:t>
            </w:r>
          </w:p>
        </w:tc>
        <w:tc>
          <w:tcPr>
            <w:tcW w:w="992"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15</w:t>
            </w:r>
          </w:p>
        </w:tc>
        <w:tc>
          <w:tcPr>
            <w:tcW w:w="925" w:type="dxa"/>
            <w:tcBorders>
              <w:top w:val="single" w:color="auto" w:sz="4" w:space="0"/>
              <w:left w:val="single" w:color="auto" w:sz="4" w:space="0"/>
              <w:bottom w:val="single" w:color="auto" w:sz="8" w:space="0"/>
              <w:right w:val="single" w:color="auto" w:sz="8" w:space="0"/>
            </w:tcBorders>
            <w:vAlign w:val="center"/>
          </w:tcPr>
          <w:p>
            <w:pPr>
              <w:pStyle w:val="1286"/>
              <w:rPr>
                <w:rFonts w:ascii="宋体" w:hAnsi="宋体"/>
                <w:color w:val="auto"/>
              </w:rPr>
            </w:pPr>
            <w:r>
              <w:rPr>
                <w:rFonts w:ascii="宋体" w:hAnsi="宋体"/>
                <w:color w:val="auto"/>
              </w:rPr>
              <w:t>8</w:t>
            </w:r>
          </w:p>
        </w:tc>
      </w:tr>
    </w:tbl>
    <w:p>
      <w:pPr>
        <w:pStyle w:val="1280"/>
        <w:ind w:firstLine="440"/>
        <w:jc w:val="center"/>
        <w:rPr>
          <w:rFonts w:ascii="宋体"/>
        </w:rPr>
      </w:pPr>
      <w:r>
        <w:rPr>
          <w:rFonts w:ascii="宋体"/>
        </w:rPr>
        <w:t>表4-5-2 二级反光膜</w:t>
      </w:r>
    </w:p>
    <w:tbl>
      <w:tblPr>
        <w:tblStyle w:val="77"/>
        <w:tblW w:w="672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679"/>
        <w:gridCol w:w="701"/>
        <w:gridCol w:w="1134"/>
        <w:gridCol w:w="1134"/>
        <w:gridCol w:w="1134"/>
        <w:gridCol w:w="993"/>
        <w:gridCol w:w="95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679" w:type="dxa"/>
            <w:vMerge w:val="restart"/>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观测角</w:t>
            </w:r>
          </w:p>
        </w:tc>
        <w:tc>
          <w:tcPr>
            <w:tcW w:w="701"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入射角</w:t>
            </w:r>
          </w:p>
        </w:tc>
        <w:tc>
          <w:tcPr>
            <w:tcW w:w="5347" w:type="dxa"/>
            <w:gridSpan w:val="5"/>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最小逆反射系数[cd/(lx·m</w:t>
            </w:r>
            <w:r>
              <w:rPr>
                <w:rFonts w:ascii="宋体" w:hAnsi="宋体"/>
                <w:color w:val="auto"/>
                <w:vertAlign w:val="superscript"/>
              </w:rPr>
              <w:t>2</w:t>
            </w:r>
            <w:r>
              <w:rPr>
                <w:rFonts w:ascii="宋体" w:hAnsi="宋体"/>
                <w:color w:va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679" w:type="dxa"/>
            <w:vMerge w:val="continue"/>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1"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黄色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红色</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绿色</w:t>
            </w:r>
          </w:p>
        </w:tc>
        <w:tc>
          <w:tcPr>
            <w:tcW w:w="952"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蓝色</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79"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60</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50</w:t>
            </w:r>
          </w:p>
        </w:tc>
        <w:tc>
          <w:tcPr>
            <w:tcW w:w="952"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79"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160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35</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952"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79"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70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952"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79" w:type="dxa"/>
            <w:vMerge w:val="restart"/>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20′</w:t>
            </w: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35</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952"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79"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170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952"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79"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30°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80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50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12</w:t>
            </w:r>
          </w:p>
        </w:tc>
        <w:tc>
          <w:tcPr>
            <w:tcW w:w="993"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10</w:t>
            </w:r>
          </w:p>
        </w:tc>
        <w:tc>
          <w:tcPr>
            <w:tcW w:w="952" w:type="dxa"/>
            <w:tcBorders>
              <w:top w:val="single" w:color="auto" w:sz="4" w:space="0"/>
              <w:left w:val="single" w:color="auto" w:sz="4" w:space="0"/>
              <w:bottom w:val="single" w:color="auto" w:sz="8" w:space="0"/>
              <w:right w:val="single" w:color="auto" w:sz="8" w:space="0"/>
            </w:tcBorders>
            <w:vAlign w:val="center"/>
          </w:tcPr>
          <w:p>
            <w:pPr>
              <w:pStyle w:val="1286"/>
              <w:rPr>
                <w:rFonts w:ascii="宋体" w:hAnsi="宋体"/>
                <w:color w:val="auto"/>
              </w:rPr>
            </w:pPr>
            <w:r>
              <w:rPr>
                <w:rFonts w:ascii="宋体" w:hAnsi="宋体"/>
                <w:color w:val="auto"/>
              </w:rPr>
              <w:t>6</w:t>
            </w:r>
          </w:p>
        </w:tc>
      </w:tr>
    </w:tbl>
    <w:p>
      <w:pPr>
        <w:pStyle w:val="1280"/>
        <w:ind w:firstLine="440"/>
        <w:jc w:val="center"/>
        <w:rPr>
          <w:rFonts w:ascii="宋体"/>
        </w:rPr>
      </w:pPr>
      <w:r>
        <w:rPr>
          <w:rFonts w:ascii="宋体"/>
        </w:rPr>
        <w:t>表4-5-3 三级反光膜</w:t>
      </w:r>
    </w:p>
    <w:tbl>
      <w:tblPr>
        <w:tblStyle w:val="77"/>
        <w:tblW w:w="671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674"/>
        <w:gridCol w:w="701"/>
        <w:gridCol w:w="1134"/>
        <w:gridCol w:w="1105"/>
        <w:gridCol w:w="1134"/>
        <w:gridCol w:w="1022"/>
        <w:gridCol w:w="9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restart"/>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观测角</w:t>
            </w:r>
          </w:p>
        </w:tc>
        <w:tc>
          <w:tcPr>
            <w:tcW w:w="701"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入射角</w:t>
            </w:r>
          </w:p>
        </w:tc>
        <w:tc>
          <w:tcPr>
            <w:tcW w:w="5342" w:type="dxa"/>
            <w:gridSpan w:val="5"/>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最小逆反射系数[cd/(lx·m</w:t>
            </w:r>
            <w:r>
              <w:rPr>
                <w:rFonts w:ascii="宋体" w:hAnsi="宋体"/>
                <w:color w:val="auto"/>
                <w:vertAlign w:val="superscript"/>
              </w:rPr>
              <w:t>2</w:t>
            </w:r>
            <w:r>
              <w:rPr>
                <w:rFonts w:ascii="宋体" w:hAnsi="宋体"/>
                <w:color w:va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continue"/>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1"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白色</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黄色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红色</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绿色</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蓝色</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250</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170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35</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200</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120</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80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16</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180</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150</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80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95</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65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13</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restart"/>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w:t>
            </w: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05"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8</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022"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94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74"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1"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5</w:t>
            </w:r>
          </w:p>
        </w:tc>
        <w:tc>
          <w:tcPr>
            <w:tcW w:w="1105"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3</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w:t>
            </w:r>
          </w:p>
        </w:tc>
        <w:tc>
          <w:tcPr>
            <w:tcW w:w="1022"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0.8</w:t>
            </w:r>
          </w:p>
        </w:tc>
        <w:tc>
          <w:tcPr>
            <w:tcW w:w="947" w:type="dxa"/>
            <w:tcBorders>
              <w:top w:val="single" w:color="auto" w:sz="4" w:space="0"/>
              <w:left w:val="single" w:color="auto" w:sz="4" w:space="0"/>
              <w:bottom w:val="single" w:color="auto" w:sz="8" w:space="0"/>
              <w:right w:val="single" w:color="auto" w:sz="8" w:space="0"/>
            </w:tcBorders>
            <w:vAlign w:val="center"/>
          </w:tcPr>
          <w:p>
            <w:pPr>
              <w:pStyle w:val="1286"/>
              <w:rPr>
                <w:rFonts w:ascii="宋体" w:hAnsi="宋体"/>
                <w:color w:val="auto"/>
              </w:rPr>
            </w:pPr>
            <w:r>
              <w:rPr>
                <w:rFonts w:ascii="宋体" w:hAnsi="宋体"/>
                <w:color w:val="auto"/>
              </w:rPr>
              <w:t>0.5</w:t>
            </w:r>
          </w:p>
        </w:tc>
      </w:tr>
    </w:tbl>
    <w:p>
      <w:pPr>
        <w:pStyle w:val="1280"/>
        <w:ind w:firstLine="440"/>
        <w:jc w:val="center"/>
        <w:rPr>
          <w:rFonts w:ascii="宋体"/>
        </w:rPr>
      </w:pPr>
      <w:r>
        <w:rPr>
          <w:rFonts w:ascii="宋体"/>
        </w:rPr>
        <w:t>表4-5-4四级反光膜</w:t>
      </w:r>
    </w:p>
    <w:tbl>
      <w:tblPr>
        <w:tblStyle w:val="77"/>
        <w:tblW w:w="669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657"/>
        <w:gridCol w:w="708"/>
        <w:gridCol w:w="1134"/>
        <w:gridCol w:w="1134"/>
        <w:gridCol w:w="1134"/>
        <w:gridCol w:w="993"/>
        <w:gridCol w:w="9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657" w:type="dxa"/>
            <w:vMerge w:val="restart"/>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观测角</w:t>
            </w:r>
          </w:p>
        </w:tc>
        <w:tc>
          <w:tcPr>
            <w:tcW w:w="708"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入射角</w:t>
            </w:r>
          </w:p>
        </w:tc>
        <w:tc>
          <w:tcPr>
            <w:tcW w:w="5333" w:type="dxa"/>
            <w:gridSpan w:val="5"/>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最小逆反射系数[cd/(lx·m</w:t>
            </w:r>
            <w:r>
              <w:rPr>
                <w:rFonts w:ascii="宋体" w:hAnsi="宋体"/>
                <w:color w:val="auto"/>
                <w:vertAlign w:val="superscript"/>
              </w:rPr>
              <w:t>2</w:t>
            </w:r>
            <w:r>
              <w:rPr>
                <w:rFonts w:ascii="宋体" w:hAnsi="宋体"/>
                <w:color w:va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657" w:type="dxa"/>
            <w:vMerge w:val="continue"/>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黄色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红色</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绿色</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蓝色</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70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14</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9</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11</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7</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8</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7</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8</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restart"/>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w:t>
            </w: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0.8</w:t>
            </w:r>
          </w:p>
        </w:tc>
        <w:tc>
          <w:tcPr>
            <w:tcW w:w="938"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40" w:hRule="exact"/>
          <w:jc w:val="center"/>
        </w:trPr>
        <w:tc>
          <w:tcPr>
            <w:tcW w:w="657"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0.5</w:t>
            </w:r>
          </w:p>
        </w:tc>
        <w:tc>
          <w:tcPr>
            <w:tcW w:w="993"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0.2</w:t>
            </w:r>
          </w:p>
        </w:tc>
        <w:tc>
          <w:tcPr>
            <w:tcW w:w="938" w:type="dxa"/>
            <w:tcBorders>
              <w:top w:val="single" w:color="auto" w:sz="4" w:space="0"/>
              <w:left w:val="single" w:color="auto" w:sz="4" w:space="0"/>
              <w:bottom w:val="single" w:color="auto" w:sz="8" w:space="0"/>
              <w:right w:val="single" w:color="auto" w:sz="8" w:space="0"/>
            </w:tcBorders>
            <w:vAlign w:val="center"/>
          </w:tcPr>
          <w:p>
            <w:pPr>
              <w:pStyle w:val="1286"/>
              <w:rPr>
                <w:rFonts w:ascii="宋体" w:hAnsi="宋体"/>
                <w:color w:val="auto"/>
              </w:rPr>
            </w:pPr>
            <w:r>
              <w:rPr>
                <w:rFonts w:ascii="宋体" w:hAnsi="宋体"/>
                <w:color w:val="auto"/>
              </w:rPr>
              <w:t>0.1</w:t>
            </w:r>
          </w:p>
        </w:tc>
      </w:tr>
    </w:tbl>
    <w:p>
      <w:pPr>
        <w:pStyle w:val="1280"/>
        <w:ind w:firstLine="440"/>
        <w:jc w:val="center"/>
        <w:rPr>
          <w:rFonts w:ascii="宋体"/>
        </w:rPr>
      </w:pPr>
      <w:r>
        <w:rPr>
          <w:rFonts w:ascii="宋体"/>
        </w:rPr>
        <w:t>表4-5-5五级反光膜</w:t>
      </w:r>
    </w:p>
    <w:tbl>
      <w:tblPr>
        <w:tblStyle w:val="77"/>
        <w:tblW w:w="66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649"/>
        <w:gridCol w:w="708"/>
        <w:gridCol w:w="1134"/>
        <w:gridCol w:w="1134"/>
        <w:gridCol w:w="1134"/>
        <w:gridCol w:w="993"/>
        <w:gridCol w:w="92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649" w:type="dxa"/>
            <w:vMerge w:val="restart"/>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观测角</w:t>
            </w:r>
          </w:p>
        </w:tc>
        <w:tc>
          <w:tcPr>
            <w:tcW w:w="708"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入射角</w:t>
            </w:r>
          </w:p>
        </w:tc>
        <w:tc>
          <w:tcPr>
            <w:tcW w:w="5324" w:type="dxa"/>
            <w:gridSpan w:val="5"/>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最小逆反射系数[cd/(lx·m</w:t>
            </w:r>
            <w:r>
              <w:rPr>
                <w:rFonts w:ascii="宋体" w:hAnsi="宋体"/>
                <w:color w:val="auto"/>
                <w:vertAlign w:val="superscript"/>
              </w:rPr>
              <w:t>2</w:t>
            </w:r>
            <w:r>
              <w:rPr>
                <w:rFonts w:ascii="宋体" w:hAnsi="宋体"/>
                <w:color w:val="auto"/>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649" w:type="dxa"/>
            <w:vMerge w:val="continue"/>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黄色</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红色</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绿色</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蓝色</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8</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3.5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6</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2.5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1.2</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20′</w:t>
            </w: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21</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11</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4.2</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7</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0.8</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0.6</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restart"/>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w:t>
            </w: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0.8</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0.5</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2.5</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1.3</w:t>
            </w:r>
          </w:p>
        </w:tc>
        <w:tc>
          <w:tcPr>
            <w:tcW w:w="1134"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0.5</w:t>
            </w:r>
          </w:p>
        </w:tc>
        <w:tc>
          <w:tcPr>
            <w:tcW w:w="9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w:t>
            </w:r>
          </w:p>
        </w:tc>
        <w:tc>
          <w:tcPr>
            <w:tcW w:w="929"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49"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708"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40°</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1.5</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0.6</w:t>
            </w:r>
          </w:p>
        </w:tc>
        <w:tc>
          <w:tcPr>
            <w:tcW w:w="1134"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0.3</w:t>
            </w:r>
          </w:p>
        </w:tc>
        <w:tc>
          <w:tcPr>
            <w:tcW w:w="993"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0.1</w:t>
            </w:r>
          </w:p>
        </w:tc>
        <w:tc>
          <w:tcPr>
            <w:tcW w:w="929" w:type="dxa"/>
            <w:tcBorders>
              <w:top w:val="single" w:color="auto" w:sz="4" w:space="0"/>
              <w:left w:val="single" w:color="auto" w:sz="4" w:space="0"/>
              <w:bottom w:val="single" w:color="auto" w:sz="8" w:space="0"/>
              <w:right w:val="single" w:color="auto" w:sz="8" w:space="0"/>
            </w:tcBorders>
            <w:vAlign w:val="center"/>
          </w:tcPr>
          <w:p>
            <w:pPr>
              <w:pStyle w:val="1286"/>
              <w:rPr>
                <w:rFonts w:ascii="宋体" w:hAnsi="宋体"/>
                <w:color w:val="auto"/>
              </w:rPr>
            </w:pPr>
          </w:p>
        </w:tc>
      </w:tr>
    </w:tbl>
    <w:p>
      <w:pPr>
        <w:pStyle w:val="1280"/>
        <w:ind w:firstLine="440"/>
        <w:jc w:val="center"/>
        <w:rPr>
          <w:rFonts w:ascii="宋体"/>
        </w:rPr>
      </w:pPr>
      <w:r>
        <w:rPr>
          <w:rFonts w:ascii="宋体"/>
        </w:rPr>
        <w:t>表4-5-6反射器的反光性能</w:t>
      </w:r>
    </w:p>
    <w:tbl>
      <w:tblPr>
        <w:tblStyle w:val="77"/>
        <w:tblW w:w="814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024"/>
        <w:gridCol w:w="661"/>
        <w:gridCol w:w="848"/>
        <w:gridCol w:w="907"/>
        <w:gridCol w:w="997"/>
        <w:gridCol w:w="1093"/>
        <w:gridCol w:w="540"/>
        <w:gridCol w:w="721"/>
        <w:gridCol w:w="733"/>
        <w:gridCol w:w="62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79" w:hRule="exact"/>
          <w:jc w:val="center"/>
        </w:trPr>
        <w:tc>
          <w:tcPr>
            <w:tcW w:w="1024" w:type="dxa"/>
            <w:vMerge w:val="restart"/>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反射器直径</w:t>
            </w:r>
          </w:p>
          <w:p>
            <w:pPr>
              <w:pStyle w:val="1286"/>
              <w:rPr>
                <w:rFonts w:ascii="宋体" w:hAnsi="宋体"/>
                <w:color w:val="auto"/>
              </w:rPr>
            </w:pPr>
            <w:r>
              <w:rPr>
                <w:rFonts w:ascii="宋体" w:hAnsi="宋体"/>
                <w:color w:val="auto"/>
              </w:rPr>
              <w:t>(mm)</w:t>
            </w:r>
          </w:p>
        </w:tc>
        <w:tc>
          <w:tcPr>
            <w:tcW w:w="661"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颜色</w:t>
            </w:r>
          </w:p>
        </w:tc>
        <w:tc>
          <w:tcPr>
            <w:tcW w:w="848"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观测角</w:t>
            </w:r>
          </w:p>
        </w:tc>
        <w:tc>
          <w:tcPr>
            <w:tcW w:w="1904" w:type="dxa"/>
            <w:gridSpan w:val="2"/>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发光强度系数</w:t>
            </w:r>
          </w:p>
          <w:p>
            <w:pPr>
              <w:pStyle w:val="1286"/>
              <w:rPr>
                <w:rFonts w:ascii="宋体" w:hAnsi="宋体"/>
                <w:color w:val="auto"/>
              </w:rPr>
            </w:pPr>
            <w:r>
              <w:rPr>
                <w:rFonts w:ascii="宋体" w:hAnsi="宋体"/>
                <w:color w:val="auto"/>
              </w:rPr>
              <w:t>(cd/1x)</w:t>
            </w:r>
          </w:p>
        </w:tc>
        <w:tc>
          <w:tcPr>
            <w:tcW w:w="1093"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反射器直径</w:t>
            </w:r>
          </w:p>
          <w:p>
            <w:pPr>
              <w:pStyle w:val="1286"/>
              <w:rPr>
                <w:rFonts w:ascii="宋体" w:hAnsi="宋体"/>
                <w:color w:val="auto"/>
              </w:rPr>
            </w:pPr>
            <w:r>
              <w:rPr>
                <w:rFonts w:ascii="宋体" w:hAnsi="宋体"/>
                <w:color w:val="auto"/>
              </w:rPr>
              <w:t>(mm)</w:t>
            </w:r>
          </w:p>
        </w:tc>
        <w:tc>
          <w:tcPr>
            <w:tcW w:w="540"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颜色</w:t>
            </w:r>
          </w:p>
          <w:p>
            <w:pPr>
              <w:pStyle w:val="1286"/>
              <w:rPr>
                <w:rFonts w:ascii="宋体" w:hAnsi="宋体"/>
                <w:color w:val="auto"/>
              </w:rPr>
            </w:pPr>
          </w:p>
        </w:tc>
        <w:tc>
          <w:tcPr>
            <w:tcW w:w="721" w:type="dxa"/>
            <w:vMerge w:val="restart"/>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观测角</w:t>
            </w:r>
          </w:p>
          <w:p>
            <w:pPr>
              <w:pStyle w:val="1286"/>
              <w:rPr>
                <w:rFonts w:ascii="宋体" w:hAnsi="宋体"/>
                <w:color w:val="auto"/>
              </w:rPr>
            </w:pPr>
          </w:p>
        </w:tc>
        <w:tc>
          <w:tcPr>
            <w:tcW w:w="1357" w:type="dxa"/>
            <w:gridSpan w:val="2"/>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发光强度系数</w:t>
            </w:r>
          </w:p>
          <w:p>
            <w:pPr>
              <w:pStyle w:val="1286"/>
              <w:rPr>
                <w:rFonts w:ascii="宋体" w:hAnsi="宋体"/>
                <w:color w:val="auto"/>
              </w:rPr>
            </w:pPr>
            <w:r>
              <w:rPr>
                <w:rFonts w:ascii="宋体" w:hAnsi="宋体"/>
                <w:color w:val="auto"/>
              </w:rPr>
              <w:t>(cd/lx)</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024" w:type="dxa"/>
            <w:vMerge w:val="continue"/>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661"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848"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904" w:type="dxa"/>
            <w:gridSpan w:val="2"/>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入射角</w:t>
            </w:r>
          </w:p>
        </w:tc>
        <w:tc>
          <w:tcPr>
            <w:tcW w:w="1093"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540"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21"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1357" w:type="dxa"/>
            <w:gridSpan w:val="2"/>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入射角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024" w:type="dxa"/>
            <w:vMerge w:val="continue"/>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661"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848"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90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99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15°</w:t>
            </w:r>
          </w:p>
        </w:tc>
        <w:tc>
          <w:tcPr>
            <w:tcW w:w="1093"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540"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21" w:type="dxa"/>
            <w:vMerge w:val="continue"/>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p>
        </w:tc>
        <w:tc>
          <w:tcPr>
            <w:tcW w:w="73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624"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43" w:hRule="exact"/>
          <w:jc w:val="center"/>
        </w:trPr>
        <w:tc>
          <w:tcPr>
            <w:tcW w:w="1024" w:type="dxa"/>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13±l</w:t>
            </w:r>
          </w:p>
        </w:tc>
        <w:tc>
          <w:tcPr>
            <w:tcW w:w="66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w:t>
            </w:r>
          </w:p>
        </w:tc>
        <w:tc>
          <w:tcPr>
            <w:tcW w:w="84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r>
              <w:rPr>
                <w:rFonts w:ascii="宋体" w:hAnsi="宋体"/>
                <w:color w:val="auto"/>
                <w:spacing w:val="-40"/>
              </w:rPr>
              <w:t>2 ′</w:t>
            </w:r>
          </w:p>
        </w:tc>
        <w:tc>
          <w:tcPr>
            <w:tcW w:w="90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0.209</w:t>
            </w:r>
          </w:p>
        </w:tc>
        <w:tc>
          <w:tcPr>
            <w:tcW w:w="99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0.119</w:t>
            </w:r>
          </w:p>
        </w:tc>
        <w:tc>
          <w:tcPr>
            <w:tcW w:w="10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32±1</w:t>
            </w:r>
          </w:p>
        </w:tc>
        <w:tc>
          <w:tcPr>
            <w:tcW w:w="54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w:t>
            </w:r>
          </w:p>
        </w:tc>
        <w:tc>
          <w:tcPr>
            <w:tcW w:w="72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spacing w:val="-40"/>
              </w:rPr>
              <w:t xml:space="preserve"> </w:t>
            </w:r>
            <w:r>
              <w:rPr>
                <w:rFonts w:ascii="宋体" w:hAnsi="宋体"/>
                <w:color w:val="auto"/>
              </w:rPr>
              <w:t>1</w:t>
            </w:r>
            <w:r>
              <w:rPr>
                <w:rFonts w:ascii="宋体" w:hAnsi="宋体"/>
                <w:color w:val="auto"/>
                <w:spacing w:val="-40"/>
              </w:rPr>
              <w:t>2 ′</w:t>
            </w:r>
          </w:p>
        </w:tc>
        <w:tc>
          <w:tcPr>
            <w:tcW w:w="73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0.820</w:t>
            </w:r>
          </w:p>
        </w:tc>
        <w:tc>
          <w:tcPr>
            <w:tcW w:w="624"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0.469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9" w:hRule="exact"/>
          <w:jc w:val="center"/>
        </w:trPr>
        <w:tc>
          <w:tcPr>
            <w:tcW w:w="1024" w:type="dxa"/>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16±1</w:t>
            </w:r>
          </w:p>
        </w:tc>
        <w:tc>
          <w:tcPr>
            <w:tcW w:w="66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w:t>
            </w:r>
          </w:p>
        </w:tc>
        <w:tc>
          <w:tcPr>
            <w:tcW w:w="84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r>
              <w:rPr>
                <w:rFonts w:ascii="宋体" w:hAnsi="宋体"/>
                <w:color w:val="auto"/>
                <w:spacing w:val="-40"/>
              </w:rPr>
              <w:t>2 ′</w:t>
            </w:r>
          </w:p>
        </w:tc>
        <w:tc>
          <w:tcPr>
            <w:tcW w:w="90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0.236</w:t>
            </w:r>
          </w:p>
        </w:tc>
        <w:tc>
          <w:tcPr>
            <w:tcW w:w="997"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0.135</w:t>
            </w:r>
          </w:p>
        </w:tc>
        <w:tc>
          <w:tcPr>
            <w:tcW w:w="109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41±1</w:t>
            </w:r>
          </w:p>
        </w:tc>
        <w:tc>
          <w:tcPr>
            <w:tcW w:w="54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w:t>
            </w:r>
          </w:p>
        </w:tc>
        <w:tc>
          <w:tcPr>
            <w:tcW w:w="72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 xml:space="preserve"> 1</w:t>
            </w:r>
            <w:r>
              <w:rPr>
                <w:rFonts w:ascii="宋体" w:hAnsi="宋体"/>
                <w:color w:val="auto"/>
                <w:spacing w:val="-40"/>
              </w:rPr>
              <w:t>2 ′</w:t>
            </w:r>
          </w:p>
        </w:tc>
        <w:tc>
          <w:tcPr>
            <w:tcW w:w="73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1.320</w:t>
            </w:r>
          </w:p>
        </w:tc>
        <w:tc>
          <w:tcPr>
            <w:tcW w:w="624"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0.754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15" w:hRule="exact"/>
          <w:jc w:val="center"/>
        </w:trPr>
        <w:tc>
          <w:tcPr>
            <w:tcW w:w="1024" w:type="dxa"/>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22±1</w:t>
            </w:r>
          </w:p>
        </w:tc>
        <w:tc>
          <w:tcPr>
            <w:tcW w:w="661"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白</w:t>
            </w:r>
          </w:p>
        </w:tc>
        <w:tc>
          <w:tcPr>
            <w:tcW w:w="848"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w:t>
            </w:r>
            <w:r>
              <w:rPr>
                <w:rFonts w:ascii="宋体" w:hAnsi="宋体"/>
                <w:color w:val="auto"/>
                <w:spacing w:val="-40"/>
              </w:rPr>
              <w:t>2 ′</w:t>
            </w:r>
          </w:p>
        </w:tc>
        <w:tc>
          <w:tcPr>
            <w:tcW w:w="907"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0.392</w:t>
            </w:r>
          </w:p>
        </w:tc>
        <w:tc>
          <w:tcPr>
            <w:tcW w:w="997"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0.224</w:t>
            </w:r>
          </w:p>
        </w:tc>
        <w:tc>
          <w:tcPr>
            <w:tcW w:w="1093"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p>
        </w:tc>
        <w:tc>
          <w:tcPr>
            <w:tcW w:w="540"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p>
        </w:tc>
        <w:tc>
          <w:tcPr>
            <w:tcW w:w="721"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1</w:t>
            </w:r>
            <w:r>
              <w:rPr>
                <w:rFonts w:ascii="宋体" w:hAnsi="宋体"/>
                <w:color w:val="auto"/>
                <w:spacing w:val="-40"/>
              </w:rPr>
              <w:t>2 ′</w:t>
            </w:r>
          </w:p>
        </w:tc>
        <w:tc>
          <w:tcPr>
            <w:tcW w:w="733"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p>
        </w:tc>
        <w:tc>
          <w:tcPr>
            <w:tcW w:w="624" w:type="dxa"/>
            <w:tcBorders>
              <w:top w:val="single" w:color="auto" w:sz="4" w:space="0"/>
              <w:left w:val="single" w:color="auto" w:sz="4" w:space="0"/>
              <w:bottom w:val="single" w:color="auto" w:sz="8" w:space="0"/>
              <w:right w:val="single" w:color="auto" w:sz="8" w:space="0"/>
            </w:tcBorders>
            <w:vAlign w:val="center"/>
          </w:tcPr>
          <w:p>
            <w:pPr>
              <w:pStyle w:val="1286"/>
              <w:rPr>
                <w:rFonts w:ascii="宋体" w:hAnsi="宋体"/>
                <w:color w:val="auto"/>
              </w:rPr>
            </w:pPr>
          </w:p>
        </w:tc>
      </w:tr>
    </w:tbl>
    <w:p>
      <w:pPr>
        <w:pStyle w:val="1280"/>
        <w:ind w:firstLine="440"/>
        <w:jc w:val="center"/>
        <w:rPr>
          <w:rFonts w:ascii="宋体"/>
        </w:rPr>
      </w:pPr>
      <w:r>
        <w:rPr>
          <w:rFonts w:ascii="宋体"/>
        </w:rPr>
        <w:t>表4-5-7安全色和对比色各角点的色品坐标</w:t>
      </w:r>
    </w:p>
    <w:tbl>
      <w:tblPr>
        <w:tblStyle w:val="77"/>
        <w:tblW w:w="79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02"/>
        <w:gridCol w:w="480"/>
        <w:gridCol w:w="1712"/>
        <w:gridCol w:w="1435"/>
        <w:gridCol w:w="1465"/>
        <w:gridCol w:w="1509"/>
        <w:gridCol w:w="87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982" w:type="dxa"/>
            <w:gridSpan w:val="2"/>
            <w:vMerge w:val="restart"/>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点坐标</w:t>
            </w:r>
          </w:p>
          <w:p>
            <w:pPr>
              <w:pStyle w:val="1286"/>
              <w:rPr>
                <w:rFonts w:ascii="宋体" w:hAnsi="宋体"/>
                <w:color w:val="auto"/>
              </w:rPr>
            </w:pPr>
            <w:r>
              <w:rPr>
                <w:rFonts w:ascii="宋体" w:hAnsi="宋体"/>
                <w:color w:val="auto"/>
              </w:rPr>
              <w:t>颜色</w:t>
            </w:r>
          </w:p>
        </w:tc>
        <w:tc>
          <w:tcPr>
            <w:tcW w:w="6125" w:type="dxa"/>
            <w:gridSpan w:val="4"/>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色品坐标</w:t>
            </w:r>
          </w:p>
        </w:tc>
        <w:tc>
          <w:tcPr>
            <w:tcW w:w="877" w:type="dxa"/>
            <w:vMerge w:val="restart"/>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亮度因数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1462" w:type="dxa"/>
            <w:gridSpan w:val="2"/>
            <w:vMerge w:val="continue"/>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x        y</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x        y</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x        y</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x        y</w:t>
            </w:r>
          </w:p>
        </w:tc>
        <w:tc>
          <w:tcPr>
            <w:tcW w:w="877" w:type="dxa"/>
            <w:vMerge w:val="continue"/>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502" w:type="dxa"/>
            <w:vMerge w:val="restart"/>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表</w:t>
            </w:r>
          </w:p>
          <w:p>
            <w:pPr>
              <w:pStyle w:val="1286"/>
              <w:rPr>
                <w:rFonts w:ascii="宋体" w:hAnsi="宋体"/>
                <w:color w:val="auto"/>
              </w:rPr>
            </w:pPr>
            <w:r>
              <w:rPr>
                <w:rFonts w:ascii="宋体" w:hAnsi="宋体"/>
                <w:color w:val="auto"/>
              </w:rPr>
              <w:t>面</w:t>
            </w:r>
          </w:p>
          <w:p>
            <w:pPr>
              <w:pStyle w:val="1286"/>
              <w:rPr>
                <w:rFonts w:ascii="宋体" w:hAnsi="宋体"/>
                <w:color w:val="auto"/>
              </w:rPr>
            </w:pPr>
            <w:r>
              <w:rPr>
                <w:rFonts w:ascii="宋体" w:hAnsi="宋体"/>
                <w:color w:val="auto"/>
              </w:rPr>
              <w:t>色</w:t>
            </w: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0.350     0.360</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0.300     0.310</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0.290     0.320</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0.340     0.370</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w:t>
            </w:r>
            <w:r>
              <w:rPr>
                <w:rFonts w:hint="eastAsia" w:ascii="宋体" w:hAnsi="宋体"/>
                <w:color w:val="auto"/>
              </w:rPr>
              <w:t>0.</w:t>
            </w:r>
            <w:r>
              <w:rPr>
                <w:rFonts w:ascii="宋体" w:hAnsi="宋体"/>
                <w:color w:val="auto"/>
              </w:rPr>
              <w:t>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黄</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0.531     0.468</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0.464     0.534</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0.428     0.483</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0.477     0.433</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≥0.45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红</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0.690     0.310</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0.658      0.342</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0.569     0.341</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0.595     0.315</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≥0.07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绿</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0.230     0.754</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0.013     0.486</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0.209     0.383</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0.291     0.440</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蓝</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0.078     0.170</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0.137     0.038</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0.240     0.210</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0.198     0.252</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黑</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0.385     0.355</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0.300     0.270</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0.260     0.310</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0.345     0.395</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≥0.03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502" w:type="dxa"/>
            <w:vMerge w:val="restart"/>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逆反</w:t>
            </w:r>
          </w:p>
          <w:p>
            <w:pPr>
              <w:pStyle w:val="1286"/>
              <w:rPr>
                <w:rFonts w:ascii="宋体" w:hAnsi="宋体"/>
                <w:color w:val="auto"/>
              </w:rPr>
            </w:pPr>
            <w:r>
              <w:rPr>
                <w:rFonts w:ascii="宋体" w:hAnsi="宋体"/>
                <w:color w:val="auto"/>
              </w:rPr>
              <w:t>射材</w:t>
            </w:r>
          </w:p>
          <w:p>
            <w:pPr>
              <w:pStyle w:val="1286"/>
              <w:rPr>
                <w:rFonts w:ascii="宋体" w:hAnsi="宋体"/>
                <w:color w:val="auto"/>
              </w:rPr>
            </w:pPr>
            <w:r>
              <w:rPr>
                <w:rFonts w:ascii="宋体" w:hAnsi="宋体"/>
                <w:color w:val="auto"/>
              </w:rPr>
              <w:t>料色</w:t>
            </w: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白</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0.350     0.360</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0.300     0.310</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0.285     0.325</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0.335     0.375</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≥0.27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黄</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0.545     0.454</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0.464     0.534</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0.427     0.483</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0.487     0.423</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红</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0.690     0.310</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0.658     0.342</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0.569     0.341</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0.595     0.315</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≥0.03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绿</w:t>
            </w:r>
          </w:p>
        </w:tc>
        <w:tc>
          <w:tcPr>
            <w:tcW w:w="1713"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0.007     0.7D3</w:t>
            </w:r>
          </w:p>
        </w:tc>
        <w:tc>
          <w:tcPr>
            <w:tcW w:w="143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0.026     0.399</w:t>
            </w:r>
          </w:p>
        </w:tc>
        <w:tc>
          <w:tcPr>
            <w:tcW w:w="1466"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0.177     0.362</w:t>
            </w:r>
          </w:p>
        </w:tc>
        <w:tc>
          <w:tcPr>
            <w:tcW w:w="1510"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0.248     0.409</w:t>
            </w:r>
          </w:p>
        </w:tc>
        <w:tc>
          <w:tcPr>
            <w:tcW w:w="877"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≥0.03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982" w:type="dxa"/>
            <w:vMerge w:val="continue"/>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p>
        </w:tc>
        <w:tc>
          <w:tcPr>
            <w:tcW w:w="480"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蓝</w:t>
            </w:r>
          </w:p>
        </w:tc>
        <w:tc>
          <w:tcPr>
            <w:tcW w:w="1713"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0.078     0.170</w:t>
            </w:r>
          </w:p>
        </w:tc>
        <w:tc>
          <w:tcPr>
            <w:tcW w:w="1436"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0.137     0.038</w:t>
            </w:r>
          </w:p>
        </w:tc>
        <w:tc>
          <w:tcPr>
            <w:tcW w:w="1466"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0.210     0.160</w:t>
            </w:r>
          </w:p>
        </w:tc>
        <w:tc>
          <w:tcPr>
            <w:tcW w:w="1510"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0.150     0.220</w:t>
            </w:r>
          </w:p>
        </w:tc>
        <w:tc>
          <w:tcPr>
            <w:tcW w:w="877" w:type="dxa"/>
            <w:tcBorders>
              <w:top w:val="single" w:color="auto" w:sz="4" w:space="0"/>
              <w:left w:val="single" w:color="auto" w:sz="4" w:space="0"/>
              <w:bottom w:val="single" w:color="auto" w:sz="8" w:space="0"/>
              <w:right w:val="single" w:color="auto" w:sz="8" w:space="0"/>
            </w:tcBorders>
            <w:vAlign w:val="center"/>
          </w:tcPr>
          <w:p>
            <w:pPr>
              <w:pStyle w:val="1286"/>
              <w:rPr>
                <w:rFonts w:ascii="宋体" w:hAnsi="宋体"/>
                <w:color w:val="auto"/>
              </w:rPr>
            </w:pPr>
            <w:r>
              <w:rPr>
                <w:rFonts w:ascii="宋体" w:hAnsi="宋体"/>
                <w:color w:val="auto"/>
              </w:rPr>
              <w:t>≥0.01</w:t>
            </w:r>
          </w:p>
        </w:tc>
      </w:tr>
    </w:tbl>
    <w:p>
      <w:pPr>
        <w:pStyle w:val="1280"/>
        <w:ind w:firstLine="440"/>
        <w:rPr>
          <w:rFonts w:ascii="宋体"/>
        </w:rPr>
      </w:pPr>
      <w:r>
        <w:rPr>
          <w:rFonts w:hint="eastAsia" w:ascii="宋体"/>
        </w:rPr>
        <w:t>4）</w:t>
      </w:r>
      <w:r>
        <w:rPr>
          <w:rFonts w:ascii="宋体"/>
        </w:rPr>
        <w:t>耐盐雾腐蚀性能</w:t>
      </w:r>
    </w:p>
    <w:p>
      <w:pPr>
        <w:pStyle w:val="1280"/>
        <w:ind w:firstLine="440"/>
        <w:rPr>
          <w:rFonts w:ascii="宋体"/>
        </w:rPr>
      </w:pPr>
      <w:r>
        <w:rPr>
          <w:rFonts w:ascii="宋体"/>
        </w:rPr>
        <w:t>标志面应按《道路交通标志板及支撑件》（GB/T 23827-2009）的规定进行盐雾腐蚀试验。试样在盐雾空间连续暴露，22h为一周期，共试验5个周期。试验结束后，用流动水轻轻洗去试样表面的盐沉积物，再用蒸馏水漂洗，然后置于标准条件下恢复2h，最后进行检查，标志面材料应无变色或被侵蚀的痕迹。</w:t>
      </w:r>
    </w:p>
    <w:p>
      <w:pPr>
        <w:pStyle w:val="1280"/>
        <w:ind w:firstLine="440"/>
        <w:rPr>
          <w:rFonts w:ascii="宋体"/>
        </w:rPr>
      </w:pPr>
      <w:r>
        <w:rPr>
          <w:rFonts w:hint="eastAsia" w:ascii="宋体"/>
        </w:rPr>
        <w:t>5）</w:t>
      </w:r>
      <w:r>
        <w:rPr>
          <w:rFonts w:ascii="宋体"/>
        </w:rPr>
        <w:t>耐溶剂性能</w:t>
      </w:r>
    </w:p>
    <w:p>
      <w:pPr>
        <w:pStyle w:val="1280"/>
        <w:ind w:firstLine="440"/>
        <w:rPr>
          <w:rFonts w:ascii="宋体"/>
        </w:rPr>
      </w:pPr>
      <w:r>
        <w:rPr>
          <w:rFonts w:ascii="宋体"/>
        </w:rPr>
        <w:t>反光膜应按《道路交通标志板及支撑件》（GB/T 23827-2009）的规定进行溶剂试验。试样分别浸在规定的各种溶剂中，煤油、松节油浸渍10h；甲苯、二甲苯、甲醇浸渍1h后取出，在室温下干燥后进行检查，不应出现软化、皱纹、起泡、开裂或表面边缘被溶解等痕迹。</w:t>
      </w:r>
    </w:p>
    <w:p>
      <w:pPr>
        <w:pStyle w:val="1280"/>
        <w:ind w:firstLine="440"/>
        <w:rPr>
          <w:rFonts w:ascii="宋体"/>
        </w:rPr>
      </w:pPr>
      <w:r>
        <w:rPr>
          <w:rFonts w:hint="eastAsia" w:ascii="宋体"/>
        </w:rPr>
        <w:t>6）</w:t>
      </w:r>
      <w:r>
        <w:rPr>
          <w:rFonts w:ascii="宋体"/>
        </w:rPr>
        <w:t>抗冲击性能</w:t>
      </w:r>
    </w:p>
    <w:p>
      <w:pPr>
        <w:pStyle w:val="1280"/>
        <w:ind w:firstLine="440"/>
        <w:rPr>
          <w:rFonts w:ascii="宋体"/>
        </w:rPr>
      </w:pPr>
      <w:r>
        <w:rPr>
          <w:rFonts w:ascii="宋体"/>
        </w:rPr>
        <w:t>标志面应按《道路交通标志板及支撑件》（GB/T 23827-2009）的规定进行冲击试验，标志面在经受质量0.45kg的实心钢球从250mm高处自由落下撞击后，以冲击点为圆心，在半径为6mm的圆形区域以外，不应出现裂缝、层间脱离或其他损坏。</w:t>
      </w:r>
    </w:p>
    <w:p>
      <w:pPr>
        <w:pStyle w:val="1280"/>
        <w:ind w:firstLine="440"/>
        <w:rPr>
          <w:rFonts w:ascii="宋体"/>
        </w:rPr>
      </w:pPr>
      <w:r>
        <w:rPr>
          <w:rFonts w:hint="eastAsia" w:ascii="宋体"/>
        </w:rPr>
        <w:t>7）</w:t>
      </w:r>
      <w:r>
        <w:rPr>
          <w:rFonts w:ascii="宋体"/>
        </w:rPr>
        <w:t>耐弯曲性能</w:t>
      </w:r>
    </w:p>
    <w:p>
      <w:pPr>
        <w:pStyle w:val="1280"/>
        <w:ind w:firstLine="440"/>
        <w:rPr>
          <w:rFonts w:ascii="宋体"/>
        </w:rPr>
      </w:pPr>
      <w:r>
        <w:rPr>
          <w:rFonts w:ascii="宋体"/>
        </w:rPr>
        <w:t>四、五级反光膜应按《道路交通标志板及支撑件》（GB/T 23827-2009）的规定进行弯曲试验。试样围绕在直径3.2mm的圆棒上，放开后不应出现裂缝、剥落、层间分离的痕迹。</w:t>
      </w:r>
    </w:p>
    <w:p>
      <w:pPr>
        <w:pStyle w:val="1280"/>
        <w:ind w:firstLine="440"/>
        <w:rPr>
          <w:rFonts w:ascii="宋体"/>
        </w:rPr>
      </w:pPr>
      <w:r>
        <w:rPr>
          <w:rFonts w:hint="eastAsia" w:ascii="宋体"/>
        </w:rPr>
        <w:t>8）</w:t>
      </w:r>
      <w:r>
        <w:rPr>
          <w:rFonts w:ascii="宋体"/>
        </w:rPr>
        <w:t>耐高低温性能</w:t>
      </w:r>
    </w:p>
    <w:p>
      <w:pPr>
        <w:pStyle w:val="1280"/>
        <w:ind w:firstLine="440"/>
        <w:rPr>
          <w:rFonts w:ascii="宋体"/>
        </w:rPr>
      </w:pPr>
      <w:r>
        <w:rPr>
          <w:rFonts w:ascii="宋体"/>
        </w:rPr>
        <w:t>标志面应按《道路交通标志板及支撑件》（GB/T 23827-2009）的规定进行高温试验和低温试验，将试样在70</w:t>
      </w:r>
      <w:r>
        <w:rPr>
          <w:rFonts w:hint="eastAsia" w:ascii="宋体" w:cs="宋体"/>
        </w:rPr>
        <w:t>℃</w:t>
      </w:r>
      <w:r>
        <w:rPr>
          <w:rFonts w:ascii="宋体"/>
        </w:rPr>
        <w:t>±3的试验箱中保持24h，以及试样在-40</w:t>
      </w:r>
      <w:r>
        <w:rPr>
          <w:rFonts w:hint="eastAsia" w:ascii="宋体" w:cs="宋体"/>
        </w:rPr>
        <w:t>℃</w:t>
      </w:r>
      <w:r>
        <w:rPr>
          <w:rFonts w:ascii="宋体"/>
        </w:rPr>
        <w:t>±3的试验箱中保持72h，取出在标准条件下放置2h后进行检查，不应有裂缝、剥落、碎裂或翘曲的痕迹。</w:t>
      </w:r>
    </w:p>
    <w:p>
      <w:pPr>
        <w:pStyle w:val="1280"/>
        <w:ind w:firstLine="440"/>
        <w:rPr>
          <w:rFonts w:ascii="宋体"/>
        </w:rPr>
      </w:pPr>
      <w:r>
        <w:rPr>
          <w:rFonts w:hint="eastAsia" w:ascii="宋体"/>
        </w:rPr>
        <w:t>9）</w:t>
      </w:r>
      <w:r>
        <w:rPr>
          <w:rFonts w:ascii="宋体"/>
        </w:rPr>
        <w:t>附着性能</w:t>
      </w:r>
    </w:p>
    <w:p>
      <w:pPr>
        <w:pStyle w:val="1280"/>
        <w:ind w:firstLine="440"/>
        <w:rPr>
          <w:rFonts w:ascii="宋体"/>
        </w:rPr>
      </w:pPr>
      <w:r>
        <w:rPr>
          <w:rFonts w:ascii="宋体"/>
        </w:rPr>
        <w:t>反光膜和反光涂料应按《道路交通标志板及支撑件》（GB/T 23827-2009）的规定进行附着性能的试验。反光膜粘贴在铝合金板上，制成试样后，使试样水平悬挂，标志面朝下，将0.8kg的重物用夹具悬挂在反光膜的端部，使与试验板面成90°角，下垂5min后，测出反光膜被剥离的长度不应大于50mm。</w:t>
      </w:r>
    </w:p>
    <w:p>
      <w:pPr>
        <w:pStyle w:val="1280"/>
        <w:ind w:firstLine="440"/>
        <w:rPr>
          <w:rFonts w:ascii="宋体"/>
        </w:rPr>
      </w:pPr>
      <w:r>
        <w:rPr>
          <w:rFonts w:ascii="宋体"/>
        </w:rPr>
        <w:t>涂料对标志板的附着性能试验按《漆膜附着力测定法》(GB 1720-1979)的规定进行，并应达到试验标准三级以上的要求。</w:t>
      </w:r>
    </w:p>
    <w:p>
      <w:pPr>
        <w:pStyle w:val="1280"/>
        <w:ind w:firstLine="440"/>
        <w:rPr>
          <w:rFonts w:ascii="宋体"/>
        </w:rPr>
      </w:pPr>
      <w:r>
        <w:rPr>
          <w:rFonts w:ascii="宋体"/>
        </w:rPr>
        <w:t>油墨对反光膜的附着性能试验按《凹版装潢印刷品》(GB/T 7707-2008)中有关墨层结合牢度的试验方法进行，标志面上油墨的墨层结合牢度应大于或等于95%。</w:t>
      </w:r>
    </w:p>
    <w:p>
      <w:pPr>
        <w:pStyle w:val="1280"/>
        <w:ind w:firstLine="440"/>
        <w:rPr>
          <w:rFonts w:ascii="宋体"/>
        </w:rPr>
      </w:pPr>
      <w:r>
        <w:rPr>
          <w:rFonts w:hint="eastAsia" w:ascii="宋体"/>
        </w:rPr>
        <w:t>（6）</w:t>
      </w:r>
      <w:r>
        <w:rPr>
          <w:rFonts w:ascii="宋体"/>
        </w:rPr>
        <w:t>立柱、横梁扣件、结合件和连接件等配件应采用符合图纸要求的材料，并应采用热浸镀锌进行金属表面处理，镀锌量参照表802-1的规定。当接触的金属材料不同时，应铺设绝缘材料，以防止电解腐蚀。</w:t>
      </w:r>
    </w:p>
    <w:p>
      <w:pPr>
        <w:pStyle w:val="1280"/>
        <w:ind w:firstLine="440"/>
        <w:rPr>
          <w:rFonts w:ascii="宋体"/>
        </w:rPr>
      </w:pPr>
      <w:r>
        <w:rPr>
          <w:rFonts w:hint="eastAsia" w:ascii="宋体"/>
        </w:rPr>
        <w:t>（7）</w:t>
      </w:r>
      <w:r>
        <w:rPr>
          <w:rFonts w:ascii="宋体"/>
        </w:rPr>
        <w:t xml:space="preserve">信号灯严格按照GB14886-2006及GB14887-2003来组织实施，其技术要求如下： </w:t>
      </w:r>
    </w:p>
    <w:p>
      <w:pPr>
        <w:pStyle w:val="1280"/>
        <w:ind w:firstLine="440"/>
        <w:rPr>
          <w:rFonts w:ascii="宋体"/>
        </w:rPr>
      </w:pPr>
      <w:r>
        <w:rPr>
          <w:rFonts w:ascii="宋体"/>
        </w:rPr>
        <w:t>a</w:t>
      </w:r>
      <w:r>
        <w:rPr>
          <w:rFonts w:hint="eastAsia" w:ascii="宋体"/>
        </w:rPr>
        <w:t>、</w:t>
      </w:r>
      <w:r>
        <w:rPr>
          <w:rFonts w:ascii="宋体"/>
        </w:rPr>
        <w:t>机动车信号灯规格为Φ400三灯三色箭头灯，行人信号灯规格为Φ300动态灯。至少8相位液晶控制仪。</w:t>
      </w:r>
    </w:p>
    <w:p>
      <w:pPr>
        <w:pStyle w:val="1280"/>
        <w:ind w:firstLine="440"/>
        <w:rPr>
          <w:rFonts w:ascii="宋体"/>
        </w:rPr>
      </w:pPr>
      <w:r>
        <w:rPr>
          <w:rFonts w:ascii="宋体"/>
        </w:rPr>
        <w:t>b</w:t>
      </w:r>
      <w:r>
        <w:rPr>
          <w:rFonts w:hint="eastAsia" w:ascii="宋体"/>
        </w:rPr>
        <w:t>、</w:t>
      </w:r>
      <w:r>
        <w:rPr>
          <w:rFonts w:ascii="宋体"/>
        </w:rPr>
        <w:t xml:space="preserve">控制电缆须采用一灯一线制，所有控制电缆（包括电源电缆）均须采用铠装电缆，地下敷设电缆严禁有接头。 </w:t>
      </w:r>
    </w:p>
    <w:p>
      <w:pPr>
        <w:pStyle w:val="1280"/>
        <w:ind w:firstLine="440"/>
        <w:rPr>
          <w:rFonts w:ascii="宋体"/>
        </w:rPr>
      </w:pPr>
      <w:r>
        <w:rPr>
          <w:rFonts w:ascii="宋体"/>
        </w:rPr>
        <w:t>c</w:t>
      </w:r>
      <w:r>
        <w:rPr>
          <w:rFonts w:hint="eastAsia" w:ascii="宋体"/>
        </w:rPr>
        <w:t>、</w:t>
      </w:r>
      <w:r>
        <w:rPr>
          <w:rFonts w:ascii="宋体"/>
        </w:rPr>
        <w:t xml:space="preserve">地埋管线转弯处、灯杆处、机箱处均须设置窨井，规格为Φ800×700，井盖强度≥15MPa，并应有交通设施专用标记。 </w:t>
      </w:r>
    </w:p>
    <w:p>
      <w:pPr>
        <w:pStyle w:val="1280"/>
        <w:ind w:firstLine="440"/>
        <w:rPr>
          <w:rFonts w:ascii="宋体"/>
        </w:rPr>
      </w:pPr>
      <w:r>
        <w:rPr>
          <w:rFonts w:ascii="宋体"/>
        </w:rPr>
        <w:t>d</w:t>
      </w:r>
      <w:r>
        <w:rPr>
          <w:rFonts w:hint="eastAsia" w:ascii="宋体"/>
        </w:rPr>
        <w:t>、</w:t>
      </w:r>
      <w:r>
        <w:rPr>
          <w:rFonts w:ascii="宋体"/>
        </w:rPr>
        <w:t xml:space="preserve">过街钢管规格为Φ114×4，埋设钢管低于路面500mm，沟道宽度≥400mm，路面恢复强度≥C30。 </w:t>
      </w:r>
    </w:p>
    <w:p>
      <w:pPr>
        <w:pStyle w:val="1280"/>
        <w:ind w:firstLine="440"/>
        <w:rPr>
          <w:rFonts w:ascii="宋体"/>
        </w:rPr>
      </w:pPr>
      <w:r>
        <w:rPr>
          <w:rFonts w:ascii="宋体"/>
        </w:rPr>
        <w:t>e</w:t>
      </w:r>
      <w:r>
        <w:rPr>
          <w:rFonts w:hint="eastAsia" w:ascii="宋体"/>
        </w:rPr>
        <w:t>、</w:t>
      </w:r>
      <w:r>
        <w:rPr>
          <w:rFonts w:ascii="宋体"/>
        </w:rPr>
        <w:t xml:space="preserve">人行道地埋碳素波纹管，规格为Φ89，埋入深度≥400mm，并以不低于C25混凝土回填，再恢复路面原状。 </w:t>
      </w:r>
    </w:p>
    <w:p>
      <w:pPr>
        <w:pStyle w:val="1280"/>
        <w:ind w:firstLine="440"/>
        <w:rPr>
          <w:rFonts w:ascii="宋体"/>
        </w:rPr>
      </w:pPr>
      <w:r>
        <w:rPr>
          <w:rFonts w:ascii="宋体"/>
        </w:rPr>
        <w:t>f</w:t>
      </w:r>
      <w:r>
        <w:rPr>
          <w:rFonts w:hint="eastAsia" w:ascii="宋体"/>
        </w:rPr>
        <w:t>、</w:t>
      </w:r>
      <w:r>
        <w:rPr>
          <w:rFonts w:ascii="宋体"/>
        </w:rPr>
        <w:t xml:space="preserve">路口信号灯的所有设施需作等电位处理，每一机动车灯杆需作接地处理，接地电阻≤4Ω。 </w:t>
      </w:r>
    </w:p>
    <w:p>
      <w:pPr>
        <w:pStyle w:val="1280"/>
        <w:ind w:firstLine="440"/>
        <w:rPr>
          <w:rFonts w:ascii="宋体"/>
        </w:rPr>
      </w:pPr>
      <w:r>
        <w:rPr>
          <w:rFonts w:ascii="宋体"/>
        </w:rPr>
        <w:t>g</w:t>
      </w:r>
      <w:r>
        <w:rPr>
          <w:rFonts w:hint="eastAsia" w:ascii="宋体"/>
        </w:rPr>
        <w:t>、</w:t>
      </w:r>
      <w:r>
        <w:rPr>
          <w:rFonts w:ascii="宋体"/>
        </w:rPr>
        <w:t xml:space="preserve">机动车信号灯距地面高度≥6.5m。 </w:t>
      </w:r>
    </w:p>
    <w:p>
      <w:pPr>
        <w:pStyle w:val="1280"/>
        <w:ind w:firstLine="440"/>
        <w:rPr>
          <w:rFonts w:ascii="宋体"/>
        </w:rPr>
      </w:pPr>
      <w:r>
        <w:rPr>
          <w:rFonts w:ascii="宋体"/>
        </w:rPr>
        <w:t>2、承包商应在施工前30d，根据本规范向项目监理提供所有拟用材料的样品，同时附有生产厂商的使用说明和规定。对大型标志，承包商应制作小样品报送项目监理审批。</w:t>
      </w:r>
    </w:p>
    <w:p>
      <w:pPr>
        <w:pStyle w:val="1280"/>
        <w:ind w:firstLine="440"/>
        <w:rPr>
          <w:rFonts w:ascii="宋体"/>
        </w:rPr>
      </w:pPr>
      <w:r>
        <w:rPr>
          <w:rFonts w:ascii="宋体"/>
        </w:rPr>
        <w:t>波形护栏的技术标准，应符合《波形梁钢护栏》 GB/T 31439-2015的规定。</w:t>
      </w:r>
    </w:p>
    <w:p>
      <w:pPr>
        <w:pStyle w:val="1284"/>
        <w:rPr>
          <w:rFonts w:ascii="宋体" w:hAnsi="宋体"/>
        </w:rPr>
      </w:pPr>
      <w:bookmarkStart w:id="4641" w:name="_Toc403637022"/>
      <w:bookmarkStart w:id="4642" w:name="_Toc339444419"/>
      <w:bookmarkStart w:id="4643" w:name="_Toc521493547"/>
      <w:bookmarkStart w:id="4644" w:name="_Toc266203779"/>
      <w:bookmarkStart w:id="4645" w:name="_Toc521492016"/>
      <w:bookmarkStart w:id="4646" w:name="_Toc275023308"/>
      <w:bookmarkStart w:id="4647" w:name="_Toc518376694"/>
      <w:bookmarkStart w:id="4648" w:name="_Toc338255189"/>
      <w:bookmarkStart w:id="4649" w:name="_Toc521492873"/>
      <w:bookmarkStart w:id="4650" w:name="_Toc106050178"/>
      <w:bookmarkStart w:id="4651" w:name="_Toc106883435"/>
      <w:bookmarkStart w:id="4652" w:name="_Toc517382641"/>
      <w:r>
        <w:rPr>
          <w:rFonts w:hint="eastAsia" w:ascii="宋体" w:hAnsi="宋体"/>
        </w:rPr>
        <w:t>4.6.7.3</w:t>
      </w:r>
      <w:r>
        <w:rPr>
          <w:rFonts w:ascii="宋体" w:hAnsi="宋体"/>
        </w:rPr>
        <w:t xml:space="preserve"> 施工要求</w:t>
      </w:r>
      <w:bookmarkEnd w:id="4641"/>
      <w:bookmarkEnd w:id="4642"/>
      <w:bookmarkEnd w:id="4643"/>
      <w:bookmarkEnd w:id="4644"/>
      <w:bookmarkEnd w:id="4645"/>
      <w:bookmarkEnd w:id="4646"/>
      <w:bookmarkEnd w:id="4647"/>
      <w:bookmarkEnd w:id="4648"/>
      <w:bookmarkEnd w:id="4649"/>
      <w:bookmarkEnd w:id="4650"/>
      <w:bookmarkEnd w:id="4651"/>
      <w:bookmarkEnd w:id="4652"/>
    </w:p>
    <w:p>
      <w:pPr>
        <w:pStyle w:val="1280"/>
        <w:ind w:firstLine="440"/>
        <w:rPr>
          <w:rFonts w:ascii="宋体"/>
        </w:rPr>
      </w:pPr>
      <w:r>
        <w:rPr>
          <w:rFonts w:ascii="宋体"/>
        </w:rPr>
        <w:t>1、标志定位与位置</w:t>
      </w:r>
    </w:p>
    <w:p>
      <w:pPr>
        <w:pStyle w:val="1280"/>
        <w:ind w:firstLine="440"/>
        <w:rPr>
          <w:rFonts w:ascii="宋体"/>
        </w:rPr>
      </w:pPr>
      <w:r>
        <w:rPr>
          <w:rFonts w:ascii="宋体"/>
        </w:rPr>
        <w:t>所有交通标志都应按图纸的要求定位和设置。安装的标志应与交通流方向几乎成直角；在曲线路段，标志的设置角度应由交通流的行近方向来确定。为了消除路侧标志表面产生的眩光，标志应向后旋转约5°，以避开车前灯光束的直射。门架标志的垂直轴应向后倾成一角度。对于路侧标志，标志板内缘距土路肩边缘不得小于250mm，或根据项目监理的指示确定。</w:t>
      </w:r>
    </w:p>
    <w:p>
      <w:pPr>
        <w:pStyle w:val="1280"/>
        <w:ind w:firstLine="440"/>
        <w:rPr>
          <w:rFonts w:ascii="宋体"/>
        </w:rPr>
      </w:pPr>
      <w:r>
        <w:rPr>
          <w:rFonts w:ascii="宋体"/>
        </w:rPr>
        <w:t>2、基础</w:t>
      </w:r>
    </w:p>
    <w:p>
      <w:pPr>
        <w:pStyle w:val="1280"/>
        <w:ind w:firstLine="440"/>
        <w:rPr>
          <w:rFonts w:ascii="宋体"/>
        </w:rPr>
      </w:pPr>
      <w:r>
        <w:rPr>
          <w:rFonts w:ascii="宋体"/>
        </w:rPr>
        <w:t>标志基础可根据本规范的规定就地浇筑或预制后再埋置。基础位置的确定、开挖以及浇筑混凝土立模和锚固螺栓的设置等，都应经项目监理批准后施工。</w:t>
      </w:r>
    </w:p>
    <w:p>
      <w:pPr>
        <w:pStyle w:val="1280"/>
        <w:ind w:firstLine="440"/>
        <w:rPr>
          <w:rFonts w:ascii="宋体"/>
        </w:rPr>
      </w:pPr>
      <w:r>
        <w:rPr>
          <w:rFonts w:ascii="宋体"/>
        </w:rPr>
        <w:t>3、标志支承结构</w:t>
      </w:r>
    </w:p>
    <w:p>
      <w:pPr>
        <w:pStyle w:val="1280"/>
        <w:ind w:firstLine="440"/>
        <w:rPr>
          <w:rFonts w:ascii="宋体"/>
        </w:rPr>
      </w:pPr>
      <w:r>
        <w:rPr>
          <w:rFonts w:hint="eastAsia" w:ascii="宋体"/>
        </w:rPr>
        <w:t>（1）</w:t>
      </w:r>
      <w:r>
        <w:rPr>
          <w:rFonts w:ascii="宋体"/>
        </w:rPr>
        <w:t>路侧式标志的装设，应按《道路交通标志和标线》</w:t>
      </w:r>
      <w:r>
        <w:rPr>
          <w:rFonts w:hint="eastAsia" w:ascii="宋体"/>
        </w:rPr>
        <w:t>（</w:t>
      </w:r>
      <w:r>
        <w:rPr>
          <w:rFonts w:ascii="宋体"/>
        </w:rPr>
        <w:t>GB 5768-2009</w:t>
      </w:r>
      <w:r>
        <w:rPr>
          <w:rFonts w:hint="eastAsia" w:ascii="宋体"/>
        </w:rPr>
        <w:t>）</w:t>
      </w:r>
      <w:r>
        <w:rPr>
          <w:rFonts w:ascii="宋体"/>
        </w:rPr>
        <w:t>第13.6条的规定进行。</w:t>
      </w:r>
    </w:p>
    <w:p>
      <w:pPr>
        <w:pStyle w:val="1280"/>
        <w:ind w:firstLine="440"/>
        <w:rPr>
          <w:rFonts w:ascii="宋体"/>
        </w:rPr>
      </w:pPr>
      <w:r>
        <w:rPr>
          <w:rFonts w:hint="eastAsia" w:ascii="宋体"/>
        </w:rPr>
        <w:t>（2）</w:t>
      </w:r>
      <w:r>
        <w:rPr>
          <w:rFonts w:ascii="宋体"/>
        </w:rPr>
        <w:t>钢支承结构应根据本规范和《道路交通标志和标线》</w:t>
      </w:r>
      <w:r>
        <w:rPr>
          <w:rFonts w:hint="eastAsia" w:ascii="宋体"/>
        </w:rPr>
        <w:t>（</w:t>
      </w:r>
      <w:r>
        <w:rPr>
          <w:rFonts w:ascii="宋体"/>
        </w:rPr>
        <w:t>GB 5768-2009</w:t>
      </w:r>
      <w:r>
        <w:rPr>
          <w:rFonts w:hint="eastAsia" w:ascii="宋体"/>
        </w:rPr>
        <w:t>）</w:t>
      </w:r>
      <w:r>
        <w:rPr>
          <w:rFonts w:ascii="宋体"/>
        </w:rPr>
        <w:t>的规定制作和安装。</w:t>
      </w:r>
    </w:p>
    <w:p>
      <w:pPr>
        <w:pStyle w:val="1280"/>
        <w:ind w:firstLine="440"/>
        <w:rPr>
          <w:rFonts w:ascii="宋体"/>
        </w:rPr>
      </w:pPr>
      <w:r>
        <w:rPr>
          <w:rFonts w:hint="eastAsia" w:ascii="宋体"/>
        </w:rPr>
        <w:t>（3）</w:t>
      </w:r>
      <w:r>
        <w:rPr>
          <w:rFonts w:ascii="宋体"/>
        </w:rPr>
        <w:t>管状或空心截面的支承结构，应设有经项目监理同意的防雨帽。</w:t>
      </w:r>
    </w:p>
    <w:p>
      <w:pPr>
        <w:pStyle w:val="1280"/>
        <w:ind w:firstLine="440"/>
        <w:rPr>
          <w:rFonts w:ascii="宋体"/>
        </w:rPr>
      </w:pPr>
      <w:r>
        <w:rPr>
          <w:rFonts w:hint="eastAsia" w:ascii="宋体"/>
        </w:rPr>
        <w:t>（4）</w:t>
      </w:r>
      <w:r>
        <w:rPr>
          <w:rFonts w:ascii="宋体"/>
        </w:rPr>
        <w:t>钻孔、冲孔和车间焊接，应在钢材电镀之前完成。提供的连接件和附件应适合标志安装系统并符合《道路交通标志和标线》(GB 5768-2009)附录E的要求。</w:t>
      </w:r>
    </w:p>
    <w:p>
      <w:pPr>
        <w:pStyle w:val="1280"/>
        <w:ind w:firstLine="440"/>
        <w:rPr>
          <w:rFonts w:ascii="宋体"/>
        </w:rPr>
      </w:pPr>
      <w:r>
        <w:rPr>
          <w:rFonts w:hint="eastAsia" w:ascii="宋体"/>
        </w:rPr>
        <w:t>（5）</w:t>
      </w:r>
      <w:r>
        <w:rPr>
          <w:rFonts w:ascii="宋体"/>
        </w:rPr>
        <w:t>承包商应把其推荐的安装系统，包括多标志组合装置的详情报送项目监理审批。安装期间，标志板应适当支撑和加固，其表面应采取防止损坏的保护措施。</w:t>
      </w:r>
    </w:p>
    <w:p>
      <w:pPr>
        <w:pStyle w:val="1280"/>
        <w:ind w:firstLine="440"/>
        <w:rPr>
          <w:rFonts w:ascii="宋体"/>
        </w:rPr>
      </w:pPr>
      <w:r>
        <w:rPr>
          <w:rFonts w:hint="eastAsia" w:ascii="宋体"/>
        </w:rPr>
        <w:t>（6）</w:t>
      </w:r>
      <w:r>
        <w:rPr>
          <w:rFonts w:ascii="宋体"/>
        </w:rPr>
        <w:t>标志支撑结构的架设应在基础混凝土强度达到要求，并得到项目监理的批准后进行。门架标志结构整个安装过程应以高空吊车为工具，不允许施工人员在门架的横梁上作业。</w:t>
      </w:r>
    </w:p>
    <w:p>
      <w:pPr>
        <w:pStyle w:val="1280"/>
        <w:ind w:firstLine="440"/>
        <w:rPr>
          <w:rFonts w:ascii="宋体"/>
        </w:rPr>
      </w:pPr>
      <w:r>
        <w:rPr>
          <w:rFonts w:ascii="宋体"/>
        </w:rPr>
        <w:t>在横梁安装之前，应先预拱；横梁中间处的预拱度一般为50mm，悬臂标志的预拱度为4Omm。</w:t>
      </w:r>
    </w:p>
    <w:p>
      <w:pPr>
        <w:pStyle w:val="1280"/>
        <w:ind w:firstLine="440"/>
        <w:rPr>
          <w:rFonts w:ascii="宋体"/>
        </w:rPr>
      </w:pPr>
      <w:r>
        <w:rPr>
          <w:rFonts w:ascii="宋体"/>
        </w:rPr>
        <w:t>门架和悬臂式标志支撑结构安装完毕后，应按图纸要求，用高强级反光膜贴在立柱的迎交通流面，作为立面标记。</w:t>
      </w:r>
    </w:p>
    <w:p>
      <w:pPr>
        <w:pStyle w:val="1280"/>
        <w:ind w:firstLine="440"/>
        <w:rPr>
          <w:rFonts w:ascii="宋体"/>
        </w:rPr>
      </w:pPr>
      <w:r>
        <w:rPr>
          <w:rFonts w:hint="eastAsia" w:ascii="宋体"/>
        </w:rPr>
        <w:t>（7）</w:t>
      </w:r>
      <w:r>
        <w:rPr>
          <w:rFonts w:ascii="宋体"/>
        </w:rPr>
        <w:t>标志中与铝合金或其他金属接触的所有钢材都应加以保护，以避免钢材或铝合金的锈蚀，保护措施应经项目监理认可。</w:t>
      </w:r>
    </w:p>
    <w:p>
      <w:pPr>
        <w:pStyle w:val="1280"/>
        <w:ind w:firstLine="440"/>
        <w:rPr>
          <w:rFonts w:ascii="宋体"/>
        </w:rPr>
      </w:pPr>
      <w:r>
        <w:rPr>
          <w:rFonts w:ascii="宋体"/>
        </w:rPr>
        <w:t>4、标志板制作安装</w:t>
      </w:r>
    </w:p>
    <w:p>
      <w:pPr>
        <w:pStyle w:val="1280"/>
        <w:ind w:firstLine="440"/>
        <w:rPr>
          <w:rFonts w:ascii="宋体"/>
        </w:rPr>
      </w:pPr>
      <w:r>
        <w:rPr>
          <w:rFonts w:hint="eastAsia" w:ascii="宋体"/>
        </w:rPr>
        <w:t>（1）</w:t>
      </w:r>
      <w:r>
        <w:rPr>
          <w:rFonts w:ascii="宋体"/>
        </w:rPr>
        <w:t>标志面的制作</w:t>
      </w:r>
    </w:p>
    <w:p>
      <w:pPr>
        <w:pStyle w:val="1280"/>
        <w:ind w:firstLine="440"/>
        <w:rPr>
          <w:rFonts w:ascii="宋体"/>
        </w:rPr>
      </w:pPr>
      <w:r>
        <w:rPr>
          <w:rFonts w:ascii="宋体"/>
        </w:rPr>
        <w:t>a</w:t>
      </w:r>
      <w:r>
        <w:rPr>
          <w:rFonts w:hint="eastAsia" w:ascii="宋体"/>
        </w:rPr>
        <w:t>、</w:t>
      </w:r>
      <w:r>
        <w:rPr>
          <w:rFonts w:ascii="宋体"/>
        </w:rPr>
        <w:t>交通标志的形状、图案和颜色应严格按照《道路交通标志和标线》(GB 5768-2009)及图纸的规定执行。所有标志上的汉字、汉语拼音字母、英文字、阿拉伯数字应符合《道路交通标志和标线》(GB 5768-2009)的规定，不得采用其它字体。</w:t>
      </w:r>
    </w:p>
    <w:p>
      <w:pPr>
        <w:pStyle w:val="1280"/>
        <w:ind w:firstLine="440"/>
        <w:rPr>
          <w:rFonts w:ascii="宋体"/>
        </w:rPr>
      </w:pPr>
      <w:r>
        <w:rPr>
          <w:rFonts w:ascii="宋体"/>
        </w:rPr>
        <w:t>b</w:t>
      </w:r>
      <w:r>
        <w:rPr>
          <w:rFonts w:hint="eastAsia" w:ascii="宋体"/>
        </w:rPr>
        <w:t>、</w:t>
      </w:r>
      <w:r>
        <w:rPr>
          <w:rFonts w:ascii="宋体"/>
        </w:rPr>
        <w:t>交通标志板面上的图案、字符的平面布设，应在施工前3个月做出样品，提交给项目监理审批。标志采用全反光、部分反光及反光膜的级别，应符合图纸要求。</w:t>
      </w:r>
    </w:p>
    <w:p>
      <w:pPr>
        <w:pStyle w:val="1280"/>
        <w:ind w:firstLine="440"/>
        <w:rPr>
          <w:rFonts w:ascii="宋体"/>
        </w:rPr>
      </w:pPr>
      <w:r>
        <w:rPr>
          <w:rFonts w:ascii="宋体"/>
        </w:rPr>
        <w:t>c</w:t>
      </w:r>
      <w:r>
        <w:rPr>
          <w:rFonts w:hint="eastAsia" w:ascii="宋体"/>
        </w:rPr>
        <w:t>、</w:t>
      </w:r>
      <w:r>
        <w:rPr>
          <w:rFonts w:ascii="宋体"/>
        </w:rPr>
        <w:t>粘贴反光膜时，不允许采用手工操作或用溶剂激活粘结剂。在标志面的最外层可涂保护层，如透明涂料等。</w:t>
      </w:r>
    </w:p>
    <w:p>
      <w:pPr>
        <w:pStyle w:val="1280"/>
        <w:ind w:firstLine="440"/>
        <w:rPr>
          <w:rFonts w:ascii="宋体"/>
        </w:rPr>
      </w:pPr>
      <w:r>
        <w:rPr>
          <w:rFonts w:ascii="宋体"/>
        </w:rPr>
        <w:t>d</w:t>
      </w:r>
      <w:r>
        <w:rPr>
          <w:rFonts w:hint="eastAsia" w:ascii="宋体"/>
        </w:rPr>
        <w:t>、</w:t>
      </w:r>
      <w:r>
        <w:rPr>
          <w:rFonts w:ascii="宋体"/>
        </w:rPr>
        <w:t>反光膜应尽可能减少拼接，当粘贴反光膜不可避免出现接缝时，应使用反光膜产品的最大宽度进行拼接，接缝以搭接为主。当需要滚筒粘贴或丝网印刷时，可以平接，其间隙不应超过1mm。距标志板边缘50mm之内，不得有拼接。</w:t>
      </w:r>
    </w:p>
    <w:p>
      <w:pPr>
        <w:pStyle w:val="1280"/>
        <w:ind w:firstLine="440"/>
        <w:rPr>
          <w:rFonts w:ascii="宋体"/>
        </w:rPr>
      </w:pPr>
      <w:r>
        <w:rPr>
          <w:rFonts w:ascii="宋体"/>
        </w:rPr>
        <w:t>e</w:t>
      </w:r>
      <w:r>
        <w:rPr>
          <w:rFonts w:hint="eastAsia" w:ascii="宋体"/>
        </w:rPr>
        <w:t>、</w:t>
      </w:r>
      <w:r>
        <w:rPr>
          <w:rFonts w:ascii="宋体"/>
        </w:rPr>
        <w:t>当用反光膜拼接标志图案时，拼接处应有3-6mm的重叠部分；如果项目监理同意采用对接，则接缝间隙不得大于0.8mm。反光膜粘贴在挤压型材板面上，伸出上、下边缘的最小长度为8mm，且应紧密地粘贴在上、下边缘上。</w:t>
      </w:r>
    </w:p>
    <w:p>
      <w:pPr>
        <w:pStyle w:val="1280"/>
        <w:ind w:firstLine="440"/>
        <w:rPr>
          <w:rFonts w:ascii="宋体"/>
        </w:rPr>
      </w:pPr>
      <w:r>
        <w:rPr>
          <w:rFonts w:hint="eastAsia" w:ascii="宋体"/>
        </w:rPr>
        <w:t>（2）</w:t>
      </w:r>
      <w:r>
        <w:rPr>
          <w:rFonts w:ascii="宋体"/>
        </w:rPr>
        <w:t>标志板应在车间剪裁或切割，以产生整齐、方正的边缘，不应有毛刺，并按《道路交通标志和标线》(GB 5768-2009)附录E的规定进行加固。所有标志板的槽钢应在粘贴定向反光膜之前焊接好。</w:t>
      </w:r>
    </w:p>
    <w:p>
      <w:pPr>
        <w:pStyle w:val="1280"/>
        <w:ind w:firstLine="440"/>
        <w:rPr>
          <w:rFonts w:ascii="宋体"/>
        </w:rPr>
      </w:pPr>
      <w:r>
        <w:rPr>
          <w:rFonts w:hint="eastAsia" w:ascii="宋体"/>
        </w:rPr>
        <w:t>（3）</w:t>
      </w:r>
      <w:r>
        <w:rPr>
          <w:rFonts w:ascii="宋体"/>
        </w:rPr>
        <w:t>承包商应先提供一种所有各类标志板面各种图案的配置图，在取得项目监理同意之后，再进行图案制作。</w:t>
      </w:r>
    </w:p>
    <w:p>
      <w:pPr>
        <w:pStyle w:val="1280"/>
        <w:ind w:firstLine="440"/>
        <w:rPr>
          <w:rFonts w:ascii="宋体"/>
        </w:rPr>
      </w:pPr>
      <w:r>
        <w:rPr>
          <w:rFonts w:hint="eastAsia" w:ascii="宋体"/>
        </w:rPr>
        <w:t>（4）</w:t>
      </w:r>
      <w:r>
        <w:rPr>
          <w:rFonts w:ascii="宋体"/>
        </w:rPr>
        <w:t>定向反光膜应用不剥落的热活性胶粘剂粘贴，将反光膜牢固粘贴到标志板上，其表面不得产生任何气泡和污损等缺陷。</w:t>
      </w:r>
    </w:p>
    <w:p>
      <w:pPr>
        <w:pStyle w:val="1280"/>
        <w:ind w:firstLine="440"/>
        <w:rPr>
          <w:rFonts w:ascii="宋体"/>
        </w:rPr>
      </w:pPr>
      <w:r>
        <w:rPr>
          <w:rFonts w:hint="eastAsia" w:ascii="宋体"/>
        </w:rPr>
        <w:t>（5）</w:t>
      </w:r>
      <w:r>
        <w:rPr>
          <w:rFonts w:ascii="宋体"/>
        </w:rPr>
        <w:t>标志板的运输、贮存和搬运方式应按制造厂商的要求进行。两块标志邻接面之间应用适合的衬垫材料分隔，以免在运输、搬运过程中磨损标志板面。标志板应贮存在干净、干燥的室内。</w:t>
      </w:r>
    </w:p>
    <w:p>
      <w:pPr>
        <w:pStyle w:val="1280"/>
        <w:ind w:firstLine="440"/>
        <w:rPr>
          <w:rFonts w:ascii="宋体"/>
        </w:rPr>
      </w:pPr>
      <w:r>
        <w:rPr>
          <w:rFonts w:hint="eastAsia" w:ascii="宋体"/>
        </w:rPr>
        <w:t>（6）</w:t>
      </w:r>
      <w:r>
        <w:rPr>
          <w:rFonts w:ascii="宋体"/>
        </w:rPr>
        <w:t>安装标志板时，应事先获得项目监理的批准。标志的紧固方法应符合图纸的要求。</w:t>
      </w:r>
    </w:p>
    <w:p>
      <w:pPr>
        <w:pStyle w:val="1280"/>
        <w:ind w:firstLine="440"/>
        <w:rPr>
          <w:rFonts w:ascii="宋体"/>
        </w:rPr>
      </w:pPr>
      <w:r>
        <w:rPr>
          <w:rFonts w:hint="eastAsia" w:ascii="宋体"/>
        </w:rPr>
        <w:t>（7）</w:t>
      </w:r>
      <w:r>
        <w:rPr>
          <w:rFonts w:ascii="宋体"/>
        </w:rPr>
        <w:t>标志安装完毕后，承包商应根据标志制造厂商建议的方法，清扫所有标志板。在清扫过程中，不应损坏标志面或产生其它缺陷。</w:t>
      </w:r>
    </w:p>
    <w:p>
      <w:pPr>
        <w:pStyle w:val="1280"/>
        <w:ind w:firstLine="440"/>
        <w:rPr>
          <w:rFonts w:ascii="宋体"/>
        </w:rPr>
      </w:pPr>
      <w:r>
        <w:rPr>
          <w:rFonts w:hint="eastAsia" w:ascii="宋体"/>
        </w:rPr>
        <w:t>（8）</w:t>
      </w:r>
      <w:r>
        <w:rPr>
          <w:rFonts w:ascii="宋体"/>
        </w:rPr>
        <w:t>标志安装完毕后，项目监理检查所有标志，以确认在白天和夜间条件下标志的外观、视认性、颜色、镜面眩光等是否符合图纸要求。</w:t>
      </w:r>
    </w:p>
    <w:p>
      <w:pPr>
        <w:pStyle w:val="1280"/>
        <w:ind w:firstLine="440"/>
        <w:rPr>
          <w:rFonts w:ascii="宋体"/>
        </w:rPr>
      </w:pPr>
      <w:r>
        <w:rPr>
          <w:rFonts w:ascii="宋体"/>
        </w:rPr>
        <w:t>在标志检查中发现的任何缺陷，承包商应按项目监理指示自费予以修正或更换。</w:t>
      </w:r>
    </w:p>
    <w:p>
      <w:pPr>
        <w:pStyle w:val="1284"/>
        <w:rPr>
          <w:rFonts w:ascii="宋体" w:hAnsi="宋体"/>
        </w:rPr>
      </w:pPr>
      <w:bookmarkStart w:id="4653" w:name="_Toc518376695"/>
      <w:bookmarkStart w:id="4654" w:name="_Toc521492874"/>
      <w:bookmarkStart w:id="4655" w:name="_Toc403637023"/>
      <w:bookmarkStart w:id="4656" w:name="_Toc106050179"/>
      <w:bookmarkStart w:id="4657" w:name="_Toc521492017"/>
      <w:bookmarkStart w:id="4658" w:name="_Toc521493548"/>
      <w:bookmarkStart w:id="4659" w:name="_Toc275023309"/>
      <w:bookmarkStart w:id="4660" w:name="_Toc266203780"/>
      <w:bookmarkStart w:id="4661" w:name="_Toc338255190"/>
      <w:bookmarkStart w:id="4662" w:name="_Toc517382642"/>
      <w:bookmarkStart w:id="4663" w:name="_Toc339444420"/>
      <w:bookmarkStart w:id="4664" w:name="_Toc106883436"/>
      <w:r>
        <w:rPr>
          <w:rFonts w:hint="eastAsia" w:ascii="宋体" w:hAnsi="宋体"/>
        </w:rPr>
        <w:t>4.6.7.4</w:t>
      </w:r>
      <w:r>
        <w:rPr>
          <w:rFonts w:ascii="宋体" w:hAnsi="宋体"/>
        </w:rPr>
        <w:t xml:space="preserve"> 质量检验</w:t>
      </w:r>
      <w:bookmarkEnd w:id="4653"/>
      <w:bookmarkEnd w:id="4654"/>
      <w:bookmarkEnd w:id="4655"/>
      <w:bookmarkEnd w:id="4656"/>
      <w:bookmarkEnd w:id="4657"/>
      <w:bookmarkEnd w:id="4658"/>
      <w:bookmarkEnd w:id="4659"/>
      <w:bookmarkEnd w:id="4660"/>
      <w:bookmarkEnd w:id="4661"/>
      <w:bookmarkEnd w:id="4662"/>
      <w:bookmarkEnd w:id="4663"/>
      <w:bookmarkEnd w:id="4664"/>
    </w:p>
    <w:p>
      <w:pPr>
        <w:pStyle w:val="1280"/>
        <w:ind w:firstLine="440"/>
        <w:rPr>
          <w:rFonts w:ascii="宋体"/>
        </w:rPr>
      </w:pPr>
      <w:r>
        <w:rPr>
          <w:rFonts w:ascii="宋体"/>
        </w:rPr>
        <w:t>1、基本要求</w:t>
      </w:r>
    </w:p>
    <w:p>
      <w:pPr>
        <w:pStyle w:val="1280"/>
        <w:ind w:firstLine="440"/>
        <w:rPr>
          <w:rFonts w:ascii="宋体"/>
        </w:rPr>
      </w:pPr>
      <w:r>
        <w:rPr>
          <w:rFonts w:hint="eastAsia" w:ascii="宋体"/>
        </w:rPr>
        <w:t>（1）</w:t>
      </w:r>
      <w:r>
        <w:rPr>
          <w:rFonts w:ascii="宋体"/>
        </w:rPr>
        <w:t>安装完成后标志板面应无任何裂纹和划痕以及明显的颜色不均匀，在任何一处面积为0.25m2表面上不得有一个或一个以上总面积大于l0mm</w:t>
      </w:r>
      <w:r>
        <w:rPr>
          <w:rFonts w:ascii="宋体"/>
          <w:vertAlign w:val="superscript"/>
        </w:rPr>
        <w:t>2</w:t>
      </w:r>
      <w:r>
        <w:rPr>
          <w:rFonts w:ascii="宋体"/>
        </w:rPr>
        <w:t>的气泡。</w:t>
      </w:r>
    </w:p>
    <w:p>
      <w:pPr>
        <w:pStyle w:val="1280"/>
        <w:ind w:firstLine="440"/>
        <w:rPr>
          <w:rFonts w:ascii="宋体"/>
        </w:rPr>
      </w:pPr>
      <w:r>
        <w:rPr>
          <w:rFonts w:hint="eastAsia" w:ascii="宋体"/>
        </w:rPr>
        <w:t>（2）</w:t>
      </w:r>
      <w:r>
        <w:rPr>
          <w:rFonts w:ascii="宋体"/>
        </w:rPr>
        <w:t>标志制作应符合《道路交通标志和标线》</w:t>
      </w:r>
      <w:r>
        <w:rPr>
          <w:rFonts w:hint="eastAsia" w:ascii="宋体"/>
        </w:rPr>
        <w:t>（</w:t>
      </w:r>
      <w:r>
        <w:rPr>
          <w:rFonts w:ascii="宋体"/>
        </w:rPr>
        <w:t>GB 5768-2009</w:t>
      </w:r>
      <w:r>
        <w:rPr>
          <w:rFonts w:hint="eastAsia" w:ascii="宋体"/>
        </w:rPr>
        <w:t>）</w:t>
      </w:r>
      <w:r>
        <w:rPr>
          <w:rFonts w:ascii="宋体"/>
        </w:rPr>
        <w:t>和《公路交通标志板》（JT/T 279-2016）的规定。标志板的外形尺寸偏差不大于±5mm；四边互相垂直，垂直度偏差不大于±1°；平面翘曲偏差不大于±3mm/m。</w:t>
      </w:r>
    </w:p>
    <w:p>
      <w:pPr>
        <w:pStyle w:val="1280"/>
        <w:ind w:firstLine="440"/>
        <w:rPr>
          <w:rFonts w:ascii="宋体"/>
        </w:rPr>
      </w:pPr>
      <w:r>
        <w:rPr>
          <w:rFonts w:ascii="宋体"/>
        </w:rPr>
        <w:t>2、检查项目，见表4-5-8。</w:t>
      </w:r>
    </w:p>
    <w:p>
      <w:pPr>
        <w:pStyle w:val="1280"/>
        <w:ind w:firstLine="440"/>
        <w:jc w:val="center"/>
        <w:rPr>
          <w:rFonts w:ascii="宋体"/>
        </w:rPr>
      </w:pPr>
      <w:r>
        <w:rPr>
          <w:rFonts w:ascii="宋体"/>
        </w:rPr>
        <w:t>表4-5-8标志检查项目</w:t>
      </w:r>
    </w:p>
    <w:tbl>
      <w:tblPr>
        <w:tblStyle w:val="77"/>
        <w:tblW w:w="78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27"/>
        <w:gridCol w:w="2743"/>
        <w:gridCol w:w="1699"/>
        <w:gridCol w:w="291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26" w:type="dxa"/>
            <w:tcBorders>
              <w:top w:val="single" w:color="auto" w:sz="8"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项次</w:t>
            </w:r>
          </w:p>
        </w:tc>
        <w:tc>
          <w:tcPr>
            <w:tcW w:w="2741" w:type="dxa"/>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检查项目</w:t>
            </w:r>
          </w:p>
        </w:tc>
        <w:tc>
          <w:tcPr>
            <w:tcW w:w="1698" w:type="dxa"/>
            <w:tcBorders>
              <w:top w:val="single" w:color="auto" w:sz="8"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规定值或允许偏差</w:t>
            </w:r>
          </w:p>
        </w:tc>
        <w:tc>
          <w:tcPr>
            <w:tcW w:w="2913" w:type="dxa"/>
            <w:tcBorders>
              <w:top w:val="single" w:color="auto" w:sz="8"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检查方法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77" w:hRule="exact"/>
          <w:jc w:val="center"/>
        </w:trPr>
        <w:tc>
          <w:tcPr>
            <w:tcW w:w="526" w:type="dxa"/>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w:t>
            </w:r>
          </w:p>
        </w:tc>
        <w:tc>
          <w:tcPr>
            <w:tcW w:w="274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混凝土强度(MPa)</w:t>
            </w:r>
          </w:p>
        </w:tc>
        <w:tc>
          <w:tcPr>
            <w:tcW w:w="169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在合格标准内</w:t>
            </w:r>
          </w:p>
        </w:tc>
        <w:tc>
          <w:tcPr>
            <w:tcW w:w="2913"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见《公路工程质量检验评定标准》(JTG F80/1-2017)附录D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26" w:type="dxa"/>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2</w:t>
            </w:r>
          </w:p>
        </w:tc>
        <w:tc>
          <w:tcPr>
            <w:tcW w:w="274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立柱竖直度(mm/m)</w:t>
            </w:r>
          </w:p>
        </w:tc>
        <w:tc>
          <w:tcPr>
            <w:tcW w:w="169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w:t>
            </w:r>
          </w:p>
        </w:tc>
        <w:tc>
          <w:tcPr>
            <w:tcW w:w="2913"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垂线，直尺检查100%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26" w:type="dxa"/>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w:t>
            </w:r>
          </w:p>
        </w:tc>
        <w:tc>
          <w:tcPr>
            <w:tcW w:w="274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标志板安装角度</w:t>
            </w:r>
          </w:p>
        </w:tc>
        <w:tc>
          <w:tcPr>
            <w:tcW w:w="169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±30</w:t>
            </w:r>
          </w:p>
        </w:tc>
        <w:tc>
          <w:tcPr>
            <w:tcW w:w="2913"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拉线，量角尺检查100%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26" w:type="dxa"/>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4</w:t>
            </w:r>
          </w:p>
        </w:tc>
        <w:tc>
          <w:tcPr>
            <w:tcW w:w="274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标志板下缘至路面净空(mm)</w:t>
            </w:r>
          </w:p>
        </w:tc>
        <w:tc>
          <w:tcPr>
            <w:tcW w:w="169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+l00，0</w:t>
            </w:r>
          </w:p>
        </w:tc>
        <w:tc>
          <w:tcPr>
            <w:tcW w:w="2913"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直尺检查100%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26" w:type="dxa"/>
            <w:tcBorders>
              <w:top w:val="single" w:color="auto" w:sz="4" w:space="0"/>
              <w:left w:val="single" w:color="auto" w:sz="8"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5</w:t>
            </w:r>
          </w:p>
        </w:tc>
        <w:tc>
          <w:tcPr>
            <w:tcW w:w="2741"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标志板内侧距路肩边线距离(mm)</w:t>
            </w:r>
          </w:p>
        </w:tc>
        <w:tc>
          <w:tcPr>
            <w:tcW w:w="1698" w:type="dxa"/>
            <w:tcBorders>
              <w:top w:val="single" w:color="auto" w:sz="4" w:space="0"/>
              <w:left w:val="single" w:color="auto" w:sz="4" w:space="0"/>
              <w:bottom w:val="single" w:color="auto" w:sz="4" w:space="0"/>
              <w:right w:val="single" w:color="auto" w:sz="4" w:space="0"/>
            </w:tcBorders>
            <w:vAlign w:val="center"/>
          </w:tcPr>
          <w:p>
            <w:pPr>
              <w:pStyle w:val="1286"/>
              <w:rPr>
                <w:rFonts w:ascii="宋体" w:hAnsi="宋体"/>
                <w:color w:val="auto"/>
              </w:rPr>
            </w:pPr>
            <w:r>
              <w:rPr>
                <w:rFonts w:ascii="宋体" w:hAnsi="宋体"/>
                <w:color w:val="auto"/>
              </w:rPr>
              <w:t>±100</w:t>
            </w:r>
          </w:p>
        </w:tc>
        <w:tc>
          <w:tcPr>
            <w:tcW w:w="2913" w:type="dxa"/>
            <w:tcBorders>
              <w:top w:val="single" w:color="auto" w:sz="4" w:space="0"/>
              <w:left w:val="single" w:color="auto" w:sz="4" w:space="0"/>
              <w:bottom w:val="single" w:color="auto" w:sz="4" w:space="0"/>
              <w:right w:val="single" w:color="auto" w:sz="8" w:space="0"/>
            </w:tcBorders>
            <w:vAlign w:val="center"/>
          </w:tcPr>
          <w:p>
            <w:pPr>
              <w:pStyle w:val="1286"/>
              <w:rPr>
                <w:rFonts w:ascii="宋体" w:hAnsi="宋体"/>
                <w:color w:val="auto"/>
              </w:rPr>
            </w:pPr>
            <w:r>
              <w:rPr>
                <w:rFonts w:ascii="宋体" w:hAnsi="宋体"/>
                <w:color w:val="auto"/>
              </w:rPr>
              <w:t>直尺检查100%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26" w:type="dxa"/>
            <w:tcBorders>
              <w:top w:val="single" w:color="auto" w:sz="4" w:space="0"/>
              <w:left w:val="single" w:color="auto" w:sz="8"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6</w:t>
            </w:r>
          </w:p>
        </w:tc>
        <w:tc>
          <w:tcPr>
            <w:tcW w:w="2741"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基础尺寸(mm)</w:t>
            </w:r>
          </w:p>
        </w:tc>
        <w:tc>
          <w:tcPr>
            <w:tcW w:w="1698" w:type="dxa"/>
            <w:tcBorders>
              <w:top w:val="single" w:color="auto" w:sz="4" w:space="0"/>
              <w:left w:val="single" w:color="auto" w:sz="4" w:space="0"/>
              <w:bottom w:val="single" w:color="auto" w:sz="8" w:space="0"/>
              <w:right w:val="single" w:color="auto" w:sz="4" w:space="0"/>
            </w:tcBorders>
            <w:vAlign w:val="center"/>
          </w:tcPr>
          <w:p>
            <w:pPr>
              <w:pStyle w:val="1286"/>
              <w:rPr>
                <w:rFonts w:ascii="宋体" w:hAnsi="宋体"/>
                <w:color w:val="auto"/>
              </w:rPr>
            </w:pPr>
            <w:r>
              <w:rPr>
                <w:rFonts w:ascii="宋体" w:hAnsi="宋体"/>
                <w:color w:val="auto"/>
              </w:rPr>
              <w:t>+50，-15</w:t>
            </w:r>
          </w:p>
        </w:tc>
        <w:tc>
          <w:tcPr>
            <w:tcW w:w="2913" w:type="dxa"/>
            <w:tcBorders>
              <w:top w:val="single" w:color="auto" w:sz="4" w:space="0"/>
              <w:left w:val="single" w:color="auto" w:sz="4" w:space="0"/>
              <w:bottom w:val="single" w:color="auto" w:sz="8" w:space="0"/>
              <w:right w:val="single" w:color="auto" w:sz="8" w:space="0"/>
            </w:tcBorders>
            <w:vAlign w:val="center"/>
          </w:tcPr>
          <w:p>
            <w:pPr>
              <w:pStyle w:val="1286"/>
              <w:rPr>
                <w:rFonts w:ascii="宋体" w:hAnsi="宋体"/>
                <w:color w:val="auto"/>
              </w:rPr>
            </w:pPr>
            <w:r>
              <w:rPr>
                <w:rFonts w:ascii="宋体" w:hAnsi="宋体"/>
                <w:color w:val="auto"/>
              </w:rPr>
              <w:t>直尺检查100%</w:t>
            </w:r>
          </w:p>
        </w:tc>
      </w:tr>
    </w:tbl>
    <w:p>
      <w:pPr>
        <w:pStyle w:val="1280"/>
        <w:ind w:firstLine="440"/>
        <w:rPr>
          <w:rFonts w:ascii="宋体"/>
        </w:rPr>
      </w:pPr>
      <w:r>
        <w:rPr>
          <w:rFonts w:ascii="宋体"/>
        </w:rPr>
        <w:t>3、外观鉴定</w:t>
      </w:r>
    </w:p>
    <w:p>
      <w:pPr>
        <w:pStyle w:val="1280"/>
        <w:ind w:firstLine="440"/>
        <w:rPr>
          <w:rFonts w:ascii="宋体"/>
        </w:rPr>
      </w:pPr>
      <w:r>
        <w:rPr>
          <w:rFonts w:hint="eastAsia" w:ascii="宋体"/>
        </w:rPr>
        <w:t>（1）</w:t>
      </w:r>
      <w:r>
        <w:rPr>
          <w:rFonts w:ascii="宋体"/>
        </w:rPr>
        <w:t>金属构件镀锌面不得有划痕、擦伤等损伤。</w:t>
      </w:r>
    </w:p>
    <w:p>
      <w:pPr>
        <w:pStyle w:val="1280"/>
        <w:ind w:firstLine="440"/>
        <w:rPr>
          <w:rFonts w:ascii="宋体"/>
        </w:rPr>
      </w:pPr>
      <w:r>
        <w:rPr>
          <w:rFonts w:hint="eastAsia" w:ascii="宋体"/>
        </w:rPr>
        <w:t>（2）</w:t>
      </w:r>
      <w:r>
        <w:rPr>
          <w:rFonts w:ascii="宋体"/>
        </w:rPr>
        <w:t>标志板面不得有划痕、较大气泡和颜色不均匀等表面缺陷。</w:t>
      </w:r>
    </w:p>
    <w:p>
      <w:pPr>
        <w:pStyle w:val="1280"/>
        <w:ind w:firstLine="440"/>
        <w:rPr>
          <w:rFonts w:ascii="宋体"/>
        </w:rPr>
      </w:pPr>
      <w:r>
        <w:rPr>
          <w:rFonts w:ascii="宋体"/>
        </w:rPr>
        <w:t>对质量不合格的工程，承包商必须进行补救或返工，业主不承担额外的费用。</w:t>
      </w:r>
    </w:p>
    <w:p>
      <w:pPr>
        <w:pStyle w:val="1284"/>
        <w:rPr>
          <w:rFonts w:ascii="宋体" w:hAnsi="宋体"/>
        </w:rPr>
      </w:pPr>
      <w:bookmarkStart w:id="4665" w:name="_Toc521492018"/>
      <w:bookmarkStart w:id="4666" w:name="_Toc521492875"/>
      <w:bookmarkStart w:id="4667" w:name="_Toc521493549"/>
      <w:bookmarkStart w:id="4668" w:name="_Toc106050180"/>
      <w:bookmarkStart w:id="4669" w:name="_Toc106883437"/>
      <w:bookmarkStart w:id="4670" w:name="_Toc403637024"/>
      <w:bookmarkStart w:id="4671" w:name="_Toc339444421"/>
      <w:bookmarkStart w:id="4672" w:name="_Toc338255191"/>
      <w:bookmarkStart w:id="4673" w:name="_Toc275023310"/>
      <w:bookmarkStart w:id="4674" w:name="_Toc266203781"/>
      <w:bookmarkStart w:id="4675" w:name="_Toc517382643"/>
      <w:bookmarkStart w:id="4676" w:name="_Toc518376696"/>
      <w:r>
        <w:rPr>
          <w:rFonts w:hint="eastAsia" w:ascii="宋体" w:hAnsi="宋体"/>
        </w:rPr>
        <w:t>4.6.7.5</w:t>
      </w:r>
      <w:r>
        <w:rPr>
          <w:rFonts w:ascii="宋体" w:hAnsi="宋体"/>
        </w:rPr>
        <w:t xml:space="preserve"> 计量与支付</w:t>
      </w:r>
      <w:bookmarkEnd w:id="4665"/>
      <w:bookmarkEnd w:id="4666"/>
      <w:bookmarkEnd w:id="4667"/>
      <w:bookmarkEnd w:id="4668"/>
      <w:bookmarkEnd w:id="4669"/>
      <w:bookmarkEnd w:id="4670"/>
      <w:bookmarkEnd w:id="4671"/>
      <w:bookmarkEnd w:id="4672"/>
      <w:bookmarkEnd w:id="4673"/>
      <w:bookmarkEnd w:id="4674"/>
      <w:bookmarkEnd w:id="4675"/>
      <w:bookmarkEnd w:id="4676"/>
    </w:p>
    <w:p>
      <w:pPr>
        <w:pStyle w:val="1280"/>
        <w:ind w:firstLine="440"/>
        <w:rPr>
          <w:rFonts w:ascii="宋体"/>
        </w:rPr>
      </w:pPr>
      <w:r>
        <w:rPr>
          <w:rFonts w:hint="eastAsia" w:ascii="宋体"/>
        </w:rPr>
        <w:t>详见</w:t>
      </w:r>
      <w:r>
        <w:rPr>
          <w:rFonts w:ascii="宋体"/>
        </w:rPr>
        <w:t>工程量清单。</w:t>
      </w:r>
    </w:p>
    <w:p>
      <w:pPr>
        <w:pStyle w:val="3"/>
        <w:keepLines w:val="0"/>
        <w:numPr>
          <w:ilvl w:val="0"/>
          <w:numId w:val="0"/>
        </w:numPr>
        <w:tabs>
          <w:tab w:val="left" w:pos="420"/>
        </w:tabs>
        <w:adjustRightInd w:val="0"/>
        <w:spacing w:before="203" w:beforeLines="50" w:after="0" w:line="360" w:lineRule="auto"/>
        <w:rPr>
          <w:rFonts w:ascii="宋体" w:hAnsi="宋体" w:eastAsia="宋体"/>
          <w:b w:val="0"/>
          <w:bCs/>
        </w:rPr>
      </w:pPr>
      <w:bookmarkStart w:id="4677" w:name="_Toc521493550"/>
      <w:bookmarkStart w:id="4678" w:name="_Toc521492876"/>
      <w:bookmarkStart w:id="4679" w:name="_Toc521492019"/>
      <w:bookmarkStart w:id="4680" w:name="_Toc518376697"/>
      <w:bookmarkStart w:id="4681" w:name="_Toc403637025"/>
      <w:bookmarkStart w:id="4682" w:name="_Toc339444422"/>
      <w:bookmarkStart w:id="4683" w:name="_Toc338255192"/>
      <w:bookmarkStart w:id="4684" w:name="_Toc275023311"/>
      <w:bookmarkStart w:id="4685" w:name="_Toc266203782"/>
      <w:bookmarkStart w:id="4686" w:name="_Toc164502261"/>
      <w:bookmarkStart w:id="4687" w:name="_Toc475588455"/>
      <w:bookmarkStart w:id="4688" w:name="_Toc517382644"/>
      <w:bookmarkStart w:id="4689" w:name="_Toc106883438"/>
      <w:r>
        <w:rPr>
          <w:rFonts w:hint="eastAsia" w:ascii="宋体" w:hAnsi="宋体" w:eastAsia="宋体"/>
          <w:b w:val="0"/>
        </w:rPr>
        <w:t>4.6.8</w:t>
      </w:r>
      <w:r>
        <w:rPr>
          <w:rFonts w:ascii="宋体" w:hAnsi="宋体" w:eastAsia="宋体"/>
          <w:b w:val="0"/>
        </w:rPr>
        <w:t>道路交通标线</w:t>
      </w:r>
      <w:bookmarkEnd w:id="4677"/>
      <w:bookmarkEnd w:id="4678"/>
      <w:bookmarkEnd w:id="4679"/>
      <w:bookmarkEnd w:id="4680"/>
      <w:bookmarkEnd w:id="4681"/>
      <w:bookmarkEnd w:id="4682"/>
      <w:bookmarkEnd w:id="4683"/>
      <w:bookmarkEnd w:id="4684"/>
      <w:bookmarkEnd w:id="4685"/>
      <w:bookmarkEnd w:id="4686"/>
      <w:bookmarkEnd w:id="4687"/>
      <w:bookmarkEnd w:id="4688"/>
      <w:bookmarkEnd w:id="4689"/>
    </w:p>
    <w:p>
      <w:pPr>
        <w:pStyle w:val="5"/>
        <w:keepLines w:val="0"/>
        <w:adjustRightInd w:val="0"/>
        <w:snapToGrid w:val="0"/>
        <w:spacing w:before="0" w:after="0" w:line="360" w:lineRule="auto"/>
        <w:jc w:val="left"/>
        <w:rPr>
          <w:rFonts w:ascii="宋体" w:hAnsi="宋体" w:eastAsia="宋体"/>
          <w:bCs/>
          <w:sz w:val="24"/>
        </w:rPr>
      </w:pPr>
      <w:bookmarkStart w:id="4690" w:name="_Toc521493551"/>
      <w:bookmarkStart w:id="4691" w:name="_Toc106050182"/>
      <w:bookmarkStart w:id="4692" w:name="_Toc106883439"/>
      <w:bookmarkStart w:id="4693" w:name="_Toc403637026"/>
      <w:bookmarkStart w:id="4694" w:name="_Toc339444423"/>
      <w:bookmarkStart w:id="4695" w:name="_Toc338255193"/>
      <w:bookmarkStart w:id="4696" w:name="_Toc275023312"/>
      <w:bookmarkStart w:id="4697" w:name="_Toc266203783"/>
      <w:bookmarkStart w:id="4698" w:name="_Toc164502262"/>
      <w:bookmarkStart w:id="4699" w:name="_Toc517382645"/>
      <w:bookmarkStart w:id="4700" w:name="_Toc518376698"/>
      <w:bookmarkStart w:id="4701" w:name="_Toc521492020"/>
      <w:bookmarkStart w:id="4702" w:name="_Toc521492877"/>
      <w:r>
        <w:rPr>
          <w:rFonts w:hint="eastAsia" w:ascii="宋体" w:hAnsi="宋体" w:eastAsia="宋体"/>
          <w:sz w:val="24"/>
        </w:rPr>
        <w:t>4.6.8.1</w:t>
      </w:r>
      <w:r>
        <w:rPr>
          <w:rFonts w:ascii="宋体" w:hAnsi="宋体" w:eastAsia="宋体"/>
          <w:sz w:val="24"/>
        </w:rPr>
        <w:t>范围</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p>
    <w:p>
      <w:pPr>
        <w:adjustRightInd w:val="0"/>
        <w:snapToGrid w:val="0"/>
        <w:spacing w:line="360" w:lineRule="auto"/>
        <w:ind w:firstLine="500" w:firstLineChars="200"/>
        <w:rPr>
          <w:rFonts w:ascii="宋体" w:hAnsi="宋体"/>
          <w:szCs w:val="21"/>
        </w:rPr>
      </w:pPr>
      <w:r>
        <w:rPr>
          <w:rFonts w:ascii="宋体" w:hAnsi="宋体"/>
          <w:szCs w:val="21"/>
        </w:rPr>
        <w:t>为在已完成的沥青混凝土和水泥混凝路面上喷涂路面标线，安装突起路标、轮廓标及其附属工程等有关施工作业。</w:t>
      </w:r>
    </w:p>
    <w:p>
      <w:pPr>
        <w:pStyle w:val="5"/>
        <w:keepLines w:val="0"/>
        <w:adjustRightInd w:val="0"/>
        <w:snapToGrid w:val="0"/>
        <w:spacing w:before="0" w:after="0" w:line="360" w:lineRule="auto"/>
        <w:jc w:val="left"/>
        <w:rPr>
          <w:rFonts w:ascii="宋体" w:hAnsi="宋体" w:eastAsia="宋体"/>
          <w:bCs/>
          <w:sz w:val="24"/>
        </w:rPr>
      </w:pPr>
      <w:bookmarkStart w:id="4703" w:name="_Toc403637027"/>
      <w:bookmarkStart w:id="4704" w:name="_Toc518376699"/>
      <w:bookmarkStart w:id="4705" w:name="_Toc517382646"/>
      <w:bookmarkStart w:id="4706" w:name="_Toc164502263"/>
      <w:bookmarkStart w:id="4707" w:name="_Toc266203784"/>
      <w:bookmarkStart w:id="4708" w:name="_Toc275023313"/>
      <w:bookmarkStart w:id="4709" w:name="_Toc338255194"/>
      <w:bookmarkStart w:id="4710" w:name="_Toc339444424"/>
      <w:bookmarkStart w:id="4711" w:name="_Toc106883440"/>
      <w:bookmarkStart w:id="4712" w:name="_Toc106050183"/>
      <w:bookmarkStart w:id="4713" w:name="_Toc521492878"/>
      <w:bookmarkStart w:id="4714" w:name="_Toc521492021"/>
      <w:bookmarkStart w:id="4715" w:name="_Toc521493552"/>
      <w:r>
        <w:rPr>
          <w:rFonts w:hint="eastAsia" w:ascii="宋体" w:hAnsi="宋体" w:eastAsia="宋体"/>
          <w:sz w:val="24"/>
        </w:rPr>
        <w:t>4.6.8.2</w:t>
      </w:r>
      <w:r>
        <w:rPr>
          <w:rFonts w:ascii="宋体" w:hAnsi="宋体" w:eastAsia="宋体"/>
          <w:sz w:val="24"/>
        </w:rPr>
        <w:t>材料</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adjustRightInd w:val="0"/>
        <w:snapToGrid w:val="0"/>
        <w:spacing w:line="360" w:lineRule="auto"/>
        <w:ind w:firstLine="500" w:firstLineChars="200"/>
        <w:rPr>
          <w:rFonts w:ascii="宋体" w:hAnsi="宋体"/>
          <w:szCs w:val="21"/>
        </w:rPr>
      </w:pPr>
      <w:r>
        <w:rPr>
          <w:rFonts w:ascii="宋体" w:hAnsi="宋体"/>
          <w:szCs w:val="21"/>
        </w:rPr>
        <w:t>1、路面标线所用材料应符合《路面标线涂料》</w:t>
      </w:r>
      <w:r>
        <w:rPr>
          <w:rFonts w:hint="eastAsia" w:ascii="宋体" w:hAnsi="宋体"/>
          <w:szCs w:val="21"/>
        </w:rPr>
        <w:t>（</w:t>
      </w:r>
      <w:r>
        <w:rPr>
          <w:rFonts w:ascii="宋体" w:hAnsi="宋体"/>
          <w:szCs w:val="21"/>
        </w:rPr>
        <w:t>JT/T 280-2004</w:t>
      </w:r>
      <w:r>
        <w:rPr>
          <w:rFonts w:hint="eastAsia" w:ascii="宋体" w:hAnsi="宋体"/>
          <w:szCs w:val="21"/>
        </w:rPr>
        <w:t>）</w:t>
      </w:r>
      <w:r>
        <w:rPr>
          <w:rFonts w:ascii="宋体" w:hAnsi="宋体"/>
          <w:szCs w:val="21"/>
        </w:rPr>
        <w:t>的规定。无论采用哪一种标线材料，应能满足在沥青混凝土路面上耐久使用的要求，且均应有合适的施工机械与之配套。</w:t>
      </w:r>
    </w:p>
    <w:p>
      <w:pPr>
        <w:adjustRightInd w:val="0"/>
        <w:snapToGrid w:val="0"/>
        <w:spacing w:line="360" w:lineRule="auto"/>
        <w:ind w:firstLine="500" w:firstLineChars="200"/>
        <w:rPr>
          <w:rFonts w:ascii="宋体" w:hAnsi="宋体"/>
          <w:szCs w:val="21"/>
        </w:rPr>
      </w:pPr>
      <w:r>
        <w:rPr>
          <w:rFonts w:ascii="宋体" w:hAnsi="宋体"/>
          <w:szCs w:val="21"/>
        </w:rPr>
        <w:t>路面标线涂料的分类如表4-6-1。</w:t>
      </w:r>
    </w:p>
    <w:p>
      <w:pPr>
        <w:pStyle w:val="134"/>
        <w:adjustRightInd w:val="0"/>
        <w:snapToGrid w:val="0"/>
        <w:spacing w:before="0" w:beforeAutospacing="0" w:after="0" w:afterAutospacing="0" w:line="360" w:lineRule="auto"/>
        <w:jc w:val="center"/>
        <w:rPr>
          <w:kern w:val="2"/>
          <w:sz w:val="18"/>
          <w:szCs w:val="18"/>
        </w:rPr>
      </w:pPr>
      <w:r>
        <w:rPr>
          <w:kern w:val="2"/>
          <w:sz w:val="18"/>
          <w:szCs w:val="18"/>
        </w:rPr>
        <w:t xml:space="preserve">表4-6-1路面标线涂料分类  </w:t>
      </w:r>
      <w:r>
        <w:rPr>
          <w:kern w:val="2"/>
          <w:sz w:val="18"/>
          <w:szCs w:val="18"/>
        </w:rPr>
        <w:tab/>
      </w:r>
    </w:p>
    <w:tbl>
      <w:tblPr>
        <w:tblStyle w:val="77"/>
        <w:tblW w:w="837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35"/>
        <w:gridCol w:w="567"/>
        <w:gridCol w:w="1276"/>
        <w:gridCol w:w="5595"/>
        <w:gridCol w:w="50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1002" w:type="dxa"/>
            <w:gridSpan w:val="2"/>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种类</w:t>
            </w:r>
          </w:p>
        </w:tc>
        <w:tc>
          <w:tcPr>
            <w:tcW w:w="1276"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施工时的条件</w:t>
            </w:r>
          </w:p>
        </w:tc>
        <w:tc>
          <w:tcPr>
            <w:tcW w:w="559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玻璃珠含量和使用方法</w:t>
            </w:r>
          </w:p>
        </w:tc>
        <w:tc>
          <w:tcPr>
            <w:tcW w:w="500"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435"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1种</w:t>
            </w: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1号</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常温</w:t>
            </w:r>
          </w:p>
        </w:tc>
        <w:tc>
          <w:tcPr>
            <w:tcW w:w="559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涂料中不含玻璃珠，施工时也不面撤玻璃珠</w:t>
            </w:r>
          </w:p>
        </w:tc>
        <w:tc>
          <w:tcPr>
            <w:tcW w:w="500" w:type="dxa"/>
            <w:vMerge w:val="restart"/>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液态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435"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2号</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559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涂料中不含玻璃珠，施工时随涂料喷嘴后撤布玻璃珠于湿膜上</w:t>
            </w:r>
          </w:p>
        </w:tc>
        <w:tc>
          <w:tcPr>
            <w:tcW w:w="500" w:type="dxa"/>
            <w:vMerge w:val="continue"/>
            <w:tcBorders>
              <w:top w:val="single" w:color="auto" w:sz="4" w:space="0"/>
              <w:left w:val="single" w:color="auto" w:sz="4" w:space="0"/>
              <w:bottom w:val="single" w:color="auto" w:sz="4" w:space="0"/>
              <w:right w:val="single" w:color="auto" w:sz="8" w:space="0"/>
            </w:tcBorders>
            <w:vAlign w:val="center"/>
          </w:tcPr>
          <w:p>
            <w:pPr>
              <w:widowControl/>
              <w:adjustRightInd w:val="0"/>
              <w:snapToGrid w:val="0"/>
              <w:jc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435"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2种</w:t>
            </w: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1号</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加热</w:t>
            </w:r>
          </w:p>
        </w:tc>
        <w:tc>
          <w:tcPr>
            <w:tcW w:w="559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涂料中不含玻璃珠，加热施工时也不面撤玻璃珠</w:t>
            </w:r>
          </w:p>
        </w:tc>
        <w:tc>
          <w:tcPr>
            <w:tcW w:w="500" w:type="dxa"/>
            <w:vMerge w:val="restart"/>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液态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435"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2号</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559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涂料中不含(或含)玻璃珠，加热施工时随喷嘴后撤布玻璃珠于湿膜上</w:t>
            </w:r>
          </w:p>
        </w:tc>
        <w:tc>
          <w:tcPr>
            <w:tcW w:w="500" w:type="dxa"/>
            <w:vMerge w:val="continue"/>
            <w:tcBorders>
              <w:top w:val="single" w:color="auto" w:sz="4" w:space="0"/>
              <w:left w:val="single" w:color="auto" w:sz="4" w:space="0"/>
              <w:bottom w:val="single" w:color="auto" w:sz="4" w:space="0"/>
              <w:right w:val="single" w:color="auto" w:sz="8" w:space="0"/>
            </w:tcBorders>
            <w:vAlign w:val="center"/>
          </w:tcPr>
          <w:p>
            <w:pPr>
              <w:widowControl/>
              <w:adjustRightInd w:val="0"/>
              <w:snapToGrid w:val="0"/>
              <w:jc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435" w:type="dxa"/>
            <w:vMerge w:val="restart"/>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3种</w:t>
            </w: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l号</w:t>
            </w:r>
          </w:p>
        </w:tc>
        <w:tc>
          <w:tcPr>
            <w:tcW w:w="1276" w:type="dxa"/>
            <w:vMerge w:val="restart"/>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热熔</w:t>
            </w:r>
          </w:p>
        </w:tc>
        <w:tc>
          <w:tcPr>
            <w:tcW w:w="559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涂料中不含玻璃珠或含15%以下的玻璃珠，热熔施工时也不面撒玻璃珠</w:t>
            </w:r>
          </w:p>
        </w:tc>
        <w:tc>
          <w:tcPr>
            <w:tcW w:w="500" w:type="dxa"/>
            <w:vMerge w:val="restart"/>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固态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435" w:type="dxa"/>
            <w:vMerge w:val="continue"/>
            <w:tcBorders>
              <w:top w:val="single" w:color="auto" w:sz="4" w:space="0"/>
              <w:left w:val="single" w:color="auto" w:sz="8" w:space="0"/>
              <w:bottom w:val="single" w:color="auto" w:sz="8" w:space="0"/>
              <w:right w:val="single" w:color="auto" w:sz="4" w:space="0"/>
            </w:tcBorders>
            <w:vAlign w:val="center"/>
          </w:tcPr>
          <w:p>
            <w:pPr>
              <w:widowControl/>
              <w:adjustRightInd w:val="0"/>
              <w:snapToGrid w:val="0"/>
              <w:jc w:val="center"/>
              <w:rPr>
                <w:rFonts w:ascii="宋体" w:hAnsi="宋体"/>
                <w:sz w:val="18"/>
                <w:szCs w:val="18"/>
              </w:rPr>
            </w:pPr>
          </w:p>
        </w:tc>
        <w:tc>
          <w:tcPr>
            <w:tcW w:w="567"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2号</w:t>
            </w:r>
          </w:p>
        </w:tc>
        <w:tc>
          <w:tcPr>
            <w:tcW w:w="1276" w:type="dxa"/>
            <w:vMerge w:val="continue"/>
            <w:tcBorders>
              <w:top w:val="single" w:color="auto" w:sz="4" w:space="0"/>
              <w:left w:val="single" w:color="auto" w:sz="4" w:space="0"/>
              <w:bottom w:val="single" w:color="auto" w:sz="8" w:space="0"/>
              <w:right w:val="single" w:color="auto" w:sz="4" w:space="0"/>
            </w:tcBorders>
            <w:vAlign w:val="center"/>
          </w:tcPr>
          <w:p>
            <w:pPr>
              <w:widowControl/>
              <w:adjustRightInd w:val="0"/>
              <w:snapToGrid w:val="0"/>
              <w:jc w:val="center"/>
              <w:rPr>
                <w:rFonts w:ascii="宋体" w:hAnsi="宋体"/>
                <w:sz w:val="18"/>
                <w:szCs w:val="18"/>
              </w:rPr>
            </w:pPr>
          </w:p>
        </w:tc>
        <w:tc>
          <w:tcPr>
            <w:tcW w:w="5595"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涂料中含15%-23%的玻璃珠，热熔施工时再在涂膜上撤布玻璃珠</w:t>
            </w:r>
          </w:p>
        </w:tc>
        <w:tc>
          <w:tcPr>
            <w:tcW w:w="500" w:type="dxa"/>
            <w:vMerge w:val="continue"/>
            <w:tcBorders>
              <w:top w:val="single" w:color="auto" w:sz="4" w:space="0"/>
              <w:left w:val="single" w:color="auto" w:sz="4" w:space="0"/>
              <w:bottom w:val="single" w:color="auto" w:sz="8" w:space="0"/>
              <w:right w:val="single" w:color="auto" w:sz="8" w:space="0"/>
            </w:tcBorders>
            <w:vAlign w:val="center"/>
          </w:tcPr>
          <w:p>
            <w:pPr>
              <w:widowControl/>
              <w:adjustRightInd w:val="0"/>
              <w:snapToGrid w:val="0"/>
              <w:jc w:val="center"/>
              <w:rPr>
                <w:rFonts w:ascii="宋体" w:hAnsi="宋体"/>
                <w:sz w:val="18"/>
                <w:szCs w:val="18"/>
              </w:rPr>
            </w:pPr>
          </w:p>
        </w:tc>
      </w:tr>
    </w:tbl>
    <w:p>
      <w:pPr>
        <w:adjustRightInd w:val="0"/>
        <w:snapToGrid w:val="0"/>
        <w:spacing w:before="203" w:beforeLines="50" w:line="360" w:lineRule="auto"/>
        <w:ind w:firstLine="500" w:firstLineChars="200"/>
        <w:rPr>
          <w:rFonts w:ascii="宋体" w:hAnsi="宋体"/>
          <w:szCs w:val="21"/>
        </w:rPr>
      </w:pPr>
      <w:r>
        <w:rPr>
          <w:rFonts w:ascii="宋体" w:hAnsi="宋体"/>
          <w:szCs w:val="21"/>
        </w:rPr>
        <w:t>2、各类涂料的技术要求应符合表4-6-2、表4-6-3的规定。</w:t>
      </w:r>
    </w:p>
    <w:p>
      <w:pPr>
        <w:adjustRightInd w:val="0"/>
        <w:snapToGrid w:val="0"/>
        <w:spacing w:line="360" w:lineRule="auto"/>
        <w:ind w:firstLine="500" w:firstLineChars="200"/>
        <w:rPr>
          <w:rFonts w:ascii="宋体" w:hAnsi="宋体"/>
          <w:szCs w:val="21"/>
        </w:rPr>
      </w:pPr>
      <w:r>
        <w:rPr>
          <w:rFonts w:ascii="宋体" w:hAnsi="宋体"/>
          <w:szCs w:val="21"/>
        </w:rPr>
        <w:t>热熔型涂料技术要求表4-6-3</w:t>
      </w:r>
    </w:p>
    <w:p>
      <w:pPr>
        <w:adjustRightInd w:val="0"/>
        <w:snapToGrid w:val="0"/>
        <w:spacing w:line="360" w:lineRule="auto"/>
        <w:ind w:firstLine="500" w:firstLineChars="200"/>
        <w:rPr>
          <w:rFonts w:ascii="宋体" w:hAnsi="宋体"/>
          <w:szCs w:val="21"/>
        </w:rPr>
      </w:pPr>
      <w:r>
        <w:rPr>
          <w:rFonts w:ascii="宋体" w:hAnsi="宋体"/>
          <w:szCs w:val="21"/>
        </w:rPr>
        <w:t>3、热熔型涂料用下涂剂</w:t>
      </w:r>
      <w:r>
        <w:rPr>
          <w:rFonts w:hint="eastAsia" w:ascii="宋体" w:hAnsi="宋体"/>
          <w:szCs w:val="21"/>
        </w:rPr>
        <w:t>（</w:t>
      </w:r>
      <w:r>
        <w:rPr>
          <w:rFonts w:ascii="宋体" w:hAnsi="宋体"/>
          <w:szCs w:val="21"/>
        </w:rPr>
        <w:t>底油</w:t>
      </w:r>
      <w:r>
        <w:rPr>
          <w:rFonts w:hint="eastAsia" w:ascii="宋体" w:hAnsi="宋体"/>
          <w:szCs w:val="21"/>
        </w:rPr>
        <w:t>）</w:t>
      </w:r>
      <w:r>
        <w:rPr>
          <w:rFonts w:ascii="宋体" w:hAnsi="宋体"/>
          <w:szCs w:val="21"/>
        </w:rPr>
        <w:t>品质应符合表4-6-4的要求。</w:t>
      </w:r>
    </w:p>
    <w:p>
      <w:pPr>
        <w:adjustRightInd w:val="0"/>
        <w:snapToGrid w:val="0"/>
        <w:spacing w:line="360" w:lineRule="auto"/>
        <w:ind w:firstLine="500" w:firstLineChars="200"/>
        <w:rPr>
          <w:rFonts w:ascii="宋体" w:hAnsi="宋体"/>
          <w:szCs w:val="21"/>
        </w:rPr>
      </w:pPr>
      <w:r>
        <w:rPr>
          <w:rFonts w:ascii="宋体" w:hAnsi="宋体"/>
          <w:szCs w:val="21"/>
        </w:rPr>
        <w:t>4、玻璃珠的品质要求应符合表4-6-5的规定。</w:t>
      </w:r>
    </w:p>
    <w:p>
      <w:pPr>
        <w:adjustRightInd w:val="0"/>
        <w:snapToGrid w:val="0"/>
        <w:spacing w:line="360" w:lineRule="auto"/>
        <w:ind w:firstLine="500" w:firstLineChars="200"/>
        <w:rPr>
          <w:rFonts w:ascii="宋体" w:hAnsi="宋体"/>
          <w:szCs w:val="21"/>
        </w:rPr>
      </w:pPr>
      <w:r>
        <w:rPr>
          <w:rFonts w:ascii="宋体" w:hAnsi="宋体"/>
          <w:szCs w:val="21"/>
        </w:rPr>
        <w:t>5、路面标线涂料的色度性能，其色品坐标和反射比(或亮度因数)应符合表4-6-6的规定和《路面标线涂料》</w:t>
      </w:r>
      <w:r>
        <w:rPr>
          <w:rFonts w:hint="eastAsia" w:ascii="宋体" w:hAnsi="宋体"/>
          <w:szCs w:val="21"/>
        </w:rPr>
        <w:t>（</w:t>
      </w:r>
      <w:r>
        <w:rPr>
          <w:rFonts w:ascii="宋体" w:hAnsi="宋体"/>
          <w:szCs w:val="21"/>
        </w:rPr>
        <w:t>JT</w:t>
      </w:r>
      <w:r>
        <w:rPr>
          <w:rFonts w:hint="eastAsia" w:ascii="宋体" w:hAnsi="宋体"/>
          <w:szCs w:val="21"/>
        </w:rPr>
        <w:t>/</w:t>
      </w:r>
      <w:r>
        <w:rPr>
          <w:rFonts w:ascii="宋体" w:hAnsi="宋体"/>
          <w:szCs w:val="21"/>
        </w:rPr>
        <w:t>T</w:t>
      </w:r>
      <w:r>
        <w:rPr>
          <w:rFonts w:hint="eastAsia" w:ascii="宋体" w:hAnsi="宋体"/>
          <w:szCs w:val="21"/>
        </w:rPr>
        <w:t xml:space="preserve"> </w:t>
      </w:r>
      <w:r>
        <w:rPr>
          <w:rFonts w:ascii="宋体" w:hAnsi="宋体"/>
          <w:szCs w:val="21"/>
        </w:rPr>
        <w:t>280-2004</w:t>
      </w:r>
      <w:r>
        <w:rPr>
          <w:rFonts w:hint="eastAsia" w:ascii="宋体" w:hAnsi="宋体"/>
          <w:szCs w:val="21"/>
        </w:rPr>
        <w:t>）</w:t>
      </w:r>
      <w:r>
        <w:rPr>
          <w:rFonts w:ascii="宋体" w:hAnsi="宋体"/>
          <w:szCs w:val="21"/>
        </w:rPr>
        <w:t>图2中规定的范围。</w:t>
      </w:r>
    </w:p>
    <w:p>
      <w:pPr>
        <w:pStyle w:val="134"/>
        <w:adjustRightInd w:val="0"/>
        <w:snapToGrid w:val="0"/>
        <w:spacing w:before="0" w:beforeAutospacing="0" w:after="0" w:afterAutospacing="0" w:line="360" w:lineRule="auto"/>
        <w:jc w:val="center"/>
        <w:rPr>
          <w:kern w:val="2"/>
          <w:sz w:val="18"/>
          <w:szCs w:val="18"/>
        </w:rPr>
      </w:pPr>
      <w:r>
        <w:rPr>
          <w:kern w:val="2"/>
          <w:sz w:val="18"/>
          <w:szCs w:val="18"/>
        </w:rPr>
        <w:t xml:space="preserve">表4-6-2溶剂常温、加热涂料技术要求  </w:t>
      </w:r>
    </w:p>
    <w:tbl>
      <w:tblPr>
        <w:tblStyle w:val="77"/>
        <w:tblW w:w="824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62"/>
        <w:gridCol w:w="567"/>
        <w:gridCol w:w="1546"/>
        <w:gridCol w:w="1560"/>
        <w:gridCol w:w="1701"/>
        <w:gridCol w:w="17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1729" w:type="dxa"/>
            <w:gridSpan w:val="2"/>
            <w:vMerge w:val="restart"/>
            <w:tcBorders>
              <w:top w:val="single" w:color="auto" w:sz="8" w:space="0"/>
              <w:left w:val="single" w:color="auto" w:sz="8" w:space="0"/>
              <w:bottom w:val="single" w:color="auto" w:sz="4" w:space="0"/>
              <w:right w:val="single" w:color="auto" w:sz="4" w:space="0"/>
            </w:tcBorders>
            <w:vAlign w:val="center"/>
          </w:tcPr>
          <w:p>
            <w:pPr>
              <w:pStyle w:val="4"/>
              <w:adjustRightInd w:val="0"/>
              <w:snapToGrid w:val="0"/>
              <w:ind w:firstLine="380"/>
              <w:jc w:val="center"/>
              <w:rPr>
                <w:rFonts w:ascii="宋体" w:hAnsi="宋体"/>
                <w:sz w:val="18"/>
                <w:szCs w:val="18"/>
              </w:rPr>
            </w:pPr>
            <w:r>
              <w:rPr>
                <w:rFonts w:ascii="宋体" w:hAnsi="宋体"/>
                <w:sz w:val="18"/>
                <w:szCs w:val="18"/>
              </w:rPr>
              <w:t>种类项目</w:t>
            </w:r>
          </w:p>
        </w:tc>
        <w:tc>
          <w:tcPr>
            <w:tcW w:w="3106" w:type="dxa"/>
            <w:gridSpan w:val="2"/>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1种</w:t>
            </w:r>
          </w:p>
        </w:tc>
        <w:tc>
          <w:tcPr>
            <w:tcW w:w="3414" w:type="dxa"/>
            <w:gridSpan w:val="2"/>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2种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1729" w:type="dxa"/>
            <w:gridSpan w:val="2"/>
            <w:vMerge w:val="continue"/>
            <w:tcBorders>
              <w:top w:val="single" w:color="auto" w:sz="8" w:space="0"/>
              <w:left w:val="single" w:color="auto" w:sz="8"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154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1号</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2号</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1号</w:t>
            </w:r>
          </w:p>
        </w:tc>
        <w:tc>
          <w:tcPr>
            <w:tcW w:w="1713"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2号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容器中状态</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应无结块、结皮现象，易于搅匀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密度(g/cm</w:t>
            </w:r>
            <w:r>
              <w:rPr>
                <w:rFonts w:ascii="宋体" w:hAnsi="宋体"/>
                <w:sz w:val="18"/>
                <w:szCs w:val="18"/>
                <w:vertAlign w:val="superscript"/>
              </w:rPr>
              <w:t>3</w:t>
            </w:r>
            <w:r>
              <w:rPr>
                <w:rFonts w:ascii="宋体" w:hAnsi="宋体"/>
                <w:sz w:val="18"/>
                <w:szCs w:val="18"/>
              </w:rPr>
              <w:t>)</w:t>
            </w:r>
          </w:p>
        </w:tc>
        <w:tc>
          <w:tcPr>
            <w:tcW w:w="31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≥1.2</w:t>
            </w:r>
          </w:p>
        </w:tc>
        <w:tc>
          <w:tcPr>
            <w:tcW w:w="3414"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粘度</w:t>
            </w:r>
          </w:p>
        </w:tc>
        <w:tc>
          <w:tcPr>
            <w:tcW w:w="31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≥80(涂4杯，s)</w:t>
            </w:r>
          </w:p>
        </w:tc>
        <w:tc>
          <w:tcPr>
            <w:tcW w:w="3414"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90～130(KU值)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纫度(μm)</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≤65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施工性能</w:t>
            </w:r>
          </w:p>
        </w:tc>
        <w:tc>
          <w:tcPr>
            <w:tcW w:w="31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刷涂、空气或无空气喷涂施工性能良好</w:t>
            </w:r>
          </w:p>
        </w:tc>
        <w:tc>
          <w:tcPr>
            <w:tcW w:w="3414"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加热至40～60℃时无空气喷涂性能良好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加热稳定性</w:t>
            </w:r>
          </w:p>
        </w:tc>
        <w:tc>
          <w:tcPr>
            <w:tcW w:w="31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3414"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满足试验时“容器中的状态”，KU值≤140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涂膜外观</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应无发皱、泛花、起泡、开裂、发粘等现象，涂膜颜色和外观应与标准板差异不大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5" w:hRule="exact"/>
          <w:jc w:val="center"/>
        </w:trPr>
        <w:tc>
          <w:tcPr>
            <w:tcW w:w="116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不粘胎干燥时间</w:t>
            </w:r>
            <w:r>
              <w:rPr>
                <w:rFonts w:hint="eastAsia" w:ascii="宋体" w:hAnsi="宋体"/>
                <w:sz w:val="18"/>
                <w:szCs w:val="18"/>
              </w:rPr>
              <w:t>（</w:t>
            </w:r>
            <w:r>
              <w:rPr>
                <w:rFonts w:ascii="宋体" w:hAnsi="宋体"/>
                <w:sz w:val="18"/>
                <w:szCs w:val="18"/>
              </w:rPr>
              <w:t>min</w:t>
            </w:r>
            <w:r>
              <w:rPr>
                <w:rFonts w:hint="eastAsia" w:ascii="宋体" w:hAnsi="宋体"/>
                <w:sz w:val="18"/>
                <w:szCs w:val="18"/>
              </w:rPr>
              <w:t>）</w:t>
            </w: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31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≤15</w:t>
            </w:r>
          </w:p>
        </w:tc>
        <w:tc>
          <w:tcPr>
            <w:tcW w:w="3414"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162"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遮盖率</w:t>
            </w: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白色</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≥0.95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162"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黄色</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≥0.80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162"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色度性能</w:t>
            </w:r>
          </w:p>
          <w:p>
            <w:pPr>
              <w:adjustRightInd w:val="0"/>
              <w:snapToGrid w:val="0"/>
              <w:jc w:val="center"/>
              <w:rPr>
                <w:rFonts w:ascii="宋体" w:hAnsi="宋体"/>
                <w:sz w:val="18"/>
                <w:szCs w:val="18"/>
              </w:rPr>
            </w:pPr>
            <w:r>
              <w:rPr>
                <w:rFonts w:hint="eastAsia" w:ascii="宋体" w:hAnsi="宋体"/>
                <w:sz w:val="18"/>
                <w:szCs w:val="18"/>
              </w:rPr>
              <w:t>（</w:t>
            </w:r>
            <w:r>
              <w:rPr>
                <w:rFonts w:ascii="宋体" w:hAnsi="宋体"/>
                <w:sz w:val="18"/>
                <w:szCs w:val="18"/>
              </w:rPr>
              <w:t>45°</w:t>
            </w:r>
            <w:r>
              <w:rPr>
                <w:rFonts w:hint="eastAsia" w:ascii="宋体" w:hAnsi="宋体"/>
                <w:sz w:val="18"/>
                <w:szCs w:val="18"/>
              </w:rPr>
              <w:t>/</w:t>
            </w:r>
            <w:r>
              <w:rPr>
                <w:rFonts w:ascii="宋体" w:hAnsi="宋体"/>
                <w:sz w:val="18"/>
                <w:szCs w:val="18"/>
              </w:rPr>
              <w:t>0°</w:t>
            </w:r>
            <w:r>
              <w:rPr>
                <w:rFonts w:hint="eastAsia" w:ascii="宋体" w:hAnsi="宋体"/>
                <w:sz w:val="18"/>
                <w:szCs w:val="18"/>
              </w:rPr>
              <w:t>）</w:t>
            </w: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白色</w:t>
            </w:r>
          </w:p>
        </w:tc>
        <w:tc>
          <w:tcPr>
            <w:tcW w:w="6520" w:type="dxa"/>
            <w:gridSpan w:val="4"/>
            <w:vMerge w:val="restart"/>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按《路面标线涂料》</w:t>
            </w:r>
            <w:r>
              <w:rPr>
                <w:rFonts w:hint="eastAsia" w:ascii="宋体" w:hAnsi="宋体"/>
                <w:sz w:val="18"/>
                <w:szCs w:val="18"/>
              </w:rPr>
              <w:t>（</w:t>
            </w:r>
            <w:r>
              <w:rPr>
                <w:rFonts w:ascii="宋体" w:hAnsi="宋体"/>
                <w:sz w:val="18"/>
                <w:szCs w:val="18"/>
              </w:rPr>
              <w:t>JT/T 280-2004</w:t>
            </w:r>
            <w:r>
              <w:rPr>
                <w:rFonts w:hint="eastAsia" w:ascii="宋体" w:hAnsi="宋体"/>
                <w:sz w:val="18"/>
                <w:szCs w:val="18"/>
              </w:rPr>
              <w:t>）</w:t>
            </w:r>
            <w:r>
              <w:rPr>
                <w:rFonts w:ascii="宋体" w:hAnsi="宋体"/>
                <w:sz w:val="18"/>
                <w:szCs w:val="18"/>
              </w:rPr>
              <w:t>中第6.1.10条规定的方法测试，涂料颜色的色品坐标和反射比应符合《路面标线涂料》</w:t>
            </w:r>
            <w:r>
              <w:rPr>
                <w:rFonts w:hint="eastAsia" w:ascii="宋体" w:hAnsi="宋体"/>
                <w:sz w:val="18"/>
                <w:szCs w:val="18"/>
              </w:rPr>
              <w:t>（</w:t>
            </w:r>
            <w:r>
              <w:rPr>
                <w:rFonts w:ascii="宋体" w:hAnsi="宋体"/>
                <w:sz w:val="18"/>
                <w:szCs w:val="18"/>
              </w:rPr>
              <w:t>JT/T 280-2004</w:t>
            </w:r>
            <w:r>
              <w:rPr>
                <w:rFonts w:hint="eastAsia" w:ascii="宋体" w:hAnsi="宋体"/>
                <w:sz w:val="18"/>
                <w:szCs w:val="18"/>
              </w:rPr>
              <w:t>）</w:t>
            </w:r>
            <w:r>
              <w:rPr>
                <w:rFonts w:ascii="宋体" w:hAnsi="宋体"/>
                <w:sz w:val="18"/>
                <w:szCs w:val="18"/>
              </w:rPr>
              <w:t>第5.5节表6和图2中规定的范围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162"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黄色</w:t>
            </w:r>
          </w:p>
        </w:tc>
        <w:tc>
          <w:tcPr>
            <w:tcW w:w="6520"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162"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渗色</w:t>
            </w: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白色</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沥青毡上涂面1号的反射比≥65，2号的反射比≥35，反射对比率≥0.80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162"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黄色</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反射对比率≥0.80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99"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耐磨性</w:t>
            </w:r>
          </w:p>
          <w:p>
            <w:pPr>
              <w:adjustRightInd w:val="0"/>
              <w:snapToGrid w:val="0"/>
              <w:jc w:val="center"/>
              <w:rPr>
                <w:rFonts w:ascii="宋体" w:hAnsi="宋体"/>
                <w:sz w:val="18"/>
                <w:szCs w:val="18"/>
              </w:rPr>
            </w:pPr>
            <w:r>
              <w:rPr>
                <w:rFonts w:hint="eastAsia" w:ascii="宋体" w:hAnsi="宋体"/>
                <w:sz w:val="18"/>
                <w:szCs w:val="18"/>
              </w:rPr>
              <w:t>（</w:t>
            </w:r>
            <w:r>
              <w:rPr>
                <w:rFonts w:ascii="宋体" w:hAnsi="宋体"/>
                <w:sz w:val="18"/>
                <w:szCs w:val="18"/>
              </w:rPr>
              <w:t>200转</w:t>
            </w:r>
            <w:r>
              <w:rPr>
                <w:rFonts w:hint="eastAsia" w:ascii="宋体" w:hAnsi="宋体"/>
                <w:sz w:val="18"/>
                <w:szCs w:val="18"/>
              </w:rPr>
              <w:t>/</w:t>
            </w:r>
            <w:r>
              <w:rPr>
                <w:rFonts w:ascii="宋体" w:hAnsi="宋体"/>
                <w:sz w:val="18"/>
                <w:szCs w:val="18"/>
              </w:rPr>
              <w:t>1000g</w:t>
            </w:r>
          </w:p>
          <w:p>
            <w:pPr>
              <w:adjustRightInd w:val="0"/>
              <w:snapToGrid w:val="0"/>
              <w:jc w:val="center"/>
              <w:rPr>
                <w:rFonts w:ascii="宋体" w:hAnsi="宋体"/>
                <w:sz w:val="18"/>
                <w:szCs w:val="18"/>
              </w:rPr>
            </w:pPr>
            <w:r>
              <w:rPr>
                <w:rFonts w:ascii="宋体" w:hAnsi="宋体"/>
                <w:sz w:val="18"/>
                <w:szCs w:val="18"/>
              </w:rPr>
              <w:t>后减重，mg</w:t>
            </w:r>
            <w:r>
              <w:rPr>
                <w:rFonts w:hint="eastAsia" w:ascii="宋体" w:hAnsi="宋体"/>
                <w:sz w:val="18"/>
                <w:szCs w:val="18"/>
              </w:rPr>
              <w:t>）</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耐水性</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在水中浸24h应无异常现象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耐碱性</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在氢氧化钙饱和溶液中浸24h应无异常现象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柔韧性(5mm)</w:t>
            </w:r>
          </w:p>
        </w:tc>
        <w:tc>
          <w:tcPr>
            <w:tcW w:w="6520" w:type="dxa"/>
            <w:gridSpan w:val="4"/>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应无开裂、剥离现象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729"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固体含量</w:t>
            </w:r>
            <w:r>
              <w:rPr>
                <w:rFonts w:hint="eastAsia" w:ascii="宋体" w:hAnsi="宋体"/>
                <w:sz w:val="18"/>
                <w:szCs w:val="18"/>
              </w:rPr>
              <w:t>（</w:t>
            </w:r>
            <w:r>
              <w:rPr>
                <w:rFonts w:ascii="宋体" w:hAnsi="宋体"/>
                <w:sz w:val="18"/>
                <w:szCs w:val="18"/>
              </w:rPr>
              <w:t>％</w:t>
            </w:r>
            <w:r>
              <w:rPr>
                <w:rFonts w:hint="eastAsia" w:ascii="宋体" w:hAnsi="宋体"/>
                <w:sz w:val="18"/>
                <w:szCs w:val="18"/>
              </w:rPr>
              <w:t>）</w:t>
            </w:r>
          </w:p>
        </w:tc>
        <w:tc>
          <w:tcPr>
            <w:tcW w:w="31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≥60</w:t>
            </w:r>
          </w:p>
        </w:tc>
        <w:tc>
          <w:tcPr>
            <w:tcW w:w="3414"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≥65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162" w:type="dxa"/>
            <w:vMerge w:val="restart"/>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逆反射系数</w:t>
            </w:r>
          </w:p>
          <w:p>
            <w:pPr>
              <w:adjustRightInd w:val="0"/>
              <w:snapToGrid w:val="0"/>
              <w:jc w:val="center"/>
              <w:rPr>
                <w:rFonts w:ascii="宋体" w:hAnsi="宋体"/>
                <w:sz w:val="18"/>
                <w:szCs w:val="18"/>
              </w:rPr>
            </w:pPr>
            <w:r>
              <w:rPr>
                <w:rFonts w:ascii="宋体" w:hAnsi="宋体"/>
                <w:sz w:val="18"/>
                <w:szCs w:val="18"/>
              </w:rPr>
              <w:t>[mcd/(lx·m</w:t>
            </w:r>
            <w:r>
              <w:rPr>
                <w:rFonts w:ascii="宋体" w:hAnsi="宋体"/>
                <w:sz w:val="18"/>
                <w:szCs w:val="18"/>
                <w:vertAlign w:val="superscript"/>
              </w:rPr>
              <w:t>2</w:t>
            </w:r>
            <w:r>
              <w:rPr>
                <w:rFonts w:ascii="宋体" w:hAnsi="宋体"/>
                <w:sz w:val="18"/>
                <w:szCs w:val="18"/>
              </w:rPr>
              <w:t>)]</w:t>
            </w:r>
          </w:p>
        </w:tc>
        <w:tc>
          <w:tcPr>
            <w:tcW w:w="56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白色</w:t>
            </w:r>
          </w:p>
        </w:tc>
        <w:tc>
          <w:tcPr>
            <w:tcW w:w="154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≥200</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1713"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≥200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162" w:type="dxa"/>
            <w:vMerge w:val="continue"/>
            <w:tcBorders>
              <w:top w:val="single" w:color="auto" w:sz="4" w:space="0"/>
              <w:left w:val="single" w:color="auto" w:sz="8" w:space="0"/>
              <w:bottom w:val="single" w:color="auto" w:sz="8" w:space="0"/>
              <w:right w:val="single" w:color="auto" w:sz="4" w:space="0"/>
            </w:tcBorders>
            <w:vAlign w:val="center"/>
          </w:tcPr>
          <w:p>
            <w:pPr>
              <w:widowControl/>
              <w:adjustRightInd w:val="0"/>
              <w:snapToGrid w:val="0"/>
              <w:jc w:val="center"/>
              <w:rPr>
                <w:rFonts w:ascii="宋体" w:hAnsi="宋体"/>
                <w:sz w:val="18"/>
                <w:szCs w:val="18"/>
              </w:rPr>
            </w:pPr>
          </w:p>
        </w:tc>
        <w:tc>
          <w:tcPr>
            <w:tcW w:w="567"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黄色</w:t>
            </w:r>
          </w:p>
        </w:tc>
        <w:tc>
          <w:tcPr>
            <w:tcW w:w="1546"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p>
        </w:tc>
        <w:tc>
          <w:tcPr>
            <w:tcW w:w="1560"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≥100</w:t>
            </w:r>
          </w:p>
        </w:tc>
        <w:tc>
          <w:tcPr>
            <w:tcW w:w="1701"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p>
        </w:tc>
        <w:tc>
          <w:tcPr>
            <w:tcW w:w="1713" w:type="dxa"/>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≥100</w:t>
            </w:r>
          </w:p>
        </w:tc>
      </w:tr>
    </w:tbl>
    <w:p>
      <w:pPr>
        <w:pStyle w:val="134"/>
        <w:adjustRightInd w:val="0"/>
        <w:snapToGrid w:val="0"/>
        <w:spacing w:before="203" w:beforeLines="50" w:beforeAutospacing="0" w:after="0" w:afterAutospacing="0" w:line="360" w:lineRule="auto"/>
        <w:jc w:val="center"/>
        <w:rPr>
          <w:kern w:val="2"/>
          <w:sz w:val="18"/>
          <w:szCs w:val="18"/>
        </w:rPr>
      </w:pPr>
      <w:r>
        <w:rPr>
          <w:kern w:val="2"/>
          <w:sz w:val="18"/>
          <w:szCs w:val="18"/>
        </w:rPr>
        <w:t>表4-6-3热熔型涂料技术要求</w:t>
      </w:r>
      <w:r>
        <w:rPr>
          <w:kern w:val="2"/>
          <w:sz w:val="18"/>
          <w:szCs w:val="18"/>
        </w:rPr>
        <w:tab/>
      </w:r>
    </w:p>
    <w:tbl>
      <w:tblPr>
        <w:tblStyle w:val="77"/>
        <w:tblW w:w="79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524"/>
        <w:gridCol w:w="606"/>
        <w:gridCol w:w="3136"/>
        <w:gridCol w:w="27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2130" w:type="dxa"/>
            <w:gridSpan w:val="2"/>
            <w:vMerge w:val="restart"/>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项目</w:t>
            </w:r>
          </w:p>
        </w:tc>
        <w:tc>
          <w:tcPr>
            <w:tcW w:w="5850" w:type="dxa"/>
            <w:gridSpan w:val="2"/>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3种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2130" w:type="dxa"/>
            <w:gridSpan w:val="2"/>
            <w:vMerge w:val="continue"/>
            <w:tcBorders>
              <w:top w:val="single" w:color="auto" w:sz="8"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31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1号</w:t>
            </w:r>
          </w:p>
        </w:tc>
        <w:tc>
          <w:tcPr>
            <w:tcW w:w="2714"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2号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密度(g/cm</w:t>
            </w:r>
            <w:r>
              <w:rPr>
                <w:rFonts w:ascii="宋体" w:hAnsi="宋体"/>
                <w:sz w:val="18"/>
                <w:szCs w:val="18"/>
                <w:vertAlign w:val="superscript"/>
              </w:rPr>
              <w:t>3</w:t>
            </w:r>
            <w:r>
              <w:rPr>
                <w:rFonts w:ascii="宋体" w:hAnsi="宋体"/>
                <w:sz w:val="18"/>
                <w:szCs w:val="18"/>
              </w:rPr>
              <w:t>)</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1.8～2.3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软化点(℃)</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90～120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8"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涂膜外观</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sz w:val="18"/>
                <w:szCs w:val="18"/>
              </w:rPr>
            </w:pPr>
            <w:r>
              <w:rPr>
                <w:rFonts w:ascii="宋体" w:hAnsi="宋体"/>
                <w:sz w:val="18"/>
                <w:szCs w:val="18"/>
              </w:rPr>
              <w:t>涂膜冷凝后应无皱纹、斑点、起泡、裂纹、脱落及表面无发枯现象，涂膜的颜色和外观应与标准板差异不大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不粘胎干燥时间(min)</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524"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色度性能</w:t>
            </w:r>
          </w:p>
        </w:tc>
        <w:tc>
          <w:tcPr>
            <w:tcW w:w="60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白色</w:t>
            </w:r>
          </w:p>
        </w:tc>
        <w:tc>
          <w:tcPr>
            <w:tcW w:w="5850" w:type="dxa"/>
            <w:gridSpan w:val="2"/>
            <w:vMerge w:val="restart"/>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sz w:val="18"/>
                <w:szCs w:val="18"/>
              </w:rPr>
            </w:pPr>
            <w:r>
              <w:rPr>
                <w:rFonts w:ascii="宋体" w:hAnsi="宋体"/>
                <w:sz w:val="18"/>
                <w:szCs w:val="18"/>
              </w:rPr>
              <w:t>按《路面标线涂料》(JT/T 280-2004)中第6.2.6条规定的方法测试，涂膜颜色的色品坐标和反射比应符合《路面标线涂料》(JT/T 280-2004)中第5.5节表6和图2中规定的范围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524"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60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黄色</w:t>
            </w:r>
          </w:p>
        </w:tc>
        <w:tc>
          <w:tcPr>
            <w:tcW w:w="585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抗压强度(MPa)</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8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耐磨性</w:t>
            </w:r>
          </w:p>
          <w:p>
            <w:pPr>
              <w:adjustRightInd w:val="0"/>
              <w:snapToGrid w:val="0"/>
              <w:jc w:val="center"/>
              <w:rPr>
                <w:rFonts w:ascii="宋体" w:hAnsi="宋体"/>
                <w:sz w:val="18"/>
                <w:szCs w:val="18"/>
              </w:rPr>
            </w:pPr>
            <w:r>
              <w:rPr>
                <w:rFonts w:ascii="宋体" w:hAnsi="宋体"/>
                <w:sz w:val="18"/>
                <w:szCs w:val="18"/>
              </w:rPr>
              <w:t>(300转/1000g后减重，mg)</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耐水性</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sz w:val="18"/>
                <w:szCs w:val="18"/>
              </w:rPr>
            </w:pPr>
            <w:r>
              <w:rPr>
                <w:rFonts w:ascii="宋体" w:hAnsi="宋体"/>
                <w:sz w:val="18"/>
                <w:szCs w:val="18"/>
              </w:rPr>
              <w:t>在水中浸24h应无异常现象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耐碱性</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sz w:val="18"/>
                <w:szCs w:val="18"/>
              </w:rPr>
            </w:pPr>
            <w:r>
              <w:rPr>
                <w:rFonts w:ascii="宋体" w:hAnsi="宋体"/>
                <w:sz w:val="18"/>
                <w:szCs w:val="18"/>
              </w:rPr>
              <w:t>在氢氧化钙饱和溶液中浸24h应无异常现象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加热残留分(%)</w:t>
            </w:r>
          </w:p>
        </w:tc>
        <w:tc>
          <w:tcPr>
            <w:tcW w:w="5850" w:type="dxa"/>
            <w:gridSpan w:val="2"/>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≥99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玻璃珠含量(%)</w:t>
            </w:r>
          </w:p>
        </w:tc>
        <w:tc>
          <w:tcPr>
            <w:tcW w:w="31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＜15</w:t>
            </w:r>
          </w:p>
        </w:tc>
        <w:tc>
          <w:tcPr>
            <w:tcW w:w="2714"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15～23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30" w:type="dxa"/>
            <w:gridSpan w:val="2"/>
            <w:tcBorders>
              <w:top w:val="single" w:color="auto" w:sz="4"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流动度(mm)</w:t>
            </w:r>
          </w:p>
        </w:tc>
        <w:tc>
          <w:tcPr>
            <w:tcW w:w="31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30±5</w:t>
            </w:r>
          </w:p>
        </w:tc>
        <w:tc>
          <w:tcPr>
            <w:tcW w:w="2714"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35±8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524"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逆反射系数</w:t>
            </w:r>
          </w:p>
          <w:p>
            <w:pPr>
              <w:adjustRightInd w:val="0"/>
              <w:snapToGrid w:val="0"/>
              <w:jc w:val="center"/>
              <w:rPr>
                <w:rFonts w:ascii="宋体" w:hAnsi="宋体"/>
                <w:sz w:val="18"/>
                <w:szCs w:val="18"/>
              </w:rPr>
            </w:pPr>
            <w:r>
              <w:rPr>
                <w:rFonts w:ascii="宋体" w:hAnsi="宋体"/>
                <w:sz w:val="18"/>
                <w:szCs w:val="18"/>
              </w:rPr>
              <w:t>[mcd(lx·m</w:t>
            </w:r>
            <w:r>
              <w:rPr>
                <w:rFonts w:ascii="宋体" w:hAnsi="宋体"/>
                <w:sz w:val="18"/>
                <w:szCs w:val="18"/>
                <w:vertAlign w:val="superscript"/>
              </w:rPr>
              <w:t>2</w:t>
            </w:r>
            <w:r>
              <w:rPr>
                <w:rFonts w:ascii="宋体" w:hAnsi="宋体"/>
                <w:sz w:val="18"/>
                <w:szCs w:val="18"/>
              </w:rPr>
              <w:t>)]</w:t>
            </w:r>
          </w:p>
        </w:tc>
        <w:tc>
          <w:tcPr>
            <w:tcW w:w="60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白色</w:t>
            </w:r>
          </w:p>
        </w:tc>
        <w:tc>
          <w:tcPr>
            <w:tcW w:w="31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2714"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≥200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524"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60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黄色</w:t>
            </w:r>
          </w:p>
        </w:tc>
        <w:tc>
          <w:tcPr>
            <w:tcW w:w="31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2714"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07" w:hRule="exact"/>
          <w:jc w:val="center"/>
        </w:trPr>
        <w:tc>
          <w:tcPr>
            <w:tcW w:w="2130" w:type="dxa"/>
            <w:gridSpan w:val="2"/>
            <w:tcBorders>
              <w:top w:val="single" w:color="auto" w:sz="4" w:space="0"/>
              <w:left w:val="single" w:color="auto" w:sz="8" w:space="0"/>
              <w:bottom w:val="single" w:color="auto" w:sz="8"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耐侯性</w:t>
            </w:r>
          </w:p>
        </w:tc>
        <w:tc>
          <w:tcPr>
            <w:tcW w:w="5850" w:type="dxa"/>
            <w:gridSpan w:val="2"/>
            <w:tcBorders>
              <w:top w:val="single" w:color="auto" w:sz="4" w:space="0"/>
              <w:left w:val="single" w:color="auto" w:sz="4" w:space="0"/>
              <w:bottom w:val="single" w:color="auto" w:sz="8" w:space="0"/>
              <w:right w:val="single" w:color="auto" w:sz="8" w:space="0"/>
            </w:tcBorders>
            <w:vAlign w:val="center"/>
          </w:tcPr>
          <w:p>
            <w:pPr>
              <w:adjustRightInd w:val="0"/>
              <w:snapToGrid w:val="0"/>
              <w:rPr>
                <w:rFonts w:ascii="宋体" w:hAnsi="宋体"/>
                <w:sz w:val="18"/>
                <w:szCs w:val="18"/>
              </w:rPr>
            </w:pPr>
            <w:r>
              <w:rPr>
                <w:rFonts w:ascii="宋体" w:hAnsi="宋体"/>
                <w:sz w:val="18"/>
                <w:szCs w:val="18"/>
              </w:rPr>
              <w:t>经12个月试验，涂膜的起皱、斑点、裂纹、脱落及变色等都不应大于标准样板</w:t>
            </w:r>
          </w:p>
        </w:tc>
      </w:tr>
    </w:tbl>
    <w:p>
      <w:pPr>
        <w:pStyle w:val="134"/>
        <w:adjustRightInd w:val="0"/>
        <w:snapToGrid w:val="0"/>
        <w:spacing w:before="203" w:beforeLines="50" w:beforeAutospacing="0" w:after="0" w:afterAutospacing="0" w:line="360" w:lineRule="auto"/>
        <w:jc w:val="center"/>
        <w:rPr>
          <w:kern w:val="2"/>
          <w:sz w:val="18"/>
          <w:szCs w:val="18"/>
        </w:rPr>
      </w:pPr>
      <w:r>
        <w:rPr>
          <w:kern w:val="2"/>
          <w:sz w:val="18"/>
          <w:szCs w:val="18"/>
        </w:rPr>
        <w:t>表4-6-4下涂剂</w:t>
      </w:r>
      <w:r>
        <w:rPr>
          <w:rFonts w:hint="eastAsia"/>
          <w:kern w:val="2"/>
          <w:sz w:val="18"/>
          <w:szCs w:val="18"/>
        </w:rPr>
        <w:t>（</w:t>
      </w:r>
      <w:r>
        <w:rPr>
          <w:kern w:val="2"/>
          <w:sz w:val="18"/>
          <w:szCs w:val="18"/>
        </w:rPr>
        <w:t>底油</w:t>
      </w:r>
      <w:r>
        <w:rPr>
          <w:rFonts w:hint="eastAsia"/>
          <w:kern w:val="2"/>
          <w:sz w:val="18"/>
          <w:szCs w:val="18"/>
        </w:rPr>
        <w:t>）</w:t>
      </w:r>
      <w:r>
        <w:rPr>
          <w:kern w:val="2"/>
          <w:sz w:val="18"/>
          <w:szCs w:val="18"/>
        </w:rPr>
        <w:t>品质要求</w:t>
      </w:r>
      <w:r>
        <w:rPr>
          <w:kern w:val="2"/>
          <w:sz w:val="18"/>
          <w:szCs w:val="18"/>
        </w:rPr>
        <w:tab/>
      </w:r>
      <w:r>
        <w:rPr>
          <w:rFonts w:hint="eastAsia"/>
          <w:kern w:val="2"/>
          <w:sz w:val="18"/>
          <w:szCs w:val="18"/>
        </w:rPr>
        <w:t xml:space="preserve">    </w:t>
      </w:r>
    </w:p>
    <w:tbl>
      <w:tblPr>
        <w:tblStyle w:val="77"/>
        <w:tblW w:w="799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2154"/>
        <w:gridCol w:w="3123"/>
        <w:gridCol w:w="1545"/>
        <w:gridCol w:w="11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9" w:hRule="exact"/>
          <w:jc w:val="center"/>
        </w:trPr>
        <w:tc>
          <w:tcPr>
            <w:tcW w:w="2154"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颜色</w:t>
            </w:r>
          </w:p>
        </w:tc>
        <w:tc>
          <w:tcPr>
            <w:tcW w:w="3123"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固体含量</w:t>
            </w:r>
          </w:p>
          <w:p>
            <w:pPr>
              <w:adjustRightInd w:val="0"/>
              <w:snapToGrid w:val="0"/>
              <w:jc w:val="center"/>
              <w:rPr>
                <w:rFonts w:ascii="宋体" w:hAnsi="宋体"/>
                <w:sz w:val="18"/>
                <w:szCs w:val="18"/>
              </w:rPr>
            </w:pPr>
            <w:r>
              <w:rPr>
                <w:rFonts w:hint="eastAsia" w:ascii="宋体" w:hAnsi="宋体"/>
                <w:sz w:val="18"/>
                <w:szCs w:val="18"/>
              </w:rPr>
              <w:t>（%）</w:t>
            </w:r>
          </w:p>
        </w:tc>
        <w:tc>
          <w:tcPr>
            <w:tcW w:w="154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涂面量</w:t>
            </w:r>
          </w:p>
          <w:p>
            <w:pPr>
              <w:adjustRightInd w:val="0"/>
              <w:snapToGrid w:val="0"/>
              <w:jc w:val="center"/>
              <w:rPr>
                <w:rFonts w:ascii="宋体" w:hAnsi="宋体"/>
                <w:sz w:val="18"/>
                <w:szCs w:val="18"/>
              </w:rPr>
            </w:pPr>
            <w:r>
              <w:rPr>
                <w:rFonts w:hint="eastAsia" w:ascii="宋体" w:hAnsi="宋体"/>
                <w:sz w:val="18"/>
                <w:szCs w:val="18"/>
              </w:rPr>
              <w:t>（</w:t>
            </w:r>
            <w:r>
              <w:rPr>
                <w:rFonts w:ascii="宋体" w:hAnsi="宋体"/>
                <w:sz w:val="18"/>
                <w:szCs w:val="18"/>
              </w:rPr>
              <w:t>g/m</w:t>
            </w:r>
            <w:r>
              <w:rPr>
                <w:rFonts w:ascii="宋体" w:hAnsi="宋体"/>
                <w:sz w:val="18"/>
                <w:szCs w:val="18"/>
                <w:vertAlign w:val="superscript"/>
              </w:rPr>
              <w:t>2</w:t>
            </w:r>
            <w:r>
              <w:rPr>
                <w:rFonts w:hint="eastAsia" w:ascii="宋体" w:hAnsi="宋体"/>
                <w:sz w:val="18"/>
                <w:szCs w:val="18"/>
              </w:rPr>
              <w:t>）</w:t>
            </w:r>
          </w:p>
        </w:tc>
        <w:tc>
          <w:tcPr>
            <w:tcW w:w="1170"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干燥时间</w:t>
            </w:r>
            <w:r>
              <w:rPr>
                <w:rFonts w:hint="eastAsia" w:ascii="宋体" w:hAnsi="宋体"/>
                <w:sz w:val="18"/>
                <w:szCs w:val="18"/>
              </w:rPr>
              <w:t>（</w:t>
            </w:r>
            <w:r>
              <w:rPr>
                <w:rFonts w:ascii="宋体" w:hAnsi="宋体"/>
                <w:sz w:val="18"/>
                <w:szCs w:val="18"/>
              </w:rPr>
              <w:t>min</w:t>
            </w:r>
            <w:r>
              <w:rPr>
                <w:rFonts w:hint="eastAsia" w:ascii="宋体" w:hAnsi="宋体"/>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154"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无色透明或琥珀色液体</w:t>
            </w:r>
          </w:p>
        </w:tc>
        <w:tc>
          <w:tcPr>
            <w:tcW w:w="3123"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30±5</w:t>
            </w:r>
          </w:p>
        </w:tc>
        <w:tc>
          <w:tcPr>
            <w:tcW w:w="1545"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150～200</w:t>
            </w:r>
          </w:p>
        </w:tc>
        <w:tc>
          <w:tcPr>
            <w:tcW w:w="1170" w:type="dxa"/>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≤±5</w:t>
            </w:r>
          </w:p>
        </w:tc>
      </w:tr>
    </w:tbl>
    <w:p>
      <w:pPr>
        <w:pStyle w:val="134"/>
        <w:adjustRightInd w:val="0"/>
        <w:snapToGrid w:val="0"/>
        <w:spacing w:before="203" w:beforeLines="50" w:beforeAutospacing="0" w:after="0" w:afterAutospacing="0" w:line="360" w:lineRule="auto"/>
        <w:jc w:val="center"/>
        <w:rPr>
          <w:kern w:val="2"/>
          <w:sz w:val="18"/>
          <w:szCs w:val="18"/>
        </w:rPr>
      </w:pPr>
      <w:r>
        <w:rPr>
          <w:kern w:val="2"/>
          <w:sz w:val="18"/>
          <w:szCs w:val="18"/>
        </w:rPr>
        <w:t>表4-6-5玻璃珠品质要求</w:t>
      </w:r>
      <w:r>
        <w:rPr>
          <w:kern w:val="2"/>
          <w:sz w:val="18"/>
          <w:szCs w:val="18"/>
        </w:rPr>
        <w:tab/>
      </w:r>
    </w:p>
    <w:tbl>
      <w:tblPr>
        <w:tblStyle w:val="7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2212"/>
        <w:gridCol w:w="1732"/>
        <w:gridCol w:w="1347"/>
        <w:gridCol w:w="386"/>
        <w:gridCol w:w="758"/>
        <w:gridCol w:w="10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221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种类项目</w:t>
            </w:r>
          </w:p>
        </w:tc>
        <w:tc>
          <w:tcPr>
            <w:tcW w:w="3079" w:type="dxa"/>
            <w:gridSpan w:val="2"/>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1号</w:t>
            </w:r>
          </w:p>
        </w:tc>
        <w:tc>
          <w:tcPr>
            <w:tcW w:w="2213" w:type="dxa"/>
            <w:gridSpan w:val="3"/>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2号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21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容器中玻璃珠状态</w:t>
            </w:r>
          </w:p>
        </w:tc>
        <w:tc>
          <w:tcPr>
            <w:tcW w:w="5292" w:type="dxa"/>
            <w:gridSpan w:val="5"/>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粒状或松散团状，清洁无杂质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71" w:hRule="exact"/>
          <w:jc w:val="center"/>
        </w:trPr>
        <w:tc>
          <w:tcPr>
            <w:tcW w:w="221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密度(g/cm</w:t>
            </w:r>
            <w:r>
              <w:rPr>
                <w:rFonts w:ascii="宋体" w:hAnsi="宋体"/>
                <w:sz w:val="18"/>
                <w:szCs w:val="18"/>
                <w:vertAlign w:val="superscript"/>
              </w:rPr>
              <w:t>3</w:t>
            </w:r>
            <w:r>
              <w:rPr>
                <w:rFonts w:ascii="宋体" w:hAnsi="宋体"/>
                <w:sz w:val="18"/>
                <w:szCs w:val="18"/>
              </w:rPr>
              <w:t>)</w:t>
            </w:r>
          </w:p>
          <w:p>
            <w:pPr>
              <w:adjustRightInd w:val="0"/>
              <w:snapToGrid w:val="0"/>
              <w:jc w:val="center"/>
              <w:rPr>
                <w:rFonts w:ascii="宋体" w:hAnsi="宋体"/>
                <w:sz w:val="18"/>
                <w:szCs w:val="18"/>
              </w:rPr>
            </w:pPr>
            <w:r>
              <w:rPr>
                <w:rFonts w:ascii="宋体" w:hAnsi="宋体"/>
                <w:sz w:val="18"/>
                <w:szCs w:val="18"/>
              </w:rPr>
              <w:t>(在23℃±2℃的二甲苯中)</w:t>
            </w:r>
          </w:p>
        </w:tc>
        <w:tc>
          <w:tcPr>
            <w:tcW w:w="5292" w:type="dxa"/>
            <w:gridSpan w:val="5"/>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2.4～2.6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9" w:hRule="exact"/>
          <w:jc w:val="center"/>
        </w:trPr>
        <w:tc>
          <w:tcPr>
            <w:tcW w:w="2212"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粒径</w:t>
            </w:r>
          </w:p>
        </w:tc>
        <w:tc>
          <w:tcPr>
            <w:tcW w:w="173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标准筛筛号(目)</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筛余物(%)</w:t>
            </w:r>
          </w:p>
        </w:tc>
        <w:tc>
          <w:tcPr>
            <w:tcW w:w="75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标准筛筛号(目)</w:t>
            </w:r>
          </w:p>
        </w:tc>
        <w:tc>
          <w:tcPr>
            <w:tcW w:w="106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筛余物(%)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212"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173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20</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w:t>
            </w:r>
          </w:p>
        </w:tc>
        <w:tc>
          <w:tcPr>
            <w:tcW w:w="75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30</w:t>
            </w:r>
          </w:p>
        </w:tc>
        <w:tc>
          <w:tcPr>
            <w:tcW w:w="106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212"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173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20～30</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5～30</w:t>
            </w:r>
          </w:p>
        </w:tc>
        <w:tc>
          <w:tcPr>
            <w:tcW w:w="75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106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212"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173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30～50</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30～80</w:t>
            </w:r>
          </w:p>
        </w:tc>
        <w:tc>
          <w:tcPr>
            <w:tcW w:w="75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30～50</w:t>
            </w:r>
          </w:p>
        </w:tc>
        <w:tc>
          <w:tcPr>
            <w:tcW w:w="106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40～90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212"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173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50～140</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10～40</w:t>
            </w:r>
          </w:p>
        </w:tc>
        <w:tc>
          <w:tcPr>
            <w:tcW w:w="75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106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212"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173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140以下</w:t>
            </w:r>
          </w:p>
        </w:tc>
        <w:tc>
          <w:tcPr>
            <w:tcW w:w="173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95～100</w:t>
            </w:r>
          </w:p>
        </w:tc>
        <w:tc>
          <w:tcPr>
            <w:tcW w:w="75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100</w:t>
            </w:r>
          </w:p>
        </w:tc>
        <w:tc>
          <w:tcPr>
            <w:tcW w:w="106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95～100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1" w:hRule="exact"/>
          <w:jc w:val="center"/>
        </w:trPr>
        <w:tc>
          <w:tcPr>
            <w:tcW w:w="221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外观</w:t>
            </w:r>
          </w:p>
        </w:tc>
        <w:tc>
          <w:tcPr>
            <w:tcW w:w="5292" w:type="dxa"/>
            <w:gridSpan w:val="5"/>
            <w:tcBorders>
              <w:top w:val="single" w:color="auto" w:sz="4" w:space="0"/>
              <w:left w:val="single" w:color="auto" w:sz="4" w:space="0"/>
              <w:bottom w:val="single" w:color="auto" w:sz="4" w:space="0"/>
              <w:right w:val="single" w:color="auto" w:sz="8" w:space="0"/>
            </w:tcBorders>
            <w:vAlign w:val="center"/>
          </w:tcPr>
          <w:p>
            <w:pPr>
              <w:adjustRightInd w:val="0"/>
              <w:snapToGrid w:val="0"/>
              <w:rPr>
                <w:rFonts w:ascii="宋体" w:hAnsi="宋体"/>
                <w:sz w:val="18"/>
                <w:szCs w:val="18"/>
              </w:rPr>
            </w:pPr>
            <w:r>
              <w:rPr>
                <w:rFonts w:ascii="宋体" w:hAnsi="宋体"/>
                <w:sz w:val="18"/>
                <w:szCs w:val="18"/>
              </w:rPr>
              <w:t>无色透明球状，扩大10～50倍观察时，熔融团、片状、尖状物、有色气泡等瑕疵珠不应超过总量的20%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221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折射率(20℃浸渍法)</w:t>
            </w:r>
          </w:p>
        </w:tc>
        <w:tc>
          <w:tcPr>
            <w:tcW w:w="5292" w:type="dxa"/>
            <w:gridSpan w:val="5"/>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85" w:hRule="exact"/>
          <w:jc w:val="center"/>
        </w:trPr>
        <w:tc>
          <w:tcPr>
            <w:tcW w:w="221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耐水性</w:t>
            </w:r>
          </w:p>
        </w:tc>
        <w:tc>
          <w:tcPr>
            <w:tcW w:w="5292" w:type="dxa"/>
            <w:gridSpan w:val="5"/>
            <w:tcBorders>
              <w:top w:val="single" w:color="auto" w:sz="4" w:space="0"/>
              <w:left w:val="single" w:color="auto" w:sz="4" w:space="0"/>
              <w:bottom w:val="single" w:color="auto" w:sz="8" w:space="0"/>
              <w:right w:val="single" w:color="auto" w:sz="8" w:space="0"/>
            </w:tcBorders>
            <w:vAlign w:val="center"/>
          </w:tcPr>
          <w:p>
            <w:pPr>
              <w:adjustRightInd w:val="0"/>
              <w:snapToGrid w:val="0"/>
              <w:rPr>
                <w:rFonts w:ascii="宋体" w:hAnsi="宋体"/>
                <w:sz w:val="18"/>
                <w:szCs w:val="18"/>
              </w:rPr>
            </w:pPr>
            <w:r>
              <w:rPr>
                <w:rFonts w:ascii="宋体" w:hAnsi="宋体"/>
                <w:sz w:val="18"/>
                <w:szCs w:val="18"/>
              </w:rPr>
              <w:t>取10g样品放于100ml蒸馏水中，于沸腾水浴中加热1h后冷却，玻璃珠表面不应出现模糊状。中和这100ml水所需O.01M的盐酸应在10ml以下</w:t>
            </w:r>
          </w:p>
        </w:tc>
      </w:tr>
    </w:tbl>
    <w:p>
      <w:pPr>
        <w:pStyle w:val="134"/>
        <w:adjustRightInd w:val="0"/>
        <w:snapToGrid w:val="0"/>
        <w:spacing w:before="203" w:beforeLines="50" w:beforeAutospacing="0" w:after="0" w:afterAutospacing="0" w:line="360" w:lineRule="auto"/>
        <w:jc w:val="center"/>
        <w:rPr>
          <w:kern w:val="2"/>
          <w:sz w:val="18"/>
          <w:szCs w:val="18"/>
        </w:rPr>
      </w:pPr>
      <w:r>
        <w:rPr>
          <w:sz w:val="18"/>
          <w:szCs w:val="18"/>
        </w:rPr>
        <w:tab/>
      </w:r>
      <w:r>
        <w:rPr>
          <w:kern w:val="2"/>
          <w:sz w:val="18"/>
          <w:szCs w:val="18"/>
        </w:rPr>
        <w:t>表4-6-6色品坐标和反射比(或亮度因数)</w:t>
      </w:r>
      <w:r>
        <w:rPr>
          <w:kern w:val="2"/>
          <w:sz w:val="18"/>
          <w:szCs w:val="18"/>
        </w:rPr>
        <w:tab/>
      </w:r>
    </w:p>
    <w:tbl>
      <w:tblPr>
        <w:tblStyle w:val="77"/>
        <w:tblW w:w="75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21"/>
        <w:gridCol w:w="774"/>
        <w:gridCol w:w="945"/>
        <w:gridCol w:w="636"/>
        <w:gridCol w:w="720"/>
        <w:gridCol w:w="720"/>
        <w:gridCol w:w="720"/>
        <w:gridCol w:w="218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1594" w:type="dxa"/>
            <w:gridSpan w:val="2"/>
            <w:vMerge w:val="restart"/>
            <w:tcBorders>
              <w:top w:val="single" w:color="auto" w:sz="8" w:space="0"/>
              <w:left w:val="single" w:color="auto" w:sz="8" w:space="0"/>
              <w:bottom w:val="single" w:color="auto" w:sz="4" w:space="0"/>
              <w:right w:val="single" w:color="auto" w:sz="4" w:space="0"/>
            </w:tcBorders>
            <w:vAlign w:val="center"/>
          </w:tcPr>
          <w:p>
            <w:pPr>
              <w:adjustRightInd w:val="0"/>
              <w:snapToGrid w:val="0"/>
              <w:rPr>
                <w:rFonts w:ascii="宋体" w:hAnsi="宋体"/>
                <w:sz w:val="18"/>
                <w:szCs w:val="18"/>
              </w:rPr>
            </w:pPr>
            <w:r>
              <w:rPr>
                <w:rFonts w:ascii="宋体" w:hAnsi="宋体"/>
                <w:sz w:val="18"/>
                <w:szCs w:val="18"/>
              </w:rPr>
              <w:t>角点坐标颜色</w:t>
            </w:r>
          </w:p>
        </w:tc>
        <w:tc>
          <w:tcPr>
            <w:tcW w:w="5929" w:type="dxa"/>
            <w:gridSpan w:val="6"/>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色品坐标光源：标准光源D65(几何45°/0°)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2368" w:type="dxa"/>
            <w:gridSpan w:val="2"/>
            <w:vMerge w:val="continue"/>
            <w:tcBorders>
              <w:top w:val="single" w:color="auto" w:sz="8"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9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4</w:t>
            </w:r>
          </w:p>
        </w:tc>
        <w:tc>
          <w:tcPr>
            <w:tcW w:w="2188"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光反射比(%)(或亮度因数)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820"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表面色</w:t>
            </w:r>
          </w:p>
        </w:tc>
        <w:tc>
          <w:tcPr>
            <w:tcW w:w="77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白</w:t>
            </w:r>
          </w:p>
        </w:tc>
        <w:tc>
          <w:tcPr>
            <w:tcW w:w="9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x</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0.350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0.300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0.290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0.340</w:t>
            </w:r>
          </w:p>
        </w:tc>
        <w:tc>
          <w:tcPr>
            <w:tcW w:w="2188" w:type="dxa"/>
            <w:vMerge w:val="restart"/>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≥75        (</w:t>
            </w:r>
            <w:r>
              <w:rPr>
                <w:rFonts w:hint="eastAsia" w:ascii="宋体" w:hAnsi="宋体"/>
                <w:sz w:val="18"/>
                <w:szCs w:val="18"/>
              </w:rPr>
              <w:t>0.</w:t>
            </w:r>
            <w:r>
              <w:rPr>
                <w:rFonts w:ascii="宋体" w:hAnsi="宋体"/>
                <w:sz w:val="18"/>
                <w:szCs w:val="18"/>
              </w:rPr>
              <w:t>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1594"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77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9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Y</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0.360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0.310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0.320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0.370</w:t>
            </w:r>
          </w:p>
        </w:tc>
        <w:tc>
          <w:tcPr>
            <w:tcW w:w="2188" w:type="dxa"/>
            <w:vMerge w:val="continue"/>
            <w:tcBorders>
              <w:top w:val="single" w:color="auto" w:sz="4" w:space="0"/>
              <w:left w:val="single" w:color="auto" w:sz="4" w:space="0"/>
              <w:bottom w:val="single" w:color="auto" w:sz="4" w:space="0"/>
              <w:right w:val="single" w:color="auto" w:sz="8" w:space="0"/>
            </w:tcBorders>
            <w:vAlign w:val="center"/>
          </w:tcPr>
          <w:p>
            <w:pPr>
              <w:widowControl/>
              <w:adjustRightInd w:val="0"/>
              <w:snapToGrid w:val="0"/>
              <w:jc w:val="left"/>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1594"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77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黄</w:t>
            </w:r>
          </w:p>
        </w:tc>
        <w:tc>
          <w:tcPr>
            <w:tcW w:w="9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x</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0.531</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0.464</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0.427</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0.477</w:t>
            </w:r>
          </w:p>
        </w:tc>
        <w:tc>
          <w:tcPr>
            <w:tcW w:w="2188" w:type="dxa"/>
            <w:vMerge w:val="restart"/>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≥45        (0.45)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1594"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77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9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Y</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0.468</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0.534</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0.483</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0.433</w:t>
            </w:r>
          </w:p>
        </w:tc>
        <w:tc>
          <w:tcPr>
            <w:tcW w:w="2188" w:type="dxa"/>
            <w:vMerge w:val="continue"/>
            <w:tcBorders>
              <w:top w:val="single" w:color="auto" w:sz="4" w:space="0"/>
              <w:left w:val="single" w:color="auto" w:sz="4" w:space="0"/>
              <w:bottom w:val="single" w:color="auto" w:sz="4" w:space="0"/>
              <w:right w:val="single" w:color="auto" w:sz="8" w:space="0"/>
            </w:tcBorders>
            <w:vAlign w:val="center"/>
          </w:tcPr>
          <w:p>
            <w:pPr>
              <w:widowControl/>
              <w:adjustRightInd w:val="0"/>
              <w:snapToGrid w:val="0"/>
              <w:jc w:val="left"/>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820" w:type="dxa"/>
            <w:vMerge w:val="restart"/>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逆向反</w:t>
            </w:r>
          </w:p>
          <w:p>
            <w:pPr>
              <w:adjustRightInd w:val="0"/>
              <w:snapToGrid w:val="0"/>
              <w:jc w:val="center"/>
              <w:rPr>
                <w:rFonts w:ascii="宋体" w:hAnsi="宋体"/>
                <w:sz w:val="18"/>
                <w:szCs w:val="18"/>
              </w:rPr>
            </w:pPr>
            <w:r>
              <w:rPr>
                <w:rFonts w:ascii="宋体" w:hAnsi="宋体"/>
                <w:sz w:val="18"/>
                <w:szCs w:val="18"/>
              </w:rPr>
              <w:t>射物色</w:t>
            </w:r>
          </w:p>
        </w:tc>
        <w:tc>
          <w:tcPr>
            <w:tcW w:w="77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白</w:t>
            </w:r>
          </w:p>
        </w:tc>
        <w:tc>
          <w:tcPr>
            <w:tcW w:w="9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x</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0.350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0.300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0.290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0.340</w:t>
            </w:r>
          </w:p>
        </w:tc>
        <w:tc>
          <w:tcPr>
            <w:tcW w:w="2188" w:type="dxa"/>
            <w:vMerge w:val="restart"/>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≥35        (0.35)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1594" w:type="dxa"/>
            <w:vMerge w:val="continue"/>
            <w:tcBorders>
              <w:top w:val="single" w:color="auto" w:sz="4" w:space="0"/>
              <w:left w:val="single" w:color="auto" w:sz="8" w:space="0"/>
              <w:bottom w:val="single" w:color="auto" w:sz="8" w:space="0"/>
              <w:right w:val="single" w:color="auto" w:sz="4" w:space="0"/>
            </w:tcBorders>
            <w:vAlign w:val="center"/>
          </w:tcPr>
          <w:p>
            <w:pPr>
              <w:widowControl/>
              <w:adjustRightInd w:val="0"/>
              <w:snapToGrid w:val="0"/>
              <w:jc w:val="left"/>
              <w:rPr>
                <w:rFonts w:ascii="宋体" w:hAnsi="宋体"/>
                <w:sz w:val="18"/>
                <w:szCs w:val="18"/>
              </w:rPr>
            </w:pPr>
          </w:p>
        </w:tc>
        <w:tc>
          <w:tcPr>
            <w:tcW w:w="77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sz w:val="18"/>
                <w:szCs w:val="18"/>
              </w:rPr>
            </w:pPr>
          </w:p>
        </w:tc>
        <w:tc>
          <w:tcPr>
            <w:tcW w:w="9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y</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0.360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0.310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0.320</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0.370</w:t>
            </w:r>
          </w:p>
        </w:tc>
        <w:tc>
          <w:tcPr>
            <w:tcW w:w="2188" w:type="dxa"/>
            <w:vMerge w:val="continue"/>
            <w:tcBorders>
              <w:top w:val="single" w:color="auto" w:sz="4" w:space="0"/>
              <w:left w:val="single" w:color="auto" w:sz="4" w:space="0"/>
              <w:bottom w:val="single" w:color="auto" w:sz="4" w:space="0"/>
              <w:right w:val="single" w:color="auto" w:sz="8" w:space="0"/>
            </w:tcBorders>
            <w:vAlign w:val="center"/>
          </w:tcPr>
          <w:p>
            <w:pPr>
              <w:widowControl/>
              <w:adjustRightInd w:val="0"/>
              <w:snapToGrid w:val="0"/>
              <w:jc w:val="left"/>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1594" w:type="dxa"/>
            <w:vMerge w:val="continue"/>
            <w:tcBorders>
              <w:top w:val="single" w:color="auto" w:sz="4" w:space="0"/>
              <w:left w:val="single" w:color="auto" w:sz="8" w:space="0"/>
              <w:bottom w:val="single" w:color="auto" w:sz="8" w:space="0"/>
              <w:right w:val="single" w:color="auto" w:sz="4" w:space="0"/>
            </w:tcBorders>
            <w:vAlign w:val="center"/>
          </w:tcPr>
          <w:p>
            <w:pPr>
              <w:widowControl/>
              <w:adjustRightInd w:val="0"/>
              <w:snapToGrid w:val="0"/>
              <w:jc w:val="left"/>
              <w:rPr>
                <w:rFonts w:ascii="宋体" w:hAnsi="宋体"/>
                <w:sz w:val="18"/>
                <w:szCs w:val="18"/>
              </w:rPr>
            </w:pPr>
          </w:p>
        </w:tc>
        <w:tc>
          <w:tcPr>
            <w:tcW w:w="774" w:type="dxa"/>
            <w:vMerge w:val="restart"/>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黄</w:t>
            </w:r>
          </w:p>
        </w:tc>
        <w:tc>
          <w:tcPr>
            <w:tcW w:w="94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x</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0.531</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0.464</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0.427</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0.477</w:t>
            </w:r>
          </w:p>
        </w:tc>
        <w:tc>
          <w:tcPr>
            <w:tcW w:w="2188" w:type="dxa"/>
            <w:vMerge w:val="restart"/>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≥27        (0.27)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cantSplit/>
          <w:trHeight w:val="397" w:hRule="exact"/>
          <w:jc w:val="center"/>
        </w:trPr>
        <w:tc>
          <w:tcPr>
            <w:tcW w:w="1594" w:type="dxa"/>
            <w:vMerge w:val="continue"/>
            <w:tcBorders>
              <w:top w:val="single" w:color="auto" w:sz="4" w:space="0"/>
              <w:left w:val="single" w:color="auto" w:sz="8" w:space="0"/>
              <w:bottom w:val="single" w:color="auto" w:sz="8" w:space="0"/>
              <w:right w:val="single" w:color="auto" w:sz="4" w:space="0"/>
            </w:tcBorders>
            <w:vAlign w:val="center"/>
          </w:tcPr>
          <w:p>
            <w:pPr>
              <w:widowControl/>
              <w:adjustRightInd w:val="0"/>
              <w:snapToGrid w:val="0"/>
              <w:jc w:val="left"/>
              <w:rPr>
                <w:rFonts w:ascii="宋体" w:hAnsi="宋体"/>
                <w:sz w:val="18"/>
                <w:szCs w:val="18"/>
              </w:rPr>
            </w:pPr>
          </w:p>
        </w:tc>
        <w:tc>
          <w:tcPr>
            <w:tcW w:w="774" w:type="dxa"/>
            <w:vMerge w:val="continue"/>
            <w:tcBorders>
              <w:top w:val="single" w:color="auto" w:sz="4" w:space="0"/>
              <w:left w:val="single" w:color="auto" w:sz="4" w:space="0"/>
              <w:bottom w:val="single" w:color="auto" w:sz="8" w:space="0"/>
              <w:right w:val="single" w:color="auto" w:sz="4" w:space="0"/>
            </w:tcBorders>
            <w:vAlign w:val="center"/>
          </w:tcPr>
          <w:p>
            <w:pPr>
              <w:widowControl/>
              <w:adjustRightInd w:val="0"/>
              <w:snapToGrid w:val="0"/>
              <w:jc w:val="left"/>
              <w:rPr>
                <w:rFonts w:ascii="宋体" w:hAnsi="宋体"/>
                <w:sz w:val="18"/>
                <w:szCs w:val="18"/>
              </w:rPr>
            </w:pPr>
          </w:p>
        </w:tc>
        <w:tc>
          <w:tcPr>
            <w:tcW w:w="945"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y</w:t>
            </w:r>
          </w:p>
        </w:tc>
        <w:tc>
          <w:tcPr>
            <w:tcW w:w="636"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0.468</w:t>
            </w:r>
          </w:p>
        </w:tc>
        <w:tc>
          <w:tcPr>
            <w:tcW w:w="720"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0.534</w:t>
            </w:r>
          </w:p>
        </w:tc>
        <w:tc>
          <w:tcPr>
            <w:tcW w:w="720"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0.483</w:t>
            </w:r>
          </w:p>
        </w:tc>
        <w:tc>
          <w:tcPr>
            <w:tcW w:w="720"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0.433</w:t>
            </w:r>
          </w:p>
        </w:tc>
        <w:tc>
          <w:tcPr>
            <w:tcW w:w="2188" w:type="dxa"/>
            <w:vMerge w:val="continue"/>
            <w:tcBorders>
              <w:top w:val="single" w:color="auto" w:sz="4" w:space="0"/>
              <w:left w:val="single" w:color="auto" w:sz="4" w:space="0"/>
              <w:bottom w:val="single" w:color="auto" w:sz="8" w:space="0"/>
              <w:right w:val="single" w:color="auto" w:sz="8" w:space="0"/>
            </w:tcBorders>
            <w:vAlign w:val="center"/>
          </w:tcPr>
          <w:p>
            <w:pPr>
              <w:widowControl/>
              <w:adjustRightInd w:val="0"/>
              <w:snapToGrid w:val="0"/>
              <w:jc w:val="left"/>
              <w:rPr>
                <w:rFonts w:ascii="宋体" w:hAnsi="宋体"/>
                <w:sz w:val="18"/>
                <w:szCs w:val="18"/>
              </w:rPr>
            </w:pPr>
          </w:p>
        </w:tc>
      </w:tr>
    </w:tbl>
    <w:p>
      <w:pPr>
        <w:adjustRightInd w:val="0"/>
        <w:snapToGrid w:val="0"/>
        <w:spacing w:before="203" w:beforeLines="50" w:line="360" w:lineRule="auto"/>
        <w:ind w:firstLine="500" w:firstLineChars="200"/>
        <w:rPr>
          <w:rFonts w:ascii="宋体" w:hAnsi="宋体"/>
          <w:szCs w:val="21"/>
        </w:rPr>
      </w:pPr>
      <w:r>
        <w:rPr>
          <w:rFonts w:ascii="宋体" w:hAnsi="宋体"/>
          <w:szCs w:val="21"/>
        </w:rPr>
        <w:t>6、材料的检验、包装、运输和储存</w:t>
      </w:r>
    </w:p>
    <w:p>
      <w:pPr>
        <w:adjustRightInd w:val="0"/>
        <w:snapToGrid w:val="0"/>
        <w:spacing w:line="360" w:lineRule="auto"/>
        <w:ind w:firstLine="500" w:firstLineChars="200"/>
        <w:rPr>
          <w:rFonts w:ascii="宋体" w:hAnsi="宋体"/>
          <w:szCs w:val="21"/>
        </w:rPr>
      </w:pPr>
      <w:r>
        <w:rPr>
          <w:rFonts w:hint="eastAsia" w:ascii="宋体" w:hAnsi="宋体"/>
          <w:szCs w:val="21"/>
        </w:rPr>
        <w:t>（1）</w:t>
      </w:r>
      <w:r>
        <w:rPr>
          <w:rFonts w:ascii="宋体" w:hAnsi="宋体"/>
          <w:szCs w:val="21"/>
        </w:rPr>
        <w:t>材料由生产厂的检验部门按《路面标线涂料》(JT/T 280-2004)的规定进行检验，并保证所有出厂产品都应符合规定的技术指标。产品应有合格证，另附有使用说明及注意事项。</w:t>
      </w:r>
    </w:p>
    <w:p>
      <w:pPr>
        <w:adjustRightInd w:val="0"/>
        <w:snapToGrid w:val="0"/>
        <w:spacing w:line="360" w:lineRule="auto"/>
        <w:ind w:firstLine="500" w:firstLineChars="200"/>
        <w:rPr>
          <w:rFonts w:ascii="宋体" w:hAnsi="宋体"/>
          <w:szCs w:val="21"/>
        </w:rPr>
      </w:pPr>
      <w:r>
        <w:rPr>
          <w:rFonts w:hint="eastAsia" w:ascii="宋体" w:hAnsi="宋体"/>
          <w:szCs w:val="21"/>
        </w:rPr>
        <w:t>（2）</w:t>
      </w:r>
      <w:r>
        <w:rPr>
          <w:rFonts w:ascii="宋体" w:hAnsi="宋体"/>
          <w:szCs w:val="21"/>
        </w:rPr>
        <w:t>承包商应向项目监理提供拟使用来自供应厂商合格的每种材料的样品和使用说明。产品按《色漆、清漆和色漆与清漆用原材料取样》(GB 3186-2006)的规定进行取样，样品应分两份，一份密封储存备查，另一份作为检验试验之用。样品经试验同意后，将作为以后来料比较的依据。</w:t>
      </w:r>
    </w:p>
    <w:p>
      <w:pPr>
        <w:adjustRightInd w:val="0"/>
        <w:snapToGrid w:val="0"/>
        <w:spacing w:line="360" w:lineRule="auto"/>
        <w:ind w:firstLine="500" w:firstLineChars="200"/>
        <w:rPr>
          <w:rFonts w:ascii="宋体" w:hAnsi="宋体"/>
          <w:szCs w:val="21"/>
        </w:rPr>
      </w:pPr>
      <w:r>
        <w:rPr>
          <w:rFonts w:hint="eastAsia" w:ascii="宋体" w:hAnsi="宋体"/>
          <w:szCs w:val="21"/>
        </w:rPr>
        <w:t>（3）</w:t>
      </w:r>
      <w:r>
        <w:rPr>
          <w:rFonts w:ascii="宋体" w:hAnsi="宋体"/>
          <w:szCs w:val="21"/>
        </w:rPr>
        <w:t>材料同意使用后，在交货前应对每批预定材料取样，并进行试验。在生产中，必要时项目监理可以在生产过程中取样并进行检验，以保证其符合规定的产品标准。所有试样应明确标出生产厂商的批量编号和生产日期。每次产品装运时应附上与最初提供的样品一致的证明书。</w:t>
      </w:r>
    </w:p>
    <w:p>
      <w:pPr>
        <w:adjustRightInd w:val="0"/>
        <w:snapToGrid w:val="0"/>
        <w:spacing w:line="360" w:lineRule="auto"/>
        <w:ind w:firstLine="500" w:firstLineChars="200"/>
        <w:rPr>
          <w:rFonts w:ascii="宋体" w:hAnsi="宋体"/>
          <w:szCs w:val="21"/>
        </w:rPr>
      </w:pPr>
      <w:r>
        <w:rPr>
          <w:rFonts w:hint="eastAsia" w:ascii="宋体" w:hAnsi="宋体"/>
          <w:szCs w:val="21"/>
        </w:rPr>
        <w:t>（4）</w:t>
      </w:r>
      <w:r>
        <w:rPr>
          <w:rFonts w:ascii="宋体" w:hAnsi="宋体"/>
          <w:szCs w:val="21"/>
        </w:rPr>
        <w:t>产品的包装，除玻璃珠应符合规范外，涂料可用内衬密封塑料袋外加编织袋的双层包装袋包装，袋口应严密封闭。</w:t>
      </w:r>
    </w:p>
    <w:p>
      <w:pPr>
        <w:adjustRightInd w:val="0"/>
        <w:snapToGrid w:val="0"/>
        <w:spacing w:line="360" w:lineRule="auto"/>
        <w:ind w:firstLine="500" w:firstLineChars="200"/>
        <w:rPr>
          <w:rFonts w:ascii="宋体" w:hAnsi="宋体"/>
          <w:szCs w:val="21"/>
        </w:rPr>
      </w:pPr>
      <w:r>
        <w:rPr>
          <w:rFonts w:hint="eastAsia" w:ascii="宋体" w:hAnsi="宋体"/>
          <w:szCs w:val="21"/>
        </w:rPr>
        <w:t>（5）</w:t>
      </w:r>
      <w:r>
        <w:rPr>
          <w:rFonts w:ascii="宋体" w:hAnsi="宋体"/>
          <w:szCs w:val="21"/>
        </w:rPr>
        <w:t>产品在存放时应保持通风、干燥，防止日光直接照射，并应隔绝火源，夏季温度过高时应设法降温。</w:t>
      </w:r>
    </w:p>
    <w:p>
      <w:pPr>
        <w:adjustRightInd w:val="0"/>
        <w:snapToGrid w:val="0"/>
        <w:spacing w:line="360" w:lineRule="auto"/>
        <w:ind w:firstLine="500" w:firstLineChars="200"/>
        <w:rPr>
          <w:rFonts w:ascii="宋体" w:hAnsi="宋体"/>
          <w:szCs w:val="21"/>
        </w:rPr>
      </w:pPr>
      <w:r>
        <w:rPr>
          <w:rFonts w:hint="eastAsia" w:ascii="宋体" w:hAnsi="宋体"/>
          <w:szCs w:val="21"/>
        </w:rPr>
        <w:t>（6）</w:t>
      </w:r>
      <w:r>
        <w:rPr>
          <w:rFonts w:ascii="宋体" w:hAnsi="宋体"/>
          <w:szCs w:val="21"/>
        </w:rPr>
        <w:t>产品在运输时应防止雨淋、日晒，应采用集装箱运输，并符合运输部门的有关规定。</w:t>
      </w:r>
    </w:p>
    <w:p>
      <w:pPr>
        <w:adjustRightInd w:val="0"/>
        <w:snapToGrid w:val="0"/>
        <w:spacing w:line="360" w:lineRule="auto"/>
        <w:ind w:firstLine="500" w:firstLineChars="200"/>
        <w:rPr>
          <w:rFonts w:ascii="宋体" w:hAnsi="宋体"/>
          <w:szCs w:val="21"/>
        </w:rPr>
      </w:pPr>
      <w:r>
        <w:rPr>
          <w:rFonts w:hint="eastAsia" w:ascii="宋体" w:hAnsi="宋体"/>
          <w:szCs w:val="21"/>
        </w:rPr>
        <w:t>（7）</w:t>
      </w:r>
      <w:r>
        <w:rPr>
          <w:rFonts w:ascii="宋体" w:hAnsi="宋体"/>
          <w:szCs w:val="21"/>
        </w:rPr>
        <w:t>产品应标明贮存期；超过贮存期应按《路面标线涂料》(JT/T 280-2004)规定的项目进行检验，不合格者，不得使用。</w:t>
      </w:r>
    </w:p>
    <w:p>
      <w:pPr>
        <w:adjustRightInd w:val="0"/>
        <w:snapToGrid w:val="0"/>
        <w:spacing w:line="360" w:lineRule="auto"/>
        <w:ind w:firstLine="500" w:firstLineChars="200"/>
        <w:rPr>
          <w:rFonts w:ascii="宋体" w:hAnsi="宋体"/>
          <w:szCs w:val="21"/>
        </w:rPr>
      </w:pPr>
      <w:r>
        <w:rPr>
          <w:rFonts w:hint="eastAsia" w:ascii="宋体" w:hAnsi="宋体"/>
          <w:szCs w:val="21"/>
        </w:rPr>
        <w:t>（8）</w:t>
      </w:r>
      <w:r>
        <w:rPr>
          <w:rFonts w:ascii="宋体" w:hAnsi="宋体"/>
          <w:szCs w:val="21"/>
        </w:rPr>
        <w:t>玻璃珠的包装应符合下列要求：</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宜采用柔软耐磨的黄麻袋或其他纺织袋包装，里面衬以衬垫，保证在运输过程中不被污染或包装破损。每包应含有不少于25kg净重的玻璃珠。所有包装应明显标出玻璃珠的种类、质量(以千克计)、批数及制造商名称。</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存储在封闭包内一年的玻璃珠不应结块。</w:t>
      </w:r>
    </w:p>
    <w:p>
      <w:pPr>
        <w:adjustRightInd w:val="0"/>
        <w:snapToGrid w:val="0"/>
        <w:spacing w:line="360" w:lineRule="auto"/>
        <w:ind w:firstLine="500" w:firstLineChars="200"/>
        <w:rPr>
          <w:rFonts w:ascii="宋体" w:hAnsi="宋体"/>
          <w:szCs w:val="21"/>
        </w:rPr>
      </w:pPr>
      <w:r>
        <w:rPr>
          <w:rFonts w:ascii="宋体" w:hAnsi="宋体"/>
          <w:szCs w:val="21"/>
        </w:rPr>
        <w:t>7、涂料试验</w:t>
      </w:r>
    </w:p>
    <w:p>
      <w:pPr>
        <w:adjustRightInd w:val="0"/>
        <w:snapToGrid w:val="0"/>
        <w:spacing w:line="360" w:lineRule="auto"/>
        <w:ind w:firstLine="500" w:firstLineChars="200"/>
        <w:rPr>
          <w:rFonts w:ascii="宋体" w:hAnsi="宋体"/>
          <w:szCs w:val="21"/>
        </w:rPr>
      </w:pPr>
      <w:r>
        <w:rPr>
          <w:rFonts w:hint="eastAsia" w:ascii="宋体" w:hAnsi="宋体"/>
          <w:szCs w:val="21"/>
        </w:rPr>
        <w:t>（1）</w:t>
      </w:r>
      <w:r>
        <w:rPr>
          <w:rFonts w:ascii="宋体" w:hAnsi="宋体"/>
          <w:szCs w:val="21"/>
        </w:rPr>
        <w:t>项目监理可提前指示承包商按《路面标线涂料》(JT/T 280-2004)规定的试验方法，并参见表805-2～表805-4质量要求进行试验，以确定材料是否合格；并在项目监理指定的地段进行实地试验，以便吸取经验。</w:t>
      </w:r>
    </w:p>
    <w:p>
      <w:pPr>
        <w:adjustRightInd w:val="0"/>
        <w:snapToGrid w:val="0"/>
        <w:spacing w:line="360" w:lineRule="auto"/>
        <w:ind w:firstLine="500" w:firstLineChars="200"/>
        <w:rPr>
          <w:rFonts w:ascii="宋体" w:hAnsi="宋体"/>
          <w:szCs w:val="21"/>
        </w:rPr>
      </w:pPr>
      <w:r>
        <w:rPr>
          <w:rFonts w:hint="eastAsia" w:ascii="宋体" w:hAnsi="宋体"/>
          <w:szCs w:val="21"/>
        </w:rPr>
        <w:t>（2）</w:t>
      </w:r>
      <w:r>
        <w:rPr>
          <w:rFonts w:ascii="宋体" w:hAnsi="宋体"/>
          <w:szCs w:val="21"/>
        </w:rPr>
        <w:t>热熔涂料涂敷于路面上使用12个月(缺陷责任期)后应无明显退色和剥落。</w:t>
      </w:r>
    </w:p>
    <w:p>
      <w:pPr>
        <w:adjustRightInd w:val="0"/>
        <w:snapToGrid w:val="0"/>
        <w:spacing w:line="360" w:lineRule="auto"/>
        <w:ind w:firstLine="500" w:firstLineChars="200"/>
        <w:rPr>
          <w:rFonts w:ascii="宋体" w:hAnsi="宋体"/>
          <w:szCs w:val="21"/>
        </w:rPr>
      </w:pPr>
      <w:r>
        <w:rPr>
          <w:rFonts w:hint="eastAsia" w:ascii="宋体" w:hAnsi="宋体"/>
          <w:szCs w:val="21"/>
        </w:rPr>
        <w:t>（3）</w:t>
      </w:r>
      <w:r>
        <w:rPr>
          <w:rFonts w:ascii="宋体" w:hAnsi="宋体"/>
          <w:szCs w:val="21"/>
        </w:rPr>
        <w:t>为了使施工中质量有所控制，应用湿膜厚度梳子校核道路路面的湿膜厚度，或用项目监理同意的其他方法进行校核。</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在湿膜涂层或放在金属试件上后，立即将梳子仔细垂直放入湿膜内。</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将梳子量规在湿膜内稳固地保持5～10s，然后垂直地将其取出。</w:t>
      </w:r>
    </w:p>
    <w:p>
      <w:pPr>
        <w:adjustRightInd w:val="0"/>
        <w:snapToGrid w:val="0"/>
        <w:spacing w:line="360" w:lineRule="auto"/>
        <w:ind w:firstLine="500" w:firstLineChars="200"/>
        <w:rPr>
          <w:rFonts w:ascii="宋体" w:hAnsi="宋体"/>
          <w:szCs w:val="21"/>
        </w:rPr>
      </w:pPr>
      <w:r>
        <w:rPr>
          <w:rFonts w:ascii="宋体" w:hAnsi="宋体"/>
          <w:szCs w:val="21"/>
        </w:rPr>
        <w:t>c</w:t>
      </w:r>
      <w:r>
        <w:rPr>
          <w:rFonts w:hint="eastAsia" w:ascii="宋体" w:hAnsi="宋体"/>
          <w:szCs w:val="21"/>
        </w:rPr>
        <w:t>、</w:t>
      </w:r>
      <w:r>
        <w:rPr>
          <w:rFonts w:ascii="宋体" w:hAnsi="宋体"/>
          <w:szCs w:val="21"/>
        </w:rPr>
        <w:t>定出湿膜厚度梳子量规尖头覆盖着的材料。为了准确地测量湿漠厚度，湿漆必须触及量规中刻有规定厚度的尖头，而不触及刻有下一较高厚度的尖头。</w:t>
      </w:r>
    </w:p>
    <w:p>
      <w:pPr>
        <w:adjustRightInd w:val="0"/>
        <w:snapToGrid w:val="0"/>
        <w:spacing w:line="360" w:lineRule="auto"/>
        <w:ind w:firstLine="500" w:firstLineChars="200"/>
        <w:rPr>
          <w:rFonts w:ascii="宋体" w:hAnsi="宋体"/>
          <w:szCs w:val="21"/>
        </w:rPr>
      </w:pPr>
      <w:r>
        <w:rPr>
          <w:rFonts w:ascii="宋体" w:hAnsi="宋体"/>
          <w:szCs w:val="21"/>
        </w:rPr>
        <w:t>8、突起路标和轮廓标</w:t>
      </w:r>
    </w:p>
    <w:p>
      <w:pPr>
        <w:adjustRightInd w:val="0"/>
        <w:snapToGrid w:val="0"/>
        <w:spacing w:line="360" w:lineRule="auto"/>
        <w:ind w:firstLine="500" w:firstLineChars="200"/>
        <w:rPr>
          <w:rFonts w:ascii="宋体" w:hAnsi="宋体"/>
          <w:szCs w:val="21"/>
        </w:rPr>
      </w:pPr>
      <w:r>
        <w:rPr>
          <w:rFonts w:hint="eastAsia" w:ascii="宋体" w:hAnsi="宋体"/>
          <w:szCs w:val="21"/>
        </w:rPr>
        <w:t>（1）</w:t>
      </w:r>
      <w:r>
        <w:rPr>
          <w:rFonts w:ascii="宋体" w:hAnsi="宋体"/>
          <w:szCs w:val="21"/>
        </w:rPr>
        <w:t>反光突起路标</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反光突起路标应符合图纸要求，一般为矩形、圆形或椭圆形。其面向行车方向的边长及平行于行车方向的边长或直径应符合《突起路标》(JT/T 390-1999)的规定。反光路标可用工程塑料、金属或强化玻璃及陶瓷等材料组成，其底面应粗糙，以保证粘结剂将其与路面牢固粘结。</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突起路标反射体应反射性能均匀，完整无缺角、缺口，突起路标壳体成型应完整，外表面不得有明显的划伤，颜色应均匀一致，无飞边。</w:t>
      </w:r>
    </w:p>
    <w:p>
      <w:pPr>
        <w:adjustRightInd w:val="0"/>
        <w:snapToGrid w:val="0"/>
        <w:spacing w:line="360" w:lineRule="auto"/>
        <w:ind w:firstLine="500" w:firstLineChars="200"/>
        <w:rPr>
          <w:rFonts w:ascii="宋体" w:hAnsi="宋体"/>
          <w:szCs w:val="21"/>
        </w:rPr>
      </w:pPr>
      <w:r>
        <w:rPr>
          <w:rFonts w:ascii="宋体" w:hAnsi="宋体"/>
          <w:szCs w:val="21"/>
        </w:rPr>
        <w:t>c</w:t>
      </w:r>
      <w:r>
        <w:rPr>
          <w:rFonts w:hint="eastAsia" w:ascii="宋体" w:hAnsi="宋体"/>
          <w:szCs w:val="21"/>
        </w:rPr>
        <w:t>、</w:t>
      </w:r>
      <w:r>
        <w:rPr>
          <w:rFonts w:ascii="宋体" w:hAnsi="宋体"/>
          <w:szCs w:val="21"/>
        </w:rPr>
        <w:t>突起路标应经抗压强度试验，抗压荷载应大于160kN。突起路标的色度性能、逆反射特性、机械性能、耐候性能、耐盐雾及腐蚀性能均应符合《实起路标》(JT/T 390-1999)的规定。</w:t>
      </w:r>
    </w:p>
    <w:p>
      <w:pPr>
        <w:adjustRightInd w:val="0"/>
        <w:snapToGrid w:val="0"/>
        <w:spacing w:line="360" w:lineRule="auto"/>
        <w:ind w:firstLine="500" w:firstLineChars="200"/>
        <w:rPr>
          <w:rFonts w:ascii="宋体" w:hAnsi="宋体"/>
          <w:szCs w:val="21"/>
        </w:rPr>
      </w:pPr>
      <w:r>
        <w:rPr>
          <w:rFonts w:ascii="宋体" w:hAnsi="宋体"/>
          <w:szCs w:val="21"/>
        </w:rPr>
        <w:t>d</w:t>
      </w:r>
      <w:r>
        <w:rPr>
          <w:rFonts w:hint="eastAsia" w:ascii="宋体" w:hAnsi="宋体"/>
          <w:szCs w:val="21"/>
        </w:rPr>
        <w:t>、</w:t>
      </w:r>
      <w:r>
        <w:rPr>
          <w:rFonts w:ascii="宋体" w:hAnsi="宋体"/>
          <w:szCs w:val="21"/>
        </w:rPr>
        <w:t>承包商应将符合尺寸要求的反光路标样品提前提交给项目监理，以便有足够的时间进行试验和批准使用。</w:t>
      </w:r>
    </w:p>
    <w:p>
      <w:pPr>
        <w:adjustRightInd w:val="0"/>
        <w:snapToGrid w:val="0"/>
        <w:spacing w:line="360" w:lineRule="auto"/>
        <w:ind w:firstLine="500" w:firstLineChars="200"/>
        <w:rPr>
          <w:rFonts w:ascii="宋体" w:hAnsi="宋体"/>
          <w:szCs w:val="21"/>
        </w:rPr>
      </w:pPr>
      <w:r>
        <w:rPr>
          <w:rFonts w:hint="eastAsia" w:ascii="宋体" w:hAnsi="宋体"/>
          <w:szCs w:val="21"/>
        </w:rPr>
        <w:t>（2）</w:t>
      </w:r>
      <w:r>
        <w:rPr>
          <w:rFonts w:ascii="宋体" w:hAnsi="宋体"/>
          <w:szCs w:val="21"/>
        </w:rPr>
        <w:t>附着式轮廓标(附着于护栏、侧墙等的轮廓标)</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附着式轮廓标的后底板、支架，应按图纸要求采用铝合金板或钢板制造，连接件应采用钢材制造。</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铝合金板的性能应符合</w:t>
      </w:r>
      <w:bookmarkStart w:id="4716" w:name="OLE_LINK19"/>
      <w:bookmarkStart w:id="4717" w:name="OLE_LINK20"/>
      <w:r>
        <w:rPr>
          <w:rFonts w:ascii="宋体" w:hAnsi="宋体"/>
          <w:szCs w:val="21"/>
        </w:rPr>
        <w:t>GB/T 3880</w:t>
      </w:r>
      <w:bookmarkEnd w:id="4716"/>
      <w:bookmarkEnd w:id="4717"/>
      <w:r>
        <w:rPr>
          <w:rFonts w:ascii="宋体" w:hAnsi="宋体"/>
          <w:szCs w:val="21"/>
        </w:rPr>
        <w:t>-2012的要求。用作支架及底板时，其最小实测厚度不应小于2.0mm。</w:t>
      </w:r>
    </w:p>
    <w:p>
      <w:pPr>
        <w:adjustRightInd w:val="0"/>
        <w:snapToGrid w:val="0"/>
        <w:spacing w:line="360" w:lineRule="auto"/>
        <w:ind w:firstLine="500" w:firstLineChars="200"/>
        <w:rPr>
          <w:rFonts w:ascii="宋体" w:hAnsi="宋体"/>
          <w:szCs w:val="21"/>
        </w:rPr>
      </w:pPr>
      <w:r>
        <w:rPr>
          <w:rFonts w:ascii="宋体" w:hAnsi="宋体"/>
          <w:szCs w:val="21"/>
        </w:rPr>
        <w:t>用作支架及底板时，其最小实测厚度不应小于1.5mm，并应进行热浸镀锌的表面处理，镀锌层厚度不应小于50μm。连接件亦应经镀锌处理。</w:t>
      </w:r>
    </w:p>
    <w:p>
      <w:pPr>
        <w:adjustRightInd w:val="0"/>
        <w:snapToGrid w:val="0"/>
        <w:spacing w:line="360" w:lineRule="auto"/>
        <w:ind w:firstLine="500" w:firstLineChars="200"/>
        <w:rPr>
          <w:rFonts w:ascii="宋体" w:hAnsi="宋体"/>
          <w:szCs w:val="21"/>
        </w:rPr>
      </w:pPr>
      <w:r>
        <w:rPr>
          <w:rFonts w:ascii="宋体" w:hAnsi="宋体"/>
          <w:szCs w:val="21"/>
        </w:rPr>
        <w:t>c</w:t>
      </w:r>
      <w:r>
        <w:rPr>
          <w:rFonts w:hint="eastAsia" w:ascii="宋体" w:hAnsi="宋体"/>
          <w:szCs w:val="21"/>
        </w:rPr>
        <w:t>、</w:t>
      </w:r>
      <w:r>
        <w:rPr>
          <w:rFonts w:ascii="宋体" w:hAnsi="宋体"/>
          <w:szCs w:val="21"/>
        </w:rPr>
        <w:t>镀锌钢板或铝合金板的尺寸、形状和螺栓孔应按图纸所示的要求进行加工制作，板表面不得有砂眼、毛刺、飞边或其他缺陷。</w:t>
      </w:r>
    </w:p>
    <w:p>
      <w:pPr>
        <w:adjustRightInd w:val="0"/>
        <w:snapToGrid w:val="0"/>
        <w:spacing w:line="360" w:lineRule="auto"/>
        <w:ind w:firstLine="500" w:firstLineChars="200"/>
        <w:rPr>
          <w:rFonts w:ascii="宋体" w:hAnsi="宋体"/>
          <w:szCs w:val="21"/>
        </w:rPr>
      </w:pPr>
      <w:r>
        <w:rPr>
          <w:rFonts w:ascii="宋体" w:hAnsi="宋体"/>
          <w:szCs w:val="21"/>
        </w:rPr>
        <w:t>d</w:t>
      </w:r>
      <w:r>
        <w:rPr>
          <w:rFonts w:hint="eastAsia" w:ascii="宋体" w:hAnsi="宋体"/>
          <w:szCs w:val="21"/>
        </w:rPr>
        <w:t>、</w:t>
      </w:r>
      <w:r>
        <w:rPr>
          <w:rFonts w:ascii="宋体" w:hAnsi="宋体"/>
          <w:szCs w:val="21"/>
        </w:rPr>
        <w:t>逆反射材料通过支架固定在护栏与连接螺栓中，或按图纸所示固定在其他构造物上。</w:t>
      </w:r>
    </w:p>
    <w:p>
      <w:pPr>
        <w:adjustRightInd w:val="0"/>
        <w:snapToGrid w:val="0"/>
        <w:spacing w:line="360" w:lineRule="auto"/>
        <w:ind w:firstLine="500" w:firstLineChars="200"/>
        <w:rPr>
          <w:rFonts w:ascii="宋体" w:hAnsi="宋体"/>
          <w:szCs w:val="21"/>
        </w:rPr>
      </w:pPr>
      <w:r>
        <w:rPr>
          <w:rFonts w:hint="eastAsia" w:ascii="宋体" w:hAnsi="宋体"/>
          <w:szCs w:val="21"/>
        </w:rPr>
        <w:t>（3）</w:t>
      </w:r>
      <w:r>
        <w:rPr>
          <w:rFonts w:ascii="宋体" w:hAnsi="宋体"/>
          <w:szCs w:val="21"/>
        </w:rPr>
        <w:t>柱式轮廓标(路边线轮廓标)</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柱式轮廓标柱体应由聚乙烯树脂、玻璃纤维增强塑料、聚碳酸脂树脂、氯乙烯树脂等加工成型方便的材料制成。其机械性能、耐候性能、耐盐雾腐蚀性能应符合相关的规定。上述合成树脂类板材的实测厚度不应小于3.0mm。</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柱式轮廓标柱体表面应平整光滑，无毛刺、裂缝或气泡等缺陷，无明显凹痕或变形。柱体表面平面度公差不应大于1.0mm。</w:t>
      </w:r>
    </w:p>
    <w:p>
      <w:pPr>
        <w:adjustRightInd w:val="0"/>
        <w:snapToGrid w:val="0"/>
        <w:spacing w:line="360" w:lineRule="auto"/>
        <w:ind w:firstLine="500" w:firstLineChars="200"/>
        <w:rPr>
          <w:rFonts w:ascii="宋体" w:hAnsi="宋体"/>
          <w:szCs w:val="21"/>
        </w:rPr>
      </w:pPr>
      <w:r>
        <w:rPr>
          <w:rFonts w:hint="eastAsia" w:ascii="宋体" w:hAnsi="宋体"/>
          <w:szCs w:val="21"/>
        </w:rPr>
        <w:t>c、</w:t>
      </w:r>
      <w:r>
        <w:rPr>
          <w:rFonts w:ascii="宋体" w:hAnsi="宋体"/>
          <w:szCs w:val="21"/>
        </w:rPr>
        <w:t>柱式轮廓标柱体白色和黑色的色品坐标和亮度因素及其对应的颜色的色品图应符合相关规定。</w:t>
      </w:r>
    </w:p>
    <w:p>
      <w:pPr>
        <w:adjustRightInd w:val="0"/>
        <w:snapToGrid w:val="0"/>
        <w:spacing w:line="360" w:lineRule="auto"/>
        <w:ind w:firstLine="500" w:firstLineChars="200"/>
        <w:rPr>
          <w:rFonts w:ascii="宋体" w:hAnsi="宋体"/>
          <w:szCs w:val="21"/>
        </w:rPr>
      </w:pPr>
      <w:r>
        <w:rPr>
          <w:rFonts w:ascii="宋体" w:hAnsi="宋体"/>
          <w:szCs w:val="21"/>
        </w:rPr>
        <w:t>d</w:t>
      </w:r>
      <w:r>
        <w:rPr>
          <w:rFonts w:hint="eastAsia" w:ascii="宋体" w:hAnsi="宋体"/>
          <w:szCs w:val="21"/>
        </w:rPr>
        <w:t>、</w:t>
      </w:r>
      <w:r>
        <w:rPr>
          <w:rFonts w:ascii="宋体" w:hAnsi="宋体"/>
          <w:szCs w:val="21"/>
        </w:rPr>
        <w:t>180mm×40mm的逆反射材料应镶嵌在轮廓标柱体的表面，使不易脱落。</w:t>
      </w:r>
    </w:p>
    <w:p>
      <w:pPr>
        <w:adjustRightInd w:val="0"/>
        <w:snapToGrid w:val="0"/>
        <w:spacing w:line="360" w:lineRule="auto"/>
        <w:ind w:firstLine="500" w:firstLineChars="200"/>
        <w:rPr>
          <w:rFonts w:ascii="宋体" w:hAnsi="宋体"/>
          <w:szCs w:val="21"/>
        </w:rPr>
      </w:pPr>
      <w:r>
        <w:rPr>
          <w:rFonts w:hint="eastAsia" w:ascii="宋体" w:hAnsi="宋体"/>
          <w:szCs w:val="21"/>
        </w:rPr>
        <w:t>（4）</w:t>
      </w:r>
      <w:r>
        <w:rPr>
          <w:rFonts w:ascii="宋体" w:hAnsi="宋体"/>
          <w:szCs w:val="21"/>
        </w:rPr>
        <w:t>逆反射材料</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逆反射材料应采用反射器或反光膜。反射器有微棱镜型和玻璃珠型两种形式。微棱镜型反射器应颜色均匀一致，整个反光面逆反射性能均匀。玻璃珠型反射器的玻璃珠应颜色一致，不应有漏珠、破损或其它缺陷。反光膜在柱体上应粘贴平整，无皱纹、气泡、拼接缝或其它缺陷。</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轮廓标的逆反射材料，其色度性能、光度性能、耐候性能、耐盐雾腐蚀性能、耐高低温性能、密封性能等均应符合有关规定。</w:t>
      </w:r>
    </w:p>
    <w:p>
      <w:pPr>
        <w:adjustRightInd w:val="0"/>
        <w:snapToGrid w:val="0"/>
        <w:spacing w:line="360" w:lineRule="auto"/>
        <w:ind w:firstLine="500" w:firstLineChars="200"/>
        <w:rPr>
          <w:rFonts w:ascii="宋体" w:hAnsi="宋体"/>
          <w:szCs w:val="21"/>
        </w:rPr>
      </w:pPr>
      <w:r>
        <w:rPr>
          <w:rFonts w:hint="eastAsia" w:ascii="宋体" w:hAnsi="宋体"/>
          <w:szCs w:val="21"/>
        </w:rPr>
        <w:t>（5）</w:t>
      </w:r>
      <w:r>
        <w:rPr>
          <w:rFonts w:ascii="宋体" w:hAnsi="宋体"/>
          <w:szCs w:val="21"/>
        </w:rPr>
        <w:t>上述加工产品，须按《突起路标》(JT/T 390-1995)的规定，随机抽样检验合格，方可进行安装和设置。</w:t>
      </w:r>
    </w:p>
    <w:p>
      <w:pPr>
        <w:pStyle w:val="5"/>
        <w:keepLines w:val="0"/>
        <w:snapToGrid w:val="0"/>
        <w:spacing w:before="0" w:after="0" w:line="360" w:lineRule="auto"/>
        <w:jc w:val="left"/>
        <w:rPr>
          <w:rFonts w:ascii="宋体" w:hAnsi="宋体" w:eastAsia="宋体"/>
          <w:bCs/>
          <w:sz w:val="24"/>
        </w:rPr>
      </w:pPr>
      <w:bookmarkStart w:id="4718" w:name="_Toc106050184"/>
      <w:bookmarkStart w:id="4719" w:name="_Toc521493553"/>
      <w:bookmarkStart w:id="4720" w:name="_Toc521492879"/>
      <w:bookmarkStart w:id="4721" w:name="_Toc517382647"/>
      <w:bookmarkStart w:id="4722" w:name="_Toc518376700"/>
      <w:bookmarkStart w:id="4723" w:name="_Toc521492022"/>
      <w:bookmarkStart w:id="4724" w:name="_Toc403637028"/>
      <w:bookmarkStart w:id="4725" w:name="_Toc339444425"/>
      <w:bookmarkStart w:id="4726" w:name="_Toc338255195"/>
      <w:bookmarkStart w:id="4727" w:name="_Toc275023314"/>
      <w:bookmarkStart w:id="4728" w:name="_Toc266203785"/>
      <w:bookmarkStart w:id="4729" w:name="_Toc164502264"/>
      <w:bookmarkStart w:id="4730" w:name="_Toc106883441"/>
      <w:r>
        <w:rPr>
          <w:rFonts w:hint="eastAsia" w:ascii="宋体" w:hAnsi="宋体" w:eastAsia="宋体"/>
          <w:sz w:val="24"/>
        </w:rPr>
        <w:t>4.6.8.3</w:t>
      </w:r>
      <w:r>
        <w:rPr>
          <w:rFonts w:ascii="宋体" w:hAnsi="宋体" w:eastAsia="宋体"/>
          <w:sz w:val="24"/>
        </w:rPr>
        <w:t xml:space="preserve"> 施工要求</w:t>
      </w:r>
      <w:bookmarkEnd w:id="4718"/>
      <w:bookmarkEnd w:id="4719"/>
      <w:bookmarkEnd w:id="4720"/>
      <w:bookmarkEnd w:id="4721"/>
      <w:bookmarkEnd w:id="4722"/>
      <w:bookmarkEnd w:id="4723"/>
      <w:bookmarkEnd w:id="4724"/>
      <w:bookmarkEnd w:id="4725"/>
      <w:bookmarkEnd w:id="4726"/>
      <w:bookmarkEnd w:id="4727"/>
      <w:bookmarkEnd w:id="4728"/>
      <w:bookmarkEnd w:id="4729"/>
      <w:bookmarkEnd w:id="4730"/>
    </w:p>
    <w:p>
      <w:pPr>
        <w:adjustRightInd w:val="0"/>
        <w:snapToGrid w:val="0"/>
        <w:spacing w:line="360" w:lineRule="auto"/>
        <w:ind w:firstLine="500" w:firstLineChars="200"/>
        <w:rPr>
          <w:rFonts w:ascii="宋体" w:hAnsi="宋体"/>
          <w:szCs w:val="21"/>
        </w:rPr>
      </w:pPr>
      <w:r>
        <w:rPr>
          <w:rFonts w:ascii="宋体" w:hAnsi="宋体"/>
          <w:szCs w:val="21"/>
        </w:rPr>
        <w:t>1、路面标线</w:t>
      </w:r>
    </w:p>
    <w:p>
      <w:pPr>
        <w:adjustRightInd w:val="0"/>
        <w:snapToGrid w:val="0"/>
        <w:spacing w:line="360" w:lineRule="auto"/>
        <w:ind w:firstLine="500" w:firstLineChars="200"/>
        <w:rPr>
          <w:rFonts w:ascii="宋体" w:hAnsi="宋体"/>
          <w:szCs w:val="21"/>
        </w:rPr>
      </w:pPr>
      <w:r>
        <w:rPr>
          <w:rFonts w:hint="eastAsia" w:ascii="宋体" w:hAnsi="宋体"/>
          <w:szCs w:val="21"/>
        </w:rPr>
        <w:t>（1）</w:t>
      </w:r>
      <w:r>
        <w:rPr>
          <w:rFonts w:ascii="宋体" w:hAnsi="宋体"/>
          <w:szCs w:val="21"/>
        </w:rPr>
        <w:t>设置标线的路面表面应清洁干燥，无松散颗粒、灰尘、沥青、油污或其他有害物质。</w:t>
      </w:r>
    </w:p>
    <w:p>
      <w:pPr>
        <w:adjustRightInd w:val="0"/>
        <w:snapToGrid w:val="0"/>
        <w:spacing w:line="360" w:lineRule="auto"/>
        <w:ind w:firstLine="500" w:firstLineChars="200"/>
        <w:rPr>
          <w:rFonts w:ascii="宋体" w:hAnsi="宋体"/>
          <w:szCs w:val="21"/>
        </w:rPr>
      </w:pPr>
      <w:r>
        <w:rPr>
          <w:rFonts w:hint="eastAsia" w:ascii="宋体" w:hAnsi="宋体"/>
          <w:szCs w:val="21"/>
        </w:rPr>
        <w:t>（2）</w:t>
      </w:r>
      <w:r>
        <w:rPr>
          <w:rFonts w:ascii="宋体" w:hAnsi="宋体"/>
          <w:szCs w:val="21"/>
        </w:rPr>
        <w:t>在水泥路面或旧的沥青路面施加标线需要预涂底油时，先喷涂热熔底油下涂剂，按试验决定的间隔时间喷涂热熔涂料，以提高其粘结力。</w:t>
      </w:r>
    </w:p>
    <w:p>
      <w:pPr>
        <w:adjustRightInd w:val="0"/>
        <w:snapToGrid w:val="0"/>
        <w:spacing w:line="360" w:lineRule="auto"/>
        <w:ind w:firstLine="500" w:firstLineChars="200"/>
        <w:rPr>
          <w:rFonts w:ascii="宋体" w:hAnsi="宋体"/>
          <w:szCs w:val="21"/>
        </w:rPr>
      </w:pPr>
      <w:r>
        <w:rPr>
          <w:rFonts w:hint="eastAsia" w:ascii="宋体" w:hAnsi="宋体"/>
          <w:szCs w:val="21"/>
        </w:rPr>
        <w:t>（3）</w:t>
      </w:r>
      <w:r>
        <w:rPr>
          <w:rFonts w:ascii="宋体" w:hAnsi="宋体"/>
          <w:szCs w:val="21"/>
        </w:rPr>
        <w:t>为了确保标线涂料和路面材料完全相适应，底油的类型和用量应经项目监理批准。</w:t>
      </w:r>
    </w:p>
    <w:p>
      <w:pPr>
        <w:adjustRightInd w:val="0"/>
        <w:snapToGrid w:val="0"/>
        <w:spacing w:line="360" w:lineRule="auto"/>
        <w:ind w:firstLine="500" w:firstLineChars="200"/>
        <w:rPr>
          <w:rFonts w:ascii="宋体" w:hAnsi="宋体"/>
          <w:szCs w:val="21"/>
        </w:rPr>
      </w:pPr>
      <w:r>
        <w:rPr>
          <w:rFonts w:hint="eastAsia" w:ascii="宋体" w:hAnsi="宋体"/>
          <w:szCs w:val="21"/>
        </w:rPr>
        <w:t>（4）</w:t>
      </w:r>
      <w:r>
        <w:rPr>
          <w:rFonts w:ascii="宋体" w:hAnsi="宋体"/>
          <w:szCs w:val="21"/>
        </w:rPr>
        <w:t>标线的颜色为白色和黄色，应符合《路面标线涂料》</w:t>
      </w:r>
      <w:r>
        <w:rPr>
          <w:rFonts w:hint="eastAsia" w:ascii="宋体" w:hAnsi="宋体"/>
          <w:szCs w:val="21"/>
        </w:rPr>
        <w:t>（</w:t>
      </w:r>
      <w:r>
        <w:rPr>
          <w:rFonts w:ascii="宋体" w:hAnsi="宋体"/>
          <w:szCs w:val="21"/>
        </w:rPr>
        <w:t>JT/T 280-2004</w:t>
      </w:r>
      <w:r>
        <w:rPr>
          <w:rFonts w:hint="eastAsia" w:ascii="宋体" w:hAnsi="宋体"/>
          <w:szCs w:val="21"/>
        </w:rPr>
        <w:t>）</w:t>
      </w:r>
      <w:r>
        <w:rPr>
          <w:rFonts w:ascii="宋体" w:hAnsi="宋体"/>
          <w:szCs w:val="21"/>
        </w:rPr>
        <w:t>的要求，并按项目监理同意的方法施工。喷涂机具应使用自行式机械。</w:t>
      </w:r>
    </w:p>
    <w:p>
      <w:pPr>
        <w:adjustRightInd w:val="0"/>
        <w:snapToGrid w:val="0"/>
        <w:spacing w:line="360" w:lineRule="auto"/>
        <w:ind w:firstLine="500" w:firstLineChars="200"/>
        <w:rPr>
          <w:rFonts w:ascii="宋体" w:hAnsi="宋体"/>
          <w:szCs w:val="21"/>
        </w:rPr>
      </w:pPr>
      <w:r>
        <w:rPr>
          <w:rFonts w:hint="eastAsia" w:ascii="宋体" w:hAnsi="宋体"/>
          <w:szCs w:val="21"/>
        </w:rPr>
        <w:t>（5）</w:t>
      </w:r>
      <w:r>
        <w:rPr>
          <w:rFonts w:ascii="宋体" w:hAnsi="宋体"/>
          <w:szCs w:val="21"/>
        </w:rPr>
        <w:t>标线宽度、虚线长及间隔、点线长及间隔、双标线的间隔，应按《道路交通标志和标线》</w:t>
      </w:r>
      <w:r>
        <w:rPr>
          <w:rFonts w:hint="eastAsia" w:ascii="宋体" w:hAnsi="宋体"/>
          <w:szCs w:val="21"/>
        </w:rPr>
        <w:t>（</w:t>
      </w:r>
      <w:r>
        <w:rPr>
          <w:rFonts w:ascii="宋体" w:hAnsi="宋体"/>
          <w:szCs w:val="21"/>
        </w:rPr>
        <w:t>GB 5768-2009</w:t>
      </w:r>
      <w:r>
        <w:rPr>
          <w:rFonts w:hint="eastAsia" w:ascii="宋体" w:hAnsi="宋体"/>
          <w:szCs w:val="21"/>
        </w:rPr>
        <w:t>）</w:t>
      </w:r>
      <w:r>
        <w:rPr>
          <w:rFonts w:ascii="宋体" w:hAnsi="宋体"/>
          <w:szCs w:val="21"/>
        </w:rPr>
        <w:t>规定办理。</w:t>
      </w:r>
    </w:p>
    <w:p>
      <w:pPr>
        <w:adjustRightInd w:val="0"/>
        <w:snapToGrid w:val="0"/>
        <w:spacing w:line="360" w:lineRule="auto"/>
        <w:ind w:firstLine="500" w:firstLineChars="200"/>
        <w:rPr>
          <w:rFonts w:ascii="宋体" w:hAnsi="宋体"/>
          <w:szCs w:val="21"/>
        </w:rPr>
      </w:pPr>
      <w:r>
        <w:rPr>
          <w:rFonts w:hint="eastAsia" w:ascii="宋体" w:hAnsi="宋体"/>
          <w:szCs w:val="21"/>
        </w:rPr>
        <w:t>（6）</w:t>
      </w:r>
      <w:r>
        <w:rPr>
          <w:rFonts w:ascii="宋体" w:hAnsi="宋体"/>
          <w:szCs w:val="21"/>
        </w:rPr>
        <w:t>特殊标线的图案、标记如箭头及字母等的尺寸应按图纸要求和《道路交通标志和标线》</w:t>
      </w:r>
      <w:r>
        <w:rPr>
          <w:rFonts w:hint="eastAsia" w:ascii="宋体" w:hAnsi="宋体"/>
          <w:szCs w:val="21"/>
        </w:rPr>
        <w:t>（</w:t>
      </w:r>
      <w:r>
        <w:rPr>
          <w:rFonts w:ascii="宋体" w:hAnsi="宋体"/>
          <w:szCs w:val="21"/>
        </w:rPr>
        <w:t>GB 5768-2009</w:t>
      </w:r>
      <w:r>
        <w:rPr>
          <w:rFonts w:hint="eastAsia" w:ascii="宋体" w:hAnsi="宋体"/>
          <w:szCs w:val="21"/>
        </w:rPr>
        <w:t>）</w:t>
      </w:r>
      <w:r>
        <w:rPr>
          <w:rFonts w:ascii="宋体" w:hAnsi="宋体"/>
          <w:szCs w:val="21"/>
        </w:rPr>
        <w:t>规定办理。</w:t>
      </w:r>
    </w:p>
    <w:p>
      <w:pPr>
        <w:adjustRightInd w:val="0"/>
        <w:snapToGrid w:val="0"/>
        <w:spacing w:line="360" w:lineRule="auto"/>
        <w:ind w:firstLine="500" w:firstLineChars="200"/>
        <w:rPr>
          <w:rFonts w:ascii="宋体" w:hAnsi="宋体"/>
          <w:szCs w:val="21"/>
        </w:rPr>
      </w:pPr>
      <w:r>
        <w:rPr>
          <w:rFonts w:hint="eastAsia" w:ascii="宋体" w:hAnsi="宋体"/>
          <w:szCs w:val="21"/>
        </w:rPr>
        <w:t>（7）</w:t>
      </w:r>
      <w:r>
        <w:rPr>
          <w:rFonts w:ascii="宋体" w:hAnsi="宋体"/>
          <w:szCs w:val="21"/>
        </w:rPr>
        <w:t>所有标线应具有顺直、平顺、光洁、均匀及精美外观；湿膜厚度符合图纸要求，否则，应由承包商予以更正并经项目监理同意，费用由承包商自负。</w:t>
      </w:r>
    </w:p>
    <w:p>
      <w:pPr>
        <w:adjustRightInd w:val="0"/>
        <w:snapToGrid w:val="0"/>
        <w:spacing w:line="360" w:lineRule="auto"/>
        <w:ind w:firstLine="500" w:firstLineChars="200"/>
        <w:rPr>
          <w:rFonts w:ascii="宋体" w:hAnsi="宋体"/>
          <w:szCs w:val="21"/>
        </w:rPr>
      </w:pPr>
      <w:r>
        <w:rPr>
          <w:rFonts w:hint="eastAsia" w:ascii="宋体" w:hAnsi="宋体"/>
          <w:szCs w:val="21"/>
        </w:rPr>
        <w:t>（8）</w:t>
      </w:r>
      <w:r>
        <w:rPr>
          <w:rFonts w:ascii="宋体" w:hAnsi="宋体"/>
          <w:szCs w:val="21"/>
        </w:rPr>
        <w:t>有缺陷的、施工不当、尺寸不正确或位置错误的标线均应清除，路面应修补，材料应更换，并经项目监理同意，其费用由承包商自理。</w:t>
      </w:r>
    </w:p>
    <w:p>
      <w:pPr>
        <w:adjustRightInd w:val="0"/>
        <w:snapToGrid w:val="0"/>
        <w:spacing w:line="360" w:lineRule="auto"/>
        <w:ind w:firstLine="500" w:firstLineChars="200"/>
        <w:rPr>
          <w:rFonts w:ascii="宋体" w:hAnsi="宋体"/>
          <w:szCs w:val="21"/>
        </w:rPr>
      </w:pPr>
      <w:r>
        <w:rPr>
          <w:rFonts w:hint="eastAsia" w:ascii="宋体" w:hAnsi="宋体"/>
          <w:szCs w:val="21"/>
        </w:rPr>
        <w:t>（9）</w:t>
      </w:r>
      <w:r>
        <w:rPr>
          <w:rFonts w:ascii="宋体" w:hAnsi="宋体"/>
          <w:szCs w:val="21"/>
        </w:rPr>
        <w:t>涂料在容器内加热时，温度应控制在涂料生产商的使用说明规定值内，不得超过最高限制温度。烃树脂类材料，保持在熔融状态的时间不大于6h；树胶树脂类材料，保持在熔融状态的时间不大于4h。</w:t>
      </w:r>
    </w:p>
    <w:p>
      <w:pPr>
        <w:adjustRightInd w:val="0"/>
        <w:snapToGrid w:val="0"/>
        <w:spacing w:line="360" w:lineRule="auto"/>
        <w:ind w:firstLine="500" w:firstLineChars="200"/>
        <w:rPr>
          <w:rFonts w:ascii="宋体" w:hAnsi="宋体"/>
          <w:szCs w:val="21"/>
        </w:rPr>
      </w:pPr>
      <w:r>
        <w:rPr>
          <w:rFonts w:hint="eastAsia" w:ascii="宋体" w:hAnsi="宋体"/>
          <w:szCs w:val="21"/>
        </w:rPr>
        <w:t>（10）</w:t>
      </w:r>
      <w:r>
        <w:rPr>
          <w:rFonts w:ascii="宋体" w:hAnsi="宋体"/>
          <w:szCs w:val="21"/>
        </w:rPr>
        <w:t>涂料喷涂于路面时的温度，应符合涂料生产商提供的使用说明的要求，否则会影响喷涂使用寿命。</w:t>
      </w:r>
    </w:p>
    <w:p>
      <w:pPr>
        <w:adjustRightInd w:val="0"/>
        <w:snapToGrid w:val="0"/>
        <w:spacing w:line="360" w:lineRule="auto"/>
        <w:ind w:firstLine="500" w:firstLineChars="200"/>
        <w:rPr>
          <w:rFonts w:ascii="宋体" w:hAnsi="宋体"/>
          <w:szCs w:val="21"/>
        </w:rPr>
      </w:pPr>
      <w:r>
        <w:rPr>
          <w:rFonts w:hint="eastAsia" w:ascii="宋体" w:hAnsi="宋体"/>
          <w:szCs w:val="21"/>
        </w:rPr>
        <w:t>（11）</w:t>
      </w:r>
      <w:r>
        <w:rPr>
          <w:rFonts w:ascii="宋体" w:hAnsi="宋体"/>
          <w:szCs w:val="21"/>
        </w:rPr>
        <w:t>喷涂施工应在白天进行，雨天、尘埃大、风大、温度低于10</w:t>
      </w:r>
      <w:r>
        <w:rPr>
          <w:rFonts w:hint="eastAsia" w:ascii="宋体" w:hAnsi="宋体" w:cs="宋体"/>
          <w:szCs w:val="21"/>
        </w:rPr>
        <w:t>℃</w:t>
      </w:r>
      <w:r>
        <w:rPr>
          <w:rFonts w:ascii="宋体" w:hAnsi="宋体"/>
          <w:szCs w:val="21"/>
        </w:rPr>
        <w:t>时应暂时停止施工。</w:t>
      </w:r>
    </w:p>
    <w:p>
      <w:pPr>
        <w:adjustRightInd w:val="0"/>
        <w:snapToGrid w:val="0"/>
        <w:spacing w:line="360" w:lineRule="auto"/>
        <w:ind w:firstLine="500" w:firstLineChars="200"/>
        <w:rPr>
          <w:rFonts w:ascii="宋体" w:hAnsi="宋体"/>
          <w:szCs w:val="21"/>
        </w:rPr>
      </w:pPr>
      <w:r>
        <w:rPr>
          <w:rFonts w:hint="eastAsia" w:ascii="宋体" w:hAnsi="宋体"/>
          <w:szCs w:val="21"/>
        </w:rPr>
        <w:t>（12）</w:t>
      </w:r>
      <w:r>
        <w:rPr>
          <w:rFonts w:ascii="宋体" w:hAnsi="宋体"/>
          <w:szCs w:val="21"/>
        </w:rPr>
        <w:t>玻璃珠的撤布应经试验并获项目监理的批准方可实施。撤布玻璃珠应在涂料喷涂后立即进行，以0.3kg/m</w:t>
      </w:r>
      <w:r>
        <w:rPr>
          <w:rFonts w:ascii="宋体" w:hAnsi="宋体"/>
          <w:szCs w:val="21"/>
          <w:vertAlign w:val="superscript"/>
        </w:rPr>
        <w:t>2</w:t>
      </w:r>
      <w:r>
        <w:rPr>
          <w:rFonts w:ascii="宋体" w:hAnsi="宋体"/>
          <w:szCs w:val="21"/>
        </w:rPr>
        <w:t>的用量加压撤布在所有标线上。</w:t>
      </w:r>
    </w:p>
    <w:p>
      <w:pPr>
        <w:adjustRightInd w:val="0"/>
        <w:snapToGrid w:val="0"/>
        <w:spacing w:line="360" w:lineRule="auto"/>
        <w:ind w:firstLine="500" w:firstLineChars="200"/>
        <w:rPr>
          <w:rFonts w:ascii="宋体" w:hAnsi="宋体"/>
          <w:szCs w:val="21"/>
        </w:rPr>
      </w:pPr>
      <w:r>
        <w:rPr>
          <w:rFonts w:hint="eastAsia" w:ascii="宋体" w:hAnsi="宋体"/>
          <w:szCs w:val="21"/>
        </w:rPr>
        <w:t>（13）</w:t>
      </w:r>
      <w:r>
        <w:rPr>
          <w:rFonts w:ascii="宋体" w:hAnsi="宋体"/>
          <w:szCs w:val="21"/>
        </w:rPr>
        <w:t>喷涂标线时，应有交通安全措施，设置适当警告标志，阻止车辆及行人在作业区内通行，防止将涂料带出或形成车辙，直至标线充分干燥。</w:t>
      </w:r>
    </w:p>
    <w:p>
      <w:pPr>
        <w:adjustRightInd w:val="0"/>
        <w:snapToGrid w:val="0"/>
        <w:spacing w:line="360" w:lineRule="auto"/>
        <w:ind w:firstLine="500" w:firstLineChars="200"/>
        <w:rPr>
          <w:rFonts w:ascii="宋体" w:hAnsi="宋体"/>
          <w:szCs w:val="21"/>
        </w:rPr>
      </w:pPr>
      <w:r>
        <w:rPr>
          <w:rFonts w:hint="eastAsia" w:ascii="宋体" w:hAnsi="宋体"/>
          <w:szCs w:val="21"/>
        </w:rPr>
        <w:t>（14）</w:t>
      </w:r>
      <w:r>
        <w:rPr>
          <w:rFonts w:ascii="宋体" w:hAnsi="宋体"/>
          <w:szCs w:val="21"/>
        </w:rPr>
        <w:t>材料有缺陷、尺寸不正确、位置不对或以不能令人满意的方法施工的标线，所有这些缺陷均应清除并予以更换，其费用由承包商负担。</w:t>
      </w:r>
    </w:p>
    <w:p>
      <w:pPr>
        <w:adjustRightInd w:val="0"/>
        <w:snapToGrid w:val="0"/>
        <w:spacing w:line="360" w:lineRule="auto"/>
        <w:ind w:firstLine="500" w:firstLineChars="200"/>
        <w:rPr>
          <w:rFonts w:ascii="宋体" w:hAnsi="宋体"/>
          <w:szCs w:val="21"/>
        </w:rPr>
      </w:pPr>
      <w:r>
        <w:rPr>
          <w:rFonts w:ascii="宋体" w:hAnsi="宋体"/>
          <w:szCs w:val="21"/>
        </w:rPr>
        <w:t>2、突起路标和轮廓标的设置</w:t>
      </w:r>
    </w:p>
    <w:p>
      <w:pPr>
        <w:adjustRightInd w:val="0"/>
        <w:snapToGrid w:val="0"/>
        <w:spacing w:line="360" w:lineRule="auto"/>
        <w:ind w:firstLine="500" w:firstLineChars="200"/>
        <w:rPr>
          <w:rFonts w:ascii="宋体" w:hAnsi="宋体"/>
          <w:szCs w:val="21"/>
        </w:rPr>
      </w:pPr>
      <w:r>
        <w:rPr>
          <w:rFonts w:hint="eastAsia" w:ascii="宋体" w:hAnsi="宋体"/>
          <w:szCs w:val="21"/>
        </w:rPr>
        <w:t>（1）</w:t>
      </w:r>
      <w:r>
        <w:rPr>
          <w:rFonts w:ascii="宋体" w:hAnsi="宋体"/>
          <w:szCs w:val="21"/>
        </w:rPr>
        <w:t>突起路标应按图纸要求或项目监理指示的地点设置，设置时路面面层应干燥清洁、无杂屑，此时将环氧树脂均匀涂覆于突起路标的底部，涂覆厚度约为8mm。将突起路标压在路面的正确位置上，轻微转动，直到四周出现挤浆并及时清除其溢出部分，在凝固前对突起路标不得扰动。</w:t>
      </w:r>
    </w:p>
    <w:p>
      <w:pPr>
        <w:adjustRightInd w:val="0"/>
        <w:snapToGrid w:val="0"/>
        <w:spacing w:line="360" w:lineRule="auto"/>
        <w:ind w:firstLine="500" w:firstLineChars="200"/>
        <w:rPr>
          <w:rFonts w:ascii="宋体" w:hAnsi="宋体"/>
          <w:szCs w:val="21"/>
        </w:rPr>
      </w:pPr>
      <w:r>
        <w:rPr>
          <w:rFonts w:hint="eastAsia" w:ascii="宋体" w:hAnsi="宋体"/>
          <w:szCs w:val="21"/>
        </w:rPr>
        <w:t>（2）</w:t>
      </w:r>
      <w:r>
        <w:rPr>
          <w:rFonts w:ascii="宋体" w:hAnsi="宋体"/>
          <w:szCs w:val="21"/>
        </w:rPr>
        <w:t>在水泥混凝土路面设置突起路标时，先用硬刷和10%盐酸溶液洗刷混凝土表面，然后用清水冲洗干净，待路面清洁干燥后安装突起路标。</w:t>
      </w:r>
    </w:p>
    <w:p>
      <w:pPr>
        <w:adjustRightInd w:val="0"/>
        <w:snapToGrid w:val="0"/>
        <w:spacing w:line="360" w:lineRule="auto"/>
        <w:ind w:firstLine="500" w:firstLineChars="200"/>
        <w:rPr>
          <w:rFonts w:ascii="宋体" w:hAnsi="宋体"/>
          <w:szCs w:val="21"/>
        </w:rPr>
      </w:pPr>
      <w:r>
        <w:rPr>
          <w:rFonts w:hint="eastAsia" w:ascii="宋体" w:hAnsi="宋体"/>
          <w:szCs w:val="21"/>
        </w:rPr>
        <w:t>（3）</w:t>
      </w:r>
      <w:r>
        <w:rPr>
          <w:rFonts w:ascii="宋体" w:hAnsi="宋体"/>
          <w:szCs w:val="21"/>
        </w:rPr>
        <w:t>突起路标设置高度，顶部不得高出路面25mm。</w:t>
      </w:r>
    </w:p>
    <w:p>
      <w:pPr>
        <w:adjustRightInd w:val="0"/>
        <w:snapToGrid w:val="0"/>
        <w:spacing w:line="360" w:lineRule="auto"/>
        <w:ind w:firstLine="500" w:firstLineChars="200"/>
        <w:rPr>
          <w:rFonts w:ascii="宋体" w:hAnsi="宋体"/>
          <w:szCs w:val="21"/>
        </w:rPr>
      </w:pPr>
      <w:r>
        <w:rPr>
          <w:rFonts w:hint="eastAsia" w:ascii="宋体" w:hAnsi="宋体"/>
          <w:szCs w:val="21"/>
        </w:rPr>
        <w:t>（4）</w:t>
      </w:r>
      <w:r>
        <w:rPr>
          <w:rFonts w:ascii="宋体" w:hAnsi="宋体"/>
          <w:szCs w:val="21"/>
        </w:rPr>
        <w:t>突起路标的反光玻璃球有白色、红色或黄色，白色设在一般路段，红色或黄色设在危险路段。</w:t>
      </w:r>
    </w:p>
    <w:p>
      <w:pPr>
        <w:adjustRightInd w:val="0"/>
        <w:snapToGrid w:val="0"/>
        <w:spacing w:line="360" w:lineRule="auto"/>
        <w:ind w:firstLine="500" w:firstLineChars="200"/>
        <w:rPr>
          <w:rFonts w:ascii="宋体" w:hAnsi="宋体"/>
          <w:szCs w:val="21"/>
        </w:rPr>
      </w:pPr>
      <w:r>
        <w:rPr>
          <w:rFonts w:hint="eastAsia" w:ascii="宋体" w:hAnsi="宋体"/>
          <w:szCs w:val="21"/>
        </w:rPr>
        <w:t>（5）</w:t>
      </w:r>
      <w:r>
        <w:rPr>
          <w:rFonts w:ascii="宋体" w:hAnsi="宋体"/>
          <w:szCs w:val="21"/>
        </w:rPr>
        <w:t>设置间距及其它规定应按图纸要求和项目监理的指示进行。</w:t>
      </w:r>
    </w:p>
    <w:p>
      <w:pPr>
        <w:adjustRightInd w:val="0"/>
        <w:snapToGrid w:val="0"/>
        <w:spacing w:line="360" w:lineRule="auto"/>
        <w:ind w:firstLine="500" w:firstLineChars="200"/>
        <w:rPr>
          <w:rFonts w:ascii="宋体" w:hAnsi="宋体"/>
          <w:szCs w:val="21"/>
        </w:rPr>
      </w:pPr>
      <w:r>
        <w:rPr>
          <w:rFonts w:hint="eastAsia" w:ascii="宋体" w:hAnsi="宋体"/>
          <w:szCs w:val="21"/>
        </w:rPr>
        <w:t>（6）</w:t>
      </w:r>
      <w:r>
        <w:rPr>
          <w:rFonts w:ascii="宋体" w:hAnsi="宋体"/>
          <w:szCs w:val="21"/>
        </w:rPr>
        <w:t>在降雨、风速过大或温度过高过低时，不进行设置。</w:t>
      </w:r>
    </w:p>
    <w:p>
      <w:pPr>
        <w:adjustRightInd w:val="0"/>
        <w:snapToGrid w:val="0"/>
        <w:spacing w:line="360" w:lineRule="auto"/>
        <w:ind w:firstLine="500" w:firstLineChars="200"/>
        <w:rPr>
          <w:rFonts w:ascii="宋体" w:hAnsi="宋体"/>
          <w:szCs w:val="21"/>
        </w:rPr>
      </w:pPr>
      <w:r>
        <w:rPr>
          <w:rFonts w:hint="eastAsia" w:ascii="宋体" w:hAnsi="宋体"/>
          <w:szCs w:val="21"/>
        </w:rPr>
        <w:t>（7）</w:t>
      </w:r>
      <w:r>
        <w:rPr>
          <w:rFonts w:ascii="宋体" w:hAnsi="宋体"/>
          <w:szCs w:val="21"/>
        </w:rPr>
        <w:t>柱式轮廓标应在预制的基础中埋入标柱套管，按图纸要求进行施工，安装时应按图纸所示进行；附着式轮廓标安装在钢护栏托架连接螺栓上，或用胀钱螺栓固定在护栏上。安装就位无误后，将定向反光材料</w:t>
      </w:r>
      <w:r>
        <w:rPr>
          <w:rFonts w:hint="eastAsia" w:ascii="宋体" w:hAnsi="宋体"/>
          <w:szCs w:val="21"/>
        </w:rPr>
        <w:t>（</w:t>
      </w:r>
      <w:r>
        <w:rPr>
          <w:rFonts w:ascii="宋体" w:hAnsi="宋体"/>
          <w:szCs w:val="21"/>
        </w:rPr>
        <w:t>膜</w:t>
      </w:r>
      <w:r>
        <w:rPr>
          <w:rFonts w:hint="eastAsia" w:ascii="宋体" w:hAnsi="宋体"/>
          <w:szCs w:val="21"/>
        </w:rPr>
        <w:t>）</w:t>
      </w:r>
      <w:r>
        <w:rPr>
          <w:rFonts w:ascii="宋体" w:hAnsi="宋体"/>
          <w:szCs w:val="21"/>
        </w:rPr>
        <w:t>用不剥落的热活性胶粘剂粘贴，防止在表面上产生任何气泡和污损，并注意反光膜色块粘贴正确。</w:t>
      </w:r>
    </w:p>
    <w:p>
      <w:pPr>
        <w:adjustRightInd w:val="0"/>
        <w:snapToGrid w:val="0"/>
        <w:spacing w:line="360" w:lineRule="auto"/>
        <w:ind w:firstLine="500" w:firstLineChars="200"/>
        <w:rPr>
          <w:rFonts w:ascii="宋体" w:hAnsi="宋体"/>
          <w:szCs w:val="21"/>
        </w:rPr>
      </w:pPr>
      <w:r>
        <w:rPr>
          <w:rFonts w:hint="eastAsia" w:ascii="宋体" w:hAnsi="宋体"/>
          <w:szCs w:val="21"/>
        </w:rPr>
        <w:t>（8）</w:t>
      </w:r>
      <w:r>
        <w:rPr>
          <w:rFonts w:ascii="宋体" w:hAnsi="宋体"/>
          <w:szCs w:val="21"/>
        </w:rPr>
        <w:t>突起路标和轮廓标设置后，经检查不合格时，应拆除重新安装，费用由承包商承担。</w:t>
      </w:r>
    </w:p>
    <w:p>
      <w:pPr>
        <w:adjustRightInd w:val="0"/>
        <w:snapToGrid w:val="0"/>
        <w:spacing w:line="360" w:lineRule="auto"/>
        <w:ind w:firstLine="500" w:firstLineChars="200"/>
        <w:rPr>
          <w:rFonts w:ascii="宋体" w:hAnsi="宋体"/>
          <w:szCs w:val="21"/>
        </w:rPr>
      </w:pPr>
      <w:r>
        <w:rPr>
          <w:rFonts w:ascii="宋体" w:hAnsi="宋体"/>
          <w:szCs w:val="21"/>
        </w:rPr>
        <w:t>3、立面标记</w:t>
      </w:r>
    </w:p>
    <w:p>
      <w:pPr>
        <w:adjustRightInd w:val="0"/>
        <w:snapToGrid w:val="0"/>
        <w:spacing w:line="360" w:lineRule="auto"/>
        <w:ind w:firstLine="500" w:firstLineChars="200"/>
        <w:rPr>
          <w:rFonts w:ascii="宋体" w:hAnsi="宋体"/>
          <w:szCs w:val="21"/>
        </w:rPr>
      </w:pPr>
      <w:r>
        <w:rPr>
          <w:rFonts w:hint="eastAsia" w:ascii="宋体" w:hAnsi="宋体"/>
          <w:szCs w:val="21"/>
        </w:rPr>
        <w:t>（1）</w:t>
      </w:r>
      <w:r>
        <w:rPr>
          <w:rFonts w:ascii="宋体" w:hAnsi="宋体"/>
          <w:szCs w:val="21"/>
        </w:rPr>
        <w:t>立面标记设置的位置应符合图纸规定。</w:t>
      </w:r>
    </w:p>
    <w:p>
      <w:pPr>
        <w:adjustRightInd w:val="0"/>
        <w:snapToGrid w:val="0"/>
        <w:spacing w:line="360" w:lineRule="auto"/>
        <w:ind w:firstLine="500" w:firstLineChars="200"/>
        <w:rPr>
          <w:rFonts w:ascii="宋体" w:hAnsi="宋体"/>
          <w:szCs w:val="21"/>
        </w:rPr>
      </w:pPr>
      <w:r>
        <w:rPr>
          <w:rFonts w:hint="eastAsia" w:ascii="宋体" w:hAnsi="宋体"/>
          <w:szCs w:val="21"/>
        </w:rPr>
        <w:t>（2）</w:t>
      </w:r>
      <w:r>
        <w:rPr>
          <w:rFonts w:ascii="宋体" w:hAnsi="宋体"/>
          <w:szCs w:val="21"/>
        </w:rPr>
        <w:t>立面标记的颜色为黄黑相间的倾斜线条，斜线倾角为45°，线宽及其间距均为150mm，设置时应把向下倾斜的一边朝向行车道。</w:t>
      </w:r>
    </w:p>
    <w:p>
      <w:pPr>
        <w:pStyle w:val="5"/>
        <w:keepLines w:val="0"/>
        <w:snapToGrid w:val="0"/>
        <w:spacing w:before="0" w:after="0" w:line="360" w:lineRule="auto"/>
        <w:jc w:val="left"/>
        <w:rPr>
          <w:rFonts w:ascii="宋体" w:hAnsi="宋体" w:eastAsia="宋体"/>
          <w:bCs/>
          <w:sz w:val="24"/>
        </w:rPr>
      </w:pPr>
      <w:bookmarkStart w:id="4731" w:name="_Toc403637029"/>
      <w:bookmarkStart w:id="4732" w:name="_Toc339444426"/>
      <w:bookmarkStart w:id="4733" w:name="_Toc338255196"/>
      <w:bookmarkStart w:id="4734" w:name="_Toc275023315"/>
      <w:bookmarkStart w:id="4735" w:name="_Toc266203786"/>
      <w:bookmarkStart w:id="4736" w:name="_Toc164502265"/>
      <w:bookmarkStart w:id="4737" w:name="_Toc517382648"/>
      <w:bookmarkStart w:id="4738" w:name="_Toc518376701"/>
      <w:bookmarkStart w:id="4739" w:name="_Toc521492023"/>
      <w:bookmarkStart w:id="4740" w:name="_Toc521492880"/>
      <w:bookmarkStart w:id="4741" w:name="_Toc521493554"/>
      <w:bookmarkStart w:id="4742" w:name="_Toc106050185"/>
      <w:bookmarkStart w:id="4743" w:name="_Toc106883442"/>
      <w:r>
        <w:rPr>
          <w:rFonts w:hint="eastAsia" w:ascii="宋体" w:hAnsi="宋体" w:eastAsia="宋体"/>
          <w:sz w:val="24"/>
        </w:rPr>
        <w:t>4.6.8.4</w:t>
      </w:r>
      <w:r>
        <w:rPr>
          <w:rFonts w:ascii="宋体" w:hAnsi="宋体" w:eastAsia="宋体"/>
          <w:sz w:val="24"/>
        </w:rPr>
        <w:t xml:space="preserve"> 质量检验</w:t>
      </w:r>
      <w:bookmarkEnd w:id="4731"/>
      <w:bookmarkEnd w:id="4732"/>
      <w:bookmarkEnd w:id="4733"/>
      <w:bookmarkEnd w:id="4734"/>
      <w:bookmarkEnd w:id="4735"/>
      <w:bookmarkEnd w:id="4736"/>
      <w:bookmarkEnd w:id="4737"/>
      <w:bookmarkEnd w:id="4738"/>
      <w:bookmarkEnd w:id="4739"/>
      <w:bookmarkEnd w:id="4740"/>
      <w:bookmarkEnd w:id="4741"/>
      <w:bookmarkEnd w:id="4742"/>
      <w:bookmarkEnd w:id="4743"/>
    </w:p>
    <w:p>
      <w:pPr>
        <w:snapToGrid w:val="0"/>
        <w:spacing w:line="360" w:lineRule="auto"/>
        <w:ind w:firstLine="559" w:firstLineChars="224"/>
        <w:rPr>
          <w:rFonts w:ascii="宋体" w:hAnsi="宋体"/>
          <w:szCs w:val="21"/>
        </w:rPr>
      </w:pPr>
      <w:r>
        <w:rPr>
          <w:rFonts w:ascii="宋体" w:hAnsi="宋体"/>
          <w:szCs w:val="21"/>
        </w:rPr>
        <w:t>1、路面标线</w:t>
      </w:r>
    </w:p>
    <w:p>
      <w:pPr>
        <w:snapToGrid w:val="0"/>
        <w:spacing w:line="360" w:lineRule="auto"/>
        <w:ind w:firstLine="559" w:firstLineChars="224"/>
        <w:rPr>
          <w:rFonts w:ascii="宋体" w:hAnsi="宋体"/>
          <w:szCs w:val="21"/>
        </w:rPr>
      </w:pPr>
      <w:r>
        <w:rPr>
          <w:rFonts w:hint="eastAsia" w:ascii="宋体" w:hAnsi="宋体"/>
          <w:szCs w:val="21"/>
        </w:rPr>
        <w:t>（1）</w:t>
      </w:r>
      <w:r>
        <w:rPr>
          <w:rFonts w:ascii="宋体" w:hAnsi="宋体"/>
          <w:szCs w:val="21"/>
        </w:rPr>
        <w:t>基本要求</w:t>
      </w:r>
    </w:p>
    <w:p>
      <w:pPr>
        <w:snapToGrid w:val="0"/>
        <w:spacing w:line="360" w:lineRule="auto"/>
        <w:ind w:firstLine="559" w:firstLineChars="224"/>
        <w:rPr>
          <w:rFonts w:ascii="宋体" w:hAnsi="宋体"/>
          <w:szCs w:val="21"/>
        </w:rPr>
      </w:pPr>
      <w:r>
        <w:rPr>
          <w:rFonts w:ascii="宋体" w:hAnsi="宋体"/>
          <w:szCs w:val="21"/>
        </w:rPr>
        <w:t>a</w:t>
      </w:r>
      <w:r>
        <w:rPr>
          <w:rFonts w:hint="eastAsia" w:ascii="宋体" w:hAnsi="宋体"/>
          <w:szCs w:val="21"/>
        </w:rPr>
        <w:t>、</w:t>
      </w:r>
      <w:r>
        <w:rPr>
          <w:rFonts w:ascii="宋体" w:hAnsi="宋体"/>
          <w:szCs w:val="21"/>
        </w:rPr>
        <w:t>喷涂标线或安装突起路标前，路面应清洁，无起灰现象。</w:t>
      </w:r>
    </w:p>
    <w:p>
      <w:pPr>
        <w:snapToGrid w:val="0"/>
        <w:spacing w:line="360" w:lineRule="auto"/>
        <w:ind w:firstLine="559" w:firstLineChars="224"/>
        <w:rPr>
          <w:rFonts w:ascii="宋体" w:hAnsi="宋体"/>
          <w:szCs w:val="21"/>
        </w:rPr>
      </w:pPr>
      <w:r>
        <w:rPr>
          <w:rFonts w:ascii="宋体" w:hAnsi="宋体"/>
          <w:szCs w:val="21"/>
        </w:rPr>
        <w:t>b</w:t>
      </w:r>
      <w:r>
        <w:rPr>
          <w:rFonts w:hint="eastAsia" w:ascii="宋体" w:hAnsi="宋体"/>
          <w:szCs w:val="21"/>
        </w:rPr>
        <w:t>、</w:t>
      </w:r>
      <w:r>
        <w:rPr>
          <w:rFonts w:ascii="宋体" w:hAnsi="宋体"/>
          <w:szCs w:val="21"/>
        </w:rPr>
        <w:t>所有路面标线的设置、颜色、形状，应符合图纸和《道路交通标志和标线》</w:t>
      </w:r>
      <w:r>
        <w:rPr>
          <w:rFonts w:hint="eastAsia" w:ascii="宋体" w:hAnsi="宋体"/>
          <w:szCs w:val="21"/>
        </w:rPr>
        <w:t>（</w:t>
      </w:r>
      <w:r>
        <w:rPr>
          <w:rFonts w:ascii="宋体" w:hAnsi="宋体"/>
          <w:szCs w:val="21"/>
        </w:rPr>
        <w:t>GB 5768-2009</w:t>
      </w:r>
      <w:r>
        <w:rPr>
          <w:rFonts w:hint="eastAsia" w:ascii="宋体" w:hAnsi="宋体"/>
          <w:szCs w:val="21"/>
        </w:rPr>
        <w:t>）</w:t>
      </w:r>
      <w:r>
        <w:rPr>
          <w:rFonts w:ascii="宋体" w:hAnsi="宋体"/>
          <w:szCs w:val="21"/>
        </w:rPr>
        <w:t>标准的规定。</w:t>
      </w:r>
    </w:p>
    <w:p>
      <w:pPr>
        <w:snapToGrid w:val="0"/>
        <w:spacing w:line="360" w:lineRule="auto"/>
        <w:ind w:firstLine="559" w:firstLineChars="224"/>
        <w:rPr>
          <w:rFonts w:ascii="宋体" w:hAnsi="宋体"/>
          <w:szCs w:val="21"/>
        </w:rPr>
      </w:pPr>
      <w:r>
        <w:rPr>
          <w:rFonts w:ascii="宋体" w:hAnsi="宋体"/>
          <w:szCs w:val="21"/>
        </w:rPr>
        <w:t>c</w:t>
      </w:r>
      <w:r>
        <w:rPr>
          <w:rFonts w:hint="eastAsia" w:ascii="宋体" w:hAnsi="宋体"/>
          <w:szCs w:val="21"/>
        </w:rPr>
        <w:t>、</w:t>
      </w:r>
      <w:r>
        <w:rPr>
          <w:rFonts w:ascii="宋体" w:hAnsi="宋体"/>
          <w:szCs w:val="21"/>
        </w:rPr>
        <w:t>突起路标及轮廓标所用的粘贴剂品种、粘贴厚度及其工艺应符合图纸要求；反光材料粘贴牢固，表面无缺损或断裂现象。</w:t>
      </w:r>
    </w:p>
    <w:p>
      <w:pPr>
        <w:snapToGrid w:val="0"/>
        <w:spacing w:line="360" w:lineRule="auto"/>
        <w:ind w:firstLine="559" w:firstLineChars="224"/>
        <w:rPr>
          <w:rFonts w:ascii="宋体" w:hAnsi="宋体"/>
          <w:szCs w:val="21"/>
        </w:rPr>
      </w:pPr>
      <w:r>
        <w:rPr>
          <w:rFonts w:hint="eastAsia" w:ascii="宋体" w:hAnsi="宋体"/>
          <w:szCs w:val="21"/>
        </w:rPr>
        <w:t>（2）</w:t>
      </w:r>
      <w:r>
        <w:rPr>
          <w:rFonts w:ascii="宋体" w:hAnsi="宋体"/>
          <w:szCs w:val="21"/>
        </w:rPr>
        <w:t>检查项目</w:t>
      </w:r>
    </w:p>
    <w:p>
      <w:pPr>
        <w:snapToGrid w:val="0"/>
        <w:spacing w:line="360" w:lineRule="auto"/>
        <w:ind w:firstLine="559" w:firstLineChars="224"/>
        <w:rPr>
          <w:rFonts w:ascii="宋体" w:hAnsi="宋体"/>
          <w:szCs w:val="21"/>
        </w:rPr>
      </w:pPr>
      <w:r>
        <w:rPr>
          <w:rFonts w:ascii="宋体" w:hAnsi="宋体"/>
          <w:szCs w:val="21"/>
        </w:rPr>
        <w:t>检查项目见表4-6-7。</w:t>
      </w:r>
    </w:p>
    <w:p>
      <w:pPr>
        <w:pStyle w:val="134"/>
        <w:adjustRightInd w:val="0"/>
        <w:snapToGrid w:val="0"/>
        <w:spacing w:before="0" w:beforeAutospacing="0" w:after="0" w:afterAutospacing="0" w:line="360" w:lineRule="auto"/>
        <w:jc w:val="center"/>
        <w:rPr>
          <w:kern w:val="2"/>
          <w:sz w:val="18"/>
          <w:szCs w:val="18"/>
        </w:rPr>
      </w:pPr>
      <w:r>
        <w:rPr>
          <w:kern w:val="2"/>
          <w:sz w:val="18"/>
          <w:szCs w:val="18"/>
        </w:rPr>
        <w:t>表4-6-7路面标线检查项目</w:t>
      </w:r>
      <w:r>
        <w:rPr>
          <w:kern w:val="2"/>
          <w:sz w:val="18"/>
          <w:szCs w:val="18"/>
        </w:rPr>
        <w:tab/>
      </w:r>
    </w:p>
    <w:tbl>
      <w:tblPr>
        <w:tblStyle w:val="7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74"/>
        <w:gridCol w:w="756"/>
        <w:gridCol w:w="1368"/>
        <w:gridCol w:w="2442"/>
        <w:gridCol w:w="26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574"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项次</w:t>
            </w:r>
          </w:p>
        </w:tc>
        <w:tc>
          <w:tcPr>
            <w:tcW w:w="2124" w:type="dxa"/>
            <w:gridSpan w:val="2"/>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检查项目</w:t>
            </w:r>
          </w:p>
        </w:tc>
        <w:tc>
          <w:tcPr>
            <w:tcW w:w="2442"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规定值或允许偏差</w:t>
            </w:r>
          </w:p>
        </w:tc>
        <w:tc>
          <w:tcPr>
            <w:tcW w:w="2695"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检查方法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74" w:type="dxa"/>
            <w:vMerge w:val="restart"/>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756"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厚度</w:t>
            </w:r>
          </w:p>
          <w:p>
            <w:pPr>
              <w:adjustRightInd w:val="0"/>
              <w:snapToGrid w:val="0"/>
              <w:jc w:val="center"/>
              <w:rPr>
                <w:rFonts w:ascii="宋体" w:hAnsi="宋体"/>
                <w:sz w:val="18"/>
                <w:szCs w:val="18"/>
              </w:rPr>
            </w:pPr>
            <w:r>
              <w:rPr>
                <w:rFonts w:ascii="宋体" w:hAnsi="宋体"/>
                <w:sz w:val="18"/>
                <w:szCs w:val="18"/>
              </w:rPr>
              <w:t>(mm)</w:t>
            </w:r>
          </w:p>
        </w:tc>
        <w:tc>
          <w:tcPr>
            <w:tcW w:w="136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溶剂常温涂料</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0.3～0.4</w:t>
            </w:r>
          </w:p>
        </w:tc>
        <w:tc>
          <w:tcPr>
            <w:tcW w:w="2695" w:type="dxa"/>
            <w:vMerge w:val="restart"/>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按材料用量计算或抽检10%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74"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212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136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溶剂加热涂料</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0.3～0.5</w:t>
            </w:r>
          </w:p>
        </w:tc>
        <w:tc>
          <w:tcPr>
            <w:tcW w:w="2695" w:type="dxa"/>
            <w:vMerge w:val="continue"/>
            <w:tcBorders>
              <w:top w:val="single" w:color="auto" w:sz="4" w:space="0"/>
              <w:left w:val="single" w:color="auto" w:sz="4" w:space="0"/>
              <w:bottom w:val="single" w:color="auto" w:sz="4" w:space="0"/>
              <w:right w:val="single" w:color="auto" w:sz="8" w:space="0"/>
            </w:tcBorders>
            <w:vAlign w:val="center"/>
          </w:tcPr>
          <w:p>
            <w:pPr>
              <w:widowControl/>
              <w:adjustRightInd w:val="0"/>
              <w:snapToGrid w:val="0"/>
              <w:jc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74" w:type="dxa"/>
            <w:vMerge w:val="continue"/>
            <w:tcBorders>
              <w:top w:val="single" w:color="auto" w:sz="4" w:space="0"/>
              <w:left w:val="single" w:color="auto" w:sz="8"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212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宋体" w:hAnsi="宋体"/>
                <w:sz w:val="18"/>
                <w:szCs w:val="18"/>
              </w:rPr>
            </w:pPr>
          </w:p>
        </w:tc>
        <w:tc>
          <w:tcPr>
            <w:tcW w:w="136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热熔型涂料</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图纸规定值0.25</w:t>
            </w:r>
          </w:p>
        </w:tc>
        <w:tc>
          <w:tcPr>
            <w:tcW w:w="2695" w:type="dxa"/>
            <w:vMerge w:val="continue"/>
            <w:tcBorders>
              <w:top w:val="single" w:color="auto" w:sz="4" w:space="0"/>
              <w:left w:val="single" w:color="auto" w:sz="4" w:space="0"/>
              <w:bottom w:val="single" w:color="auto" w:sz="4" w:space="0"/>
              <w:right w:val="single" w:color="auto" w:sz="8" w:space="0"/>
            </w:tcBorders>
            <w:vAlign w:val="center"/>
          </w:tcPr>
          <w:p>
            <w:pPr>
              <w:widowControl/>
              <w:adjustRightInd w:val="0"/>
              <w:snapToGrid w:val="0"/>
              <w:jc w:val="center"/>
              <w:rPr>
                <w:rFonts w:ascii="宋体" w:hAnsi="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74"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w:t>
            </w:r>
          </w:p>
        </w:tc>
        <w:tc>
          <w:tcPr>
            <w:tcW w:w="212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标线宽度(mm)</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w:t>
            </w:r>
          </w:p>
        </w:tc>
        <w:tc>
          <w:tcPr>
            <w:tcW w:w="2695"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直尺，抽检10%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74"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w:t>
            </w:r>
          </w:p>
        </w:tc>
        <w:tc>
          <w:tcPr>
            <w:tcW w:w="212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标线长度(mm)</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±50</w:t>
            </w:r>
          </w:p>
        </w:tc>
        <w:tc>
          <w:tcPr>
            <w:tcW w:w="2695"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直尺，抽检10%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74"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4</w:t>
            </w:r>
          </w:p>
        </w:tc>
        <w:tc>
          <w:tcPr>
            <w:tcW w:w="212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纵向间距(mm)</w:t>
            </w:r>
          </w:p>
        </w:tc>
        <w:tc>
          <w:tcPr>
            <w:tcW w:w="2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±50</w:t>
            </w:r>
          </w:p>
        </w:tc>
        <w:tc>
          <w:tcPr>
            <w:tcW w:w="2695"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直尺，抽检10%’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574"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5</w:t>
            </w:r>
          </w:p>
        </w:tc>
        <w:tc>
          <w:tcPr>
            <w:tcW w:w="2124" w:type="dxa"/>
            <w:gridSpan w:val="2"/>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横向偏位(mm)</w:t>
            </w:r>
          </w:p>
        </w:tc>
        <w:tc>
          <w:tcPr>
            <w:tcW w:w="2442"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±30</w:t>
            </w:r>
          </w:p>
        </w:tc>
        <w:tc>
          <w:tcPr>
            <w:tcW w:w="2695" w:type="dxa"/>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直尺，抽检10%</w:t>
            </w:r>
          </w:p>
        </w:tc>
      </w:tr>
    </w:tbl>
    <w:p>
      <w:pPr>
        <w:adjustRightInd w:val="0"/>
        <w:snapToGrid w:val="0"/>
        <w:spacing w:before="203" w:beforeLines="50" w:line="360" w:lineRule="auto"/>
        <w:rPr>
          <w:rFonts w:ascii="宋体" w:hAnsi="宋体"/>
          <w:szCs w:val="21"/>
        </w:rPr>
      </w:pPr>
      <w:r>
        <w:rPr>
          <w:rFonts w:hint="eastAsia" w:ascii="宋体" w:hAnsi="宋体"/>
          <w:szCs w:val="21"/>
        </w:rPr>
        <w:t>（3）</w:t>
      </w:r>
      <w:r>
        <w:rPr>
          <w:rFonts w:ascii="宋体" w:hAnsi="宋体"/>
          <w:szCs w:val="21"/>
        </w:rPr>
        <w:t>外观鉴定</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路面标线以外的路面，应保持清洁，不得被标线材料污染；当某处污染面积超过0.001m2时，应进行清除，路面要修补。</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热涂后的标线，边缘无明显毛边；毛边长度每公里超过1%时，应进行清除和修补。</w:t>
      </w:r>
    </w:p>
    <w:p>
      <w:pPr>
        <w:adjustRightInd w:val="0"/>
        <w:snapToGrid w:val="0"/>
        <w:spacing w:line="360" w:lineRule="auto"/>
        <w:ind w:firstLine="500" w:firstLineChars="200"/>
        <w:rPr>
          <w:rFonts w:ascii="宋体" w:hAnsi="宋体"/>
          <w:szCs w:val="21"/>
        </w:rPr>
      </w:pPr>
      <w:r>
        <w:rPr>
          <w:rFonts w:ascii="宋体" w:hAnsi="宋体"/>
          <w:szCs w:val="21"/>
        </w:rPr>
        <w:t>c</w:t>
      </w:r>
      <w:r>
        <w:rPr>
          <w:rFonts w:hint="eastAsia" w:ascii="宋体" w:hAnsi="宋体"/>
          <w:szCs w:val="21"/>
        </w:rPr>
        <w:t>、</w:t>
      </w:r>
      <w:r>
        <w:rPr>
          <w:rFonts w:ascii="宋体" w:hAnsi="宋体"/>
          <w:szCs w:val="21"/>
        </w:rPr>
        <w:t>标线应顺直或圆顺，不符合要求时，应清除和修补。</w:t>
      </w:r>
    </w:p>
    <w:p>
      <w:pPr>
        <w:adjustRightInd w:val="0"/>
        <w:snapToGrid w:val="0"/>
        <w:spacing w:line="360" w:lineRule="auto"/>
        <w:ind w:firstLine="500" w:firstLineChars="200"/>
        <w:rPr>
          <w:rFonts w:ascii="宋体" w:hAnsi="宋体"/>
          <w:szCs w:val="21"/>
        </w:rPr>
      </w:pPr>
      <w:r>
        <w:rPr>
          <w:rFonts w:ascii="宋体" w:hAnsi="宋体"/>
          <w:szCs w:val="21"/>
        </w:rPr>
        <w:t>2、视线诱导标</w:t>
      </w:r>
      <w:r>
        <w:rPr>
          <w:rFonts w:hint="eastAsia" w:ascii="宋体" w:hAnsi="宋体"/>
          <w:szCs w:val="21"/>
        </w:rPr>
        <w:t>（</w:t>
      </w:r>
      <w:r>
        <w:rPr>
          <w:rFonts w:ascii="宋体" w:hAnsi="宋体"/>
          <w:szCs w:val="21"/>
        </w:rPr>
        <w:t>包括突起路标、轮廓标</w:t>
      </w:r>
      <w:r>
        <w:rPr>
          <w:rFonts w:hint="eastAsia" w:ascii="宋体" w:hAnsi="宋体"/>
          <w:szCs w:val="21"/>
        </w:rPr>
        <w:t>）</w:t>
      </w:r>
    </w:p>
    <w:p>
      <w:pPr>
        <w:adjustRightInd w:val="0"/>
        <w:snapToGrid w:val="0"/>
        <w:spacing w:line="360" w:lineRule="auto"/>
        <w:ind w:firstLine="500" w:firstLineChars="200"/>
        <w:rPr>
          <w:rFonts w:ascii="宋体" w:hAnsi="宋体"/>
          <w:szCs w:val="21"/>
        </w:rPr>
      </w:pPr>
      <w:r>
        <w:rPr>
          <w:rFonts w:hint="eastAsia" w:ascii="宋体" w:hAnsi="宋体"/>
          <w:szCs w:val="21"/>
        </w:rPr>
        <w:t>（1）</w:t>
      </w:r>
      <w:r>
        <w:rPr>
          <w:rFonts w:ascii="宋体" w:hAnsi="宋体"/>
          <w:szCs w:val="21"/>
        </w:rPr>
        <w:t>基本要求</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反射器的光学性能在入射角为0°～20°范围内应保持稳定，安装角度须正确，颜色与设计相符，反光材料表面无缺损或断裂现象。</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视线诱导标的图形、符号及材质、几何尺寸应符合图纸要求，板面应平整，垂直度超过±3mm/m者不得使用。</w:t>
      </w:r>
    </w:p>
    <w:p>
      <w:pPr>
        <w:adjustRightInd w:val="0"/>
        <w:snapToGrid w:val="0"/>
        <w:spacing w:line="360" w:lineRule="auto"/>
        <w:ind w:firstLine="500" w:firstLineChars="200"/>
        <w:rPr>
          <w:rFonts w:ascii="宋体" w:hAnsi="宋体"/>
          <w:szCs w:val="21"/>
        </w:rPr>
      </w:pPr>
      <w:r>
        <w:rPr>
          <w:rFonts w:ascii="宋体" w:hAnsi="宋体"/>
          <w:szCs w:val="21"/>
        </w:rPr>
        <w:t>c</w:t>
      </w:r>
      <w:r>
        <w:rPr>
          <w:rFonts w:hint="eastAsia" w:ascii="宋体" w:hAnsi="宋体"/>
          <w:szCs w:val="21"/>
        </w:rPr>
        <w:t>、</w:t>
      </w:r>
      <w:r>
        <w:rPr>
          <w:rFonts w:ascii="宋体" w:hAnsi="宋体"/>
          <w:szCs w:val="21"/>
        </w:rPr>
        <w:t>立柱式视线诱导标的基础混凝土强度、几何尺寸应不小于图纸要求。</w:t>
      </w:r>
    </w:p>
    <w:p>
      <w:pPr>
        <w:adjustRightInd w:val="0"/>
        <w:snapToGrid w:val="0"/>
        <w:spacing w:line="360" w:lineRule="auto"/>
        <w:ind w:firstLine="500" w:firstLineChars="200"/>
        <w:rPr>
          <w:rFonts w:ascii="宋体" w:hAnsi="宋体"/>
          <w:szCs w:val="21"/>
        </w:rPr>
      </w:pPr>
      <w:r>
        <w:rPr>
          <w:rFonts w:ascii="宋体" w:hAnsi="宋体"/>
          <w:szCs w:val="21"/>
        </w:rPr>
        <w:t>d</w:t>
      </w:r>
      <w:r>
        <w:rPr>
          <w:rFonts w:hint="eastAsia" w:ascii="宋体" w:hAnsi="宋体"/>
          <w:szCs w:val="21"/>
        </w:rPr>
        <w:t>、</w:t>
      </w:r>
      <w:r>
        <w:rPr>
          <w:rFonts w:ascii="宋体" w:hAnsi="宋体"/>
          <w:szCs w:val="21"/>
        </w:rPr>
        <w:t>安装前应检验反射器、板材、型材、管材的产品质量合格证，不合格者不得使用。</w:t>
      </w:r>
    </w:p>
    <w:p>
      <w:pPr>
        <w:adjustRightInd w:val="0"/>
        <w:snapToGrid w:val="0"/>
        <w:spacing w:line="360" w:lineRule="auto"/>
        <w:ind w:firstLine="500" w:firstLineChars="200"/>
        <w:rPr>
          <w:rFonts w:ascii="宋体" w:hAnsi="宋体"/>
          <w:szCs w:val="21"/>
        </w:rPr>
      </w:pPr>
      <w:r>
        <w:rPr>
          <w:rFonts w:ascii="宋体" w:hAnsi="宋体"/>
          <w:szCs w:val="21"/>
        </w:rPr>
        <w:t>e</w:t>
      </w:r>
      <w:r>
        <w:rPr>
          <w:rFonts w:hint="eastAsia" w:ascii="宋体" w:hAnsi="宋体"/>
          <w:szCs w:val="21"/>
        </w:rPr>
        <w:t>、</w:t>
      </w:r>
      <w:r>
        <w:rPr>
          <w:rFonts w:ascii="宋体" w:hAnsi="宋体"/>
          <w:szCs w:val="21"/>
        </w:rPr>
        <w:t>视线诱导标的粘贴剂品种、粘贴厚度及其工艺应符合图纸要求。</w:t>
      </w:r>
    </w:p>
    <w:p>
      <w:pPr>
        <w:adjustRightInd w:val="0"/>
        <w:snapToGrid w:val="0"/>
        <w:spacing w:line="360" w:lineRule="auto"/>
        <w:ind w:firstLine="500" w:firstLineChars="200"/>
        <w:rPr>
          <w:rFonts w:ascii="宋体" w:hAnsi="宋体"/>
          <w:szCs w:val="21"/>
        </w:rPr>
      </w:pPr>
      <w:r>
        <w:rPr>
          <w:rFonts w:hint="eastAsia" w:ascii="宋体" w:hAnsi="宋体"/>
          <w:szCs w:val="21"/>
        </w:rPr>
        <w:t>（2）</w:t>
      </w:r>
      <w:r>
        <w:rPr>
          <w:rFonts w:ascii="宋体" w:hAnsi="宋体"/>
          <w:szCs w:val="21"/>
        </w:rPr>
        <w:t>检查项目，见表4-6-8。</w:t>
      </w:r>
    </w:p>
    <w:p>
      <w:pPr>
        <w:pStyle w:val="134"/>
        <w:adjustRightInd w:val="0"/>
        <w:snapToGrid w:val="0"/>
        <w:spacing w:before="0" w:beforeAutospacing="0" w:after="0" w:afterAutospacing="0" w:line="360" w:lineRule="auto"/>
        <w:jc w:val="center"/>
        <w:rPr>
          <w:kern w:val="2"/>
          <w:sz w:val="18"/>
          <w:szCs w:val="18"/>
        </w:rPr>
      </w:pPr>
      <w:r>
        <w:rPr>
          <w:kern w:val="2"/>
          <w:sz w:val="18"/>
          <w:szCs w:val="18"/>
        </w:rPr>
        <w:t>表4-6-8视线诱导标检查项目</w:t>
      </w:r>
      <w:r>
        <w:rPr>
          <w:kern w:val="2"/>
          <w:sz w:val="18"/>
          <w:szCs w:val="18"/>
        </w:rPr>
        <w:tab/>
      </w:r>
    </w:p>
    <w:tbl>
      <w:tblPr>
        <w:tblStyle w:val="77"/>
        <w:tblW w:w="77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649"/>
        <w:gridCol w:w="2268"/>
        <w:gridCol w:w="2126"/>
        <w:gridCol w:w="269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649"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项次</w:t>
            </w:r>
          </w:p>
        </w:tc>
        <w:tc>
          <w:tcPr>
            <w:tcW w:w="226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检查项目</w:t>
            </w:r>
          </w:p>
        </w:tc>
        <w:tc>
          <w:tcPr>
            <w:tcW w:w="2126"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规定值或允许偏差</w:t>
            </w:r>
          </w:p>
        </w:tc>
        <w:tc>
          <w:tcPr>
            <w:tcW w:w="2693"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检查方法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649"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反射器中心高度(mm)</w:t>
            </w:r>
          </w:p>
        </w:tc>
        <w:tc>
          <w:tcPr>
            <w:tcW w:w="212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±35</w:t>
            </w:r>
          </w:p>
        </w:tc>
        <w:tc>
          <w:tcPr>
            <w:tcW w:w="2693"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直尺：抽检10%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649"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反射器中距(mm)</w:t>
            </w:r>
          </w:p>
        </w:tc>
        <w:tc>
          <w:tcPr>
            <w:tcW w:w="212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±100</w:t>
            </w:r>
          </w:p>
        </w:tc>
        <w:tc>
          <w:tcPr>
            <w:tcW w:w="2693"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卷尺：抽检10%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649"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w:t>
            </w:r>
          </w:p>
        </w:tc>
        <w:tc>
          <w:tcPr>
            <w:tcW w:w="226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反射器安装角度(°)</w:t>
            </w:r>
          </w:p>
        </w:tc>
        <w:tc>
          <w:tcPr>
            <w:tcW w:w="212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±3</w:t>
            </w:r>
          </w:p>
        </w:tc>
        <w:tc>
          <w:tcPr>
            <w:tcW w:w="2693"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拉线、量角器：抽检10%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exact"/>
          <w:tblHeader/>
          <w:jc w:val="center"/>
        </w:trPr>
        <w:tc>
          <w:tcPr>
            <w:tcW w:w="649"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4</w:t>
            </w:r>
          </w:p>
        </w:tc>
        <w:tc>
          <w:tcPr>
            <w:tcW w:w="2268"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反射器横向偏位(mm)</w:t>
            </w:r>
          </w:p>
        </w:tc>
        <w:tc>
          <w:tcPr>
            <w:tcW w:w="2126" w:type="dxa"/>
            <w:tcBorders>
              <w:top w:val="single" w:color="auto" w:sz="4" w:space="0"/>
              <w:left w:val="single" w:color="auto" w:sz="4" w:space="0"/>
              <w:bottom w:val="single" w:color="auto" w:sz="8" w:space="0"/>
              <w:right w:val="single" w:color="auto" w:sz="4" w:space="0"/>
            </w:tcBorders>
            <w:vAlign w:val="center"/>
          </w:tcPr>
          <w:p>
            <w:pPr>
              <w:adjustRightInd w:val="0"/>
              <w:snapToGrid w:val="0"/>
              <w:jc w:val="center"/>
              <w:rPr>
                <w:rFonts w:ascii="宋体" w:hAnsi="宋体"/>
                <w:sz w:val="18"/>
                <w:szCs w:val="18"/>
              </w:rPr>
            </w:pPr>
            <w:r>
              <w:rPr>
                <w:rFonts w:ascii="宋体" w:hAnsi="宋体"/>
                <w:sz w:val="18"/>
                <w:szCs w:val="18"/>
              </w:rPr>
              <w:t>±20</w:t>
            </w:r>
          </w:p>
        </w:tc>
        <w:tc>
          <w:tcPr>
            <w:tcW w:w="2693" w:type="dxa"/>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宋体" w:hAnsi="宋体"/>
                <w:sz w:val="18"/>
                <w:szCs w:val="18"/>
              </w:rPr>
            </w:pPr>
            <w:r>
              <w:rPr>
                <w:rFonts w:ascii="宋体" w:hAnsi="宋体"/>
                <w:sz w:val="18"/>
                <w:szCs w:val="18"/>
              </w:rPr>
              <w:t>直尺：抽检10%</w:t>
            </w:r>
          </w:p>
        </w:tc>
      </w:tr>
    </w:tbl>
    <w:p>
      <w:pPr>
        <w:adjustRightInd w:val="0"/>
        <w:snapToGrid w:val="0"/>
        <w:spacing w:line="360" w:lineRule="auto"/>
        <w:ind w:firstLine="500" w:firstLineChars="200"/>
        <w:rPr>
          <w:rFonts w:ascii="宋体" w:hAnsi="宋体"/>
          <w:szCs w:val="21"/>
        </w:rPr>
      </w:pPr>
      <w:r>
        <w:rPr>
          <w:rFonts w:hint="eastAsia" w:ascii="宋体" w:hAnsi="宋体"/>
          <w:szCs w:val="21"/>
        </w:rPr>
        <w:t>（3）</w:t>
      </w:r>
      <w:r>
        <w:rPr>
          <w:rFonts w:ascii="宋体" w:hAnsi="宋体"/>
          <w:szCs w:val="21"/>
        </w:rPr>
        <w:t>外观鉴定</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立柱损边、掉角、缺损长度不超过50mm。</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防锈层不得有汽泡、擦伤、划痕等表面缺陷。</w:t>
      </w:r>
    </w:p>
    <w:p>
      <w:pPr>
        <w:adjustRightInd w:val="0"/>
        <w:snapToGrid w:val="0"/>
        <w:spacing w:line="360" w:lineRule="auto"/>
        <w:ind w:firstLine="500" w:firstLineChars="200"/>
        <w:rPr>
          <w:rFonts w:ascii="宋体" w:hAnsi="宋体"/>
          <w:szCs w:val="21"/>
        </w:rPr>
      </w:pPr>
      <w:r>
        <w:rPr>
          <w:rFonts w:ascii="宋体" w:hAnsi="宋体"/>
          <w:szCs w:val="21"/>
        </w:rPr>
        <w:t>c</w:t>
      </w:r>
      <w:r>
        <w:rPr>
          <w:rFonts w:hint="eastAsia" w:ascii="宋体" w:hAnsi="宋体"/>
          <w:szCs w:val="21"/>
        </w:rPr>
        <w:t>、</w:t>
      </w:r>
      <w:r>
        <w:rPr>
          <w:rFonts w:ascii="宋体" w:hAnsi="宋体"/>
          <w:szCs w:val="21"/>
        </w:rPr>
        <w:t>立柱式视线诱导标的垂直度不超过8mm/m。</w:t>
      </w:r>
    </w:p>
    <w:p>
      <w:pPr>
        <w:pStyle w:val="5"/>
        <w:keepLines w:val="0"/>
        <w:snapToGrid w:val="0"/>
        <w:spacing w:before="0" w:after="0" w:line="360" w:lineRule="auto"/>
        <w:jc w:val="left"/>
        <w:rPr>
          <w:rFonts w:ascii="宋体" w:hAnsi="宋体" w:eastAsia="宋体"/>
          <w:bCs/>
          <w:sz w:val="24"/>
        </w:rPr>
      </w:pPr>
      <w:bookmarkStart w:id="4744" w:name="_Toc403637030"/>
      <w:bookmarkStart w:id="4745" w:name="_Toc339444427"/>
      <w:bookmarkStart w:id="4746" w:name="_Toc338255197"/>
      <w:bookmarkStart w:id="4747" w:name="_Toc275023316"/>
      <w:bookmarkStart w:id="4748" w:name="_Toc266203787"/>
      <w:bookmarkStart w:id="4749" w:name="_Toc164502266"/>
      <w:bookmarkStart w:id="4750" w:name="_Toc517382649"/>
      <w:bookmarkStart w:id="4751" w:name="_Toc518376702"/>
      <w:bookmarkStart w:id="4752" w:name="_Toc521492024"/>
      <w:bookmarkStart w:id="4753" w:name="_Toc521492881"/>
      <w:bookmarkStart w:id="4754" w:name="_Toc521493555"/>
      <w:bookmarkStart w:id="4755" w:name="_Toc106050186"/>
      <w:bookmarkStart w:id="4756" w:name="_Toc106883443"/>
      <w:r>
        <w:rPr>
          <w:rFonts w:hint="eastAsia" w:ascii="宋体" w:hAnsi="宋体" w:eastAsia="宋体"/>
          <w:sz w:val="24"/>
        </w:rPr>
        <w:t>4.6.8.5</w:t>
      </w:r>
      <w:r>
        <w:rPr>
          <w:rFonts w:ascii="宋体" w:hAnsi="宋体" w:eastAsia="宋体"/>
          <w:sz w:val="24"/>
        </w:rPr>
        <w:t xml:space="preserve"> 计量与支付</w:t>
      </w:r>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adjustRightInd w:val="0"/>
        <w:snapToGrid w:val="0"/>
        <w:spacing w:line="360" w:lineRule="auto"/>
        <w:ind w:firstLine="500" w:firstLineChars="200"/>
        <w:rPr>
          <w:rFonts w:ascii="宋体" w:hAnsi="宋体"/>
          <w:kern w:val="0"/>
          <w:szCs w:val="21"/>
        </w:rPr>
      </w:pPr>
      <w:r>
        <w:rPr>
          <w:rFonts w:hint="eastAsia" w:ascii="宋体" w:hAnsi="宋体"/>
          <w:szCs w:val="21"/>
        </w:rPr>
        <w:t>详见</w:t>
      </w:r>
      <w:r>
        <w:rPr>
          <w:rFonts w:ascii="宋体" w:hAnsi="宋体"/>
          <w:szCs w:val="21"/>
        </w:rPr>
        <w:t>工程量清单。</w:t>
      </w:r>
      <w:bookmarkEnd w:id="4609"/>
    </w:p>
    <w:p>
      <w:pPr>
        <w:adjustRightInd w:val="0"/>
        <w:snapToGrid w:val="0"/>
        <w:spacing w:line="360" w:lineRule="auto"/>
        <w:jc w:val="left"/>
        <w:outlineLvl w:val="0"/>
        <w:rPr>
          <w:rFonts w:ascii="宋体" w:hAnsi="宋体"/>
          <w:b/>
          <w:bCs/>
          <w:szCs w:val="20"/>
        </w:rPr>
      </w:pPr>
      <w:bookmarkStart w:id="4757" w:name="_Toc106883444"/>
      <w:bookmarkStart w:id="4758" w:name="_Toc521493836"/>
      <w:bookmarkStart w:id="4759" w:name="_Toc521492305"/>
      <w:bookmarkStart w:id="4760" w:name="_Toc521493162"/>
      <w:r>
        <w:rPr>
          <w:rFonts w:hint="eastAsia" w:ascii="宋体" w:hAnsi="宋体"/>
          <w:b/>
          <w:bCs/>
          <w:szCs w:val="20"/>
        </w:rPr>
        <w:t>4.6.9</w:t>
      </w:r>
      <w:r>
        <w:rPr>
          <w:rFonts w:ascii="宋体" w:hAnsi="宋体"/>
          <w:b/>
          <w:bCs/>
          <w:szCs w:val="20"/>
        </w:rPr>
        <w:t xml:space="preserve"> </w:t>
      </w:r>
      <w:r>
        <w:rPr>
          <w:rFonts w:hint="eastAsia" w:ascii="宋体" w:hAnsi="宋体"/>
          <w:b/>
          <w:bCs/>
          <w:szCs w:val="20"/>
        </w:rPr>
        <w:t xml:space="preserve"> </w:t>
      </w:r>
      <w:r>
        <w:rPr>
          <w:rFonts w:ascii="宋体" w:hAnsi="宋体"/>
          <w:b/>
          <w:bCs/>
          <w:szCs w:val="20"/>
        </w:rPr>
        <w:t>厂区管道工程</w:t>
      </w:r>
      <w:bookmarkEnd w:id="4757"/>
      <w:bookmarkEnd w:id="4758"/>
      <w:bookmarkEnd w:id="4759"/>
      <w:bookmarkEnd w:id="4760"/>
    </w:p>
    <w:p>
      <w:pPr>
        <w:spacing w:line="360" w:lineRule="auto"/>
        <w:outlineLvl w:val="3"/>
        <w:rPr>
          <w:rFonts w:ascii="宋体" w:hAnsi="宋体"/>
        </w:rPr>
      </w:pPr>
      <w:r>
        <w:rPr>
          <w:rFonts w:hint="eastAsia" w:ascii="宋体" w:hAnsi="宋体"/>
        </w:rPr>
        <w:t>4.6.9.</w:t>
      </w:r>
      <w:r>
        <w:rPr>
          <w:rFonts w:ascii="宋体" w:hAnsi="宋体"/>
        </w:rPr>
        <w:t xml:space="preserve">1 </w:t>
      </w:r>
      <w:r>
        <w:rPr>
          <w:rFonts w:hint="eastAsia" w:ascii="宋体" w:hAnsi="宋体"/>
        </w:rPr>
        <w:t xml:space="preserve"> </w:t>
      </w:r>
      <w:r>
        <w:rPr>
          <w:rFonts w:ascii="宋体" w:hAnsi="宋体"/>
        </w:rPr>
        <w:t>范围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本节为</w:t>
      </w:r>
      <w:r>
        <w:rPr>
          <w:rFonts w:hint="eastAsia" w:ascii="宋体" w:hAnsi="宋体"/>
          <w:kern w:val="0"/>
          <w:szCs w:val="21"/>
        </w:rPr>
        <w:t>本工程供水工程</w:t>
      </w:r>
      <w:r>
        <w:rPr>
          <w:rFonts w:ascii="宋体" w:hAnsi="宋体"/>
          <w:kern w:val="0"/>
          <w:szCs w:val="21"/>
        </w:rPr>
        <w:t>（净水厂、取水工程）厂区各种管道的材料、制作、运输、安装、施工、测试和清洗消毒，这里所指的管道工程包括管</w:t>
      </w:r>
      <w:r>
        <w:rPr>
          <w:rFonts w:hint="eastAsia" w:ascii="宋体" w:hAnsi="宋体"/>
          <w:kern w:val="0"/>
          <w:szCs w:val="21"/>
        </w:rPr>
        <w:t>道</w:t>
      </w:r>
      <w:r>
        <w:rPr>
          <w:rFonts w:ascii="宋体" w:hAnsi="宋体"/>
          <w:kern w:val="0"/>
          <w:szCs w:val="21"/>
        </w:rPr>
        <w:t>、配件、特殊件、紧固件、支墩、各种阀门井及窨井、雨水口等附属设施。</w:t>
      </w:r>
    </w:p>
    <w:p>
      <w:pPr>
        <w:spacing w:line="360" w:lineRule="auto"/>
        <w:outlineLvl w:val="3"/>
        <w:rPr>
          <w:rFonts w:ascii="宋体" w:hAnsi="宋体"/>
        </w:rPr>
      </w:pPr>
      <w:r>
        <w:rPr>
          <w:rFonts w:hint="eastAsia" w:ascii="宋体" w:hAnsi="宋体"/>
        </w:rPr>
        <w:t>4.6.9</w:t>
      </w:r>
      <w:r>
        <w:rPr>
          <w:rFonts w:ascii="宋体" w:hAnsi="宋体"/>
        </w:rPr>
        <w:t xml:space="preserve">.2 </w:t>
      </w:r>
      <w:r>
        <w:rPr>
          <w:rFonts w:hint="eastAsia" w:ascii="宋体" w:hAnsi="宋体"/>
        </w:rPr>
        <w:t xml:space="preserve"> </w:t>
      </w:r>
      <w:r>
        <w:rPr>
          <w:rFonts w:ascii="宋体" w:hAnsi="宋体"/>
        </w:rPr>
        <w:t>厂区管道描述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厂区管道的种类、材质和工程内容见合同图纸，主要有：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（1）工艺管道：指原水输送管、构筑物之间的联络管道和清水输送管道，生产管道一般采用钢管。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（2）化学品投加管道：包括输送二氧化氯、混凝剂溶液、PAM溶液的管道，这部分管道一般采用给水用</w:t>
      </w:r>
      <w:r>
        <w:rPr>
          <w:rFonts w:hint="eastAsia" w:ascii="宋体" w:hAnsi="宋体"/>
          <w:kern w:val="0"/>
          <w:szCs w:val="21"/>
        </w:rPr>
        <w:t>UPVC</w:t>
      </w:r>
      <w:r>
        <w:rPr>
          <w:rFonts w:ascii="宋体" w:hAnsi="宋体"/>
          <w:kern w:val="0"/>
          <w:szCs w:val="21"/>
        </w:rPr>
        <w:t>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（3）生产废水和泥渣管道：沉淀池泥渣输送管道</w:t>
      </w:r>
      <w:r>
        <w:rPr>
          <w:rFonts w:hint="eastAsia" w:ascii="宋体" w:hAnsi="宋体"/>
          <w:kern w:val="0"/>
          <w:szCs w:val="21"/>
        </w:rPr>
        <w:t>、</w:t>
      </w:r>
      <w:r>
        <w:rPr>
          <w:rFonts w:ascii="宋体" w:hAnsi="宋体"/>
          <w:kern w:val="0"/>
          <w:szCs w:val="21"/>
        </w:rPr>
        <w:t>滤池反冲洗废水收集</w:t>
      </w:r>
      <w:r>
        <w:rPr>
          <w:rFonts w:hint="eastAsia" w:ascii="宋体" w:hAnsi="宋体"/>
          <w:kern w:val="0"/>
          <w:szCs w:val="21"/>
        </w:rPr>
        <w:t>、</w:t>
      </w:r>
      <w:r>
        <w:rPr>
          <w:rFonts w:ascii="宋体" w:hAnsi="宋体"/>
          <w:kern w:val="0"/>
          <w:szCs w:val="21"/>
        </w:rPr>
        <w:t>管道，采用Ⅱ级钢筋混凝土管重力自流输送；滤池反冲洗废水输送管道，焊接钢管，水泵提升压力输送。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（4）厂区自用水及消防管道：PE100给水管。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w:t>
      </w:r>
      <w:r>
        <w:rPr>
          <w:rFonts w:hint="eastAsia" w:ascii="宋体" w:hAnsi="宋体"/>
          <w:kern w:val="0"/>
          <w:szCs w:val="21"/>
        </w:rPr>
        <w:t>5</w:t>
      </w:r>
      <w:r>
        <w:rPr>
          <w:rFonts w:ascii="宋体" w:hAnsi="宋体"/>
          <w:kern w:val="0"/>
          <w:szCs w:val="21"/>
        </w:rPr>
        <w:t>）雨水、污水管道：公称口径小于DN200采用排水用UPVC管，DN200以上采用Ⅱ级钢筋混凝土管，雨水、污水管道采用重力自流输送。</w:t>
      </w:r>
    </w:p>
    <w:p>
      <w:pPr>
        <w:spacing w:line="360" w:lineRule="auto"/>
        <w:outlineLvl w:val="3"/>
        <w:rPr>
          <w:rFonts w:ascii="宋体" w:hAnsi="宋体"/>
        </w:rPr>
      </w:pPr>
      <w:r>
        <w:rPr>
          <w:rFonts w:hint="eastAsia" w:ascii="宋体" w:hAnsi="宋体"/>
        </w:rPr>
        <w:t>4.6.9</w:t>
      </w:r>
      <w:r>
        <w:rPr>
          <w:rFonts w:ascii="宋体" w:hAnsi="宋体"/>
        </w:rPr>
        <w:t xml:space="preserve">.3 </w:t>
      </w:r>
      <w:r>
        <w:rPr>
          <w:rFonts w:hint="eastAsia" w:ascii="宋体" w:hAnsi="宋体"/>
        </w:rPr>
        <w:t xml:space="preserve"> </w:t>
      </w:r>
      <w:r>
        <w:rPr>
          <w:rFonts w:ascii="宋体" w:hAnsi="宋体"/>
        </w:rPr>
        <w:t>一般要求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本节为厂区管道工程的特殊技术</w:t>
      </w:r>
      <w:r>
        <w:rPr>
          <w:rFonts w:hint="eastAsia" w:ascii="宋体" w:hAnsi="宋体"/>
          <w:kern w:val="0"/>
          <w:szCs w:val="21"/>
        </w:rPr>
        <w:t>规定</w:t>
      </w:r>
      <w:r>
        <w:rPr>
          <w:rFonts w:ascii="宋体" w:hAnsi="宋体"/>
          <w:kern w:val="0"/>
          <w:szCs w:val="21"/>
        </w:rPr>
        <w:t>，一般和其它技术规定包括参照标准、资料提交、材料和制作、管子和配件、施工和安装、管道试验、清洗和消毒等的技术规定。见本标书规定的第</w:t>
      </w:r>
      <w:r>
        <w:rPr>
          <w:rFonts w:hint="eastAsia" w:ascii="宋体" w:hAnsi="宋体"/>
          <w:kern w:val="0"/>
          <w:szCs w:val="21"/>
        </w:rPr>
        <w:t>1</w:t>
      </w:r>
      <w:r>
        <w:rPr>
          <w:rFonts w:ascii="宋体" w:hAnsi="宋体"/>
          <w:kern w:val="0"/>
          <w:szCs w:val="21"/>
        </w:rPr>
        <w:t>3</w:t>
      </w:r>
      <w:r>
        <w:rPr>
          <w:rFonts w:hint="eastAsia" w:ascii="宋体" w:hAnsi="宋体"/>
          <w:kern w:val="0"/>
          <w:szCs w:val="21"/>
        </w:rPr>
        <w:t>.4</w:t>
      </w:r>
      <w:r>
        <w:rPr>
          <w:rFonts w:ascii="宋体" w:hAnsi="宋体"/>
          <w:kern w:val="0"/>
          <w:szCs w:val="21"/>
        </w:rPr>
        <w:t>节，应符合第</w:t>
      </w:r>
      <w:r>
        <w:rPr>
          <w:rFonts w:hint="eastAsia" w:ascii="宋体" w:hAnsi="宋体"/>
          <w:kern w:val="0"/>
          <w:szCs w:val="21"/>
        </w:rPr>
        <w:t>1</w:t>
      </w:r>
      <w:r>
        <w:rPr>
          <w:rFonts w:ascii="宋体" w:hAnsi="宋体"/>
          <w:kern w:val="0"/>
          <w:szCs w:val="21"/>
        </w:rPr>
        <w:t>3</w:t>
      </w:r>
      <w:r>
        <w:rPr>
          <w:rFonts w:hint="eastAsia" w:ascii="宋体" w:hAnsi="宋体"/>
          <w:kern w:val="0"/>
          <w:szCs w:val="21"/>
        </w:rPr>
        <w:t>.4</w:t>
      </w:r>
      <w:r>
        <w:rPr>
          <w:rFonts w:ascii="宋体" w:hAnsi="宋体"/>
          <w:kern w:val="0"/>
          <w:szCs w:val="21"/>
        </w:rPr>
        <w:t>节的要求。</w:t>
      </w:r>
    </w:p>
    <w:p>
      <w:pPr>
        <w:spacing w:line="360" w:lineRule="auto"/>
        <w:outlineLvl w:val="3"/>
        <w:rPr>
          <w:rFonts w:ascii="宋体" w:hAnsi="宋体"/>
        </w:rPr>
      </w:pPr>
      <w:r>
        <w:rPr>
          <w:rFonts w:hint="eastAsia" w:ascii="宋体" w:hAnsi="宋体"/>
        </w:rPr>
        <w:t>4.6.9</w:t>
      </w:r>
      <w:r>
        <w:rPr>
          <w:rFonts w:ascii="宋体" w:hAnsi="宋体"/>
        </w:rPr>
        <w:t xml:space="preserve">.4 </w:t>
      </w:r>
      <w:r>
        <w:rPr>
          <w:rFonts w:hint="eastAsia" w:ascii="宋体" w:hAnsi="宋体"/>
        </w:rPr>
        <w:t xml:space="preserve"> </w:t>
      </w:r>
      <w:r>
        <w:rPr>
          <w:rFonts w:ascii="宋体" w:hAnsi="宋体"/>
        </w:rPr>
        <w:t>特殊要求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（1）承包人应对厂区管道（包括其他各种管沟、电缆等）在施工前作出安排，编制施工方案并在实施前28日前提交给项目监理，在项目监理批准后进行施工。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（2）厂区管道、电缆及管沟平行或交叉敷设，施工步骤一般应先下后上，后续施工的管道、设施不能对已施工的管道及设施产生不利影响，必要时应采用保护措施。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厂内施工和设备的运输车辆应尽量避开已施工的管道，或采取必要的加固措施，不能对管道产生不利影响。当发现已产生不利影响（如管道破损、不均匀沉降等），应及时报告项目监理，并提出补救、修复方案报项目监理，经项目监理批准后，才能实施补救、修复。材料和设备的堆放、土的堆放应与已经安装的管道保持足够的安全距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（4）重力自流输送的管道的坡度、标高应符合本技术规定和参照标准的要求，严禁产生倒坡。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（5）管道沟槽开挖和回填，应按GB50268-2008严格执行。管道基础底或砂垫层底至管顶以上50cm范围内和管道两侧各50cm范围内回填土时，回填料不得含有大于50mm的石、砖等硬块以及有机物、冻土。</w:t>
      </w:r>
    </w:p>
    <w:p>
      <w:pPr>
        <w:adjustRightInd w:val="0"/>
        <w:snapToGrid w:val="0"/>
        <w:spacing w:line="360" w:lineRule="auto"/>
        <w:jc w:val="left"/>
        <w:outlineLvl w:val="0"/>
        <w:rPr>
          <w:rFonts w:ascii="宋体" w:hAnsi="宋体"/>
          <w:b/>
          <w:bCs/>
          <w:szCs w:val="20"/>
        </w:rPr>
      </w:pPr>
      <w:bookmarkStart w:id="4761" w:name="_Toc521493163"/>
      <w:bookmarkStart w:id="4762" w:name="_Toc521493837"/>
      <w:bookmarkStart w:id="4763" w:name="_Toc106883445"/>
      <w:bookmarkStart w:id="4764" w:name="_Toc521492306"/>
      <w:r>
        <w:rPr>
          <w:rFonts w:hint="eastAsia" w:ascii="宋体" w:hAnsi="宋体"/>
          <w:b/>
          <w:bCs/>
          <w:szCs w:val="20"/>
        </w:rPr>
        <w:t>4.6.10</w:t>
      </w:r>
      <w:r>
        <w:rPr>
          <w:rFonts w:ascii="宋体" w:hAnsi="宋体"/>
          <w:b/>
          <w:bCs/>
          <w:szCs w:val="20"/>
        </w:rPr>
        <w:t xml:space="preserve"> </w:t>
      </w:r>
      <w:r>
        <w:rPr>
          <w:rFonts w:hint="eastAsia" w:ascii="宋体" w:hAnsi="宋体"/>
          <w:b/>
          <w:bCs/>
          <w:szCs w:val="20"/>
        </w:rPr>
        <w:t xml:space="preserve"> </w:t>
      </w:r>
      <w:r>
        <w:rPr>
          <w:rFonts w:ascii="宋体" w:hAnsi="宋体"/>
          <w:b/>
          <w:bCs/>
          <w:szCs w:val="20"/>
        </w:rPr>
        <w:t>厂区景观绿化工程</w:t>
      </w:r>
      <w:bookmarkEnd w:id="4761"/>
      <w:bookmarkEnd w:id="4762"/>
      <w:bookmarkEnd w:id="4763"/>
      <w:bookmarkEnd w:id="476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本合同要求承包人完成</w:t>
      </w:r>
      <w:r>
        <w:rPr>
          <w:rFonts w:hint="eastAsia" w:ascii="宋体" w:hAnsi="宋体"/>
          <w:kern w:val="0"/>
          <w:szCs w:val="21"/>
        </w:rPr>
        <w:t>本工程净水厂</w:t>
      </w:r>
      <w:r>
        <w:rPr>
          <w:rFonts w:ascii="宋体" w:hAnsi="宋体"/>
          <w:kern w:val="0"/>
          <w:szCs w:val="21"/>
        </w:rPr>
        <w:t>全部景观绿化工程，包括材料、制作、运输、施工安装、测试验收和交付使用维护保养等。本节为</w:t>
      </w:r>
      <w:r>
        <w:rPr>
          <w:rFonts w:hint="eastAsia" w:ascii="宋体" w:hAnsi="宋体"/>
          <w:kern w:val="0"/>
          <w:szCs w:val="21"/>
        </w:rPr>
        <w:t>本工程</w:t>
      </w:r>
      <w:r>
        <w:rPr>
          <w:rFonts w:ascii="宋体" w:hAnsi="宋体"/>
          <w:kern w:val="0"/>
          <w:szCs w:val="21"/>
        </w:rPr>
        <w:t>厂区景观绿化工程的基本技术要求</w:t>
      </w:r>
      <w:r>
        <w:rPr>
          <w:rFonts w:hint="eastAsia" w:ascii="宋体" w:hAnsi="宋体"/>
          <w:kern w:val="0"/>
          <w:szCs w:val="21"/>
        </w:rPr>
        <w:t>。</w:t>
      </w:r>
    </w:p>
    <w:p>
      <w:pPr>
        <w:pStyle w:val="3"/>
        <w:numPr>
          <w:ilvl w:val="0"/>
          <w:numId w:val="0"/>
        </w:numPr>
        <w:adjustRightInd w:val="0"/>
        <w:spacing w:before="0" w:after="0" w:line="360" w:lineRule="auto"/>
        <w:rPr>
          <w:rFonts w:ascii="宋体" w:hAnsi="宋体" w:eastAsia="宋体"/>
          <w:b w:val="0"/>
          <w:bCs/>
        </w:rPr>
      </w:pPr>
      <w:bookmarkStart w:id="4765" w:name="_Toc485630577"/>
      <w:bookmarkStart w:id="4766" w:name="_Toc485636002"/>
      <w:bookmarkStart w:id="4767" w:name="_Toc485715673"/>
      <w:bookmarkStart w:id="4768" w:name="_Toc485743370"/>
      <w:bookmarkStart w:id="4769" w:name="_Toc517382718"/>
      <w:bookmarkStart w:id="4770" w:name="_Toc518376774"/>
      <w:bookmarkStart w:id="4771" w:name="_Toc521492096"/>
      <w:bookmarkStart w:id="4772" w:name="_Toc521492953"/>
      <w:bookmarkStart w:id="4773" w:name="_Toc521493627"/>
      <w:bookmarkStart w:id="4774" w:name="_Toc106050189"/>
      <w:bookmarkStart w:id="4775" w:name="_Toc106883446"/>
      <w:r>
        <w:rPr>
          <w:rFonts w:hint="eastAsia" w:ascii="宋体" w:hAnsi="宋体" w:eastAsia="宋体"/>
          <w:b w:val="0"/>
        </w:rPr>
        <w:t xml:space="preserve">4.6.10.1 </w:t>
      </w:r>
      <w:r>
        <w:rPr>
          <w:rFonts w:ascii="宋体" w:hAnsi="宋体" w:eastAsia="宋体"/>
          <w:b w:val="0"/>
        </w:rPr>
        <w:t>一般规定</w:t>
      </w:r>
      <w:bookmarkEnd w:id="4765"/>
      <w:bookmarkEnd w:id="4766"/>
      <w:bookmarkEnd w:id="4767"/>
      <w:bookmarkEnd w:id="4768"/>
      <w:bookmarkEnd w:id="4769"/>
      <w:bookmarkEnd w:id="4770"/>
      <w:bookmarkEnd w:id="4771"/>
      <w:bookmarkEnd w:id="4772"/>
      <w:bookmarkEnd w:id="4773"/>
      <w:bookmarkEnd w:id="4774"/>
      <w:bookmarkEnd w:id="4775"/>
    </w:p>
    <w:p>
      <w:pPr>
        <w:adjustRightInd w:val="0"/>
        <w:snapToGrid w:val="0"/>
        <w:spacing w:line="360" w:lineRule="auto"/>
        <w:ind w:firstLine="500" w:firstLineChars="200"/>
        <w:rPr>
          <w:rFonts w:ascii="宋体" w:hAnsi="宋体"/>
          <w:szCs w:val="21"/>
        </w:rPr>
      </w:pPr>
      <w:bookmarkStart w:id="4776" w:name="_Toc485715674"/>
      <w:bookmarkStart w:id="4777" w:name="_Toc485743371"/>
      <w:bookmarkStart w:id="4778" w:name="_Toc485636003"/>
      <w:bookmarkStart w:id="4779" w:name="_Toc485630578"/>
      <w:r>
        <w:rPr>
          <w:rFonts w:ascii="宋体" w:hAnsi="宋体"/>
          <w:szCs w:val="21"/>
        </w:rPr>
        <w:t>1</w:t>
      </w:r>
      <w:r>
        <w:rPr>
          <w:rFonts w:hint="eastAsia" w:ascii="宋体" w:hAnsi="宋体"/>
          <w:szCs w:val="21"/>
        </w:rPr>
        <w:t>、</w:t>
      </w:r>
      <w:r>
        <w:rPr>
          <w:rFonts w:ascii="宋体" w:hAnsi="宋体"/>
          <w:szCs w:val="21"/>
        </w:rPr>
        <w:t>图纸标注</w:t>
      </w:r>
    </w:p>
    <w:p>
      <w:pPr>
        <w:adjustRightInd w:val="0"/>
        <w:snapToGrid w:val="0"/>
        <w:spacing w:line="360" w:lineRule="auto"/>
        <w:ind w:firstLine="500" w:firstLineChars="200"/>
        <w:rPr>
          <w:rFonts w:ascii="宋体" w:hAnsi="宋体"/>
          <w:szCs w:val="21"/>
        </w:rPr>
      </w:pPr>
      <w:r>
        <w:rPr>
          <w:rFonts w:hint="eastAsia" w:ascii="宋体" w:hAnsi="宋体"/>
          <w:szCs w:val="21"/>
        </w:rPr>
        <w:t>树池做法详图尺寸标注为cm。植物种植平面布置图</w:t>
      </w:r>
      <w:r>
        <w:rPr>
          <w:rFonts w:ascii="宋体" w:hAnsi="宋体"/>
          <w:szCs w:val="21"/>
        </w:rPr>
        <w:t>尺寸标注单位均为毫米，竖向标高单位为米</w:t>
      </w:r>
      <w:r>
        <w:rPr>
          <w:rFonts w:hint="eastAsia" w:ascii="宋体" w:hAnsi="宋体"/>
          <w:szCs w:val="21"/>
        </w:rPr>
        <w:t>。</w:t>
      </w:r>
      <w:r>
        <w:rPr>
          <w:rFonts w:ascii="宋体" w:hAnsi="宋体"/>
          <w:szCs w:val="21"/>
        </w:rPr>
        <w:t>如果图纸标注尺寸与比例尺寸有出入，一律以标注尺寸为准。</w:t>
      </w:r>
    </w:p>
    <w:p>
      <w:pPr>
        <w:adjustRightInd w:val="0"/>
        <w:snapToGrid w:val="0"/>
        <w:spacing w:line="360" w:lineRule="auto"/>
        <w:ind w:firstLine="500" w:firstLineChars="200"/>
        <w:rPr>
          <w:rFonts w:ascii="宋体" w:hAnsi="宋体"/>
          <w:szCs w:val="21"/>
        </w:rPr>
      </w:pPr>
      <w:r>
        <w:rPr>
          <w:rFonts w:ascii="宋体" w:hAnsi="宋体"/>
          <w:szCs w:val="21"/>
        </w:rPr>
        <w:t>2</w:t>
      </w:r>
      <w:r>
        <w:rPr>
          <w:rFonts w:hint="eastAsia" w:ascii="宋体" w:hAnsi="宋体"/>
          <w:szCs w:val="21"/>
        </w:rPr>
        <w:t>、</w:t>
      </w:r>
      <w:r>
        <w:rPr>
          <w:rFonts w:ascii="宋体" w:hAnsi="宋体"/>
          <w:szCs w:val="21"/>
        </w:rPr>
        <w:t>施工放线和验收</w:t>
      </w:r>
    </w:p>
    <w:p>
      <w:pPr>
        <w:adjustRightInd w:val="0"/>
        <w:snapToGrid w:val="0"/>
        <w:spacing w:line="360" w:lineRule="auto"/>
        <w:ind w:firstLine="500" w:firstLineChars="200"/>
        <w:rPr>
          <w:rFonts w:ascii="宋体" w:hAnsi="宋体"/>
          <w:szCs w:val="21"/>
        </w:rPr>
      </w:pPr>
      <w:r>
        <w:rPr>
          <w:rFonts w:ascii="宋体" w:hAnsi="宋体"/>
          <w:szCs w:val="21"/>
        </w:rPr>
        <w:t>所有的</w:t>
      </w:r>
      <w:r>
        <w:rPr>
          <w:rFonts w:hint="eastAsia" w:ascii="宋体" w:hAnsi="宋体"/>
          <w:szCs w:val="21"/>
        </w:rPr>
        <w:t>道路绿化</w:t>
      </w:r>
      <w:r>
        <w:rPr>
          <w:rFonts w:ascii="宋体" w:hAnsi="宋体"/>
          <w:szCs w:val="21"/>
        </w:rPr>
        <w:t>工程必须按照设计图纸尺寸进行平面定位和施工放线，并对标高进行复</w:t>
      </w:r>
      <w:r>
        <w:rPr>
          <w:rFonts w:ascii="宋体" w:hAnsi="宋体"/>
          <w:bCs/>
          <w:szCs w:val="21"/>
        </w:rPr>
        <w:t>核</w:t>
      </w:r>
      <w:r>
        <w:rPr>
          <w:rFonts w:hint="eastAsia" w:ascii="宋体" w:hAnsi="宋体"/>
          <w:bCs/>
          <w:szCs w:val="21"/>
        </w:rPr>
        <w:t>。</w:t>
      </w:r>
      <w:r>
        <w:rPr>
          <w:rFonts w:ascii="宋体" w:hAnsi="宋体"/>
          <w:bCs/>
          <w:szCs w:val="21"/>
        </w:rPr>
        <w:t>每在进行下一项工程前，由承包商提前通知业主代表和监理，准备好设计图纸和验收记</w:t>
      </w:r>
      <w:r>
        <w:rPr>
          <w:rFonts w:ascii="宋体" w:hAnsi="宋体"/>
          <w:szCs w:val="21"/>
        </w:rPr>
        <w:t>录，对现场放线情况复核，确认无误并签字后方可进行下一步施工。</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3、</w:t>
      </w:r>
      <w:r>
        <w:rPr>
          <w:kern w:val="2"/>
          <w:sz w:val="21"/>
          <w:szCs w:val="21"/>
        </w:rPr>
        <w:t>按图纸绿化工程的布置和种植种类要求，在有利于种植的季节进行施工。</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4、</w:t>
      </w:r>
      <w:r>
        <w:rPr>
          <w:kern w:val="2"/>
          <w:sz w:val="21"/>
          <w:szCs w:val="21"/>
        </w:rPr>
        <w:t>种植前应在种植区内进行地表准备。</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5、</w:t>
      </w:r>
      <w:r>
        <w:rPr>
          <w:kern w:val="2"/>
          <w:sz w:val="21"/>
          <w:szCs w:val="21"/>
        </w:rPr>
        <w:t>在施工及缺陷责任期间，绿化工作的管理与养护以及任何缺陷的修正与弥补，均是承包商的责任。合同价格将会被视为承包商根据施工现场具体情况合理考虑施工期间及缺陷责任期的养护费用，计入在综合单价中，该项费用业主在计量支付中不再另行支付。</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6、</w:t>
      </w:r>
      <w:r>
        <w:rPr>
          <w:kern w:val="2"/>
          <w:sz w:val="21"/>
          <w:szCs w:val="21"/>
        </w:rPr>
        <w:t>承包商应至少配备(聘请)一名专业园林工程师作为绿化技术指导或代理人，在技术上指导或领导全部绿化工程。</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7、</w:t>
      </w:r>
      <w:r>
        <w:rPr>
          <w:kern w:val="2"/>
          <w:sz w:val="21"/>
          <w:szCs w:val="21"/>
        </w:rPr>
        <w:t xml:space="preserve">承包商的绿化设备必须满足绿化工程的需要，绿化用车辆必须是证、照和保险等各种上路手续齐全，以保证绿化养护工作正常进行。 </w:t>
      </w:r>
    </w:p>
    <w:p>
      <w:pPr>
        <w:pStyle w:val="134"/>
        <w:widowControl w:val="0"/>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8、</w:t>
      </w:r>
      <w:r>
        <w:rPr>
          <w:kern w:val="2"/>
          <w:sz w:val="21"/>
          <w:szCs w:val="21"/>
        </w:rPr>
        <w:t xml:space="preserve">缺陷责任期满时，植物种植成活率应达到100％以上，如果承包商在缺陷责任期满时，植物种植成活率未能达到100％，则项目监理有权暂停退还保留金并要求承包商重新补种，同时相应责任期延长一年。 </w:t>
      </w:r>
    </w:p>
    <w:p>
      <w:pPr>
        <w:pStyle w:val="134"/>
        <w:widowControl w:val="0"/>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9、</w:t>
      </w:r>
      <w:r>
        <w:rPr>
          <w:kern w:val="2"/>
          <w:sz w:val="21"/>
          <w:szCs w:val="21"/>
        </w:rPr>
        <w:t xml:space="preserve">工程开工前应编制开工报告 </w:t>
      </w:r>
    </w:p>
    <w:p>
      <w:pPr>
        <w:adjustRightInd w:val="0"/>
        <w:snapToGrid w:val="0"/>
        <w:spacing w:line="360" w:lineRule="auto"/>
        <w:ind w:firstLine="500" w:firstLineChars="200"/>
        <w:rPr>
          <w:rFonts w:ascii="宋体" w:hAnsi="宋体"/>
          <w:szCs w:val="21"/>
        </w:rPr>
      </w:pPr>
      <w:r>
        <w:rPr>
          <w:rFonts w:hint="eastAsia" w:ascii="宋体" w:hAnsi="宋体"/>
          <w:szCs w:val="21"/>
        </w:rPr>
        <w:t>10、</w:t>
      </w:r>
      <w:r>
        <w:rPr>
          <w:rFonts w:ascii="宋体" w:hAnsi="宋体"/>
          <w:szCs w:val="21"/>
        </w:rPr>
        <w:t>施工用水，用电</w:t>
      </w:r>
    </w:p>
    <w:p>
      <w:pPr>
        <w:adjustRightInd w:val="0"/>
        <w:snapToGrid w:val="0"/>
        <w:spacing w:line="360" w:lineRule="auto"/>
        <w:ind w:firstLine="500" w:firstLineChars="200"/>
        <w:rPr>
          <w:rFonts w:ascii="宋体" w:hAnsi="宋体"/>
          <w:szCs w:val="21"/>
        </w:rPr>
      </w:pPr>
      <w:r>
        <w:rPr>
          <w:rFonts w:ascii="宋体" w:hAnsi="宋体"/>
          <w:szCs w:val="21"/>
        </w:rPr>
        <w:t>在基地内总包配有随时可供承包商使用之施工用水和用电，承包商负责协调总承包接驳水喉和配电箱等工程，费用由承包商负责。灌溉和施工用水必须是清洁干净无污染的水。</w:t>
      </w:r>
    </w:p>
    <w:p>
      <w:pPr>
        <w:pStyle w:val="3"/>
        <w:keepNext w:val="0"/>
        <w:keepLines w:val="0"/>
        <w:numPr>
          <w:ilvl w:val="0"/>
          <w:numId w:val="0"/>
        </w:numPr>
        <w:adjustRightInd w:val="0"/>
        <w:spacing w:before="0" w:after="0" w:line="360" w:lineRule="auto"/>
        <w:rPr>
          <w:rFonts w:ascii="宋体" w:hAnsi="宋体" w:eastAsia="宋体"/>
          <w:b w:val="0"/>
          <w:bCs/>
        </w:rPr>
      </w:pPr>
      <w:bookmarkStart w:id="4780" w:name="_Toc106050190"/>
      <w:bookmarkStart w:id="4781" w:name="_Toc521492954"/>
      <w:bookmarkStart w:id="4782" w:name="_Toc521493628"/>
      <w:bookmarkStart w:id="4783" w:name="_Toc517382719"/>
      <w:bookmarkStart w:id="4784" w:name="_Toc518376775"/>
      <w:bookmarkStart w:id="4785" w:name="_Toc521492097"/>
      <w:bookmarkStart w:id="4786" w:name="_Toc106883447"/>
      <w:r>
        <w:rPr>
          <w:rFonts w:hint="eastAsia" w:ascii="宋体" w:hAnsi="宋体" w:eastAsia="宋体"/>
          <w:b w:val="0"/>
        </w:rPr>
        <w:t>4.6.10.2</w:t>
      </w:r>
      <w:r>
        <w:rPr>
          <w:rFonts w:ascii="宋体" w:hAnsi="宋体" w:eastAsia="宋体"/>
          <w:b w:val="0"/>
        </w:rPr>
        <w:t xml:space="preserve"> 树池</w:t>
      </w:r>
      <w:bookmarkEnd w:id="4780"/>
      <w:bookmarkEnd w:id="4781"/>
      <w:bookmarkEnd w:id="4782"/>
      <w:bookmarkEnd w:id="4783"/>
      <w:bookmarkEnd w:id="4784"/>
      <w:bookmarkEnd w:id="4785"/>
      <w:bookmarkEnd w:id="4786"/>
    </w:p>
    <w:p>
      <w:pPr>
        <w:adjustRightInd w:val="0"/>
        <w:snapToGrid w:val="0"/>
        <w:spacing w:line="360" w:lineRule="auto"/>
        <w:ind w:firstLine="500" w:firstLineChars="200"/>
        <w:rPr>
          <w:rFonts w:ascii="宋体" w:hAnsi="宋体"/>
        </w:rPr>
      </w:pPr>
      <w:r>
        <w:rPr>
          <w:rFonts w:hint="eastAsia" w:ascii="宋体" w:hAnsi="宋体"/>
          <w:szCs w:val="21"/>
        </w:rPr>
        <w:t>树池规格为120cmx120cm，包括树池嵌边石、M10水泥砂浆调平层、高分子复合材料树箅子。</w:t>
      </w:r>
    </w:p>
    <w:p>
      <w:pPr>
        <w:adjustRightInd w:val="0"/>
        <w:snapToGrid w:val="0"/>
        <w:spacing w:line="360" w:lineRule="auto"/>
        <w:rPr>
          <w:rFonts w:ascii="宋体" w:hAnsi="宋体"/>
          <w:b/>
        </w:rPr>
      </w:pPr>
      <w:r>
        <w:rPr>
          <w:rFonts w:hint="eastAsia" w:ascii="宋体" w:hAnsi="宋体"/>
          <w:b/>
        </w:rPr>
        <w:t>4.6.10.2.1</w:t>
      </w:r>
      <w:r>
        <w:rPr>
          <w:rFonts w:ascii="宋体" w:hAnsi="宋体"/>
          <w:b/>
        </w:rPr>
        <w:t xml:space="preserve"> 材料</w:t>
      </w:r>
    </w:p>
    <w:p>
      <w:pPr>
        <w:adjustRightInd w:val="0"/>
        <w:snapToGrid w:val="0"/>
        <w:spacing w:line="360" w:lineRule="auto"/>
        <w:ind w:firstLine="500" w:firstLineChars="200"/>
        <w:rPr>
          <w:rFonts w:ascii="宋体" w:hAnsi="宋体"/>
          <w:szCs w:val="21"/>
        </w:rPr>
      </w:pPr>
      <w:r>
        <w:rPr>
          <w:rFonts w:hint="eastAsia" w:ascii="宋体" w:hAnsi="宋体"/>
          <w:szCs w:val="21"/>
        </w:rPr>
        <w:t>树池边框材料为芝麻黑花岗石树池嵌边石，材料规格为10cm(宽)×25cm（高）×54.5(110) cm（长）。树池嵌边石</w:t>
      </w:r>
      <w:r>
        <w:rPr>
          <w:rFonts w:ascii="宋体" w:hAnsi="宋体"/>
          <w:szCs w:val="21"/>
        </w:rPr>
        <w:t>进场时，项目监理应对其品种、标号、包装、数量、出厂日期等进行检查验收。</w:t>
      </w:r>
      <w:r>
        <w:rPr>
          <w:rFonts w:hint="eastAsia" w:ascii="宋体" w:hAnsi="宋体"/>
          <w:szCs w:val="21"/>
        </w:rPr>
        <w:t>芝麻黑花岗岩</w:t>
      </w:r>
      <w:r>
        <w:rPr>
          <w:rFonts w:ascii="宋体" w:hAnsi="宋体"/>
          <w:szCs w:val="21"/>
        </w:rPr>
        <w:t>粗糙，色泽、规格和尺寸应符合设计要求</w:t>
      </w:r>
      <w:r>
        <w:rPr>
          <w:rFonts w:hint="eastAsia" w:ascii="宋体" w:hAnsi="宋体"/>
          <w:szCs w:val="21"/>
        </w:rPr>
        <w:t>。材料验收及加工尺寸允许偏差如下外观质量要求和加工尺寸允许偏差。</w:t>
      </w:r>
    </w:p>
    <w:tbl>
      <w:tblPr>
        <w:tblStyle w:val="77"/>
        <w:tblW w:w="47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1996"/>
        <w:gridCol w:w="972"/>
        <w:gridCol w:w="1157"/>
        <w:gridCol w:w="3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629" w:type="dxa"/>
            <w:vMerge w:val="restart"/>
            <w:vAlign w:val="center"/>
          </w:tcPr>
          <w:p>
            <w:pPr>
              <w:adjustRightInd w:val="0"/>
              <w:snapToGrid w:val="0"/>
              <w:jc w:val="center"/>
              <w:rPr>
                <w:rFonts w:ascii="宋体" w:hAnsi="宋体"/>
                <w:sz w:val="18"/>
                <w:szCs w:val="18"/>
              </w:rPr>
            </w:pPr>
          </w:p>
          <w:p>
            <w:pPr>
              <w:adjustRightInd w:val="0"/>
              <w:snapToGrid w:val="0"/>
              <w:jc w:val="center"/>
              <w:rPr>
                <w:rFonts w:ascii="宋体" w:hAnsi="宋体"/>
                <w:sz w:val="18"/>
                <w:szCs w:val="18"/>
              </w:rPr>
            </w:pPr>
            <w:r>
              <w:rPr>
                <w:rFonts w:ascii="宋体" w:hAnsi="宋体"/>
                <w:sz w:val="18"/>
                <w:szCs w:val="18"/>
              </w:rPr>
              <w:t>外观</w:t>
            </w:r>
          </w:p>
          <w:p>
            <w:pPr>
              <w:adjustRightInd w:val="0"/>
              <w:snapToGrid w:val="0"/>
              <w:jc w:val="center"/>
              <w:rPr>
                <w:rFonts w:ascii="宋体" w:hAnsi="宋体"/>
                <w:sz w:val="18"/>
                <w:szCs w:val="18"/>
              </w:rPr>
            </w:pPr>
            <w:r>
              <w:rPr>
                <w:rFonts w:ascii="宋体" w:hAnsi="宋体"/>
                <w:sz w:val="18"/>
                <w:szCs w:val="18"/>
              </w:rPr>
              <w:t>质量</w:t>
            </w:r>
          </w:p>
        </w:tc>
        <w:tc>
          <w:tcPr>
            <w:tcW w:w="1996" w:type="dxa"/>
            <w:vAlign w:val="center"/>
          </w:tcPr>
          <w:p>
            <w:pPr>
              <w:adjustRightInd w:val="0"/>
              <w:snapToGrid w:val="0"/>
              <w:jc w:val="center"/>
              <w:rPr>
                <w:rFonts w:ascii="宋体" w:hAnsi="宋体"/>
                <w:sz w:val="18"/>
                <w:szCs w:val="18"/>
              </w:rPr>
            </w:pPr>
            <w:r>
              <w:rPr>
                <w:rFonts w:ascii="宋体" w:hAnsi="宋体"/>
                <w:sz w:val="18"/>
                <w:szCs w:val="18"/>
              </w:rPr>
              <w:t>缺棱</w:t>
            </w:r>
          </w:p>
        </w:tc>
        <w:tc>
          <w:tcPr>
            <w:tcW w:w="972" w:type="dxa"/>
            <w:vAlign w:val="center"/>
          </w:tcPr>
          <w:p>
            <w:pPr>
              <w:adjustRightInd w:val="0"/>
              <w:snapToGrid w:val="0"/>
              <w:jc w:val="center"/>
              <w:rPr>
                <w:rFonts w:ascii="宋体" w:hAnsi="宋体"/>
                <w:sz w:val="18"/>
                <w:szCs w:val="18"/>
              </w:rPr>
            </w:pPr>
            <w:r>
              <w:rPr>
                <w:rFonts w:ascii="宋体" w:hAnsi="宋体"/>
                <w:sz w:val="18"/>
                <w:szCs w:val="18"/>
              </w:rPr>
              <w:t>个</w:t>
            </w:r>
          </w:p>
        </w:tc>
        <w:tc>
          <w:tcPr>
            <w:tcW w:w="1157" w:type="dxa"/>
            <w:vMerge w:val="restart"/>
            <w:vAlign w:val="center"/>
          </w:tcPr>
          <w:p>
            <w:pPr>
              <w:adjustRightInd w:val="0"/>
              <w:snapToGrid w:val="0"/>
              <w:jc w:val="center"/>
              <w:rPr>
                <w:rFonts w:ascii="宋体" w:hAnsi="宋体"/>
                <w:sz w:val="18"/>
                <w:szCs w:val="18"/>
              </w:rPr>
            </w:pPr>
            <w:r>
              <w:rPr>
                <w:rFonts w:ascii="宋体" w:hAnsi="宋体"/>
                <w:sz w:val="18"/>
                <w:szCs w:val="18"/>
              </w:rPr>
              <w:t>1</w:t>
            </w:r>
          </w:p>
        </w:tc>
        <w:tc>
          <w:tcPr>
            <w:tcW w:w="3521" w:type="dxa"/>
            <w:vAlign w:val="center"/>
          </w:tcPr>
          <w:p>
            <w:pPr>
              <w:adjustRightInd w:val="0"/>
              <w:snapToGrid w:val="0"/>
              <w:jc w:val="center"/>
              <w:rPr>
                <w:rFonts w:ascii="宋体" w:hAnsi="宋体"/>
                <w:sz w:val="18"/>
                <w:szCs w:val="18"/>
              </w:rPr>
            </w:pPr>
            <w:r>
              <w:rPr>
                <w:rFonts w:ascii="宋体" w:hAnsi="宋体"/>
                <w:sz w:val="18"/>
                <w:szCs w:val="18"/>
              </w:rPr>
              <w:t>面积不超过5mm×10mm，每块板材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629" w:type="dxa"/>
            <w:vMerge w:val="continue"/>
            <w:vAlign w:val="center"/>
          </w:tcPr>
          <w:p>
            <w:pPr>
              <w:adjustRightInd w:val="0"/>
              <w:snapToGrid w:val="0"/>
              <w:jc w:val="center"/>
              <w:rPr>
                <w:rFonts w:ascii="宋体" w:hAnsi="宋体"/>
                <w:sz w:val="18"/>
                <w:szCs w:val="18"/>
              </w:rPr>
            </w:pPr>
          </w:p>
        </w:tc>
        <w:tc>
          <w:tcPr>
            <w:tcW w:w="1996" w:type="dxa"/>
            <w:vAlign w:val="center"/>
          </w:tcPr>
          <w:p>
            <w:pPr>
              <w:adjustRightInd w:val="0"/>
              <w:snapToGrid w:val="0"/>
              <w:jc w:val="center"/>
              <w:rPr>
                <w:rFonts w:ascii="宋体" w:hAnsi="宋体"/>
                <w:sz w:val="18"/>
                <w:szCs w:val="18"/>
              </w:rPr>
            </w:pPr>
            <w:r>
              <w:rPr>
                <w:rFonts w:ascii="宋体" w:hAnsi="宋体"/>
                <w:sz w:val="18"/>
                <w:szCs w:val="18"/>
              </w:rPr>
              <w:t>缺角</w:t>
            </w:r>
          </w:p>
        </w:tc>
        <w:tc>
          <w:tcPr>
            <w:tcW w:w="972" w:type="dxa"/>
            <w:vAlign w:val="center"/>
          </w:tcPr>
          <w:p>
            <w:pPr>
              <w:adjustRightInd w:val="0"/>
              <w:snapToGrid w:val="0"/>
              <w:jc w:val="center"/>
              <w:rPr>
                <w:rFonts w:ascii="宋体" w:hAnsi="宋体"/>
                <w:sz w:val="18"/>
                <w:szCs w:val="18"/>
              </w:rPr>
            </w:pPr>
            <w:r>
              <w:rPr>
                <w:rFonts w:ascii="宋体" w:hAnsi="宋体"/>
                <w:sz w:val="18"/>
                <w:szCs w:val="18"/>
              </w:rPr>
              <w:t>个</w:t>
            </w:r>
          </w:p>
        </w:tc>
        <w:tc>
          <w:tcPr>
            <w:tcW w:w="1157" w:type="dxa"/>
            <w:vMerge w:val="continue"/>
            <w:vAlign w:val="center"/>
          </w:tcPr>
          <w:p>
            <w:pPr>
              <w:adjustRightInd w:val="0"/>
              <w:snapToGrid w:val="0"/>
              <w:jc w:val="center"/>
              <w:rPr>
                <w:rFonts w:ascii="宋体" w:hAnsi="宋体"/>
                <w:sz w:val="18"/>
                <w:szCs w:val="18"/>
              </w:rPr>
            </w:pPr>
          </w:p>
        </w:tc>
        <w:tc>
          <w:tcPr>
            <w:tcW w:w="3521" w:type="dxa"/>
            <w:vAlign w:val="center"/>
          </w:tcPr>
          <w:p>
            <w:pPr>
              <w:adjustRightInd w:val="0"/>
              <w:snapToGrid w:val="0"/>
              <w:jc w:val="center"/>
              <w:rPr>
                <w:rFonts w:ascii="宋体" w:hAnsi="宋体"/>
                <w:sz w:val="18"/>
                <w:szCs w:val="18"/>
              </w:rPr>
            </w:pPr>
            <w:r>
              <w:rPr>
                <w:rFonts w:ascii="宋体" w:hAnsi="宋体"/>
                <w:sz w:val="18"/>
                <w:szCs w:val="18"/>
              </w:rPr>
              <w:t>面积不超过2mm×2mm，每块板材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629" w:type="dxa"/>
            <w:vMerge w:val="continue"/>
            <w:vAlign w:val="center"/>
          </w:tcPr>
          <w:p>
            <w:pPr>
              <w:adjustRightInd w:val="0"/>
              <w:snapToGrid w:val="0"/>
              <w:jc w:val="center"/>
              <w:rPr>
                <w:rFonts w:ascii="宋体" w:hAnsi="宋体"/>
                <w:sz w:val="18"/>
                <w:szCs w:val="18"/>
              </w:rPr>
            </w:pPr>
          </w:p>
        </w:tc>
        <w:tc>
          <w:tcPr>
            <w:tcW w:w="1996" w:type="dxa"/>
            <w:vAlign w:val="center"/>
          </w:tcPr>
          <w:p>
            <w:pPr>
              <w:adjustRightInd w:val="0"/>
              <w:snapToGrid w:val="0"/>
              <w:jc w:val="center"/>
              <w:rPr>
                <w:rFonts w:ascii="宋体" w:hAnsi="宋体"/>
                <w:sz w:val="18"/>
                <w:szCs w:val="18"/>
              </w:rPr>
            </w:pPr>
            <w:r>
              <w:rPr>
                <w:rFonts w:ascii="宋体" w:hAnsi="宋体"/>
                <w:sz w:val="18"/>
                <w:szCs w:val="18"/>
              </w:rPr>
              <w:t>色斑</w:t>
            </w:r>
          </w:p>
        </w:tc>
        <w:tc>
          <w:tcPr>
            <w:tcW w:w="972" w:type="dxa"/>
            <w:vAlign w:val="center"/>
          </w:tcPr>
          <w:p>
            <w:pPr>
              <w:adjustRightInd w:val="0"/>
              <w:snapToGrid w:val="0"/>
              <w:jc w:val="center"/>
              <w:rPr>
                <w:rFonts w:ascii="宋体" w:hAnsi="宋体"/>
                <w:sz w:val="18"/>
                <w:szCs w:val="18"/>
              </w:rPr>
            </w:pPr>
            <w:r>
              <w:rPr>
                <w:rFonts w:ascii="宋体" w:hAnsi="宋体"/>
                <w:sz w:val="18"/>
                <w:szCs w:val="18"/>
              </w:rPr>
              <w:t>个</w:t>
            </w:r>
          </w:p>
        </w:tc>
        <w:tc>
          <w:tcPr>
            <w:tcW w:w="1157" w:type="dxa"/>
            <w:vMerge w:val="continue"/>
            <w:vAlign w:val="center"/>
          </w:tcPr>
          <w:p>
            <w:pPr>
              <w:adjustRightInd w:val="0"/>
              <w:snapToGrid w:val="0"/>
              <w:jc w:val="center"/>
              <w:rPr>
                <w:rFonts w:ascii="宋体" w:hAnsi="宋体"/>
                <w:sz w:val="18"/>
                <w:szCs w:val="18"/>
              </w:rPr>
            </w:pPr>
          </w:p>
        </w:tc>
        <w:tc>
          <w:tcPr>
            <w:tcW w:w="3521" w:type="dxa"/>
            <w:vAlign w:val="center"/>
          </w:tcPr>
          <w:p>
            <w:pPr>
              <w:adjustRightInd w:val="0"/>
              <w:snapToGrid w:val="0"/>
              <w:jc w:val="center"/>
              <w:rPr>
                <w:rFonts w:ascii="宋体" w:hAnsi="宋体"/>
                <w:sz w:val="18"/>
                <w:szCs w:val="18"/>
              </w:rPr>
            </w:pPr>
            <w:r>
              <w:rPr>
                <w:rFonts w:ascii="宋体" w:hAnsi="宋体"/>
                <w:sz w:val="18"/>
                <w:szCs w:val="18"/>
              </w:rPr>
              <w:t>面积不超过15mm×15mm，每块板材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exact"/>
          <w:jc w:val="center"/>
        </w:trPr>
        <w:tc>
          <w:tcPr>
            <w:tcW w:w="629" w:type="dxa"/>
            <w:vMerge w:val="continue"/>
            <w:vAlign w:val="center"/>
          </w:tcPr>
          <w:p>
            <w:pPr>
              <w:adjustRightInd w:val="0"/>
              <w:snapToGrid w:val="0"/>
              <w:jc w:val="center"/>
              <w:rPr>
                <w:rFonts w:ascii="宋体" w:hAnsi="宋体"/>
                <w:sz w:val="18"/>
                <w:szCs w:val="18"/>
              </w:rPr>
            </w:pPr>
          </w:p>
        </w:tc>
        <w:tc>
          <w:tcPr>
            <w:tcW w:w="1996" w:type="dxa"/>
            <w:vAlign w:val="center"/>
          </w:tcPr>
          <w:p>
            <w:pPr>
              <w:adjustRightInd w:val="0"/>
              <w:snapToGrid w:val="0"/>
              <w:jc w:val="center"/>
              <w:rPr>
                <w:rFonts w:ascii="宋体" w:hAnsi="宋体"/>
                <w:sz w:val="18"/>
                <w:szCs w:val="18"/>
              </w:rPr>
            </w:pPr>
            <w:r>
              <w:rPr>
                <w:rFonts w:ascii="宋体" w:hAnsi="宋体"/>
                <w:sz w:val="18"/>
                <w:szCs w:val="18"/>
              </w:rPr>
              <w:t>裂纹</w:t>
            </w:r>
          </w:p>
        </w:tc>
        <w:tc>
          <w:tcPr>
            <w:tcW w:w="972" w:type="dxa"/>
            <w:vAlign w:val="center"/>
          </w:tcPr>
          <w:p>
            <w:pPr>
              <w:adjustRightInd w:val="0"/>
              <w:snapToGrid w:val="0"/>
              <w:jc w:val="center"/>
              <w:rPr>
                <w:rFonts w:ascii="宋体" w:hAnsi="宋体"/>
                <w:sz w:val="18"/>
                <w:szCs w:val="18"/>
              </w:rPr>
            </w:pPr>
            <w:r>
              <w:rPr>
                <w:rFonts w:ascii="宋体" w:hAnsi="宋体"/>
                <w:sz w:val="18"/>
                <w:szCs w:val="18"/>
              </w:rPr>
              <w:t>条</w:t>
            </w:r>
          </w:p>
        </w:tc>
        <w:tc>
          <w:tcPr>
            <w:tcW w:w="1157" w:type="dxa"/>
            <w:vAlign w:val="center"/>
          </w:tcPr>
          <w:p>
            <w:pPr>
              <w:adjustRightInd w:val="0"/>
              <w:snapToGrid w:val="0"/>
              <w:jc w:val="center"/>
              <w:rPr>
                <w:rFonts w:ascii="宋体" w:hAnsi="宋体"/>
                <w:sz w:val="18"/>
                <w:szCs w:val="18"/>
              </w:rPr>
            </w:pPr>
            <w:r>
              <w:rPr>
                <w:rFonts w:ascii="宋体" w:hAnsi="宋体"/>
                <w:sz w:val="18"/>
                <w:szCs w:val="18"/>
              </w:rPr>
              <w:t>1</w:t>
            </w:r>
          </w:p>
        </w:tc>
        <w:tc>
          <w:tcPr>
            <w:tcW w:w="3521" w:type="dxa"/>
            <w:vAlign w:val="center"/>
          </w:tcPr>
          <w:p>
            <w:pPr>
              <w:adjustRightInd w:val="0"/>
              <w:snapToGrid w:val="0"/>
              <w:jc w:val="center"/>
              <w:rPr>
                <w:rFonts w:ascii="宋体" w:hAnsi="宋体"/>
                <w:sz w:val="18"/>
                <w:szCs w:val="18"/>
              </w:rPr>
            </w:pPr>
            <w:r>
              <w:rPr>
                <w:rFonts w:ascii="宋体" w:hAnsi="宋体"/>
                <w:sz w:val="18"/>
                <w:szCs w:val="18"/>
              </w:rPr>
              <w:t>长度不超过两端顺延至板边总长度的1/10（长度小于20mm不计）每块板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629" w:type="dxa"/>
            <w:vMerge w:val="continue"/>
            <w:vAlign w:val="center"/>
          </w:tcPr>
          <w:p>
            <w:pPr>
              <w:adjustRightInd w:val="0"/>
              <w:snapToGrid w:val="0"/>
              <w:jc w:val="center"/>
              <w:rPr>
                <w:rFonts w:ascii="宋体" w:hAnsi="宋体"/>
                <w:sz w:val="18"/>
                <w:szCs w:val="18"/>
              </w:rPr>
            </w:pPr>
          </w:p>
        </w:tc>
        <w:tc>
          <w:tcPr>
            <w:tcW w:w="1996" w:type="dxa"/>
            <w:vAlign w:val="center"/>
          </w:tcPr>
          <w:p>
            <w:pPr>
              <w:adjustRightInd w:val="0"/>
              <w:snapToGrid w:val="0"/>
              <w:jc w:val="center"/>
              <w:rPr>
                <w:rFonts w:ascii="宋体" w:hAnsi="宋体"/>
                <w:sz w:val="18"/>
                <w:szCs w:val="18"/>
              </w:rPr>
            </w:pPr>
            <w:r>
              <w:rPr>
                <w:rFonts w:ascii="宋体" w:hAnsi="宋体"/>
                <w:sz w:val="18"/>
                <w:szCs w:val="18"/>
              </w:rPr>
              <w:t>坑窝</w:t>
            </w:r>
          </w:p>
        </w:tc>
        <w:tc>
          <w:tcPr>
            <w:tcW w:w="972" w:type="dxa"/>
            <w:vAlign w:val="center"/>
          </w:tcPr>
          <w:p>
            <w:pPr>
              <w:adjustRightInd w:val="0"/>
              <w:snapToGrid w:val="0"/>
              <w:jc w:val="center"/>
              <w:rPr>
                <w:rFonts w:ascii="宋体" w:hAnsi="宋体"/>
                <w:sz w:val="18"/>
                <w:szCs w:val="18"/>
              </w:rPr>
            </w:pPr>
            <w:r>
              <w:rPr>
                <w:rFonts w:ascii="宋体" w:hAnsi="宋体"/>
                <w:sz w:val="18"/>
                <w:szCs w:val="18"/>
              </w:rPr>
              <w:t>－</w:t>
            </w:r>
          </w:p>
        </w:tc>
        <w:tc>
          <w:tcPr>
            <w:tcW w:w="1157" w:type="dxa"/>
            <w:vAlign w:val="center"/>
          </w:tcPr>
          <w:p>
            <w:pPr>
              <w:adjustRightInd w:val="0"/>
              <w:snapToGrid w:val="0"/>
              <w:jc w:val="center"/>
              <w:rPr>
                <w:rFonts w:ascii="宋体" w:hAnsi="宋体"/>
                <w:sz w:val="18"/>
                <w:szCs w:val="18"/>
              </w:rPr>
            </w:pPr>
            <w:r>
              <w:rPr>
                <w:rFonts w:ascii="宋体" w:hAnsi="宋体"/>
                <w:sz w:val="18"/>
                <w:szCs w:val="18"/>
              </w:rPr>
              <w:t>不明显</w:t>
            </w:r>
          </w:p>
        </w:tc>
        <w:tc>
          <w:tcPr>
            <w:tcW w:w="3521" w:type="dxa"/>
            <w:vAlign w:val="center"/>
          </w:tcPr>
          <w:p>
            <w:pPr>
              <w:adjustRightInd w:val="0"/>
              <w:snapToGrid w:val="0"/>
              <w:jc w:val="center"/>
              <w:rPr>
                <w:rFonts w:ascii="宋体" w:hAnsi="宋体"/>
                <w:sz w:val="18"/>
                <w:szCs w:val="18"/>
              </w:rPr>
            </w:pPr>
            <w:r>
              <w:rPr>
                <w:rFonts w:ascii="宋体" w:hAnsi="宋体"/>
                <w:sz w:val="18"/>
                <w:szCs w:val="18"/>
              </w:rPr>
              <w:t>粗面板材的正面出现坑窝</w:t>
            </w:r>
          </w:p>
        </w:tc>
      </w:tr>
    </w:tbl>
    <w:p>
      <w:pPr>
        <w:adjustRightInd w:val="0"/>
        <w:snapToGrid w:val="0"/>
        <w:spacing w:before="203" w:beforeLines="50" w:line="360" w:lineRule="auto"/>
        <w:ind w:firstLine="380" w:firstLineChars="200"/>
        <w:jc w:val="left"/>
        <w:rPr>
          <w:rFonts w:ascii="宋体" w:hAnsi="宋体"/>
          <w:sz w:val="18"/>
          <w:szCs w:val="18"/>
        </w:rPr>
      </w:pPr>
      <w:r>
        <w:rPr>
          <w:rFonts w:ascii="宋体" w:hAnsi="宋体"/>
          <w:sz w:val="18"/>
          <w:szCs w:val="18"/>
        </w:rPr>
        <w:t>注：表面纹理垂直于板边沿，不得有斜纹、乱纹现象，边沿直顺、四角整齐，不得有凹、凸不平现象。</w:t>
      </w:r>
    </w:p>
    <w:p>
      <w:pPr>
        <w:adjustRightInd w:val="0"/>
        <w:snapToGrid w:val="0"/>
        <w:spacing w:line="360" w:lineRule="auto"/>
        <w:ind w:firstLine="500" w:firstLineChars="200"/>
        <w:rPr>
          <w:rFonts w:ascii="宋体" w:hAnsi="宋体"/>
          <w:szCs w:val="21"/>
        </w:rPr>
      </w:pPr>
      <w:r>
        <w:rPr>
          <w:rFonts w:ascii="宋体" w:hAnsi="宋体"/>
          <w:szCs w:val="21"/>
        </w:rPr>
        <w:t>加工尺寸允许偏差</w:t>
      </w:r>
    </w:p>
    <w:tbl>
      <w:tblPr>
        <w:tblStyle w:val="77"/>
        <w:tblW w:w="47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2"/>
        <w:gridCol w:w="2876"/>
        <w:gridCol w:w="3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1310" w:type="pct"/>
            <w:vMerge w:val="restart"/>
            <w:vAlign w:val="center"/>
          </w:tcPr>
          <w:p>
            <w:pPr>
              <w:adjustRightInd w:val="0"/>
              <w:snapToGrid w:val="0"/>
              <w:jc w:val="center"/>
              <w:rPr>
                <w:rFonts w:ascii="宋体" w:hAnsi="宋体"/>
                <w:sz w:val="18"/>
                <w:szCs w:val="18"/>
              </w:rPr>
            </w:pPr>
            <w:r>
              <w:rPr>
                <w:rFonts w:ascii="宋体" w:hAnsi="宋体"/>
                <w:sz w:val="18"/>
                <w:szCs w:val="18"/>
              </w:rPr>
              <w:t>项目</w:t>
            </w:r>
          </w:p>
        </w:tc>
        <w:tc>
          <w:tcPr>
            <w:tcW w:w="3690" w:type="pct"/>
            <w:gridSpan w:val="2"/>
            <w:vAlign w:val="center"/>
          </w:tcPr>
          <w:p>
            <w:pPr>
              <w:adjustRightInd w:val="0"/>
              <w:snapToGrid w:val="0"/>
              <w:jc w:val="center"/>
              <w:rPr>
                <w:rFonts w:ascii="宋体" w:hAnsi="宋体"/>
                <w:sz w:val="18"/>
                <w:szCs w:val="18"/>
              </w:rPr>
            </w:pPr>
            <w:r>
              <w:rPr>
                <w:rFonts w:ascii="宋体" w:hAnsi="宋体"/>
                <w:sz w:val="18"/>
                <w:szCs w:val="18"/>
              </w:rPr>
              <w:t>允许偏差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1310" w:type="pct"/>
            <w:vMerge w:val="continue"/>
            <w:vAlign w:val="center"/>
          </w:tcPr>
          <w:p>
            <w:pPr>
              <w:adjustRightInd w:val="0"/>
              <w:snapToGrid w:val="0"/>
              <w:jc w:val="center"/>
              <w:rPr>
                <w:rFonts w:ascii="宋体" w:hAnsi="宋体"/>
                <w:sz w:val="18"/>
                <w:szCs w:val="18"/>
              </w:rPr>
            </w:pPr>
          </w:p>
        </w:tc>
        <w:tc>
          <w:tcPr>
            <w:tcW w:w="1727" w:type="pct"/>
            <w:vAlign w:val="center"/>
          </w:tcPr>
          <w:p>
            <w:pPr>
              <w:adjustRightInd w:val="0"/>
              <w:snapToGrid w:val="0"/>
              <w:jc w:val="center"/>
              <w:rPr>
                <w:rFonts w:ascii="宋体" w:hAnsi="宋体"/>
                <w:sz w:val="18"/>
                <w:szCs w:val="18"/>
              </w:rPr>
            </w:pPr>
            <w:r>
              <w:rPr>
                <w:rFonts w:ascii="宋体" w:hAnsi="宋体"/>
                <w:sz w:val="18"/>
                <w:szCs w:val="18"/>
              </w:rPr>
              <w:t>粗面材</w:t>
            </w:r>
          </w:p>
        </w:tc>
        <w:tc>
          <w:tcPr>
            <w:tcW w:w="1963" w:type="pct"/>
            <w:vAlign w:val="center"/>
          </w:tcPr>
          <w:p>
            <w:pPr>
              <w:adjustRightInd w:val="0"/>
              <w:snapToGrid w:val="0"/>
              <w:jc w:val="center"/>
              <w:rPr>
                <w:rFonts w:ascii="宋体" w:hAnsi="宋体"/>
                <w:sz w:val="18"/>
                <w:szCs w:val="18"/>
              </w:rPr>
            </w:pPr>
            <w:r>
              <w:rPr>
                <w:rFonts w:ascii="宋体" w:hAnsi="宋体"/>
                <w:sz w:val="18"/>
                <w:szCs w:val="18"/>
              </w:rPr>
              <w:t>细面材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10" w:type="pct"/>
            <w:vAlign w:val="center"/>
          </w:tcPr>
          <w:p>
            <w:pPr>
              <w:adjustRightInd w:val="0"/>
              <w:snapToGrid w:val="0"/>
              <w:jc w:val="center"/>
              <w:rPr>
                <w:rFonts w:ascii="宋体" w:hAnsi="宋体"/>
                <w:sz w:val="18"/>
                <w:szCs w:val="18"/>
              </w:rPr>
            </w:pPr>
            <w:r>
              <w:rPr>
                <w:rFonts w:ascii="宋体" w:hAnsi="宋体"/>
                <w:sz w:val="18"/>
                <w:szCs w:val="18"/>
              </w:rPr>
              <w:t>长、宽（mm）</w:t>
            </w:r>
          </w:p>
        </w:tc>
        <w:tc>
          <w:tcPr>
            <w:tcW w:w="1727" w:type="pct"/>
            <w:vAlign w:val="center"/>
          </w:tcPr>
          <w:p>
            <w:pPr>
              <w:adjustRightInd w:val="0"/>
              <w:snapToGrid w:val="0"/>
              <w:jc w:val="center"/>
              <w:rPr>
                <w:rFonts w:ascii="宋体" w:hAnsi="宋体"/>
                <w:sz w:val="18"/>
                <w:szCs w:val="18"/>
              </w:rPr>
            </w:pPr>
            <w:r>
              <w:rPr>
                <w:rFonts w:ascii="宋体" w:hAnsi="宋体"/>
                <w:sz w:val="18"/>
                <w:szCs w:val="18"/>
              </w:rPr>
              <w:t>0-2</w:t>
            </w:r>
          </w:p>
        </w:tc>
        <w:tc>
          <w:tcPr>
            <w:tcW w:w="1963" w:type="pct"/>
            <w:vAlign w:val="center"/>
          </w:tcPr>
          <w:p>
            <w:pPr>
              <w:adjustRightInd w:val="0"/>
              <w:snapToGrid w:val="0"/>
              <w:jc w:val="center"/>
              <w:rPr>
                <w:rFonts w:ascii="宋体" w:hAnsi="宋体"/>
                <w:sz w:val="18"/>
                <w:szCs w:val="18"/>
              </w:rPr>
            </w:pPr>
            <w:r>
              <w:rPr>
                <w:rFonts w:ascii="宋体" w:hAnsi="宋体"/>
                <w:sz w:val="18"/>
                <w:szCs w:val="18"/>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10" w:type="pct"/>
            <w:vAlign w:val="center"/>
          </w:tcPr>
          <w:p>
            <w:pPr>
              <w:adjustRightInd w:val="0"/>
              <w:snapToGrid w:val="0"/>
              <w:jc w:val="center"/>
              <w:rPr>
                <w:rFonts w:ascii="宋体" w:hAnsi="宋体"/>
                <w:sz w:val="18"/>
                <w:szCs w:val="18"/>
              </w:rPr>
            </w:pPr>
            <w:r>
              <w:rPr>
                <w:rFonts w:ascii="宋体" w:hAnsi="宋体"/>
                <w:sz w:val="18"/>
                <w:szCs w:val="18"/>
              </w:rPr>
              <w:t>厚（高）（mm）</w:t>
            </w:r>
          </w:p>
        </w:tc>
        <w:tc>
          <w:tcPr>
            <w:tcW w:w="1727" w:type="pct"/>
            <w:vAlign w:val="center"/>
          </w:tcPr>
          <w:p>
            <w:pPr>
              <w:adjustRightInd w:val="0"/>
              <w:snapToGrid w:val="0"/>
              <w:jc w:val="center"/>
              <w:rPr>
                <w:rFonts w:ascii="宋体" w:hAnsi="宋体"/>
                <w:sz w:val="18"/>
                <w:szCs w:val="18"/>
              </w:rPr>
            </w:pPr>
            <w:r>
              <w:rPr>
                <w:rFonts w:ascii="宋体" w:hAnsi="宋体"/>
                <w:sz w:val="18"/>
                <w:szCs w:val="18"/>
              </w:rPr>
              <w:t>+1-3</w:t>
            </w:r>
          </w:p>
        </w:tc>
        <w:tc>
          <w:tcPr>
            <w:tcW w:w="1963" w:type="pct"/>
            <w:vAlign w:val="center"/>
          </w:tcPr>
          <w:p>
            <w:pPr>
              <w:adjustRightInd w:val="0"/>
              <w:snapToGrid w:val="0"/>
              <w:jc w:val="center"/>
              <w:rPr>
                <w:rFonts w:ascii="宋体" w:hAnsi="宋体"/>
                <w:sz w:val="18"/>
                <w:szCs w:val="18"/>
              </w:rPr>
            </w:pPr>
            <w:r>
              <w:rPr>
                <w:rFonts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10" w:type="pct"/>
            <w:vAlign w:val="center"/>
          </w:tcPr>
          <w:p>
            <w:pPr>
              <w:adjustRightInd w:val="0"/>
              <w:snapToGrid w:val="0"/>
              <w:jc w:val="center"/>
              <w:rPr>
                <w:rFonts w:ascii="宋体" w:hAnsi="宋体"/>
                <w:sz w:val="18"/>
                <w:szCs w:val="18"/>
              </w:rPr>
            </w:pPr>
            <w:r>
              <w:rPr>
                <w:rFonts w:ascii="宋体" w:hAnsi="宋体"/>
                <w:sz w:val="18"/>
                <w:szCs w:val="18"/>
              </w:rPr>
              <w:t>对角线（mm）</w:t>
            </w:r>
          </w:p>
        </w:tc>
        <w:tc>
          <w:tcPr>
            <w:tcW w:w="1727" w:type="pct"/>
            <w:vAlign w:val="center"/>
          </w:tcPr>
          <w:p>
            <w:pPr>
              <w:adjustRightInd w:val="0"/>
              <w:snapToGrid w:val="0"/>
              <w:jc w:val="center"/>
              <w:rPr>
                <w:rFonts w:ascii="宋体" w:hAnsi="宋体"/>
                <w:sz w:val="18"/>
                <w:szCs w:val="18"/>
              </w:rPr>
            </w:pPr>
            <w:r>
              <w:rPr>
                <w:rFonts w:ascii="宋体" w:hAnsi="宋体"/>
                <w:sz w:val="18"/>
                <w:szCs w:val="18"/>
              </w:rPr>
              <w:t>±2</w:t>
            </w:r>
          </w:p>
        </w:tc>
        <w:tc>
          <w:tcPr>
            <w:tcW w:w="1963" w:type="pct"/>
            <w:vAlign w:val="center"/>
          </w:tcPr>
          <w:p>
            <w:pPr>
              <w:adjustRightInd w:val="0"/>
              <w:snapToGrid w:val="0"/>
              <w:jc w:val="center"/>
              <w:rPr>
                <w:rFonts w:ascii="宋体" w:hAnsi="宋体"/>
                <w:sz w:val="18"/>
                <w:szCs w:val="18"/>
              </w:rPr>
            </w:pPr>
            <w:r>
              <w:rPr>
                <w:rFonts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10" w:type="pct"/>
            <w:vAlign w:val="center"/>
          </w:tcPr>
          <w:p>
            <w:pPr>
              <w:adjustRightInd w:val="0"/>
              <w:snapToGrid w:val="0"/>
              <w:jc w:val="center"/>
              <w:rPr>
                <w:rFonts w:ascii="宋体" w:hAnsi="宋体"/>
                <w:sz w:val="18"/>
                <w:szCs w:val="18"/>
              </w:rPr>
            </w:pPr>
            <w:r>
              <w:rPr>
                <w:rFonts w:ascii="宋体" w:hAnsi="宋体"/>
                <w:sz w:val="18"/>
                <w:szCs w:val="18"/>
              </w:rPr>
              <w:t>平面度（mm）</w:t>
            </w:r>
          </w:p>
        </w:tc>
        <w:tc>
          <w:tcPr>
            <w:tcW w:w="1727" w:type="pct"/>
            <w:vAlign w:val="center"/>
          </w:tcPr>
          <w:p>
            <w:pPr>
              <w:adjustRightInd w:val="0"/>
              <w:snapToGrid w:val="0"/>
              <w:jc w:val="center"/>
              <w:rPr>
                <w:rFonts w:ascii="宋体" w:hAnsi="宋体"/>
                <w:sz w:val="18"/>
                <w:szCs w:val="18"/>
              </w:rPr>
            </w:pPr>
            <w:r>
              <w:rPr>
                <w:rFonts w:ascii="宋体" w:hAnsi="宋体"/>
                <w:sz w:val="18"/>
                <w:szCs w:val="18"/>
              </w:rPr>
              <w:t>±1</w:t>
            </w:r>
          </w:p>
        </w:tc>
        <w:tc>
          <w:tcPr>
            <w:tcW w:w="1963" w:type="pct"/>
            <w:vAlign w:val="center"/>
          </w:tcPr>
          <w:p>
            <w:pPr>
              <w:adjustRightInd w:val="0"/>
              <w:snapToGrid w:val="0"/>
              <w:jc w:val="center"/>
              <w:rPr>
                <w:rFonts w:ascii="宋体" w:hAnsi="宋体"/>
                <w:sz w:val="18"/>
                <w:szCs w:val="18"/>
              </w:rPr>
            </w:pPr>
            <w:r>
              <w:rPr>
                <w:rFonts w:ascii="宋体" w:hAnsi="宋体"/>
                <w:sz w:val="18"/>
                <w:szCs w:val="18"/>
              </w:rPr>
              <w:t>±0.7</w:t>
            </w:r>
          </w:p>
        </w:tc>
      </w:tr>
    </w:tbl>
    <w:p>
      <w:pPr>
        <w:adjustRightInd w:val="0"/>
        <w:snapToGrid w:val="0"/>
        <w:spacing w:before="203" w:beforeLines="50" w:line="360" w:lineRule="auto"/>
        <w:rPr>
          <w:rFonts w:ascii="宋体" w:hAnsi="宋体"/>
          <w:b/>
        </w:rPr>
      </w:pPr>
      <w:r>
        <w:rPr>
          <w:rFonts w:hint="eastAsia" w:ascii="宋体" w:hAnsi="宋体"/>
          <w:b/>
        </w:rPr>
        <w:t>4.6.10.2.2</w:t>
      </w:r>
      <w:r>
        <w:rPr>
          <w:rFonts w:ascii="宋体" w:hAnsi="宋体"/>
          <w:b/>
        </w:rPr>
        <w:t>水泥砂浆调平层</w:t>
      </w:r>
    </w:p>
    <w:p>
      <w:pPr>
        <w:adjustRightInd w:val="0"/>
        <w:snapToGrid w:val="0"/>
        <w:spacing w:line="360" w:lineRule="auto"/>
        <w:ind w:firstLine="500" w:firstLineChars="200"/>
        <w:rPr>
          <w:rFonts w:ascii="宋体" w:hAnsi="宋体"/>
          <w:szCs w:val="21"/>
        </w:rPr>
      </w:pPr>
      <w:r>
        <w:rPr>
          <w:rFonts w:ascii="宋体" w:hAnsi="宋体"/>
          <w:szCs w:val="21"/>
        </w:rPr>
        <w:t>1：3水泥砂浆是用1 单位重量水泥和3单位重量砂配合，比例控制为0.6，水泥砂浆的密度为2000Kg/m</w:t>
      </w:r>
      <w:r>
        <w:rPr>
          <w:rFonts w:ascii="宋体" w:hAnsi="宋体"/>
          <w:szCs w:val="21"/>
          <w:vertAlign w:val="superscript"/>
        </w:rPr>
        <w:t>3</w:t>
      </w:r>
      <w:r>
        <w:rPr>
          <w:rFonts w:hint="eastAsia" w:ascii="宋体" w:hAnsi="宋体"/>
          <w:szCs w:val="21"/>
        </w:rPr>
        <w:t>。一个树池</w:t>
      </w:r>
      <w:r>
        <w:rPr>
          <w:rFonts w:ascii="宋体" w:hAnsi="宋体"/>
          <w:szCs w:val="21"/>
        </w:rPr>
        <w:t>包含</w:t>
      </w:r>
      <w:r>
        <w:rPr>
          <w:rFonts w:hint="eastAsia" w:ascii="宋体" w:hAnsi="宋体"/>
          <w:szCs w:val="21"/>
        </w:rPr>
        <w:t>3</w:t>
      </w:r>
      <w:r>
        <w:rPr>
          <w:rFonts w:ascii="宋体" w:hAnsi="宋体"/>
          <w:szCs w:val="21"/>
        </w:rPr>
        <w:t>0mm</w:t>
      </w:r>
      <w:r>
        <w:rPr>
          <w:rFonts w:hint="eastAsia" w:ascii="宋体" w:hAnsi="宋体"/>
          <w:szCs w:val="21"/>
        </w:rPr>
        <w:t>整圈水泥砂浆调平层</w:t>
      </w:r>
      <w:r>
        <w:rPr>
          <w:rFonts w:ascii="宋体" w:hAnsi="宋体"/>
          <w:szCs w:val="21"/>
        </w:rPr>
        <w:t>。</w:t>
      </w:r>
    </w:p>
    <w:p>
      <w:pPr>
        <w:adjustRightInd w:val="0"/>
        <w:snapToGrid w:val="0"/>
        <w:spacing w:line="360" w:lineRule="auto"/>
        <w:rPr>
          <w:rFonts w:ascii="宋体" w:hAnsi="宋体"/>
          <w:b/>
        </w:rPr>
      </w:pPr>
      <w:r>
        <w:rPr>
          <w:rFonts w:hint="eastAsia" w:ascii="宋体" w:hAnsi="宋体"/>
          <w:b/>
        </w:rPr>
        <w:t>4.6.10.2.3</w:t>
      </w:r>
      <w:r>
        <w:rPr>
          <w:rFonts w:ascii="宋体" w:hAnsi="宋体"/>
          <w:b/>
        </w:rPr>
        <w:t>树箅子</w:t>
      </w:r>
    </w:p>
    <w:p>
      <w:pPr>
        <w:adjustRightInd w:val="0"/>
        <w:snapToGrid w:val="0"/>
        <w:spacing w:line="360" w:lineRule="auto"/>
        <w:ind w:firstLine="500" w:firstLineChars="200"/>
        <w:rPr>
          <w:rFonts w:ascii="宋体" w:hAnsi="宋体"/>
          <w:szCs w:val="21"/>
        </w:rPr>
      </w:pPr>
      <w:r>
        <w:rPr>
          <w:rFonts w:hint="eastAsia" w:ascii="宋体" w:hAnsi="宋体"/>
          <w:szCs w:val="21"/>
        </w:rPr>
        <w:t>树篦子规格为100 cm×100cm，为高分子复合材料。</w:t>
      </w:r>
    </w:p>
    <w:p>
      <w:pPr>
        <w:pStyle w:val="3"/>
        <w:keepNext w:val="0"/>
        <w:keepLines w:val="0"/>
        <w:numPr>
          <w:ilvl w:val="0"/>
          <w:numId w:val="0"/>
        </w:numPr>
        <w:adjustRightInd w:val="0"/>
        <w:spacing w:before="0" w:after="0" w:line="360" w:lineRule="auto"/>
        <w:rPr>
          <w:rFonts w:ascii="宋体" w:hAnsi="宋体" w:eastAsia="宋体"/>
          <w:b w:val="0"/>
          <w:bCs/>
        </w:rPr>
      </w:pPr>
      <w:bookmarkStart w:id="4787" w:name="_Toc517382720"/>
      <w:bookmarkStart w:id="4788" w:name="_Toc518376776"/>
      <w:bookmarkStart w:id="4789" w:name="_Toc521492098"/>
      <w:bookmarkStart w:id="4790" w:name="_Toc521492955"/>
      <w:bookmarkStart w:id="4791" w:name="_Toc521493629"/>
      <w:bookmarkStart w:id="4792" w:name="_Toc106050191"/>
      <w:bookmarkStart w:id="4793" w:name="_Toc106883448"/>
      <w:r>
        <w:rPr>
          <w:rFonts w:hint="eastAsia" w:ascii="宋体" w:hAnsi="宋体" w:eastAsia="宋体"/>
          <w:b w:val="0"/>
        </w:rPr>
        <w:t>4.6.</w:t>
      </w:r>
      <w:r>
        <w:rPr>
          <w:rFonts w:ascii="宋体" w:hAnsi="宋体" w:eastAsia="宋体"/>
          <w:b w:val="0"/>
        </w:rPr>
        <w:t>10.</w:t>
      </w:r>
      <w:r>
        <w:rPr>
          <w:rFonts w:hint="eastAsia" w:ascii="宋体" w:hAnsi="宋体" w:eastAsia="宋体"/>
          <w:b w:val="0"/>
        </w:rPr>
        <w:t>3</w:t>
      </w:r>
      <w:r>
        <w:rPr>
          <w:rFonts w:ascii="宋体" w:hAnsi="宋体" w:eastAsia="宋体"/>
          <w:b w:val="0"/>
        </w:rPr>
        <w:t>行道树</w:t>
      </w:r>
      <w:bookmarkEnd w:id="4776"/>
      <w:bookmarkEnd w:id="4777"/>
      <w:bookmarkEnd w:id="4778"/>
      <w:bookmarkEnd w:id="4779"/>
      <w:bookmarkStart w:id="4794" w:name="_Toc485630579"/>
      <w:bookmarkStart w:id="4795" w:name="_Toc485636004"/>
      <w:bookmarkStart w:id="4796" w:name="_Toc485715675"/>
      <w:bookmarkStart w:id="4797" w:name="_Toc485743372"/>
      <w:r>
        <w:rPr>
          <w:rFonts w:ascii="宋体" w:hAnsi="宋体" w:eastAsia="宋体"/>
          <w:b w:val="0"/>
        </w:rPr>
        <w:t>种植</w:t>
      </w:r>
      <w:bookmarkEnd w:id="4787"/>
      <w:bookmarkEnd w:id="4788"/>
      <w:bookmarkEnd w:id="4789"/>
      <w:bookmarkEnd w:id="4790"/>
      <w:bookmarkEnd w:id="4791"/>
      <w:bookmarkEnd w:id="4792"/>
      <w:bookmarkEnd w:id="4793"/>
    </w:p>
    <w:p>
      <w:pPr>
        <w:pStyle w:val="5"/>
        <w:keepNext w:val="0"/>
        <w:keepLines w:val="0"/>
        <w:adjustRightInd w:val="0"/>
        <w:snapToGrid w:val="0"/>
        <w:spacing w:before="0" w:after="0" w:line="360" w:lineRule="auto"/>
        <w:jc w:val="left"/>
        <w:rPr>
          <w:rFonts w:ascii="宋体" w:hAnsi="宋体" w:eastAsia="宋体"/>
          <w:bCs/>
          <w:sz w:val="24"/>
        </w:rPr>
      </w:pPr>
      <w:bookmarkStart w:id="4798" w:name="_Toc517382721"/>
      <w:bookmarkStart w:id="4799" w:name="_Toc518376777"/>
      <w:bookmarkStart w:id="4800" w:name="_Toc521492099"/>
      <w:bookmarkStart w:id="4801" w:name="_Toc521492956"/>
      <w:bookmarkStart w:id="4802" w:name="_Toc521493630"/>
      <w:bookmarkStart w:id="4803" w:name="_Toc106050192"/>
      <w:bookmarkStart w:id="4804" w:name="_Toc106883449"/>
      <w:r>
        <w:rPr>
          <w:rFonts w:hint="eastAsia" w:ascii="宋体" w:hAnsi="宋体" w:eastAsia="宋体"/>
          <w:sz w:val="24"/>
        </w:rPr>
        <w:t>4.6.10.3.1</w:t>
      </w:r>
      <w:r>
        <w:rPr>
          <w:rFonts w:ascii="宋体" w:hAnsi="宋体" w:eastAsia="宋体"/>
          <w:sz w:val="24"/>
        </w:rPr>
        <w:t>材料</w:t>
      </w:r>
      <w:bookmarkEnd w:id="4794"/>
      <w:bookmarkEnd w:id="4795"/>
      <w:bookmarkEnd w:id="4796"/>
      <w:bookmarkEnd w:id="4797"/>
      <w:r>
        <w:rPr>
          <w:rFonts w:hint="eastAsia" w:ascii="宋体" w:hAnsi="宋体" w:eastAsia="宋体"/>
          <w:sz w:val="24"/>
        </w:rPr>
        <w:t>要求</w:t>
      </w:r>
      <w:bookmarkEnd w:id="4798"/>
      <w:bookmarkEnd w:id="4799"/>
      <w:bookmarkEnd w:id="4800"/>
      <w:bookmarkEnd w:id="4801"/>
      <w:bookmarkEnd w:id="4802"/>
      <w:bookmarkEnd w:id="4803"/>
      <w:bookmarkEnd w:id="4804"/>
      <w:r>
        <w:rPr>
          <w:rFonts w:hint="eastAsia" w:ascii="宋体" w:hAnsi="宋体" w:eastAsia="宋体"/>
          <w:sz w:val="24"/>
        </w:rPr>
        <w:t xml:space="preserve"> </w:t>
      </w:r>
    </w:p>
    <w:p>
      <w:pPr>
        <w:pStyle w:val="134"/>
        <w:widowControl w:val="0"/>
        <w:adjustRightInd w:val="0"/>
        <w:snapToGrid w:val="0"/>
        <w:spacing w:before="0" w:beforeAutospacing="0" w:after="0" w:afterAutospacing="0" w:line="360" w:lineRule="auto"/>
        <w:ind w:firstLine="440" w:firstLineChars="200"/>
        <w:rPr>
          <w:kern w:val="2"/>
          <w:sz w:val="21"/>
          <w:szCs w:val="21"/>
        </w:rPr>
      </w:pPr>
      <w:r>
        <w:rPr>
          <w:kern w:val="2"/>
          <w:sz w:val="21"/>
          <w:szCs w:val="21"/>
        </w:rPr>
        <w:t>1）所有种植物必须符合现行关于植物病害及昆虫传染检疫的法规，承包商提供的种植物具有必要的全部检疫证明。选定的种植材料应符合其产品标准的规定。</w:t>
      </w:r>
    </w:p>
    <w:p>
      <w:pPr>
        <w:pStyle w:val="134"/>
        <w:widowControl w:val="0"/>
        <w:adjustRightInd w:val="0"/>
        <w:snapToGrid w:val="0"/>
        <w:spacing w:before="0" w:beforeAutospacing="0" w:after="0" w:afterAutospacing="0" w:line="360" w:lineRule="auto"/>
        <w:ind w:firstLine="440" w:firstLineChars="200"/>
        <w:rPr>
          <w:kern w:val="2"/>
          <w:sz w:val="21"/>
          <w:szCs w:val="21"/>
        </w:rPr>
      </w:pPr>
      <w:r>
        <w:rPr>
          <w:kern w:val="2"/>
          <w:sz w:val="21"/>
          <w:szCs w:val="21"/>
        </w:rPr>
        <w:t xml:space="preserve">2）种植材料应根系发达，生长茁壮，无病虫害，规格及形态应符合设计要求。 </w:t>
      </w:r>
    </w:p>
    <w:p>
      <w:pPr>
        <w:pStyle w:val="134"/>
        <w:adjustRightInd w:val="0"/>
        <w:snapToGrid w:val="0"/>
        <w:spacing w:before="0" w:beforeAutospacing="0" w:after="0" w:afterAutospacing="0" w:line="360" w:lineRule="auto"/>
        <w:ind w:firstLine="440" w:firstLineChars="200"/>
        <w:rPr>
          <w:kern w:val="2"/>
          <w:sz w:val="21"/>
          <w:szCs w:val="21"/>
        </w:rPr>
      </w:pPr>
      <w:r>
        <w:rPr>
          <w:kern w:val="2"/>
          <w:sz w:val="21"/>
          <w:szCs w:val="21"/>
        </w:rPr>
        <w:t>苗木选用应符合设计图纸要求</w:t>
      </w:r>
    </w:p>
    <w:p>
      <w:pPr>
        <w:pStyle w:val="134"/>
        <w:adjustRightInd w:val="0"/>
        <w:snapToGrid w:val="0"/>
        <w:spacing w:before="0" w:beforeAutospacing="0" w:after="0" w:afterAutospacing="0" w:line="360" w:lineRule="auto"/>
        <w:jc w:val="center"/>
        <w:rPr>
          <w:kern w:val="2"/>
          <w:sz w:val="18"/>
          <w:szCs w:val="18"/>
        </w:rPr>
      </w:pPr>
      <w:r>
        <w:rPr>
          <w:kern w:val="2"/>
          <w:sz w:val="18"/>
          <w:szCs w:val="18"/>
        </w:rPr>
        <w:t>苗木质量要求基本标准表</w:t>
      </w:r>
    </w:p>
    <w:tbl>
      <w:tblPr>
        <w:tblStyle w:val="77"/>
        <w:tblW w:w="4036" w:type="pct"/>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autofit"/>
        <w:tblCellMar>
          <w:top w:w="0" w:type="dxa"/>
          <w:left w:w="108" w:type="dxa"/>
          <w:bottom w:w="0" w:type="dxa"/>
          <w:right w:w="108" w:type="dxa"/>
        </w:tblCellMar>
      </w:tblPr>
      <w:tblGrid>
        <w:gridCol w:w="1099"/>
        <w:gridCol w:w="5940"/>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781" w:type="pct"/>
            <w:vAlign w:val="center"/>
          </w:tcPr>
          <w:p>
            <w:pPr>
              <w:pStyle w:val="134"/>
              <w:adjustRightInd w:val="0"/>
              <w:snapToGrid w:val="0"/>
              <w:spacing w:before="0" w:beforeAutospacing="0" w:after="0" w:afterAutospacing="0"/>
              <w:jc w:val="center"/>
              <w:rPr>
                <w:sz w:val="18"/>
                <w:szCs w:val="18"/>
              </w:rPr>
            </w:pPr>
            <w:r>
              <w:rPr>
                <w:sz w:val="18"/>
                <w:szCs w:val="18"/>
              </w:rPr>
              <w:t>苗木总类</w:t>
            </w:r>
          </w:p>
        </w:tc>
        <w:tc>
          <w:tcPr>
            <w:tcW w:w="4219" w:type="pct"/>
            <w:vAlign w:val="center"/>
          </w:tcPr>
          <w:p>
            <w:pPr>
              <w:pStyle w:val="134"/>
              <w:adjustRightInd w:val="0"/>
              <w:snapToGrid w:val="0"/>
              <w:spacing w:before="0" w:beforeAutospacing="0" w:after="0" w:afterAutospacing="0"/>
              <w:jc w:val="center"/>
              <w:rPr>
                <w:sz w:val="18"/>
                <w:szCs w:val="18"/>
              </w:rPr>
            </w:pPr>
            <w:r>
              <w:rPr>
                <w:sz w:val="18"/>
                <w:szCs w:val="18"/>
              </w:rPr>
              <w:t>质量要求</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148" w:hRule="exact"/>
          <w:jc w:val="center"/>
        </w:trPr>
        <w:tc>
          <w:tcPr>
            <w:tcW w:w="781" w:type="pct"/>
            <w:vAlign w:val="center"/>
          </w:tcPr>
          <w:p>
            <w:pPr>
              <w:pStyle w:val="134"/>
              <w:adjustRightInd w:val="0"/>
              <w:snapToGrid w:val="0"/>
              <w:spacing w:before="0" w:beforeAutospacing="0" w:after="0" w:afterAutospacing="0"/>
              <w:jc w:val="center"/>
              <w:rPr>
                <w:sz w:val="18"/>
                <w:szCs w:val="18"/>
              </w:rPr>
            </w:pPr>
            <w:r>
              <w:rPr>
                <w:sz w:val="18"/>
                <w:szCs w:val="18"/>
              </w:rPr>
              <w:t>落叶乔木</w:t>
            </w:r>
          </w:p>
        </w:tc>
        <w:tc>
          <w:tcPr>
            <w:tcW w:w="4219" w:type="pct"/>
            <w:vAlign w:val="center"/>
          </w:tcPr>
          <w:p>
            <w:pPr>
              <w:pStyle w:val="134"/>
              <w:adjustRightInd w:val="0"/>
              <w:snapToGrid w:val="0"/>
              <w:spacing w:before="0" w:beforeAutospacing="0" w:after="0" w:afterAutospacing="0"/>
              <w:jc w:val="both"/>
              <w:rPr>
                <w:sz w:val="18"/>
                <w:szCs w:val="18"/>
              </w:rPr>
            </w:pPr>
            <w:r>
              <w:rPr>
                <w:sz w:val="18"/>
                <w:szCs w:val="18"/>
              </w:rPr>
              <w:t>主干：主干不得过于弯曲，无蛀虫害，有明显主轴树种应有主干枝。</w:t>
            </w:r>
          </w:p>
          <w:p>
            <w:pPr>
              <w:pStyle w:val="134"/>
              <w:adjustRightInd w:val="0"/>
              <w:snapToGrid w:val="0"/>
              <w:spacing w:before="0" w:beforeAutospacing="0" w:after="0" w:afterAutospacing="0"/>
              <w:jc w:val="both"/>
              <w:rPr>
                <w:sz w:val="18"/>
                <w:szCs w:val="18"/>
              </w:rPr>
            </w:pPr>
            <w:r>
              <w:rPr>
                <w:sz w:val="18"/>
                <w:szCs w:val="18"/>
              </w:rPr>
              <w:t>树冠：树冠茂密、圆满，各方向枝条分布均匀，无病虫害。</w:t>
            </w:r>
          </w:p>
          <w:p>
            <w:pPr>
              <w:pStyle w:val="134"/>
              <w:adjustRightInd w:val="0"/>
              <w:snapToGrid w:val="0"/>
              <w:spacing w:before="0" w:beforeAutospacing="0" w:after="0" w:afterAutospacing="0"/>
              <w:jc w:val="both"/>
              <w:rPr>
                <w:sz w:val="18"/>
                <w:szCs w:val="18"/>
              </w:rPr>
            </w:pPr>
            <w:r>
              <w:rPr>
                <w:sz w:val="18"/>
                <w:szCs w:val="18"/>
              </w:rPr>
              <w:t>根系：有良好的须根，大根部的有严重损伤，根际无肿瘤及其他病虫害，带土球的苗木，球必须解释，捆绑的草绳不松脱。</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710" w:hRule="exact"/>
          <w:jc w:val="center"/>
        </w:trPr>
        <w:tc>
          <w:tcPr>
            <w:tcW w:w="781" w:type="pct"/>
            <w:vAlign w:val="center"/>
          </w:tcPr>
          <w:p>
            <w:pPr>
              <w:pStyle w:val="134"/>
              <w:adjustRightInd w:val="0"/>
              <w:snapToGrid w:val="0"/>
              <w:spacing w:before="0" w:beforeAutospacing="0" w:after="0" w:afterAutospacing="0"/>
              <w:jc w:val="center"/>
              <w:rPr>
                <w:sz w:val="18"/>
                <w:szCs w:val="18"/>
              </w:rPr>
            </w:pPr>
            <w:r>
              <w:rPr>
                <w:sz w:val="18"/>
                <w:szCs w:val="18"/>
              </w:rPr>
              <w:t>常绿乔木</w:t>
            </w:r>
          </w:p>
        </w:tc>
        <w:tc>
          <w:tcPr>
            <w:tcW w:w="4219" w:type="pct"/>
            <w:vAlign w:val="center"/>
          </w:tcPr>
          <w:p>
            <w:pPr>
              <w:pStyle w:val="134"/>
              <w:adjustRightInd w:val="0"/>
              <w:snapToGrid w:val="0"/>
              <w:spacing w:before="0" w:beforeAutospacing="0" w:after="0" w:afterAutospacing="0"/>
              <w:jc w:val="both"/>
              <w:rPr>
                <w:sz w:val="18"/>
                <w:szCs w:val="18"/>
              </w:rPr>
            </w:pPr>
            <w:r>
              <w:rPr>
                <w:sz w:val="18"/>
                <w:szCs w:val="18"/>
              </w:rPr>
              <w:t>主干不得弯曲，主干上无蛀虫害，主轴明显的树种必须有主干枝，树干匀称，茂密，有新枝条，土球结实，草绳不松脱。</w:t>
            </w:r>
          </w:p>
        </w:tc>
      </w:tr>
    </w:tbl>
    <w:p>
      <w:pPr>
        <w:pStyle w:val="134"/>
        <w:adjustRightInd w:val="0"/>
        <w:snapToGrid w:val="0"/>
        <w:spacing w:before="203" w:beforeLines="50" w:beforeAutospacing="0" w:after="0" w:afterAutospacing="0" w:line="360" w:lineRule="auto"/>
        <w:ind w:firstLine="440" w:firstLineChars="200"/>
        <w:rPr>
          <w:kern w:val="2"/>
          <w:sz w:val="21"/>
          <w:szCs w:val="21"/>
        </w:rPr>
      </w:pPr>
      <w:r>
        <w:rPr>
          <w:kern w:val="2"/>
          <w:sz w:val="21"/>
          <w:szCs w:val="21"/>
        </w:rPr>
        <w:t>3）木本苗木的品种与规格、树形及整形修剪质量和草种选择、配比、播种量以及修剪质量等均应符合设计要求及《城市绿地设计规范》</w:t>
      </w:r>
      <w:r>
        <w:rPr>
          <w:rFonts w:hint="eastAsia"/>
          <w:kern w:val="2"/>
          <w:sz w:val="21"/>
          <w:szCs w:val="21"/>
        </w:rPr>
        <w:t>（</w:t>
      </w:r>
      <w:r>
        <w:rPr>
          <w:kern w:val="2"/>
          <w:sz w:val="21"/>
          <w:szCs w:val="21"/>
        </w:rPr>
        <w:t>GB 50420</w:t>
      </w:r>
      <w:r>
        <w:rPr>
          <w:rFonts w:hint="eastAsia"/>
          <w:kern w:val="2"/>
          <w:sz w:val="21"/>
          <w:szCs w:val="21"/>
        </w:rPr>
        <w:t>-</w:t>
      </w:r>
      <w:r>
        <w:rPr>
          <w:kern w:val="2"/>
          <w:sz w:val="21"/>
          <w:szCs w:val="21"/>
        </w:rPr>
        <w:t>2007</w:t>
      </w:r>
      <w:r>
        <w:rPr>
          <w:rFonts w:hint="eastAsia"/>
          <w:kern w:val="2"/>
          <w:sz w:val="21"/>
          <w:szCs w:val="21"/>
        </w:rPr>
        <w:t>）</w:t>
      </w:r>
      <w:r>
        <w:rPr>
          <w:kern w:val="2"/>
          <w:sz w:val="21"/>
          <w:szCs w:val="21"/>
        </w:rPr>
        <w:t>的相关规定。苗木挖掘、包装宜符合《城市绿化和园林绿地用植物材料</w:t>
      </w:r>
      <w:r>
        <w:rPr>
          <w:rFonts w:hint="eastAsia"/>
          <w:kern w:val="2"/>
          <w:sz w:val="21"/>
          <w:szCs w:val="21"/>
        </w:rPr>
        <w:t>—</w:t>
      </w:r>
      <w:r>
        <w:rPr>
          <w:kern w:val="2"/>
          <w:sz w:val="21"/>
          <w:szCs w:val="21"/>
        </w:rPr>
        <w:t>木本苗》</w:t>
      </w:r>
      <w:r>
        <w:rPr>
          <w:rFonts w:hint="eastAsia"/>
          <w:kern w:val="2"/>
          <w:sz w:val="21"/>
          <w:szCs w:val="21"/>
        </w:rPr>
        <w:t>（</w:t>
      </w:r>
      <w:r>
        <w:rPr>
          <w:kern w:val="2"/>
          <w:sz w:val="21"/>
          <w:szCs w:val="21"/>
        </w:rPr>
        <w:t>CJ</w:t>
      </w:r>
      <w:r>
        <w:rPr>
          <w:rFonts w:hint="eastAsia"/>
          <w:kern w:val="2"/>
          <w:sz w:val="21"/>
          <w:szCs w:val="21"/>
        </w:rPr>
        <w:t>/</w:t>
      </w:r>
      <w:r>
        <w:rPr>
          <w:kern w:val="2"/>
          <w:sz w:val="21"/>
          <w:szCs w:val="21"/>
        </w:rPr>
        <w:t>T 24</w:t>
      </w:r>
      <w:r>
        <w:rPr>
          <w:rFonts w:hint="eastAsia"/>
          <w:kern w:val="2"/>
          <w:sz w:val="21"/>
          <w:szCs w:val="21"/>
        </w:rPr>
        <w:t>-</w:t>
      </w:r>
      <w:r>
        <w:rPr>
          <w:kern w:val="2"/>
          <w:sz w:val="21"/>
          <w:szCs w:val="21"/>
        </w:rPr>
        <w:t>1999</w:t>
      </w:r>
      <w:r>
        <w:rPr>
          <w:rFonts w:hint="eastAsia"/>
          <w:kern w:val="2"/>
          <w:sz w:val="21"/>
          <w:szCs w:val="21"/>
        </w:rPr>
        <w:t>）</w:t>
      </w:r>
      <w:r>
        <w:rPr>
          <w:kern w:val="2"/>
          <w:sz w:val="21"/>
          <w:szCs w:val="21"/>
        </w:rPr>
        <w:t xml:space="preserve">的规定。外地调入的苗木与种子应有植物检疫报告，种子应提供由国家法定种子检验机构出具的种子检验报告。所使用的绿化辅助材料均应有产品合格证、检验报告或现场试验报告。 </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4</w:t>
      </w:r>
      <w:r>
        <w:rPr>
          <w:kern w:val="2"/>
          <w:sz w:val="21"/>
          <w:szCs w:val="21"/>
        </w:rPr>
        <w:t xml:space="preserve">）根据设计要求的所有栽植苗木应优先采用本地区的苗木。如果本地区缺少或必须到外地采购时，事先应提交采购报告并必须经严格检疫，批准后方可采购。 </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5</w:t>
      </w:r>
      <w:r>
        <w:rPr>
          <w:kern w:val="2"/>
          <w:sz w:val="21"/>
          <w:szCs w:val="21"/>
        </w:rPr>
        <w:t xml:space="preserve">）根据设计要求的栽植苗木，如果无法采购到时，可以申请变更，但应取得业主和项目监理的批准。 </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6</w:t>
      </w:r>
      <w:r>
        <w:rPr>
          <w:kern w:val="2"/>
          <w:sz w:val="21"/>
          <w:szCs w:val="21"/>
        </w:rPr>
        <w:t>）用于本项目的各类苗木运至工现场后，应及时通知项目监理对苗木的规定、品种进行检查，并提供检疫、产地等证明文件。</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7）种植土</w:t>
      </w:r>
    </w:p>
    <w:p>
      <w:pPr>
        <w:pStyle w:val="134"/>
        <w:adjustRightInd w:val="0"/>
        <w:snapToGrid w:val="0"/>
        <w:spacing w:before="0" w:beforeAutospacing="0" w:after="0" w:afterAutospacing="0" w:line="360" w:lineRule="auto"/>
        <w:ind w:firstLine="440" w:firstLineChars="200"/>
        <w:rPr>
          <w:kern w:val="2"/>
          <w:sz w:val="21"/>
          <w:szCs w:val="21"/>
        </w:rPr>
      </w:pPr>
      <w:r>
        <w:rPr>
          <w:rFonts w:hint="eastAsia"/>
          <w:kern w:val="2"/>
          <w:sz w:val="21"/>
          <w:szCs w:val="21"/>
        </w:rPr>
        <w:t xml:space="preserve">绿化种植土必须排水透气，并且具有较好的保水保肥能力，土层须与地下土层连接，土层下应无水泥板、沥青、石层、大面积淤泥等不透水层。要求不含砂石、建筑垃圾、生活垃圾、以及强酸性土、强碱土、盐土、盐碱土、重粘土、沙土、受重金属和有机物污染的土壤及含有其他有害成分的土壤等。污泥、河涌淤泥等不宜直接做种植土。 种植前应对该地区的土壤理化性质进行化验分析，采取相应的消毒、施肥和客土等措施。不符合种植土质量要求的土壤应根据要求进行改良方可种植。土壤改良剂不宜有异味，不能含有毒污染物、病源等，改良后的土壤理化指标必须满足表一的规定。种植区土壤质量如不符合要求，必须更换种植土。换土后应压实，使密实度达到70%以上。 </w:t>
      </w:r>
      <w:r>
        <w:rPr>
          <w:kern w:val="2"/>
          <w:sz w:val="21"/>
          <w:szCs w:val="21"/>
        </w:rPr>
        <w:t xml:space="preserve"> </w:t>
      </w:r>
    </w:p>
    <w:p>
      <w:pPr>
        <w:pStyle w:val="5"/>
        <w:adjustRightInd w:val="0"/>
        <w:snapToGrid w:val="0"/>
        <w:spacing w:before="0" w:after="0" w:line="360" w:lineRule="auto"/>
        <w:rPr>
          <w:rFonts w:ascii="宋体" w:hAnsi="宋体" w:eastAsia="宋体"/>
          <w:bCs/>
          <w:sz w:val="24"/>
        </w:rPr>
      </w:pPr>
      <w:bookmarkStart w:id="4805" w:name="_Toc485715690"/>
      <w:bookmarkStart w:id="4806" w:name="_Toc485743387"/>
      <w:bookmarkStart w:id="4807" w:name="_Toc517382722"/>
      <w:bookmarkStart w:id="4808" w:name="_Toc518376778"/>
      <w:bookmarkStart w:id="4809" w:name="_Toc521492100"/>
      <w:bookmarkStart w:id="4810" w:name="_Toc521492957"/>
      <w:bookmarkStart w:id="4811" w:name="_Toc521493631"/>
      <w:bookmarkStart w:id="4812" w:name="_Toc106050193"/>
      <w:bookmarkStart w:id="4813" w:name="_Toc106883450"/>
      <w:r>
        <w:rPr>
          <w:rFonts w:hint="eastAsia" w:ascii="宋体" w:hAnsi="宋体" w:eastAsia="宋体"/>
          <w:sz w:val="24"/>
        </w:rPr>
        <w:t>4.6.10.3.2施工要求</w:t>
      </w:r>
      <w:bookmarkEnd w:id="4805"/>
      <w:bookmarkEnd w:id="4806"/>
      <w:bookmarkEnd w:id="4807"/>
      <w:bookmarkEnd w:id="4808"/>
      <w:bookmarkEnd w:id="4809"/>
      <w:bookmarkEnd w:id="4810"/>
      <w:bookmarkEnd w:id="4811"/>
      <w:bookmarkEnd w:id="4812"/>
      <w:bookmarkEnd w:id="4813"/>
    </w:p>
    <w:p>
      <w:pPr>
        <w:adjustRightInd w:val="0"/>
        <w:snapToGrid w:val="0"/>
        <w:spacing w:line="360" w:lineRule="auto"/>
        <w:ind w:firstLine="500" w:firstLineChars="200"/>
        <w:rPr>
          <w:rFonts w:ascii="宋体" w:hAnsi="宋体"/>
        </w:rPr>
      </w:pPr>
      <w:r>
        <w:rPr>
          <w:rFonts w:ascii="宋体" w:hAnsi="宋体"/>
          <w:szCs w:val="21"/>
        </w:rPr>
        <w:t>（1）承包商应在种植工作前14d向项目监理提供有关苗木供应来源的全部资料，项目监理可随时前来检查。所有苗木应符合现行关于植物病害及昆虫传染检疫的法规，承包商应送交项目监理必要的检疫证明。</w:t>
      </w:r>
    </w:p>
    <w:p>
      <w:pPr>
        <w:adjustRightInd w:val="0"/>
        <w:snapToGrid w:val="0"/>
        <w:spacing w:line="360" w:lineRule="auto"/>
        <w:ind w:firstLine="500" w:firstLineChars="200"/>
        <w:rPr>
          <w:rFonts w:ascii="宋体" w:hAnsi="宋体"/>
          <w:szCs w:val="21"/>
        </w:rPr>
      </w:pPr>
      <w:r>
        <w:rPr>
          <w:rFonts w:ascii="宋体" w:hAnsi="宋体"/>
          <w:szCs w:val="21"/>
        </w:rPr>
        <w:t>（2）从苗圃运出前或其它来源起挖前不少于7d，承包商应以书面形式通知项目项目监理，在苗木起掘前检查所有苗木。项目监理同意起掘的植物，并不意味着最后的验收。</w:t>
      </w:r>
    </w:p>
    <w:p>
      <w:pPr>
        <w:adjustRightInd w:val="0"/>
        <w:snapToGrid w:val="0"/>
        <w:spacing w:line="360" w:lineRule="auto"/>
        <w:ind w:firstLine="500" w:firstLineChars="200"/>
        <w:rPr>
          <w:rFonts w:ascii="宋体" w:hAnsi="宋体"/>
          <w:szCs w:val="21"/>
        </w:rPr>
      </w:pPr>
      <w:r>
        <w:rPr>
          <w:rFonts w:ascii="宋体" w:hAnsi="宋体"/>
          <w:szCs w:val="21"/>
        </w:rPr>
        <w:t>（3）在运出植物前，应由园艺人员按起苗、调运等技术要求负责将植物挖出、包扎、打捆，以备运输；在任何时候，植物根系应保持潮湿、防冻、防止过热、所有乔灌木的根部均应连同掘出的土球用草袋包装。运到工地及种植前，这些土球应结实，草包应完好。树冠仔细捆扎以防止树杈折断。</w:t>
      </w:r>
    </w:p>
    <w:p>
      <w:pPr>
        <w:adjustRightInd w:val="0"/>
        <w:snapToGrid w:val="0"/>
        <w:spacing w:line="360" w:lineRule="auto"/>
        <w:ind w:firstLine="500" w:firstLineChars="200"/>
        <w:rPr>
          <w:rFonts w:ascii="宋体" w:hAnsi="宋体"/>
          <w:szCs w:val="21"/>
        </w:rPr>
      </w:pPr>
      <w:r>
        <w:rPr>
          <w:rFonts w:ascii="宋体" w:hAnsi="宋体"/>
          <w:szCs w:val="21"/>
        </w:rPr>
        <w:t>（4）植物以单株、成捆、大包或容器内装有一株或多株植物运到工地时，均应分别系有清楚的标签，标明植物名称、尺寸、树龄或其它详细资料。这对鉴别植物是否符合规定是十分必要的。当不能对各单株植物分别标明时，标签内应说明成捆、成包以及容器内各种规格植物的数量。</w:t>
      </w:r>
    </w:p>
    <w:p>
      <w:pPr>
        <w:adjustRightInd w:val="0"/>
        <w:snapToGrid w:val="0"/>
        <w:spacing w:line="360" w:lineRule="auto"/>
        <w:ind w:firstLine="500" w:firstLineChars="200"/>
        <w:rPr>
          <w:rFonts w:ascii="宋体" w:hAnsi="宋体"/>
          <w:szCs w:val="21"/>
        </w:rPr>
      </w:pPr>
      <w:r>
        <w:rPr>
          <w:rFonts w:ascii="宋体" w:hAnsi="宋体"/>
          <w:szCs w:val="21"/>
        </w:rPr>
        <w:t>（5）苗木根据常绿树种与落叶树种的不同，采用不同的起苗、包装、栽植前的保护措施及运输的要求。对于本项目所采用的一切苗木，必须带土球移植。</w:t>
      </w:r>
    </w:p>
    <w:p>
      <w:pPr>
        <w:autoSpaceDE w:val="0"/>
        <w:autoSpaceDN w:val="0"/>
        <w:adjustRightInd w:val="0"/>
        <w:snapToGrid w:val="0"/>
        <w:spacing w:line="360" w:lineRule="auto"/>
        <w:ind w:firstLine="500" w:firstLineChars="200"/>
        <w:jc w:val="left"/>
        <w:rPr>
          <w:rFonts w:ascii="宋体" w:hAnsi="宋体"/>
          <w:kern w:val="0"/>
          <w:szCs w:val="21"/>
        </w:rPr>
      </w:pPr>
      <w:r>
        <w:rPr>
          <w:rFonts w:ascii="宋体" w:hAnsi="宋体"/>
          <w:kern w:val="0"/>
          <w:szCs w:val="21"/>
        </w:rPr>
        <w:t>（6）掘取裸根乔木的根系大小应根据现场的株、行距、树干的干径高度而定。一般情况乔木根系可按树胸径的8～10倍。</w:t>
      </w:r>
    </w:p>
    <w:p>
      <w:pPr>
        <w:adjustRightInd w:val="0"/>
        <w:snapToGrid w:val="0"/>
        <w:spacing w:line="360" w:lineRule="auto"/>
        <w:jc w:val="center"/>
        <w:rPr>
          <w:rFonts w:ascii="宋体" w:hAnsi="宋体"/>
          <w:kern w:val="0"/>
          <w:sz w:val="18"/>
          <w:szCs w:val="18"/>
        </w:rPr>
      </w:pPr>
      <w:r>
        <w:rPr>
          <w:rFonts w:ascii="宋体" w:hAnsi="宋体"/>
          <w:sz w:val="18"/>
          <w:szCs w:val="18"/>
        </w:rPr>
        <w:t>乔、灌木根系掘取裸根规格的规定</w:t>
      </w:r>
    </w:p>
    <w:tbl>
      <w:tblPr>
        <w:tblStyle w:val="77"/>
        <w:tblW w:w="3901"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69"/>
        <w:gridCol w:w="1524"/>
        <w:gridCol w:w="1559"/>
        <w:gridCol w:w="25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97" w:hRule="exact"/>
          <w:jc w:val="center"/>
        </w:trPr>
        <w:tc>
          <w:tcPr>
            <w:tcW w:w="859" w:type="pct"/>
            <w:vMerge w:val="restar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苗木种类</w:t>
            </w:r>
          </w:p>
        </w:tc>
        <w:tc>
          <w:tcPr>
            <w:tcW w:w="2266" w:type="pct"/>
            <w:gridSpan w:val="2"/>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树苗规格</w:t>
            </w:r>
          </w:p>
        </w:tc>
        <w:tc>
          <w:tcPr>
            <w:tcW w:w="1875" w:type="pct"/>
            <w:vMerge w:val="restar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根系规格（cm）</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97" w:hRule="exact"/>
          <w:jc w:val="center"/>
        </w:trPr>
        <w:tc>
          <w:tcPr>
            <w:tcW w:w="859" w:type="pct"/>
            <w:vMerge w:val="continue"/>
            <w:vAlign w:val="center"/>
          </w:tcPr>
          <w:p>
            <w:pPr>
              <w:autoSpaceDE w:val="0"/>
              <w:autoSpaceDN w:val="0"/>
              <w:adjustRightInd w:val="0"/>
              <w:snapToGrid w:val="0"/>
              <w:jc w:val="center"/>
              <w:rPr>
                <w:rFonts w:ascii="宋体" w:hAnsi="宋体"/>
                <w:kern w:val="0"/>
                <w:sz w:val="18"/>
                <w:szCs w:val="18"/>
              </w:rPr>
            </w:pPr>
          </w:p>
        </w:tc>
        <w:tc>
          <w:tcPr>
            <w:tcW w:w="1120" w:type="pc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胸径（cm）</w:t>
            </w:r>
          </w:p>
        </w:tc>
        <w:tc>
          <w:tcPr>
            <w:tcW w:w="1146" w:type="pc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高度（cm）</w:t>
            </w:r>
          </w:p>
        </w:tc>
        <w:tc>
          <w:tcPr>
            <w:tcW w:w="1875" w:type="pct"/>
            <w:vMerge w:val="continue"/>
            <w:vAlign w:val="center"/>
          </w:tcPr>
          <w:p>
            <w:pPr>
              <w:autoSpaceDE w:val="0"/>
              <w:autoSpaceDN w:val="0"/>
              <w:adjustRightInd w:val="0"/>
              <w:snapToGrid w:val="0"/>
              <w:jc w:val="center"/>
              <w:rPr>
                <w:rFonts w:ascii="宋体" w:hAnsi="宋体"/>
                <w:kern w:val="0"/>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97" w:hRule="exact"/>
          <w:jc w:val="center"/>
        </w:trPr>
        <w:tc>
          <w:tcPr>
            <w:tcW w:w="859" w:type="pct"/>
            <w:vMerge w:val="restar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乔木</w:t>
            </w:r>
          </w:p>
        </w:tc>
        <w:tc>
          <w:tcPr>
            <w:tcW w:w="1120" w:type="pc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1～2</w:t>
            </w:r>
          </w:p>
        </w:tc>
        <w:tc>
          <w:tcPr>
            <w:tcW w:w="1146" w:type="pct"/>
            <w:vAlign w:val="center"/>
          </w:tcPr>
          <w:p>
            <w:pPr>
              <w:autoSpaceDE w:val="0"/>
              <w:autoSpaceDN w:val="0"/>
              <w:adjustRightInd w:val="0"/>
              <w:snapToGrid w:val="0"/>
              <w:jc w:val="center"/>
              <w:rPr>
                <w:rFonts w:ascii="宋体" w:hAnsi="宋体"/>
                <w:kern w:val="0"/>
                <w:sz w:val="18"/>
                <w:szCs w:val="18"/>
              </w:rPr>
            </w:pPr>
          </w:p>
        </w:tc>
        <w:tc>
          <w:tcPr>
            <w:tcW w:w="1875" w:type="pc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8～20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97" w:hRule="exact"/>
          <w:jc w:val="center"/>
        </w:trPr>
        <w:tc>
          <w:tcPr>
            <w:tcW w:w="859" w:type="pct"/>
            <w:vMerge w:val="continue"/>
            <w:vAlign w:val="center"/>
          </w:tcPr>
          <w:p>
            <w:pPr>
              <w:autoSpaceDE w:val="0"/>
              <w:autoSpaceDN w:val="0"/>
              <w:adjustRightInd w:val="0"/>
              <w:snapToGrid w:val="0"/>
              <w:jc w:val="center"/>
              <w:rPr>
                <w:rFonts w:ascii="宋体" w:hAnsi="宋体"/>
                <w:kern w:val="0"/>
                <w:sz w:val="18"/>
                <w:szCs w:val="18"/>
              </w:rPr>
            </w:pPr>
          </w:p>
        </w:tc>
        <w:tc>
          <w:tcPr>
            <w:tcW w:w="1120" w:type="pc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3～5</w:t>
            </w:r>
          </w:p>
        </w:tc>
        <w:tc>
          <w:tcPr>
            <w:tcW w:w="1146" w:type="pct"/>
            <w:vAlign w:val="center"/>
          </w:tcPr>
          <w:p>
            <w:pPr>
              <w:autoSpaceDE w:val="0"/>
              <w:autoSpaceDN w:val="0"/>
              <w:adjustRightInd w:val="0"/>
              <w:snapToGrid w:val="0"/>
              <w:jc w:val="center"/>
              <w:rPr>
                <w:rFonts w:ascii="宋体" w:hAnsi="宋体"/>
                <w:kern w:val="0"/>
                <w:sz w:val="18"/>
                <w:szCs w:val="18"/>
              </w:rPr>
            </w:pPr>
          </w:p>
        </w:tc>
        <w:tc>
          <w:tcPr>
            <w:tcW w:w="1875" w:type="pc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24～45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97" w:hRule="exact"/>
          <w:jc w:val="center"/>
        </w:trPr>
        <w:tc>
          <w:tcPr>
            <w:tcW w:w="859" w:type="pct"/>
            <w:vMerge w:val="continue"/>
            <w:vAlign w:val="center"/>
          </w:tcPr>
          <w:p>
            <w:pPr>
              <w:autoSpaceDE w:val="0"/>
              <w:autoSpaceDN w:val="0"/>
              <w:adjustRightInd w:val="0"/>
              <w:snapToGrid w:val="0"/>
              <w:jc w:val="center"/>
              <w:rPr>
                <w:rFonts w:ascii="宋体" w:hAnsi="宋体"/>
                <w:kern w:val="0"/>
                <w:sz w:val="18"/>
                <w:szCs w:val="18"/>
              </w:rPr>
            </w:pPr>
          </w:p>
        </w:tc>
        <w:tc>
          <w:tcPr>
            <w:tcW w:w="1120" w:type="pc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8～10</w:t>
            </w:r>
          </w:p>
        </w:tc>
        <w:tc>
          <w:tcPr>
            <w:tcW w:w="1146" w:type="pct"/>
            <w:vAlign w:val="center"/>
          </w:tcPr>
          <w:p>
            <w:pPr>
              <w:autoSpaceDE w:val="0"/>
              <w:autoSpaceDN w:val="0"/>
              <w:adjustRightInd w:val="0"/>
              <w:snapToGrid w:val="0"/>
              <w:jc w:val="center"/>
              <w:rPr>
                <w:rFonts w:ascii="宋体" w:hAnsi="宋体"/>
                <w:kern w:val="0"/>
                <w:sz w:val="18"/>
                <w:szCs w:val="18"/>
              </w:rPr>
            </w:pPr>
          </w:p>
        </w:tc>
        <w:tc>
          <w:tcPr>
            <w:tcW w:w="1875" w:type="pct"/>
            <w:vAlign w:val="center"/>
          </w:tcPr>
          <w:p>
            <w:pPr>
              <w:autoSpaceDE w:val="0"/>
              <w:autoSpaceDN w:val="0"/>
              <w:adjustRightInd w:val="0"/>
              <w:snapToGrid w:val="0"/>
              <w:jc w:val="center"/>
              <w:rPr>
                <w:rFonts w:ascii="宋体" w:hAnsi="宋体"/>
                <w:kern w:val="0"/>
                <w:sz w:val="18"/>
                <w:szCs w:val="18"/>
              </w:rPr>
            </w:pPr>
            <w:r>
              <w:rPr>
                <w:rFonts w:ascii="宋体" w:hAnsi="宋体"/>
                <w:kern w:val="0"/>
                <w:sz w:val="18"/>
                <w:szCs w:val="18"/>
              </w:rPr>
              <w:t>64～100</w:t>
            </w:r>
          </w:p>
        </w:tc>
      </w:tr>
    </w:tbl>
    <w:p>
      <w:pPr>
        <w:autoSpaceDE w:val="0"/>
        <w:autoSpaceDN w:val="0"/>
        <w:adjustRightInd w:val="0"/>
        <w:snapToGrid w:val="0"/>
        <w:spacing w:before="203" w:beforeLines="50" w:line="360" w:lineRule="auto"/>
        <w:ind w:firstLine="500" w:firstLineChars="200"/>
        <w:jc w:val="left"/>
        <w:rPr>
          <w:rFonts w:ascii="宋体" w:hAnsi="宋体"/>
          <w:kern w:val="0"/>
          <w:szCs w:val="21"/>
        </w:rPr>
      </w:pPr>
      <w:r>
        <w:rPr>
          <w:rFonts w:ascii="宋体" w:hAnsi="宋体"/>
          <w:kern w:val="0"/>
          <w:szCs w:val="21"/>
        </w:rPr>
        <w:t>掘取裸根苗，根系切口应平滑，不得有劈、裂根，或将根拉断。</w:t>
      </w:r>
    </w:p>
    <w:p>
      <w:pPr>
        <w:adjustRightInd w:val="0"/>
        <w:snapToGrid w:val="0"/>
        <w:spacing w:line="360" w:lineRule="auto"/>
        <w:ind w:firstLine="500" w:firstLineChars="200"/>
        <w:rPr>
          <w:rFonts w:ascii="宋体" w:hAnsi="宋体"/>
          <w:szCs w:val="21"/>
        </w:rPr>
      </w:pPr>
      <w:r>
        <w:rPr>
          <w:rFonts w:ascii="宋体" w:hAnsi="宋体"/>
          <w:szCs w:val="21"/>
        </w:rPr>
        <w:t>（7）土球的大小：乔木土球的直径为乔木根茎的5-8倍，高度为乔木根茎的4-5倍。掘土球苗应做到土球光滑，包扎紧严，不松不裂，封底不漏土，保证土球完好。</w:t>
      </w:r>
    </w:p>
    <w:p>
      <w:pPr>
        <w:adjustRightInd w:val="0"/>
        <w:snapToGrid w:val="0"/>
        <w:spacing w:line="360" w:lineRule="auto"/>
        <w:ind w:firstLine="500" w:firstLineChars="200"/>
        <w:rPr>
          <w:rFonts w:ascii="宋体" w:hAnsi="宋体"/>
          <w:szCs w:val="21"/>
        </w:rPr>
      </w:pPr>
      <w:r>
        <w:rPr>
          <w:rFonts w:ascii="宋体" w:hAnsi="宋体"/>
          <w:szCs w:val="21"/>
        </w:rPr>
        <w:t>（8）带土球苗木的装车、高度在1.5米以下的土球苗木可以立装；高2米以上的应斜装，土球朝前树干向后，土球码放层次不得过高，直径在40cm以下的土球不得超过三层；40cm以上的不得超过二层。土球之间排码紧密，防止摇摆。</w:t>
      </w:r>
    </w:p>
    <w:p>
      <w:pPr>
        <w:adjustRightInd w:val="0"/>
        <w:snapToGrid w:val="0"/>
        <w:spacing w:line="360" w:lineRule="auto"/>
        <w:ind w:firstLine="500" w:firstLineChars="200"/>
        <w:rPr>
          <w:rFonts w:ascii="宋体" w:hAnsi="宋体"/>
          <w:szCs w:val="21"/>
        </w:rPr>
      </w:pPr>
      <w:r>
        <w:rPr>
          <w:rFonts w:ascii="宋体" w:hAnsi="宋体"/>
          <w:szCs w:val="21"/>
        </w:rPr>
        <w:t>押车人员不得站、坐在土球上，行车时与驾驶员密切配合，防止风吹日晒，遇坑、洼时行车要缓，以免颠坏土球。</w:t>
      </w:r>
    </w:p>
    <w:p>
      <w:pPr>
        <w:adjustRightInd w:val="0"/>
        <w:snapToGrid w:val="0"/>
        <w:spacing w:line="360" w:lineRule="auto"/>
        <w:ind w:firstLine="500" w:firstLineChars="200"/>
        <w:rPr>
          <w:rFonts w:ascii="宋体" w:hAnsi="宋体"/>
          <w:szCs w:val="21"/>
        </w:rPr>
      </w:pPr>
      <w:r>
        <w:rPr>
          <w:rFonts w:ascii="宋体" w:hAnsi="宋体"/>
          <w:szCs w:val="21"/>
        </w:rPr>
        <w:t>（9）苗木的装车、运输、卸车都要保护树木的树冠、根系、土球的完整。不得折断树枝、擦伤树皮或损坏根系。要轻装、轻卸，不得砸散土球。</w:t>
      </w:r>
    </w:p>
    <w:p>
      <w:pPr>
        <w:adjustRightInd w:val="0"/>
        <w:snapToGrid w:val="0"/>
        <w:spacing w:line="360" w:lineRule="auto"/>
        <w:ind w:firstLine="500" w:firstLineChars="200"/>
        <w:rPr>
          <w:rFonts w:ascii="宋体" w:hAnsi="宋体"/>
          <w:szCs w:val="21"/>
        </w:rPr>
      </w:pPr>
      <w:r>
        <w:rPr>
          <w:rFonts w:ascii="宋体" w:hAnsi="宋体"/>
          <w:szCs w:val="21"/>
        </w:rPr>
        <w:t>苗木装车、运输应有专人负责，装车前要进行苗木检查，仔细核对树种规格、质量和数量。凡不符合要求的苗木应要求供苗方予以更换。</w:t>
      </w:r>
    </w:p>
    <w:p>
      <w:pPr>
        <w:adjustRightInd w:val="0"/>
        <w:snapToGrid w:val="0"/>
        <w:spacing w:line="360" w:lineRule="auto"/>
        <w:ind w:firstLine="500" w:firstLineChars="200"/>
        <w:rPr>
          <w:rFonts w:ascii="宋体" w:hAnsi="宋体"/>
          <w:szCs w:val="21"/>
        </w:rPr>
      </w:pPr>
      <w:r>
        <w:rPr>
          <w:rFonts w:ascii="宋体" w:hAnsi="宋体"/>
          <w:szCs w:val="21"/>
        </w:rPr>
        <w:t>（1</w:t>
      </w:r>
      <w:r>
        <w:rPr>
          <w:rFonts w:hint="eastAsia" w:ascii="宋体" w:hAnsi="宋体"/>
          <w:szCs w:val="21"/>
        </w:rPr>
        <w:t>0</w:t>
      </w:r>
      <w:r>
        <w:rPr>
          <w:rFonts w:ascii="宋体" w:hAnsi="宋体"/>
          <w:szCs w:val="21"/>
        </w:rPr>
        <w:t>）应随取运随栽，如不能及时栽植，应尽量集中将树直立、垫稳、码严，周围用土培好。假植时间较长应经常喷水，保持土球湿润。</w:t>
      </w:r>
    </w:p>
    <w:p>
      <w:pPr>
        <w:adjustRightInd w:val="0"/>
        <w:snapToGrid w:val="0"/>
        <w:spacing w:line="360" w:lineRule="auto"/>
        <w:ind w:firstLine="500" w:firstLineChars="200"/>
        <w:rPr>
          <w:rFonts w:ascii="宋体" w:hAnsi="宋体"/>
          <w:szCs w:val="21"/>
        </w:rPr>
      </w:pPr>
      <w:r>
        <w:rPr>
          <w:rFonts w:ascii="宋体" w:hAnsi="宋体"/>
          <w:szCs w:val="21"/>
        </w:rPr>
        <w:t>（</w:t>
      </w:r>
      <w:r>
        <w:rPr>
          <w:rFonts w:hint="eastAsia" w:ascii="宋体" w:hAnsi="宋体"/>
          <w:szCs w:val="21"/>
        </w:rPr>
        <w:t>11</w:t>
      </w:r>
      <w:r>
        <w:rPr>
          <w:rFonts w:ascii="宋体" w:hAnsi="宋体"/>
          <w:szCs w:val="21"/>
        </w:rPr>
        <w:t>）运到工地后一天内种植不完的植物，应存放在阴凉潮湿处，以防日晒风吹。带土球及草袋包装的植物，应用土、稻草或其它适当材料加以保护，并保持土、稻草等湿润，以防根系干燥。</w:t>
      </w:r>
    </w:p>
    <w:p>
      <w:pPr>
        <w:adjustRightInd w:val="0"/>
        <w:snapToGrid w:val="0"/>
        <w:spacing w:line="360" w:lineRule="auto"/>
        <w:ind w:firstLine="500" w:firstLineChars="200"/>
        <w:rPr>
          <w:rFonts w:ascii="宋体" w:hAnsi="宋体"/>
          <w:szCs w:val="21"/>
        </w:rPr>
      </w:pPr>
      <w:r>
        <w:rPr>
          <w:rFonts w:ascii="宋体" w:hAnsi="宋体"/>
          <w:szCs w:val="21"/>
        </w:rPr>
        <w:t>（1</w:t>
      </w:r>
      <w:r>
        <w:rPr>
          <w:rFonts w:hint="eastAsia" w:ascii="宋体" w:hAnsi="宋体"/>
          <w:szCs w:val="21"/>
        </w:rPr>
        <w:t>2</w:t>
      </w:r>
      <w:r>
        <w:rPr>
          <w:rFonts w:ascii="宋体" w:hAnsi="宋体"/>
          <w:szCs w:val="21"/>
        </w:rPr>
        <w:t>）承包商应按照图纸标出的种植地段、种植位置及品种要求，进行种植放样，在种植之前这些布置应得到项目监理的检查认可。</w:t>
      </w:r>
    </w:p>
    <w:p>
      <w:pPr>
        <w:adjustRightInd w:val="0"/>
        <w:snapToGrid w:val="0"/>
        <w:spacing w:line="360" w:lineRule="auto"/>
        <w:ind w:firstLine="500" w:firstLineChars="200"/>
        <w:rPr>
          <w:rFonts w:ascii="宋体" w:hAnsi="宋体"/>
          <w:szCs w:val="21"/>
        </w:rPr>
      </w:pPr>
      <w:r>
        <w:rPr>
          <w:rFonts w:ascii="宋体" w:hAnsi="宋体"/>
          <w:szCs w:val="21"/>
        </w:rPr>
        <w:t>（</w:t>
      </w:r>
      <w:r>
        <w:rPr>
          <w:rFonts w:hint="eastAsia" w:ascii="宋体" w:hAnsi="宋体"/>
          <w:szCs w:val="21"/>
        </w:rPr>
        <w:t>13</w:t>
      </w:r>
      <w:r>
        <w:rPr>
          <w:rFonts w:ascii="宋体" w:hAnsi="宋体"/>
          <w:szCs w:val="21"/>
        </w:rPr>
        <w:t>）种植地段应修整到符合项目监理指示的线形和坡度，并具有舒顺的外形。在种植中所有大土块、石块、硬土及其它不适于种植的材料，均应由承包商自行移走。处理好的表土和底土应分开，并得到项目监理认可。</w:t>
      </w:r>
    </w:p>
    <w:p>
      <w:pPr>
        <w:adjustRightInd w:val="0"/>
        <w:snapToGrid w:val="0"/>
        <w:spacing w:line="360" w:lineRule="auto"/>
        <w:ind w:firstLine="500" w:firstLineChars="200"/>
        <w:rPr>
          <w:rFonts w:ascii="宋体" w:hAnsi="宋体"/>
          <w:szCs w:val="21"/>
        </w:rPr>
      </w:pPr>
      <w:r>
        <w:rPr>
          <w:rFonts w:ascii="宋体" w:hAnsi="宋体"/>
          <w:szCs w:val="21"/>
        </w:rPr>
        <w:t>（</w:t>
      </w:r>
      <w:r>
        <w:rPr>
          <w:rFonts w:hint="eastAsia" w:ascii="宋体" w:hAnsi="宋体"/>
          <w:szCs w:val="21"/>
        </w:rPr>
        <w:t>14</w:t>
      </w:r>
      <w:r>
        <w:rPr>
          <w:rFonts w:ascii="宋体" w:hAnsi="宋体"/>
          <w:szCs w:val="21"/>
        </w:rPr>
        <w:t>）在种植时，先在坑底松填约15cm厚的表土，如栽植穴周边土壤条件不满足栽植要求时，承包商应自行负责对表土的换填。</w:t>
      </w:r>
    </w:p>
    <w:p>
      <w:pPr>
        <w:adjustRightInd w:val="0"/>
        <w:snapToGrid w:val="0"/>
        <w:spacing w:line="360" w:lineRule="auto"/>
        <w:ind w:firstLine="500" w:firstLineChars="200"/>
        <w:rPr>
          <w:rFonts w:ascii="宋体" w:hAnsi="宋体"/>
          <w:szCs w:val="21"/>
        </w:rPr>
      </w:pPr>
      <w:r>
        <w:rPr>
          <w:rFonts w:ascii="宋体" w:hAnsi="宋体"/>
          <w:szCs w:val="21"/>
        </w:rPr>
        <w:t>（</w:t>
      </w:r>
      <w:r>
        <w:rPr>
          <w:rFonts w:hint="eastAsia" w:ascii="宋体" w:hAnsi="宋体"/>
          <w:szCs w:val="21"/>
        </w:rPr>
        <w:t>15</w:t>
      </w:r>
      <w:r>
        <w:rPr>
          <w:rFonts w:ascii="宋体" w:hAnsi="宋体"/>
          <w:szCs w:val="21"/>
        </w:rPr>
        <w:t>）散苗：轻拿轻放，不得损伤树根、树枝、树干和土球。边散边植，散毕栽完，减少树根暴露时间。</w:t>
      </w:r>
    </w:p>
    <w:p>
      <w:pPr>
        <w:adjustRightInd w:val="0"/>
        <w:snapToGrid w:val="0"/>
        <w:spacing w:line="360" w:lineRule="auto"/>
        <w:ind w:firstLine="500" w:firstLineChars="200"/>
        <w:rPr>
          <w:rFonts w:ascii="宋体" w:hAnsi="宋体"/>
          <w:szCs w:val="21"/>
        </w:rPr>
      </w:pPr>
      <w:r>
        <w:rPr>
          <w:rFonts w:hint="eastAsia" w:ascii="宋体" w:hAnsi="宋体"/>
          <w:szCs w:val="21"/>
        </w:rPr>
        <w:t>（16）</w:t>
      </w:r>
      <w:r>
        <w:rPr>
          <w:rFonts w:ascii="宋体" w:hAnsi="宋体"/>
          <w:szCs w:val="21"/>
        </w:rPr>
        <w:t>刨坑</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刨坑、刨槽位置要准确，坑径应根据根系、土球大小及土质情况而定，刨坑、刨槽要直上直下成桶形，不得上大下小或上小下大，以免造成窝根或填土不实。</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坑径一般比植物的根系或土球直径大20～30cm，具体规定</w:t>
      </w:r>
      <w:r>
        <w:rPr>
          <w:rFonts w:hint="eastAsia" w:ascii="宋体" w:hAnsi="宋体"/>
          <w:szCs w:val="21"/>
        </w:rPr>
        <w:t>如下表所示</w:t>
      </w:r>
      <w:r>
        <w:rPr>
          <w:rFonts w:ascii="宋体" w:hAnsi="宋体"/>
          <w:szCs w:val="21"/>
        </w:rPr>
        <w:t>。</w:t>
      </w:r>
    </w:p>
    <w:p>
      <w:pPr>
        <w:adjustRightInd w:val="0"/>
        <w:snapToGrid w:val="0"/>
        <w:spacing w:line="360" w:lineRule="auto"/>
        <w:jc w:val="center"/>
        <w:rPr>
          <w:rFonts w:ascii="宋体" w:hAnsi="宋体"/>
          <w:sz w:val="18"/>
          <w:szCs w:val="18"/>
        </w:rPr>
      </w:pPr>
      <w:r>
        <w:rPr>
          <w:rFonts w:ascii="宋体" w:hAnsi="宋体"/>
          <w:sz w:val="18"/>
          <w:szCs w:val="18"/>
        </w:rPr>
        <w:t>乔、灌木干径或树高相对应的树坑规格</w:t>
      </w:r>
    </w:p>
    <w:tbl>
      <w:tblPr>
        <w:tblStyle w:val="77"/>
        <w:tblW w:w="471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000"/>
        <w:gridCol w:w="558"/>
        <w:gridCol w:w="1007"/>
        <w:gridCol w:w="1131"/>
        <w:gridCol w:w="1131"/>
        <w:gridCol w:w="1131"/>
        <w:gridCol w:w="1131"/>
        <w:gridCol w:w="113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610" w:type="pct"/>
            <w:vAlign w:val="center"/>
          </w:tcPr>
          <w:p>
            <w:pPr>
              <w:adjustRightInd w:val="0"/>
              <w:snapToGrid w:val="0"/>
              <w:jc w:val="center"/>
              <w:rPr>
                <w:rFonts w:ascii="宋体" w:hAnsi="宋体"/>
                <w:sz w:val="18"/>
                <w:szCs w:val="18"/>
              </w:rPr>
            </w:pPr>
            <w:r>
              <w:rPr>
                <w:rFonts w:ascii="宋体" w:hAnsi="宋体"/>
                <w:sz w:val="18"/>
                <w:szCs w:val="18"/>
              </w:rPr>
              <w:t>乔木干径</w:t>
            </w:r>
          </w:p>
        </w:tc>
        <w:tc>
          <w:tcPr>
            <w:tcW w:w="341" w:type="pct"/>
            <w:vAlign w:val="center"/>
          </w:tcPr>
          <w:p>
            <w:pPr>
              <w:adjustRightInd w:val="0"/>
              <w:snapToGrid w:val="0"/>
              <w:jc w:val="center"/>
              <w:rPr>
                <w:rFonts w:ascii="宋体" w:hAnsi="宋体"/>
                <w:sz w:val="18"/>
                <w:szCs w:val="18"/>
              </w:rPr>
            </w:pPr>
            <w:r>
              <w:rPr>
                <w:rFonts w:ascii="宋体" w:hAnsi="宋体"/>
                <w:sz w:val="18"/>
                <w:szCs w:val="18"/>
              </w:rPr>
              <w:t>mm</w:t>
            </w:r>
          </w:p>
        </w:tc>
        <w:tc>
          <w:tcPr>
            <w:tcW w:w="603" w:type="pct"/>
            <w:vAlign w:val="center"/>
          </w:tcPr>
          <w:p>
            <w:pPr>
              <w:adjustRightInd w:val="0"/>
              <w:snapToGrid w:val="0"/>
              <w:jc w:val="center"/>
              <w:rPr>
                <w:rFonts w:ascii="宋体" w:hAnsi="宋体"/>
                <w:sz w:val="18"/>
                <w:szCs w:val="18"/>
              </w:rPr>
            </w:pPr>
          </w:p>
        </w:tc>
        <w:tc>
          <w:tcPr>
            <w:tcW w:w="689" w:type="pct"/>
            <w:vAlign w:val="center"/>
          </w:tcPr>
          <w:p>
            <w:pPr>
              <w:adjustRightInd w:val="0"/>
              <w:snapToGrid w:val="0"/>
              <w:jc w:val="center"/>
              <w:rPr>
                <w:rFonts w:ascii="宋体" w:hAnsi="宋体"/>
                <w:sz w:val="18"/>
                <w:szCs w:val="18"/>
              </w:rPr>
            </w:pPr>
          </w:p>
        </w:tc>
        <w:tc>
          <w:tcPr>
            <w:tcW w:w="689" w:type="pct"/>
            <w:vAlign w:val="center"/>
          </w:tcPr>
          <w:p>
            <w:pPr>
              <w:adjustRightInd w:val="0"/>
              <w:snapToGrid w:val="0"/>
              <w:jc w:val="center"/>
              <w:rPr>
                <w:rFonts w:ascii="宋体" w:hAnsi="宋体"/>
                <w:sz w:val="18"/>
                <w:szCs w:val="18"/>
              </w:rPr>
            </w:pPr>
            <w:r>
              <w:rPr>
                <w:rFonts w:ascii="宋体" w:hAnsi="宋体"/>
                <w:sz w:val="18"/>
                <w:szCs w:val="18"/>
              </w:rPr>
              <w:t>30～50</w:t>
            </w:r>
          </w:p>
        </w:tc>
        <w:tc>
          <w:tcPr>
            <w:tcW w:w="689" w:type="pct"/>
            <w:vAlign w:val="center"/>
          </w:tcPr>
          <w:p>
            <w:pPr>
              <w:adjustRightInd w:val="0"/>
              <w:snapToGrid w:val="0"/>
              <w:jc w:val="center"/>
              <w:rPr>
                <w:rFonts w:ascii="宋体" w:hAnsi="宋体"/>
                <w:sz w:val="18"/>
                <w:szCs w:val="18"/>
              </w:rPr>
            </w:pPr>
            <w:r>
              <w:rPr>
                <w:rFonts w:ascii="宋体" w:hAnsi="宋体"/>
                <w:sz w:val="18"/>
                <w:szCs w:val="18"/>
              </w:rPr>
              <w:t>50～70</w:t>
            </w:r>
          </w:p>
        </w:tc>
        <w:tc>
          <w:tcPr>
            <w:tcW w:w="689" w:type="pct"/>
            <w:vAlign w:val="center"/>
          </w:tcPr>
          <w:p>
            <w:pPr>
              <w:adjustRightInd w:val="0"/>
              <w:snapToGrid w:val="0"/>
              <w:jc w:val="center"/>
              <w:rPr>
                <w:rFonts w:ascii="宋体" w:hAnsi="宋体"/>
                <w:sz w:val="18"/>
                <w:szCs w:val="18"/>
              </w:rPr>
            </w:pPr>
            <w:r>
              <w:rPr>
                <w:rFonts w:ascii="宋体" w:hAnsi="宋体"/>
                <w:sz w:val="18"/>
                <w:szCs w:val="18"/>
              </w:rPr>
              <w:t>70～100</w:t>
            </w:r>
          </w:p>
        </w:tc>
        <w:tc>
          <w:tcPr>
            <w:tcW w:w="690" w:type="pct"/>
            <w:vAlign w:val="center"/>
          </w:tcPr>
          <w:p>
            <w:pPr>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610" w:type="pct"/>
            <w:vAlign w:val="center"/>
          </w:tcPr>
          <w:p>
            <w:pPr>
              <w:adjustRightInd w:val="0"/>
              <w:snapToGrid w:val="0"/>
              <w:jc w:val="center"/>
              <w:rPr>
                <w:rFonts w:ascii="宋体" w:hAnsi="宋体"/>
                <w:sz w:val="18"/>
                <w:szCs w:val="18"/>
              </w:rPr>
            </w:pPr>
            <w:r>
              <w:rPr>
                <w:rFonts w:ascii="宋体" w:hAnsi="宋体"/>
                <w:sz w:val="18"/>
                <w:szCs w:val="18"/>
              </w:rPr>
              <w:t>灌木高度</w:t>
            </w:r>
          </w:p>
        </w:tc>
        <w:tc>
          <w:tcPr>
            <w:tcW w:w="341" w:type="pct"/>
            <w:vAlign w:val="center"/>
          </w:tcPr>
          <w:p>
            <w:pPr>
              <w:adjustRightInd w:val="0"/>
              <w:snapToGrid w:val="0"/>
              <w:jc w:val="center"/>
              <w:rPr>
                <w:rFonts w:ascii="宋体" w:hAnsi="宋体"/>
                <w:sz w:val="18"/>
                <w:szCs w:val="18"/>
              </w:rPr>
            </w:pPr>
            <w:r>
              <w:rPr>
                <w:rFonts w:ascii="宋体" w:hAnsi="宋体"/>
                <w:sz w:val="18"/>
                <w:szCs w:val="18"/>
              </w:rPr>
              <w:t>m</w:t>
            </w:r>
          </w:p>
        </w:tc>
        <w:tc>
          <w:tcPr>
            <w:tcW w:w="603" w:type="pct"/>
            <w:vAlign w:val="center"/>
          </w:tcPr>
          <w:p>
            <w:pPr>
              <w:adjustRightInd w:val="0"/>
              <w:snapToGrid w:val="0"/>
              <w:jc w:val="center"/>
              <w:rPr>
                <w:rFonts w:ascii="宋体" w:hAnsi="宋体"/>
                <w:sz w:val="18"/>
                <w:szCs w:val="18"/>
              </w:rPr>
            </w:pPr>
          </w:p>
        </w:tc>
        <w:tc>
          <w:tcPr>
            <w:tcW w:w="689" w:type="pct"/>
            <w:vAlign w:val="center"/>
          </w:tcPr>
          <w:p>
            <w:pPr>
              <w:adjustRightInd w:val="0"/>
              <w:snapToGrid w:val="0"/>
              <w:jc w:val="center"/>
              <w:rPr>
                <w:rFonts w:ascii="宋体" w:hAnsi="宋体"/>
                <w:sz w:val="18"/>
                <w:szCs w:val="18"/>
              </w:rPr>
            </w:pPr>
            <w:r>
              <w:rPr>
                <w:rFonts w:ascii="宋体" w:hAnsi="宋体"/>
                <w:sz w:val="18"/>
                <w:szCs w:val="18"/>
              </w:rPr>
              <w:t>1.2～1.5</w:t>
            </w:r>
          </w:p>
        </w:tc>
        <w:tc>
          <w:tcPr>
            <w:tcW w:w="689" w:type="pct"/>
            <w:vAlign w:val="center"/>
          </w:tcPr>
          <w:p>
            <w:pPr>
              <w:adjustRightInd w:val="0"/>
              <w:snapToGrid w:val="0"/>
              <w:jc w:val="center"/>
              <w:rPr>
                <w:rFonts w:ascii="宋体" w:hAnsi="宋体"/>
                <w:sz w:val="18"/>
                <w:szCs w:val="18"/>
              </w:rPr>
            </w:pPr>
            <w:r>
              <w:rPr>
                <w:rFonts w:ascii="宋体" w:hAnsi="宋体"/>
                <w:sz w:val="18"/>
                <w:szCs w:val="18"/>
              </w:rPr>
              <w:t>1.5～1.8</w:t>
            </w:r>
          </w:p>
        </w:tc>
        <w:tc>
          <w:tcPr>
            <w:tcW w:w="689" w:type="pct"/>
            <w:vAlign w:val="center"/>
          </w:tcPr>
          <w:p>
            <w:pPr>
              <w:adjustRightInd w:val="0"/>
              <w:snapToGrid w:val="0"/>
              <w:jc w:val="center"/>
              <w:rPr>
                <w:rFonts w:ascii="宋体" w:hAnsi="宋体"/>
                <w:sz w:val="18"/>
                <w:szCs w:val="18"/>
              </w:rPr>
            </w:pPr>
            <w:r>
              <w:rPr>
                <w:rFonts w:ascii="宋体" w:hAnsi="宋体"/>
                <w:sz w:val="18"/>
                <w:szCs w:val="18"/>
              </w:rPr>
              <w:t>1.8～2.0</w:t>
            </w:r>
          </w:p>
        </w:tc>
        <w:tc>
          <w:tcPr>
            <w:tcW w:w="689" w:type="pct"/>
            <w:vAlign w:val="center"/>
          </w:tcPr>
          <w:p>
            <w:pPr>
              <w:adjustRightInd w:val="0"/>
              <w:snapToGrid w:val="0"/>
              <w:jc w:val="center"/>
              <w:rPr>
                <w:rFonts w:ascii="宋体" w:hAnsi="宋体"/>
                <w:sz w:val="18"/>
                <w:szCs w:val="18"/>
              </w:rPr>
            </w:pPr>
            <w:r>
              <w:rPr>
                <w:rFonts w:ascii="宋体" w:hAnsi="宋体"/>
                <w:sz w:val="18"/>
                <w:szCs w:val="18"/>
              </w:rPr>
              <w:t>2.0～2.5</w:t>
            </w:r>
          </w:p>
        </w:tc>
        <w:tc>
          <w:tcPr>
            <w:tcW w:w="690" w:type="pct"/>
            <w:vAlign w:val="center"/>
          </w:tcPr>
          <w:p>
            <w:pPr>
              <w:adjustRightInd w:val="0"/>
              <w:snapToGrid w:val="0"/>
              <w:jc w:val="center"/>
              <w:rPr>
                <w:rFonts w:ascii="宋体" w:hAnsi="宋体"/>
                <w:sz w:val="18"/>
                <w:szCs w:val="1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610" w:type="pct"/>
            <w:vAlign w:val="center"/>
          </w:tcPr>
          <w:p>
            <w:pPr>
              <w:adjustRightInd w:val="0"/>
              <w:snapToGrid w:val="0"/>
              <w:jc w:val="center"/>
              <w:rPr>
                <w:rFonts w:ascii="宋体" w:hAnsi="宋体"/>
                <w:sz w:val="18"/>
                <w:szCs w:val="18"/>
              </w:rPr>
            </w:pPr>
            <w:r>
              <w:rPr>
                <w:rFonts w:ascii="宋体" w:hAnsi="宋体"/>
                <w:sz w:val="18"/>
                <w:szCs w:val="18"/>
              </w:rPr>
              <w:t>乔木高度</w:t>
            </w:r>
          </w:p>
        </w:tc>
        <w:tc>
          <w:tcPr>
            <w:tcW w:w="341" w:type="pct"/>
            <w:vAlign w:val="center"/>
          </w:tcPr>
          <w:p>
            <w:pPr>
              <w:adjustRightInd w:val="0"/>
              <w:snapToGrid w:val="0"/>
              <w:jc w:val="center"/>
              <w:rPr>
                <w:rFonts w:ascii="宋体" w:hAnsi="宋体"/>
                <w:sz w:val="18"/>
                <w:szCs w:val="18"/>
              </w:rPr>
            </w:pPr>
            <w:r>
              <w:rPr>
                <w:rFonts w:ascii="宋体" w:hAnsi="宋体"/>
                <w:sz w:val="18"/>
                <w:szCs w:val="18"/>
              </w:rPr>
              <w:t>m</w:t>
            </w:r>
          </w:p>
        </w:tc>
        <w:tc>
          <w:tcPr>
            <w:tcW w:w="603" w:type="pct"/>
            <w:vAlign w:val="center"/>
          </w:tcPr>
          <w:p>
            <w:pPr>
              <w:adjustRightInd w:val="0"/>
              <w:snapToGrid w:val="0"/>
              <w:jc w:val="center"/>
              <w:rPr>
                <w:rFonts w:ascii="宋体" w:hAnsi="宋体"/>
                <w:sz w:val="18"/>
                <w:szCs w:val="18"/>
              </w:rPr>
            </w:pPr>
            <w:r>
              <w:rPr>
                <w:rFonts w:ascii="宋体" w:hAnsi="宋体"/>
                <w:sz w:val="18"/>
                <w:szCs w:val="18"/>
              </w:rPr>
              <w:t>1.0～1.2</w:t>
            </w:r>
          </w:p>
        </w:tc>
        <w:tc>
          <w:tcPr>
            <w:tcW w:w="689" w:type="pct"/>
            <w:vAlign w:val="center"/>
          </w:tcPr>
          <w:p>
            <w:pPr>
              <w:adjustRightInd w:val="0"/>
              <w:snapToGrid w:val="0"/>
              <w:jc w:val="center"/>
              <w:rPr>
                <w:rFonts w:ascii="宋体" w:hAnsi="宋体"/>
                <w:sz w:val="18"/>
                <w:szCs w:val="18"/>
              </w:rPr>
            </w:pPr>
            <w:r>
              <w:rPr>
                <w:rFonts w:ascii="宋体" w:hAnsi="宋体"/>
                <w:sz w:val="18"/>
                <w:szCs w:val="18"/>
              </w:rPr>
              <w:t>1.2～1.5</w:t>
            </w:r>
          </w:p>
        </w:tc>
        <w:tc>
          <w:tcPr>
            <w:tcW w:w="689" w:type="pct"/>
            <w:vAlign w:val="center"/>
          </w:tcPr>
          <w:p>
            <w:pPr>
              <w:adjustRightInd w:val="0"/>
              <w:snapToGrid w:val="0"/>
              <w:jc w:val="center"/>
              <w:rPr>
                <w:rFonts w:ascii="宋体" w:hAnsi="宋体"/>
                <w:sz w:val="18"/>
                <w:szCs w:val="18"/>
              </w:rPr>
            </w:pPr>
            <w:r>
              <w:rPr>
                <w:rFonts w:ascii="宋体" w:hAnsi="宋体"/>
                <w:sz w:val="18"/>
                <w:szCs w:val="18"/>
              </w:rPr>
              <w:t>1.5～2.0</w:t>
            </w:r>
          </w:p>
        </w:tc>
        <w:tc>
          <w:tcPr>
            <w:tcW w:w="689" w:type="pct"/>
            <w:vAlign w:val="center"/>
          </w:tcPr>
          <w:p>
            <w:pPr>
              <w:adjustRightInd w:val="0"/>
              <w:snapToGrid w:val="0"/>
              <w:jc w:val="center"/>
              <w:rPr>
                <w:rFonts w:ascii="宋体" w:hAnsi="宋体"/>
                <w:sz w:val="18"/>
                <w:szCs w:val="18"/>
              </w:rPr>
            </w:pPr>
            <w:r>
              <w:rPr>
                <w:rFonts w:ascii="宋体" w:hAnsi="宋体"/>
                <w:sz w:val="18"/>
                <w:szCs w:val="18"/>
              </w:rPr>
              <w:t>2.0～2.5</w:t>
            </w:r>
          </w:p>
        </w:tc>
        <w:tc>
          <w:tcPr>
            <w:tcW w:w="689" w:type="pct"/>
            <w:vAlign w:val="center"/>
          </w:tcPr>
          <w:p>
            <w:pPr>
              <w:adjustRightInd w:val="0"/>
              <w:snapToGrid w:val="0"/>
              <w:jc w:val="center"/>
              <w:rPr>
                <w:rFonts w:ascii="宋体" w:hAnsi="宋体"/>
                <w:sz w:val="18"/>
                <w:szCs w:val="18"/>
              </w:rPr>
            </w:pPr>
            <w:r>
              <w:rPr>
                <w:rFonts w:ascii="宋体" w:hAnsi="宋体"/>
                <w:sz w:val="18"/>
                <w:szCs w:val="18"/>
              </w:rPr>
              <w:t>2.5～3.0</w:t>
            </w:r>
          </w:p>
        </w:tc>
        <w:tc>
          <w:tcPr>
            <w:tcW w:w="690" w:type="pct"/>
            <w:vAlign w:val="center"/>
          </w:tcPr>
          <w:p>
            <w:pPr>
              <w:adjustRightInd w:val="0"/>
              <w:snapToGrid w:val="0"/>
              <w:jc w:val="center"/>
              <w:rPr>
                <w:rFonts w:ascii="宋体" w:hAnsi="宋体"/>
                <w:sz w:val="18"/>
                <w:szCs w:val="18"/>
              </w:rPr>
            </w:pPr>
            <w:r>
              <w:rPr>
                <w:rFonts w:ascii="宋体" w:hAnsi="宋体"/>
                <w:sz w:val="18"/>
                <w:szCs w:val="18"/>
              </w:rPr>
              <w:t>3.0～3.5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610" w:type="pct"/>
            <w:vAlign w:val="center"/>
          </w:tcPr>
          <w:p>
            <w:pPr>
              <w:adjustRightInd w:val="0"/>
              <w:snapToGrid w:val="0"/>
              <w:jc w:val="center"/>
              <w:rPr>
                <w:rFonts w:ascii="宋体" w:hAnsi="宋体"/>
                <w:sz w:val="18"/>
                <w:szCs w:val="18"/>
              </w:rPr>
            </w:pPr>
            <w:r>
              <w:rPr>
                <w:rFonts w:ascii="宋体" w:hAnsi="宋体"/>
                <w:sz w:val="18"/>
                <w:szCs w:val="18"/>
              </w:rPr>
              <w:t>坑  径</w:t>
            </w:r>
          </w:p>
        </w:tc>
        <w:tc>
          <w:tcPr>
            <w:tcW w:w="341" w:type="pct"/>
            <w:vAlign w:val="center"/>
          </w:tcPr>
          <w:p>
            <w:pPr>
              <w:adjustRightInd w:val="0"/>
              <w:snapToGrid w:val="0"/>
              <w:jc w:val="center"/>
              <w:rPr>
                <w:rFonts w:ascii="宋体" w:hAnsi="宋体"/>
                <w:sz w:val="18"/>
                <w:szCs w:val="18"/>
              </w:rPr>
            </w:pPr>
            <w:r>
              <w:rPr>
                <w:rFonts w:ascii="宋体" w:hAnsi="宋体"/>
                <w:sz w:val="18"/>
                <w:szCs w:val="18"/>
              </w:rPr>
              <w:t>m</w:t>
            </w:r>
          </w:p>
        </w:tc>
        <w:tc>
          <w:tcPr>
            <w:tcW w:w="603" w:type="pct"/>
            <w:vAlign w:val="center"/>
          </w:tcPr>
          <w:p>
            <w:pPr>
              <w:adjustRightInd w:val="0"/>
              <w:snapToGrid w:val="0"/>
              <w:jc w:val="center"/>
              <w:rPr>
                <w:rFonts w:ascii="宋体" w:hAnsi="宋体"/>
                <w:sz w:val="18"/>
                <w:szCs w:val="18"/>
              </w:rPr>
            </w:pPr>
            <w:r>
              <w:rPr>
                <w:rFonts w:ascii="宋体" w:hAnsi="宋体"/>
                <w:sz w:val="18"/>
                <w:szCs w:val="18"/>
              </w:rPr>
              <w:t>0.5×0.3</w:t>
            </w:r>
          </w:p>
        </w:tc>
        <w:tc>
          <w:tcPr>
            <w:tcW w:w="689" w:type="pct"/>
            <w:vAlign w:val="center"/>
          </w:tcPr>
          <w:p>
            <w:pPr>
              <w:adjustRightInd w:val="0"/>
              <w:snapToGrid w:val="0"/>
              <w:jc w:val="center"/>
              <w:rPr>
                <w:rFonts w:ascii="宋体" w:hAnsi="宋体"/>
                <w:sz w:val="18"/>
                <w:szCs w:val="18"/>
              </w:rPr>
            </w:pPr>
            <w:r>
              <w:rPr>
                <w:rFonts w:ascii="宋体" w:hAnsi="宋体"/>
                <w:sz w:val="18"/>
                <w:szCs w:val="18"/>
              </w:rPr>
              <w:t>0.6×0.4</w:t>
            </w:r>
          </w:p>
        </w:tc>
        <w:tc>
          <w:tcPr>
            <w:tcW w:w="689" w:type="pct"/>
            <w:vAlign w:val="center"/>
          </w:tcPr>
          <w:p>
            <w:pPr>
              <w:adjustRightInd w:val="0"/>
              <w:snapToGrid w:val="0"/>
              <w:jc w:val="center"/>
              <w:rPr>
                <w:rFonts w:ascii="宋体" w:hAnsi="宋体"/>
                <w:sz w:val="18"/>
                <w:szCs w:val="18"/>
              </w:rPr>
            </w:pPr>
            <w:r>
              <w:rPr>
                <w:rFonts w:ascii="宋体" w:hAnsi="宋体"/>
                <w:sz w:val="18"/>
                <w:szCs w:val="18"/>
              </w:rPr>
              <w:t>0.7×0.5</w:t>
            </w:r>
          </w:p>
        </w:tc>
        <w:tc>
          <w:tcPr>
            <w:tcW w:w="689" w:type="pct"/>
            <w:vAlign w:val="center"/>
          </w:tcPr>
          <w:p>
            <w:pPr>
              <w:adjustRightInd w:val="0"/>
              <w:snapToGrid w:val="0"/>
              <w:jc w:val="center"/>
              <w:rPr>
                <w:rFonts w:ascii="宋体" w:hAnsi="宋体"/>
                <w:sz w:val="18"/>
                <w:szCs w:val="18"/>
              </w:rPr>
            </w:pPr>
            <w:r>
              <w:rPr>
                <w:rFonts w:ascii="宋体" w:hAnsi="宋体"/>
                <w:sz w:val="18"/>
                <w:szCs w:val="18"/>
              </w:rPr>
              <w:t>0.8×0.6</w:t>
            </w:r>
          </w:p>
        </w:tc>
        <w:tc>
          <w:tcPr>
            <w:tcW w:w="689" w:type="pct"/>
            <w:vAlign w:val="center"/>
          </w:tcPr>
          <w:p>
            <w:pPr>
              <w:adjustRightInd w:val="0"/>
              <w:snapToGrid w:val="0"/>
              <w:jc w:val="center"/>
              <w:rPr>
                <w:rFonts w:ascii="宋体" w:hAnsi="宋体"/>
                <w:sz w:val="18"/>
                <w:szCs w:val="18"/>
              </w:rPr>
            </w:pPr>
            <w:r>
              <w:rPr>
                <w:rFonts w:ascii="宋体" w:hAnsi="宋体"/>
                <w:sz w:val="18"/>
                <w:szCs w:val="18"/>
              </w:rPr>
              <w:t>1.0×0.7</w:t>
            </w:r>
          </w:p>
        </w:tc>
        <w:tc>
          <w:tcPr>
            <w:tcW w:w="690" w:type="pct"/>
            <w:vAlign w:val="center"/>
          </w:tcPr>
          <w:p>
            <w:pPr>
              <w:adjustRightInd w:val="0"/>
              <w:snapToGrid w:val="0"/>
              <w:jc w:val="center"/>
              <w:rPr>
                <w:rFonts w:ascii="宋体" w:hAnsi="宋体"/>
                <w:sz w:val="18"/>
                <w:szCs w:val="18"/>
              </w:rPr>
            </w:pPr>
            <w:r>
              <w:rPr>
                <w:rFonts w:ascii="宋体" w:hAnsi="宋体"/>
                <w:sz w:val="18"/>
                <w:szCs w:val="18"/>
              </w:rPr>
              <w:t>1.2×0.8</w:t>
            </w:r>
          </w:p>
        </w:tc>
      </w:tr>
    </w:tbl>
    <w:p>
      <w:pPr>
        <w:adjustRightInd w:val="0"/>
        <w:snapToGrid w:val="0"/>
        <w:spacing w:before="203" w:beforeLines="50" w:line="360" w:lineRule="auto"/>
        <w:ind w:firstLine="500" w:firstLineChars="200"/>
        <w:rPr>
          <w:rFonts w:ascii="宋体" w:hAnsi="宋体"/>
          <w:szCs w:val="21"/>
        </w:rPr>
      </w:pPr>
      <w:r>
        <w:rPr>
          <w:rFonts w:ascii="宋体" w:hAnsi="宋体"/>
          <w:szCs w:val="21"/>
        </w:rPr>
        <w:t>c</w:t>
      </w:r>
      <w:r>
        <w:rPr>
          <w:rFonts w:hint="eastAsia" w:ascii="宋体" w:hAnsi="宋体"/>
          <w:szCs w:val="21"/>
        </w:rPr>
        <w:t>、</w:t>
      </w:r>
      <w:r>
        <w:rPr>
          <w:rFonts w:ascii="宋体" w:hAnsi="宋体"/>
          <w:szCs w:val="21"/>
        </w:rPr>
        <w:t>如遇土质过粘、过硬或含有有害物质如石灰、沥青等，则应适当加大坑径。</w:t>
      </w:r>
    </w:p>
    <w:p>
      <w:pPr>
        <w:adjustRightInd w:val="0"/>
        <w:snapToGrid w:val="0"/>
        <w:spacing w:line="360" w:lineRule="auto"/>
        <w:ind w:firstLine="500" w:firstLineChars="200"/>
        <w:rPr>
          <w:rFonts w:ascii="宋体" w:hAnsi="宋体"/>
          <w:szCs w:val="21"/>
        </w:rPr>
      </w:pPr>
      <w:r>
        <w:rPr>
          <w:rFonts w:hint="eastAsia" w:ascii="宋体" w:hAnsi="宋体"/>
          <w:szCs w:val="21"/>
        </w:rPr>
        <w:t>d、</w:t>
      </w:r>
      <w:r>
        <w:rPr>
          <w:rFonts w:ascii="宋体" w:hAnsi="宋体"/>
          <w:szCs w:val="21"/>
        </w:rPr>
        <w:t>刨坑时应以所定位置为中心按规定坑径划一圆圈作为刨坑的范围。</w:t>
      </w:r>
    </w:p>
    <w:p>
      <w:pPr>
        <w:adjustRightInd w:val="0"/>
        <w:snapToGrid w:val="0"/>
        <w:spacing w:line="360" w:lineRule="auto"/>
        <w:ind w:firstLine="500" w:firstLineChars="200"/>
        <w:rPr>
          <w:rFonts w:ascii="宋体" w:hAnsi="宋体"/>
          <w:szCs w:val="21"/>
        </w:rPr>
      </w:pPr>
      <w:r>
        <w:rPr>
          <w:rFonts w:hint="eastAsia" w:ascii="宋体" w:hAnsi="宋体"/>
          <w:szCs w:val="21"/>
        </w:rPr>
        <w:t>e、</w:t>
      </w:r>
      <w:r>
        <w:rPr>
          <w:rFonts w:ascii="宋体" w:hAnsi="宋体"/>
          <w:szCs w:val="21"/>
        </w:rPr>
        <w:t>挖坑时应把表土与底土分别置放，不同的土质亦应分开堆放。堆放位置以不影响栽植为宜。刨坑到规定深度后在坑底垫底土。</w:t>
      </w:r>
    </w:p>
    <w:p>
      <w:pPr>
        <w:adjustRightInd w:val="0"/>
        <w:snapToGrid w:val="0"/>
        <w:spacing w:line="360" w:lineRule="auto"/>
        <w:ind w:firstLine="500" w:firstLineChars="200"/>
        <w:rPr>
          <w:rFonts w:ascii="宋体" w:hAnsi="宋体"/>
          <w:szCs w:val="21"/>
        </w:rPr>
      </w:pPr>
      <w:r>
        <w:rPr>
          <w:rFonts w:hint="eastAsia" w:ascii="宋体" w:hAnsi="宋体"/>
          <w:szCs w:val="21"/>
        </w:rPr>
        <w:t>f、</w:t>
      </w:r>
      <w:r>
        <w:rPr>
          <w:rFonts w:ascii="宋体" w:hAnsi="宋体"/>
          <w:szCs w:val="21"/>
        </w:rPr>
        <w:t>挖坑的坑壁要随挖随修使其成直上真下形状，不要成锅底形。</w:t>
      </w:r>
    </w:p>
    <w:p>
      <w:pPr>
        <w:adjustRightInd w:val="0"/>
        <w:snapToGrid w:val="0"/>
        <w:spacing w:line="360" w:lineRule="auto"/>
        <w:ind w:firstLine="500" w:firstLineChars="200"/>
        <w:rPr>
          <w:rFonts w:ascii="宋体" w:hAnsi="宋体"/>
          <w:szCs w:val="21"/>
        </w:rPr>
      </w:pPr>
      <w:r>
        <w:rPr>
          <w:rFonts w:hint="eastAsia" w:ascii="宋体" w:hAnsi="宋体"/>
          <w:szCs w:val="21"/>
        </w:rPr>
        <w:t>g、</w:t>
      </w:r>
      <w:r>
        <w:rPr>
          <w:rFonts w:ascii="宋体" w:hAnsi="宋体"/>
          <w:szCs w:val="21"/>
        </w:rPr>
        <w:t>刨坑时如发现地下管道、电缆等地下设施应停止操作，并及时向项目监理报告，请示处理办法。</w:t>
      </w:r>
    </w:p>
    <w:p>
      <w:pPr>
        <w:adjustRightInd w:val="0"/>
        <w:snapToGrid w:val="0"/>
        <w:spacing w:line="360" w:lineRule="auto"/>
        <w:ind w:firstLine="500" w:firstLineChars="200"/>
        <w:rPr>
          <w:rFonts w:ascii="宋体" w:hAnsi="宋体"/>
          <w:szCs w:val="21"/>
        </w:rPr>
      </w:pPr>
      <w:r>
        <w:rPr>
          <w:rFonts w:hint="eastAsia" w:ascii="宋体" w:hAnsi="宋体"/>
          <w:szCs w:val="21"/>
        </w:rPr>
        <w:t>h、</w:t>
      </w:r>
      <w:r>
        <w:rPr>
          <w:rFonts w:ascii="宋体" w:hAnsi="宋体"/>
          <w:szCs w:val="21"/>
        </w:rPr>
        <w:t>在斜坡处挖坑应先做成一平台，平台大小应以坑径最低规格为依据，做成后在平台上再挖坑。</w:t>
      </w:r>
    </w:p>
    <w:p>
      <w:pPr>
        <w:adjustRightInd w:val="0"/>
        <w:snapToGrid w:val="0"/>
        <w:spacing w:line="360" w:lineRule="auto"/>
        <w:ind w:firstLine="500" w:firstLineChars="200"/>
        <w:rPr>
          <w:rFonts w:ascii="宋体" w:hAnsi="宋体"/>
          <w:szCs w:val="21"/>
        </w:rPr>
      </w:pPr>
      <w:r>
        <w:rPr>
          <w:rFonts w:hint="eastAsia" w:ascii="宋体" w:hAnsi="宋体"/>
          <w:szCs w:val="21"/>
        </w:rPr>
        <w:t>（17）栽植</w:t>
      </w:r>
    </w:p>
    <w:p>
      <w:pPr>
        <w:adjustRightInd w:val="0"/>
        <w:snapToGrid w:val="0"/>
        <w:spacing w:line="360" w:lineRule="auto"/>
        <w:ind w:firstLine="500" w:firstLineChars="200"/>
        <w:rPr>
          <w:rFonts w:ascii="宋体" w:hAnsi="宋体"/>
          <w:szCs w:val="21"/>
        </w:rPr>
      </w:pPr>
      <w:r>
        <w:rPr>
          <w:rFonts w:hint="eastAsia" w:ascii="宋体" w:hAnsi="宋体"/>
          <w:szCs w:val="21"/>
        </w:rPr>
        <w:t>a、</w:t>
      </w:r>
      <w:r>
        <w:rPr>
          <w:rFonts w:ascii="宋体" w:hAnsi="宋体"/>
          <w:szCs w:val="21"/>
        </w:rPr>
        <w:t>栽植前对苗木的根系要进行修剪，将断根，劈裂根，感染病虫害根，过长的根剪去，剪口要平滑，带土球的苗和灌木应将围拢树冠的草绳剪断。</w:t>
      </w:r>
    </w:p>
    <w:p>
      <w:pPr>
        <w:adjustRightInd w:val="0"/>
        <w:snapToGrid w:val="0"/>
        <w:spacing w:line="360" w:lineRule="auto"/>
        <w:ind w:firstLine="500" w:firstLineChars="200"/>
        <w:rPr>
          <w:rFonts w:ascii="宋体" w:hAnsi="宋体"/>
          <w:szCs w:val="21"/>
        </w:rPr>
      </w:pPr>
      <w:r>
        <w:rPr>
          <w:rFonts w:hint="eastAsia" w:ascii="宋体" w:hAnsi="宋体"/>
          <w:szCs w:val="21"/>
        </w:rPr>
        <w:t>b、</w:t>
      </w:r>
      <w:r>
        <w:rPr>
          <w:rFonts w:ascii="宋体" w:hAnsi="宋体"/>
          <w:szCs w:val="21"/>
        </w:rPr>
        <w:t>栽植前应检查坑的大小、深度是否与根系、土球规格标准要求的坑径一致，不符时应进行修整。</w:t>
      </w:r>
    </w:p>
    <w:p>
      <w:pPr>
        <w:adjustRightInd w:val="0"/>
        <w:snapToGrid w:val="0"/>
        <w:spacing w:line="360" w:lineRule="auto"/>
        <w:ind w:firstLine="500" w:firstLineChars="200"/>
        <w:rPr>
          <w:rFonts w:ascii="宋体" w:hAnsi="宋体"/>
          <w:szCs w:val="21"/>
        </w:rPr>
      </w:pPr>
      <w:r>
        <w:rPr>
          <w:rFonts w:hint="eastAsia" w:ascii="宋体" w:hAnsi="宋体"/>
          <w:szCs w:val="21"/>
        </w:rPr>
        <w:t>c、</w:t>
      </w:r>
      <w:r>
        <w:rPr>
          <w:rFonts w:ascii="宋体" w:hAnsi="宋体"/>
          <w:szCs w:val="21"/>
        </w:rPr>
        <w:t>栽树时不得歪斜，要保持树木上下垂直，有树弯时应掌握树尖与根部在一垂直线上。</w:t>
      </w:r>
    </w:p>
    <w:p>
      <w:pPr>
        <w:adjustRightInd w:val="0"/>
        <w:snapToGrid w:val="0"/>
        <w:spacing w:line="360" w:lineRule="auto"/>
        <w:ind w:firstLine="500" w:firstLineChars="200"/>
        <w:rPr>
          <w:rFonts w:ascii="宋体" w:hAnsi="宋体"/>
          <w:szCs w:val="21"/>
        </w:rPr>
      </w:pPr>
      <w:r>
        <w:rPr>
          <w:rFonts w:hint="eastAsia" w:ascii="宋体" w:hAnsi="宋体"/>
          <w:szCs w:val="21"/>
        </w:rPr>
        <w:t>d、</w:t>
      </w:r>
      <w:r>
        <w:rPr>
          <w:rFonts w:ascii="宋体" w:hAnsi="宋体"/>
          <w:szCs w:val="21"/>
        </w:rPr>
        <w:t>应由有经验的工人，按照正常做法，进行种植和回填土，植物应垂直地栽好，比在苗圃的种植深度加深20～30mm。种植前的乔木和灌木应经项目监理检查认可。</w:t>
      </w:r>
    </w:p>
    <w:p>
      <w:pPr>
        <w:adjustRightInd w:val="0"/>
        <w:snapToGrid w:val="0"/>
        <w:spacing w:line="360" w:lineRule="auto"/>
        <w:ind w:firstLine="500" w:firstLineChars="200"/>
        <w:rPr>
          <w:rFonts w:ascii="宋体" w:hAnsi="宋体"/>
          <w:szCs w:val="21"/>
        </w:rPr>
      </w:pPr>
      <w:r>
        <w:rPr>
          <w:rFonts w:ascii="宋体" w:hAnsi="宋体"/>
          <w:szCs w:val="21"/>
        </w:rPr>
        <w:t>栽植深度要合适，一般乔、灌木应与原土痕深2～3cm，栽植地段若风大可较原土痕深栽5cm。栽植带土球树木以球面和栽植地表上面平齐或略低2～3cm。</w:t>
      </w:r>
    </w:p>
    <w:p>
      <w:pPr>
        <w:adjustRightInd w:val="0"/>
        <w:snapToGrid w:val="0"/>
        <w:spacing w:line="360" w:lineRule="auto"/>
        <w:ind w:firstLine="500" w:firstLineChars="200"/>
        <w:rPr>
          <w:rFonts w:ascii="宋体" w:hAnsi="宋体"/>
          <w:szCs w:val="21"/>
        </w:rPr>
      </w:pPr>
      <w:r>
        <w:rPr>
          <w:rFonts w:hint="eastAsia" w:ascii="宋体" w:hAnsi="宋体"/>
          <w:szCs w:val="21"/>
        </w:rPr>
        <w:t>e、</w:t>
      </w:r>
      <w:r>
        <w:rPr>
          <w:rFonts w:ascii="宋体" w:hAnsi="宋体"/>
          <w:szCs w:val="21"/>
        </w:rPr>
        <w:t>对裸根植物，先将表土放在坑底，其松散厚度约150mm，随即撒布适量（视表土性质而定）有机肥，在肥料上覆盖50～100mm回填土层，使根系不直接接触肥料。随后将裸根植物放在树坑中央，以自然形态散开根系，所有折断或损坏的根系应予截去，促使根部生长良好。</w:t>
      </w:r>
    </w:p>
    <w:p>
      <w:pPr>
        <w:adjustRightInd w:val="0"/>
        <w:snapToGrid w:val="0"/>
        <w:spacing w:line="360" w:lineRule="auto"/>
        <w:ind w:firstLine="500" w:firstLineChars="200"/>
        <w:rPr>
          <w:rFonts w:ascii="宋体" w:hAnsi="宋体"/>
          <w:szCs w:val="21"/>
        </w:rPr>
      </w:pPr>
      <w:r>
        <w:rPr>
          <w:rFonts w:ascii="宋体" w:hAnsi="宋体"/>
          <w:szCs w:val="21"/>
        </w:rPr>
        <w:t>在树坑四周及其上部回填土后捣固并适当压紧，当回填到根系一半深度时，将植物稍提起，随即再按每层厚150mm回填土压实。植物四周应由土围成与树坑大小相同的浅盆形凹穴（浅土盆）的蓄水池，深约150mm。</w:t>
      </w:r>
    </w:p>
    <w:p>
      <w:pPr>
        <w:adjustRightInd w:val="0"/>
        <w:snapToGrid w:val="0"/>
        <w:spacing w:line="360" w:lineRule="auto"/>
        <w:ind w:firstLine="500" w:firstLineChars="200"/>
        <w:rPr>
          <w:rFonts w:ascii="宋体" w:hAnsi="宋体"/>
          <w:szCs w:val="21"/>
        </w:rPr>
      </w:pPr>
      <w:r>
        <w:rPr>
          <w:rFonts w:hint="eastAsia" w:ascii="宋体" w:hAnsi="宋体"/>
          <w:szCs w:val="21"/>
        </w:rPr>
        <w:t>f、</w:t>
      </w:r>
      <w:r>
        <w:rPr>
          <w:rFonts w:ascii="宋体" w:hAnsi="宋体"/>
          <w:szCs w:val="21"/>
        </w:rPr>
        <w:t>栽行道树、行列树必须横平竖直，栽植时可每隔10或20株按规定位置准确的栽上一株作为前后植树对齐的依据，然后再分别栽植。</w:t>
      </w:r>
    </w:p>
    <w:p>
      <w:pPr>
        <w:adjustRightInd w:val="0"/>
        <w:snapToGrid w:val="0"/>
        <w:spacing w:line="360" w:lineRule="auto"/>
        <w:ind w:firstLine="500" w:firstLineChars="200"/>
        <w:rPr>
          <w:rFonts w:ascii="宋体" w:hAnsi="宋体"/>
          <w:szCs w:val="21"/>
        </w:rPr>
      </w:pPr>
      <w:r>
        <w:rPr>
          <w:rFonts w:hint="eastAsia" w:ascii="宋体" w:hAnsi="宋体"/>
          <w:szCs w:val="21"/>
        </w:rPr>
        <w:t>g、</w:t>
      </w:r>
      <w:r>
        <w:rPr>
          <w:rFonts w:ascii="宋体" w:hAnsi="宋体"/>
          <w:szCs w:val="21"/>
        </w:rPr>
        <w:t>栽植带土球的苗木时，先将表土放在坑底，其松散厚度约150mm，随即撒布适量（视表土性质而定）有机肥，在肥料上覆50～100mm回填土层，使根系不接触肥料。回填土随即填在植物土球周围并捣实。土球上部的麻（草）袋应割开并移去，将土球上部的土松开并摊平，然后将其余回填土填下，还应做好浅土盆的蓄水池。</w:t>
      </w:r>
    </w:p>
    <w:p>
      <w:pPr>
        <w:adjustRightInd w:val="0"/>
        <w:snapToGrid w:val="0"/>
        <w:spacing w:line="360" w:lineRule="auto"/>
        <w:ind w:firstLine="500" w:firstLineChars="200"/>
        <w:rPr>
          <w:rFonts w:ascii="宋体" w:hAnsi="宋体"/>
          <w:szCs w:val="21"/>
        </w:rPr>
      </w:pPr>
      <w:r>
        <w:rPr>
          <w:rFonts w:hint="eastAsia" w:ascii="宋体" w:hAnsi="宋体"/>
          <w:szCs w:val="21"/>
        </w:rPr>
        <w:t>h、</w:t>
      </w:r>
      <w:r>
        <w:rPr>
          <w:rFonts w:ascii="宋体" w:hAnsi="宋体"/>
          <w:szCs w:val="21"/>
        </w:rPr>
        <w:t>树木入坑就位后方可打开土球包扎物，并将其取出，因包扎物易腐烂根系。如实在有部分取不出可留在坑底。所取出包扎物应清运，不能丢弃现场。</w:t>
      </w:r>
    </w:p>
    <w:p>
      <w:pPr>
        <w:adjustRightInd w:val="0"/>
        <w:snapToGrid w:val="0"/>
        <w:spacing w:line="360" w:lineRule="auto"/>
        <w:ind w:firstLine="500" w:firstLineChars="200"/>
        <w:rPr>
          <w:rFonts w:ascii="宋体" w:hAnsi="宋体"/>
          <w:szCs w:val="21"/>
        </w:rPr>
      </w:pPr>
      <w:r>
        <w:rPr>
          <w:rFonts w:hint="eastAsia" w:ascii="宋体" w:hAnsi="宋体"/>
          <w:szCs w:val="21"/>
        </w:rPr>
        <w:t>i、</w:t>
      </w:r>
      <w:r>
        <w:rPr>
          <w:rFonts w:ascii="宋体" w:hAnsi="宋体"/>
          <w:szCs w:val="21"/>
        </w:rPr>
        <w:t>栽植较大规格的常绿树和高大乔木时，或在风速较大地区栽植乔木时应在栽植的同时埋上支柱，支柱应埋深在0.3m以下，支柱要捆牢，并注意不要使支柱与树干直接接触以免磨伤树皮。立支柱方向应在下风口。</w:t>
      </w:r>
    </w:p>
    <w:p>
      <w:pPr>
        <w:adjustRightInd w:val="0"/>
        <w:snapToGrid w:val="0"/>
        <w:spacing w:line="360" w:lineRule="auto"/>
        <w:ind w:firstLine="500" w:firstLineChars="200"/>
        <w:rPr>
          <w:rFonts w:ascii="宋体" w:hAnsi="宋体"/>
          <w:szCs w:val="21"/>
        </w:rPr>
      </w:pPr>
      <w:r>
        <w:rPr>
          <w:rFonts w:hint="eastAsia" w:ascii="宋体" w:hAnsi="宋体"/>
          <w:szCs w:val="21"/>
        </w:rPr>
        <w:t>j、</w:t>
      </w:r>
      <w:r>
        <w:rPr>
          <w:rFonts w:ascii="宋体" w:hAnsi="宋体"/>
          <w:szCs w:val="21"/>
        </w:rPr>
        <w:t>对于成片密植灌木（灌木模纹栽植），应选用枝叶饱满、冠形完整的植株，经栽植修剪后，模纹整体高度一致（设计另有要求除外）、填充饱满、色泽均匀，效果良好。栽植密度以设计要求为准。</w:t>
      </w:r>
    </w:p>
    <w:p>
      <w:pPr>
        <w:adjustRightInd w:val="0"/>
        <w:snapToGrid w:val="0"/>
        <w:spacing w:line="360" w:lineRule="auto"/>
        <w:ind w:firstLine="500" w:firstLineChars="200"/>
        <w:rPr>
          <w:rFonts w:ascii="宋体" w:hAnsi="宋体"/>
          <w:szCs w:val="21"/>
        </w:rPr>
      </w:pPr>
      <w:r>
        <w:rPr>
          <w:rFonts w:hint="eastAsia" w:ascii="宋体" w:hAnsi="宋体"/>
          <w:szCs w:val="21"/>
        </w:rPr>
        <w:t>k、</w:t>
      </w:r>
      <w:r>
        <w:rPr>
          <w:rFonts w:ascii="宋体" w:hAnsi="宋体"/>
          <w:szCs w:val="21"/>
        </w:rPr>
        <w:t>在种植后应按图纸要求，对乔木或灌木浇水，并要浇透，半月之后，再浇透水2～3次。其后每周一般浇水一次，视气候情况而定，直到植物成活为止。</w:t>
      </w:r>
    </w:p>
    <w:p>
      <w:pPr>
        <w:adjustRightInd w:val="0"/>
        <w:snapToGrid w:val="0"/>
        <w:spacing w:line="360" w:lineRule="auto"/>
        <w:ind w:firstLine="500" w:firstLineChars="200"/>
        <w:rPr>
          <w:rFonts w:ascii="宋体" w:hAnsi="宋体"/>
          <w:szCs w:val="21"/>
        </w:rPr>
      </w:pPr>
      <w:r>
        <w:rPr>
          <w:rFonts w:hint="eastAsia" w:ascii="宋体" w:hAnsi="宋体"/>
          <w:szCs w:val="21"/>
        </w:rPr>
        <w:t>（18）</w:t>
      </w:r>
      <w:r>
        <w:rPr>
          <w:rFonts w:ascii="宋体" w:hAnsi="宋体"/>
          <w:szCs w:val="21"/>
        </w:rPr>
        <w:t>特别情况下的栽植规定</w:t>
      </w:r>
    </w:p>
    <w:p>
      <w:pPr>
        <w:adjustRightInd w:val="0"/>
        <w:snapToGrid w:val="0"/>
        <w:spacing w:line="360" w:lineRule="auto"/>
        <w:ind w:firstLine="500" w:firstLineChars="200"/>
        <w:rPr>
          <w:rFonts w:ascii="宋体" w:hAnsi="宋体"/>
          <w:szCs w:val="21"/>
        </w:rPr>
      </w:pPr>
      <w:r>
        <w:rPr>
          <w:rFonts w:ascii="宋体" w:hAnsi="宋体"/>
          <w:szCs w:val="21"/>
        </w:rPr>
        <w:t>a</w:t>
      </w:r>
      <w:r>
        <w:rPr>
          <w:rFonts w:hint="eastAsia" w:ascii="宋体" w:hAnsi="宋体"/>
          <w:szCs w:val="21"/>
        </w:rPr>
        <w:t>、</w:t>
      </w:r>
      <w:r>
        <w:rPr>
          <w:rFonts w:ascii="宋体" w:hAnsi="宋体"/>
          <w:szCs w:val="21"/>
        </w:rPr>
        <w:t>非栽植季节的栽植</w:t>
      </w:r>
    </w:p>
    <w:p>
      <w:pPr>
        <w:adjustRightInd w:val="0"/>
        <w:snapToGrid w:val="0"/>
        <w:spacing w:line="360" w:lineRule="auto"/>
        <w:ind w:firstLine="500" w:firstLineChars="200"/>
        <w:rPr>
          <w:rFonts w:ascii="宋体" w:hAnsi="宋体"/>
          <w:szCs w:val="21"/>
        </w:rPr>
      </w:pPr>
      <w:r>
        <w:rPr>
          <w:rFonts w:ascii="宋体" w:hAnsi="宋体"/>
          <w:szCs w:val="21"/>
        </w:rPr>
        <w:t>因特殊工程需要不能在正常季节植树而必须突破季节限制，在指定时间内完成的绿化工作任务时，应在栽植季节时将苗木带土球或装筐种在较大容器内进行假植，囤放在地势高燥、排水良好、灌水便利、交通方便之地。囤苗期间应加强浇水、防涝、施肥、防治病虫害、修剪等苗木管理工作，保证土球完好，若包扎材料或装筐大部腐朽，装运前一星期应停止浇水，带土球苗应重新包扎，连同原有包扎材料一并包在土球内。装筐苗木应用草绳加固，栽植时装筐苗木可连筐一起种植在坑内。（指自然的植物筐）</w:t>
      </w:r>
    </w:p>
    <w:p>
      <w:pPr>
        <w:adjustRightInd w:val="0"/>
        <w:snapToGrid w:val="0"/>
        <w:spacing w:line="360" w:lineRule="auto"/>
        <w:ind w:firstLine="500" w:firstLineChars="200"/>
        <w:rPr>
          <w:rFonts w:ascii="宋体" w:hAnsi="宋体"/>
          <w:szCs w:val="21"/>
        </w:rPr>
      </w:pPr>
      <w:r>
        <w:rPr>
          <w:rFonts w:ascii="宋体" w:hAnsi="宋体"/>
          <w:szCs w:val="21"/>
        </w:rPr>
        <w:t>b</w:t>
      </w:r>
      <w:r>
        <w:rPr>
          <w:rFonts w:hint="eastAsia" w:ascii="宋体" w:hAnsi="宋体"/>
          <w:szCs w:val="21"/>
        </w:rPr>
        <w:t>、</w:t>
      </w:r>
      <w:r>
        <w:rPr>
          <w:rFonts w:ascii="宋体" w:hAnsi="宋体"/>
          <w:szCs w:val="21"/>
        </w:rPr>
        <w:t>生长期内移栽</w:t>
      </w:r>
    </w:p>
    <w:p>
      <w:pPr>
        <w:adjustRightInd w:val="0"/>
        <w:snapToGrid w:val="0"/>
        <w:spacing w:line="360" w:lineRule="auto"/>
        <w:ind w:firstLine="500" w:firstLineChars="200"/>
        <w:rPr>
          <w:rFonts w:ascii="宋体" w:hAnsi="宋体"/>
          <w:szCs w:val="21"/>
        </w:rPr>
      </w:pPr>
      <w:r>
        <w:rPr>
          <w:rFonts w:ascii="宋体" w:hAnsi="宋体"/>
          <w:szCs w:val="21"/>
        </w:rPr>
        <w:t>在树木生长期内因特殊情况需移栽的树木应特别加强保水、保根、减少蒸腾的技术措施，严格起、运、栽、养四个重要环节。落叶乔木应实行带土球移栽。根据树冠、枝叶疏密应加大根系保留范围，并对树冠进行强度修剪，疏叶4/5。栽后除正常养护管理外，如气温高、气候干燥应用稻草、草席包扎干枝，次日向树冠喷水3～4次或采用输液等特殊水分供应手段。</w:t>
      </w:r>
    </w:p>
    <w:p>
      <w:pPr>
        <w:adjustRightInd w:val="0"/>
        <w:snapToGrid w:val="0"/>
        <w:spacing w:line="360" w:lineRule="auto"/>
        <w:ind w:firstLine="500" w:firstLineChars="200"/>
        <w:rPr>
          <w:rFonts w:ascii="宋体" w:hAnsi="宋体"/>
          <w:szCs w:val="21"/>
        </w:rPr>
      </w:pPr>
      <w:r>
        <w:rPr>
          <w:rFonts w:ascii="宋体" w:hAnsi="宋体"/>
          <w:szCs w:val="21"/>
        </w:rPr>
        <w:t>c</w:t>
      </w:r>
      <w:r>
        <w:rPr>
          <w:rFonts w:hint="eastAsia" w:ascii="宋体" w:hAnsi="宋体"/>
          <w:szCs w:val="21"/>
        </w:rPr>
        <w:t>、</w:t>
      </w:r>
      <w:r>
        <w:rPr>
          <w:rFonts w:ascii="宋体" w:hAnsi="宋体"/>
          <w:szCs w:val="21"/>
        </w:rPr>
        <w:t>抗旱栽植技术</w:t>
      </w:r>
    </w:p>
    <w:p>
      <w:pPr>
        <w:adjustRightInd w:val="0"/>
        <w:snapToGrid w:val="0"/>
        <w:spacing w:line="360" w:lineRule="auto"/>
        <w:ind w:firstLine="500" w:firstLineChars="200"/>
        <w:rPr>
          <w:rFonts w:ascii="宋体" w:hAnsi="宋体"/>
          <w:szCs w:val="21"/>
        </w:rPr>
      </w:pPr>
      <w:r>
        <w:rPr>
          <w:rFonts w:ascii="宋体" w:hAnsi="宋体"/>
          <w:szCs w:val="21"/>
        </w:rPr>
        <w:t>对于干旱季节的种植要求采用抗旱栽植技术，绿化种植时需充分重视抗旱种植技术，借鉴北方地区的一些成功抗旱种植经验，采用滴灌、施用保水剂、施用抗蒸腾剂等多种技术，以确保绿化成活率。</w:t>
      </w:r>
    </w:p>
    <w:p>
      <w:pPr>
        <w:pStyle w:val="5"/>
        <w:keepLines w:val="0"/>
        <w:adjustRightInd w:val="0"/>
        <w:snapToGrid w:val="0"/>
        <w:spacing w:before="0" w:after="0" w:line="360" w:lineRule="auto"/>
        <w:jc w:val="left"/>
        <w:rPr>
          <w:rFonts w:ascii="宋体" w:hAnsi="宋体" w:eastAsia="宋体"/>
          <w:bCs/>
          <w:sz w:val="24"/>
        </w:rPr>
      </w:pPr>
      <w:bookmarkStart w:id="4814" w:name="_Toc517382723"/>
      <w:bookmarkStart w:id="4815" w:name="_Toc521492101"/>
      <w:bookmarkStart w:id="4816" w:name="_Toc518376779"/>
      <w:bookmarkStart w:id="4817" w:name="_Toc521492958"/>
      <w:bookmarkStart w:id="4818" w:name="_Toc521493632"/>
      <w:bookmarkStart w:id="4819" w:name="_Toc106050194"/>
      <w:bookmarkStart w:id="4820" w:name="_Toc106883451"/>
      <w:bookmarkStart w:id="4821" w:name="_Toc485715691"/>
      <w:bookmarkStart w:id="4822" w:name="_Toc485743388"/>
      <w:r>
        <w:rPr>
          <w:rFonts w:hint="eastAsia" w:ascii="宋体" w:hAnsi="宋体" w:eastAsia="宋体"/>
          <w:sz w:val="24"/>
        </w:rPr>
        <w:t>4.6.10.3.3</w:t>
      </w:r>
      <w:r>
        <w:rPr>
          <w:rFonts w:ascii="宋体" w:hAnsi="宋体" w:eastAsia="宋体"/>
          <w:sz w:val="24"/>
        </w:rPr>
        <w:t>绿化工程检验评定的时间</w:t>
      </w:r>
      <w:bookmarkEnd w:id="4814"/>
      <w:bookmarkEnd w:id="4815"/>
      <w:bookmarkEnd w:id="4816"/>
      <w:bookmarkEnd w:id="4817"/>
      <w:bookmarkEnd w:id="4818"/>
      <w:bookmarkEnd w:id="4819"/>
      <w:bookmarkEnd w:id="4820"/>
    </w:p>
    <w:p>
      <w:pPr>
        <w:pStyle w:val="134"/>
        <w:adjustRightInd w:val="0"/>
        <w:snapToGrid w:val="0"/>
        <w:spacing w:before="0" w:beforeAutospacing="0" w:after="0" w:afterAutospacing="0" w:line="360" w:lineRule="auto"/>
        <w:ind w:firstLine="440" w:firstLineChars="200"/>
        <w:rPr>
          <w:kern w:val="2"/>
          <w:sz w:val="21"/>
          <w:szCs w:val="21"/>
        </w:rPr>
      </w:pPr>
      <w:r>
        <w:rPr>
          <w:kern w:val="2"/>
          <w:sz w:val="21"/>
          <w:szCs w:val="21"/>
        </w:rPr>
        <w:t>1</w:t>
      </w:r>
      <w:r>
        <w:rPr>
          <w:rFonts w:hint="eastAsia"/>
          <w:kern w:val="2"/>
          <w:sz w:val="21"/>
          <w:szCs w:val="21"/>
        </w:rPr>
        <w:t>、</w:t>
      </w:r>
      <w:r>
        <w:rPr>
          <w:kern w:val="2"/>
          <w:sz w:val="21"/>
          <w:szCs w:val="21"/>
        </w:rPr>
        <w:t xml:space="preserve">植物材料与绿化辅助材料的质量与规格应在施工前分批进行检验与控制。 </w:t>
      </w:r>
    </w:p>
    <w:p>
      <w:pPr>
        <w:adjustRightInd w:val="0"/>
        <w:snapToGrid w:val="0"/>
        <w:spacing w:line="360" w:lineRule="auto"/>
        <w:ind w:firstLine="500" w:firstLineChars="200"/>
        <w:rPr>
          <w:rFonts w:ascii="宋体" w:hAnsi="宋体"/>
          <w:szCs w:val="21"/>
        </w:rPr>
      </w:pPr>
      <w:r>
        <w:rPr>
          <w:rFonts w:ascii="宋体" w:hAnsi="宋体"/>
          <w:szCs w:val="21"/>
        </w:rPr>
        <w:t>2</w:t>
      </w:r>
      <w:r>
        <w:rPr>
          <w:rFonts w:hint="eastAsia" w:ascii="宋体" w:hAnsi="宋体"/>
          <w:szCs w:val="21"/>
        </w:rPr>
        <w:t>、</w:t>
      </w:r>
      <w:r>
        <w:rPr>
          <w:rFonts w:ascii="宋体" w:hAnsi="宋体"/>
          <w:szCs w:val="21"/>
        </w:rPr>
        <w:t>植物材料的成活率、发芽率、覆盖率的检验评定应在一个年生长周期满后进行。</w:t>
      </w:r>
    </w:p>
    <w:p>
      <w:pPr>
        <w:pStyle w:val="5"/>
        <w:adjustRightInd w:val="0"/>
        <w:snapToGrid w:val="0"/>
        <w:spacing w:before="0" w:after="0" w:line="360" w:lineRule="auto"/>
        <w:rPr>
          <w:rFonts w:ascii="宋体" w:hAnsi="宋体" w:eastAsia="宋体"/>
          <w:bCs/>
          <w:sz w:val="24"/>
        </w:rPr>
      </w:pPr>
      <w:bookmarkStart w:id="4823" w:name="_Toc518376780"/>
      <w:bookmarkStart w:id="4824" w:name="_Toc521492102"/>
      <w:bookmarkStart w:id="4825" w:name="_Toc521492959"/>
      <w:bookmarkStart w:id="4826" w:name="_Toc521493633"/>
      <w:bookmarkStart w:id="4827" w:name="_Toc517382724"/>
      <w:bookmarkStart w:id="4828" w:name="_Toc106050195"/>
      <w:bookmarkStart w:id="4829" w:name="_Toc106883452"/>
      <w:r>
        <w:rPr>
          <w:rFonts w:hint="eastAsia" w:ascii="宋体" w:hAnsi="宋体" w:eastAsia="宋体"/>
          <w:sz w:val="24"/>
        </w:rPr>
        <w:t>4.6.10.3.4质量检验</w:t>
      </w:r>
      <w:bookmarkEnd w:id="4821"/>
      <w:bookmarkEnd w:id="4822"/>
      <w:bookmarkEnd w:id="4823"/>
      <w:bookmarkEnd w:id="4824"/>
      <w:bookmarkEnd w:id="4825"/>
      <w:bookmarkEnd w:id="4826"/>
      <w:bookmarkEnd w:id="4827"/>
      <w:bookmarkEnd w:id="4828"/>
      <w:bookmarkEnd w:id="4829"/>
    </w:p>
    <w:p>
      <w:pPr>
        <w:adjustRightInd w:val="0"/>
        <w:snapToGrid w:val="0"/>
        <w:spacing w:line="360" w:lineRule="auto"/>
        <w:ind w:firstLine="500" w:firstLineChars="200"/>
        <w:rPr>
          <w:rFonts w:ascii="宋体" w:hAnsi="宋体"/>
          <w:szCs w:val="21"/>
        </w:rPr>
      </w:pPr>
      <w:r>
        <w:rPr>
          <w:rFonts w:ascii="宋体" w:hAnsi="宋体"/>
          <w:szCs w:val="21"/>
        </w:rPr>
        <w:t>各类人工栽植的乔木类</w:t>
      </w:r>
      <w:r>
        <w:rPr>
          <w:rFonts w:hint="eastAsia" w:ascii="宋体" w:hAnsi="宋体"/>
          <w:szCs w:val="21"/>
        </w:rPr>
        <w:t>行道树</w:t>
      </w:r>
      <w:r>
        <w:rPr>
          <w:rFonts w:ascii="宋体" w:hAnsi="宋体"/>
          <w:szCs w:val="21"/>
        </w:rPr>
        <w:t>植物均应保证100%的成活，如遇枯萎死亡，应及时补植</w:t>
      </w:r>
      <w:r>
        <w:rPr>
          <w:rFonts w:hint="eastAsia" w:ascii="宋体" w:hAnsi="宋体"/>
          <w:szCs w:val="21"/>
        </w:rPr>
        <w:t>。</w:t>
      </w:r>
      <w:r>
        <w:rPr>
          <w:rFonts w:ascii="宋体" w:hAnsi="宋体"/>
          <w:szCs w:val="21"/>
        </w:rPr>
        <w:t xml:space="preserve"> </w:t>
      </w:r>
    </w:p>
    <w:p>
      <w:pPr>
        <w:pStyle w:val="3"/>
        <w:keepLines w:val="0"/>
        <w:numPr>
          <w:ilvl w:val="0"/>
          <w:numId w:val="0"/>
        </w:numPr>
        <w:adjustRightInd w:val="0"/>
        <w:spacing w:before="0" w:after="0" w:line="360" w:lineRule="auto"/>
        <w:rPr>
          <w:rFonts w:ascii="宋体" w:hAnsi="宋体" w:eastAsia="宋体"/>
          <w:b w:val="0"/>
          <w:bCs/>
        </w:rPr>
      </w:pPr>
      <w:bookmarkStart w:id="4830" w:name="_Toc485630599"/>
      <w:bookmarkStart w:id="4831" w:name="_Toc485636024"/>
      <w:bookmarkStart w:id="4832" w:name="_Toc485715692"/>
      <w:bookmarkStart w:id="4833" w:name="_Toc485743389"/>
      <w:bookmarkStart w:id="4834" w:name="_Toc517382725"/>
      <w:bookmarkStart w:id="4835" w:name="_Toc518376781"/>
      <w:bookmarkStart w:id="4836" w:name="_Toc521492103"/>
      <w:bookmarkStart w:id="4837" w:name="_Toc521492960"/>
      <w:bookmarkStart w:id="4838" w:name="_Toc521493634"/>
      <w:bookmarkStart w:id="4839" w:name="_Toc106050196"/>
      <w:bookmarkStart w:id="4840" w:name="_Toc106883453"/>
      <w:r>
        <w:rPr>
          <w:rFonts w:hint="eastAsia" w:ascii="宋体" w:hAnsi="宋体" w:eastAsia="宋体"/>
          <w:b w:val="0"/>
        </w:rPr>
        <w:t xml:space="preserve">4.7 </w:t>
      </w:r>
      <w:r>
        <w:rPr>
          <w:rFonts w:ascii="宋体" w:hAnsi="宋体" w:eastAsia="宋体"/>
          <w:b w:val="0"/>
        </w:rPr>
        <w:t>计量与支付</w:t>
      </w:r>
      <w:bookmarkEnd w:id="4830"/>
      <w:bookmarkEnd w:id="4831"/>
      <w:bookmarkEnd w:id="4832"/>
      <w:bookmarkEnd w:id="4833"/>
      <w:bookmarkEnd w:id="4834"/>
      <w:bookmarkEnd w:id="4835"/>
      <w:bookmarkEnd w:id="4836"/>
      <w:bookmarkEnd w:id="4837"/>
      <w:bookmarkEnd w:id="4838"/>
      <w:bookmarkEnd w:id="4839"/>
      <w:bookmarkEnd w:id="4840"/>
    </w:p>
    <w:p>
      <w:pPr>
        <w:adjustRightInd w:val="0"/>
        <w:snapToGrid w:val="0"/>
        <w:spacing w:line="360" w:lineRule="auto"/>
        <w:ind w:firstLine="500" w:firstLineChars="200"/>
        <w:rPr>
          <w:rFonts w:ascii="宋体" w:hAnsi="宋体"/>
        </w:rPr>
      </w:pPr>
      <w:r>
        <w:rPr>
          <w:rFonts w:hint="eastAsia" w:ascii="宋体" w:hAnsi="宋体"/>
        </w:rPr>
        <w:t>详见</w:t>
      </w:r>
      <w:r>
        <w:rPr>
          <w:rFonts w:ascii="宋体" w:hAnsi="宋体"/>
        </w:rPr>
        <w:t>工程量清单。</w:t>
      </w:r>
    </w:p>
    <w:p>
      <w:pPr>
        <w:pageBreakBefore/>
        <w:widowControl/>
        <w:adjustRightInd w:val="0"/>
        <w:snapToGrid w:val="0"/>
        <w:spacing w:line="360" w:lineRule="auto"/>
        <w:outlineLvl w:val="0"/>
        <w:rPr>
          <w:rFonts w:ascii="宋体" w:hAnsi="宋体"/>
          <w:b/>
          <w:bCs/>
          <w:kern w:val="0"/>
          <w:sz w:val="28"/>
          <w:szCs w:val="28"/>
        </w:rPr>
      </w:pPr>
      <w:bookmarkStart w:id="4841" w:name="_Toc106883454"/>
      <w:bookmarkStart w:id="4842" w:name="_Toc521493175"/>
      <w:bookmarkStart w:id="4843" w:name="_Toc521492318"/>
      <w:bookmarkStart w:id="4844" w:name="_Toc521493849"/>
      <w:r>
        <w:rPr>
          <w:rFonts w:hint="eastAsia" w:ascii="宋体" w:hAnsi="宋体"/>
          <w:b/>
          <w:bCs/>
          <w:kern w:val="0"/>
          <w:sz w:val="28"/>
          <w:szCs w:val="28"/>
        </w:rPr>
        <w:t>5</w:t>
      </w:r>
      <w:r>
        <w:rPr>
          <w:rFonts w:ascii="宋体" w:hAnsi="宋体"/>
          <w:b/>
          <w:bCs/>
          <w:kern w:val="0"/>
          <w:sz w:val="28"/>
          <w:szCs w:val="28"/>
        </w:rPr>
        <w:t>给水管道工程</w:t>
      </w:r>
      <w:bookmarkEnd w:id="4841"/>
      <w:bookmarkEnd w:id="4842"/>
      <w:bookmarkEnd w:id="4843"/>
      <w:bookmarkEnd w:id="484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这部分内容包括本工程将要实施的给水管道包括钢管、球墨铸铁管、给水PE管等的施工、安装及测试等内容。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负责提所需劳动力、工程材料、附属设备、必要的配套设施、施工设备以及合同规定的各项服务，以完成管材及其它材料的采购、运输，场地准备，施工降排水（如需要），沟槽开挖及必要的支护，弃土或借土，现况地下管线或设施的调查与保护（如果需要），地基处理，下管及铺设、接口，水压试验，土方和/或要求的其它材料回填，路面破除及恢复，绿化破除及恢复、河堤破除及恢复、</w:t>
      </w:r>
      <w:r>
        <w:rPr>
          <w:rFonts w:hint="eastAsia" w:ascii="宋体" w:hAnsi="宋体"/>
          <w:kern w:val="0"/>
          <w:szCs w:val="21"/>
        </w:rPr>
        <w:t>路沿石破除与恢复、路边沟破除与恢复等以及</w:t>
      </w:r>
      <w:r>
        <w:rPr>
          <w:rFonts w:ascii="宋体" w:hAnsi="宋体"/>
          <w:kern w:val="0"/>
          <w:szCs w:val="21"/>
        </w:rPr>
        <w:t>工程完工验收后的清场、撤退人员和撤离施工设备及进行本合同规定的质量检查和验收等工作，完成合同施工图纸所示的钢管、球墨铸铁管、PE管、阀门井、排气阀井、排泥阀井等构筑物及其他附属工程的施工，达到技术规范要求，并使项目监理满意。</w:t>
      </w:r>
    </w:p>
    <w:p>
      <w:pPr>
        <w:adjustRightInd w:val="0"/>
        <w:snapToGrid w:val="0"/>
        <w:spacing w:line="360" w:lineRule="auto"/>
        <w:jc w:val="left"/>
        <w:outlineLvl w:val="2"/>
        <w:rPr>
          <w:rFonts w:ascii="宋体" w:hAnsi="宋体"/>
          <w:b/>
          <w:bCs/>
          <w:szCs w:val="20"/>
        </w:rPr>
      </w:pPr>
      <w:bookmarkStart w:id="4845" w:name="_Toc521493850"/>
      <w:bookmarkStart w:id="4846" w:name="_Toc106883455"/>
      <w:bookmarkStart w:id="4847" w:name="_Toc521492319"/>
      <w:bookmarkStart w:id="4848" w:name="_Toc521493176"/>
      <w:bookmarkStart w:id="4849" w:name="_Toc518376839"/>
      <w:bookmarkStart w:id="4850" w:name="_Toc266663077"/>
      <w:bookmarkStart w:id="4851" w:name="_Toc271232427"/>
      <w:bookmarkStart w:id="4852" w:name="_Toc518058780"/>
      <w:bookmarkStart w:id="4853" w:name="_Toc436811034"/>
      <w:r>
        <w:rPr>
          <w:rFonts w:hint="eastAsia" w:ascii="宋体" w:hAnsi="宋体"/>
          <w:b/>
          <w:bCs/>
          <w:szCs w:val="20"/>
        </w:rPr>
        <w:t>5</w:t>
      </w:r>
      <w:r>
        <w:rPr>
          <w:rFonts w:ascii="宋体" w:hAnsi="宋体"/>
          <w:b/>
          <w:bCs/>
          <w:szCs w:val="20"/>
        </w:rPr>
        <w:t>.1 管道工程的通用要求</w:t>
      </w:r>
      <w:bookmarkEnd w:id="4845"/>
      <w:bookmarkEnd w:id="4846"/>
      <w:bookmarkEnd w:id="4847"/>
      <w:bookmarkEnd w:id="4848"/>
      <w:bookmarkEnd w:id="4849"/>
      <w:bookmarkEnd w:id="4850"/>
      <w:bookmarkEnd w:id="4851"/>
      <w:bookmarkEnd w:id="4852"/>
      <w:bookmarkEnd w:id="485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管道工程应按合同中的总安排与规定进行。所提供的完善的管道工程的材料，包括所有的密封圈、垫片、螺栓接合双侧的垫圈、螺母、油脂、和其它安装所需要的部件。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管道工程的布局和设计均应便于管线的安装和便于维修与管子相连接的设备，使用被认可的机械接头和法兰连接器，可方便地拆卸管线中的任何一段。</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采用公用的输送管时，除非图纸中有规定，单独泵的输送支管应在平面上与其相接并且转角应尽量地大以少紊流。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所有的管子均应有足够支撑和固定设置，这些设置可以是带箍、拉条、系杆、混凝土管座和锻铁法兰。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当钢管和球墨铸铁管通过地下构筑物的壁和贮水构筑物的壁时，应安装止水环。除非图纸中另有规定，所有与压力容器、泵和相似设备连接的管子均应采用法兰连接。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在进行固定之前应检查所有管子的是否对准，法兰及接头是否符合要求。</w:t>
      </w:r>
    </w:p>
    <w:p>
      <w:pPr>
        <w:adjustRightInd w:val="0"/>
        <w:snapToGrid w:val="0"/>
        <w:spacing w:line="360" w:lineRule="auto"/>
        <w:outlineLvl w:val="0"/>
        <w:rPr>
          <w:rFonts w:ascii="宋体" w:hAnsi="宋体"/>
          <w:b/>
          <w:bCs/>
        </w:rPr>
      </w:pPr>
      <w:bookmarkStart w:id="4854" w:name="_Toc271232428"/>
      <w:bookmarkStart w:id="4855" w:name="_Toc266663078"/>
      <w:bookmarkStart w:id="4856" w:name="_Toc436811035"/>
      <w:bookmarkStart w:id="4857" w:name="_Toc518058781"/>
      <w:bookmarkStart w:id="4858" w:name="_Toc518376840"/>
      <w:bookmarkStart w:id="4859" w:name="_Toc521492320"/>
      <w:bookmarkStart w:id="4860" w:name="_Toc521493177"/>
      <w:bookmarkStart w:id="4861" w:name="_Toc521493851"/>
      <w:bookmarkStart w:id="4862" w:name="_Toc106883456"/>
      <w:r>
        <w:rPr>
          <w:rFonts w:hint="eastAsia" w:ascii="宋体" w:hAnsi="宋体"/>
          <w:b/>
          <w:bCs/>
        </w:rPr>
        <w:t>5</w:t>
      </w:r>
      <w:r>
        <w:rPr>
          <w:rFonts w:ascii="宋体" w:hAnsi="宋体"/>
          <w:b/>
          <w:bCs/>
        </w:rPr>
        <w:t>.2 适用标准</w:t>
      </w:r>
      <w:bookmarkEnd w:id="4854"/>
      <w:bookmarkEnd w:id="4855"/>
      <w:bookmarkEnd w:id="4856"/>
      <w:bookmarkEnd w:id="4857"/>
      <w:bookmarkEnd w:id="4858"/>
      <w:bookmarkEnd w:id="4859"/>
      <w:bookmarkEnd w:id="4860"/>
      <w:bookmarkEnd w:id="4861"/>
      <w:bookmarkEnd w:id="4862"/>
    </w:p>
    <w:p>
      <w:pPr>
        <w:adjustRightInd w:val="0"/>
        <w:snapToGrid w:val="0"/>
        <w:spacing w:line="360" w:lineRule="auto"/>
        <w:ind w:firstLine="500" w:firstLineChars="200"/>
        <w:textAlignment w:val="baseline"/>
        <w:rPr>
          <w:rFonts w:ascii="宋体" w:hAnsi="宋体"/>
          <w:kern w:val="0"/>
          <w:szCs w:val="21"/>
        </w:rPr>
      </w:pPr>
      <w:bookmarkStart w:id="4863" w:name="_Toc16242445"/>
      <w:bookmarkStart w:id="4864" w:name="_Toc202671037"/>
      <w:r>
        <w:rPr>
          <w:rFonts w:ascii="宋体" w:hAnsi="宋体"/>
          <w:kern w:val="0"/>
          <w:szCs w:val="21"/>
        </w:rPr>
        <w:t>本工程采用符合《室外排水设计规范》（GB50014—2006）（201</w:t>
      </w:r>
      <w:r>
        <w:rPr>
          <w:rFonts w:hint="eastAsia" w:ascii="宋体" w:hAnsi="宋体"/>
          <w:kern w:val="0"/>
          <w:szCs w:val="21"/>
        </w:rPr>
        <w:t>6</w:t>
      </w:r>
      <w:r>
        <w:rPr>
          <w:rFonts w:ascii="宋体" w:hAnsi="宋体"/>
          <w:kern w:val="0"/>
          <w:szCs w:val="21"/>
        </w:rPr>
        <w:t>版）、《室外给水设计规范》（GB50013—2006）、《给水排水管道工程施工验收规范》（GB50268—2008）等规定的管材，管道连接材料等必须符合国家现行的有关产品标准，并具有产品出厂合格证等有效证明文件。</w:t>
      </w:r>
    </w:p>
    <w:p>
      <w:pPr>
        <w:adjustRightInd w:val="0"/>
        <w:snapToGrid w:val="0"/>
        <w:spacing w:line="360" w:lineRule="auto"/>
        <w:jc w:val="left"/>
        <w:outlineLvl w:val="2"/>
        <w:rPr>
          <w:rFonts w:ascii="宋体" w:hAnsi="宋体"/>
          <w:b/>
          <w:bCs/>
          <w:szCs w:val="20"/>
        </w:rPr>
      </w:pPr>
      <w:bookmarkStart w:id="4865" w:name="_Toc266663079"/>
      <w:bookmarkStart w:id="4866" w:name="_Toc271232429"/>
      <w:bookmarkStart w:id="4867" w:name="_Toc436811036"/>
      <w:bookmarkStart w:id="4868" w:name="_Toc518058782"/>
      <w:bookmarkStart w:id="4869" w:name="_Toc518376841"/>
      <w:bookmarkStart w:id="4870" w:name="_Toc521492321"/>
      <w:bookmarkStart w:id="4871" w:name="_Toc521493178"/>
      <w:bookmarkStart w:id="4872" w:name="_Toc521493852"/>
      <w:bookmarkStart w:id="4873" w:name="_Toc106883457"/>
      <w:r>
        <w:rPr>
          <w:rFonts w:hint="eastAsia" w:ascii="宋体" w:hAnsi="宋体"/>
          <w:b/>
          <w:bCs/>
          <w:szCs w:val="20"/>
        </w:rPr>
        <w:t>5</w:t>
      </w:r>
      <w:r>
        <w:rPr>
          <w:rFonts w:ascii="宋体" w:hAnsi="宋体"/>
          <w:b/>
          <w:bCs/>
          <w:szCs w:val="20"/>
        </w:rPr>
        <w:t>.2.1材料标准</w:t>
      </w:r>
      <w:bookmarkEnd w:id="4863"/>
      <w:bookmarkEnd w:id="4864"/>
      <w:bookmarkEnd w:id="4865"/>
      <w:bookmarkEnd w:id="4866"/>
      <w:bookmarkEnd w:id="4867"/>
      <w:bookmarkEnd w:id="4868"/>
      <w:bookmarkEnd w:id="4869"/>
      <w:bookmarkEnd w:id="4870"/>
      <w:bookmarkEnd w:id="4871"/>
      <w:bookmarkEnd w:id="4872"/>
      <w:bookmarkEnd w:id="487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供水用聚乙烯管材规范                             GB/T 13663-2000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水及燃气管道用球墨铸铁管、管件和附件              GB/T 13295-2008</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热轧钢板和钢带的尺寸、外形、重量及允许偏差          GB/T 709-2006</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结构用无缝钢管                                    GB/T 8162-1999</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各管材生产厂家制定的企业标准</w:t>
      </w:r>
    </w:p>
    <w:p>
      <w:pPr>
        <w:adjustRightInd w:val="0"/>
        <w:snapToGrid w:val="0"/>
        <w:spacing w:line="360" w:lineRule="auto"/>
        <w:jc w:val="left"/>
        <w:outlineLvl w:val="2"/>
        <w:rPr>
          <w:rFonts w:ascii="宋体" w:hAnsi="宋体"/>
          <w:b/>
          <w:bCs/>
          <w:szCs w:val="20"/>
        </w:rPr>
      </w:pPr>
      <w:bookmarkStart w:id="4874" w:name="_Toc521493179"/>
      <w:bookmarkStart w:id="4875" w:name="_Toc521493853"/>
      <w:bookmarkStart w:id="4876" w:name="_Toc106883458"/>
      <w:bookmarkStart w:id="4877" w:name="_Toc16242446"/>
      <w:bookmarkStart w:id="4878" w:name="_Toc202671038"/>
      <w:bookmarkStart w:id="4879" w:name="_Toc266663080"/>
      <w:bookmarkStart w:id="4880" w:name="_Toc271232430"/>
      <w:bookmarkStart w:id="4881" w:name="_Toc436811037"/>
      <w:bookmarkStart w:id="4882" w:name="_Toc518058783"/>
      <w:bookmarkStart w:id="4883" w:name="_Toc518376842"/>
      <w:bookmarkStart w:id="4884" w:name="_Toc521492322"/>
      <w:r>
        <w:rPr>
          <w:rFonts w:hint="eastAsia" w:ascii="宋体" w:hAnsi="宋体"/>
          <w:b/>
          <w:bCs/>
          <w:szCs w:val="20"/>
        </w:rPr>
        <w:t>5</w:t>
      </w:r>
      <w:r>
        <w:rPr>
          <w:rFonts w:ascii="宋体" w:hAnsi="宋体"/>
          <w:b/>
          <w:bCs/>
          <w:szCs w:val="20"/>
        </w:rPr>
        <w:t>.2.2施工及验收规范</w:t>
      </w:r>
      <w:bookmarkEnd w:id="4874"/>
      <w:bookmarkEnd w:id="4875"/>
      <w:bookmarkEnd w:id="4876"/>
      <w:bookmarkEnd w:id="4877"/>
      <w:bookmarkEnd w:id="4878"/>
      <w:bookmarkEnd w:id="4879"/>
      <w:bookmarkEnd w:id="4880"/>
      <w:bookmarkEnd w:id="4881"/>
      <w:bookmarkEnd w:id="4882"/>
      <w:bookmarkEnd w:id="4883"/>
      <w:bookmarkEnd w:id="488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给水排水管道工程施工及验收规范</w:t>
      </w:r>
      <w:r>
        <w:rPr>
          <w:rFonts w:hint="eastAsia" w:ascii="宋体" w:hAnsi="宋体"/>
          <w:kern w:val="0"/>
          <w:szCs w:val="21"/>
        </w:rPr>
        <w:t xml:space="preserve">                  </w:t>
      </w:r>
      <w:r>
        <w:rPr>
          <w:rFonts w:ascii="宋体" w:hAnsi="宋体"/>
          <w:kern w:val="0"/>
          <w:szCs w:val="21"/>
        </w:rPr>
        <w:t xml:space="preserve"> GB50268-2008</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 xml:space="preserve">工业金属管道工程施工规范                      </w:t>
      </w:r>
      <w:r>
        <w:rPr>
          <w:rFonts w:ascii="宋体" w:hAnsi="宋体"/>
          <w:kern w:val="0"/>
          <w:szCs w:val="21"/>
        </w:rPr>
        <w:tab/>
      </w:r>
      <w:r>
        <w:rPr>
          <w:rFonts w:ascii="宋体" w:hAnsi="宋体"/>
          <w:kern w:val="0"/>
          <w:szCs w:val="21"/>
        </w:rPr>
        <w:tab/>
      </w:r>
      <w:r>
        <w:rPr>
          <w:rFonts w:ascii="宋体" w:hAnsi="宋体"/>
          <w:kern w:val="0"/>
          <w:szCs w:val="21"/>
        </w:rPr>
        <w:t>GB50235-2010</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工业金属管道工程施工质量验收规范</w:t>
      </w:r>
      <w:r>
        <w:rPr>
          <w:rFonts w:ascii="宋体" w:hAnsi="宋体"/>
          <w:kern w:val="0"/>
          <w:szCs w:val="21"/>
        </w:rPr>
        <w:tab/>
      </w:r>
      <w:r>
        <w:rPr>
          <w:rFonts w:ascii="宋体" w:hAnsi="宋体"/>
          <w:kern w:val="0"/>
          <w:szCs w:val="21"/>
        </w:rPr>
        <w:tab/>
      </w:r>
      <w:r>
        <w:rPr>
          <w:rFonts w:ascii="宋体" w:hAnsi="宋体"/>
          <w:kern w:val="0"/>
          <w:szCs w:val="21"/>
        </w:rPr>
        <w:tab/>
      </w:r>
      <w:r>
        <w:rPr>
          <w:rFonts w:ascii="宋体" w:hAnsi="宋体"/>
          <w:kern w:val="0"/>
          <w:szCs w:val="21"/>
        </w:rPr>
        <w:tab/>
      </w:r>
      <w:r>
        <w:rPr>
          <w:rFonts w:ascii="宋体" w:hAnsi="宋体"/>
          <w:kern w:val="0"/>
          <w:szCs w:val="21"/>
        </w:rPr>
        <w:tab/>
      </w:r>
      <w:r>
        <w:rPr>
          <w:rFonts w:ascii="宋体" w:hAnsi="宋体"/>
          <w:kern w:val="0"/>
          <w:szCs w:val="21"/>
        </w:rPr>
        <w:tab/>
      </w:r>
      <w:r>
        <w:rPr>
          <w:rFonts w:ascii="宋体" w:hAnsi="宋体"/>
          <w:kern w:val="0"/>
          <w:szCs w:val="21"/>
        </w:rPr>
        <w:t>GB50184-2011</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 xml:space="preserve">现场设备、工业管道焊接工程施工规范            </w:t>
      </w:r>
      <w:r>
        <w:rPr>
          <w:rFonts w:ascii="宋体" w:hAnsi="宋体"/>
          <w:kern w:val="0"/>
          <w:szCs w:val="21"/>
        </w:rPr>
        <w:tab/>
      </w:r>
      <w:r>
        <w:rPr>
          <w:rFonts w:ascii="宋体" w:hAnsi="宋体"/>
          <w:kern w:val="0"/>
          <w:szCs w:val="21"/>
        </w:rPr>
        <w:tab/>
      </w:r>
      <w:r>
        <w:rPr>
          <w:rFonts w:ascii="宋体" w:hAnsi="宋体"/>
          <w:kern w:val="0"/>
          <w:szCs w:val="21"/>
        </w:rPr>
        <w:t>GB50236-2011</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 xml:space="preserve">涂装前钢材表面处理规范  </w:t>
      </w:r>
      <w:r>
        <w:rPr>
          <w:rFonts w:hint="eastAsia" w:ascii="宋体" w:hAnsi="宋体"/>
          <w:kern w:val="0"/>
          <w:szCs w:val="21"/>
        </w:rPr>
        <w:t xml:space="preserve">                          </w:t>
      </w:r>
      <w:r>
        <w:rPr>
          <w:rFonts w:ascii="宋体" w:hAnsi="宋体"/>
          <w:kern w:val="0"/>
          <w:szCs w:val="21"/>
        </w:rPr>
        <w:t>SY/T0407-97</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 xml:space="preserve">埋地聚乙烯给水管道工程技术规程 </w:t>
      </w:r>
      <w:r>
        <w:rPr>
          <w:rFonts w:hint="eastAsia" w:ascii="宋体" w:hAnsi="宋体"/>
          <w:kern w:val="0"/>
          <w:szCs w:val="21"/>
        </w:rPr>
        <w:t xml:space="preserve">                   </w:t>
      </w:r>
      <w:r>
        <w:rPr>
          <w:rFonts w:ascii="宋体" w:hAnsi="宋体"/>
          <w:kern w:val="0"/>
          <w:szCs w:val="21"/>
        </w:rPr>
        <w:t>CJJ101-2004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埋地硬聚氯乙烯排水管道工程技术规程                CECS122：2001</w:t>
      </w:r>
    </w:p>
    <w:p>
      <w:pPr>
        <w:adjustRightInd w:val="0"/>
        <w:snapToGrid w:val="0"/>
        <w:spacing w:line="360" w:lineRule="auto"/>
        <w:ind w:firstLine="500" w:firstLineChars="200"/>
        <w:textAlignment w:val="baseline"/>
        <w:rPr>
          <w:rFonts w:ascii="宋体" w:hAnsi="宋体"/>
          <w:kern w:val="0"/>
          <w:szCs w:val="21"/>
        </w:rPr>
      </w:pPr>
      <w:bookmarkStart w:id="4885" w:name="_Toc266663081"/>
      <w:bookmarkStart w:id="4886" w:name="_Toc436811038"/>
      <w:bookmarkStart w:id="4887" w:name="_Toc271232431"/>
      <w:r>
        <w:rPr>
          <w:rFonts w:ascii="宋体" w:hAnsi="宋体"/>
          <w:kern w:val="0"/>
          <w:szCs w:val="21"/>
        </w:rPr>
        <w:t>所应用的</w:t>
      </w:r>
      <w:r>
        <w:rPr>
          <w:rFonts w:hint="eastAsia" w:ascii="宋体" w:hAnsi="宋体"/>
          <w:kern w:val="0"/>
          <w:szCs w:val="21"/>
        </w:rPr>
        <w:t>规范、标准</w:t>
      </w:r>
      <w:r>
        <w:rPr>
          <w:rFonts w:ascii="宋体" w:hAnsi="宋体"/>
          <w:kern w:val="0"/>
          <w:szCs w:val="21"/>
        </w:rPr>
        <w:t>应是最新的且已实施的版本，必须在本招标截止日期之前28天尚在通用的版本。</w:t>
      </w:r>
    </w:p>
    <w:p>
      <w:pPr>
        <w:adjustRightInd w:val="0"/>
        <w:snapToGrid w:val="0"/>
        <w:spacing w:line="360" w:lineRule="auto"/>
        <w:outlineLvl w:val="0"/>
        <w:rPr>
          <w:rFonts w:ascii="宋体" w:hAnsi="宋体"/>
          <w:b/>
          <w:bCs/>
        </w:rPr>
      </w:pPr>
      <w:bookmarkStart w:id="4888" w:name="_Toc518058784"/>
      <w:bookmarkStart w:id="4889" w:name="_Toc518376843"/>
      <w:bookmarkStart w:id="4890" w:name="_Toc521492323"/>
      <w:bookmarkStart w:id="4891" w:name="_Toc521493180"/>
      <w:bookmarkStart w:id="4892" w:name="_Toc521493854"/>
      <w:bookmarkStart w:id="4893" w:name="_Toc106883459"/>
      <w:r>
        <w:rPr>
          <w:rFonts w:hint="eastAsia" w:ascii="宋体" w:hAnsi="宋体"/>
          <w:b/>
          <w:bCs/>
        </w:rPr>
        <w:t>5</w:t>
      </w:r>
      <w:r>
        <w:rPr>
          <w:rFonts w:ascii="宋体" w:hAnsi="宋体"/>
          <w:b/>
          <w:bCs/>
        </w:rPr>
        <w:t>.3 承包商应提交的文件</w:t>
      </w:r>
      <w:bookmarkEnd w:id="4885"/>
      <w:bookmarkEnd w:id="4886"/>
      <w:bookmarkEnd w:id="4887"/>
      <w:bookmarkEnd w:id="4888"/>
      <w:bookmarkEnd w:id="4889"/>
      <w:bookmarkEnd w:id="4890"/>
      <w:bookmarkEnd w:id="4891"/>
      <w:bookmarkEnd w:id="4892"/>
      <w:bookmarkEnd w:id="4893"/>
    </w:p>
    <w:p>
      <w:pPr>
        <w:adjustRightInd w:val="0"/>
        <w:snapToGrid w:val="0"/>
        <w:spacing w:line="360" w:lineRule="auto"/>
        <w:jc w:val="left"/>
        <w:outlineLvl w:val="0"/>
        <w:rPr>
          <w:rFonts w:ascii="宋体" w:hAnsi="宋体"/>
          <w:b/>
          <w:bCs/>
          <w:szCs w:val="20"/>
        </w:rPr>
      </w:pPr>
      <w:bookmarkStart w:id="4894" w:name="_Toc266663082"/>
      <w:bookmarkStart w:id="4895" w:name="_Toc271232432"/>
      <w:bookmarkStart w:id="4896" w:name="_Toc436811039"/>
      <w:bookmarkStart w:id="4897" w:name="_Toc518058785"/>
      <w:bookmarkStart w:id="4898" w:name="_Toc518376844"/>
      <w:bookmarkStart w:id="4899" w:name="_Toc521492324"/>
      <w:bookmarkStart w:id="4900" w:name="_Toc521493181"/>
      <w:bookmarkStart w:id="4901" w:name="_Toc521493855"/>
      <w:bookmarkStart w:id="4902" w:name="_Toc106883460"/>
      <w:r>
        <w:rPr>
          <w:rFonts w:hint="eastAsia" w:ascii="宋体" w:hAnsi="宋体"/>
          <w:b/>
          <w:bCs/>
          <w:szCs w:val="20"/>
        </w:rPr>
        <w:t>5</w:t>
      </w:r>
      <w:r>
        <w:rPr>
          <w:rFonts w:ascii="宋体" w:hAnsi="宋体"/>
          <w:b/>
          <w:bCs/>
          <w:szCs w:val="20"/>
        </w:rPr>
        <w:t>.3.1 资料</w:t>
      </w:r>
      <w:bookmarkEnd w:id="4894"/>
      <w:bookmarkEnd w:id="4895"/>
      <w:bookmarkEnd w:id="4896"/>
      <w:bookmarkEnd w:id="4897"/>
      <w:bookmarkEnd w:id="4898"/>
      <w:bookmarkEnd w:id="4899"/>
      <w:bookmarkEnd w:id="4900"/>
      <w:bookmarkEnd w:id="4901"/>
      <w:bookmarkEnd w:id="490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各种管道及接头的详细资料，包括制造厂的材料及产品说明书和样本，管道配件接头和焊接材料的性质、厚度和润滑；</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施工处现有地上、地下管道的分布详细调查报告；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供应商为承包商提供的各种管道及其管件、建筑材料、消火栓、各种阀门的产品样本和说明；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工程施工地段的地质钻探报告和工程细节的说明；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管道安装的工序细节和具体措施；</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深基坑开挖支护方案，（专家审查版）；</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安装时管道高程的控制方法。</w:t>
      </w:r>
    </w:p>
    <w:p>
      <w:pPr>
        <w:adjustRightInd w:val="0"/>
        <w:snapToGrid w:val="0"/>
        <w:spacing w:line="360" w:lineRule="auto"/>
        <w:jc w:val="left"/>
        <w:outlineLvl w:val="0"/>
        <w:rPr>
          <w:rFonts w:ascii="宋体" w:hAnsi="宋体"/>
          <w:b/>
          <w:bCs/>
          <w:szCs w:val="20"/>
        </w:rPr>
      </w:pPr>
      <w:bookmarkStart w:id="4903" w:name="_Toc266663083"/>
      <w:bookmarkStart w:id="4904" w:name="_Toc271232433"/>
      <w:bookmarkStart w:id="4905" w:name="_Toc436811040"/>
      <w:bookmarkStart w:id="4906" w:name="_Toc518058786"/>
      <w:bookmarkStart w:id="4907" w:name="_Toc518376845"/>
      <w:bookmarkStart w:id="4908" w:name="_Toc521492325"/>
      <w:bookmarkStart w:id="4909" w:name="_Toc521493182"/>
      <w:bookmarkStart w:id="4910" w:name="_Toc521493856"/>
      <w:bookmarkStart w:id="4911" w:name="_Toc106883461"/>
      <w:r>
        <w:rPr>
          <w:rFonts w:hint="eastAsia" w:ascii="宋体" w:hAnsi="宋体"/>
          <w:b/>
          <w:bCs/>
          <w:szCs w:val="20"/>
        </w:rPr>
        <w:t>5</w:t>
      </w:r>
      <w:r>
        <w:rPr>
          <w:rFonts w:ascii="宋体" w:hAnsi="宋体"/>
          <w:b/>
          <w:bCs/>
          <w:szCs w:val="20"/>
        </w:rPr>
        <w:t>.3.2 应保存的记录</w:t>
      </w:r>
      <w:bookmarkEnd w:id="4903"/>
      <w:bookmarkEnd w:id="4904"/>
      <w:bookmarkEnd w:id="4905"/>
      <w:bookmarkEnd w:id="4906"/>
      <w:bookmarkEnd w:id="4907"/>
      <w:bookmarkEnd w:id="4908"/>
      <w:bookmarkEnd w:id="4909"/>
      <w:bookmarkEnd w:id="4910"/>
      <w:bookmarkEnd w:id="491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承包商应保存和向项目监理提供所有的管道材料、接口材料和配件记录，以及管材和配件供应、检验、安装方面详细的和最新的记录，并应指出每种管材的数量、尺寸和等级，包括以下内容：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工程进行过程中的定货记录；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工程进行过程中的交货记录；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交货时发现损坏的缺陷的申报记录；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工程进行过程中的损失和遗失记录；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承包商应将上述记录文件的最新复印件提交项目监理。</w:t>
      </w:r>
    </w:p>
    <w:p>
      <w:pPr>
        <w:adjustRightInd w:val="0"/>
        <w:snapToGrid w:val="0"/>
        <w:spacing w:line="360" w:lineRule="auto"/>
        <w:jc w:val="left"/>
        <w:outlineLvl w:val="2"/>
        <w:rPr>
          <w:rFonts w:ascii="宋体" w:hAnsi="宋体"/>
          <w:b/>
          <w:bCs/>
          <w:szCs w:val="20"/>
        </w:rPr>
      </w:pPr>
      <w:bookmarkStart w:id="4912" w:name="_Toc518058787"/>
      <w:bookmarkStart w:id="4913" w:name="_Toc518376846"/>
      <w:bookmarkStart w:id="4914" w:name="_Toc266663084"/>
      <w:bookmarkStart w:id="4915" w:name="_Toc271232434"/>
      <w:bookmarkStart w:id="4916" w:name="_Toc436811041"/>
      <w:bookmarkStart w:id="4917" w:name="_Toc521493857"/>
      <w:bookmarkStart w:id="4918" w:name="_Toc521493183"/>
      <w:bookmarkStart w:id="4919" w:name="_Toc106883462"/>
      <w:bookmarkStart w:id="4920" w:name="_Toc521492326"/>
      <w:r>
        <w:rPr>
          <w:rFonts w:hint="eastAsia" w:ascii="宋体" w:hAnsi="宋体"/>
          <w:b/>
          <w:bCs/>
          <w:szCs w:val="20"/>
        </w:rPr>
        <w:t>5.3.</w:t>
      </w:r>
      <w:r>
        <w:rPr>
          <w:rFonts w:ascii="宋体" w:hAnsi="宋体"/>
          <w:b/>
          <w:bCs/>
          <w:szCs w:val="20"/>
        </w:rPr>
        <w:t>3 试验证书</w:t>
      </w:r>
      <w:bookmarkEnd w:id="4912"/>
      <w:bookmarkEnd w:id="4913"/>
      <w:bookmarkEnd w:id="4914"/>
      <w:bookmarkEnd w:id="4915"/>
      <w:bookmarkEnd w:id="4916"/>
      <w:bookmarkEnd w:id="4917"/>
      <w:bookmarkEnd w:id="4918"/>
      <w:bookmarkEnd w:id="4919"/>
      <w:bookmarkEnd w:id="492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在发货前承包商应向项目监理提交制造商的证书，以示管道和配件已作试验，并符合有关的标准。</w:t>
      </w:r>
    </w:p>
    <w:p>
      <w:pPr>
        <w:adjustRightInd w:val="0"/>
        <w:snapToGrid w:val="0"/>
        <w:spacing w:line="360" w:lineRule="auto"/>
        <w:jc w:val="left"/>
        <w:outlineLvl w:val="0"/>
        <w:rPr>
          <w:rFonts w:ascii="宋体" w:hAnsi="宋体"/>
          <w:b/>
          <w:bCs/>
          <w:szCs w:val="20"/>
        </w:rPr>
      </w:pPr>
      <w:bookmarkStart w:id="4921" w:name="_Toc266663085"/>
      <w:bookmarkStart w:id="4922" w:name="_Toc271232435"/>
      <w:bookmarkStart w:id="4923" w:name="_Toc436811042"/>
      <w:bookmarkStart w:id="4924" w:name="_Toc518058788"/>
      <w:bookmarkStart w:id="4925" w:name="_Toc518376847"/>
      <w:bookmarkStart w:id="4926" w:name="_Toc521492327"/>
      <w:bookmarkStart w:id="4927" w:name="_Toc521493184"/>
      <w:bookmarkStart w:id="4928" w:name="_Toc521493858"/>
      <w:bookmarkStart w:id="4929" w:name="_Toc106883463"/>
      <w:r>
        <w:rPr>
          <w:rFonts w:hint="eastAsia" w:ascii="宋体" w:hAnsi="宋体"/>
          <w:b/>
          <w:bCs/>
          <w:szCs w:val="20"/>
        </w:rPr>
        <w:t>5.3.</w:t>
      </w:r>
      <w:r>
        <w:rPr>
          <w:rFonts w:ascii="宋体" w:hAnsi="宋体"/>
          <w:b/>
          <w:bCs/>
          <w:szCs w:val="20"/>
        </w:rPr>
        <w:t>4 材料合格证</w:t>
      </w:r>
      <w:bookmarkEnd w:id="4921"/>
      <w:bookmarkEnd w:id="4922"/>
      <w:bookmarkEnd w:id="4923"/>
      <w:bookmarkEnd w:id="4924"/>
      <w:bookmarkEnd w:id="4925"/>
      <w:bookmarkEnd w:id="4926"/>
      <w:bookmarkEnd w:id="4927"/>
      <w:bookmarkEnd w:id="4928"/>
      <w:bookmarkEnd w:id="492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各种规格、类型的管道、混凝土及砂浆用水泥、砂、石、钢筋的产品合格证书，这些材料的试验和检验等均符合相应的技术标准和本技术规范的有关条款，并提交项目监理审批。</w:t>
      </w:r>
    </w:p>
    <w:p>
      <w:pPr>
        <w:adjustRightInd w:val="0"/>
        <w:snapToGrid w:val="0"/>
        <w:spacing w:line="360" w:lineRule="auto"/>
        <w:jc w:val="left"/>
        <w:outlineLvl w:val="0"/>
        <w:rPr>
          <w:rFonts w:ascii="宋体" w:hAnsi="宋体"/>
          <w:b/>
          <w:bCs/>
          <w:szCs w:val="20"/>
        </w:rPr>
      </w:pPr>
      <w:bookmarkStart w:id="4930" w:name="_Toc266663086"/>
      <w:bookmarkStart w:id="4931" w:name="_Toc271232436"/>
      <w:bookmarkStart w:id="4932" w:name="_Toc436811043"/>
      <w:bookmarkStart w:id="4933" w:name="_Toc518058789"/>
      <w:bookmarkStart w:id="4934" w:name="_Toc518376848"/>
      <w:bookmarkStart w:id="4935" w:name="_Toc521492328"/>
      <w:bookmarkStart w:id="4936" w:name="_Toc521493185"/>
      <w:bookmarkStart w:id="4937" w:name="_Toc521493859"/>
      <w:bookmarkStart w:id="4938" w:name="_Toc106883464"/>
      <w:r>
        <w:rPr>
          <w:rFonts w:ascii="宋体" w:hAnsi="宋体"/>
          <w:b/>
          <w:bCs/>
          <w:szCs w:val="20"/>
        </w:rPr>
        <w:t>5.3.5 制造商</w:t>
      </w:r>
      <w:bookmarkEnd w:id="4930"/>
      <w:bookmarkEnd w:id="4931"/>
      <w:bookmarkEnd w:id="4932"/>
      <w:bookmarkEnd w:id="4933"/>
      <w:bookmarkEnd w:id="4934"/>
      <w:bookmarkEnd w:id="4935"/>
      <w:bookmarkEnd w:id="4936"/>
      <w:bookmarkEnd w:id="4937"/>
      <w:bookmarkEnd w:id="4938"/>
    </w:p>
    <w:p>
      <w:pPr>
        <w:spacing w:line="360" w:lineRule="auto"/>
        <w:outlineLvl w:val="0"/>
        <w:rPr>
          <w:rFonts w:ascii="宋体" w:hAnsi="宋体"/>
        </w:rPr>
      </w:pPr>
      <w:bookmarkStart w:id="4939" w:name="_Toc271232437"/>
      <w:bookmarkStart w:id="4940" w:name="_Toc353976580"/>
      <w:bookmarkStart w:id="4941" w:name="_Toc106050208"/>
      <w:bookmarkStart w:id="4942" w:name="_Toc106883465"/>
      <w:r>
        <w:rPr>
          <w:rFonts w:ascii="宋体" w:hAnsi="宋体"/>
        </w:rPr>
        <w:t>5.3.5.1 供应</w:t>
      </w:r>
      <w:bookmarkEnd w:id="4939"/>
      <w:bookmarkEnd w:id="4940"/>
      <w:bookmarkEnd w:id="4941"/>
      <w:bookmarkEnd w:id="494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本工程所采用的各种管道均应由具有生产此类管道经验的厂家来生产，并尽可能同一管材由同一制造厂家来生产。</w:t>
      </w:r>
    </w:p>
    <w:p>
      <w:pPr>
        <w:spacing w:line="360" w:lineRule="auto"/>
        <w:outlineLvl w:val="0"/>
        <w:rPr>
          <w:rFonts w:ascii="宋体" w:hAnsi="宋体"/>
        </w:rPr>
      </w:pPr>
      <w:bookmarkStart w:id="4943" w:name="_Toc353976581"/>
      <w:bookmarkStart w:id="4944" w:name="_Toc271232438"/>
      <w:bookmarkStart w:id="4945" w:name="_Toc106050209"/>
      <w:bookmarkStart w:id="4946" w:name="_Toc106883466"/>
      <w:r>
        <w:rPr>
          <w:rFonts w:ascii="宋体" w:hAnsi="宋体"/>
        </w:rPr>
        <w:t>5.3.5.2 小册子</w:t>
      </w:r>
      <w:bookmarkEnd w:id="4943"/>
      <w:bookmarkEnd w:id="4944"/>
      <w:bookmarkEnd w:id="4945"/>
      <w:bookmarkEnd w:id="494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制造商应准备好一定数量的小册子，并提供给项目监理和承包商，这些小册子应包括管道的储存、运输、安装的全部资料及相关的指示、检验、供应的零件和接头等。</w:t>
      </w:r>
    </w:p>
    <w:p>
      <w:pPr>
        <w:spacing w:line="360" w:lineRule="auto"/>
        <w:outlineLvl w:val="0"/>
        <w:rPr>
          <w:rFonts w:ascii="宋体" w:hAnsi="宋体"/>
        </w:rPr>
      </w:pPr>
      <w:bookmarkStart w:id="4947" w:name="_Toc271232439"/>
      <w:bookmarkStart w:id="4948" w:name="_Toc353976582"/>
      <w:bookmarkStart w:id="4949" w:name="_Toc106050210"/>
      <w:bookmarkStart w:id="4950" w:name="_Toc106883467"/>
      <w:r>
        <w:rPr>
          <w:rFonts w:ascii="宋体" w:hAnsi="宋体"/>
        </w:rPr>
        <w:t>5.3.5.3 现场负责人</w:t>
      </w:r>
      <w:bookmarkEnd w:id="4947"/>
      <w:bookmarkEnd w:id="4948"/>
      <w:bookmarkEnd w:id="4949"/>
      <w:bookmarkEnd w:id="495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商在每种规格、型式的管道开始安装时，应提供一名能胜任的现场负责人来指导承包商进行安装和检验全过程，在每种型号管道开始安装之前，现场负责人、项目监理和承包商应按后述规定检查每次运来管道的质量，并检查其尺寸误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现场负责人应按工程进度定期查看情况，并参与必要的管道闭水试验和试压</w:t>
      </w:r>
    </w:p>
    <w:p>
      <w:pPr>
        <w:spacing w:line="360" w:lineRule="auto"/>
        <w:outlineLvl w:val="0"/>
        <w:rPr>
          <w:rFonts w:ascii="宋体" w:hAnsi="宋体"/>
        </w:rPr>
      </w:pPr>
      <w:bookmarkStart w:id="4951" w:name="_Toc353976583"/>
      <w:bookmarkStart w:id="4952" w:name="_Toc106050211"/>
      <w:bookmarkStart w:id="4953" w:name="_Toc271232440"/>
      <w:bookmarkStart w:id="4954" w:name="_Toc106883468"/>
      <w:r>
        <w:rPr>
          <w:rFonts w:ascii="宋体" w:hAnsi="宋体"/>
        </w:rPr>
        <w:t>5.3.5.4 量规</w:t>
      </w:r>
      <w:bookmarkEnd w:id="4951"/>
      <w:bookmarkEnd w:id="4952"/>
      <w:bookmarkEnd w:id="4953"/>
      <w:bookmarkEnd w:id="495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制造商还应提供项目监理所需的检验设备，以满足规范的要求和检查过程中的需要。</w:t>
      </w:r>
    </w:p>
    <w:p>
      <w:pPr>
        <w:adjustRightInd w:val="0"/>
        <w:snapToGrid w:val="0"/>
        <w:spacing w:line="360" w:lineRule="auto"/>
        <w:outlineLvl w:val="0"/>
        <w:rPr>
          <w:rFonts w:ascii="宋体" w:hAnsi="宋体"/>
          <w:b/>
          <w:bCs/>
        </w:rPr>
      </w:pPr>
      <w:bookmarkStart w:id="4955" w:name="_Toc266663087"/>
      <w:bookmarkStart w:id="4956" w:name="_Toc271232441"/>
      <w:bookmarkStart w:id="4957" w:name="_Toc436811044"/>
      <w:bookmarkStart w:id="4958" w:name="_Toc518058790"/>
      <w:bookmarkStart w:id="4959" w:name="_Toc518376849"/>
      <w:bookmarkStart w:id="4960" w:name="_Toc521492329"/>
      <w:bookmarkStart w:id="4961" w:name="_Toc521493186"/>
      <w:bookmarkStart w:id="4962" w:name="_Toc521493860"/>
      <w:bookmarkStart w:id="4963" w:name="_Toc106883469"/>
      <w:r>
        <w:rPr>
          <w:rFonts w:hint="eastAsia" w:ascii="宋体" w:hAnsi="宋体"/>
          <w:b/>
          <w:bCs/>
        </w:rPr>
        <w:t>5</w:t>
      </w:r>
      <w:r>
        <w:rPr>
          <w:rFonts w:ascii="宋体" w:hAnsi="宋体"/>
          <w:b/>
          <w:bCs/>
        </w:rPr>
        <w:t>.4 检查</w:t>
      </w:r>
      <w:bookmarkEnd w:id="4955"/>
      <w:bookmarkEnd w:id="4956"/>
      <w:bookmarkEnd w:id="4957"/>
      <w:bookmarkEnd w:id="4958"/>
      <w:bookmarkEnd w:id="4959"/>
      <w:bookmarkEnd w:id="4960"/>
      <w:bookmarkEnd w:id="4961"/>
      <w:bookmarkEnd w:id="4962"/>
      <w:bookmarkEnd w:id="4963"/>
    </w:p>
    <w:p>
      <w:pPr>
        <w:adjustRightInd w:val="0"/>
        <w:snapToGrid w:val="0"/>
        <w:spacing w:line="360" w:lineRule="auto"/>
        <w:jc w:val="left"/>
        <w:outlineLvl w:val="0"/>
        <w:rPr>
          <w:rFonts w:ascii="宋体" w:hAnsi="宋体"/>
          <w:b/>
          <w:bCs/>
          <w:szCs w:val="20"/>
        </w:rPr>
      </w:pPr>
      <w:bookmarkStart w:id="4964" w:name="_Toc266663088"/>
      <w:bookmarkStart w:id="4965" w:name="_Toc271232442"/>
      <w:bookmarkStart w:id="4966" w:name="_Toc436811045"/>
      <w:bookmarkStart w:id="4967" w:name="_Toc518058791"/>
      <w:bookmarkStart w:id="4968" w:name="_Toc518376850"/>
      <w:bookmarkStart w:id="4969" w:name="_Toc521492330"/>
      <w:bookmarkStart w:id="4970" w:name="_Toc521493187"/>
      <w:bookmarkStart w:id="4971" w:name="_Toc521493861"/>
      <w:bookmarkStart w:id="4972" w:name="_Toc106883470"/>
      <w:r>
        <w:rPr>
          <w:rFonts w:hint="eastAsia" w:ascii="宋体" w:hAnsi="宋体"/>
          <w:b/>
          <w:bCs/>
          <w:szCs w:val="20"/>
        </w:rPr>
        <w:t>5</w:t>
      </w:r>
      <w:r>
        <w:rPr>
          <w:rFonts w:ascii="宋体" w:hAnsi="宋体"/>
          <w:b/>
          <w:bCs/>
          <w:szCs w:val="20"/>
        </w:rPr>
        <w:t>.4.1 一般要求</w:t>
      </w:r>
      <w:bookmarkEnd w:id="4964"/>
      <w:bookmarkEnd w:id="4965"/>
      <w:bookmarkEnd w:id="4966"/>
      <w:bookmarkEnd w:id="4967"/>
      <w:bookmarkEnd w:id="4968"/>
      <w:bookmarkEnd w:id="4969"/>
      <w:bookmarkEnd w:id="4970"/>
      <w:bookmarkEnd w:id="4971"/>
      <w:bookmarkEnd w:id="4972"/>
    </w:p>
    <w:p>
      <w:pPr>
        <w:adjustRightInd w:val="0"/>
        <w:snapToGrid w:val="0"/>
        <w:spacing w:line="360" w:lineRule="auto"/>
        <w:ind w:firstLine="500" w:firstLineChars="200"/>
        <w:textAlignment w:val="baseline"/>
        <w:rPr>
          <w:rFonts w:ascii="宋体" w:hAnsi="宋体"/>
          <w:kern w:val="0"/>
          <w:szCs w:val="21"/>
        </w:rPr>
      </w:pPr>
      <w:bookmarkStart w:id="4973" w:name="_Toc266663089"/>
      <w:r>
        <w:rPr>
          <w:rFonts w:ascii="宋体" w:hAnsi="宋体"/>
          <w:kern w:val="0"/>
          <w:szCs w:val="21"/>
        </w:rPr>
        <w:t>由承包商提供的任何工程款项都应接受项目监理的审核，审核地点可由承包商拟定在制造商生产地，承包商应向项目监理提供必要的设施、助手、试验室、仪器等，以利于检查工作的顺利进行。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项目监理在视察、检验过程中都必须在场，这些视察、检验或试验并不能减少承包商按合同要求应负有的责任。</w:t>
      </w:r>
    </w:p>
    <w:p>
      <w:pPr>
        <w:adjustRightInd w:val="0"/>
        <w:snapToGrid w:val="0"/>
        <w:spacing w:line="360" w:lineRule="auto"/>
        <w:jc w:val="left"/>
        <w:outlineLvl w:val="0"/>
        <w:rPr>
          <w:rFonts w:ascii="宋体" w:hAnsi="宋体"/>
          <w:b/>
          <w:bCs/>
          <w:szCs w:val="20"/>
        </w:rPr>
      </w:pPr>
      <w:bookmarkStart w:id="4974" w:name="_Toc436811046"/>
      <w:bookmarkStart w:id="4975" w:name="_Toc271232443"/>
      <w:bookmarkStart w:id="4976" w:name="_Toc518058792"/>
      <w:bookmarkStart w:id="4977" w:name="_Toc518376851"/>
      <w:bookmarkStart w:id="4978" w:name="_Toc521492331"/>
      <w:bookmarkStart w:id="4979" w:name="_Toc521493188"/>
      <w:bookmarkStart w:id="4980" w:name="_Toc521493862"/>
      <w:bookmarkStart w:id="4981" w:name="_Toc106883471"/>
      <w:r>
        <w:rPr>
          <w:rFonts w:hint="eastAsia" w:ascii="宋体" w:hAnsi="宋体"/>
          <w:b/>
          <w:bCs/>
          <w:szCs w:val="20"/>
        </w:rPr>
        <w:t>5</w:t>
      </w:r>
      <w:r>
        <w:rPr>
          <w:rFonts w:ascii="宋体" w:hAnsi="宋体"/>
          <w:b/>
          <w:bCs/>
          <w:szCs w:val="20"/>
        </w:rPr>
        <w:t>.4.2 交付时的检查</w:t>
      </w:r>
      <w:bookmarkEnd w:id="4973"/>
      <w:bookmarkEnd w:id="4974"/>
      <w:bookmarkEnd w:id="4975"/>
      <w:bookmarkEnd w:id="4976"/>
      <w:bookmarkEnd w:id="4977"/>
      <w:bookmarkEnd w:id="4978"/>
      <w:bookmarkEnd w:id="4979"/>
      <w:bookmarkEnd w:id="4980"/>
      <w:bookmarkEnd w:id="498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运至场地的每批进场的管道、管件、接头和阀门等应在有项目监理在场的情况下，由承包商按尺寸误差和GB/T 13663-2000、GB/T 13295-2008及各生产厂家制定的管材企业标准中的有关条款进行检查。承包商应提供给项目监理合适的测量卡尺以检查管道尺寸。只有经项目监理接受和作过记号的管道方可用于工程。如遇到不合格产品应立即通知项目监理，并按项目监理的批示修复或废弃不合格品。</w:t>
      </w:r>
    </w:p>
    <w:p>
      <w:pPr>
        <w:adjustRightInd w:val="0"/>
        <w:snapToGrid w:val="0"/>
        <w:spacing w:line="360" w:lineRule="auto"/>
        <w:jc w:val="left"/>
        <w:outlineLvl w:val="0"/>
        <w:rPr>
          <w:rFonts w:ascii="宋体" w:hAnsi="宋体"/>
          <w:b/>
          <w:bCs/>
          <w:szCs w:val="20"/>
        </w:rPr>
      </w:pPr>
      <w:bookmarkStart w:id="4982" w:name="_Toc266663090"/>
      <w:bookmarkStart w:id="4983" w:name="_Toc271232444"/>
      <w:bookmarkStart w:id="4984" w:name="_Toc436811047"/>
      <w:bookmarkStart w:id="4985" w:name="_Toc518058793"/>
      <w:bookmarkStart w:id="4986" w:name="_Toc518376852"/>
      <w:bookmarkStart w:id="4987" w:name="_Toc521492332"/>
      <w:bookmarkStart w:id="4988" w:name="_Toc521493189"/>
      <w:bookmarkStart w:id="4989" w:name="_Toc521493863"/>
      <w:bookmarkStart w:id="4990" w:name="_Toc106883472"/>
      <w:r>
        <w:rPr>
          <w:rFonts w:hint="eastAsia" w:ascii="宋体" w:hAnsi="宋体"/>
          <w:b/>
          <w:bCs/>
          <w:szCs w:val="20"/>
        </w:rPr>
        <w:t>5</w:t>
      </w:r>
      <w:r>
        <w:rPr>
          <w:rFonts w:ascii="宋体" w:hAnsi="宋体"/>
          <w:b/>
          <w:bCs/>
          <w:szCs w:val="20"/>
        </w:rPr>
        <w:t>.4.3 附加测试</w:t>
      </w:r>
      <w:bookmarkEnd w:id="4982"/>
      <w:bookmarkEnd w:id="4983"/>
      <w:bookmarkEnd w:id="4984"/>
      <w:bookmarkEnd w:id="4985"/>
      <w:bookmarkEnd w:id="4986"/>
      <w:bookmarkEnd w:id="4987"/>
      <w:bookmarkEnd w:id="4988"/>
      <w:bookmarkEnd w:id="4989"/>
      <w:bookmarkEnd w:id="499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通用条款中规定，业主可以在管道送至现场时要求制造商或承包商进行附加测试。</w:t>
      </w:r>
    </w:p>
    <w:p>
      <w:pPr>
        <w:adjustRightInd w:val="0"/>
        <w:snapToGrid w:val="0"/>
        <w:spacing w:line="360" w:lineRule="auto"/>
        <w:jc w:val="left"/>
        <w:outlineLvl w:val="0"/>
        <w:rPr>
          <w:rFonts w:ascii="宋体" w:hAnsi="宋体"/>
          <w:b/>
          <w:bCs/>
          <w:szCs w:val="20"/>
        </w:rPr>
      </w:pPr>
      <w:bookmarkStart w:id="4991" w:name="_Toc521492333"/>
      <w:bookmarkStart w:id="4992" w:name="_Toc266663091"/>
      <w:bookmarkStart w:id="4993" w:name="_Toc518376853"/>
      <w:bookmarkStart w:id="4994" w:name="_Toc518058794"/>
      <w:bookmarkStart w:id="4995" w:name="_Toc436811048"/>
      <w:bookmarkStart w:id="4996" w:name="_Toc271232445"/>
      <w:bookmarkStart w:id="4997" w:name="_Toc521493190"/>
      <w:bookmarkStart w:id="4998" w:name="_Toc521493864"/>
      <w:bookmarkStart w:id="4999" w:name="_Toc106883473"/>
      <w:r>
        <w:rPr>
          <w:rFonts w:hint="eastAsia" w:ascii="宋体" w:hAnsi="宋体"/>
          <w:b/>
          <w:bCs/>
          <w:szCs w:val="20"/>
        </w:rPr>
        <w:t>5</w:t>
      </w:r>
      <w:r>
        <w:rPr>
          <w:rFonts w:ascii="宋体" w:hAnsi="宋体"/>
          <w:b/>
          <w:bCs/>
          <w:szCs w:val="20"/>
        </w:rPr>
        <w:t>.4.4 安装过程中的检查</w:t>
      </w:r>
      <w:bookmarkEnd w:id="4991"/>
      <w:bookmarkEnd w:id="4992"/>
      <w:bookmarkEnd w:id="4993"/>
      <w:bookmarkEnd w:id="4994"/>
      <w:bookmarkEnd w:id="4995"/>
      <w:bookmarkEnd w:id="4996"/>
      <w:bookmarkEnd w:id="4997"/>
      <w:bookmarkEnd w:id="4998"/>
      <w:bookmarkEnd w:id="499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了在进场时要检查外，管件、接头和阀门等，在安装开始前后，并且在项目监理在场的情况下，由承包商负责进行检查，在安装就位前承包商必须按项目监理意见对损坏件进行修理，特殊管件也应由制造商提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项目监理自己可以(并不能推卸承包商应负的责任)在他认为适合时，对管件及其接合件进行检查、试验，发现不合格处应由承包商及时修理。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所有的管道，管道接头和阀门在安装前必须彻底清刷干净，并仔细检查其内外有无损伤，发现任何损伤都要及时报告项目监理，按项目监理指示的补求方法修复或更换部件。</w:t>
      </w:r>
    </w:p>
    <w:p>
      <w:pPr>
        <w:adjustRightInd w:val="0"/>
        <w:snapToGrid w:val="0"/>
        <w:spacing w:line="360" w:lineRule="auto"/>
        <w:outlineLvl w:val="0"/>
        <w:rPr>
          <w:rFonts w:ascii="宋体" w:hAnsi="宋体"/>
          <w:b/>
          <w:bCs/>
        </w:rPr>
      </w:pPr>
      <w:bookmarkStart w:id="5000" w:name="_Toc266663092"/>
      <w:bookmarkStart w:id="5001" w:name="_Toc271232446"/>
      <w:bookmarkStart w:id="5002" w:name="_Toc436811049"/>
      <w:bookmarkStart w:id="5003" w:name="_Toc518058795"/>
      <w:bookmarkStart w:id="5004" w:name="_Toc518376854"/>
      <w:bookmarkStart w:id="5005" w:name="_Toc521492334"/>
      <w:bookmarkStart w:id="5006" w:name="_Toc521493191"/>
      <w:bookmarkStart w:id="5007" w:name="_Toc521493865"/>
      <w:bookmarkStart w:id="5008" w:name="_Toc106883474"/>
      <w:r>
        <w:rPr>
          <w:rFonts w:hint="eastAsia" w:ascii="宋体" w:hAnsi="宋体"/>
          <w:b/>
          <w:bCs/>
        </w:rPr>
        <w:t>5</w:t>
      </w:r>
      <w:r>
        <w:rPr>
          <w:rFonts w:ascii="宋体" w:hAnsi="宋体"/>
          <w:b/>
          <w:bCs/>
        </w:rPr>
        <w:t>.5 通用术语</w:t>
      </w:r>
      <w:bookmarkEnd w:id="5000"/>
      <w:bookmarkEnd w:id="5001"/>
      <w:bookmarkEnd w:id="5002"/>
      <w:bookmarkEnd w:id="5003"/>
      <w:bookmarkEnd w:id="5004"/>
      <w:bookmarkEnd w:id="5005"/>
      <w:bookmarkEnd w:id="5006"/>
      <w:bookmarkEnd w:id="5007"/>
      <w:bookmarkEnd w:id="500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本规范使用的技术术语为：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管道：两端为平头，一端或两端都有接口的直管。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配件：按照标准规范要求或生产厂家标准范围内生产的所有管件及类似附件。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特种配件：标准规范中没有包括的任何管件，或通常不在生产厂家标准范围内，或其特征不同于标准管道和配件的管件。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接头：管道工程中将管道连接在一起的任何连接配件。</w:t>
      </w:r>
    </w:p>
    <w:p>
      <w:pPr>
        <w:adjustRightInd w:val="0"/>
        <w:snapToGrid w:val="0"/>
        <w:spacing w:line="360" w:lineRule="auto"/>
        <w:outlineLvl w:val="0"/>
        <w:rPr>
          <w:rFonts w:ascii="宋体" w:hAnsi="宋体"/>
          <w:b/>
          <w:bCs/>
        </w:rPr>
      </w:pPr>
      <w:bookmarkStart w:id="5009" w:name="_Toc521493866"/>
      <w:bookmarkStart w:id="5010" w:name="_Toc521493192"/>
      <w:bookmarkStart w:id="5011" w:name="_Toc106883475"/>
      <w:bookmarkStart w:id="5012" w:name="_Toc521492335"/>
      <w:bookmarkStart w:id="5013" w:name="_Toc518376855"/>
      <w:bookmarkStart w:id="5014" w:name="_Toc271232447"/>
      <w:bookmarkStart w:id="5015" w:name="_Toc436811050"/>
      <w:bookmarkStart w:id="5016" w:name="_Toc266663093"/>
      <w:bookmarkStart w:id="5017" w:name="_Toc518058796"/>
      <w:r>
        <w:rPr>
          <w:rFonts w:hint="eastAsia" w:ascii="宋体" w:hAnsi="宋体"/>
          <w:b/>
          <w:bCs/>
        </w:rPr>
        <w:t>5</w:t>
      </w:r>
      <w:r>
        <w:rPr>
          <w:rFonts w:ascii="宋体" w:hAnsi="宋体"/>
          <w:b/>
          <w:bCs/>
        </w:rPr>
        <w:t>.6 管道一般说明</w:t>
      </w:r>
      <w:bookmarkEnd w:id="5009"/>
      <w:bookmarkEnd w:id="5010"/>
      <w:bookmarkEnd w:id="5011"/>
      <w:bookmarkEnd w:id="5012"/>
      <w:bookmarkEnd w:id="5013"/>
      <w:bookmarkEnd w:id="5014"/>
      <w:bookmarkEnd w:id="5015"/>
      <w:bookmarkEnd w:id="5016"/>
      <w:bookmarkEnd w:id="5017"/>
    </w:p>
    <w:p>
      <w:pPr>
        <w:adjustRightInd w:val="0"/>
        <w:snapToGrid w:val="0"/>
        <w:spacing w:line="360" w:lineRule="auto"/>
        <w:jc w:val="left"/>
        <w:outlineLvl w:val="0"/>
        <w:rPr>
          <w:rFonts w:ascii="宋体" w:hAnsi="宋体"/>
          <w:b/>
          <w:bCs/>
          <w:szCs w:val="20"/>
        </w:rPr>
      </w:pPr>
      <w:bookmarkStart w:id="5018" w:name="_Toc106883476"/>
      <w:bookmarkStart w:id="5019" w:name="_Toc521493193"/>
      <w:bookmarkStart w:id="5020" w:name="_Toc521493867"/>
      <w:bookmarkStart w:id="5021" w:name="_Toc521492336"/>
      <w:bookmarkStart w:id="5022" w:name="_Toc271232448"/>
      <w:bookmarkStart w:id="5023" w:name="_Toc436811051"/>
      <w:bookmarkStart w:id="5024" w:name="_Toc518058797"/>
      <w:bookmarkStart w:id="5025" w:name="_Toc266663094"/>
      <w:bookmarkStart w:id="5026" w:name="_Toc518376856"/>
      <w:r>
        <w:rPr>
          <w:rFonts w:hint="eastAsia" w:ascii="宋体" w:hAnsi="宋体"/>
          <w:b/>
          <w:bCs/>
          <w:szCs w:val="20"/>
        </w:rPr>
        <w:t>5</w:t>
      </w:r>
      <w:r>
        <w:rPr>
          <w:rFonts w:ascii="宋体" w:hAnsi="宋体"/>
          <w:b/>
          <w:bCs/>
          <w:szCs w:val="20"/>
        </w:rPr>
        <w:t>.6.1 规格要求</w:t>
      </w:r>
      <w:bookmarkEnd w:id="5018"/>
      <w:bookmarkEnd w:id="5019"/>
      <w:bookmarkEnd w:id="5020"/>
      <w:bookmarkEnd w:id="5021"/>
      <w:bookmarkEnd w:id="5022"/>
      <w:bookmarkEnd w:id="5023"/>
      <w:bookmarkEnd w:id="5024"/>
      <w:bookmarkEnd w:id="5025"/>
      <w:bookmarkEnd w:id="502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为了适应图纸上标注的管线长度或为了接管的灵活而要求管道有特殊长度外，管道均应采用规定的标准长度。除非在本规范条款中有其它说明，这特殊长度的允许差值为</w:t>
      </w:r>
      <w:r>
        <w:rPr>
          <w:rFonts w:ascii="宋体" w:hAnsi="宋体"/>
          <w:kern w:val="0"/>
          <w:szCs w:val="21"/>
        </w:rPr>
        <w:sym w:font="Symbol" w:char="F0B1"/>
      </w:r>
      <w:r>
        <w:rPr>
          <w:rFonts w:ascii="宋体" w:hAnsi="宋体"/>
          <w:kern w:val="0"/>
          <w:szCs w:val="21"/>
        </w:rPr>
        <w:t>25mm。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管道内径允许有</w:t>
      </w:r>
      <w:r>
        <w:rPr>
          <w:rFonts w:ascii="宋体" w:hAnsi="宋体"/>
          <w:kern w:val="0"/>
          <w:szCs w:val="21"/>
        </w:rPr>
        <w:sym w:font="Symbol" w:char="F0B1"/>
      </w:r>
      <w:r>
        <w:rPr>
          <w:rFonts w:ascii="宋体" w:hAnsi="宋体"/>
          <w:kern w:val="0"/>
          <w:szCs w:val="21"/>
        </w:rPr>
        <w:t>2%的制造误差，除非另有详细说明。</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采用的管道接头表面、封闭橡胶圈、垫圈、配件及特殊配件的规格和误差应保证管道在运行状况下达到密封要求，并要求在一般装配过程中不受损坏。</w:t>
      </w:r>
    </w:p>
    <w:p>
      <w:pPr>
        <w:adjustRightInd w:val="0"/>
        <w:snapToGrid w:val="0"/>
        <w:spacing w:line="360" w:lineRule="auto"/>
        <w:jc w:val="left"/>
        <w:outlineLvl w:val="0"/>
        <w:rPr>
          <w:rFonts w:ascii="宋体" w:hAnsi="宋体"/>
          <w:b/>
          <w:bCs/>
          <w:szCs w:val="20"/>
        </w:rPr>
      </w:pPr>
      <w:bookmarkStart w:id="5027" w:name="_Toc266663095"/>
      <w:bookmarkStart w:id="5028" w:name="_Toc271232449"/>
      <w:bookmarkStart w:id="5029" w:name="_Toc436811052"/>
      <w:bookmarkStart w:id="5030" w:name="_Toc518058798"/>
      <w:bookmarkStart w:id="5031" w:name="_Toc518376857"/>
      <w:bookmarkStart w:id="5032" w:name="_Toc521492337"/>
      <w:bookmarkStart w:id="5033" w:name="_Toc521493194"/>
      <w:bookmarkStart w:id="5034" w:name="_Toc521493868"/>
      <w:bookmarkStart w:id="5035" w:name="_Toc106883477"/>
      <w:r>
        <w:rPr>
          <w:rFonts w:hint="eastAsia" w:ascii="宋体" w:hAnsi="宋体"/>
          <w:b/>
          <w:bCs/>
          <w:szCs w:val="20"/>
        </w:rPr>
        <w:t>5</w:t>
      </w:r>
      <w:r>
        <w:rPr>
          <w:rFonts w:ascii="宋体" w:hAnsi="宋体"/>
          <w:b/>
          <w:bCs/>
          <w:szCs w:val="20"/>
        </w:rPr>
        <w:t>.6.2 管道和配件标准</w:t>
      </w:r>
      <w:bookmarkEnd w:id="5027"/>
      <w:bookmarkEnd w:id="5028"/>
      <w:bookmarkEnd w:id="5029"/>
      <w:bookmarkEnd w:id="5030"/>
      <w:bookmarkEnd w:id="5031"/>
      <w:bookmarkEnd w:id="5032"/>
      <w:bookmarkEnd w:id="5033"/>
      <w:bookmarkEnd w:id="5034"/>
      <w:bookmarkEnd w:id="503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各种管道、配件和特种配件在产品某一部位，应清楚地标有以下永久性标记：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(1)生产厂家；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(2)生产日期；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(3)级别和额定压力；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(4)公称直径；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(5)制造标准；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(6)刚性管道承压强度（kN/m2或强度类别）；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(7)柔性管道强度（N/m2）；</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(8)业主和工程合同名称；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(9)编号。</w:t>
      </w:r>
    </w:p>
    <w:p>
      <w:pPr>
        <w:adjustRightInd w:val="0"/>
        <w:snapToGrid w:val="0"/>
        <w:spacing w:line="360" w:lineRule="auto"/>
        <w:jc w:val="left"/>
        <w:outlineLvl w:val="0"/>
        <w:rPr>
          <w:rFonts w:ascii="宋体" w:hAnsi="宋体"/>
          <w:b/>
          <w:bCs/>
          <w:szCs w:val="20"/>
        </w:rPr>
      </w:pPr>
      <w:bookmarkStart w:id="5036" w:name="_Toc521492338"/>
      <w:bookmarkStart w:id="5037" w:name="_Toc106883478"/>
      <w:bookmarkStart w:id="5038" w:name="_Toc436811053"/>
      <w:bookmarkStart w:id="5039" w:name="_Toc518058799"/>
      <w:bookmarkStart w:id="5040" w:name="_Toc518376858"/>
      <w:bookmarkStart w:id="5041" w:name="_Toc271232450"/>
      <w:bookmarkStart w:id="5042" w:name="_Toc266663096"/>
      <w:bookmarkStart w:id="5043" w:name="_Toc521493195"/>
      <w:bookmarkStart w:id="5044" w:name="_Toc521493869"/>
      <w:r>
        <w:rPr>
          <w:rFonts w:hint="eastAsia" w:ascii="宋体" w:hAnsi="宋体"/>
          <w:b/>
          <w:bCs/>
          <w:szCs w:val="20"/>
        </w:rPr>
        <w:t>5</w:t>
      </w:r>
      <w:r>
        <w:rPr>
          <w:rFonts w:ascii="宋体" w:hAnsi="宋体"/>
          <w:b/>
          <w:bCs/>
          <w:szCs w:val="20"/>
        </w:rPr>
        <w:t>.6.3 管材分类及缩写字母</w:t>
      </w:r>
      <w:bookmarkEnd w:id="5036"/>
      <w:bookmarkEnd w:id="5037"/>
      <w:bookmarkEnd w:id="5038"/>
      <w:bookmarkEnd w:id="5039"/>
      <w:bookmarkEnd w:id="5040"/>
      <w:bookmarkEnd w:id="5041"/>
      <w:bookmarkEnd w:id="5042"/>
      <w:bookmarkEnd w:id="5043"/>
      <w:bookmarkEnd w:id="504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管道从应用材质上可分成两大类。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（1）刚性管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刚性管在不变形情况下不容易断裂。刚性管材有混凝土管、钢筋混凝土管（PCP）、陶土管、石棉水泥管、球墨铸铁管和预应力钢筒混凝土管（PCCP）等。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（2）柔性管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柔性管在变形情况下不发生断裂。柔性管材有给水聚乙烯管（PE）、钢管（SP）、高密度聚乙烯双壁波纹管（HDPE）、硬聚氯乙烯管（UPVC）、玻璃钢夹砂管（RPMP）。</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第一类管道按照它们的抗碎强度选定；第二类管道应根据它们的刚度来选定。HDPE、UPVC、PE又可被称为“热塑”材料。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本合同下的给水工程未使用混凝土管、陶土管、石棉水泥管、预应力钢筒混凝土管、硬聚氯乙烯管、玻璃钢夹砂管。</w:t>
      </w:r>
    </w:p>
    <w:p>
      <w:pPr>
        <w:adjustRightInd w:val="0"/>
        <w:snapToGrid w:val="0"/>
        <w:spacing w:line="360" w:lineRule="auto"/>
        <w:jc w:val="left"/>
        <w:outlineLvl w:val="0"/>
        <w:rPr>
          <w:rFonts w:ascii="宋体" w:hAnsi="宋体"/>
          <w:b/>
          <w:bCs/>
          <w:szCs w:val="20"/>
        </w:rPr>
      </w:pPr>
      <w:bookmarkStart w:id="5045" w:name="_Toc266663097"/>
      <w:bookmarkStart w:id="5046" w:name="_Toc271232451"/>
      <w:bookmarkStart w:id="5047" w:name="_Toc436811054"/>
      <w:bookmarkStart w:id="5048" w:name="_Toc518058800"/>
      <w:bookmarkStart w:id="5049" w:name="_Toc518376859"/>
      <w:bookmarkStart w:id="5050" w:name="_Toc521492339"/>
      <w:bookmarkStart w:id="5051" w:name="_Toc521493196"/>
      <w:bookmarkStart w:id="5052" w:name="_Toc521493870"/>
      <w:bookmarkStart w:id="5053" w:name="_Toc106883479"/>
      <w:r>
        <w:rPr>
          <w:rFonts w:hint="eastAsia" w:ascii="宋体" w:hAnsi="宋体"/>
          <w:b/>
          <w:bCs/>
          <w:szCs w:val="20"/>
        </w:rPr>
        <w:t>5</w:t>
      </w:r>
      <w:r>
        <w:rPr>
          <w:rFonts w:ascii="宋体" w:hAnsi="宋体"/>
          <w:b/>
          <w:bCs/>
          <w:szCs w:val="20"/>
        </w:rPr>
        <w:t>.6.4 管道垫层和填埋物的粒状材料</w:t>
      </w:r>
      <w:bookmarkEnd w:id="5045"/>
      <w:bookmarkEnd w:id="5046"/>
      <w:bookmarkEnd w:id="5047"/>
      <w:bookmarkEnd w:id="5048"/>
      <w:bookmarkEnd w:id="5049"/>
      <w:bookmarkEnd w:id="5050"/>
      <w:bookmarkEnd w:id="5051"/>
      <w:bookmarkEnd w:id="5052"/>
      <w:bookmarkEnd w:id="505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用于管道垫层和填埋物粒状材料应为沙粒和砾石，砾石垫层材料应该是便于排水、坚硬的、干净的、化学性质稳定的天然砾石、碎石或碎碴。砾石粒度按照表</w:t>
      </w:r>
      <w:r>
        <w:rPr>
          <w:rFonts w:hint="eastAsia" w:ascii="宋体" w:hAnsi="宋体"/>
          <w:kern w:val="0"/>
          <w:szCs w:val="21"/>
        </w:rPr>
        <w:t>1</w:t>
      </w:r>
      <w:r>
        <w:rPr>
          <w:rFonts w:ascii="宋体" w:hAnsi="宋体"/>
          <w:kern w:val="0"/>
          <w:szCs w:val="21"/>
        </w:rPr>
        <w:t>4-6-1要求选择。</w:t>
      </w:r>
    </w:p>
    <w:p>
      <w:pPr>
        <w:adjustRightInd w:val="0"/>
        <w:snapToGrid w:val="0"/>
        <w:spacing w:line="360" w:lineRule="atLeast"/>
        <w:ind w:firstLine="2125" w:firstLineChars="850"/>
        <w:rPr>
          <w:rFonts w:ascii="宋体" w:hAnsi="宋体"/>
        </w:rPr>
      </w:pPr>
      <w:r>
        <w:rPr>
          <w:rFonts w:ascii="宋体" w:hAnsi="宋体"/>
        </w:rPr>
        <w:t>管件垫层和填埋物粒状材料粒度                表</w:t>
      </w:r>
      <w:r>
        <w:rPr>
          <w:rFonts w:hint="eastAsia" w:ascii="宋体" w:hAnsi="宋体"/>
        </w:rPr>
        <w:t>5</w:t>
      </w:r>
      <w:r>
        <w:rPr>
          <w:rFonts w:ascii="宋体" w:hAnsi="宋体"/>
        </w:rPr>
        <w:t>-6-1</w:t>
      </w:r>
    </w:p>
    <w:tbl>
      <w:tblPr>
        <w:tblStyle w:val="7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470"/>
        <w:gridCol w:w="3374"/>
        <w:gridCol w:w="359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0" w:hRule="atLeast"/>
        </w:trPr>
        <w:tc>
          <w:tcPr>
            <w:tcW w:w="1470" w:type="dxa"/>
            <w:vMerge w:val="restart"/>
            <w:tcBorders>
              <w:bottom w:val="nil"/>
            </w:tcBorders>
            <w:vAlign w:val="center"/>
          </w:tcPr>
          <w:p>
            <w:pPr>
              <w:widowControl/>
              <w:spacing w:line="240" w:lineRule="atLeast"/>
              <w:jc w:val="center"/>
              <w:rPr>
                <w:rFonts w:ascii="宋体" w:hAnsi="宋体"/>
                <w:sz w:val="18"/>
                <w:szCs w:val="18"/>
              </w:rPr>
            </w:pPr>
            <w:r>
              <w:rPr>
                <w:rFonts w:ascii="宋体" w:hAnsi="宋体"/>
                <w:sz w:val="18"/>
                <w:szCs w:val="18"/>
              </w:rPr>
              <w:t>测试</w:t>
            </w:r>
          </w:p>
          <w:p>
            <w:pPr>
              <w:widowControl/>
              <w:spacing w:line="240" w:lineRule="atLeast"/>
              <w:jc w:val="center"/>
              <w:rPr>
                <w:rFonts w:ascii="宋体" w:hAnsi="宋体"/>
                <w:sz w:val="18"/>
                <w:szCs w:val="18"/>
              </w:rPr>
            </w:pPr>
            <w:r>
              <w:rPr>
                <w:rFonts w:ascii="宋体" w:hAnsi="宋体"/>
                <w:sz w:val="18"/>
                <w:szCs w:val="18"/>
              </w:rPr>
              <w:t>筛网</w:t>
            </w:r>
          </w:p>
        </w:tc>
        <w:tc>
          <w:tcPr>
            <w:tcW w:w="6971" w:type="dxa"/>
            <w:gridSpan w:val="2"/>
            <w:tcBorders>
              <w:bottom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通过质量的百分比(%)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0" w:hRule="atLeast"/>
        </w:trPr>
        <w:tc>
          <w:tcPr>
            <w:tcW w:w="1470" w:type="dxa"/>
            <w:vMerge w:val="continue"/>
            <w:tcBorders>
              <w:top w:val="nil"/>
            </w:tcBorders>
            <w:vAlign w:val="center"/>
          </w:tcPr>
          <w:p>
            <w:pPr>
              <w:widowControl/>
              <w:spacing w:line="240" w:lineRule="atLeast"/>
              <w:jc w:val="center"/>
              <w:rPr>
                <w:rFonts w:ascii="宋体" w:hAnsi="宋体"/>
                <w:sz w:val="18"/>
                <w:szCs w:val="18"/>
              </w:rPr>
            </w:pPr>
          </w:p>
        </w:tc>
        <w:tc>
          <w:tcPr>
            <w:tcW w:w="3374" w:type="dxa"/>
            <w:tcBorders>
              <w:top w:val="nil"/>
            </w:tcBorders>
            <w:vAlign w:val="center"/>
          </w:tcPr>
          <w:p>
            <w:pPr>
              <w:widowControl/>
              <w:spacing w:line="240" w:lineRule="atLeast"/>
              <w:jc w:val="center"/>
              <w:rPr>
                <w:rFonts w:ascii="宋体" w:hAnsi="宋体"/>
                <w:sz w:val="18"/>
                <w:szCs w:val="18"/>
              </w:rPr>
            </w:pPr>
            <w:r>
              <w:rPr>
                <w:rFonts w:ascii="宋体" w:hAnsi="宋体"/>
                <w:sz w:val="18"/>
                <w:szCs w:val="18"/>
              </w:rPr>
              <w:t>管道直径在400mm以上</w:t>
            </w:r>
          </w:p>
        </w:tc>
        <w:tc>
          <w:tcPr>
            <w:tcW w:w="3597" w:type="dxa"/>
            <w:tcBorders>
              <w:top w:val="nil"/>
            </w:tcBorders>
            <w:vAlign w:val="center"/>
          </w:tcPr>
          <w:p>
            <w:pPr>
              <w:widowControl/>
              <w:spacing w:line="240" w:lineRule="atLeast"/>
              <w:jc w:val="center"/>
              <w:rPr>
                <w:rFonts w:ascii="宋体" w:hAnsi="宋体"/>
                <w:sz w:val="18"/>
                <w:szCs w:val="18"/>
              </w:rPr>
            </w:pPr>
            <w:r>
              <w:rPr>
                <w:rFonts w:ascii="宋体" w:hAnsi="宋体"/>
                <w:sz w:val="18"/>
                <w:szCs w:val="18"/>
              </w:rPr>
              <w:t>管道直径在600mm以上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1470" w:type="dxa"/>
            <w:vAlign w:val="center"/>
          </w:tcPr>
          <w:p>
            <w:pPr>
              <w:widowControl/>
              <w:spacing w:line="240" w:lineRule="atLeast"/>
              <w:jc w:val="center"/>
              <w:rPr>
                <w:rFonts w:ascii="宋体" w:hAnsi="宋体"/>
                <w:sz w:val="18"/>
                <w:szCs w:val="18"/>
              </w:rPr>
            </w:pPr>
            <w:r>
              <w:rPr>
                <w:rFonts w:ascii="宋体" w:hAnsi="宋体"/>
                <w:sz w:val="18"/>
                <w:szCs w:val="18"/>
              </w:rPr>
              <w:t>63mm</w:t>
            </w:r>
          </w:p>
        </w:tc>
        <w:tc>
          <w:tcPr>
            <w:tcW w:w="3374" w:type="dxa"/>
            <w:vAlign w:val="center"/>
          </w:tcPr>
          <w:p>
            <w:pPr>
              <w:widowControl/>
              <w:spacing w:line="240" w:lineRule="atLeast"/>
              <w:jc w:val="center"/>
              <w:rPr>
                <w:rFonts w:ascii="宋体" w:hAnsi="宋体"/>
                <w:sz w:val="18"/>
                <w:szCs w:val="18"/>
              </w:rPr>
            </w:pPr>
            <w:r>
              <w:rPr>
                <w:rFonts w:ascii="宋体" w:hAnsi="宋体"/>
                <w:sz w:val="18"/>
                <w:szCs w:val="18"/>
              </w:rPr>
              <w:t>－</w:t>
            </w:r>
          </w:p>
        </w:tc>
        <w:tc>
          <w:tcPr>
            <w:tcW w:w="3597" w:type="dxa"/>
            <w:vAlign w:val="center"/>
          </w:tcPr>
          <w:p>
            <w:pPr>
              <w:widowControl/>
              <w:spacing w:line="240" w:lineRule="atLeast"/>
              <w:jc w:val="center"/>
              <w:rPr>
                <w:rFonts w:ascii="宋体" w:hAnsi="宋体"/>
                <w:sz w:val="18"/>
                <w:szCs w:val="18"/>
              </w:rPr>
            </w:pPr>
            <w:r>
              <w:rPr>
                <w:rFonts w:ascii="宋体" w:hAnsi="宋体"/>
                <w:sz w:val="18"/>
                <w:szCs w:val="18"/>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1470" w:type="dxa"/>
            <w:vAlign w:val="center"/>
          </w:tcPr>
          <w:p>
            <w:pPr>
              <w:widowControl/>
              <w:spacing w:line="240" w:lineRule="atLeast"/>
              <w:jc w:val="center"/>
              <w:rPr>
                <w:rFonts w:ascii="宋体" w:hAnsi="宋体"/>
                <w:sz w:val="18"/>
                <w:szCs w:val="18"/>
              </w:rPr>
            </w:pPr>
            <w:r>
              <w:rPr>
                <w:rFonts w:ascii="宋体" w:hAnsi="宋体"/>
                <w:sz w:val="18"/>
                <w:szCs w:val="18"/>
              </w:rPr>
              <w:t>37.5mm</w:t>
            </w:r>
          </w:p>
        </w:tc>
        <w:tc>
          <w:tcPr>
            <w:tcW w:w="3374" w:type="dxa"/>
            <w:vAlign w:val="center"/>
          </w:tcPr>
          <w:p>
            <w:pPr>
              <w:widowControl/>
              <w:spacing w:line="240" w:lineRule="atLeast"/>
              <w:jc w:val="center"/>
              <w:rPr>
                <w:rFonts w:ascii="宋体" w:hAnsi="宋体"/>
                <w:sz w:val="18"/>
                <w:szCs w:val="18"/>
              </w:rPr>
            </w:pPr>
            <w:r>
              <w:rPr>
                <w:rFonts w:ascii="宋体" w:hAnsi="宋体"/>
                <w:sz w:val="18"/>
                <w:szCs w:val="18"/>
              </w:rPr>
              <w:t>100</w:t>
            </w:r>
          </w:p>
        </w:tc>
        <w:tc>
          <w:tcPr>
            <w:tcW w:w="3597" w:type="dxa"/>
            <w:vAlign w:val="center"/>
          </w:tcPr>
          <w:p>
            <w:pPr>
              <w:widowControl/>
              <w:spacing w:line="240" w:lineRule="atLeast"/>
              <w:jc w:val="center"/>
              <w:rPr>
                <w:rFonts w:ascii="宋体" w:hAnsi="宋体"/>
                <w:sz w:val="18"/>
                <w:szCs w:val="18"/>
              </w:rPr>
            </w:pPr>
            <w:r>
              <w:rPr>
                <w:rFonts w:ascii="宋体" w:hAnsi="宋体"/>
                <w:sz w:val="18"/>
                <w:szCs w:val="18"/>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1470" w:type="dxa"/>
            <w:vAlign w:val="center"/>
          </w:tcPr>
          <w:p>
            <w:pPr>
              <w:widowControl/>
              <w:spacing w:line="240" w:lineRule="atLeast"/>
              <w:jc w:val="center"/>
              <w:rPr>
                <w:rFonts w:ascii="宋体" w:hAnsi="宋体"/>
                <w:sz w:val="18"/>
                <w:szCs w:val="18"/>
              </w:rPr>
            </w:pPr>
            <w:r>
              <w:rPr>
                <w:rFonts w:ascii="宋体" w:hAnsi="宋体"/>
                <w:sz w:val="18"/>
                <w:szCs w:val="18"/>
              </w:rPr>
              <w:t>20mm</w:t>
            </w:r>
          </w:p>
        </w:tc>
        <w:tc>
          <w:tcPr>
            <w:tcW w:w="3374" w:type="dxa"/>
            <w:vAlign w:val="center"/>
          </w:tcPr>
          <w:p>
            <w:pPr>
              <w:widowControl/>
              <w:spacing w:line="240" w:lineRule="atLeast"/>
              <w:jc w:val="center"/>
              <w:rPr>
                <w:rFonts w:ascii="宋体" w:hAnsi="宋体"/>
                <w:sz w:val="18"/>
                <w:szCs w:val="18"/>
              </w:rPr>
            </w:pPr>
            <w:r>
              <w:rPr>
                <w:rFonts w:ascii="宋体" w:hAnsi="宋体"/>
                <w:sz w:val="18"/>
                <w:szCs w:val="18"/>
              </w:rPr>
              <w:t>85～100</w:t>
            </w:r>
          </w:p>
        </w:tc>
        <w:tc>
          <w:tcPr>
            <w:tcW w:w="3597" w:type="dxa"/>
            <w:vAlign w:val="center"/>
          </w:tcPr>
          <w:p>
            <w:pPr>
              <w:widowControl/>
              <w:spacing w:line="240" w:lineRule="atLeast"/>
              <w:jc w:val="center"/>
              <w:rPr>
                <w:rFonts w:ascii="宋体" w:hAnsi="宋体"/>
                <w:sz w:val="18"/>
                <w:szCs w:val="18"/>
              </w:rPr>
            </w:pPr>
            <w:r>
              <w:rPr>
                <w:rFonts w:ascii="宋体" w:hAnsi="宋体"/>
                <w:sz w:val="18"/>
                <w:szCs w:val="18"/>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1470" w:type="dxa"/>
            <w:vAlign w:val="center"/>
          </w:tcPr>
          <w:p>
            <w:pPr>
              <w:widowControl/>
              <w:spacing w:line="240" w:lineRule="atLeast"/>
              <w:jc w:val="center"/>
              <w:rPr>
                <w:rFonts w:ascii="宋体" w:hAnsi="宋体"/>
                <w:sz w:val="18"/>
                <w:szCs w:val="18"/>
              </w:rPr>
            </w:pPr>
            <w:r>
              <w:rPr>
                <w:rFonts w:ascii="宋体" w:hAnsi="宋体"/>
                <w:sz w:val="18"/>
                <w:szCs w:val="18"/>
              </w:rPr>
              <w:t>14mm</w:t>
            </w:r>
          </w:p>
        </w:tc>
        <w:tc>
          <w:tcPr>
            <w:tcW w:w="3374" w:type="dxa"/>
            <w:vAlign w:val="center"/>
          </w:tcPr>
          <w:p>
            <w:pPr>
              <w:widowControl/>
              <w:spacing w:line="240" w:lineRule="atLeast"/>
              <w:jc w:val="center"/>
              <w:rPr>
                <w:rFonts w:ascii="宋体" w:hAnsi="宋体"/>
                <w:sz w:val="18"/>
                <w:szCs w:val="18"/>
              </w:rPr>
            </w:pPr>
            <w:r>
              <w:rPr>
                <w:rFonts w:ascii="宋体" w:hAnsi="宋体"/>
                <w:sz w:val="18"/>
                <w:szCs w:val="18"/>
              </w:rPr>
              <w:t>－</w:t>
            </w:r>
          </w:p>
        </w:tc>
        <w:tc>
          <w:tcPr>
            <w:tcW w:w="3597" w:type="dxa"/>
            <w:vAlign w:val="center"/>
          </w:tcPr>
          <w:p>
            <w:pPr>
              <w:widowControl/>
              <w:spacing w:line="240" w:lineRule="atLeast"/>
              <w:jc w:val="center"/>
              <w:rPr>
                <w:rFonts w:ascii="宋体" w:hAnsi="宋体"/>
                <w:sz w:val="18"/>
                <w:szCs w:val="18"/>
              </w:rPr>
            </w:pPr>
            <w:r>
              <w:rPr>
                <w:rFonts w:ascii="宋体" w:hAnsi="宋体"/>
                <w:sz w:val="18"/>
                <w:szCs w:val="18"/>
              </w:rP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1470" w:type="dxa"/>
            <w:vAlign w:val="center"/>
          </w:tcPr>
          <w:p>
            <w:pPr>
              <w:widowControl/>
              <w:spacing w:line="240" w:lineRule="atLeast"/>
              <w:jc w:val="center"/>
              <w:rPr>
                <w:rFonts w:ascii="宋体" w:hAnsi="宋体"/>
                <w:sz w:val="18"/>
                <w:szCs w:val="18"/>
              </w:rPr>
            </w:pPr>
            <w:r>
              <w:rPr>
                <w:rFonts w:ascii="宋体" w:hAnsi="宋体"/>
                <w:sz w:val="18"/>
                <w:szCs w:val="18"/>
              </w:rPr>
              <w:t>10mm</w:t>
            </w:r>
          </w:p>
        </w:tc>
        <w:tc>
          <w:tcPr>
            <w:tcW w:w="3374" w:type="dxa"/>
            <w:vAlign w:val="center"/>
          </w:tcPr>
          <w:p>
            <w:pPr>
              <w:widowControl/>
              <w:spacing w:line="240" w:lineRule="atLeast"/>
              <w:jc w:val="center"/>
              <w:rPr>
                <w:rFonts w:ascii="宋体" w:hAnsi="宋体"/>
                <w:sz w:val="18"/>
                <w:szCs w:val="18"/>
              </w:rPr>
            </w:pPr>
            <w:r>
              <w:rPr>
                <w:rFonts w:ascii="宋体" w:hAnsi="宋体"/>
                <w:sz w:val="18"/>
                <w:szCs w:val="18"/>
              </w:rPr>
              <w:t>0～50</w:t>
            </w:r>
          </w:p>
        </w:tc>
        <w:tc>
          <w:tcPr>
            <w:tcW w:w="3597" w:type="dxa"/>
            <w:vAlign w:val="center"/>
          </w:tcPr>
          <w:p>
            <w:pPr>
              <w:widowControl/>
              <w:spacing w:line="240" w:lineRule="atLeast"/>
              <w:jc w:val="center"/>
              <w:rPr>
                <w:rFonts w:ascii="宋体" w:hAnsi="宋体"/>
                <w:sz w:val="18"/>
                <w:szCs w:val="18"/>
              </w:rPr>
            </w:pPr>
            <w:r>
              <w:rPr>
                <w:rFonts w:ascii="宋体" w:hAnsi="宋体"/>
                <w:sz w:val="18"/>
                <w:szCs w:val="18"/>
              </w:rPr>
              <w:t>85～100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1470" w:type="dxa"/>
            <w:vAlign w:val="center"/>
          </w:tcPr>
          <w:p>
            <w:pPr>
              <w:widowControl/>
              <w:spacing w:line="240" w:lineRule="atLeast"/>
              <w:jc w:val="center"/>
              <w:rPr>
                <w:rFonts w:ascii="宋体" w:hAnsi="宋体"/>
                <w:sz w:val="18"/>
                <w:szCs w:val="18"/>
              </w:rPr>
            </w:pPr>
            <w:r>
              <w:rPr>
                <w:rFonts w:ascii="宋体" w:hAnsi="宋体"/>
                <w:sz w:val="18"/>
                <w:szCs w:val="18"/>
              </w:rPr>
              <w:t>5mm</w:t>
            </w:r>
          </w:p>
        </w:tc>
        <w:tc>
          <w:tcPr>
            <w:tcW w:w="3374" w:type="dxa"/>
            <w:vAlign w:val="center"/>
          </w:tcPr>
          <w:p>
            <w:pPr>
              <w:widowControl/>
              <w:spacing w:line="240" w:lineRule="atLeast"/>
              <w:jc w:val="center"/>
              <w:rPr>
                <w:rFonts w:ascii="宋体" w:hAnsi="宋体"/>
                <w:sz w:val="18"/>
                <w:szCs w:val="18"/>
              </w:rPr>
            </w:pPr>
            <w:r>
              <w:rPr>
                <w:rFonts w:ascii="宋体" w:hAnsi="宋体"/>
                <w:sz w:val="18"/>
                <w:szCs w:val="18"/>
              </w:rPr>
              <w:t>0～10</w:t>
            </w:r>
          </w:p>
        </w:tc>
        <w:tc>
          <w:tcPr>
            <w:tcW w:w="3597" w:type="dxa"/>
            <w:vAlign w:val="center"/>
          </w:tcPr>
          <w:p>
            <w:pPr>
              <w:widowControl/>
              <w:spacing w:line="240" w:lineRule="atLeast"/>
              <w:jc w:val="center"/>
              <w:rPr>
                <w:rFonts w:ascii="宋体" w:hAnsi="宋体"/>
                <w:sz w:val="18"/>
                <w:szCs w:val="18"/>
              </w:rPr>
            </w:pPr>
            <w:r>
              <w:rPr>
                <w:rFonts w:ascii="宋体" w:hAnsi="宋体"/>
                <w:sz w:val="18"/>
                <w:szCs w:val="18"/>
              </w:rP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trPr>
        <w:tc>
          <w:tcPr>
            <w:tcW w:w="1470" w:type="dxa"/>
            <w:vAlign w:val="center"/>
          </w:tcPr>
          <w:p>
            <w:pPr>
              <w:widowControl/>
              <w:spacing w:line="240" w:lineRule="atLeast"/>
              <w:jc w:val="center"/>
              <w:rPr>
                <w:rFonts w:ascii="宋体" w:hAnsi="宋体"/>
                <w:sz w:val="18"/>
                <w:szCs w:val="18"/>
              </w:rPr>
            </w:pPr>
            <w:r>
              <w:rPr>
                <w:rFonts w:ascii="宋体" w:hAnsi="宋体"/>
                <w:sz w:val="18"/>
                <w:szCs w:val="18"/>
              </w:rPr>
              <w:t>2.36mm</w:t>
            </w:r>
          </w:p>
        </w:tc>
        <w:tc>
          <w:tcPr>
            <w:tcW w:w="3374" w:type="dxa"/>
            <w:vAlign w:val="center"/>
          </w:tcPr>
          <w:p>
            <w:pPr>
              <w:widowControl/>
              <w:spacing w:line="240" w:lineRule="atLeast"/>
              <w:jc w:val="center"/>
              <w:rPr>
                <w:rFonts w:ascii="宋体" w:hAnsi="宋体"/>
                <w:sz w:val="18"/>
                <w:szCs w:val="18"/>
              </w:rPr>
            </w:pPr>
            <w:r>
              <w:rPr>
                <w:rFonts w:ascii="宋体" w:hAnsi="宋体"/>
                <w:sz w:val="18"/>
                <w:szCs w:val="18"/>
              </w:rPr>
              <w:t>－</w:t>
            </w:r>
          </w:p>
        </w:tc>
        <w:tc>
          <w:tcPr>
            <w:tcW w:w="3597" w:type="dxa"/>
            <w:vAlign w:val="center"/>
          </w:tcPr>
          <w:p>
            <w:pPr>
              <w:widowControl/>
              <w:spacing w:line="240" w:lineRule="atLeast"/>
              <w:jc w:val="center"/>
              <w:rPr>
                <w:rFonts w:ascii="宋体" w:hAnsi="宋体"/>
                <w:sz w:val="18"/>
                <w:szCs w:val="18"/>
              </w:rPr>
            </w:pPr>
            <w:r>
              <w:rPr>
                <w:rFonts w:ascii="宋体" w:hAnsi="宋体"/>
                <w:sz w:val="18"/>
                <w:szCs w:val="18"/>
              </w:rPr>
              <w:t>0～5</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用于砂垫层材料，通过5mm 筛网的砂粒不能少于90%，通过0.2mm筛网的砂粒不能超过10%， 并且压密值不应超过0.2。</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用于混凝土管的垫层材料不能含有超过0.3 ％的硫酸盐（以三氧化硫形式表示的量）。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对于所有热塑管件仅允许使用圆形的粒料，但对其它材料的管件可以使用碎的粒料。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管径在100mm以内的小口径输送管线或一些仅用于管件保护，但不需结构支撑地方，其垫层和填埋物的砂粒准许不大于5mm。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在现场使用垫层材料前，由承包商负责安排专业人员去工厂检验测试，并提交检验报告给项目监理，如果样品材料不能令人满意，承包商应调整材料的组成比例，或选择另一种材料，直到令人满意为止。如果没有项目监理的书面材料，这种材料可以用到整个工程完成。项目监理应不断的要求承包商提供更多的样品，以进行常规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管线的回填材料应是均质的、惰性的、较密实的，没有树根草皮、 没有建筑垃圾或瓦块、 碎石不能通过25mm网筛的物质，并且不能溶于地下水。</w:t>
      </w:r>
    </w:p>
    <w:p>
      <w:pPr>
        <w:adjustRightInd w:val="0"/>
        <w:snapToGrid w:val="0"/>
        <w:spacing w:line="360" w:lineRule="auto"/>
        <w:outlineLvl w:val="0"/>
        <w:rPr>
          <w:rFonts w:ascii="宋体" w:hAnsi="宋体"/>
          <w:b/>
          <w:bCs/>
        </w:rPr>
      </w:pPr>
      <w:bookmarkStart w:id="5054" w:name="_Toc409594306"/>
      <w:bookmarkStart w:id="5055" w:name="_Toc518376860"/>
      <w:bookmarkStart w:id="5056" w:name="_Toc16242466"/>
      <w:bookmarkStart w:id="5057" w:name="_Toc202671067"/>
      <w:bookmarkStart w:id="5058" w:name="_Toc521493197"/>
      <w:bookmarkStart w:id="5059" w:name="_Toc436811055"/>
      <w:bookmarkStart w:id="5060" w:name="_Toc266663098"/>
      <w:bookmarkStart w:id="5061" w:name="_Toc271232452"/>
      <w:bookmarkStart w:id="5062" w:name="_Toc15787614"/>
      <w:bookmarkStart w:id="5063" w:name="_Toc518058801"/>
      <w:bookmarkStart w:id="5064" w:name="_Toc437318341"/>
      <w:bookmarkStart w:id="5065" w:name="_Toc521492340"/>
      <w:bookmarkStart w:id="5066" w:name="_Toc521493871"/>
      <w:bookmarkStart w:id="5067" w:name="_Toc106883480"/>
      <w:r>
        <w:rPr>
          <w:rFonts w:hint="eastAsia" w:ascii="宋体" w:hAnsi="宋体"/>
          <w:b/>
          <w:bCs/>
        </w:rPr>
        <w:t>5</w:t>
      </w:r>
      <w:r>
        <w:rPr>
          <w:rFonts w:ascii="宋体" w:hAnsi="宋体"/>
          <w:b/>
          <w:bCs/>
        </w:rPr>
        <w:t>.7 质量维护</w:t>
      </w:r>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说明书需要叙述成品管和管线结构的质量、特性，以适合于它们的安装条件。承包商操作应有营业证书或许可证，在牲畜圈场或其它临时设施的场所，进行安装时均不能因条件因素而降低质量。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任何损坏或由于环境状况而造成提升过程中的损坏，都应立即记录并交项目监理，以便参照试验结果给出完善的修补措施。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在施工期间引起的保护内衬、涂层或包裹层的破坏，应马上在事故发生后修复，如不能得到满意的结果，将重新施工，替换的费用由承包商承担。</w:t>
      </w:r>
    </w:p>
    <w:p>
      <w:pPr>
        <w:adjustRightInd w:val="0"/>
        <w:snapToGrid w:val="0"/>
        <w:spacing w:line="360" w:lineRule="auto"/>
        <w:outlineLvl w:val="0"/>
        <w:rPr>
          <w:rFonts w:ascii="宋体" w:hAnsi="宋体"/>
          <w:b/>
          <w:bCs/>
        </w:rPr>
      </w:pPr>
      <w:bookmarkStart w:id="5068" w:name="_Toc106883481"/>
      <w:bookmarkStart w:id="5069" w:name="_Toc521493872"/>
      <w:bookmarkStart w:id="5070" w:name="_Toc409594307"/>
      <w:bookmarkStart w:id="5071" w:name="_Toc437318343"/>
      <w:bookmarkStart w:id="5072" w:name="_Toc15787615"/>
      <w:bookmarkStart w:id="5073" w:name="_Toc16242467"/>
      <w:bookmarkStart w:id="5074" w:name="_Toc202671068"/>
      <w:bookmarkStart w:id="5075" w:name="_Toc266663099"/>
      <w:bookmarkStart w:id="5076" w:name="_Toc271232453"/>
      <w:bookmarkStart w:id="5077" w:name="_Toc436811056"/>
      <w:bookmarkStart w:id="5078" w:name="_Toc518058802"/>
      <w:bookmarkStart w:id="5079" w:name="_Toc518376861"/>
      <w:bookmarkStart w:id="5080" w:name="_Toc521492341"/>
      <w:bookmarkStart w:id="5081" w:name="_Toc521493198"/>
      <w:r>
        <w:rPr>
          <w:rFonts w:hint="eastAsia" w:ascii="宋体" w:hAnsi="宋体"/>
          <w:b/>
          <w:bCs/>
        </w:rPr>
        <w:t>5</w:t>
      </w:r>
      <w:r>
        <w:rPr>
          <w:rFonts w:ascii="宋体" w:hAnsi="宋体"/>
          <w:b/>
          <w:bCs/>
        </w:rPr>
        <w:t>.8 管道类型测试、常规测试及目视检查</w:t>
      </w:r>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adjustRightInd w:val="0"/>
        <w:snapToGrid w:val="0"/>
        <w:spacing w:line="360" w:lineRule="auto"/>
        <w:jc w:val="left"/>
        <w:outlineLvl w:val="0"/>
        <w:rPr>
          <w:rFonts w:ascii="宋体" w:hAnsi="宋体"/>
          <w:b/>
          <w:bCs/>
          <w:szCs w:val="20"/>
        </w:rPr>
      </w:pPr>
      <w:bookmarkStart w:id="5082" w:name="_Toc409594308"/>
      <w:bookmarkStart w:id="5083" w:name="_Toc437318344"/>
      <w:bookmarkStart w:id="5084" w:name="_Toc15787616"/>
      <w:bookmarkStart w:id="5085" w:name="_Toc202671069"/>
      <w:bookmarkStart w:id="5086" w:name="_Toc266663100"/>
      <w:bookmarkStart w:id="5087" w:name="_Toc271232454"/>
      <w:bookmarkStart w:id="5088" w:name="_Toc436811057"/>
      <w:bookmarkStart w:id="5089" w:name="_Toc518058803"/>
      <w:bookmarkStart w:id="5090" w:name="_Toc518376862"/>
      <w:bookmarkStart w:id="5091" w:name="_Toc521492342"/>
      <w:bookmarkStart w:id="5092" w:name="_Toc521493199"/>
      <w:bookmarkStart w:id="5093" w:name="_Toc521493873"/>
      <w:bookmarkStart w:id="5094" w:name="_Toc106883482"/>
      <w:r>
        <w:rPr>
          <w:rFonts w:hint="eastAsia" w:ascii="宋体" w:hAnsi="宋体"/>
          <w:b/>
          <w:bCs/>
          <w:szCs w:val="20"/>
        </w:rPr>
        <w:t>5</w:t>
      </w:r>
      <w:r>
        <w:rPr>
          <w:rFonts w:ascii="宋体" w:hAnsi="宋体"/>
          <w:b/>
          <w:bCs/>
          <w:szCs w:val="20"/>
        </w:rPr>
        <w:t>.</w:t>
      </w:r>
      <w:r>
        <w:rPr>
          <w:rFonts w:hint="eastAsia" w:ascii="宋体" w:hAnsi="宋体"/>
          <w:b/>
          <w:bCs/>
          <w:szCs w:val="20"/>
        </w:rPr>
        <w:t>8</w:t>
      </w:r>
      <w:r>
        <w:rPr>
          <w:rFonts w:ascii="宋体" w:hAnsi="宋体"/>
          <w:b/>
          <w:bCs/>
          <w:szCs w:val="20"/>
        </w:rPr>
        <w:t>.1 总则</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管件应按本章节有关条款进行“类型”和“常规”测试，以及目视检查。如有更严格的要求，应有书面材料描述。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管件在厂家喷涂保护层之前，应进行所有的水力性能及压力试验，所有管道测试证明应提交项目监理的批准。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项目监理有权得到任何生产阶段的测试证据，以便随时进入厂家检查试验情况（承包商的生产厂家需及时向项目监理提供试验进行的准确时间及测试场地）。</w:t>
      </w:r>
    </w:p>
    <w:p>
      <w:pPr>
        <w:spacing w:line="360" w:lineRule="auto"/>
        <w:outlineLvl w:val="3"/>
        <w:rPr>
          <w:rFonts w:ascii="宋体" w:hAnsi="宋体"/>
        </w:rPr>
      </w:pPr>
      <w:r>
        <w:rPr>
          <w:rFonts w:hint="eastAsia" w:ascii="宋体" w:hAnsi="宋体"/>
        </w:rPr>
        <w:t>5.8.</w:t>
      </w:r>
      <w:r>
        <w:rPr>
          <w:rFonts w:ascii="宋体" w:hAnsi="宋体"/>
        </w:rPr>
        <w:t>1.1类型测试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类型测试用以证明管件的设计材料及成分，当设计原料种类及制作方法发生变化时，都应进行此项测试，试验次数足以说明预先规定范围内管件的稳定性能。长期的试验或提供稳定的原料或说明管件的尺寸，足以证明厂家试验结果是否能被接受。</w:t>
      </w:r>
    </w:p>
    <w:p>
      <w:pPr>
        <w:spacing w:line="360" w:lineRule="auto"/>
        <w:outlineLvl w:val="3"/>
        <w:rPr>
          <w:rFonts w:ascii="宋体" w:hAnsi="宋体"/>
        </w:rPr>
      </w:pPr>
      <w:r>
        <w:rPr>
          <w:rFonts w:hint="eastAsia" w:ascii="宋体" w:hAnsi="宋体"/>
        </w:rPr>
        <w:t>5.8.</w:t>
      </w:r>
      <w:r>
        <w:rPr>
          <w:rFonts w:ascii="宋体" w:hAnsi="宋体"/>
        </w:rPr>
        <w:t>1.2常规测试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常规测试是质量控制的一种手段，并能保证材料、生产技术的连续性和精确度，试验次数及取样次数应按表</w:t>
      </w:r>
      <w:r>
        <w:rPr>
          <w:rFonts w:hint="eastAsia" w:ascii="宋体" w:hAnsi="宋体"/>
          <w:kern w:val="0"/>
          <w:szCs w:val="21"/>
        </w:rPr>
        <w:t>1</w:t>
      </w:r>
      <w:r>
        <w:rPr>
          <w:rFonts w:ascii="宋体" w:hAnsi="宋体"/>
          <w:kern w:val="0"/>
          <w:szCs w:val="21"/>
        </w:rPr>
        <w:t>4</w:t>
      </w:r>
      <w:r>
        <w:rPr>
          <w:rFonts w:hint="eastAsia" w:ascii="宋体" w:hAnsi="宋体"/>
          <w:kern w:val="0"/>
          <w:szCs w:val="21"/>
        </w:rPr>
        <w:t>.</w:t>
      </w:r>
      <w:r>
        <w:rPr>
          <w:rFonts w:ascii="宋体" w:hAnsi="宋体"/>
          <w:kern w:val="0"/>
          <w:szCs w:val="21"/>
        </w:rPr>
        <w:t>8-1要求进行。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（1）对所有管件样品选择应是随机的。</w:t>
      </w:r>
    </w:p>
    <w:p>
      <w:pPr>
        <w:autoSpaceDE w:val="0"/>
        <w:autoSpaceDN w:val="0"/>
        <w:spacing w:line="360" w:lineRule="auto"/>
        <w:ind w:firstLine="505"/>
        <w:jc w:val="center"/>
        <w:rPr>
          <w:rFonts w:ascii="宋体" w:hAnsi="宋体"/>
          <w:szCs w:val="21"/>
        </w:rPr>
      </w:pPr>
      <w:r>
        <w:rPr>
          <w:rFonts w:ascii="宋体" w:hAnsi="宋体"/>
          <w:szCs w:val="21"/>
        </w:rPr>
        <w:t xml:space="preserve">                取 样 数                           表</w:t>
      </w:r>
      <w:r>
        <w:rPr>
          <w:rFonts w:hint="eastAsia" w:ascii="宋体" w:hAnsi="宋体"/>
          <w:szCs w:val="21"/>
        </w:rPr>
        <w:t>5.</w:t>
      </w:r>
      <w:r>
        <w:rPr>
          <w:rFonts w:ascii="宋体" w:hAnsi="宋体"/>
          <w:szCs w:val="21"/>
        </w:rPr>
        <w:t>8-1</w:t>
      </w:r>
    </w:p>
    <w:tbl>
      <w:tblPr>
        <w:tblStyle w:val="7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708"/>
        <w:gridCol w:w="1560"/>
        <w:gridCol w:w="1920"/>
        <w:gridCol w:w="312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spacing w:line="360" w:lineRule="auto"/>
              <w:jc w:val="center"/>
              <w:rPr>
                <w:rFonts w:ascii="宋体" w:hAnsi="宋体"/>
              </w:rPr>
            </w:pPr>
            <w:r>
              <w:rPr>
                <w:rFonts w:ascii="宋体" w:hAnsi="宋体"/>
              </w:rPr>
              <w:t>每批货数量(根)</w:t>
            </w:r>
          </w:p>
        </w:tc>
        <w:tc>
          <w:tcPr>
            <w:tcW w:w="1560" w:type="dxa"/>
            <w:vAlign w:val="center"/>
          </w:tcPr>
          <w:p>
            <w:pPr>
              <w:spacing w:line="360" w:lineRule="auto"/>
              <w:jc w:val="center"/>
              <w:rPr>
                <w:rFonts w:ascii="宋体" w:hAnsi="宋体"/>
              </w:rPr>
            </w:pPr>
            <w:r>
              <w:rPr>
                <w:rFonts w:ascii="宋体" w:hAnsi="宋体"/>
              </w:rPr>
              <w:t>第一次取样数</w:t>
            </w:r>
          </w:p>
        </w:tc>
        <w:tc>
          <w:tcPr>
            <w:tcW w:w="1920" w:type="dxa"/>
            <w:vAlign w:val="center"/>
          </w:tcPr>
          <w:p>
            <w:pPr>
              <w:spacing w:line="360" w:lineRule="auto"/>
              <w:jc w:val="center"/>
              <w:rPr>
                <w:rFonts w:ascii="宋体" w:hAnsi="宋体"/>
              </w:rPr>
            </w:pPr>
            <w:r>
              <w:rPr>
                <w:rFonts w:ascii="宋体" w:hAnsi="宋体"/>
              </w:rPr>
              <w:t>第二次取样数</w:t>
            </w:r>
          </w:p>
        </w:tc>
        <w:tc>
          <w:tcPr>
            <w:tcW w:w="3120" w:type="dxa"/>
            <w:vAlign w:val="center"/>
          </w:tcPr>
          <w:p>
            <w:pPr>
              <w:spacing w:line="360" w:lineRule="auto"/>
              <w:jc w:val="center"/>
              <w:rPr>
                <w:rFonts w:ascii="宋体" w:hAnsi="宋体"/>
              </w:rPr>
            </w:pPr>
            <w:r>
              <w:rPr>
                <w:rFonts w:ascii="宋体" w:hAnsi="宋体"/>
              </w:rPr>
              <w:t>第二次取样中允许</w:t>
            </w:r>
          </w:p>
          <w:p>
            <w:pPr>
              <w:spacing w:line="360" w:lineRule="auto"/>
              <w:jc w:val="center"/>
              <w:rPr>
                <w:rFonts w:ascii="宋体" w:hAnsi="宋体"/>
              </w:rPr>
            </w:pPr>
            <w:r>
              <w:rPr>
                <w:rFonts w:ascii="宋体" w:hAnsi="宋体"/>
              </w:rPr>
              <w:t>抽检不合格数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spacing w:line="360" w:lineRule="auto"/>
              <w:jc w:val="center"/>
              <w:rPr>
                <w:rFonts w:ascii="宋体" w:hAnsi="宋体"/>
              </w:rPr>
            </w:pPr>
            <w:r>
              <w:rPr>
                <w:rFonts w:ascii="宋体" w:hAnsi="宋体"/>
              </w:rPr>
              <w:t>小于50</w:t>
            </w:r>
          </w:p>
        </w:tc>
        <w:tc>
          <w:tcPr>
            <w:tcW w:w="1560" w:type="dxa"/>
            <w:vAlign w:val="center"/>
          </w:tcPr>
          <w:p>
            <w:pPr>
              <w:spacing w:line="360" w:lineRule="auto"/>
              <w:jc w:val="center"/>
              <w:rPr>
                <w:rFonts w:ascii="宋体" w:hAnsi="宋体"/>
              </w:rPr>
            </w:pPr>
            <w:r>
              <w:rPr>
                <w:rFonts w:ascii="宋体" w:hAnsi="宋体"/>
              </w:rPr>
              <w:t>2根</w:t>
            </w:r>
          </w:p>
        </w:tc>
        <w:tc>
          <w:tcPr>
            <w:tcW w:w="1920" w:type="dxa"/>
            <w:vAlign w:val="center"/>
          </w:tcPr>
          <w:p>
            <w:pPr>
              <w:spacing w:line="360" w:lineRule="auto"/>
              <w:jc w:val="center"/>
              <w:rPr>
                <w:rFonts w:ascii="宋体" w:hAnsi="宋体"/>
              </w:rPr>
            </w:pPr>
            <w:r>
              <w:rPr>
                <w:rFonts w:ascii="宋体" w:hAnsi="宋体"/>
              </w:rPr>
              <w:t>5根</w:t>
            </w:r>
          </w:p>
        </w:tc>
        <w:tc>
          <w:tcPr>
            <w:tcW w:w="3120" w:type="dxa"/>
            <w:vAlign w:val="center"/>
          </w:tcPr>
          <w:p>
            <w:pPr>
              <w:spacing w:line="360" w:lineRule="auto"/>
              <w:jc w:val="center"/>
              <w:rPr>
                <w:rFonts w:ascii="宋体" w:hAnsi="宋体"/>
              </w:rPr>
            </w:pPr>
            <w:r>
              <w:rPr>
                <w:rFonts w:ascii="宋体" w:hAnsi="宋体"/>
              </w:rPr>
              <w:t>1根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spacing w:line="360" w:lineRule="auto"/>
              <w:jc w:val="center"/>
              <w:rPr>
                <w:rFonts w:ascii="宋体" w:hAnsi="宋体"/>
              </w:rPr>
            </w:pPr>
            <w:r>
              <w:rPr>
                <w:rFonts w:ascii="宋体" w:hAnsi="宋体"/>
              </w:rPr>
              <w:t>51～150</w:t>
            </w:r>
          </w:p>
        </w:tc>
        <w:tc>
          <w:tcPr>
            <w:tcW w:w="1560" w:type="dxa"/>
            <w:vAlign w:val="center"/>
          </w:tcPr>
          <w:p>
            <w:pPr>
              <w:spacing w:line="360" w:lineRule="auto"/>
              <w:jc w:val="center"/>
              <w:rPr>
                <w:rFonts w:ascii="宋体" w:hAnsi="宋体"/>
              </w:rPr>
            </w:pPr>
            <w:r>
              <w:rPr>
                <w:rFonts w:ascii="宋体" w:hAnsi="宋体"/>
              </w:rPr>
              <w:t>4%</w:t>
            </w:r>
          </w:p>
        </w:tc>
        <w:tc>
          <w:tcPr>
            <w:tcW w:w="1920" w:type="dxa"/>
            <w:vAlign w:val="center"/>
          </w:tcPr>
          <w:p>
            <w:pPr>
              <w:spacing w:line="360" w:lineRule="auto"/>
              <w:jc w:val="center"/>
              <w:rPr>
                <w:rFonts w:ascii="宋体" w:hAnsi="宋体"/>
              </w:rPr>
            </w:pPr>
            <w:r>
              <w:rPr>
                <w:rFonts w:ascii="宋体" w:hAnsi="宋体"/>
              </w:rPr>
              <w:t>8根</w:t>
            </w:r>
          </w:p>
        </w:tc>
        <w:tc>
          <w:tcPr>
            <w:tcW w:w="3120" w:type="dxa"/>
            <w:vAlign w:val="center"/>
          </w:tcPr>
          <w:p>
            <w:pPr>
              <w:spacing w:line="360" w:lineRule="auto"/>
              <w:jc w:val="center"/>
              <w:rPr>
                <w:rFonts w:ascii="宋体" w:hAnsi="宋体"/>
              </w:rPr>
            </w:pPr>
            <w:r>
              <w:rPr>
                <w:rFonts w:ascii="宋体" w:hAnsi="宋体"/>
              </w:rPr>
              <w:t>2根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spacing w:line="360" w:lineRule="auto"/>
              <w:jc w:val="center"/>
              <w:rPr>
                <w:rFonts w:ascii="宋体" w:hAnsi="宋体"/>
              </w:rPr>
            </w:pPr>
            <w:r>
              <w:rPr>
                <w:rFonts w:ascii="宋体" w:hAnsi="宋体"/>
              </w:rPr>
              <w:t>151～250</w:t>
            </w:r>
          </w:p>
        </w:tc>
        <w:tc>
          <w:tcPr>
            <w:tcW w:w="1560" w:type="dxa"/>
            <w:vAlign w:val="center"/>
          </w:tcPr>
          <w:p>
            <w:pPr>
              <w:spacing w:line="360" w:lineRule="auto"/>
              <w:jc w:val="center"/>
              <w:rPr>
                <w:rFonts w:ascii="宋体" w:hAnsi="宋体"/>
              </w:rPr>
            </w:pPr>
            <w:r>
              <w:rPr>
                <w:rFonts w:ascii="宋体" w:hAnsi="宋体"/>
              </w:rPr>
              <w:t>3%</w:t>
            </w:r>
          </w:p>
        </w:tc>
        <w:tc>
          <w:tcPr>
            <w:tcW w:w="1920" w:type="dxa"/>
            <w:vAlign w:val="center"/>
          </w:tcPr>
          <w:p>
            <w:pPr>
              <w:spacing w:line="360" w:lineRule="auto"/>
              <w:jc w:val="center"/>
              <w:rPr>
                <w:rFonts w:ascii="宋体" w:hAnsi="宋体"/>
              </w:rPr>
            </w:pPr>
            <w:r>
              <w:rPr>
                <w:rFonts w:ascii="宋体" w:hAnsi="宋体"/>
              </w:rPr>
              <w:t>10根</w:t>
            </w:r>
          </w:p>
        </w:tc>
        <w:tc>
          <w:tcPr>
            <w:tcW w:w="3120" w:type="dxa"/>
            <w:vAlign w:val="center"/>
          </w:tcPr>
          <w:p>
            <w:pPr>
              <w:spacing w:line="360" w:lineRule="auto"/>
              <w:jc w:val="center"/>
              <w:rPr>
                <w:rFonts w:ascii="宋体" w:hAnsi="宋体"/>
              </w:rPr>
            </w:pPr>
            <w:r>
              <w:rPr>
                <w:rFonts w:ascii="宋体" w:hAnsi="宋体"/>
              </w:rPr>
              <w:t>2根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spacing w:line="360" w:lineRule="auto"/>
              <w:jc w:val="center"/>
              <w:rPr>
                <w:rFonts w:ascii="宋体" w:hAnsi="宋体"/>
              </w:rPr>
            </w:pPr>
            <w:r>
              <w:rPr>
                <w:rFonts w:ascii="宋体" w:hAnsi="宋体"/>
              </w:rPr>
              <w:t>251～500</w:t>
            </w:r>
          </w:p>
        </w:tc>
        <w:tc>
          <w:tcPr>
            <w:tcW w:w="1560" w:type="dxa"/>
            <w:vAlign w:val="center"/>
          </w:tcPr>
          <w:p>
            <w:pPr>
              <w:spacing w:line="360" w:lineRule="auto"/>
              <w:jc w:val="center"/>
              <w:rPr>
                <w:rFonts w:ascii="宋体" w:hAnsi="宋体"/>
              </w:rPr>
            </w:pPr>
            <w:r>
              <w:rPr>
                <w:rFonts w:ascii="宋体" w:hAnsi="宋体"/>
              </w:rPr>
              <w:t>2%</w:t>
            </w:r>
          </w:p>
        </w:tc>
        <w:tc>
          <w:tcPr>
            <w:tcW w:w="1920" w:type="dxa"/>
            <w:vAlign w:val="center"/>
          </w:tcPr>
          <w:p>
            <w:pPr>
              <w:spacing w:line="360" w:lineRule="auto"/>
              <w:jc w:val="center"/>
              <w:rPr>
                <w:rFonts w:ascii="宋体" w:hAnsi="宋体"/>
              </w:rPr>
            </w:pPr>
            <w:r>
              <w:rPr>
                <w:rFonts w:ascii="宋体" w:hAnsi="宋体"/>
              </w:rPr>
              <w:t>14根</w:t>
            </w:r>
          </w:p>
        </w:tc>
        <w:tc>
          <w:tcPr>
            <w:tcW w:w="3120" w:type="dxa"/>
            <w:vAlign w:val="center"/>
          </w:tcPr>
          <w:p>
            <w:pPr>
              <w:spacing w:line="360" w:lineRule="auto"/>
              <w:jc w:val="center"/>
              <w:rPr>
                <w:rFonts w:ascii="宋体" w:hAnsi="宋体"/>
              </w:rPr>
            </w:pPr>
            <w:r>
              <w:rPr>
                <w:rFonts w:ascii="宋体" w:hAnsi="宋体"/>
              </w:rPr>
              <w:t>3根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spacing w:line="360" w:lineRule="auto"/>
              <w:jc w:val="center"/>
              <w:rPr>
                <w:rFonts w:ascii="宋体" w:hAnsi="宋体"/>
              </w:rPr>
            </w:pPr>
            <w:r>
              <w:rPr>
                <w:rFonts w:ascii="宋体" w:hAnsi="宋体"/>
              </w:rPr>
              <w:t>501～1000</w:t>
            </w:r>
          </w:p>
        </w:tc>
        <w:tc>
          <w:tcPr>
            <w:tcW w:w="1560" w:type="dxa"/>
            <w:vAlign w:val="center"/>
          </w:tcPr>
          <w:p>
            <w:pPr>
              <w:spacing w:line="360" w:lineRule="auto"/>
              <w:jc w:val="center"/>
              <w:rPr>
                <w:rFonts w:ascii="宋体" w:hAnsi="宋体"/>
              </w:rPr>
            </w:pPr>
            <w:r>
              <w:rPr>
                <w:rFonts w:ascii="宋体" w:hAnsi="宋体"/>
              </w:rPr>
              <w:t>1.5%</w:t>
            </w:r>
          </w:p>
        </w:tc>
        <w:tc>
          <w:tcPr>
            <w:tcW w:w="1920" w:type="dxa"/>
            <w:vAlign w:val="center"/>
          </w:tcPr>
          <w:p>
            <w:pPr>
              <w:spacing w:line="360" w:lineRule="auto"/>
              <w:jc w:val="center"/>
              <w:rPr>
                <w:rFonts w:ascii="宋体" w:hAnsi="宋体"/>
              </w:rPr>
            </w:pPr>
            <w:r>
              <w:rPr>
                <w:rFonts w:ascii="宋体" w:hAnsi="宋体"/>
              </w:rPr>
              <w:t>20根</w:t>
            </w:r>
          </w:p>
        </w:tc>
        <w:tc>
          <w:tcPr>
            <w:tcW w:w="3120" w:type="dxa"/>
            <w:vAlign w:val="center"/>
          </w:tcPr>
          <w:p>
            <w:pPr>
              <w:spacing w:line="360" w:lineRule="auto"/>
              <w:jc w:val="center"/>
              <w:rPr>
                <w:rFonts w:ascii="宋体" w:hAnsi="宋体"/>
              </w:rPr>
            </w:pPr>
            <w:r>
              <w:rPr>
                <w:rFonts w:ascii="宋体" w:hAnsi="宋体"/>
              </w:rPr>
              <w:t>4根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spacing w:line="360" w:lineRule="auto"/>
              <w:jc w:val="center"/>
              <w:rPr>
                <w:rFonts w:ascii="宋体" w:hAnsi="宋体"/>
              </w:rPr>
            </w:pPr>
            <w:r>
              <w:rPr>
                <w:rFonts w:ascii="宋体" w:hAnsi="宋体"/>
              </w:rPr>
              <w:t>大于1000</w:t>
            </w:r>
          </w:p>
        </w:tc>
        <w:tc>
          <w:tcPr>
            <w:tcW w:w="1560" w:type="dxa"/>
            <w:vAlign w:val="center"/>
          </w:tcPr>
          <w:p>
            <w:pPr>
              <w:spacing w:line="360" w:lineRule="auto"/>
              <w:jc w:val="center"/>
              <w:rPr>
                <w:rFonts w:ascii="宋体" w:hAnsi="宋体"/>
              </w:rPr>
            </w:pPr>
            <w:r>
              <w:rPr>
                <w:rFonts w:ascii="宋体" w:hAnsi="宋体"/>
              </w:rPr>
              <w:t>1%</w:t>
            </w:r>
          </w:p>
        </w:tc>
        <w:tc>
          <w:tcPr>
            <w:tcW w:w="1920" w:type="dxa"/>
            <w:vAlign w:val="center"/>
          </w:tcPr>
          <w:p>
            <w:pPr>
              <w:spacing w:line="360" w:lineRule="auto"/>
              <w:jc w:val="center"/>
              <w:rPr>
                <w:rFonts w:ascii="宋体" w:hAnsi="宋体"/>
              </w:rPr>
            </w:pPr>
            <w:r>
              <w:rPr>
                <w:rFonts w:ascii="宋体" w:hAnsi="宋体"/>
              </w:rPr>
              <w:t>2%</w:t>
            </w:r>
          </w:p>
        </w:tc>
        <w:tc>
          <w:tcPr>
            <w:tcW w:w="3120" w:type="dxa"/>
            <w:vAlign w:val="center"/>
          </w:tcPr>
          <w:p>
            <w:pPr>
              <w:spacing w:line="360" w:lineRule="auto"/>
              <w:jc w:val="center"/>
              <w:rPr>
                <w:rFonts w:ascii="宋体" w:hAnsi="宋体"/>
              </w:rPr>
            </w:pPr>
            <w:r>
              <w:rPr>
                <w:rFonts w:ascii="宋体" w:hAnsi="宋体"/>
              </w:rPr>
              <w:t>取样的20%</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若本批产品不合格，承包商的制造商可作如下要求；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如样品试验结果允许被低级别所接受，本批管可降级处理，并应标明“降低级别”。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对本批管件逐根进行试验，把达标管件挑选出来。在此种情况下，承包商应支付工程技术人员的全部费用。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（2）压力管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除了规定的样品测试外，应对每一根带有接头的管件进行目视检查，若不符合外观标准或标注错误，应予剔除。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应对管子和接头进行内部压力试验，并提供每根管子的压力试验证书。</w:t>
      </w:r>
    </w:p>
    <w:p>
      <w:pPr>
        <w:adjustRightInd w:val="0"/>
        <w:snapToGrid w:val="0"/>
        <w:spacing w:line="360" w:lineRule="auto"/>
        <w:jc w:val="left"/>
        <w:outlineLvl w:val="0"/>
        <w:rPr>
          <w:rFonts w:ascii="宋体" w:hAnsi="宋体"/>
          <w:b/>
          <w:bCs/>
          <w:szCs w:val="20"/>
        </w:rPr>
      </w:pPr>
      <w:bookmarkStart w:id="5095" w:name="_Toc409594311"/>
      <w:bookmarkStart w:id="5096" w:name="_Toc15787619"/>
      <w:bookmarkStart w:id="5097" w:name="_Toc437318347"/>
      <w:bookmarkStart w:id="5098" w:name="_Toc521493200"/>
      <w:bookmarkStart w:id="5099" w:name="_Toc518376863"/>
      <w:bookmarkStart w:id="5100" w:name="_Toc518058804"/>
      <w:bookmarkStart w:id="5101" w:name="_Toc436811058"/>
      <w:bookmarkStart w:id="5102" w:name="_Toc266663101"/>
      <w:bookmarkStart w:id="5103" w:name="_Toc271232455"/>
      <w:bookmarkStart w:id="5104" w:name="_Toc202671070"/>
      <w:bookmarkStart w:id="5105" w:name="_Toc16242468"/>
      <w:bookmarkStart w:id="5106" w:name="_Toc521492343"/>
      <w:bookmarkStart w:id="5107" w:name="_Toc521493874"/>
      <w:bookmarkStart w:id="5108" w:name="_Toc106883483"/>
      <w:r>
        <w:rPr>
          <w:rFonts w:hint="eastAsia" w:ascii="宋体" w:hAnsi="宋体"/>
          <w:b/>
          <w:bCs/>
          <w:szCs w:val="20"/>
        </w:rPr>
        <w:t>5.8.</w:t>
      </w:r>
      <w:r>
        <w:rPr>
          <w:rFonts w:ascii="宋体" w:hAnsi="宋体"/>
          <w:b/>
          <w:bCs/>
          <w:szCs w:val="20"/>
        </w:rPr>
        <w:t>2 金属管件的类型和常规测试</w:t>
      </w:r>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对于钢管、球墨铸铁管所要求的测试详见表</w:t>
      </w:r>
      <w:r>
        <w:rPr>
          <w:rFonts w:hint="eastAsia" w:ascii="宋体" w:hAnsi="宋体"/>
          <w:kern w:val="0"/>
          <w:szCs w:val="21"/>
        </w:rPr>
        <w:t>1</w:t>
      </w:r>
      <w:r>
        <w:rPr>
          <w:rFonts w:ascii="宋体" w:hAnsi="宋体"/>
          <w:kern w:val="0"/>
          <w:szCs w:val="21"/>
        </w:rPr>
        <w:t>4</w:t>
      </w:r>
      <w:r>
        <w:rPr>
          <w:rFonts w:hint="eastAsia" w:ascii="宋体" w:hAnsi="宋体"/>
          <w:kern w:val="0"/>
          <w:szCs w:val="21"/>
        </w:rPr>
        <w:t>.</w:t>
      </w:r>
      <w:r>
        <w:rPr>
          <w:rFonts w:ascii="宋体" w:hAnsi="宋体"/>
          <w:kern w:val="0"/>
          <w:szCs w:val="21"/>
        </w:rPr>
        <w:t>8-2。</w:t>
      </w:r>
      <w:bookmarkStart w:id="5109" w:name="_Hlt16351157"/>
      <w:bookmarkEnd w:id="5109"/>
    </w:p>
    <w:p>
      <w:pPr>
        <w:jc w:val="center"/>
        <w:rPr>
          <w:rFonts w:ascii="宋体" w:hAnsi="宋体"/>
          <w:szCs w:val="21"/>
        </w:rPr>
      </w:pPr>
      <w:r>
        <w:rPr>
          <w:rFonts w:ascii="宋体" w:hAnsi="宋体"/>
          <w:b/>
          <w:szCs w:val="21"/>
        </w:rPr>
        <w:t xml:space="preserve">                  </w:t>
      </w:r>
      <w:r>
        <w:rPr>
          <w:rFonts w:ascii="宋体" w:hAnsi="宋体"/>
          <w:szCs w:val="21"/>
        </w:rPr>
        <w:t>金属管件的类型及常规测试                  表</w:t>
      </w:r>
      <w:r>
        <w:rPr>
          <w:rFonts w:hint="eastAsia" w:ascii="宋体" w:hAnsi="宋体"/>
          <w:szCs w:val="21"/>
        </w:rPr>
        <w:t>5.</w:t>
      </w:r>
      <w:r>
        <w:rPr>
          <w:rFonts w:ascii="宋体" w:hAnsi="宋体"/>
          <w:szCs w:val="21"/>
        </w:rPr>
        <w:t>8-2</w:t>
      </w:r>
    </w:p>
    <w:tbl>
      <w:tblPr>
        <w:tblStyle w:val="77"/>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3748"/>
        <w:gridCol w:w="47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tcBorders>
              <w:tl2br w:val="single" w:color="auto" w:sz="4" w:space="0"/>
            </w:tcBorders>
            <w:vAlign w:val="center"/>
          </w:tcPr>
          <w:p>
            <w:pPr>
              <w:spacing w:line="360" w:lineRule="exact"/>
              <w:jc w:val="right"/>
              <w:rPr>
                <w:rFonts w:ascii="宋体" w:hAnsi="宋体"/>
              </w:rPr>
            </w:pPr>
            <w:r>
              <w:rPr>
                <w:rFonts w:ascii="宋体" w:hAnsi="宋体"/>
              </w:rPr>
              <w:t xml:space="preserve">管件材料 </w:t>
            </w:r>
          </w:p>
          <w:p>
            <w:pPr>
              <w:spacing w:line="360" w:lineRule="exact"/>
              <w:rPr>
                <w:rFonts w:ascii="宋体" w:hAnsi="宋体"/>
              </w:rPr>
            </w:pPr>
            <w:r>
              <w:rPr>
                <w:rFonts w:ascii="宋体" w:hAnsi="宋体"/>
              </w:rPr>
              <w:t>测试内容</w:t>
            </w:r>
          </w:p>
        </w:tc>
        <w:tc>
          <w:tcPr>
            <w:tcW w:w="4735" w:type="dxa"/>
            <w:vAlign w:val="center"/>
          </w:tcPr>
          <w:p>
            <w:pPr>
              <w:spacing w:line="360" w:lineRule="exact"/>
              <w:jc w:val="center"/>
              <w:rPr>
                <w:rFonts w:ascii="宋体" w:hAnsi="宋体"/>
              </w:rPr>
            </w:pPr>
            <w:r>
              <w:rPr>
                <w:rFonts w:ascii="宋体" w:hAnsi="宋体"/>
              </w:rPr>
              <w:t>钢/球墨铸铁管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类型测试</w:t>
            </w:r>
          </w:p>
        </w:tc>
        <w:tc>
          <w:tcPr>
            <w:tcW w:w="4735" w:type="dxa"/>
            <w:vAlign w:val="center"/>
          </w:tcPr>
          <w:p>
            <w:pPr>
              <w:spacing w:line="360" w:lineRule="exact"/>
              <w:jc w:val="center"/>
              <w:rPr>
                <w:rFonts w:ascii="宋体" w:hAnsi="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破损压力</w:t>
            </w:r>
          </w:p>
        </w:tc>
        <w:tc>
          <w:tcPr>
            <w:tcW w:w="4735" w:type="dxa"/>
            <w:vAlign w:val="center"/>
          </w:tcPr>
          <w:p>
            <w:pPr>
              <w:spacing w:line="360" w:lineRule="exact"/>
              <w:jc w:val="center"/>
              <w:rPr>
                <w:rFonts w:ascii="宋体" w:hAnsi="宋体"/>
              </w:rPr>
            </w:pPr>
            <w:r>
              <w:rPr>
                <w:rFonts w:ascii="宋体" w:hAnsi="宋体"/>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接头水密性</w:t>
            </w:r>
          </w:p>
        </w:tc>
        <w:tc>
          <w:tcPr>
            <w:tcW w:w="4735" w:type="dxa"/>
            <w:vAlign w:val="center"/>
          </w:tcPr>
          <w:p>
            <w:pPr>
              <w:spacing w:line="360" w:lineRule="exact"/>
              <w:jc w:val="center"/>
              <w:rPr>
                <w:rFonts w:ascii="宋体" w:hAnsi="宋体"/>
              </w:rPr>
            </w:pPr>
            <w:r>
              <w:rPr>
                <w:rFonts w:ascii="宋体" w:hAnsi="宋体"/>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弯曲试验</w:t>
            </w:r>
          </w:p>
        </w:tc>
        <w:tc>
          <w:tcPr>
            <w:tcW w:w="4735" w:type="dxa"/>
            <w:vAlign w:val="center"/>
          </w:tcPr>
          <w:p>
            <w:pPr>
              <w:spacing w:line="360" w:lineRule="exact"/>
              <w:jc w:val="center"/>
              <w:rPr>
                <w:rFonts w:ascii="宋体" w:hAnsi="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（灰浆衬砌管）</w:t>
            </w:r>
          </w:p>
        </w:tc>
        <w:tc>
          <w:tcPr>
            <w:tcW w:w="4735" w:type="dxa"/>
            <w:vAlign w:val="center"/>
          </w:tcPr>
          <w:p>
            <w:pPr>
              <w:spacing w:line="360" w:lineRule="exact"/>
              <w:jc w:val="center"/>
              <w:rPr>
                <w:rFonts w:ascii="宋体" w:hAnsi="宋体"/>
              </w:rPr>
            </w:pPr>
            <w:r>
              <w:rPr>
                <w:rFonts w:ascii="宋体" w:hAnsi="宋体"/>
              </w:rPr>
              <w:t>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常规测试</w:t>
            </w:r>
          </w:p>
        </w:tc>
        <w:tc>
          <w:tcPr>
            <w:tcW w:w="4735" w:type="dxa"/>
            <w:vAlign w:val="center"/>
          </w:tcPr>
          <w:p>
            <w:pPr>
              <w:spacing w:line="360" w:lineRule="exact"/>
              <w:jc w:val="center"/>
              <w:rPr>
                <w:rFonts w:ascii="宋体" w:hAnsi="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化学分析</w:t>
            </w:r>
          </w:p>
        </w:tc>
        <w:tc>
          <w:tcPr>
            <w:tcW w:w="4735" w:type="dxa"/>
            <w:vAlign w:val="center"/>
          </w:tcPr>
          <w:p>
            <w:pPr>
              <w:spacing w:line="360" w:lineRule="exact"/>
              <w:jc w:val="center"/>
              <w:rPr>
                <w:rFonts w:ascii="宋体" w:hAnsi="宋体"/>
              </w:rPr>
            </w:pPr>
            <w:r>
              <w:rPr>
                <w:rFonts w:ascii="宋体" w:hAnsi="宋体"/>
              </w:rPr>
              <w:t>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拉力试验</w:t>
            </w:r>
          </w:p>
        </w:tc>
        <w:tc>
          <w:tcPr>
            <w:tcW w:w="4735" w:type="dxa"/>
            <w:vAlign w:val="center"/>
          </w:tcPr>
          <w:p>
            <w:pPr>
              <w:spacing w:line="360" w:lineRule="exact"/>
              <w:jc w:val="center"/>
              <w:rPr>
                <w:rFonts w:ascii="宋体" w:hAnsi="宋体"/>
              </w:rPr>
            </w:pPr>
            <w:r>
              <w:rPr>
                <w:rFonts w:ascii="宋体" w:hAnsi="宋体"/>
              </w:rPr>
              <w:t>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挠曲强度</w:t>
            </w:r>
          </w:p>
        </w:tc>
        <w:tc>
          <w:tcPr>
            <w:tcW w:w="4735" w:type="dxa"/>
            <w:vAlign w:val="center"/>
          </w:tcPr>
          <w:p>
            <w:pPr>
              <w:spacing w:line="360" w:lineRule="exact"/>
              <w:jc w:val="center"/>
              <w:rPr>
                <w:rFonts w:ascii="宋体" w:hAnsi="宋体"/>
              </w:rPr>
            </w:pPr>
            <w:r>
              <w:rPr>
                <w:rFonts w:ascii="宋体" w:hAnsi="宋体"/>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冲击试验</w:t>
            </w:r>
          </w:p>
        </w:tc>
        <w:tc>
          <w:tcPr>
            <w:tcW w:w="4735" w:type="dxa"/>
            <w:vAlign w:val="center"/>
          </w:tcPr>
          <w:p>
            <w:pPr>
              <w:spacing w:line="360" w:lineRule="exact"/>
              <w:jc w:val="center"/>
              <w:rPr>
                <w:rFonts w:ascii="宋体" w:hAnsi="宋体"/>
              </w:rPr>
            </w:pPr>
            <w:r>
              <w:rPr>
                <w:rFonts w:ascii="宋体" w:hAnsi="宋体"/>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压扁试验</w:t>
            </w:r>
          </w:p>
        </w:tc>
        <w:tc>
          <w:tcPr>
            <w:tcW w:w="4735" w:type="dxa"/>
            <w:vAlign w:val="center"/>
          </w:tcPr>
          <w:p>
            <w:pPr>
              <w:spacing w:line="360" w:lineRule="exact"/>
              <w:jc w:val="center"/>
              <w:rPr>
                <w:rFonts w:ascii="宋体" w:hAnsi="宋体"/>
              </w:rPr>
            </w:pPr>
            <w:r>
              <w:rPr>
                <w:rFonts w:ascii="宋体" w:hAnsi="宋体"/>
              </w:rPr>
              <w:t>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焊缝弯曲测试</w:t>
            </w:r>
          </w:p>
        </w:tc>
        <w:tc>
          <w:tcPr>
            <w:tcW w:w="4735" w:type="dxa"/>
            <w:vAlign w:val="center"/>
          </w:tcPr>
          <w:p>
            <w:pPr>
              <w:spacing w:line="360" w:lineRule="exact"/>
              <w:jc w:val="center"/>
              <w:rPr>
                <w:rFonts w:ascii="宋体" w:hAnsi="宋体"/>
              </w:rPr>
            </w:pPr>
            <w:r>
              <w:rPr>
                <w:rFonts w:ascii="宋体" w:hAnsi="宋体"/>
              </w:rPr>
              <w:t>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布氏硬度</w:t>
            </w:r>
          </w:p>
        </w:tc>
        <w:tc>
          <w:tcPr>
            <w:tcW w:w="4735" w:type="dxa"/>
            <w:vAlign w:val="center"/>
          </w:tcPr>
          <w:p>
            <w:pPr>
              <w:spacing w:line="360" w:lineRule="exact"/>
              <w:jc w:val="center"/>
              <w:rPr>
                <w:rFonts w:ascii="宋体" w:hAnsi="宋体"/>
              </w:rPr>
            </w:pPr>
            <w:r>
              <w:rPr>
                <w:rFonts w:ascii="宋体" w:hAnsi="宋体"/>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水力测试</w:t>
            </w:r>
          </w:p>
        </w:tc>
        <w:tc>
          <w:tcPr>
            <w:tcW w:w="4735" w:type="dxa"/>
            <w:vAlign w:val="center"/>
          </w:tcPr>
          <w:p>
            <w:pPr>
              <w:spacing w:line="360" w:lineRule="exact"/>
              <w:jc w:val="center"/>
              <w:rPr>
                <w:rFonts w:ascii="宋体" w:hAnsi="宋体"/>
              </w:rPr>
            </w:pPr>
            <w:r>
              <w:rPr>
                <w:rFonts w:ascii="宋体" w:hAnsi="宋体"/>
              </w:rPr>
              <w:t>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 w:hRule="atLeast"/>
        </w:trPr>
        <w:tc>
          <w:tcPr>
            <w:tcW w:w="3748" w:type="dxa"/>
            <w:vAlign w:val="center"/>
          </w:tcPr>
          <w:p>
            <w:pPr>
              <w:spacing w:line="360" w:lineRule="exact"/>
              <w:jc w:val="center"/>
              <w:rPr>
                <w:rFonts w:ascii="宋体" w:hAnsi="宋体"/>
              </w:rPr>
            </w:pPr>
            <w:r>
              <w:rPr>
                <w:rFonts w:ascii="宋体" w:hAnsi="宋体"/>
              </w:rPr>
              <w:t>焊缝检测</w:t>
            </w:r>
          </w:p>
        </w:tc>
        <w:tc>
          <w:tcPr>
            <w:tcW w:w="4735" w:type="dxa"/>
            <w:vAlign w:val="center"/>
          </w:tcPr>
          <w:p>
            <w:pPr>
              <w:spacing w:line="360" w:lineRule="exact"/>
              <w:jc w:val="center"/>
              <w:rPr>
                <w:rFonts w:ascii="宋体" w:hAnsi="宋体"/>
              </w:rPr>
            </w:pPr>
            <w:r>
              <w:rPr>
                <w:rFonts w:ascii="宋体" w:hAnsi="宋体"/>
              </w:rPr>
              <w:t>是</w:t>
            </w:r>
          </w:p>
        </w:tc>
      </w:tr>
    </w:tbl>
    <w:p>
      <w:pPr>
        <w:adjustRightInd w:val="0"/>
        <w:snapToGrid w:val="0"/>
        <w:spacing w:line="360" w:lineRule="auto"/>
        <w:jc w:val="left"/>
        <w:outlineLvl w:val="2"/>
        <w:rPr>
          <w:rFonts w:ascii="宋体" w:hAnsi="宋体"/>
          <w:b/>
          <w:bCs/>
          <w:szCs w:val="20"/>
        </w:rPr>
      </w:pPr>
      <w:bookmarkStart w:id="5110" w:name="_Toc202671071"/>
      <w:bookmarkStart w:id="5111" w:name="_Toc15787620"/>
      <w:bookmarkStart w:id="5112" w:name="_Toc437318348"/>
      <w:bookmarkStart w:id="5113" w:name="_Toc409594312"/>
      <w:bookmarkStart w:id="5114" w:name="_Toc266663102"/>
      <w:bookmarkStart w:id="5115" w:name="_Toc271232456"/>
      <w:bookmarkStart w:id="5116" w:name="_Toc436811059"/>
      <w:bookmarkStart w:id="5117" w:name="_Toc106883484"/>
      <w:bookmarkStart w:id="5118" w:name="_Toc521493875"/>
      <w:bookmarkStart w:id="5119" w:name="_Toc521492344"/>
      <w:bookmarkStart w:id="5120" w:name="_Toc521493201"/>
      <w:bookmarkStart w:id="5121" w:name="_Toc518058805"/>
      <w:bookmarkStart w:id="5122" w:name="_Toc518376864"/>
      <w:r>
        <w:rPr>
          <w:rFonts w:hint="eastAsia" w:ascii="宋体" w:hAnsi="宋体"/>
          <w:b/>
          <w:bCs/>
          <w:szCs w:val="20"/>
        </w:rPr>
        <w:t>5.8.</w:t>
      </w:r>
      <w:r>
        <w:rPr>
          <w:rFonts w:ascii="宋体" w:hAnsi="宋体"/>
          <w:b/>
          <w:bCs/>
          <w:szCs w:val="20"/>
        </w:rPr>
        <w:t>3 金属管件的目视检查</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所有的钢管以及管线配件在任何时候都应按表14-8-3所列要求进行目视检查，如果发现不合格的地方可拒绝接受或对允许的部位进行修补。从不合格的管子上把未受损坏或未受影响部分切割下来，但这段切割长度不能少于1m。</w:t>
      </w:r>
    </w:p>
    <w:p>
      <w:pPr>
        <w:jc w:val="center"/>
        <w:rPr>
          <w:rFonts w:ascii="宋体" w:hAnsi="宋体"/>
          <w:szCs w:val="21"/>
        </w:rPr>
      </w:pPr>
      <w:r>
        <w:rPr>
          <w:rFonts w:ascii="宋体" w:hAnsi="宋体"/>
          <w:sz w:val="18"/>
          <w:szCs w:val="18"/>
        </w:rPr>
        <w:t xml:space="preserve">              </w:t>
      </w:r>
      <w:r>
        <w:rPr>
          <w:rFonts w:ascii="宋体" w:hAnsi="宋体"/>
          <w:szCs w:val="21"/>
        </w:rPr>
        <w:t>金属管件目视检查要求                  表</w:t>
      </w:r>
      <w:r>
        <w:rPr>
          <w:rFonts w:hint="eastAsia" w:ascii="宋体" w:hAnsi="宋体"/>
          <w:szCs w:val="21"/>
        </w:rPr>
        <w:t>5</w:t>
      </w:r>
      <w:r>
        <w:rPr>
          <w:rFonts w:ascii="宋体" w:hAnsi="宋体"/>
          <w:szCs w:val="21"/>
        </w:rPr>
        <w:t>-8-3</w:t>
      </w:r>
    </w:p>
    <w:tbl>
      <w:tblPr>
        <w:tblStyle w:val="77"/>
        <w:tblW w:w="0" w:type="auto"/>
        <w:tblInd w:w="0" w:type="dxa"/>
        <w:tblLayout w:type="fixed"/>
        <w:tblCellMar>
          <w:top w:w="0" w:type="dxa"/>
          <w:left w:w="28" w:type="dxa"/>
          <w:bottom w:w="0" w:type="dxa"/>
          <w:right w:w="28" w:type="dxa"/>
        </w:tblCellMar>
      </w:tblPr>
      <w:tblGrid>
        <w:gridCol w:w="1708"/>
        <w:gridCol w:w="6719"/>
      </w:tblGrid>
      <w:tr>
        <w:tblPrEx>
          <w:tblCellMar>
            <w:top w:w="0" w:type="dxa"/>
            <w:left w:w="28" w:type="dxa"/>
            <w:bottom w:w="0" w:type="dxa"/>
            <w:right w:w="28" w:type="dxa"/>
          </w:tblCellMar>
        </w:tblPrEx>
        <w:trPr>
          <w:cantSplit/>
        </w:trPr>
        <w:tc>
          <w:tcPr>
            <w:tcW w:w="1708" w:type="dxa"/>
            <w:vMerge w:val="restart"/>
            <w:tcBorders>
              <w:top w:val="single" w:color="auto" w:sz="6" w:space="0"/>
              <w:left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内         容</w:t>
            </w:r>
          </w:p>
        </w:tc>
        <w:tc>
          <w:tcPr>
            <w:tcW w:w="6719" w:type="dxa"/>
            <w:tcBorders>
              <w:top w:val="single" w:color="auto" w:sz="6" w:space="0"/>
              <w:left w:val="single" w:color="auto" w:sz="6" w:space="0"/>
              <w:bottom w:val="single" w:color="auto" w:sz="6" w:space="0"/>
              <w:right w:val="single" w:color="auto" w:sz="6" w:space="0"/>
            </w:tcBorders>
          </w:tcPr>
          <w:p>
            <w:pPr>
              <w:widowControl/>
              <w:spacing w:line="240" w:lineRule="atLeast"/>
              <w:jc w:val="center"/>
              <w:rPr>
                <w:rFonts w:ascii="宋体" w:hAnsi="宋体"/>
                <w:sz w:val="18"/>
                <w:szCs w:val="18"/>
              </w:rPr>
            </w:pPr>
            <w:r>
              <w:rPr>
                <w:rFonts w:ascii="宋体" w:hAnsi="宋体"/>
                <w:sz w:val="18"/>
                <w:szCs w:val="18"/>
              </w:rPr>
              <w:t>要求</w:t>
            </w:r>
          </w:p>
        </w:tc>
      </w:tr>
      <w:tr>
        <w:tblPrEx>
          <w:tblCellMar>
            <w:top w:w="0" w:type="dxa"/>
            <w:left w:w="28" w:type="dxa"/>
            <w:bottom w:w="0" w:type="dxa"/>
            <w:right w:w="28" w:type="dxa"/>
          </w:tblCellMar>
        </w:tblPrEx>
        <w:trPr>
          <w:cantSplit/>
          <w:trHeight w:val="128" w:hRule="atLeast"/>
        </w:trPr>
        <w:tc>
          <w:tcPr>
            <w:tcW w:w="1708" w:type="dxa"/>
            <w:vMerge w:val="continue"/>
            <w:tcBorders>
              <w:left w:val="single" w:color="auto" w:sz="6" w:space="0"/>
              <w:bottom w:val="single" w:color="auto" w:sz="6" w:space="0"/>
              <w:right w:val="single" w:color="auto" w:sz="6" w:space="0"/>
            </w:tcBorders>
          </w:tcPr>
          <w:p>
            <w:pPr>
              <w:widowControl/>
              <w:spacing w:line="240" w:lineRule="atLeast"/>
              <w:jc w:val="center"/>
              <w:rPr>
                <w:rFonts w:ascii="宋体" w:hAnsi="宋体"/>
                <w:sz w:val="18"/>
                <w:szCs w:val="18"/>
              </w:rPr>
            </w:pPr>
          </w:p>
        </w:tc>
        <w:tc>
          <w:tcPr>
            <w:tcW w:w="6719" w:type="dxa"/>
            <w:tcBorders>
              <w:top w:val="single" w:color="auto" w:sz="6" w:space="0"/>
              <w:left w:val="single" w:color="auto" w:sz="6" w:space="0"/>
              <w:bottom w:val="single" w:color="auto" w:sz="6" w:space="0"/>
              <w:right w:val="single" w:color="auto" w:sz="6" w:space="0"/>
            </w:tcBorders>
          </w:tcPr>
          <w:p>
            <w:pPr>
              <w:widowControl/>
              <w:spacing w:line="240" w:lineRule="atLeast"/>
              <w:jc w:val="center"/>
              <w:rPr>
                <w:rFonts w:ascii="宋体" w:hAnsi="宋体"/>
                <w:sz w:val="18"/>
                <w:szCs w:val="18"/>
              </w:rPr>
            </w:pPr>
            <w:r>
              <w:rPr>
                <w:rFonts w:ascii="宋体" w:hAnsi="宋体"/>
                <w:sz w:val="18"/>
                <w:szCs w:val="18"/>
              </w:rPr>
              <w:t>钢管</w:t>
            </w:r>
          </w:p>
        </w:tc>
      </w:tr>
      <w:tr>
        <w:tblPrEx>
          <w:tblCellMar>
            <w:top w:w="0" w:type="dxa"/>
            <w:left w:w="28" w:type="dxa"/>
            <w:bottom w:w="0" w:type="dxa"/>
            <w:right w:w="28" w:type="dxa"/>
          </w:tblCellMar>
        </w:tblPrEx>
        <w:trPr>
          <w:cantSplit/>
          <w:trHeight w:val="128" w:hRule="atLeast"/>
        </w:trPr>
        <w:tc>
          <w:tcPr>
            <w:tcW w:w="1708" w:type="dxa"/>
            <w:tcBorders>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椭圆度</w:t>
            </w:r>
          </w:p>
        </w:tc>
        <w:tc>
          <w:tcPr>
            <w:tcW w:w="6719" w:type="dxa"/>
            <w:tcBorders>
              <w:top w:val="single" w:color="auto" w:sz="6" w:space="0"/>
              <w:left w:val="single" w:color="auto" w:sz="6" w:space="0"/>
              <w:bottom w:val="single" w:color="auto" w:sz="6" w:space="0"/>
              <w:right w:val="single" w:color="auto" w:sz="6" w:space="0"/>
            </w:tcBorders>
          </w:tcPr>
          <w:p>
            <w:pPr>
              <w:widowControl/>
              <w:spacing w:line="240" w:lineRule="atLeast"/>
              <w:jc w:val="center"/>
              <w:rPr>
                <w:rFonts w:ascii="宋体" w:hAnsi="宋体"/>
                <w:sz w:val="18"/>
                <w:szCs w:val="18"/>
              </w:rPr>
            </w:pPr>
            <w:r>
              <w:rPr>
                <w:rFonts w:ascii="宋体" w:hAnsi="宋体"/>
                <w:sz w:val="18"/>
                <w:szCs w:val="18"/>
              </w:rPr>
              <w:t>±1%</w:t>
            </w:r>
          </w:p>
        </w:tc>
      </w:tr>
      <w:tr>
        <w:tblPrEx>
          <w:tblCellMar>
            <w:top w:w="0" w:type="dxa"/>
            <w:left w:w="28" w:type="dxa"/>
            <w:bottom w:w="0" w:type="dxa"/>
            <w:right w:w="28" w:type="dxa"/>
          </w:tblCellMar>
        </w:tblPrEx>
        <w:trPr>
          <w:cantSplit/>
          <w:trHeight w:val="128" w:hRule="atLeast"/>
        </w:trPr>
        <w:tc>
          <w:tcPr>
            <w:tcW w:w="170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凹坑和弯曲</w:t>
            </w:r>
          </w:p>
        </w:tc>
        <w:tc>
          <w:tcPr>
            <w:tcW w:w="6719" w:type="dxa"/>
            <w:tcBorders>
              <w:top w:val="single" w:color="auto" w:sz="6" w:space="0"/>
              <w:left w:val="single" w:color="auto" w:sz="6" w:space="0"/>
              <w:bottom w:val="single" w:color="auto" w:sz="6" w:space="0"/>
              <w:right w:val="single" w:color="auto" w:sz="6" w:space="0"/>
            </w:tcBorders>
          </w:tcPr>
          <w:p>
            <w:pPr>
              <w:widowControl/>
              <w:spacing w:line="240" w:lineRule="atLeast"/>
              <w:jc w:val="center"/>
              <w:rPr>
                <w:rFonts w:ascii="宋体" w:hAnsi="宋体"/>
                <w:sz w:val="18"/>
                <w:szCs w:val="18"/>
              </w:rPr>
            </w:pPr>
            <w:r>
              <w:rPr>
                <w:rFonts w:ascii="宋体" w:hAnsi="宋体"/>
                <w:sz w:val="18"/>
                <w:szCs w:val="18"/>
              </w:rPr>
              <w:t>无</w:t>
            </w:r>
          </w:p>
        </w:tc>
      </w:tr>
      <w:tr>
        <w:tblPrEx>
          <w:tblCellMar>
            <w:top w:w="0" w:type="dxa"/>
            <w:left w:w="28" w:type="dxa"/>
            <w:bottom w:w="0" w:type="dxa"/>
            <w:right w:w="28" w:type="dxa"/>
          </w:tblCellMar>
        </w:tblPrEx>
        <w:trPr>
          <w:cantSplit/>
          <w:trHeight w:val="128" w:hRule="atLeast"/>
        </w:trPr>
        <w:tc>
          <w:tcPr>
            <w:tcW w:w="170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角边和折叠</w:t>
            </w:r>
          </w:p>
        </w:tc>
        <w:tc>
          <w:tcPr>
            <w:tcW w:w="6719" w:type="dxa"/>
            <w:tcBorders>
              <w:top w:val="single" w:color="auto" w:sz="6" w:space="0"/>
              <w:left w:val="single" w:color="auto" w:sz="6" w:space="0"/>
              <w:bottom w:val="single" w:color="auto" w:sz="6" w:space="0"/>
              <w:right w:val="single" w:color="auto" w:sz="6" w:space="0"/>
            </w:tcBorders>
          </w:tcPr>
          <w:p>
            <w:pPr>
              <w:widowControl/>
              <w:spacing w:line="240" w:lineRule="atLeast"/>
              <w:jc w:val="center"/>
              <w:rPr>
                <w:rFonts w:ascii="宋体" w:hAnsi="宋体"/>
                <w:sz w:val="18"/>
                <w:szCs w:val="18"/>
              </w:rPr>
            </w:pPr>
            <w:r>
              <w:rPr>
                <w:rFonts w:ascii="宋体" w:hAnsi="宋体"/>
                <w:sz w:val="18"/>
                <w:szCs w:val="18"/>
              </w:rPr>
              <w:t>无</w:t>
            </w:r>
          </w:p>
        </w:tc>
      </w:tr>
      <w:tr>
        <w:tblPrEx>
          <w:tblCellMar>
            <w:top w:w="0" w:type="dxa"/>
            <w:left w:w="28" w:type="dxa"/>
            <w:bottom w:w="0" w:type="dxa"/>
            <w:right w:w="28" w:type="dxa"/>
          </w:tblCellMar>
        </w:tblPrEx>
        <w:trPr>
          <w:cantSplit/>
          <w:trHeight w:val="128" w:hRule="atLeast"/>
        </w:trPr>
        <w:tc>
          <w:tcPr>
            <w:tcW w:w="170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裂纹和磨损</w:t>
            </w:r>
          </w:p>
        </w:tc>
        <w:tc>
          <w:tcPr>
            <w:tcW w:w="6719" w:type="dxa"/>
            <w:tcBorders>
              <w:top w:val="single" w:color="auto" w:sz="6" w:space="0"/>
              <w:left w:val="single" w:color="auto" w:sz="6" w:space="0"/>
              <w:bottom w:val="single" w:color="auto" w:sz="6" w:space="0"/>
              <w:right w:val="single" w:color="auto" w:sz="6" w:space="0"/>
            </w:tcBorders>
          </w:tcPr>
          <w:p>
            <w:pPr>
              <w:widowControl/>
              <w:spacing w:line="240" w:lineRule="atLeast"/>
              <w:jc w:val="center"/>
              <w:rPr>
                <w:rFonts w:ascii="宋体" w:hAnsi="宋体"/>
                <w:sz w:val="18"/>
                <w:szCs w:val="18"/>
              </w:rPr>
            </w:pPr>
            <w:r>
              <w:rPr>
                <w:rFonts w:ascii="宋体" w:hAnsi="宋体"/>
                <w:sz w:val="18"/>
                <w:szCs w:val="18"/>
              </w:rPr>
              <w:t>不深于壁厚的1/3，或长度为管内径1/4范围，但不深于壁厚1/8；深度超过壁厚1/8，但不超过以上标准，可焊接好后使用</w:t>
            </w:r>
          </w:p>
        </w:tc>
      </w:tr>
      <w:tr>
        <w:tblPrEx>
          <w:tblCellMar>
            <w:top w:w="0" w:type="dxa"/>
            <w:left w:w="28" w:type="dxa"/>
            <w:bottom w:w="0" w:type="dxa"/>
            <w:right w:w="28" w:type="dxa"/>
          </w:tblCellMar>
        </w:tblPrEx>
        <w:trPr>
          <w:cantSplit/>
          <w:trHeight w:val="128" w:hRule="atLeast"/>
        </w:trPr>
        <w:tc>
          <w:tcPr>
            <w:tcW w:w="170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坑槽和空隙</w:t>
            </w:r>
          </w:p>
        </w:tc>
        <w:tc>
          <w:tcPr>
            <w:tcW w:w="6719"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同上</w:t>
            </w:r>
          </w:p>
        </w:tc>
      </w:tr>
    </w:tbl>
    <w:p>
      <w:pPr>
        <w:rPr>
          <w:rFonts w:ascii="宋体" w:hAnsi="宋体"/>
        </w:rPr>
      </w:pPr>
      <w:bookmarkStart w:id="5123" w:name="_Toc271232457"/>
      <w:bookmarkStart w:id="5124" w:name="_Toc436811060"/>
      <w:bookmarkStart w:id="5125" w:name="_Toc518376865"/>
      <w:bookmarkStart w:id="5126" w:name="_Toc409594313"/>
      <w:bookmarkStart w:id="5127" w:name="_Toc521492345"/>
      <w:bookmarkStart w:id="5128" w:name="_Toc518058806"/>
      <w:bookmarkStart w:id="5129" w:name="_Toc521493202"/>
      <w:bookmarkStart w:id="5130" w:name="_Toc521493876"/>
      <w:bookmarkStart w:id="5131" w:name="_Toc266663103"/>
      <w:bookmarkStart w:id="5132" w:name="_Toc202671072"/>
      <w:bookmarkStart w:id="5133" w:name="_Toc15787621"/>
      <w:bookmarkStart w:id="5134" w:name="_Toc437318349"/>
    </w:p>
    <w:p>
      <w:pPr>
        <w:adjustRightInd w:val="0"/>
        <w:snapToGrid w:val="0"/>
        <w:spacing w:line="360" w:lineRule="auto"/>
        <w:jc w:val="left"/>
        <w:outlineLvl w:val="2"/>
        <w:rPr>
          <w:rFonts w:ascii="宋体" w:hAnsi="宋体"/>
          <w:b/>
          <w:bCs/>
          <w:szCs w:val="20"/>
        </w:rPr>
      </w:pPr>
      <w:bookmarkStart w:id="5135" w:name="_Toc106883485"/>
      <w:r>
        <w:rPr>
          <w:rFonts w:hint="eastAsia" w:ascii="宋体" w:hAnsi="宋体"/>
          <w:b/>
          <w:bCs/>
          <w:szCs w:val="20"/>
        </w:rPr>
        <w:t>5.8.</w:t>
      </w:r>
      <w:r>
        <w:rPr>
          <w:rFonts w:ascii="宋体" w:hAnsi="宋体"/>
          <w:b/>
          <w:bCs/>
          <w:szCs w:val="20"/>
        </w:rPr>
        <w:t>4 热塑性管件的类型和常规测试</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对热塑性管件生产所要求的测试项目详见表</w:t>
      </w:r>
      <w:r>
        <w:rPr>
          <w:rFonts w:hint="eastAsia" w:ascii="宋体" w:hAnsi="宋体"/>
          <w:kern w:val="0"/>
          <w:szCs w:val="21"/>
        </w:rPr>
        <w:t>5</w:t>
      </w:r>
      <w:r>
        <w:rPr>
          <w:rFonts w:ascii="宋体" w:hAnsi="宋体"/>
          <w:kern w:val="0"/>
          <w:szCs w:val="21"/>
        </w:rPr>
        <w:t>-8-4。</w:t>
      </w:r>
    </w:p>
    <w:p>
      <w:pPr>
        <w:jc w:val="center"/>
        <w:rPr>
          <w:rFonts w:ascii="宋体" w:hAnsi="宋体"/>
          <w:szCs w:val="21"/>
        </w:rPr>
      </w:pPr>
      <w:r>
        <w:rPr>
          <w:rFonts w:ascii="宋体" w:hAnsi="宋体"/>
          <w:sz w:val="18"/>
          <w:szCs w:val="18"/>
        </w:rPr>
        <w:t xml:space="preserve">　         </w:t>
      </w:r>
      <w:r>
        <w:rPr>
          <w:rFonts w:ascii="宋体" w:hAnsi="宋体"/>
          <w:szCs w:val="21"/>
        </w:rPr>
        <w:t>热塑性管的类型和常规测试　               表</w:t>
      </w:r>
      <w:r>
        <w:rPr>
          <w:rFonts w:hint="eastAsia" w:ascii="宋体" w:hAnsi="宋体"/>
          <w:szCs w:val="21"/>
        </w:rPr>
        <w:t>5</w:t>
      </w:r>
      <w:r>
        <w:rPr>
          <w:rFonts w:ascii="宋体" w:hAnsi="宋体"/>
          <w:szCs w:val="21"/>
        </w:rPr>
        <w:t>-8-4</w:t>
      </w:r>
    </w:p>
    <w:tbl>
      <w:tblPr>
        <w:tblStyle w:val="77"/>
        <w:tblW w:w="0" w:type="auto"/>
        <w:jc w:val="center"/>
        <w:tblLayout w:type="fixed"/>
        <w:tblCellMar>
          <w:top w:w="0" w:type="dxa"/>
          <w:left w:w="28" w:type="dxa"/>
          <w:bottom w:w="0" w:type="dxa"/>
          <w:right w:w="28" w:type="dxa"/>
        </w:tblCellMar>
      </w:tblPr>
      <w:tblGrid>
        <w:gridCol w:w="2428"/>
        <w:gridCol w:w="2460"/>
        <w:gridCol w:w="1776"/>
      </w:tblGrid>
      <w:tr>
        <w:tblPrEx>
          <w:tblCellMar>
            <w:top w:w="0" w:type="dxa"/>
            <w:left w:w="28" w:type="dxa"/>
            <w:bottom w:w="0" w:type="dxa"/>
            <w:right w:w="28" w:type="dxa"/>
          </w:tblCellMar>
        </w:tblPrEx>
        <w:trPr>
          <w:tblHeader/>
          <w:jc w:val="center"/>
        </w:trPr>
        <w:tc>
          <w:tcPr>
            <w:tcW w:w="2428" w:type="dxa"/>
            <w:tcBorders>
              <w:top w:val="single" w:color="auto" w:sz="6" w:space="0"/>
              <w:left w:val="single" w:color="auto" w:sz="6" w:space="0"/>
              <w:bottom w:val="single" w:color="auto" w:sz="6" w:space="0"/>
              <w:right w:val="single" w:color="auto" w:sz="6" w:space="0"/>
              <w:tl2br w:val="single" w:color="auto" w:sz="4" w:space="0"/>
            </w:tcBorders>
            <w:vAlign w:val="center"/>
          </w:tcPr>
          <w:p>
            <w:pPr>
              <w:widowControl/>
              <w:spacing w:line="240" w:lineRule="atLeast"/>
              <w:jc w:val="center"/>
              <w:rPr>
                <w:rFonts w:ascii="宋体" w:hAnsi="宋体"/>
                <w:sz w:val="18"/>
                <w:szCs w:val="18"/>
              </w:rPr>
            </w:pPr>
            <w:r>
              <w:rPr>
                <w:rFonts w:ascii="宋体" w:hAnsi="宋体"/>
                <w:sz w:val="18"/>
                <w:szCs w:val="18"/>
              </w:rPr>
              <w:t>管件材料</w:t>
            </w:r>
          </w:p>
          <w:p>
            <w:pPr>
              <w:widowControl/>
              <w:spacing w:line="240" w:lineRule="atLeast"/>
              <w:jc w:val="center"/>
              <w:rPr>
                <w:rFonts w:ascii="宋体" w:hAnsi="宋体"/>
                <w:sz w:val="18"/>
                <w:szCs w:val="18"/>
              </w:rPr>
            </w:pPr>
            <w:r>
              <w:rPr>
                <w:rFonts w:ascii="宋体" w:hAnsi="宋体"/>
                <w:sz w:val="18"/>
                <w:szCs w:val="18"/>
              </w:rPr>
              <w:t>测试内容</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聚乙烯(低、中、高密度)</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UPVC</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类型测试：</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挠度</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破裂应力（压力管）</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腐蚀应变</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环境开裂应力</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塑性变形</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接头水密性</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常规测试：</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劲度</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加热复原</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水密性(重力管)</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压力(压力管)</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水浴</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丙酮浸泡</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布氏硬度</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r>
      <w:tr>
        <w:tblPrEx>
          <w:tblCellMar>
            <w:top w:w="0" w:type="dxa"/>
            <w:left w:w="28" w:type="dxa"/>
            <w:bottom w:w="0" w:type="dxa"/>
            <w:right w:w="28" w:type="dxa"/>
          </w:tblCellMar>
        </w:tblPrEx>
        <w:trPr>
          <w:trHeight w:val="320" w:hRule="atLeast"/>
          <w:jc w:val="center"/>
        </w:trPr>
        <w:tc>
          <w:tcPr>
            <w:tcW w:w="2428"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破裂韧度</w:t>
            </w:r>
          </w:p>
        </w:tc>
        <w:tc>
          <w:tcPr>
            <w:tcW w:w="2460"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w:t>
            </w:r>
          </w:p>
        </w:tc>
        <w:tc>
          <w:tcPr>
            <w:tcW w:w="1776" w:type="dxa"/>
            <w:tcBorders>
              <w:top w:val="single" w:color="auto" w:sz="6" w:space="0"/>
              <w:left w:val="single" w:color="auto" w:sz="6" w:space="0"/>
              <w:bottom w:val="single" w:color="auto" w:sz="6" w:space="0"/>
              <w:right w:val="single" w:color="auto" w:sz="6" w:space="0"/>
            </w:tcBorders>
            <w:vAlign w:val="center"/>
          </w:tcPr>
          <w:p>
            <w:pPr>
              <w:widowControl/>
              <w:spacing w:line="240" w:lineRule="atLeast"/>
              <w:jc w:val="center"/>
              <w:rPr>
                <w:rFonts w:ascii="宋体" w:hAnsi="宋体"/>
                <w:sz w:val="18"/>
                <w:szCs w:val="18"/>
              </w:rPr>
            </w:pPr>
            <w:r>
              <w:rPr>
                <w:rFonts w:ascii="宋体" w:hAnsi="宋体"/>
                <w:sz w:val="18"/>
                <w:szCs w:val="18"/>
              </w:rPr>
              <w:t>是</w:t>
            </w:r>
          </w:p>
        </w:tc>
      </w:tr>
    </w:tbl>
    <w:p>
      <w:pPr>
        <w:spacing w:line="360" w:lineRule="auto"/>
        <w:outlineLvl w:val="3"/>
        <w:rPr>
          <w:rFonts w:ascii="宋体" w:hAnsi="宋体"/>
        </w:rPr>
      </w:pPr>
      <w:r>
        <w:rPr>
          <w:rFonts w:hint="eastAsia" w:ascii="宋体" w:hAnsi="宋体"/>
        </w:rPr>
        <w:t>5.8.</w:t>
      </w:r>
      <w:r>
        <w:rPr>
          <w:rFonts w:ascii="宋体" w:hAnsi="宋体"/>
        </w:rPr>
        <w:t>4.1挠度测试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样品管的短节竖立放于两个坚硬的平行板之间进行压缩，时间约1min，然后检查多处挠度的损坏情况。挠度衡量标准应为这竖立管件被缩短的百分比。</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对于热塑性管件，挠度测试值标准见表</w:t>
      </w:r>
      <w:r>
        <w:rPr>
          <w:rFonts w:hint="eastAsia" w:ascii="宋体" w:hAnsi="宋体"/>
          <w:kern w:val="0"/>
          <w:szCs w:val="21"/>
        </w:rPr>
        <w:t>5</w:t>
      </w:r>
      <w:r>
        <w:rPr>
          <w:rFonts w:ascii="宋体" w:hAnsi="宋体"/>
          <w:kern w:val="0"/>
          <w:szCs w:val="21"/>
        </w:rPr>
        <w:t>-8-5。</w:t>
      </w:r>
    </w:p>
    <w:p>
      <w:pPr>
        <w:jc w:val="center"/>
        <w:rPr>
          <w:rFonts w:ascii="宋体" w:hAnsi="宋体"/>
        </w:rPr>
      </w:pPr>
      <w:r>
        <w:rPr>
          <w:rFonts w:hint="eastAsia" w:ascii="宋体" w:hAnsi="宋体"/>
          <w:sz w:val="18"/>
          <w:szCs w:val="18"/>
        </w:rPr>
        <w:t xml:space="preserve"> </w:t>
      </w:r>
      <w:r>
        <w:rPr>
          <w:rFonts w:ascii="宋体" w:hAnsi="宋体"/>
          <w:sz w:val="18"/>
          <w:szCs w:val="18"/>
        </w:rPr>
        <w:t xml:space="preserve">               </w:t>
      </w:r>
      <w:r>
        <w:rPr>
          <w:rFonts w:ascii="宋体" w:hAnsi="宋体"/>
        </w:rPr>
        <w:t xml:space="preserve"> 热塑性管件最小裂纹和破坏挠度                    表</w:t>
      </w:r>
      <w:r>
        <w:rPr>
          <w:rFonts w:hint="eastAsia" w:ascii="宋体" w:hAnsi="宋体"/>
        </w:rPr>
        <w:t>5</w:t>
      </w:r>
      <w:r>
        <w:rPr>
          <w:rFonts w:ascii="宋体" w:hAnsi="宋体"/>
        </w:rPr>
        <w:t>-8-5</w:t>
      </w:r>
    </w:p>
    <w:tbl>
      <w:tblPr>
        <w:tblStyle w:val="7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2212"/>
        <w:gridCol w:w="3038"/>
        <w:gridCol w:w="317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5" w:hRule="atLeast"/>
        </w:trPr>
        <w:tc>
          <w:tcPr>
            <w:tcW w:w="2212" w:type="dxa"/>
            <w:tcBorders>
              <w:bottom w:val="nil"/>
            </w:tcBorders>
            <w:vAlign w:val="center"/>
          </w:tcPr>
          <w:p>
            <w:pPr>
              <w:widowControl/>
              <w:spacing w:line="240" w:lineRule="atLeast"/>
              <w:jc w:val="center"/>
              <w:rPr>
                <w:rFonts w:ascii="宋体" w:hAnsi="宋体"/>
                <w:sz w:val="18"/>
                <w:szCs w:val="18"/>
              </w:rPr>
            </w:pPr>
            <w:r>
              <w:rPr>
                <w:rFonts w:ascii="宋体" w:hAnsi="宋体"/>
                <w:sz w:val="18"/>
                <w:szCs w:val="18"/>
              </w:rPr>
              <w:t>管件标准尺寸率</w:t>
            </w:r>
          </w:p>
        </w:tc>
        <w:tc>
          <w:tcPr>
            <w:tcW w:w="6215" w:type="dxa"/>
            <w:gridSpan w:val="2"/>
            <w:vAlign w:val="center"/>
          </w:tcPr>
          <w:p>
            <w:pPr>
              <w:widowControl/>
              <w:spacing w:line="240" w:lineRule="atLeast"/>
              <w:jc w:val="center"/>
              <w:rPr>
                <w:rFonts w:ascii="宋体" w:hAnsi="宋体"/>
                <w:sz w:val="18"/>
                <w:szCs w:val="18"/>
              </w:rPr>
            </w:pPr>
            <w:r>
              <w:rPr>
                <w:rFonts w:ascii="宋体" w:hAnsi="宋体"/>
                <w:sz w:val="18"/>
                <w:szCs w:val="18"/>
              </w:rPr>
              <w:t>挠度(%)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5" w:hRule="atLeast"/>
        </w:trPr>
        <w:tc>
          <w:tcPr>
            <w:tcW w:w="2212" w:type="dxa"/>
            <w:tcBorders>
              <w:top w:val="nil"/>
            </w:tcBorders>
            <w:vAlign w:val="center"/>
          </w:tcPr>
          <w:p>
            <w:pPr>
              <w:widowControl/>
              <w:spacing w:line="240" w:lineRule="atLeast"/>
              <w:jc w:val="center"/>
              <w:rPr>
                <w:rFonts w:ascii="宋体" w:hAnsi="宋体"/>
                <w:sz w:val="18"/>
                <w:szCs w:val="18"/>
              </w:rPr>
            </w:pPr>
            <w:r>
              <w:rPr>
                <w:rFonts w:ascii="宋体" w:hAnsi="宋体"/>
                <w:sz w:val="18"/>
                <w:szCs w:val="18"/>
              </w:rPr>
              <w:t>(注)</w:t>
            </w:r>
          </w:p>
        </w:tc>
        <w:tc>
          <w:tcPr>
            <w:tcW w:w="3038" w:type="dxa"/>
            <w:vAlign w:val="center"/>
          </w:tcPr>
          <w:p>
            <w:pPr>
              <w:widowControl/>
              <w:spacing w:line="240" w:lineRule="atLeast"/>
              <w:jc w:val="center"/>
              <w:rPr>
                <w:rFonts w:ascii="宋体" w:hAnsi="宋体"/>
                <w:sz w:val="18"/>
                <w:szCs w:val="18"/>
              </w:rPr>
            </w:pPr>
            <w:r>
              <w:rPr>
                <w:rFonts w:ascii="宋体" w:hAnsi="宋体"/>
                <w:sz w:val="18"/>
                <w:szCs w:val="18"/>
              </w:rPr>
              <w:t>没有细纹或裂缝</w:t>
            </w:r>
          </w:p>
        </w:tc>
        <w:tc>
          <w:tcPr>
            <w:tcW w:w="3177" w:type="dxa"/>
            <w:vAlign w:val="center"/>
          </w:tcPr>
          <w:p>
            <w:pPr>
              <w:widowControl/>
              <w:spacing w:line="240" w:lineRule="atLeast"/>
              <w:jc w:val="center"/>
              <w:rPr>
                <w:rFonts w:ascii="宋体" w:hAnsi="宋体"/>
                <w:sz w:val="18"/>
                <w:szCs w:val="18"/>
              </w:rPr>
            </w:pPr>
            <w:r>
              <w:rPr>
                <w:rFonts w:ascii="宋体" w:hAnsi="宋体"/>
                <w:sz w:val="18"/>
                <w:szCs w:val="18"/>
              </w:rPr>
              <w:t>未发生管壁破坏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5" w:hRule="atLeast"/>
        </w:trPr>
        <w:tc>
          <w:tcPr>
            <w:tcW w:w="2212" w:type="dxa"/>
            <w:vAlign w:val="center"/>
          </w:tcPr>
          <w:p>
            <w:pPr>
              <w:widowControl/>
              <w:spacing w:line="240" w:lineRule="atLeast"/>
              <w:jc w:val="center"/>
              <w:rPr>
                <w:rFonts w:ascii="宋体" w:hAnsi="宋体"/>
                <w:sz w:val="18"/>
                <w:szCs w:val="18"/>
              </w:rPr>
            </w:pPr>
            <w:r>
              <w:rPr>
                <w:rFonts w:ascii="宋体" w:hAnsi="宋体"/>
                <w:sz w:val="18"/>
                <w:szCs w:val="18"/>
              </w:rPr>
              <w:t>10</w:t>
            </w:r>
          </w:p>
        </w:tc>
        <w:tc>
          <w:tcPr>
            <w:tcW w:w="3038" w:type="dxa"/>
            <w:vAlign w:val="center"/>
          </w:tcPr>
          <w:p>
            <w:pPr>
              <w:widowControl/>
              <w:spacing w:line="240" w:lineRule="atLeast"/>
              <w:jc w:val="center"/>
              <w:rPr>
                <w:rFonts w:ascii="宋体" w:hAnsi="宋体"/>
                <w:sz w:val="18"/>
                <w:szCs w:val="18"/>
              </w:rPr>
            </w:pPr>
            <w:r>
              <w:rPr>
                <w:rFonts w:ascii="宋体" w:hAnsi="宋体"/>
                <w:sz w:val="18"/>
                <w:szCs w:val="18"/>
              </w:rPr>
              <w:t>1.75</w:t>
            </w:r>
          </w:p>
        </w:tc>
        <w:tc>
          <w:tcPr>
            <w:tcW w:w="3177" w:type="dxa"/>
            <w:vAlign w:val="center"/>
          </w:tcPr>
          <w:p>
            <w:pPr>
              <w:widowControl/>
              <w:spacing w:line="240" w:lineRule="atLeast"/>
              <w:jc w:val="center"/>
              <w:rPr>
                <w:rFonts w:ascii="宋体" w:hAnsi="宋体"/>
                <w:sz w:val="18"/>
                <w:szCs w:val="18"/>
              </w:rPr>
            </w:pPr>
            <w:r>
              <w:rPr>
                <w:rFonts w:ascii="宋体" w:hAnsi="宋体"/>
                <w:sz w:val="18"/>
                <w:szCs w:val="18"/>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5" w:hRule="atLeast"/>
        </w:trPr>
        <w:tc>
          <w:tcPr>
            <w:tcW w:w="2212" w:type="dxa"/>
            <w:vAlign w:val="center"/>
          </w:tcPr>
          <w:p>
            <w:pPr>
              <w:widowControl/>
              <w:spacing w:line="240" w:lineRule="atLeast"/>
              <w:jc w:val="center"/>
              <w:rPr>
                <w:rFonts w:ascii="宋体" w:hAnsi="宋体"/>
                <w:sz w:val="18"/>
                <w:szCs w:val="18"/>
              </w:rPr>
            </w:pPr>
            <w:r>
              <w:rPr>
                <w:rFonts w:ascii="宋体" w:hAnsi="宋体"/>
                <w:sz w:val="18"/>
                <w:szCs w:val="18"/>
              </w:rPr>
              <w:t>20</w:t>
            </w:r>
          </w:p>
        </w:tc>
        <w:tc>
          <w:tcPr>
            <w:tcW w:w="3038" w:type="dxa"/>
            <w:vAlign w:val="center"/>
          </w:tcPr>
          <w:p>
            <w:pPr>
              <w:widowControl/>
              <w:spacing w:line="240" w:lineRule="atLeast"/>
              <w:jc w:val="center"/>
              <w:rPr>
                <w:rFonts w:ascii="宋体" w:hAnsi="宋体"/>
                <w:sz w:val="18"/>
                <w:szCs w:val="18"/>
              </w:rPr>
            </w:pPr>
            <w:r>
              <w:rPr>
                <w:rFonts w:ascii="宋体" w:hAnsi="宋体"/>
                <w:sz w:val="18"/>
                <w:szCs w:val="18"/>
              </w:rPr>
              <w:t>3.50</w:t>
            </w:r>
          </w:p>
        </w:tc>
        <w:tc>
          <w:tcPr>
            <w:tcW w:w="3177" w:type="dxa"/>
            <w:vAlign w:val="center"/>
          </w:tcPr>
          <w:p>
            <w:pPr>
              <w:widowControl/>
              <w:spacing w:line="240" w:lineRule="atLeast"/>
              <w:jc w:val="center"/>
              <w:rPr>
                <w:rFonts w:ascii="宋体" w:hAnsi="宋体"/>
                <w:sz w:val="18"/>
                <w:szCs w:val="18"/>
              </w:rPr>
            </w:pPr>
            <w:r>
              <w:rPr>
                <w:rFonts w:ascii="宋体" w:hAnsi="宋体"/>
                <w:sz w:val="18"/>
                <w:szCs w:val="18"/>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5" w:hRule="atLeast"/>
        </w:trPr>
        <w:tc>
          <w:tcPr>
            <w:tcW w:w="2212" w:type="dxa"/>
            <w:vAlign w:val="center"/>
          </w:tcPr>
          <w:p>
            <w:pPr>
              <w:widowControl/>
              <w:spacing w:line="240" w:lineRule="atLeast"/>
              <w:jc w:val="center"/>
              <w:rPr>
                <w:rFonts w:ascii="宋体" w:hAnsi="宋体"/>
                <w:sz w:val="18"/>
                <w:szCs w:val="18"/>
              </w:rPr>
            </w:pPr>
            <w:r>
              <w:rPr>
                <w:rFonts w:ascii="宋体" w:hAnsi="宋体"/>
                <w:sz w:val="18"/>
                <w:szCs w:val="18"/>
              </w:rPr>
              <w:t>30</w:t>
            </w:r>
          </w:p>
        </w:tc>
        <w:tc>
          <w:tcPr>
            <w:tcW w:w="3038" w:type="dxa"/>
            <w:vAlign w:val="center"/>
          </w:tcPr>
          <w:p>
            <w:pPr>
              <w:widowControl/>
              <w:spacing w:line="240" w:lineRule="atLeast"/>
              <w:jc w:val="center"/>
              <w:rPr>
                <w:rFonts w:ascii="宋体" w:hAnsi="宋体"/>
                <w:sz w:val="18"/>
                <w:szCs w:val="18"/>
              </w:rPr>
            </w:pPr>
            <w:r>
              <w:rPr>
                <w:rFonts w:ascii="宋体" w:hAnsi="宋体"/>
                <w:sz w:val="18"/>
                <w:szCs w:val="18"/>
              </w:rPr>
              <w:t>5.25</w:t>
            </w:r>
          </w:p>
        </w:tc>
        <w:tc>
          <w:tcPr>
            <w:tcW w:w="3177" w:type="dxa"/>
            <w:vAlign w:val="center"/>
          </w:tcPr>
          <w:p>
            <w:pPr>
              <w:widowControl/>
              <w:spacing w:line="240" w:lineRule="atLeast"/>
              <w:jc w:val="center"/>
              <w:rPr>
                <w:rFonts w:ascii="宋体" w:hAnsi="宋体"/>
                <w:sz w:val="18"/>
                <w:szCs w:val="18"/>
              </w:rPr>
            </w:pPr>
            <w:r>
              <w:rPr>
                <w:rFonts w:ascii="宋体" w:hAnsi="宋体"/>
                <w:sz w:val="18"/>
                <w:szCs w:val="18"/>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5" w:hRule="atLeast"/>
        </w:trPr>
        <w:tc>
          <w:tcPr>
            <w:tcW w:w="2212" w:type="dxa"/>
            <w:vAlign w:val="center"/>
          </w:tcPr>
          <w:p>
            <w:pPr>
              <w:widowControl/>
              <w:spacing w:line="240" w:lineRule="atLeast"/>
              <w:jc w:val="center"/>
              <w:rPr>
                <w:rFonts w:ascii="宋体" w:hAnsi="宋体"/>
                <w:sz w:val="18"/>
                <w:szCs w:val="18"/>
              </w:rPr>
            </w:pPr>
            <w:r>
              <w:rPr>
                <w:rFonts w:ascii="宋体" w:hAnsi="宋体"/>
                <w:sz w:val="18"/>
                <w:szCs w:val="18"/>
              </w:rPr>
              <w:t>40</w:t>
            </w:r>
          </w:p>
        </w:tc>
        <w:tc>
          <w:tcPr>
            <w:tcW w:w="3038" w:type="dxa"/>
            <w:vAlign w:val="center"/>
          </w:tcPr>
          <w:p>
            <w:pPr>
              <w:widowControl/>
              <w:spacing w:line="240" w:lineRule="atLeast"/>
              <w:jc w:val="center"/>
              <w:rPr>
                <w:rFonts w:ascii="宋体" w:hAnsi="宋体"/>
                <w:sz w:val="18"/>
                <w:szCs w:val="18"/>
              </w:rPr>
            </w:pPr>
            <w:r>
              <w:rPr>
                <w:rFonts w:ascii="宋体" w:hAnsi="宋体"/>
                <w:sz w:val="18"/>
                <w:szCs w:val="18"/>
              </w:rPr>
              <w:t>7.00</w:t>
            </w:r>
          </w:p>
        </w:tc>
        <w:tc>
          <w:tcPr>
            <w:tcW w:w="3177" w:type="dxa"/>
            <w:vAlign w:val="center"/>
          </w:tcPr>
          <w:p>
            <w:pPr>
              <w:widowControl/>
              <w:spacing w:line="240" w:lineRule="atLeast"/>
              <w:jc w:val="center"/>
              <w:rPr>
                <w:rFonts w:ascii="宋体" w:hAnsi="宋体"/>
                <w:sz w:val="18"/>
                <w:szCs w:val="18"/>
              </w:rPr>
            </w:pPr>
            <w:r>
              <w:rPr>
                <w:rFonts w:ascii="宋体" w:hAnsi="宋体"/>
                <w:sz w:val="18"/>
                <w:szCs w:val="18"/>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5" w:hRule="atLeast"/>
        </w:trPr>
        <w:tc>
          <w:tcPr>
            <w:tcW w:w="2212" w:type="dxa"/>
            <w:vAlign w:val="center"/>
          </w:tcPr>
          <w:p>
            <w:pPr>
              <w:widowControl/>
              <w:spacing w:line="240" w:lineRule="atLeast"/>
              <w:jc w:val="center"/>
              <w:rPr>
                <w:rFonts w:ascii="宋体" w:hAnsi="宋体"/>
                <w:sz w:val="18"/>
                <w:szCs w:val="18"/>
              </w:rPr>
            </w:pPr>
            <w:r>
              <w:rPr>
                <w:rFonts w:ascii="宋体" w:hAnsi="宋体"/>
                <w:sz w:val="18"/>
                <w:szCs w:val="18"/>
              </w:rPr>
              <w:t>50</w:t>
            </w:r>
          </w:p>
        </w:tc>
        <w:tc>
          <w:tcPr>
            <w:tcW w:w="3038" w:type="dxa"/>
            <w:vAlign w:val="center"/>
          </w:tcPr>
          <w:p>
            <w:pPr>
              <w:widowControl/>
              <w:spacing w:line="240" w:lineRule="atLeast"/>
              <w:jc w:val="center"/>
              <w:rPr>
                <w:rFonts w:ascii="宋体" w:hAnsi="宋体"/>
                <w:sz w:val="18"/>
                <w:szCs w:val="18"/>
              </w:rPr>
            </w:pPr>
            <w:r>
              <w:rPr>
                <w:rFonts w:ascii="宋体" w:hAnsi="宋体"/>
                <w:sz w:val="18"/>
                <w:szCs w:val="18"/>
              </w:rPr>
              <w:t>8.75</w:t>
            </w:r>
          </w:p>
        </w:tc>
        <w:tc>
          <w:tcPr>
            <w:tcW w:w="3177" w:type="dxa"/>
            <w:vAlign w:val="center"/>
          </w:tcPr>
          <w:p>
            <w:pPr>
              <w:widowControl/>
              <w:spacing w:line="240" w:lineRule="atLeast"/>
              <w:jc w:val="center"/>
              <w:rPr>
                <w:rFonts w:ascii="宋体" w:hAnsi="宋体"/>
                <w:sz w:val="18"/>
                <w:szCs w:val="18"/>
              </w:rPr>
            </w:pPr>
            <w:r>
              <w:rPr>
                <w:rFonts w:ascii="宋体" w:hAnsi="宋体"/>
                <w:sz w:val="18"/>
                <w:szCs w:val="18"/>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5" w:hRule="atLeast"/>
        </w:trPr>
        <w:tc>
          <w:tcPr>
            <w:tcW w:w="2212" w:type="dxa"/>
            <w:vAlign w:val="center"/>
          </w:tcPr>
          <w:p>
            <w:pPr>
              <w:widowControl/>
              <w:spacing w:line="240" w:lineRule="atLeast"/>
              <w:jc w:val="center"/>
              <w:rPr>
                <w:rFonts w:ascii="宋体" w:hAnsi="宋体"/>
                <w:sz w:val="18"/>
                <w:szCs w:val="18"/>
              </w:rPr>
            </w:pPr>
            <w:r>
              <w:rPr>
                <w:rFonts w:ascii="宋体" w:hAnsi="宋体"/>
                <w:sz w:val="18"/>
                <w:szCs w:val="18"/>
              </w:rPr>
              <w:t>大于60</w:t>
            </w:r>
          </w:p>
        </w:tc>
        <w:tc>
          <w:tcPr>
            <w:tcW w:w="3038" w:type="dxa"/>
            <w:vAlign w:val="center"/>
          </w:tcPr>
          <w:p>
            <w:pPr>
              <w:widowControl/>
              <w:spacing w:line="240" w:lineRule="atLeast"/>
              <w:jc w:val="center"/>
              <w:rPr>
                <w:rFonts w:ascii="宋体" w:hAnsi="宋体"/>
                <w:sz w:val="18"/>
                <w:szCs w:val="18"/>
              </w:rPr>
            </w:pPr>
            <w:r>
              <w:rPr>
                <w:rFonts w:ascii="宋体" w:hAnsi="宋体"/>
                <w:sz w:val="18"/>
                <w:szCs w:val="18"/>
              </w:rPr>
              <w:t>10.00</w:t>
            </w:r>
          </w:p>
        </w:tc>
        <w:tc>
          <w:tcPr>
            <w:tcW w:w="3177" w:type="dxa"/>
            <w:vAlign w:val="center"/>
          </w:tcPr>
          <w:p>
            <w:pPr>
              <w:widowControl/>
              <w:spacing w:line="240" w:lineRule="atLeast"/>
              <w:jc w:val="center"/>
              <w:rPr>
                <w:rFonts w:ascii="宋体" w:hAnsi="宋体"/>
                <w:sz w:val="18"/>
                <w:szCs w:val="18"/>
              </w:rPr>
            </w:pPr>
            <w:r>
              <w:rPr>
                <w:rFonts w:ascii="宋体" w:hAnsi="宋体"/>
                <w:sz w:val="18"/>
                <w:szCs w:val="18"/>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8427" w:type="dxa"/>
            <w:gridSpan w:val="3"/>
            <w:vAlign w:val="center"/>
          </w:tcPr>
          <w:p>
            <w:pPr>
              <w:widowControl/>
              <w:spacing w:line="240" w:lineRule="atLeast"/>
              <w:jc w:val="center"/>
              <w:rPr>
                <w:rFonts w:ascii="宋体" w:hAnsi="宋体"/>
                <w:spacing w:val="-6"/>
                <w:sz w:val="18"/>
                <w:szCs w:val="18"/>
              </w:rPr>
            </w:pPr>
            <w:r>
              <w:rPr>
                <w:rFonts w:ascii="宋体" w:hAnsi="宋体"/>
                <w:spacing w:val="-6"/>
                <w:sz w:val="18"/>
                <w:szCs w:val="18"/>
              </w:rPr>
              <w:t>注释：标准尺寸率，指的是用测量管壁中心点管子平均直径除以管壁厚度的值。</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另外应注意由于挠度而首先在管件内外表面产生的细纹和/或裂缝，以及由于挠度而造成的破坏。 进一步加大管件的挠度，对于确定那些关键作用点是十分必要的。管壁破坏测试的目的是要弄清楚整个管壁厚度中所形成的任何一个不连续延伸部位。</w:t>
      </w:r>
    </w:p>
    <w:p>
      <w:pPr>
        <w:spacing w:line="360" w:lineRule="auto"/>
        <w:outlineLvl w:val="3"/>
        <w:rPr>
          <w:rFonts w:ascii="宋体" w:hAnsi="宋体"/>
        </w:rPr>
      </w:pPr>
      <w:r>
        <w:rPr>
          <w:rFonts w:hint="eastAsia" w:ascii="宋体" w:hAnsi="宋体"/>
        </w:rPr>
        <w:t>5.8.</w:t>
      </w:r>
      <w:r>
        <w:rPr>
          <w:rFonts w:ascii="宋体" w:hAnsi="宋体"/>
        </w:rPr>
        <w:t>4.2破裂应力测试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两根代表不同等级和直径的管子应对每一种材料进行测试。这个测试应把样品管持续地保持在恒温状态下，并且按规定的时间施加有效的内部压力。</w:t>
      </w:r>
    </w:p>
    <w:p>
      <w:pPr>
        <w:adjustRightInd w:val="0"/>
        <w:snapToGrid w:val="0"/>
        <w:spacing w:line="360" w:lineRule="atLeast"/>
        <w:ind w:firstLine="420"/>
        <w:rPr>
          <w:rFonts w:ascii="宋体" w:hAnsi="宋体"/>
        </w:rPr>
      </w:pPr>
      <w:r>
        <w:rPr>
          <w:rFonts w:ascii="宋体" w:hAnsi="宋体"/>
        </w:rPr>
        <w:t xml:space="preserve">               热塑性管件的破裂应力测试                  表</w:t>
      </w:r>
      <w:r>
        <w:rPr>
          <w:rFonts w:hint="eastAsia" w:ascii="宋体" w:hAnsi="宋体"/>
        </w:rPr>
        <w:t>5</w:t>
      </w:r>
      <w:r>
        <w:rPr>
          <w:rFonts w:ascii="宋体" w:hAnsi="宋体"/>
        </w:rPr>
        <w:t xml:space="preserve">-8-6  </w:t>
      </w:r>
    </w:p>
    <w:tbl>
      <w:tblPr>
        <w:tblStyle w:val="77"/>
        <w:tblW w:w="9000" w:type="dxa"/>
        <w:tblInd w:w="-332" w:type="dxa"/>
        <w:tblLayout w:type="fixed"/>
        <w:tblCellMar>
          <w:top w:w="0" w:type="dxa"/>
          <w:left w:w="28" w:type="dxa"/>
          <w:bottom w:w="0" w:type="dxa"/>
          <w:right w:w="28" w:type="dxa"/>
        </w:tblCellMar>
      </w:tblPr>
      <w:tblGrid>
        <w:gridCol w:w="900"/>
        <w:gridCol w:w="660"/>
        <w:gridCol w:w="666"/>
        <w:gridCol w:w="746"/>
        <w:gridCol w:w="944"/>
        <w:gridCol w:w="815"/>
        <w:gridCol w:w="912"/>
        <w:gridCol w:w="780"/>
        <w:gridCol w:w="780"/>
        <w:gridCol w:w="771"/>
        <w:gridCol w:w="1026"/>
      </w:tblGrid>
      <w:tr>
        <w:tblPrEx>
          <w:tblCellMar>
            <w:top w:w="0" w:type="dxa"/>
            <w:left w:w="28" w:type="dxa"/>
            <w:bottom w:w="0" w:type="dxa"/>
            <w:right w:w="28" w:type="dxa"/>
          </w:tblCellMar>
        </w:tblPrEx>
        <w:trPr>
          <w:cantSplit/>
        </w:trPr>
        <w:tc>
          <w:tcPr>
            <w:tcW w:w="900" w:type="dxa"/>
            <w:vMerge w:val="restart"/>
            <w:tcBorders>
              <w:top w:val="single" w:color="auto" w:sz="6" w:space="0"/>
              <w:left w:val="single" w:color="auto" w:sz="6" w:space="0"/>
              <w:tl2br w:val="single" w:color="auto" w:sz="4" w:space="0"/>
            </w:tcBorders>
            <w:vAlign w:val="center"/>
          </w:tcPr>
          <w:p>
            <w:pPr>
              <w:spacing w:line="360" w:lineRule="auto"/>
              <w:jc w:val="right"/>
              <w:rPr>
                <w:rFonts w:ascii="宋体" w:hAnsi="宋体"/>
              </w:rPr>
            </w:pPr>
            <w:r>
              <w:rPr>
                <w:rFonts w:ascii="宋体" w:hAnsi="宋体"/>
              </w:rPr>
              <w:t>测试</w:t>
            </w:r>
          </w:p>
          <w:p>
            <w:pPr>
              <w:spacing w:line="360" w:lineRule="auto"/>
              <w:jc w:val="right"/>
              <w:rPr>
                <w:rFonts w:ascii="宋体" w:hAnsi="宋体"/>
              </w:rPr>
            </w:pPr>
            <w:r>
              <w:rPr>
                <w:rFonts w:ascii="宋体" w:hAnsi="宋体"/>
              </w:rPr>
              <w:t>内容</w:t>
            </w:r>
          </w:p>
          <w:p>
            <w:pPr>
              <w:spacing w:line="360" w:lineRule="auto"/>
              <w:rPr>
                <w:rFonts w:ascii="宋体" w:hAnsi="宋体"/>
              </w:rPr>
            </w:pPr>
            <w:r>
              <w:rPr>
                <w:rFonts w:ascii="宋体" w:hAnsi="宋体"/>
              </w:rPr>
              <w:t>管道</w:t>
            </w:r>
          </w:p>
          <w:p>
            <w:pPr>
              <w:spacing w:line="360" w:lineRule="auto"/>
              <w:rPr>
                <w:rFonts w:ascii="宋体" w:hAnsi="宋体"/>
              </w:rPr>
            </w:pPr>
            <w:r>
              <w:rPr>
                <w:rFonts w:ascii="宋体" w:hAnsi="宋体"/>
              </w:rPr>
              <w:t>材料</w:t>
            </w:r>
          </w:p>
        </w:tc>
        <w:tc>
          <w:tcPr>
            <w:tcW w:w="660" w:type="dxa"/>
            <w:vMerge w:val="restart"/>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1号试验</w:t>
            </w:r>
          </w:p>
          <w:p>
            <w:pPr>
              <w:spacing w:line="360" w:lineRule="auto"/>
              <w:jc w:val="center"/>
              <w:rPr>
                <w:rFonts w:ascii="宋体" w:hAnsi="宋体"/>
              </w:rPr>
            </w:pPr>
            <w:r>
              <w:rPr>
                <w:rFonts w:ascii="宋体" w:hAnsi="宋体"/>
              </w:rPr>
              <w:t>温度 (</w:t>
            </w:r>
            <w:r>
              <w:rPr>
                <w:rFonts w:hint="eastAsia" w:ascii="宋体" w:hAnsi="宋体" w:cs="宋体"/>
              </w:rPr>
              <w:t>℃</w:t>
            </w:r>
            <w:r>
              <w:rPr>
                <w:rFonts w:ascii="宋体" w:hAnsi="宋体"/>
              </w:rPr>
              <w:t>)</w:t>
            </w:r>
          </w:p>
        </w:tc>
        <w:tc>
          <w:tcPr>
            <w:tcW w:w="1412" w:type="dxa"/>
            <w:gridSpan w:val="2"/>
            <w:tcBorders>
              <w:top w:val="single" w:color="auto" w:sz="6" w:space="0"/>
              <w:left w:val="nil"/>
              <w:bottom w:val="single" w:color="auto" w:sz="6" w:space="0"/>
              <w:right w:val="single" w:color="auto" w:sz="6" w:space="0"/>
            </w:tcBorders>
            <w:vAlign w:val="center"/>
          </w:tcPr>
          <w:p>
            <w:pPr>
              <w:spacing w:line="360" w:lineRule="auto"/>
              <w:jc w:val="center"/>
              <w:rPr>
                <w:rFonts w:ascii="宋体" w:hAnsi="宋体"/>
              </w:rPr>
            </w:pPr>
            <w:r>
              <w:rPr>
                <w:rFonts w:ascii="宋体" w:hAnsi="宋体"/>
              </w:rPr>
              <w:t>1号试验</w:t>
            </w:r>
          </w:p>
        </w:tc>
        <w:tc>
          <w:tcPr>
            <w:tcW w:w="944" w:type="dxa"/>
            <w:tcBorders>
              <w:top w:val="single" w:color="auto" w:sz="6" w:space="0"/>
              <w:left w:val="nil"/>
            </w:tcBorders>
            <w:vAlign w:val="center"/>
          </w:tcPr>
          <w:p>
            <w:pPr>
              <w:spacing w:line="360" w:lineRule="auto"/>
              <w:jc w:val="center"/>
              <w:rPr>
                <w:rFonts w:ascii="宋体" w:hAnsi="宋体"/>
              </w:rPr>
            </w:pPr>
            <w:r>
              <w:rPr>
                <w:rFonts w:ascii="宋体" w:hAnsi="宋体"/>
              </w:rPr>
              <w:t>2、3、4</w:t>
            </w:r>
          </w:p>
          <w:p>
            <w:pPr>
              <w:spacing w:line="360" w:lineRule="auto"/>
              <w:jc w:val="center"/>
              <w:rPr>
                <w:rFonts w:ascii="宋体" w:hAnsi="宋体"/>
              </w:rPr>
            </w:pPr>
            <w:r>
              <w:rPr>
                <w:rFonts w:ascii="宋体" w:hAnsi="宋体"/>
              </w:rPr>
              <w:t>号试验</w:t>
            </w:r>
          </w:p>
        </w:tc>
        <w:tc>
          <w:tcPr>
            <w:tcW w:w="1727" w:type="dxa"/>
            <w:gridSpan w:val="2"/>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2号试验*</w:t>
            </w:r>
          </w:p>
        </w:tc>
        <w:tc>
          <w:tcPr>
            <w:tcW w:w="1560" w:type="dxa"/>
            <w:gridSpan w:val="2"/>
            <w:tcBorders>
              <w:top w:val="single" w:color="auto" w:sz="6" w:space="0"/>
              <w:left w:val="nil"/>
              <w:bottom w:val="single" w:color="auto" w:sz="6" w:space="0"/>
              <w:right w:val="single" w:color="auto" w:sz="6" w:space="0"/>
            </w:tcBorders>
            <w:vAlign w:val="center"/>
          </w:tcPr>
          <w:p>
            <w:pPr>
              <w:spacing w:line="360" w:lineRule="auto"/>
              <w:jc w:val="center"/>
              <w:rPr>
                <w:rFonts w:ascii="宋体" w:hAnsi="宋体"/>
              </w:rPr>
            </w:pPr>
            <w:r>
              <w:rPr>
                <w:rFonts w:ascii="宋体" w:hAnsi="宋体"/>
              </w:rPr>
              <w:t>3号试验*</w:t>
            </w:r>
          </w:p>
        </w:tc>
        <w:tc>
          <w:tcPr>
            <w:tcW w:w="1797" w:type="dxa"/>
            <w:gridSpan w:val="2"/>
            <w:tcBorders>
              <w:top w:val="single" w:color="auto" w:sz="6" w:space="0"/>
              <w:left w:val="nil"/>
              <w:bottom w:val="single" w:color="auto" w:sz="6" w:space="0"/>
              <w:right w:val="single" w:color="auto" w:sz="6" w:space="0"/>
            </w:tcBorders>
            <w:vAlign w:val="center"/>
          </w:tcPr>
          <w:p>
            <w:pPr>
              <w:spacing w:line="360" w:lineRule="auto"/>
              <w:jc w:val="center"/>
              <w:rPr>
                <w:rFonts w:ascii="宋体" w:hAnsi="宋体"/>
              </w:rPr>
            </w:pPr>
            <w:r>
              <w:rPr>
                <w:rFonts w:ascii="宋体" w:hAnsi="宋体"/>
              </w:rPr>
              <w:t>4号试验*</w:t>
            </w:r>
          </w:p>
        </w:tc>
      </w:tr>
      <w:tr>
        <w:tblPrEx>
          <w:tblCellMar>
            <w:top w:w="0" w:type="dxa"/>
            <w:left w:w="28" w:type="dxa"/>
            <w:bottom w:w="0" w:type="dxa"/>
            <w:right w:w="28" w:type="dxa"/>
          </w:tblCellMar>
        </w:tblPrEx>
        <w:trPr>
          <w:cantSplit/>
        </w:trPr>
        <w:tc>
          <w:tcPr>
            <w:tcW w:w="900" w:type="dxa"/>
            <w:vMerge w:val="continue"/>
            <w:tcBorders>
              <w:left w:val="single" w:color="auto" w:sz="6" w:space="0"/>
            </w:tcBorders>
            <w:vAlign w:val="center"/>
          </w:tcPr>
          <w:p>
            <w:pPr>
              <w:spacing w:line="360" w:lineRule="auto"/>
              <w:rPr>
                <w:rFonts w:ascii="宋体" w:hAnsi="宋体"/>
              </w:rPr>
            </w:pPr>
          </w:p>
        </w:tc>
        <w:tc>
          <w:tcPr>
            <w:tcW w:w="660" w:type="dxa"/>
            <w:vMerge w:val="continue"/>
            <w:tcBorders>
              <w:left w:val="single" w:color="auto" w:sz="6" w:space="0"/>
              <w:right w:val="single" w:color="auto" w:sz="6" w:space="0"/>
            </w:tcBorders>
            <w:vAlign w:val="center"/>
          </w:tcPr>
          <w:p>
            <w:pPr>
              <w:spacing w:line="360" w:lineRule="auto"/>
              <w:rPr>
                <w:rFonts w:ascii="宋体" w:hAnsi="宋体"/>
              </w:rPr>
            </w:pPr>
          </w:p>
        </w:tc>
        <w:tc>
          <w:tcPr>
            <w:tcW w:w="666" w:type="dxa"/>
            <w:tcBorders>
              <w:top w:val="single" w:color="auto" w:sz="6" w:space="0"/>
              <w:left w:val="nil"/>
              <w:right w:val="single" w:color="auto" w:sz="6" w:space="0"/>
            </w:tcBorders>
            <w:vAlign w:val="center"/>
          </w:tcPr>
          <w:p>
            <w:pPr>
              <w:spacing w:line="360" w:lineRule="auto"/>
              <w:jc w:val="center"/>
              <w:rPr>
                <w:rFonts w:ascii="宋体" w:hAnsi="宋体"/>
              </w:rPr>
            </w:pPr>
            <w:r>
              <w:rPr>
                <w:rFonts w:ascii="宋体" w:hAnsi="宋体"/>
              </w:rPr>
              <w:t xml:space="preserve"> 应力</w:t>
            </w:r>
          </w:p>
          <w:p>
            <w:pPr>
              <w:spacing w:line="360" w:lineRule="auto"/>
              <w:jc w:val="center"/>
              <w:rPr>
                <w:rFonts w:ascii="宋体" w:hAnsi="宋体"/>
              </w:rPr>
            </w:pPr>
            <w:r>
              <w:rPr>
                <w:rFonts w:ascii="宋体" w:hAnsi="宋体"/>
              </w:rPr>
              <w:t xml:space="preserve"> (MPa)</w:t>
            </w:r>
          </w:p>
        </w:tc>
        <w:tc>
          <w:tcPr>
            <w:tcW w:w="746" w:type="dxa"/>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时间</w:t>
            </w:r>
          </w:p>
          <w:p>
            <w:pPr>
              <w:spacing w:line="360" w:lineRule="auto"/>
              <w:jc w:val="center"/>
              <w:rPr>
                <w:rFonts w:ascii="宋体" w:hAnsi="宋体"/>
              </w:rPr>
            </w:pPr>
            <w:r>
              <w:rPr>
                <w:rFonts w:ascii="宋体" w:hAnsi="宋体"/>
              </w:rPr>
              <w:t>(Hs)</w:t>
            </w:r>
          </w:p>
        </w:tc>
        <w:tc>
          <w:tcPr>
            <w:tcW w:w="944" w:type="dxa"/>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温度</w:t>
            </w:r>
          </w:p>
          <w:p>
            <w:pPr>
              <w:spacing w:line="360" w:lineRule="auto"/>
              <w:jc w:val="center"/>
              <w:rPr>
                <w:rFonts w:ascii="宋体" w:hAnsi="宋体"/>
              </w:rPr>
            </w:pPr>
            <w:r>
              <w:rPr>
                <w:rFonts w:ascii="宋体" w:hAnsi="宋体"/>
              </w:rPr>
              <w:t>(</w:t>
            </w:r>
            <w:r>
              <w:rPr>
                <w:rFonts w:hint="eastAsia" w:ascii="宋体" w:hAnsi="宋体" w:cs="宋体"/>
              </w:rPr>
              <w:t>℃</w:t>
            </w:r>
            <w:r>
              <w:rPr>
                <w:rFonts w:ascii="宋体" w:hAnsi="宋体"/>
              </w:rPr>
              <w:t>)</w:t>
            </w:r>
          </w:p>
        </w:tc>
        <w:tc>
          <w:tcPr>
            <w:tcW w:w="815" w:type="dxa"/>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应力(MPa)</w:t>
            </w:r>
          </w:p>
        </w:tc>
        <w:tc>
          <w:tcPr>
            <w:tcW w:w="912" w:type="dxa"/>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时间</w:t>
            </w:r>
          </w:p>
          <w:p>
            <w:pPr>
              <w:spacing w:line="360" w:lineRule="auto"/>
              <w:jc w:val="center"/>
              <w:rPr>
                <w:rFonts w:ascii="宋体" w:hAnsi="宋体"/>
              </w:rPr>
            </w:pPr>
            <w:r>
              <w:rPr>
                <w:rFonts w:ascii="宋体" w:hAnsi="宋体"/>
              </w:rPr>
              <w:t>(Hs)</w:t>
            </w:r>
          </w:p>
        </w:tc>
        <w:tc>
          <w:tcPr>
            <w:tcW w:w="780" w:type="dxa"/>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应力</w:t>
            </w:r>
          </w:p>
          <w:p>
            <w:pPr>
              <w:spacing w:line="360" w:lineRule="auto"/>
              <w:jc w:val="center"/>
              <w:rPr>
                <w:rFonts w:ascii="宋体" w:hAnsi="宋体"/>
              </w:rPr>
            </w:pPr>
            <w:r>
              <w:rPr>
                <w:rFonts w:ascii="宋体" w:hAnsi="宋体"/>
              </w:rPr>
              <w:t>(MPa)</w:t>
            </w:r>
          </w:p>
        </w:tc>
        <w:tc>
          <w:tcPr>
            <w:tcW w:w="780" w:type="dxa"/>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时间</w:t>
            </w:r>
          </w:p>
          <w:p>
            <w:pPr>
              <w:spacing w:line="360" w:lineRule="auto"/>
              <w:jc w:val="center"/>
              <w:rPr>
                <w:rFonts w:ascii="宋体" w:hAnsi="宋体"/>
              </w:rPr>
            </w:pPr>
            <w:r>
              <w:rPr>
                <w:rFonts w:ascii="宋体" w:hAnsi="宋体"/>
              </w:rPr>
              <w:t>(Hs)</w:t>
            </w:r>
          </w:p>
        </w:tc>
        <w:tc>
          <w:tcPr>
            <w:tcW w:w="771" w:type="dxa"/>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应力</w:t>
            </w:r>
          </w:p>
          <w:p>
            <w:pPr>
              <w:spacing w:line="360" w:lineRule="auto"/>
              <w:jc w:val="center"/>
              <w:rPr>
                <w:rFonts w:ascii="宋体" w:hAnsi="宋体"/>
              </w:rPr>
            </w:pPr>
            <w:r>
              <w:rPr>
                <w:rFonts w:ascii="宋体" w:hAnsi="宋体"/>
              </w:rPr>
              <w:t>(MPa)</w:t>
            </w:r>
          </w:p>
        </w:tc>
        <w:tc>
          <w:tcPr>
            <w:tcW w:w="1026" w:type="dxa"/>
            <w:tcBorders>
              <w:top w:val="single" w:color="auto" w:sz="6" w:space="0"/>
              <w:left w:val="single" w:color="auto" w:sz="6" w:space="0"/>
              <w:right w:val="single" w:color="auto" w:sz="6" w:space="0"/>
            </w:tcBorders>
            <w:vAlign w:val="center"/>
          </w:tcPr>
          <w:p>
            <w:pPr>
              <w:spacing w:line="360" w:lineRule="auto"/>
              <w:jc w:val="center"/>
              <w:rPr>
                <w:rFonts w:ascii="宋体" w:hAnsi="宋体"/>
              </w:rPr>
            </w:pPr>
            <w:r>
              <w:rPr>
                <w:rFonts w:ascii="宋体" w:hAnsi="宋体"/>
              </w:rPr>
              <w:t>时间</w:t>
            </w:r>
          </w:p>
          <w:p>
            <w:pPr>
              <w:spacing w:line="360" w:lineRule="auto"/>
              <w:jc w:val="center"/>
              <w:rPr>
                <w:rFonts w:ascii="宋体" w:hAnsi="宋体"/>
              </w:rPr>
            </w:pPr>
            <w:r>
              <w:rPr>
                <w:rFonts w:ascii="宋体" w:hAnsi="宋体"/>
              </w:rPr>
              <w:t>(Hs)</w:t>
            </w:r>
          </w:p>
        </w:tc>
      </w:tr>
      <w:tr>
        <w:tblPrEx>
          <w:tblCellMar>
            <w:top w:w="0" w:type="dxa"/>
            <w:left w:w="28" w:type="dxa"/>
            <w:bottom w:w="0" w:type="dxa"/>
            <w:right w:w="28" w:type="dxa"/>
          </w:tblCellMar>
        </w:tblPrEx>
        <w:trPr>
          <w:trHeight w:val="240" w:hRule="atLeast"/>
        </w:trPr>
        <w:tc>
          <w:tcPr>
            <w:tcW w:w="90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UPVC</w:t>
            </w:r>
          </w:p>
        </w:tc>
        <w:tc>
          <w:tcPr>
            <w:tcW w:w="6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20</w:t>
            </w:r>
          </w:p>
        </w:tc>
        <w:tc>
          <w:tcPr>
            <w:tcW w:w="66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42.0</w:t>
            </w:r>
          </w:p>
        </w:tc>
        <w:tc>
          <w:tcPr>
            <w:tcW w:w="74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944"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60</w:t>
            </w:r>
          </w:p>
        </w:tc>
        <w:tc>
          <w:tcPr>
            <w:tcW w:w="815"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17.0</w:t>
            </w:r>
          </w:p>
        </w:tc>
        <w:tc>
          <w:tcPr>
            <w:tcW w:w="912"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11.5</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170</w:t>
            </w:r>
          </w:p>
        </w:tc>
        <w:tc>
          <w:tcPr>
            <w:tcW w:w="771"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10.0</w:t>
            </w:r>
          </w:p>
        </w:tc>
        <w:tc>
          <w:tcPr>
            <w:tcW w:w="102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1000</w:t>
            </w:r>
          </w:p>
        </w:tc>
      </w:tr>
      <w:tr>
        <w:tblPrEx>
          <w:tblCellMar>
            <w:top w:w="0" w:type="dxa"/>
            <w:left w:w="28" w:type="dxa"/>
            <w:bottom w:w="0" w:type="dxa"/>
            <w:right w:w="28" w:type="dxa"/>
          </w:tblCellMar>
        </w:tblPrEx>
        <w:trPr>
          <w:trHeight w:val="240" w:hRule="atLeast"/>
        </w:trPr>
        <w:tc>
          <w:tcPr>
            <w:tcW w:w="90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LDPE</w:t>
            </w:r>
          </w:p>
        </w:tc>
        <w:tc>
          <w:tcPr>
            <w:tcW w:w="6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20</w:t>
            </w:r>
          </w:p>
        </w:tc>
        <w:tc>
          <w:tcPr>
            <w:tcW w:w="66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7.5</w:t>
            </w:r>
          </w:p>
        </w:tc>
        <w:tc>
          <w:tcPr>
            <w:tcW w:w="74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944"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50</w:t>
            </w:r>
          </w:p>
        </w:tc>
        <w:tc>
          <w:tcPr>
            <w:tcW w:w="815"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5.7</w:t>
            </w:r>
          </w:p>
        </w:tc>
        <w:tc>
          <w:tcPr>
            <w:tcW w:w="912"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5.0</w:t>
            </w:r>
          </w:p>
        </w:tc>
        <w:tc>
          <w:tcPr>
            <w:tcW w:w="780" w:type="dxa"/>
            <w:tcBorders>
              <w:top w:val="single" w:color="auto" w:sz="6" w:space="0"/>
              <w:left w:val="single" w:color="auto" w:sz="6" w:space="0"/>
              <w:bottom w:val="single" w:color="auto" w:sz="6" w:space="0"/>
              <w:right w:val="single" w:color="auto" w:sz="6" w:space="0"/>
            </w:tcBorders>
            <w:vAlign w:val="center"/>
          </w:tcPr>
          <w:p>
            <w:pPr>
              <w:tabs>
                <w:tab w:val="center" w:pos="4153"/>
                <w:tab w:val="right" w:pos="8306"/>
              </w:tabs>
              <w:snapToGrid w:val="0"/>
              <w:spacing w:line="360" w:lineRule="auto"/>
              <w:ind w:left="-15" w:hanging="110"/>
              <w:jc w:val="center"/>
              <w:rPr>
                <w:rFonts w:ascii="宋体" w:hAnsi="宋体"/>
                <w:szCs w:val="18"/>
              </w:rPr>
            </w:pPr>
            <w:r>
              <w:rPr>
                <w:rFonts w:ascii="宋体" w:hAnsi="宋体"/>
                <w:szCs w:val="18"/>
              </w:rPr>
              <w:t>170</w:t>
            </w:r>
          </w:p>
        </w:tc>
        <w:tc>
          <w:tcPr>
            <w:tcW w:w="771"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4.5</w:t>
            </w:r>
          </w:p>
        </w:tc>
        <w:tc>
          <w:tcPr>
            <w:tcW w:w="102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1000</w:t>
            </w:r>
          </w:p>
        </w:tc>
      </w:tr>
      <w:tr>
        <w:tblPrEx>
          <w:tblCellMar>
            <w:top w:w="0" w:type="dxa"/>
            <w:left w:w="28" w:type="dxa"/>
            <w:bottom w:w="0" w:type="dxa"/>
            <w:right w:w="28" w:type="dxa"/>
          </w:tblCellMar>
        </w:tblPrEx>
        <w:trPr>
          <w:trHeight w:val="240" w:hRule="atLeast"/>
        </w:trPr>
        <w:tc>
          <w:tcPr>
            <w:tcW w:w="90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MDPE</w:t>
            </w:r>
          </w:p>
        </w:tc>
        <w:tc>
          <w:tcPr>
            <w:tcW w:w="6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20</w:t>
            </w:r>
          </w:p>
        </w:tc>
        <w:tc>
          <w:tcPr>
            <w:tcW w:w="66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11.5</w:t>
            </w:r>
          </w:p>
        </w:tc>
        <w:tc>
          <w:tcPr>
            <w:tcW w:w="74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944"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80</w:t>
            </w:r>
          </w:p>
        </w:tc>
        <w:tc>
          <w:tcPr>
            <w:tcW w:w="815"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5.7</w:t>
            </w:r>
          </w:p>
        </w:tc>
        <w:tc>
          <w:tcPr>
            <w:tcW w:w="912"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4.5</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170</w:t>
            </w:r>
          </w:p>
        </w:tc>
        <w:tc>
          <w:tcPr>
            <w:tcW w:w="771"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3.5</w:t>
            </w:r>
          </w:p>
        </w:tc>
        <w:tc>
          <w:tcPr>
            <w:tcW w:w="102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1000</w:t>
            </w:r>
          </w:p>
        </w:tc>
      </w:tr>
      <w:tr>
        <w:tblPrEx>
          <w:tblCellMar>
            <w:top w:w="0" w:type="dxa"/>
            <w:left w:w="28" w:type="dxa"/>
            <w:bottom w:w="0" w:type="dxa"/>
            <w:right w:w="28" w:type="dxa"/>
          </w:tblCellMar>
        </w:tblPrEx>
        <w:trPr>
          <w:trHeight w:val="240" w:hRule="atLeast"/>
        </w:trPr>
        <w:tc>
          <w:tcPr>
            <w:tcW w:w="90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HDPE/1</w:t>
            </w:r>
          </w:p>
        </w:tc>
        <w:tc>
          <w:tcPr>
            <w:tcW w:w="6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20</w:t>
            </w:r>
          </w:p>
        </w:tc>
        <w:tc>
          <w:tcPr>
            <w:tcW w:w="66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15.0</w:t>
            </w:r>
          </w:p>
        </w:tc>
        <w:tc>
          <w:tcPr>
            <w:tcW w:w="74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944"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80</w:t>
            </w:r>
          </w:p>
        </w:tc>
        <w:tc>
          <w:tcPr>
            <w:tcW w:w="815"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6.0</w:t>
            </w:r>
          </w:p>
        </w:tc>
        <w:tc>
          <w:tcPr>
            <w:tcW w:w="912"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3.0</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170</w:t>
            </w:r>
          </w:p>
        </w:tc>
        <w:tc>
          <w:tcPr>
            <w:tcW w:w="771"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1.8</w:t>
            </w:r>
          </w:p>
        </w:tc>
        <w:tc>
          <w:tcPr>
            <w:tcW w:w="102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1000</w:t>
            </w:r>
          </w:p>
        </w:tc>
      </w:tr>
      <w:tr>
        <w:tblPrEx>
          <w:tblCellMar>
            <w:top w:w="0" w:type="dxa"/>
            <w:left w:w="28" w:type="dxa"/>
            <w:bottom w:w="0" w:type="dxa"/>
            <w:right w:w="28" w:type="dxa"/>
          </w:tblCellMar>
        </w:tblPrEx>
        <w:trPr>
          <w:trHeight w:val="240" w:hRule="atLeast"/>
        </w:trPr>
        <w:tc>
          <w:tcPr>
            <w:tcW w:w="90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HDPE/2</w:t>
            </w:r>
          </w:p>
        </w:tc>
        <w:tc>
          <w:tcPr>
            <w:tcW w:w="66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20</w:t>
            </w:r>
          </w:p>
        </w:tc>
        <w:tc>
          <w:tcPr>
            <w:tcW w:w="66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11.8</w:t>
            </w:r>
          </w:p>
        </w:tc>
        <w:tc>
          <w:tcPr>
            <w:tcW w:w="74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944"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80</w:t>
            </w:r>
          </w:p>
        </w:tc>
        <w:tc>
          <w:tcPr>
            <w:tcW w:w="815"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5.5</w:t>
            </w:r>
          </w:p>
        </w:tc>
        <w:tc>
          <w:tcPr>
            <w:tcW w:w="912"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4.0</w:t>
            </w:r>
          </w:p>
        </w:tc>
        <w:tc>
          <w:tcPr>
            <w:tcW w:w="780"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170</w:t>
            </w:r>
          </w:p>
        </w:tc>
        <w:tc>
          <w:tcPr>
            <w:tcW w:w="771"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3.0</w:t>
            </w:r>
          </w:p>
        </w:tc>
        <w:tc>
          <w:tcPr>
            <w:tcW w:w="1026" w:type="dxa"/>
            <w:tcBorders>
              <w:top w:val="single" w:color="auto" w:sz="6" w:space="0"/>
              <w:left w:val="single" w:color="auto" w:sz="6" w:space="0"/>
              <w:bottom w:val="single" w:color="auto" w:sz="6" w:space="0"/>
              <w:right w:val="single" w:color="auto" w:sz="6" w:space="0"/>
            </w:tcBorders>
            <w:vAlign w:val="center"/>
          </w:tcPr>
          <w:p>
            <w:pPr>
              <w:spacing w:line="360" w:lineRule="auto"/>
              <w:jc w:val="center"/>
              <w:rPr>
                <w:rFonts w:ascii="宋体" w:hAnsi="宋体"/>
              </w:rPr>
            </w:pPr>
            <w:r>
              <w:rPr>
                <w:rFonts w:ascii="宋体" w:hAnsi="宋体"/>
              </w:rPr>
              <w:t>1000</w:t>
            </w:r>
          </w:p>
        </w:tc>
      </w:tr>
      <w:tr>
        <w:tblPrEx>
          <w:tblCellMar>
            <w:top w:w="0" w:type="dxa"/>
            <w:left w:w="28" w:type="dxa"/>
            <w:bottom w:w="0" w:type="dxa"/>
            <w:right w:w="28" w:type="dxa"/>
          </w:tblCellMar>
        </w:tblPrEx>
        <w:trPr>
          <w:trHeight w:val="240" w:hRule="atLeast"/>
        </w:trPr>
        <w:tc>
          <w:tcPr>
            <w:tcW w:w="900" w:type="dxa"/>
            <w:tcBorders>
              <w:top w:val="single" w:color="auto" w:sz="6" w:space="0"/>
              <w:left w:val="single" w:color="auto" w:sz="6" w:space="0"/>
              <w:bottom w:val="single" w:color="auto" w:sz="6" w:space="0"/>
            </w:tcBorders>
            <w:vAlign w:val="center"/>
          </w:tcPr>
          <w:p>
            <w:pPr>
              <w:spacing w:line="360" w:lineRule="auto"/>
              <w:rPr>
                <w:rFonts w:ascii="宋体" w:hAnsi="宋体"/>
              </w:rPr>
            </w:pPr>
            <w:r>
              <w:rPr>
                <w:rFonts w:ascii="宋体" w:hAnsi="宋体"/>
              </w:rPr>
              <w:t>注 释</w:t>
            </w:r>
          </w:p>
        </w:tc>
        <w:tc>
          <w:tcPr>
            <w:tcW w:w="8100" w:type="dxa"/>
            <w:gridSpan w:val="10"/>
            <w:tcBorders>
              <w:top w:val="single" w:color="auto" w:sz="6" w:space="0"/>
              <w:bottom w:val="single" w:color="auto" w:sz="6" w:space="0"/>
              <w:right w:val="single" w:color="auto" w:sz="6" w:space="0"/>
            </w:tcBorders>
            <w:vAlign w:val="center"/>
          </w:tcPr>
          <w:p>
            <w:pPr>
              <w:spacing w:line="360" w:lineRule="auto"/>
              <w:rPr>
                <w:rFonts w:ascii="宋体" w:hAnsi="宋体"/>
              </w:rPr>
            </w:pPr>
            <w:r>
              <w:rPr>
                <w:rFonts w:ascii="宋体" w:hAnsi="宋体"/>
              </w:rPr>
              <w:t>对每次测试所施加的有效内压力对管壁产生的应力量不能低于所规定的值。</w:t>
            </w:r>
          </w:p>
        </w:tc>
      </w:tr>
    </w:tbl>
    <w:p>
      <w:pPr>
        <w:spacing w:line="360" w:lineRule="auto"/>
        <w:outlineLvl w:val="3"/>
        <w:rPr>
          <w:rFonts w:ascii="宋体" w:hAnsi="宋体"/>
        </w:rPr>
      </w:pPr>
      <w:r>
        <w:rPr>
          <w:rFonts w:ascii="宋体" w:hAnsi="宋体"/>
        </w:rPr>
        <w:t>5.</w:t>
      </w:r>
      <w:r>
        <w:rPr>
          <w:rFonts w:hint="eastAsia" w:ascii="宋体" w:hAnsi="宋体"/>
        </w:rPr>
        <w:t>8</w:t>
      </w:r>
      <w:r>
        <w:rPr>
          <w:rFonts w:ascii="宋体" w:hAnsi="宋体"/>
        </w:rPr>
        <w:t>.4.3聚乙烯抗环境开裂应力测试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对聚乙烯材料抗环境开裂应力的测试用其承受的时间为衡量标准。把有凹缺口的样品管施以弯曲应力，并且浸入不为材料所吸收的特殊的表面活化剂中。</w:t>
      </w:r>
    </w:p>
    <w:p>
      <w:pPr>
        <w:spacing w:line="360" w:lineRule="auto"/>
        <w:outlineLvl w:val="3"/>
        <w:rPr>
          <w:rFonts w:ascii="宋体" w:hAnsi="宋体"/>
        </w:rPr>
      </w:pPr>
      <w:r>
        <w:rPr>
          <w:rFonts w:ascii="宋体" w:hAnsi="宋体"/>
        </w:rPr>
        <w:t>5.</w:t>
      </w:r>
      <w:r>
        <w:rPr>
          <w:rFonts w:hint="eastAsia" w:ascii="宋体" w:hAnsi="宋体"/>
        </w:rPr>
        <w:t>8</w:t>
      </w:r>
      <w:r>
        <w:rPr>
          <w:rFonts w:ascii="宋体" w:hAnsi="宋体"/>
        </w:rPr>
        <w:t>.4.4塑性变形测试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对每一种热塑性材料，取三个样品管段，按下述要求进行测试。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样品管放在一组相互平行的平板上，并且沿着样品管长度在两边线上施以完全相同的负荷。这样直接产生挠度值为管径的1%。在进行了0.1h和100h持久稳定的负荷之后，应重新测定每一个样品的挠度。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每一组样品管的比率为能承受100 h的挠度值除以能承受0.1小时的挠度值。得出的比率不能超过表</w:t>
      </w:r>
      <w:r>
        <w:rPr>
          <w:rFonts w:hint="eastAsia" w:ascii="宋体" w:hAnsi="宋体"/>
          <w:kern w:val="0"/>
          <w:szCs w:val="21"/>
        </w:rPr>
        <w:t>5</w:t>
      </w:r>
      <w:r>
        <w:rPr>
          <w:rFonts w:ascii="宋体" w:hAnsi="宋体"/>
          <w:kern w:val="0"/>
          <w:szCs w:val="21"/>
        </w:rPr>
        <w:t>-8-7给定的值。</w:t>
      </w:r>
    </w:p>
    <w:p>
      <w:pPr>
        <w:adjustRightInd w:val="0"/>
        <w:snapToGrid w:val="0"/>
        <w:spacing w:line="360" w:lineRule="atLeast"/>
        <w:ind w:firstLine="420"/>
        <w:rPr>
          <w:rFonts w:ascii="宋体" w:hAnsi="宋体"/>
          <w:kern w:val="0"/>
          <w:szCs w:val="21"/>
        </w:rPr>
      </w:pPr>
      <w:r>
        <w:rPr>
          <w:rFonts w:ascii="宋体" w:hAnsi="宋体"/>
          <w:kern w:val="0"/>
          <w:szCs w:val="21"/>
        </w:rPr>
        <w:t xml:space="preserve">                </w:t>
      </w:r>
      <w:r>
        <w:rPr>
          <w:rFonts w:ascii="宋体" w:hAnsi="宋体"/>
        </w:rPr>
        <w:t xml:space="preserve">   热塑性管件的塑性变形挠度测试             表</w:t>
      </w:r>
      <w:r>
        <w:rPr>
          <w:rFonts w:hint="eastAsia" w:ascii="宋体" w:hAnsi="宋体"/>
        </w:rPr>
        <w:t>5</w:t>
      </w:r>
      <w:r>
        <w:rPr>
          <w:rFonts w:ascii="宋体" w:hAnsi="宋体"/>
        </w:rPr>
        <w:t>-8-7</w:t>
      </w:r>
    </w:p>
    <w:tbl>
      <w:tblPr>
        <w:tblStyle w:val="7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2908"/>
        <w:gridCol w:w="2760"/>
        <w:gridCol w:w="275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 w:hRule="atLeast"/>
          <w:tblHeader/>
        </w:trPr>
        <w:tc>
          <w:tcPr>
            <w:tcW w:w="2908" w:type="dxa"/>
            <w:tcBorders>
              <w:tl2br w:val="single" w:color="auto" w:sz="4" w:space="0"/>
            </w:tcBorders>
            <w:vAlign w:val="center"/>
          </w:tcPr>
          <w:p>
            <w:pPr>
              <w:spacing w:line="360" w:lineRule="auto"/>
              <w:jc w:val="right"/>
              <w:rPr>
                <w:rFonts w:ascii="宋体" w:hAnsi="宋体"/>
              </w:rPr>
            </w:pPr>
            <w:r>
              <w:rPr>
                <w:rFonts w:ascii="宋体" w:hAnsi="宋体"/>
              </w:rPr>
              <w:t xml:space="preserve"> 管件材料  </w:t>
            </w:r>
          </w:p>
          <w:p>
            <w:pPr>
              <w:spacing w:line="360" w:lineRule="auto"/>
              <w:rPr>
                <w:rFonts w:ascii="宋体" w:hAnsi="宋体"/>
              </w:rPr>
            </w:pPr>
            <w:r>
              <w:rPr>
                <w:rFonts w:ascii="宋体" w:hAnsi="宋体"/>
              </w:rPr>
              <w:t>测试内容</w:t>
            </w:r>
          </w:p>
        </w:tc>
        <w:tc>
          <w:tcPr>
            <w:tcW w:w="2760" w:type="dxa"/>
            <w:vAlign w:val="center"/>
          </w:tcPr>
          <w:p>
            <w:pPr>
              <w:spacing w:line="360" w:lineRule="auto"/>
              <w:jc w:val="center"/>
              <w:rPr>
                <w:rFonts w:ascii="宋体" w:hAnsi="宋体"/>
              </w:rPr>
            </w:pPr>
            <w:r>
              <w:rPr>
                <w:rFonts w:ascii="宋体" w:hAnsi="宋体"/>
              </w:rPr>
              <w:t>塑性变形挠度率</w:t>
            </w:r>
          </w:p>
        </w:tc>
        <w:tc>
          <w:tcPr>
            <w:tcW w:w="2759" w:type="dxa"/>
            <w:vAlign w:val="center"/>
          </w:tcPr>
          <w:p>
            <w:pPr>
              <w:spacing w:line="360" w:lineRule="auto"/>
              <w:jc w:val="center"/>
              <w:rPr>
                <w:rFonts w:ascii="宋体" w:hAnsi="宋体"/>
              </w:rPr>
            </w:pPr>
            <w:r>
              <w:rPr>
                <w:rFonts w:ascii="宋体" w:hAnsi="宋体"/>
              </w:rPr>
              <w:t>大塑性变形挠度率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 w:hRule="atLeast"/>
        </w:trPr>
        <w:tc>
          <w:tcPr>
            <w:tcW w:w="2908" w:type="dxa"/>
            <w:vAlign w:val="center"/>
          </w:tcPr>
          <w:p>
            <w:pPr>
              <w:spacing w:line="360" w:lineRule="auto"/>
              <w:jc w:val="center"/>
              <w:rPr>
                <w:rFonts w:ascii="宋体" w:hAnsi="宋体"/>
              </w:rPr>
            </w:pPr>
            <w:r>
              <w:rPr>
                <w:rFonts w:ascii="宋体" w:hAnsi="宋体"/>
              </w:rPr>
              <w:t>聚乙烯</w:t>
            </w:r>
          </w:p>
        </w:tc>
        <w:tc>
          <w:tcPr>
            <w:tcW w:w="2760" w:type="dxa"/>
            <w:vAlign w:val="center"/>
          </w:tcPr>
          <w:p>
            <w:pPr>
              <w:spacing w:line="360" w:lineRule="auto"/>
              <w:jc w:val="center"/>
              <w:rPr>
                <w:rFonts w:ascii="宋体" w:hAnsi="宋体"/>
              </w:rPr>
            </w:pPr>
            <w:r>
              <w:rPr>
                <w:rFonts w:ascii="宋体" w:hAnsi="宋体"/>
              </w:rPr>
              <w:t>2.5</w:t>
            </w:r>
          </w:p>
        </w:tc>
        <w:tc>
          <w:tcPr>
            <w:tcW w:w="2759" w:type="dxa"/>
            <w:vAlign w:val="center"/>
          </w:tcPr>
          <w:p>
            <w:pPr>
              <w:spacing w:line="360" w:lineRule="auto"/>
              <w:jc w:val="center"/>
              <w:rPr>
                <w:rFonts w:ascii="宋体" w:hAnsi="宋体"/>
              </w:rPr>
            </w:pPr>
            <w:r>
              <w:rPr>
                <w:rFonts w:ascii="宋体" w:hAnsi="宋体"/>
              </w:rPr>
              <w:t>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 w:hRule="atLeast"/>
        </w:trPr>
        <w:tc>
          <w:tcPr>
            <w:tcW w:w="2908" w:type="dxa"/>
            <w:vAlign w:val="center"/>
          </w:tcPr>
          <w:p>
            <w:pPr>
              <w:spacing w:line="360" w:lineRule="auto"/>
              <w:jc w:val="center"/>
              <w:rPr>
                <w:rFonts w:ascii="宋体" w:hAnsi="宋体"/>
              </w:rPr>
            </w:pPr>
            <w:r>
              <w:rPr>
                <w:rFonts w:ascii="宋体" w:hAnsi="宋体"/>
              </w:rPr>
              <w:t>PVC</w:t>
            </w:r>
          </w:p>
        </w:tc>
        <w:tc>
          <w:tcPr>
            <w:tcW w:w="2760" w:type="dxa"/>
            <w:vAlign w:val="center"/>
          </w:tcPr>
          <w:p>
            <w:pPr>
              <w:spacing w:line="360" w:lineRule="auto"/>
              <w:jc w:val="center"/>
              <w:rPr>
                <w:rFonts w:ascii="宋体" w:hAnsi="宋体"/>
              </w:rPr>
            </w:pPr>
            <w:r>
              <w:rPr>
                <w:rFonts w:ascii="宋体" w:hAnsi="宋体"/>
              </w:rPr>
              <w:t>1.75</w:t>
            </w:r>
          </w:p>
        </w:tc>
        <w:tc>
          <w:tcPr>
            <w:tcW w:w="2759" w:type="dxa"/>
            <w:vAlign w:val="center"/>
          </w:tcPr>
          <w:p>
            <w:pPr>
              <w:spacing w:line="360" w:lineRule="auto"/>
              <w:jc w:val="center"/>
              <w:rPr>
                <w:rFonts w:ascii="宋体" w:hAnsi="宋体"/>
              </w:rPr>
            </w:pPr>
            <w:r>
              <w:rPr>
                <w:rFonts w:ascii="宋体" w:hAnsi="宋体"/>
              </w:rPr>
              <w:t>2.0</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测试应在20</w:t>
      </w:r>
      <w:r>
        <w:rPr>
          <w:rFonts w:hint="eastAsia" w:ascii="宋体" w:hAnsi="宋体"/>
          <w:kern w:val="0"/>
          <w:szCs w:val="21"/>
        </w:rPr>
        <w:t>℃</w:t>
      </w:r>
      <w:r>
        <w:rPr>
          <w:rFonts w:ascii="宋体" w:hAnsi="宋体"/>
          <w:kern w:val="0"/>
          <w:szCs w:val="21"/>
        </w:rPr>
        <w:sym w:font="Symbol" w:char="F0B1"/>
      </w:r>
      <w:r>
        <w:rPr>
          <w:rFonts w:ascii="宋体" w:hAnsi="宋体"/>
          <w:kern w:val="0"/>
          <w:szCs w:val="21"/>
        </w:rPr>
        <w:t xml:space="preserve"> 1</w:t>
      </w:r>
      <w:r>
        <w:rPr>
          <w:rFonts w:hint="eastAsia" w:ascii="宋体" w:hAnsi="宋体"/>
          <w:kern w:val="0"/>
          <w:szCs w:val="21"/>
        </w:rPr>
        <w:t>℃</w:t>
      </w:r>
      <w:r>
        <w:rPr>
          <w:rFonts w:ascii="宋体" w:hAnsi="宋体"/>
          <w:kern w:val="0"/>
          <w:szCs w:val="21"/>
        </w:rPr>
        <w:t>温度下进行，样品管的长度为管直径的1/5，或管直径小于1500mm以下为300mm。</w:t>
      </w:r>
    </w:p>
    <w:p>
      <w:pPr>
        <w:spacing w:line="360" w:lineRule="auto"/>
        <w:outlineLvl w:val="3"/>
        <w:rPr>
          <w:rFonts w:ascii="宋体" w:hAnsi="宋体"/>
        </w:rPr>
      </w:pPr>
      <w:r>
        <w:rPr>
          <w:rFonts w:ascii="宋体" w:hAnsi="宋体"/>
        </w:rPr>
        <w:t>5.</w:t>
      </w:r>
      <w:r>
        <w:rPr>
          <w:rFonts w:hint="eastAsia" w:ascii="宋体" w:hAnsi="宋体"/>
        </w:rPr>
        <w:t>8</w:t>
      </w:r>
      <w:r>
        <w:rPr>
          <w:rFonts w:ascii="宋体" w:hAnsi="宋体"/>
        </w:rPr>
        <w:t>.4.5劲度测试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测定管件的劲度应把平行板上负荷施加在样品管截面上，样品管的长度为管径的1/5，或直管径小于1500mm时为300mm，工作温度为20</w:t>
      </w:r>
      <w:r>
        <w:rPr>
          <w:rFonts w:hint="eastAsia" w:ascii="宋体" w:hAnsi="宋体"/>
          <w:kern w:val="0"/>
          <w:szCs w:val="21"/>
        </w:rPr>
        <w:t>℃</w:t>
      </w:r>
      <w:r>
        <w:rPr>
          <w:rFonts w:ascii="宋体" w:hAnsi="宋体"/>
          <w:kern w:val="0"/>
          <w:szCs w:val="21"/>
        </w:rPr>
        <w:sym w:font="Symbol" w:char="F0B1"/>
      </w:r>
      <w:r>
        <w:rPr>
          <w:rFonts w:ascii="宋体" w:hAnsi="宋体"/>
          <w:kern w:val="0"/>
          <w:szCs w:val="21"/>
        </w:rPr>
        <w:t xml:space="preserve"> 1</w:t>
      </w:r>
      <w:r>
        <w:rPr>
          <w:rFonts w:hint="eastAsia" w:ascii="宋体" w:hAnsi="宋体"/>
          <w:kern w:val="0"/>
          <w:szCs w:val="21"/>
        </w:rPr>
        <w:t>℃</w:t>
      </w:r>
      <w:r>
        <w:rPr>
          <w:rFonts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施加在样品管上总负荷衡量值应使挠度值为3％和5％。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管件劲度计算式为EI/D3=Lx负荷/挠度，式中的负荷计量使用N/m，挠度用m来表示，L 值在挠度为3％时以0.01935计，在挠度为5％时以0.0199计。</w:t>
      </w:r>
    </w:p>
    <w:p>
      <w:pPr>
        <w:spacing w:line="360" w:lineRule="auto"/>
        <w:outlineLvl w:val="3"/>
        <w:rPr>
          <w:rFonts w:ascii="宋体" w:hAnsi="宋体"/>
        </w:rPr>
      </w:pPr>
      <w:r>
        <w:rPr>
          <w:rFonts w:ascii="宋体" w:hAnsi="宋体"/>
        </w:rPr>
        <w:t>5.</w:t>
      </w:r>
      <w:r>
        <w:rPr>
          <w:rFonts w:hint="eastAsia" w:ascii="宋体" w:hAnsi="宋体"/>
        </w:rPr>
        <w:t>8</w:t>
      </w:r>
      <w:r>
        <w:rPr>
          <w:rFonts w:ascii="宋体" w:hAnsi="宋体"/>
        </w:rPr>
        <w:t>.4.6加热复原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热塑性管件加热复原的测试应在每台工作机器上8小时运行，生产一根样品管的速率下进行。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这个测试应测量管筒体在120°温度下加热30min后，再恢复到室内温度情况下，其管体两端之间与管轴方向平行的尺寸的变化。</w:t>
      </w:r>
    </w:p>
    <w:p>
      <w:pPr>
        <w:spacing w:line="360" w:lineRule="auto"/>
        <w:outlineLvl w:val="3"/>
        <w:rPr>
          <w:rFonts w:ascii="宋体" w:hAnsi="宋体"/>
        </w:rPr>
      </w:pPr>
      <w:r>
        <w:rPr>
          <w:rFonts w:ascii="宋体" w:hAnsi="宋体"/>
        </w:rPr>
        <w:t>5.</w:t>
      </w:r>
      <w:r>
        <w:rPr>
          <w:rFonts w:hint="eastAsia" w:ascii="宋体" w:hAnsi="宋体"/>
        </w:rPr>
        <w:t>8</w:t>
      </w:r>
      <w:r>
        <w:rPr>
          <w:rFonts w:ascii="宋体" w:hAnsi="宋体"/>
        </w:rPr>
        <w:t>.4.7水密性测试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在制造场地应对管子不施加压力条件下进行水密性测试。无论如何，管件和接头的测试应同时进行。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在样品管内部施以0.1MPa的静水压力，能承受30min而没有发生不良现象，并且在管件外部也没有渗水。</w:t>
      </w:r>
    </w:p>
    <w:p>
      <w:pPr>
        <w:spacing w:line="360" w:lineRule="auto"/>
        <w:outlineLvl w:val="3"/>
        <w:rPr>
          <w:rFonts w:ascii="宋体" w:hAnsi="宋体"/>
        </w:rPr>
      </w:pPr>
      <w:r>
        <w:rPr>
          <w:rFonts w:ascii="宋体" w:hAnsi="宋体"/>
        </w:rPr>
        <w:t>5.</w:t>
      </w:r>
      <w:r>
        <w:rPr>
          <w:rFonts w:hint="eastAsia" w:ascii="宋体" w:hAnsi="宋体"/>
        </w:rPr>
        <w:t>8</w:t>
      </w:r>
      <w:r>
        <w:rPr>
          <w:rFonts w:ascii="宋体" w:hAnsi="宋体"/>
        </w:rPr>
        <w:t>.4.8内部压力测试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管件的内部静水压力测试应按照破裂应力测试要求来进行。在制造场地应对管子施加压力条件下进行内部静水压力测试。无论如何，管件和接头的测试应同时进行。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样品管内部静水压力应等于管件的额定压力值。在该静水压力下，能承受30分钟而没有发生不良现象，并且在管件外部也没有渗水。</w:t>
      </w:r>
    </w:p>
    <w:p>
      <w:pPr>
        <w:spacing w:line="360" w:lineRule="auto"/>
        <w:outlineLvl w:val="3"/>
        <w:rPr>
          <w:rFonts w:ascii="宋体" w:hAnsi="宋体"/>
        </w:rPr>
      </w:pPr>
      <w:bookmarkStart w:id="5136" w:name="_Toc271232458"/>
      <w:r>
        <w:rPr>
          <w:rFonts w:ascii="宋体" w:hAnsi="宋体"/>
        </w:rPr>
        <w:t>5.</w:t>
      </w:r>
      <w:r>
        <w:rPr>
          <w:rFonts w:hint="eastAsia" w:ascii="宋体" w:hAnsi="宋体"/>
        </w:rPr>
        <w:t>8</w:t>
      </w:r>
      <w:r>
        <w:rPr>
          <w:rFonts w:ascii="宋体" w:hAnsi="宋体"/>
        </w:rPr>
        <w:t>.4.9  PE管的水浴测试</w:t>
      </w:r>
      <w:bookmarkEnd w:id="513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对PE管件进行测试是为了保证在挤压成形期间或其它生产期间这个材料不会发生氧化反应。</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测试进行方法是从管件上切割一个样品环，这个环应有管件完整的圆截面，并且长度大约为50mm，把样品浸入温度为80</w:t>
      </w:r>
      <w:r>
        <w:rPr>
          <w:rFonts w:hint="eastAsia" w:ascii="宋体" w:hAnsi="宋体"/>
          <w:kern w:val="0"/>
          <w:szCs w:val="21"/>
        </w:rPr>
        <w:t>℃</w:t>
      </w:r>
      <w:r>
        <w:rPr>
          <w:rFonts w:ascii="宋体" w:hAnsi="宋体"/>
          <w:kern w:val="0"/>
          <w:szCs w:val="21"/>
        </w:rPr>
        <w:t>（</w:t>
      </w:r>
      <w:r>
        <w:rPr>
          <w:rFonts w:ascii="宋体" w:hAnsi="宋体"/>
          <w:kern w:val="0"/>
          <w:szCs w:val="21"/>
        </w:rPr>
        <w:sym w:font="Symbol" w:char="F0B1"/>
      </w:r>
      <w:r>
        <w:rPr>
          <w:rFonts w:ascii="宋体" w:hAnsi="宋体"/>
          <w:kern w:val="0"/>
          <w:szCs w:val="21"/>
        </w:rPr>
        <w:t>2</w:t>
      </w:r>
      <w:r>
        <w:rPr>
          <w:rFonts w:hint="eastAsia" w:ascii="宋体" w:hAnsi="宋体"/>
          <w:kern w:val="0"/>
          <w:szCs w:val="21"/>
        </w:rPr>
        <w:t>℃</w:t>
      </w:r>
      <w:r>
        <w:rPr>
          <w:rFonts w:ascii="宋体" w:hAnsi="宋体"/>
          <w:kern w:val="0"/>
          <w:szCs w:val="21"/>
        </w:rPr>
        <w:t>）的水中约24h，从水浴床中取出样品，不需擦拭或其它方法，让其在大气中自然干燥，在管件表面显出任何形式的包裹物都说明这个测试为不合格。</w:t>
      </w:r>
    </w:p>
    <w:p>
      <w:pPr>
        <w:adjustRightInd w:val="0"/>
        <w:snapToGrid w:val="0"/>
        <w:spacing w:line="360" w:lineRule="auto"/>
        <w:jc w:val="left"/>
        <w:outlineLvl w:val="0"/>
        <w:rPr>
          <w:rFonts w:ascii="宋体" w:hAnsi="宋体"/>
          <w:b/>
          <w:bCs/>
          <w:szCs w:val="20"/>
        </w:rPr>
      </w:pPr>
      <w:bookmarkStart w:id="5137" w:name="_Toc15787622"/>
      <w:bookmarkStart w:id="5138" w:name="_Toc437318350"/>
      <w:bookmarkStart w:id="5139" w:name="_Toc409594314"/>
      <w:bookmarkStart w:id="5140" w:name="_Toc202671073"/>
      <w:bookmarkStart w:id="5141" w:name="_Toc266663104"/>
      <w:bookmarkStart w:id="5142" w:name="_Toc271232460"/>
      <w:bookmarkStart w:id="5143" w:name="_Toc436811061"/>
      <w:bookmarkStart w:id="5144" w:name="_Toc518058807"/>
      <w:bookmarkStart w:id="5145" w:name="_Toc518376866"/>
      <w:bookmarkStart w:id="5146" w:name="_Toc521492346"/>
      <w:bookmarkStart w:id="5147" w:name="_Toc521493203"/>
      <w:bookmarkStart w:id="5148" w:name="_Toc521493877"/>
      <w:bookmarkStart w:id="5149" w:name="_Toc106883486"/>
      <w:r>
        <w:rPr>
          <w:rFonts w:hint="eastAsia" w:ascii="宋体" w:hAnsi="宋体"/>
          <w:b/>
          <w:bCs/>
          <w:szCs w:val="20"/>
        </w:rPr>
        <w:t>5.8.</w:t>
      </w:r>
      <w:r>
        <w:rPr>
          <w:rFonts w:ascii="宋体" w:hAnsi="宋体"/>
          <w:b/>
          <w:bCs/>
          <w:szCs w:val="20"/>
        </w:rPr>
        <w:t>5 热塑性管件的目视检查</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所有热塑性管道及配件都应进行目视检查，如果发现不合格之处可拒绝接受或对允许的部份进行修补，可以从不合格的管子上把未受损坏或未受影响的部分切割下来，但此段切割长度不能小于1m。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目视检查的要求详表</w:t>
      </w:r>
      <w:r>
        <w:rPr>
          <w:rFonts w:hint="eastAsia" w:ascii="宋体" w:hAnsi="宋体"/>
          <w:kern w:val="0"/>
          <w:szCs w:val="21"/>
        </w:rPr>
        <w:t>5</w:t>
      </w:r>
      <w:r>
        <w:rPr>
          <w:rFonts w:ascii="宋体" w:hAnsi="宋体"/>
          <w:kern w:val="0"/>
          <w:szCs w:val="21"/>
        </w:rPr>
        <w:t>-8-8。</w:t>
      </w:r>
    </w:p>
    <w:p>
      <w:pPr>
        <w:widowControl/>
        <w:spacing w:line="240" w:lineRule="atLeast"/>
        <w:jc w:val="center"/>
        <w:rPr>
          <w:rFonts w:ascii="宋体" w:hAnsi="宋体"/>
        </w:rPr>
      </w:pPr>
      <w:r>
        <w:rPr>
          <w:rFonts w:ascii="宋体" w:hAnsi="宋体"/>
          <w:sz w:val="18"/>
          <w:szCs w:val="18"/>
        </w:rPr>
        <w:t xml:space="preserve">                   </w:t>
      </w:r>
      <w:r>
        <w:rPr>
          <w:rFonts w:ascii="宋体" w:hAnsi="宋体"/>
        </w:rPr>
        <w:t xml:space="preserve">  热塑性管道的目检要求              表</w:t>
      </w:r>
      <w:r>
        <w:rPr>
          <w:rFonts w:hint="eastAsia" w:ascii="宋体" w:hAnsi="宋体"/>
        </w:rPr>
        <w:t>5</w:t>
      </w:r>
      <w:r>
        <w:rPr>
          <w:rFonts w:ascii="宋体" w:hAnsi="宋体"/>
        </w:rPr>
        <w:t>-8-8</w:t>
      </w:r>
    </w:p>
    <w:tbl>
      <w:tblPr>
        <w:tblStyle w:val="7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708"/>
        <w:gridCol w:w="670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内  容</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要      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椭园度</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平均直径的±1%。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偏心率</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任何一处管壁厚度应以标准尺寸比例，在规定范围内。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表面光洁度</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不应有裂缝，剥落迹象或裂变，不应有挤压痕迹、染色斑点及“文丝”。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划痕</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无论内表面或外表面，不得有长度超过管壁厚度5％的纵向和周围划痕。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裂纹</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所有管道必须没有裂纹。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空隙</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不允许有可见空隙。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突出物</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隆起和皱褶的高度不得大于0.5mm。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杂质</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不能有可见的外来杂质。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80" w:hRule="atLeast"/>
        </w:trPr>
        <w:tc>
          <w:tcPr>
            <w:tcW w:w="1708" w:type="dxa"/>
            <w:vAlign w:val="center"/>
          </w:tcPr>
          <w:p>
            <w:pPr>
              <w:widowControl/>
              <w:spacing w:line="240" w:lineRule="atLeast"/>
              <w:jc w:val="center"/>
              <w:rPr>
                <w:rFonts w:ascii="宋体" w:hAnsi="宋体"/>
                <w:sz w:val="18"/>
                <w:szCs w:val="18"/>
              </w:rPr>
            </w:pPr>
            <w:r>
              <w:rPr>
                <w:rFonts w:ascii="宋体" w:hAnsi="宋体"/>
                <w:sz w:val="18"/>
                <w:szCs w:val="18"/>
              </w:rPr>
              <w:t>分层剥离</w:t>
            </w:r>
          </w:p>
        </w:tc>
        <w:tc>
          <w:tcPr>
            <w:tcW w:w="6705" w:type="dxa"/>
            <w:vAlign w:val="center"/>
          </w:tcPr>
          <w:p>
            <w:pPr>
              <w:widowControl/>
              <w:spacing w:line="240" w:lineRule="atLeast"/>
              <w:jc w:val="center"/>
              <w:rPr>
                <w:rFonts w:ascii="宋体" w:hAnsi="宋体"/>
                <w:sz w:val="18"/>
                <w:szCs w:val="18"/>
              </w:rPr>
            </w:pPr>
            <w:r>
              <w:rPr>
                <w:rFonts w:ascii="宋体" w:hAnsi="宋体"/>
                <w:sz w:val="18"/>
                <w:szCs w:val="18"/>
              </w:rPr>
              <w:t>为不合格。</w:t>
            </w:r>
          </w:p>
        </w:tc>
      </w:tr>
    </w:tbl>
    <w:p>
      <w:pPr>
        <w:adjustRightInd w:val="0"/>
        <w:snapToGrid w:val="0"/>
        <w:spacing w:line="360" w:lineRule="auto"/>
        <w:jc w:val="left"/>
        <w:outlineLvl w:val="2"/>
        <w:rPr>
          <w:rFonts w:ascii="宋体" w:hAnsi="宋体"/>
          <w:b/>
          <w:bCs/>
          <w:szCs w:val="20"/>
        </w:rPr>
      </w:pPr>
      <w:bookmarkStart w:id="5150" w:name="_Toc521493878"/>
      <w:bookmarkStart w:id="5151" w:name="_Toc521492347"/>
      <w:bookmarkStart w:id="5152" w:name="_Toc521493204"/>
      <w:bookmarkStart w:id="5153" w:name="_Toc518376867"/>
      <w:bookmarkStart w:id="5154" w:name="_Toc15787623"/>
      <w:bookmarkStart w:id="5155" w:name="_Toc266663105"/>
      <w:bookmarkStart w:id="5156" w:name="_Toc271232461"/>
      <w:bookmarkStart w:id="5157" w:name="_Toc518058808"/>
      <w:bookmarkStart w:id="5158" w:name="_Toc436811062"/>
      <w:bookmarkStart w:id="5159" w:name="_Toc409594315"/>
      <w:bookmarkStart w:id="5160" w:name="_Toc437318351"/>
      <w:bookmarkStart w:id="5161" w:name="_Toc202671074"/>
      <w:bookmarkStart w:id="5162" w:name="_Toc106883487"/>
      <w:r>
        <w:rPr>
          <w:rFonts w:hint="eastAsia" w:ascii="宋体" w:hAnsi="宋体"/>
          <w:b/>
          <w:bCs/>
          <w:szCs w:val="20"/>
        </w:rPr>
        <w:t>5.8.</w:t>
      </w:r>
      <w:r>
        <w:rPr>
          <w:rFonts w:ascii="宋体" w:hAnsi="宋体"/>
          <w:b/>
          <w:bCs/>
          <w:szCs w:val="20"/>
        </w:rPr>
        <w:t>6 漏涂探测试验</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承包商的生产厂家使用的外涂层应在工作地进行试验。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使用外涂层的场所和承包商的生产厂家使用外涂层的区域如受到损害或破坏，应按项目监理从要求在现场进行修补，并必须确保就地重新试验。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除非有项目监理的书面许可，否则按所述条款(全部或部分)测试的所有外涂层，必须有项目监理或其指定的代表在现场方能进行试验。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试验管线涂层的仪器包括：</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（1）一台低电流、可调压、余波整流、直流输出探测器。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（2）一只有电刷、伸缩线圈、导电橡胶的探测电极，或其它类型能在试验外涂层表面控制移动的电极。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（3）一只有声警报信号器，只要探测电极在试验管道外涂层中遇到缺陷就能激发。</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（4）一根连结仪器和外涂层衬底之间的低阻地线。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（5）一只能探测单脉冲的千伏计，可延续足够读数时间记录和警报缺陷，仪器的功率应不大于20W，电压输出变量可达20KV。</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选择工作电压应适合拟试验的外涂层类型和厚度，可按以下两方面选择确定：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（1）厂家显示的每毫米厚度外涂层的实际介质击穿电压。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（2）试验工作电压应是上述伏特数和外涂层最小允许厚度的毫米数的计算值。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第一种方法，用仪器向选定的外涂层样品区施加一个恒增电压（样品区应没有漏涂或其它缺陷），直至外涂层击穿引起火花，然后应恒降电压，直至火花息缓。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试验工作电压应选在上述两个压限之间。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若用第二种方法，而且样品区属于工程中一个项目的外涂层部分，则应把样品区修复到令负责完成选定工作电压试验的项目监理满意为止。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只有在下列情况下才可进行漏涂试验：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（1）试验外涂层表面完全干燥。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（2）周围环境温度超过4</w:t>
      </w:r>
      <w:r>
        <w:rPr>
          <w:rFonts w:hint="eastAsia" w:ascii="宋体" w:hAnsi="宋体"/>
          <w:kern w:val="0"/>
          <w:szCs w:val="21"/>
        </w:rPr>
        <w:t>℃</w:t>
      </w:r>
      <w:r>
        <w:rPr>
          <w:rFonts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（3）环境空气相对湿度低于85%。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漏涂试验应对外涂层的每个部分进行彻底和完整的探测。在可行的范围内，电极在整个试验过程中应始终与外涂层表面保持接触，并且以仪器厂家推荐的限速均匀地对涂层表面扫描。若没有推荐， 则使用不大于0.3m/sec的速度。试验出的所有裂缝、针孔、漏涂和其它缺陷应作出标识，并记录后向项目监理或其代表报告。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外涂层修补只能得到项目监理专门许可时进行，并令其完全满意。外涂层有裂缝、针孔、漏涂或其它缺陷的管件不得用于工程中。</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所有外涂层修补和重新试验费用均由承包商支付。</w:t>
      </w:r>
    </w:p>
    <w:p>
      <w:pPr>
        <w:adjustRightInd w:val="0"/>
        <w:snapToGrid w:val="0"/>
        <w:spacing w:line="360" w:lineRule="auto"/>
        <w:outlineLvl w:val="1"/>
        <w:rPr>
          <w:rFonts w:ascii="宋体" w:hAnsi="宋体"/>
          <w:b/>
          <w:bCs/>
        </w:rPr>
      </w:pPr>
      <w:bookmarkStart w:id="5163" w:name="_Toc266663106"/>
      <w:bookmarkStart w:id="5164" w:name="_Toc271232462"/>
      <w:bookmarkStart w:id="5165" w:name="_Toc436811063"/>
      <w:bookmarkStart w:id="5166" w:name="_Toc518058809"/>
      <w:bookmarkStart w:id="5167" w:name="_Toc518376868"/>
      <w:bookmarkStart w:id="5168" w:name="_Toc521492348"/>
      <w:bookmarkStart w:id="5169" w:name="_Toc521493205"/>
      <w:bookmarkStart w:id="5170" w:name="_Toc521493879"/>
      <w:bookmarkStart w:id="5171" w:name="_Toc106883488"/>
      <w:r>
        <w:rPr>
          <w:rFonts w:hint="eastAsia" w:ascii="宋体" w:hAnsi="宋体"/>
          <w:b/>
          <w:bCs/>
        </w:rPr>
        <w:t>5.9</w:t>
      </w:r>
      <w:r>
        <w:rPr>
          <w:rFonts w:ascii="宋体" w:hAnsi="宋体"/>
          <w:b/>
          <w:bCs/>
        </w:rPr>
        <w:t xml:space="preserve"> 管线敷设</w:t>
      </w:r>
      <w:bookmarkEnd w:id="5163"/>
      <w:bookmarkEnd w:id="5164"/>
      <w:bookmarkEnd w:id="5165"/>
      <w:bookmarkEnd w:id="5166"/>
      <w:bookmarkEnd w:id="5167"/>
      <w:bookmarkEnd w:id="5168"/>
      <w:bookmarkEnd w:id="5169"/>
      <w:bookmarkEnd w:id="5170"/>
      <w:bookmarkEnd w:id="5171"/>
    </w:p>
    <w:p>
      <w:pPr>
        <w:adjustRightInd w:val="0"/>
        <w:snapToGrid w:val="0"/>
        <w:spacing w:line="360" w:lineRule="auto"/>
        <w:jc w:val="left"/>
        <w:outlineLvl w:val="2"/>
        <w:rPr>
          <w:rFonts w:ascii="宋体" w:hAnsi="宋体"/>
          <w:b/>
          <w:bCs/>
          <w:szCs w:val="20"/>
        </w:rPr>
      </w:pPr>
      <w:bookmarkStart w:id="5172" w:name="_Toc518376869"/>
      <w:bookmarkStart w:id="5173" w:name="_Toc521492349"/>
      <w:bookmarkStart w:id="5174" w:name="_Toc518058810"/>
      <w:bookmarkStart w:id="5175" w:name="_Toc521493880"/>
      <w:bookmarkStart w:id="5176" w:name="_Toc521493206"/>
      <w:bookmarkStart w:id="5177" w:name="_Toc409594320"/>
      <w:bookmarkStart w:id="5178" w:name="_Toc437318356"/>
      <w:bookmarkStart w:id="5179" w:name="_Toc15787628"/>
      <w:bookmarkStart w:id="5180" w:name="_Toc202671079"/>
      <w:bookmarkStart w:id="5181" w:name="_Toc266663107"/>
      <w:bookmarkStart w:id="5182" w:name="_Toc271232463"/>
      <w:bookmarkStart w:id="5183" w:name="_Toc436811064"/>
      <w:bookmarkStart w:id="5184" w:name="_Toc106883489"/>
      <w:r>
        <w:rPr>
          <w:rFonts w:hint="eastAsia" w:ascii="宋体" w:hAnsi="宋体"/>
          <w:b/>
          <w:bCs/>
          <w:szCs w:val="20"/>
        </w:rPr>
        <w:t>5.9.</w:t>
      </w:r>
      <w:r>
        <w:rPr>
          <w:rFonts w:ascii="宋体" w:hAnsi="宋体"/>
          <w:b/>
          <w:bCs/>
          <w:szCs w:val="20"/>
        </w:rPr>
        <w:t>1 管线敷设原则</w:t>
      </w:r>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管道敷设应按照生产厂家推荐的办法进行，并得到项目监理的认可。当有变化时应通知项目监理，在分歧未解决之前不得施工。管道敷设应由有经验和技术的管道工实施。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所有接头、配件和管道内部以及配件，在安装前应仔细清扫，然后检查保护层的任何损伤情况，特别要注意防止任何类型的废水和污水接触供水管道，若管道敷设因故暂停，则管线未端开口处应用膨胀塞子封堵。</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开挖前进行的管道放线应由项目监理认真审定。表面剥离、开挖、管道敷设、回填应按顺序逐步进行。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管沟、管道及垫层的横断面应在施工图和性能说明中有明确规定，管沟应挖至断面所规定的标高。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敷设于设计管底，除非使用刚性接头，每根管道应分别在两根测杆间进行调整。任何超出允许误差范围的管道都应拆除移走，重新调整管道垫层、重新敷设、重新控制水平及竖向位置。对于敷设一定长度的管道，在初步试验之前，应检查管线顶部的标高和直线长度，若超出误差范围，应重新施工，直至合乎要求。管线允许误差，水平方向为6mm，在人孔或改变方向的坡度处为25mm。若为重力流管，应在两直线段的人孔间，进行通视检查，管线不能因有柔性接头或因接头处发生偏转而引起弯曲，除非图纸上有标注或项目监理的认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柔性接头管线，管道承口及插口间应有一定安装间隙，这间隙不得小于6mm,不得大于轴线弯曲试验中所注明尺寸的1/3。当接头安装完毕并做了初步试验后，柔性接头处的月牙形空隙应用隙粒粘土或用废料绵纱封闭，以免杂物进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柔性接头可以有一定的弯曲角度，但不得大于生产厂家要求的最大值的3/4。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压力管变向处应采用混凝土支墩。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管线于地下涵洞内施工时，每段管长度不得超过2.5m。</w:t>
      </w:r>
    </w:p>
    <w:p>
      <w:pPr>
        <w:adjustRightInd w:val="0"/>
        <w:snapToGrid w:val="0"/>
        <w:spacing w:line="360" w:lineRule="auto"/>
        <w:jc w:val="left"/>
        <w:outlineLvl w:val="2"/>
        <w:rPr>
          <w:rFonts w:ascii="宋体" w:hAnsi="宋体"/>
          <w:b/>
          <w:bCs/>
          <w:szCs w:val="20"/>
        </w:rPr>
      </w:pPr>
      <w:bookmarkStart w:id="5185" w:name="_Toc15787629"/>
      <w:bookmarkStart w:id="5186" w:name="_Toc437318357"/>
      <w:bookmarkStart w:id="5187" w:name="_Toc409594321"/>
      <w:bookmarkStart w:id="5188" w:name="_Toc271232464"/>
      <w:bookmarkStart w:id="5189" w:name="_Toc436811065"/>
      <w:bookmarkStart w:id="5190" w:name="_Toc202671080"/>
      <w:bookmarkStart w:id="5191" w:name="_Toc518376870"/>
      <w:bookmarkStart w:id="5192" w:name="_Toc518058811"/>
      <w:bookmarkStart w:id="5193" w:name="_Toc266663108"/>
      <w:bookmarkStart w:id="5194" w:name="_Toc521492350"/>
      <w:bookmarkStart w:id="5195" w:name="_Toc521493207"/>
      <w:bookmarkStart w:id="5196" w:name="_Toc521493881"/>
      <w:bookmarkStart w:id="5197" w:name="_Toc106883490"/>
      <w:r>
        <w:rPr>
          <w:rFonts w:hint="eastAsia" w:ascii="宋体" w:hAnsi="宋体"/>
          <w:b/>
          <w:bCs/>
          <w:szCs w:val="20"/>
        </w:rPr>
        <w:t>5.9.</w:t>
      </w:r>
      <w:r>
        <w:rPr>
          <w:rFonts w:ascii="宋体" w:hAnsi="宋体"/>
          <w:b/>
          <w:bCs/>
          <w:szCs w:val="20"/>
        </w:rPr>
        <w:t>2 采用粒状管基和填埋物的管线</w:t>
      </w:r>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以粒状材料作管基或填埋物的管道敷设，应选用合适的粒状垫层材料细致地铺撒在管沟底部，避免材料偏集，并且采用批准的机械方法以每层密实厚度不超过150mm进行均匀压密，使形成符合要求坡度的垫层。 如果使用板式振动器，砾石应至少夯实两道，砂粒不少于一道。只有在空隙不多，并不便使用机械设备的地段才允许进行人力夯实，在平坦沟或凹凸沟底最高点之上夯实的粒状材料最小厚度值如下：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（1）公称直径300mm以下管道最小厚度值为150mm（承口以下至少100mm）；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（2）公称直径300mm以上管道最小厚度值为200mm（承口以下至少100mm）。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管道应平稳地放入管沟内，并使整个管道都有均匀的支承。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管道的每一处连接部位，都应在垫层上形成操作坑，以保证连接管道时，套筒或承口接头不支承在垫层材料上，并且没有垫层材料进入管内。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线校直和连接以后，需经项目监理的检查并认可。管线的初步气密测试已满意地完成，并且在管道每一连接处的环形间隙都恰如其分地被密封，管道每一接头处的凹坑应用粒状材料细致地充填，并彻底地压密，直至到垫层顶部同样的高度。同类型的粒状垫层材料，应以每层不超过150mm厚度的要求， 连续均匀地铺撒在管线两侧，并按规定进行压密。要注意在管道底部不留有空穴以及保证在沟侧不均匀压力影响下也不会发生移位。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在铺撒填埋材料时，承包商应注意不使管道移动或损坏，并且不允许从地面将填埋物直接抛在管顶。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在设计图上有其它说明，对于全部用粒状填埋物履盖的管道，粒状材料至少要填到管顶以上300mm处。对于钢性管的粒状材料管基，除非有其它详细说明，粒状材料应填到管道起拱面。填埋采用经挑选的挖掘材料，并以每层不超过150mm厚度细致地完成， 最终在管线两侧充分压实至管顶部以上至少300mm。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如果承包商希望用任何其它的方式把管道敷设在粒状材料管基上或填埋物之中，则承包商应向项目监理递交书面建议，并获得项目监理的书面批复后，才能实施他希望进行的工序。</w:t>
      </w:r>
    </w:p>
    <w:p>
      <w:pPr>
        <w:adjustRightInd w:val="0"/>
        <w:snapToGrid w:val="0"/>
        <w:spacing w:line="360" w:lineRule="auto"/>
        <w:jc w:val="left"/>
        <w:outlineLvl w:val="2"/>
        <w:rPr>
          <w:rFonts w:ascii="宋体" w:hAnsi="宋体"/>
          <w:b/>
          <w:bCs/>
          <w:szCs w:val="20"/>
        </w:rPr>
      </w:pPr>
      <w:bookmarkStart w:id="5198" w:name="_Toc409594324"/>
      <w:bookmarkStart w:id="5199" w:name="_Toc437318360"/>
      <w:bookmarkStart w:id="5200" w:name="_Toc15787631"/>
      <w:bookmarkStart w:id="5201" w:name="_Toc202671081"/>
      <w:bookmarkStart w:id="5202" w:name="_Toc266663109"/>
      <w:bookmarkStart w:id="5203" w:name="_Toc271232465"/>
      <w:bookmarkStart w:id="5204" w:name="_Toc436811066"/>
      <w:bookmarkStart w:id="5205" w:name="_Toc518058812"/>
      <w:bookmarkStart w:id="5206" w:name="_Toc518376871"/>
      <w:bookmarkStart w:id="5207" w:name="_Toc521492351"/>
      <w:bookmarkStart w:id="5208" w:name="_Toc521493208"/>
      <w:bookmarkStart w:id="5209" w:name="_Toc521493882"/>
      <w:bookmarkStart w:id="5210" w:name="_Toc106883491"/>
      <w:r>
        <w:rPr>
          <w:rFonts w:hint="eastAsia" w:ascii="宋体" w:hAnsi="宋体"/>
          <w:b/>
          <w:bCs/>
          <w:szCs w:val="20"/>
        </w:rPr>
        <w:t>5.9.</w:t>
      </w:r>
      <w:r>
        <w:rPr>
          <w:rFonts w:ascii="宋体" w:hAnsi="宋体"/>
          <w:b/>
          <w:bCs/>
          <w:szCs w:val="20"/>
        </w:rPr>
        <w:t>3 管道粒状填埋物的压实</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粒状填埋材料可按照表</w:t>
      </w:r>
      <w:r>
        <w:rPr>
          <w:rFonts w:hint="eastAsia" w:ascii="宋体" w:hAnsi="宋体"/>
          <w:kern w:val="0"/>
          <w:szCs w:val="21"/>
        </w:rPr>
        <w:t>5.</w:t>
      </w:r>
      <w:r>
        <w:rPr>
          <w:rFonts w:ascii="宋体" w:hAnsi="宋体"/>
          <w:kern w:val="0"/>
          <w:szCs w:val="21"/>
        </w:rPr>
        <w:t>9-1所列的其中一个方法，细致地在管道底部和两则铺设及压实。</w:t>
      </w:r>
    </w:p>
    <w:p>
      <w:pPr>
        <w:numPr>
          <w:ilvl w:val="12"/>
          <w:numId w:val="0"/>
        </w:numPr>
        <w:ind w:left="120" w:firstLine="440"/>
        <w:jc w:val="center"/>
        <w:rPr>
          <w:rFonts w:ascii="宋体" w:hAnsi="宋体"/>
          <w:szCs w:val="21"/>
        </w:rPr>
      </w:pPr>
      <w:r>
        <w:rPr>
          <w:rFonts w:ascii="宋体" w:hAnsi="宋体"/>
          <w:szCs w:val="21"/>
        </w:rPr>
        <w:t>粒状填埋物的压实要求                    表</w:t>
      </w:r>
      <w:r>
        <w:rPr>
          <w:rFonts w:hint="eastAsia" w:ascii="宋体" w:hAnsi="宋体"/>
          <w:szCs w:val="21"/>
        </w:rPr>
        <w:t>5.</w:t>
      </w:r>
      <w:r>
        <w:rPr>
          <w:rFonts w:ascii="宋体" w:hAnsi="宋体"/>
          <w:szCs w:val="21"/>
        </w:rPr>
        <w:t>9-1</w:t>
      </w:r>
    </w:p>
    <w:tbl>
      <w:tblPr>
        <w:tblStyle w:val="77"/>
        <w:tblW w:w="0" w:type="auto"/>
        <w:tblInd w:w="0" w:type="dxa"/>
        <w:tblLayout w:type="fixed"/>
        <w:tblCellMar>
          <w:top w:w="0" w:type="dxa"/>
          <w:left w:w="28" w:type="dxa"/>
          <w:bottom w:w="0" w:type="dxa"/>
          <w:right w:w="28" w:type="dxa"/>
        </w:tblCellMar>
      </w:tblPr>
      <w:tblGrid>
        <w:gridCol w:w="1828"/>
        <w:gridCol w:w="1668"/>
        <w:gridCol w:w="1452"/>
        <w:gridCol w:w="1440"/>
        <w:gridCol w:w="2039"/>
      </w:tblGrid>
      <w:tr>
        <w:tblPrEx>
          <w:tblCellMar>
            <w:top w:w="0" w:type="dxa"/>
            <w:left w:w="28" w:type="dxa"/>
            <w:bottom w:w="0" w:type="dxa"/>
            <w:right w:w="28" w:type="dxa"/>
          </w:tblCellMar>
        </w:tblPrEx>
        <w:trPr>
          <w:trHeight w:val="397" w:hRule="atLeast"/>
        </w:trPr>
        <w:tc>
          <w:tcPr>
            <w:tcW w:w="1828" w:type="dxa"/>
            <w:vMerge w:val="restart"/>
            <w:tcBorders>
              <w:top w:val="single" w:color="auto" w:sz="6" w:space="0"/>
              <w:left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填埋材料</w:t>
            </w:r>
          </w:p>
        </w:tc>
        <w:tc>
          <w:tcPr>
            <w:tcW w:w="1668" w:type="dxa"/>
            <w:vMerge w:val="restart"/>
            <w:tcBorders>
              <w:top w:val="single" w:color="auto" w:sz="6" w:space="0"/>
              <w:left w:val="nil"/>
              <w:right w:val="single" w:color="auto" w:sz="6" w:space="0"/>
            </w:tcBorders>
            <w:vAlign w:val="center"/>
          </w:tcPr>
          <w:p>
            <w:pPr>
              <w:spacing w:line="300" w:lineRule="exact"/>
              <w:jc w:val="center"/>
              <w:rPr>
                <w:rFonts w:ascii="宋体" w:hAnsi="宋体"/>
                <w:szCs w:val="21"/>
              </w:rPr>
            </w:pPr>
            <w:r>
              <w:rPr>
                <w:rFonts w:ascii="宋体" w:hAnsi="宋体"/>
                <w:szCs w:val="21"/>
              </w:rPr>
              <w:t>最大铺设厚度</w:t>
            </w:r>
          </w:p>
          <w:p>
            <w:pPr>
              <w:spacing w:line="300" w:lineRule="exact"/>
              <w:jc w:val="center"/>
              <w:rPr>
                <w:rFonts w:ascii="宋体" w:hAnsi="宋体"/>
                <w:szCs w:val="21"/>
              </w:rPr>
            </w:pPr>
            <w:r>
              <w:rPr>
                <w:rFonts w:ascii="宋体" w:hAnsi="宋体"/>
                <w:szCs w:val="21"/>
              </w:rPr>
              <w:t>(mm)</w:t>
            </w:r>
          </w:p>
        </w:tc>
        <w:tc>
          <w:tcPr>
            <w:tcW w:w="4931" w:type="dxa"/>
            <w:gridSpan w:val="3"/>
            <w:tcBorders>
              <w:top w:val="single" w:color="auto" w:sz="6" w:space="0"/>
              <w:left w:val="nil"/>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可选择的方法(压实装置使用次数)</w:t>
            </w:r>
          </w:p>
        </w:tc>
      </w:tr>
      <w:tr>
        <w:tblPrEx>
          <w:tblCellMar>
            <w:top w:w="0" w:type="dxa"/>
            <w:left w:w="28" w:type="dxa"/>
            <w:bottom w:w="0" w:type="dxa"/>
            <w:right w:w="28" w:type="dxa"/>
          </w:tblCellMar>
        </w:tblPrEx>
        <w:trPr>
          <w:trHeight w:val="397" w:hRule="atLeast"/>
        </w:trPr>
        <w:tc>
          <w:tcPr>
            <w:tcW w:w="1828" w:type="dxa"/>
            <w:vMerge w:val="continue"/>
            <w:tcBorders>
              <w:left w:val="single" w:color="auto" w:sz="6" w:space="0"/>
              <w:right w:val="single" w:color="auto" w:sz="6" w:space="0"/>
            </w:tcBorders>
            <w:vAlign w:val="center"/>
          </w:tcPr>
          <w:p>
            <w:pPr>
              <w:spacing w:line="300" w:lineRule="exact"/>
              <w:jc w:val="center"/>
              <w:rPr>
                <w:rFonts w:ascii="宋体" w:hAnsi="宋体"/>
                <w:szCs w:val="21"/>
              </w:rPr>
            </w:pPr>
          </w:p>
        </w:tc>
        <w:tc>
          <w:tcPr>
            <w:tcW w:w="1668" w:type="dxa"/>
            <w:vMerge w:val="continue"/>
            <w:tcBorders>
              <w:left w:val="nil"/>
              <w:right w:val="single" w:color="auto" w:sz="6" w:space="0"/>
            </w:tcBorders>
            <w:vAlign w:val="center"/>
          </w:tcPr>
          <w:p>
            <w:pPr>
              <w:spacing w:line="300" w:lineRule="exact"/>
              <w:jc w:val="center"/>
              <w:rPr>
                <w:rFonts w:ascii="宋体" w:hAnsi="宋体"/>
                <w:szCs w:val="21"/>
              </w:rPr>
            </w:pPr>
          </w:p>
        </w:tc>
        <w:tc>
          <w:tcPr>
            <w:tcW w:w="1452" w:type="dxa"/>
            <w:tcBorders>
              <w:top w:val="single" w:color="auto" w:sz="6" w:space="0"/>
              <w:left w:val="nil"/>
              <w:right w:val="single" w:color="auto" w:sz="6" w:space="0"/>
            </w:tcBorders>
            <w:vAlign w:val="center"/>
          </w:tcPr>
          <w:p>
            <w:pPr>
              <w:spacing w:line="300" w:lineRule="exact"/>
              <w:jc w:val="center"/>
              <w:rPr>
                <w:rFonts w:ascii="宋体" w:hAnsi="宋体"/>
                <w:szCs w:val="21"/>
              </w:rPr>
            </w:pPr>
            <w:r>
              <w:rPr>
                <w:rFonts w:ascii="宋体" w:hAnsi="宋体"/>
                <w:szCs w:val="21"/>
              </w:rPr>
              <w:t>人工夯槌</w:t>
            </w:r>
          </w:p>
        </w:tc>
        <w:tc>
          <w:tcPr>
            <w:tcW w:w="1440" w:type="dxa"/>
            <w:tcBorders>
              <w:top w:val="single" w:color="auto" w:sz="6" w:space="0"/>
              <w:left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板式振动器</w:t>
            </w:r>
          </w:p>
        </w:tc>
        <w:tc>
          <w:tcPr>
            <w:tcW w:w="2039" w:type="dxa"/>
            <w:tcBorders>
              <w:top w:val="single" w:color="auto" w:sz="6" w:space="0"/>
              <w:left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100Kg机械夯实槌</w:t>
            </w:r>
          </w:p>
          <w:p>
            <w:pPr>
              <w:spacing w:line="300" w:lineRule="exact"/>
              <w:jc w:val="center"/>
              <w:rPr>
                <w:rFonts w:ascii="宋体" w:hAnsi="宋体"/>
                <w:szCs w:val="21"/>
              </w:rPr>
            </w:pPr>
            <w:r>
              <w:rPr>
                <w:rFonts w:ascii="宋体" w:hAnsi="宋体"/>
                <w:szCs w:val="21"/>
              </w:rPr>
              <w:t>(仅用于刚性管)</w:t>
            </w:r>
          </w:p>
        </w:tc>
      </w:tr>
      <w:tr>
        <w:tblPrEx>
          <w:tblCellMar>
            <w:top w:w="0" w:type="dxa"/>
            <w:left w:w="28" w:type="dxa"/>
            <w:bottom w:w="0" w:type="dxa"/>
            <w:right w:w="28" w:type="dxa"/>
          </w:tblCellMar>
        </w:tblPrEx>
        <w:trPr>
          <w:trHeight w:val="397" w:hRule="atLeast"/>
        </w:trPr>
        <w:tc>
          <w:tcPr>
            <w:tcW w:w="1828"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砾石</w:t>
            </w:r>
          </w:p>
        </w:tc>
        <w:tc>
          <w:tcPr>
            <w:tcW w:w="1668"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200</w:t>
            </w:r>
          </w:p>
        </w:tc>
        <w:tc>
          <w:tcPr>
            <w:tcW w:w="1452"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2</w:t>
            </w:r>
          </w:p>
        </w:tc>
        <w:tc>
          <w:tcPr>
            <w:tcW w:w="144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1</w:t>
            </w:r>
          </w:p>
        </w:tc>
        <w:tc>
          <w:tcPr>
            <w:tcW w:w="2039"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2</w:t>
            </w:r>
          </w:p>
        </w:tc>
      </w:tr>
      <w:tr>
        <w:tblPrEx>
          <w:tblCellMar>
            <w:top w:w="0" w:type="dxa"/>
            <w:left w:w="28" w:type="dxa"/>
            <w:bottom w:w="0" w:type="dxa"/>
            <w:right w:w="28" w:type="dxa"/>
          </w:tblCellMar>
        </w:tblPrEx>
        <w:trPr>
          <w:trHeight w:val="397" w:hRule="atLeast"/>
        </w:trPr>
        <w:tc>
          <w:tcPr>
            <w:tcW w:w="1828"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砂</w:t>
            </w:r>
          </w:p>
        </w:tc>
        <w:tc>
          <w:tcPr>
            <w:tcW w:w="1668"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150</w:t>
            </w:r>
          </w:p>
        </w:tc>
        <w:tc>
          <w:tcPr>
            <w:tcW w:w="1452"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3</w:t>
            </w:r>
          </w:p>
        </w:tc>
        <w:tc>
          <w:tcPr>
            <w:tcW w:w="1440"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2</w:t>
            </w:r>
          </w:p>
        </w:tc>
        <w:tc>
          <w:tcPr>
            <w:tcW w:w="2039" w:type="dxa"/>
            <w:tcBorders>
              <w:top w:val="single" w:color="auto" w:sz="6" w:space="0"/>
              <w:left w:val="single" w:color="auto" w:sz="6" w:space="0"/>
              <w:bottom w:val="single" w:color="auto" w:sz="6" w:space="0"/>
              <w:right w:val="single" w:color="auto" w:sz="6" w:space="0"/>
            </w:tcBorders>
            <w:vAlign w:val="center"/>
          </w:tcPr>
          <w:p>
            <w:pPr>
              <w:spacing w:line="300" w:lineRule="exact"/>
              <w:jc w:val="center"/>
              <w:rPr>
                <w:rFonts w:ascii="宋体" w:hAnsi="宋体"/>
                <w:szCs w:val="21"/>
              </w:rPr>
            </w:pPr>
            <w:r>
              <w:rPr>
                <w:rFonts w:ascii="宋体" w:hAnsi="宋体"/>
                <w:szCs w:val="21"/>
              </w:rPr>
              <w:t>4</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任何情况下，都不允许在柔性管道四周使用重型机械夯槌。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无论如何，都要注意保证垫层材料完全接触到管道的拱腋部位，这就要细致地用铲刮平管道中心线以下的材料或用其它方法来完成。</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在压实填埋物的同时，要特别留心不要将管道损坏或错位。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当在管沟中铺撒和压实垫层以及填埋材料时，需同时把管沟两侧支撑物逐步地抽出，以保证在垫层和填埋物中没有空穴或未被压实的区域。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一旦填埋物铺撒到管道的顶部，夯实设备就只能用于随后铺撒在管沟两侧的填埋材料上，而靠近管道上部的填埋材料就只能用脚轻轻地压实。</w:t>
      </w:r>
    </w:p>
    <w:p>
      <w:pPr>
        <w:adjustRightInd w:val="0"/>
        <w:snapToGrid w:val="0"/>
        <w:spacing w:line="360" w:lineRule="auto"/>
        <w:jc w:val="left"/>
        <w:outlineLvl w:val="2"/>
        <w:rPr>
          <w:rFonts w:ascii="宋体" w:hAnsi="宋体"/>
          <w:b/>
          <w:bCs/>
          <w:szCs w:val="20"/>
        </w:rPr>
      </w:pPr>
      <w:bookmarkStart w:id="5211" w:name="_Toc202671082"/>
      <w:bookmarkStart w:id="5212" w:name="_Toc15787632"/>
      <w:bookmarkStart w:id="5213" w:name="_Toc266663110"/>
      <w:bookmarkStart w:id="5214" w:name="_Toc271232466"/>
      <w:bookmarkStart w:id="5215" w:name="_Toc409594325"/>
      <w:bookmarkStart w:id="5216" w:name="_Toc437318361"/>
      <w:bookmarkStart w:id="5217" w:name="_Toc518376872"/>
      <w:bookmarkStart w:id="5218" w:name="_Toc436811067"/>
      <w:bookmarkStart w:id="5219" w:name="_Toc518058813"/>
      <w:bookmarkStart w:id="5220" w:name="_Toc521492352"/>
      <w:bookmarkStart w:id="5221" w:name="_Toc521493209"/>
      <w:bookmarkStart w:id="5222" w:name="_Toc521493883"/>
      <w:bookmarkStart w:id="5223" w:name="_Toc106883492"/>
      <w:r>
        <w:rPr>
          <w:rFonts w:hint="eastAsia" w:ascii="宋体" w:hAnsi="宋体"/>
          <w:b/>
          <w:bCs/>
          <w:szCs w:val="20"/>
        </w:rPr>
        <w:t>5.7.</w:t>
      </w:r>
      <w:r>
        <w:rPr>
          <w:rFonts w:ascii="宋体" w:hAnsi="宋体"/>
          <w:b/>
          <w:bCs/>
          <w:szCs w:val="20"/>
        </w:rPr>
        <w:t>4 直接铺设在管沟中的管线</w:t>
      </w:r>
      <w:bookmarkEnd w:id="5211"/>
      <w:bookmarkEnd w:id="5212"/>
      <w:bookmarkEnd w:id="5213"/>
      <w:bookmarkEnd w:id="5214"/>
      <w:bookmarkEnd w:id="5215"/>
      <w:bookmarkEnd w:id="5216"/>
      <w:bookmarkEnd w:id="5217"/>
      <w:bookmarkEnd w:id="5218"/>
      <w:bookmarkEnd w:id="5219"/>
      <w:bookmarkEnd w:id="5220"/>
      <w:bookmarkEnd w:id="5221"/>
      <w:bookmarkEnd w:id="5222"/>
      <w:bookmarkEnd w:id="522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对于直接铺设在管沟底的管道，其沟底要修整成适于管线的平坦基垫，并不能含有损坏管道或包裹的异物。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管沟形状精确地修整，对消除纵向弯曲和连接处切变位移的危险，是非常重要的。</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在每一个连接处，都要用人工挖掘出一个凹坑，使管线能顺利地完成连接，并避免在该连接处承受负荷。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当项目监理已检查并准许管线的校直和连接，当圆满完成了初步气密测试并将管道每一个连接处的环形间隙恰如其分地密封之后，所有的凹坑都要用精选过的材料细致地填实。</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基垫和填埋物都要用精选的挖掘材料以每层不超过150mm厚度充填， 并在管线两侧充分压实到管顶部以上至少300mm。当这些材料在管沟中铺撒和压实的同时，要把管沟两边的支撑逐渐抽出，以便没有空穴和未被压实的区域。</w:t>
      </w:r>
    </w:p>
    <w:p>
      <w:pPr>
        <w:adjustRightInd w:val="0"/>
        <w:snapToGrid w:val="0"/>
        <w:spacing w:line="360" w:lineRule="auto"/>
        <w:jc w:val="left"/>
        <w:outlineLvl w:val="2"/>
        <w:rPr>
          <w:rFonts w:ascii="宋体" w:hAnsi="宋体"/>
          <w:b/>
          <w:bCs/>
          <w:szCs w:val="20"/>
        </w:rPr>
      </w:pPr>
      <w:bookmarkStart w:id="5224" w:name="_Toc409594327"/>
      <w:bookmarkStart w:id="5225" w:name="_Toc437318363"/>
      <w:bookmarkStart w:id="5226" w:name="_Toc15787634"/>
      <w:bookmarkStart w:id="5227" w:name="_Toc202671084"/>
      <w:bookmarkStart w:id="5228" w:name="_Toc266663111"/>
      <w:bookmarkStart w:id="5229" w:name="_Toc271232467"/>
      <w:bookmarkStart w:id="5230" w:name="_Toc436811068"/>
      <w:bookmarkStart w:id="5231" w:name="_Toc518058814"/>
      <w:bookmarkStart w:id="5232" w:name="_Toc518376873"/>
      <w:bookmarkStart w:id="5233" w:name="_Toc521492353"/>
      <w:bookmarkStart w:id="5234" w:name="_Toc521493210"/>
      <w:bookmarkStart w:id="5235" w:name="_Toc521493884"/>
      <w:bookmarkStart w:id="5236" w:name="_Toc106883493"/>
      <w:r>
        <w:rPr>
          <w:rFonts w:hint="eastAsia" w:ascii="宋体" w:hAnsi="宋体"/>
          <w:b/>
          <w:bCs/>
          <w:szCs w:val="20"/>
        </w:rPr>
        <w:t>5.7.</w:t>
      </w:r>
      <w:r>
        <w:rPr>
          <w:rFonts w:ascii="宋体" w:hAnsi="宋体"/>
          <w:b/>
          <w:bCs/>
          <w:szCs w:val="20"/>
        </w:rPr>
        <w:t>5 管沟的回填</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不同管材、不同管道基础，管沟的回填方式不同，应按照设计要求进行相应的施工。当管线填埋物的填筑和压实完成之后，管沟回填应按所开挖的原土进行分层回填。沟槽回填土的密实度应按《给水排水管道工程施工及验收规范》（GB50268-2008）的规定执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回填土不超过管顶500mm以上时，不得使用电动机械夯实。</w:t>
      </w:r>
    </w:p>
    <w:p>
      <w:pPr>
        <w:adjustRightInd w:val="0"/>
        <w:snapToGrid w:val="0"/>
        <w:spacing w:line="360" w:lineRule="auto"/>
        <w:jc w:val="left"/>
        <w:outlineLvl w:val="2"/>
        <w:rPr>
          <w:rFonts w:ascii="宋体" w:hAnsi="宋体"/>
          <w:b/>
          <w:bCs/>
          <w:szCs w:val="20"/>
        </w:rPr>
      </w:pPr>
      <w:bookmarkStart w:id="5237" w:name="_Toc202671085"/>
      <w:bookmarkStart w:id="5238" w:name="_Toc271232468"/>
      <w:bookmarkStart w:id="5239" w:name="_Toc518058815"/>
      <w:bookmarkStart w:id="5240" w:name="_Toc436811069"/>
      <w:bookmarkStart w:id="5241" w:name="_Toc518376874"/>
      <w:bookmarkStart w:id="5242" w:name="_Toc266663112"/>
      <w:bookmarkStart w:id="5243" w:name="_Toc15787638"/>
      <w:bookmarkStart w:id="5244" w:name="_Toc437318367"/>
      <w:bookmarkStart w:id="5245" w:name="_Toc409594331"/>
      <w:bookmarkStart w:id="5246" w:name="_Toc521492354"/>
      <w:bookmarkStart w:id="5247" w:name="_Toc521493211"/>
      <w:bookmarkStart w:id="5248" w:name="_Toc521493885"/>
      <w:bookmarkStart w:id="5249" w:name="_Toc106883494"/>
      <w:r>
        <w:rPr>
          <w:rFonts w:hint="eastAsia" w:ascii="宋体" w:hAnsi="宋体"/>
          <w:b/>
          <w:bCs/>
          <w:szCs w:val="20"/>
        </w:rPr>
        <w:t>5.7.</w:t>
      </w:r>
      <w:r>
        <w:rPr>
          <w:rFonts w:ascii="宋体" w:hAnsi="宋体"/>
          <w:b/>
          <w:bCs/>
          <w:szCs w:val="20"/>
        </w:rPr>
        <w:t>6 管道的切割</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无论出于何种原因，当要切割管道时，承包商要按照生产厂家的建议，并以项目监理同意的方式进行切割。要注意不得损坏被切割管道的任何部分，且承包商要负责对切割的管道进行准确的量度。工程定额应包括所有附加的工作，所有额外费用应包括管道的损耗、运输和延误。</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承包商要采取所有必要的安全预防措施。</w:t>
      </w:r>
    </w:p>
    <w:p>
      <w:pPr>
        <w:adjustRightInd w:val="0"/>
        <w:snapToGrid w:val="0"/>
        <w:spacing w:line="360" w:lineRule="auto"/>
        <w:jc w:val="left"/>
        <w:outlineLvl w:val="2"/>
        <w:rPr>
          <w:rFonts w:ascii="宋体" w:hAnsi="宋体"/>
          <w:b/>
          <w:bCs/>
          <w:szCs w:val="20"/>
        </w:rPr>
      </w:pPr>
      <w:bookmarkStart w:id="5250" w:name="_Toc409594332"/>
      <w:bookmarkStart w:id="5251" w:name="_Toc437318368"/>
      <w:bookmarkStart w:id="5252" w:name="_Toc15787639"/>
      <w:bookmarkStart w:id="5253" w:name="_Toc202671086"/>
      <w:bookmarkStart w:id="5254" w:name="_Toc266663113"/>
      <w:bookmarkStart w:id="5255" w:name="_Toc271232469"/>
      <w:bookmarkStart w:id="5256" w:name="_Toc436811070"/>
      <w:bookmarkStart w:id="5257" w:name="_Toc518058816"/>
      <w:bookmarkStart w:id="5258" w:name="_Toc518376875"/>
      <w:bookmarkStart w:id="5259" w:name="_Toc521492355"/>
      <w:bookmarkStart w:id="5260" w:name="_Toc521493212"/>
      <w:bookmarkStart w:id="5261" w:name="_Toc521493886"/>
      <w:bookmarkStart w:id="5262" w:name="_Toc106883495"/>
      <w:r>
        <w:rPr>
          <w:rFonts w:hint="eastAsia" w:ascii="宋体" w:hAnsi="宋体"/>
          <w:b/>
          <w:bCs/>
          <w:szCs w:val="20"/>
        </w:rPr>
        <w:t>5.7.</w:t>
      </w:r>
      <w:r>
        <w:rPr>
          <w:rFonts w:ascii="宋体" w:hAnsi="宋体"/>
          <w:b/>
          <w:bCs/>
          <w:szCs w:val="20"/>
        </w:rPr>
        <w:t>7 法兰和柔性机械接头</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法兰接头应仔细地制作，并特别应注意管线和法兰的精确校直，在装配前，接头材料应清洗干净，螺栓应按秩序拉紧，上螺栓时，应按对角逐个上紧，并严格按照扭力要求进行。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专有的柔性机械接头要按照生产厂家要求进行安装。</w:t>
      </w:r>
    </w:p>
    <w:p>
      <w:pPr>
        <w:adjustRightInd w:val="0"/>
        <w:snapToGrid w:val="0"/>
        <w:spacing w:line="360" w:lineRule="auto"/>
        <w:jc w:val="left"/>
        <w:outlineLvl w:val="2"/>
        <w:rPr>
          <w:rFonts w:ascii="宋体" w:hAnsi="宋体"/>
          <w:b/>
          <w:bCs/>
          <w:szCs w:val="20"/>
        </w:rPr>
      </w:pPr>
      <w:bookmarkStart w:id="5263" w:name="_Toc409594336"/>
      <w:bookmarkStart w:id="5264" w:name="_Toc437318371"/>
      <w:bookmarkStart w:id="5265" w:name="_Toc15787641"/>
      <w:bookmarkStart w:id="5266" w:name="_Toc202671088"/>
      <w:bookmarkStart w:id="5267" w:name="_Toc266663114"/>
      <w:bookmarkStart w:id="5268" w:name="_Toc271232470"/>
      <w:bookmarkStart w:id="5269" w:name="_Toc436811071"/>
      <w:bookmarkStart w:id="5270" w:name="_Toc518058817"/>
      <w:bookmarkStart w:id="5271" w:name="_Toc518376876"/>
      <w:bookmarkStart w:id="5272" w:name="_Toc521492356"/>
      <w:bookmarkStart w:id="5273" w:name="_Toc521493213"/>
      <w:bookmarkStart w:id="5274" w:name="_Toc521493887"/>
      <w:bookmarkStart w:id="5275" w:name="_Toc106883496"/>
      <w:r>
        <w:rPr>
          <w:rFonts w:hint="eastAsia" w:ascii="宋体" w:hAnsi="宋体"/>
          <w:b/>
          <w:bCs/>
          <w:szCs w:val="20"/>
        </w:rPr>
        <w:t>5.7.</w:t>
      </w:r>
      <w:r>
        <w:rPr>
          <w:rFonts w:ascii="宋体" w:hAnsi="宋体"/>
          <w:b/>
          <w:bCs/>
          <w:szCs w:val="20"/>
        </w:rPr>
        <w:t>8 管线的检验及测试</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管线的检验及测试由承包商自己进行, 项目监理负责审批及检验。</w:t>
      </w:r>
    </w:p>
    <w:p>
      <w:pPr>
        <w:spacing w:line="360" w:lineRule="auto"/>
        <w:outlineLvl w:val="3"/>
        <w:rPr>
          <w:rFonts w:ascii="宋体" w:hAnsi="宋体"/>
        </w:rPr>
      </w:pPr>
      <w:bookmarkStart w:id="5276" w:name="_Toc437318372"/>
      <w:bookmarkStart w:id="5277" w:name="_Toc409594337"/>
      <w:bookmarkStart w:id="5278" w:name="_Toc353976612"/>
      <w:bookmarkStart w:id="5279" w:name="_Toc331598956"/>
      <w:bookmarkStart w:id="5280" w:name="_Toc271232471"/>
      <w:bookmarkStart w:id="5281" w:name="_Toc15787642"/>
      <w:r>
        <w:rPr>
          <w:rFonts w:ascii="宋体" w:hAnsi="宋体"/>
        </w:rPr>
        <w:t>5.7.8.1 管道清扫和检查</w:t>
      </w:r>
      <w:bookmarkEnd w:id="5276"/>
      <w:bookmarkEnd w:id="5277"/>
      <w:bookmarkEnd w:id="5278"/>
      <w:bookmarkEnd w:id="5279"/>
      <w:bookmarkEnd w:id="5280"/>
      <w:bookmarkEnd w:id="528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在施工期间和之后，承包商将采取各种有效措施，包括在合适地点安装管堵，以防止有害物质进入管线。</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在检查孔、井室和一些相似的工程完成后，管线按下面所述的，经项目监理认可的方法清除淤泥和废弃物。对于安装于沟槽中的管线，该工作应在沟槽回填后，地表恢复原状前进行。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内径等于或小于600mm的管线，为检验其是否堵塞，应有内径小于该管线25mm的通管作来回运动。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内径规格大于600mm的管线在清洗后应从内侧进行检查，承包商将为这一目的提供合适的小车、通风和安全设备和其他所需的设备和劳力。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管线在测试或移交时，若项目监理要求全部或局部清洗，则应再次检查。</w:t>
      </w:r>
    </w:p>
    <w:p>
      <w:pPr>
        <w:spacing w:line="360" w:lineRule="auto"/>
        <w:outlineLvl w:val="3"/>
        <w:rPr>
          <w:rFonts w:ascii="宋体" w:hAnsi="宋体"/>
        </w:rPr>
      </w:pPr>
      <w:bookmarkStart w:id="5282" w:name="_Toc409594338"/>
      <w:bookmarkStart w:id="5283" w:name="_Toc437318373"/>
      <w:bookmarkStart w:id="5284" w:name="_Toc271232472"/>
      <w:bookmarkStart w:id="5285" w:name="_Toc353976613"/>
      <w:bookmarkStart w:id="5286" w:name="_Toc15787643"/>
      <w:bookmarkStart w:id="5287" w:name="_Toc331598957"/>
      <w:r>
        <w:rPr>
          <w:rFonts w:ascii="宋体" w:hAnsi="宋体"/>
        </w:rPr>
        <w:t>5.7.8.2 管线测试</w:t>
      </w:r>
      <w:bookmarkEnd w:id="5282"/>
      <w:bookmarkEnd w:id="5283"/>
      <w:r>
        <w:rPr>
          <w:rFonts w:ascii="宋体" w:hAnsi="宋体"/>
        </w:rPr>
        <w:t>原则</w:t>
      </w:r>
      <w:bookmarkEnd w:id="5284"/>
      <w:bookmarkEnd w:id="5285"/>
      <w:bookmarkEnd w:id="5286"/>
      <w:bookmarkEnd w:id="528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所有管线的水密性和稳定性都将经过承包商的测试。所有测试都应有项目监理在场，且承包商应在提前至少七个工作日通知项目监理或其代表进线测试的计划。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承包商将提供所有必需的设备，包括支撑柱和支墩，以及为满足管线试压至指定压力所必须的设施。并且还要负责提供和排放试压的余水。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承包商还将负责在合适的测试压力下密封管线，测试过程中发生的任何困难都将由承包商以自己的费用负责解决。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如果有任何检查令人不满意或测试失败，承包商将以自己的费用负责更换有缺陷的管道、渗漏的接头或是重新施工有问题的工程，并重做清扫和测试直到项目监理满意为止。</w:t>
      </w:r>
    </w:p>
    <w:p>
      <w:pPr>
        <w:spacing w:line="360" w:lineRule="auto"/>
        <w:outlineLvl w:val="3"/>
        <w:rPr>
          <w:rFonts w:ascii="宋体" w:hAnsi="宋体"/>
        </w:rPr>
      </w:pPr>
      <w:bookmarkStart w:id="5288" w:name="_Toc409594339"/>
      <w:bookmarkStart w:id="5289" w:name="_Toc437318374"/>
      <w:bookmarkStart w:id="5290" w:name="_Toc15787644"/>
      <w:r>
        <w:rPr>
          <w:rFonts w:ascii="宋体" w:hAnsi="宋体"/>
        </w:rPr>
        <w:t>5.7.8.3压力管的测试</w:t>
      </w:r>
      <w:bookmarkEnd w:id="5288"/>
      <w:bookmarkEnd w:id="5289"/>
      <w:bookmarkEnd w:id="5290"/>
    </w:p>
    <w:p>
      <w:pPr>
        <w:adjustRightInd w:val="0"/>
        <w:snapToGrid w:val="0"/>
        <w:spacing w:line="360" w:lineRule="auto"/>
        <w:ind w:firstLine="500" w:firstLineChars="200"/>
        <w:textAlignment w:val="baseline"/>
        <w:rPr>
          <w:rFonts w:ascii="宋体" w:hAnsi="宋体"/>
          <w:kern w:val="0"/>
          <w:szCs w:val="21"/>
        </w:rPr>
      </w:pPr>
      <w:bookmarkStart w:id="5291" w:name="_Toc409594340"/>
      <w:bookmarkStart w:id="5292" w:name="_Toc437318375"/>
      <w:bookmarkStart w:id="5293" w:name="_Toc353976614"/>
      <w:bookmarkStart w:id="5294" w:name="_Toc106050240"/>
      <w:r>
        <w:rPr>
          <w:rFonts w:ascii="宋体" w:hAnsi="宋体"/>
          <w:kern w:val="0"/>
          <w:szCs w:val="21"/>
        </w:rPr>
        <w:t>1. 初步测试</w:t>
      </w:r>
      <w:bookmarkEnd w:id="5291"/>
      <w:bookmarkEnd w:id="5292"/>
      <w:bookmarkEnd w:id="5293"/>
      <w:bookmarkEnd w:id="529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沟槽中的压力管线在铺设和垫层完工后，回填之前应进行初步测试，具体方法如下：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内径为675mm或更大的管道，其每个接头须用批准的测试设备，在压力为100KN/m</w:t>
      </w:r>
      <w:r>
        <w:rPr>
          <w:rFonts w:ascii="宋体" w:hAnsi="宋体"/>
          <w:kern w:val="0"/>
          <w:szCs w:val="21"/>
          <w:vertAlign w:val="superscript"/>
        </w:rPr>
        <w:t>2</w:t>
      </w:r>
      <w:r>
        <w:rPr>
          <w:rFonts w:ascii="宋体" w:hAnsi="宋体"/>
          <w:kern w:val="0"/>
          <w:szCs w:val="21"/>
        </w:rPr>
        <w:t>条件下进行接头试压。如果在30min的测试期间内压力损失超过10KN/ m</w:t>
      </w:r>
      <w:r>
        <w:rPr>
          <w:rFonts w:ascii="宋体" w:hAnsi="宋体"/>
          <w:kern w:val="0"/>
          <w:szCs w:val="21"/>
          <w:vertAlign w:val="superscript"/>
        </w:rPr>
        <w:t>2</w:t>
      </w:r>
      <w:r>
        <w:rPr>
          <w:rFonts w:ascii="宋体" w:hAnsi="宋体"/>
          <w:kern w:val="0"/>
          <w:szCs w:val="21"/>
        </w:rPr>
        <w:t>,那么该管线就应视为不令人满意的，所采用的压力表的量程为0—150 KN/ m</w:t>
      </w:r>
      <w:r>
        <w:rPr>
          <w:rFonts w:ascii="宋体" w:hAnsi="宋体"/>
          <w:kern w:val="0"/>
          <w:szCs w:val="21"/>
          <w:vertAlign w:val="superscript"/>
        </w:rPr>
        <w:t>2</w:t>
      </w:r>
      <w:r>
        <w:rPr>
          <w:rFonts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内径较小的管线，应在尽可能短的且方便的长度下进行。应通过合适的气压方法，使管线中升压至300mm水柱，如果在5min内空气压力降至低于275mm水柱，那么该测试的管线应为不合格。应注意测试的准确度不受管内空气温度波动的影响。如有必要，测试时间将由项目监理确定。</w:t>
      </w:r>
    </w:p>
    <w:p>
      <w:pPr>
        <w:adjustRightInd w:val="0"/>
        <w:snapToGrid w:val="0"/>
        <w:spacing w:line="360" w:lineRule="auto"/>
        <w:ind w:firstLine="500" w:firstLineChars="200"/>
        <w:textAlignment w:val="baseline"/>
        <w:rPr>
          <w:rFonts w:ascii="宋体" w:hAnsi="宋体"/>
          <w:kern w:val="0"/>
          <w:szCs w:val="21"/>
        </w:rPr>
      </w:pPr>
      <w:bookmarkStart w:id="5295" w:name="_Toc409594341"/>
      <w:bookmarkStart w:id="5296" w:name="_Toc437318376"/>
      <w:bookmarkStart w:id="5297" w:name="_Toc353976615"/>
      <w:bookmarkStart w:id="5298" w:name="_Toc106050241"/>
      <w:r>
        <w:rPr>
          <w:rFonts w:ascii="宋体" w:hAnsi="宋体"/>
          <w:kern w:val="0"/>
          <w:szCs w:val="21"/>
        </w:rPr>
        <w:t>2. 最终测试</w:t>
      </w:r>
      <w:bookmarkEnd w:id="5295"/>
      <w:bookmarkEnd w:id="5296"/>
      <w:bookmarkEnd w:id="5297"/>
      <w:bookmarkEnd w:id="529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所有的压力管线在清洗和检查后将用下面所述的方法通过洁净水进行测试。对于埋于沟槽中的管线，其测试工作应在回填完成后进行。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管线的试压长度以方便为宜，最多不超过400m。如果是分段打压，整个管线应采用下面所述的同一测试方法。被测试的管道应充满水以便排除空气。</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线中的压力应逐渐稳步增加到指定的测试压力，并在该水平下保持一个小时。一小时之后，再向管中泵入水，从而使水压恢复到试压所要求的水平；同时测试在压力又重新降到原来水平时，管道中的水量损失。水量损失不能超过2L/ DN1000/1000KM/每公斤压力/每24小时。另外不应有明显可见的漏水和接点的管道移动。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试压的压力详见有关的设计和规范中所规定的值。</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隔离排气阀和其它管件应倍加注意，不要使这些地方的压力高于管线其它地方的压力，并确保管线在进行任何测试前固定牢靠。</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禁止对连结在现有供水管线上的阀门试压，这样有可能污染供水系统的水。其它没有连接到现有供水管线上的阀门，包括空气阀，如果承包商愿意，且这些阀门具有合格的压力，固定牢靠，可以自己进行压力试验。如果造成任何损失，由承包商自己承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在测试完成后，应在所有管线打开的一端要装上合适的管堵，以防淤泥和其它有害物质进入，直到管线试用为止。</w:t>
      </w:r>
    </w:p>
    <w:p>
      <w:pPr>
        <w:adjustRightInd w:val="0"/>
        <w:snapToGrid w:val="0"/>
        <w:spacing w:line="360" w:lineRule="auto"/>
        <w:ind w:firstLine="500" w:firstLineChars="200"/>
        <w:textAlignment w:val="baseline"/>
        <w:rPr>
          <w:rFonts w:ascii="宋体" w:hAnsi="宋体"/>
          <w:kern w:val="0"/>
          <w:szCs w:val="21"/>
        </w:rPr>
      </w:pPr>
      <w:bookmarkStart w:id="5299" w:name="_Toc409594342"/>
      <w:bookmarkStart w:id="5300" w:name="_Toc437318377"/>
      <w:bookmarkStart w:id="5301" w:name="_Toc15787645"/>
      <w:bookmarkStart w:id="5302" w:name="_Toc353976616"/>
      <w:bookmarkStart w:id="5303" w:name="_Toc106050242"/>
      <w:r>
        <w:rPr>
          <w:rFonts w:ascii="宋体" w:hAnsi="宋体"/>
          <w:kern w:val="0"/>
          <w:szCs w:val="21"/>
        </w:rPr>
        <w:t>3. 给水管线的清洗</w:t>
      </w:r>
      <w:bookmarkEnd w:id="5299"/>
      <w:bookmarkEnd w:id="5300"/>
      <w:bookmarkEnd w:id="5301"/>
      <w:bookmarkEnd w:id="5302"/>
      <w:bookmarkEnd w:id="530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除其它地方说明要清洗的管线外，给水管线可用一个尺寸合适的塑料泡沫清洗器（直径大于管线直径）来清洗。清洗将持续到任何水和污染物都被除去为止。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承包商要负责排除并处置所有的水和污染物。</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承包商要提供完成清洗所需的各种设备和劳力，以满足项目监理的要求。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清洗工作将在所确定的水压测试完成后进行。</w:t>
      </w:r>
    </w:p>
    <w:p>
      <w:pPr>
        <w:adjustRightInd w:val="0"/>
        <w:snapToGrid w:val="0"/>
        <w:spacing w:line="360" w:lineRule="auto"/>
        <w:jc w:val="left"/>
        <w:outlineLvl w:val="2"/>
        <w:rPr>
          <w:rFonts w:ascii="宋体" w:hAnsi="宋体"/>
          <w:b/>
          <w:bCs/>
          <w:szCs w:val="20"/>
        </w:rPr>
      </w:pPr>
      <w:bookmarkStart w:id="5304" w:name="_Toc409594346"/>
      <w:bookmarkStart w:id="5305" w:name="_Toc437318378"/>
      <w:bookmarkStart w:id="5306" w:name="_Toc15787646"/>
      <w:bookmarkStart w:id="5307" w:name="_Toc202671089"/>
      <w:bookmarkStart w:id="5308" w:name="_Toc266663115"/>
      <w:bookmarkStart w:id="5309" w:name="_Toc271232473"/>
      <w:bookmarkStart w:id="5310" w:name="_Toc436811072"/>
      <w:bookmarkStart w:id="5311" w:name="_Toc518058818"/>
      <w:bookmarkStart w:id="5312" w:name="_Toc518376877"/>
      <w:bookmarkStart w:id="5313" w:name="_Toc521492357"/>
      <w:bookmarkStart w:id="5314" w:name="_Toc521493214"/>
      <w:bookmarkStart w:id="5315" w:name="_Toc521493888"/>
      <w:bookmarkStart w:id="5316" w:name="_Toc106883497"/>
      <w:r>
        <w:rPr>
          <w:rFonts w:hint="eastAsia" w:ascii="宋体" w:hAnsi="宋体"/>
          <w:b/>
          <w:bCs/>
          <w:szCs w:val="20"/>
        </w:rPr>
        <w:t>5.7.</w:t>
      </w:r>
      <w:r>
        <w:rPr>
          <w:rFonts w:ascii="宋体" w:hAnsi="宋体"/>
          <w:b/>
          <w:bCs/>
          <w:szCs w:val="20"/>
        </w:rPr>
        <w:t>9 饮用水管线的消毒</w:t>
      </w:r>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饮用水管线由承包商负责消毒，按GB50268-2008规定的消毒程序执行，项目监理负责审批和检验。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合同中要求对饮用水的管线进线消毒。按具体要求对管线进行清洗后就应进行管线的消毒。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进行消毒的管线在加入杀菌液的同时应加入水（通过计量泵，重力流动和其它同意的方法）按项目监理同意的速率进行，这样最终将获得最小浓度为20mg/l的自由氯。应注意保证消毒溶液按恒定的速度加入，即给管道加水时开始，管道充满时同时结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每根装满消毒液的管线应保持至少24h，之后，从特别安装的龙头或冲洗用阀中提取水样，取样由承包商当着项目监理代表的面进行。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管道选样长度每500m一个，同时也在投入消毒剂相应的远点和近点选样。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管道已冲洗和再次装满水后，每个选择点还要再提取两个样品，一个用于进一步确定自由氯，另一个装在消毒瓶中用于细菌分析。若自由氯测定显示自由氯高于4mg/l，那么该管道将再次冲洗；若细菌分析结果不满足GB50268-2008的有关规定，那么得重做消毒和选样，直到管线试运行前满足GB50268-2008的有关规定，并得到令人满意的结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承包商将提供管线进行必要的有效消毒所需的所有劳力、设备、水和其它材料和测试仪器，但细菌分析由业主来完成。</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在管线消毒后，承包商将采取所有合理的防范措施加以保护。</w:t>
      </w:r>
    </w:p>
    <w:p>
      <w:pPr>
        <w:adjustRightInd w:val="0"/>
        <w:snapToGrid w:val="0"/>
        <w:spacing w:line="360" w:lineRule="auto"/>
        <w:outlineLvl w:val="0"/>
        <w:rPr>
          <w:rFonts w:ascii="宋体" w:hAnsi="宋体"/>
          <w:b/>
          <w:bCs/>
        </w:rPr>
      </w:pPr>
      <w:bookmarkStart w:id="5317" w:name="_Toc202671090"/>
      <w:bookmarkStart w:id="5318" w:name="_Toc266663116"/>
      <w:bookmarkStart w:id="5319" w:name="_Toc271232474"/>
      <w:bookmarkStart w:id="5320" w:name="_Toc436811073"/>
      <w:bookmarkStart w:id="5321" w:name="_Toc518058819"/>
      <w:bookmarkStart w:id="5322" w:name="_Toc518376878"/>
      <w:bookmarkStart w:id="5323" w:name="_Toc521492358"/>
      <w:bookmarkStart w:id="5324" w:name="_Toc521493215"/>
      <w:bookmarkStart w:id="5325" w:name="_Toc521493889"/>
      <w:bookmarkStart w:id="5326" w:name="_Toc106883498"/>
      <w:r>
        <w:rPr>
          <w:rFonts w:hint="eastAsia" w:ascii="宋体" w:hAnsi="宋体"/>
          <w:b/>
          <w:bCs/>
        </w:rPr>
        <w:t>5.8</w:t>
      </w:r>
      <w:r>
        <w:rPr>
          <w:rFonts w:ascii="宋体" w:hAnsi="宋体"/>
          <w:b/>
          <w:bCs/>
        </w:rPr>
        <w:t xml:space="preserve"> 本合同下的热塑管道使用</w:t>
      </w:r>
      <w:bookmarkEnd w:id="5317"/>
      <w:bookmarkEnd w:id="5318"/>
      <w:bookmarkEnd w:id="5319"/>
      <w:bookmarkEnd w:id="5320"/>
      <w:bookmarkEnd w:id="5321"/>
      <w:bookmarkEnd w:id="5322"/>
      <w:bookmarkEnd w:id="5323"/>
      <w:bookmarkEnd w:id="5324"/>
      <w:bookmarkEnd w:id="5325"/>
      <w:bookmarkEnd w:id="5326"/>
    </w:p>
    <w:p>
      <w:pPr>
        <w:adjustRightInd w:val="0"/>
        <w:snapToGrid w:val="0"/>
        <w:spacing w:line="360" w:lineRule="auto"/>
        <w:jc w:val="left"/>
        <w:outlineLvl w:val="2"/>
        <w:rPr>
          <w:rFonts w:ascii="宋体" w:hAnsi="宋体"/>
          <w:b/>
          <w:bCs/>
          <w:szCs w:val="20"/>
        </w:rPr>
      </w:pPr>
      <w:bookmarkStart w:id="5327" w:name="_Toc16242470"/>
      <w:bookmarkStart w:id="5328" w:name="_Toc202671091"/>
      <w:bookmarkStart w:id="5329" w:name="_Toc266663117"/>
      <w:bookmarkStart w:id="5330" w:name="_Toc271232475"/>
      <w:bookmarkStart w:id="5331" w:name="_Toc436811074"/>
      <w:bookmarkStart w:id="5332" w:name="_Toc518058820"/>
      <w:bookmarkStart w:id="5333" w:name="_Toc518376879"/>
      <w:bookmarkStart w:id="5334" w:name="_Toc521492359"/>
      <w:bookmarkStart w:id="5335" w:name="_Toc521493216"/>
      <w:bookmarkStart w:id="5336" w:name="_Toc521493890"/>
      <w:bookmarkStart w:id="5337" w:name="_Toc106883499"/>
      <w:r>
        <w:rPr>
          <w:rFonts w:hint="eastAsia" w:ascii="宋体" w:hAnsi="宋体"/>
          <w:b/>
          <w:bCs/>
          <w:szCs w:val="20"/>
        </w:rPr>
        <w:t>5.8.</w:t>
      </w:r>
      <w:r>
        <w:rPr>
          <w:rFonts w:ascii="宋体" w:hAnsi="宋体"/>
          <w:b/>
          <w:bCs/>
          <w:szCs w:val="20"/>
        </w:rPr>
        <w:t>1 管道类型</w:t>
      </w:r>
      <w:bookmarkEnd w:id="5327"/>
      <w:bookmarkEnd w:id="5328"/>
      <w:bookmarkEnd w:id="5329"/>
      <w:bookmarkEnd w:id="5330"/>
      <w:bookmarkEnd w:id="5331"/>
      <w:bookmarkEnd w:id="5332"/>
      <w:bookmarkEnd w:id="5333"/>
      <w:bookmarkEnd w:id="5334"/>
      <w:bookmarkEnd w:id="5335"/>
      <w:bookmarkEnd w:id="5336"/>
      <w:bookmarkEnd w:id="533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本工程给水管道采用PE管。</w:t>
      </w:r>
    </w:p>
    <w:p>
      <w:pPr>
        <w:adjustRightInd w:val="0"/>
        <w:snapToGrid w:val="0"/>
        <w:spacing w:line="360" w:lineRule="auto"/>
        <w:jc w:val="left"/>
        <w:outlineLvl w:val="2"/>
        <w:rPr>
          <w:rFonts w:ascii="宋体" w:hAnsi="宋体"/>
          <w:b/>
          <w:bCs/>
          <w:szCs w:val="20"/>
        </w:rPr>
      </w:pPr>
      <w:bookmarkStart w:id="5338" w:name="_Toc521492360"/>
      <w:bookmarkStart w:id="5339" w:name="_Toc521493217"/>
      <w:bookmarkStart w:id="5340" w:name="_Toc521493891"/>
      <w:bookmarkStart w:id="5341" w:name="_Toc106883500"/>
      <w:bookmarkStart w:id="5342" w:name="_Toc266663118"/>
      <w:bookmarkStart w:id="5343" w:name="_Toc16242471"/>
      <w:bookmarkStart w:id="5344" w:name="_Toc202671092"/>
      <w:bookmarkStart w:id="5345" w:name="_Toc271232476"/>
      <w:bookmarkStart w:id="5346" w:name="_Toc436811075"/>
      <w:bookmarkStart w:id="5347" w:name="_Toc518058821"/>
      <w:bookmarkStart w:id="5348" w:name="_Toc518376880"/>
      <w:r>
        <w:rPr>
          <w:rFonts w:hint="eastAsia" w:ascii="宋体" w:hAnsi="宋体"/>
          <w:b/>
          <w:bCs/>
          <w:szCs w:val="20"/>
        </w:rPr>
        <w:t>5.8.</w:t>
      </w:r>
      <w:r>
        <w:rPr>
          <w:rFonts w:ascii="宋体" w:hAnsi="宋体"/>
          <w:b/>
          <w:bCs/>
          <w:szCs w:val="20"/>
        </w:rPr>
        <w:t>2 等级</w:t>
      </w:r>
      <w:bookmarkEnd w:id="5338"/>
      <w:bookmarkEnd w:id="5339"/>
      <w:bookmarkEnd w:id="5340"/>
      <w:bookmarkEnd w:id="5341"/>
      <w:bookmarkEnd w:id="5342"/>
      <w:bookmarkEnd w:id="5343"/>
      <w:bookmarkEnd w:id="5344"/>
      <w:bookmarkEnd w:id="5345"/>
      <w:bookmarkEnd w:id="5346"/>
      <w:bookmarkEnd w:id="5347"/>
      <w:bookmarkEnd w:id="534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本工程给水管道为PE100。</w:t>
      </w:r>
    </w:p>
    <w:p>
      <w:pPr>
        <w:adjustRightInd w:val="0"/>
        <w:snapToGrid w:val="0"/>
        <w:spacing w:line="360" w:lineRule="auto"/>
        <w:jc w:val="left"/>
        <w:outlineLvl w:val="2"/>
        <w:rPr>
          <w:rFonts w:ascii="宋体" w:hAnsi="宋体"/>
          <w:b/>
          <w:bCs/>
          <w:szCs w:val="20"/>
        </w:rPr>
      </w:pPr>
      <w:bookmarkStart w:id="5349" w:name="_Toc271232477"/>
      <w:bookmarkStart w:id="5350" w:name="_Toc266663119"/>
      <w:bookmarkStart w:id="5351" w:name="_Toc202671093"/>
      <w:bookmarkStart w:id="5352" w:name="_Toc16242472"/>
      <w:bookmarkStart w:id="5353" w:name="_Toc518058822"/>
      <w:bookmarkStart w:id="5354" w:name="_Toc436811076"/>
      <w:bookmarkStart w:id="5355" w:name="_Toc521493218"/>
      <w:bookmarkStart w:id="5356" w:name="_Toc521492361"/>
      <w:bookmarkStart w:id="5357" w:name="_Toc518376881"/>
      <w:bookmarkStart w:id="5358" w:name="_Toc521493892"/>
      <w:bookmarkStart w:id="5359" w:name="_Toc106883501"/>
      <w:r>
        <w:rPr>
          <w:rFonts w:hint="eastAsia" w:ascii="宋体" w:hAnsi="宋体"/>
          <w:b/>
          <w:bCs/>
          <w:szCs w:val="20"/>
        </w:rPr>
        <w:t>5.8.</w:t>
      </w:r>
      <w:r>
        <w:rPr>
          <w:rFonts w:ascii="宋体" w:hAnsi="宋体"/>
          <w:b/>
          <w:bCs/>
          <w:szCs w:val="20"/>
        </w:rPr>
        <w:t>3 接口</w:t>
      </w:r>
      <w:bookmarkEnd w:id="5349"/>
      <w:bookmarkEnd w:id="5350"/>
      <w:bookmarkEnd w:id="5351"/>
      <w:bookmarkEnd w:id="5352"/>
      <w:bookmarkEnd w:id="5353"/>
      <w:bookmarkEnd w:id="5354"/>
      <w:bookmarkEnd w:id="5355"/>
      <w:bookmarkEnd w:id="5356"/>
      <w:bookmarkEnd w:id="5357"/>
      <w:bookmarkEnd w:id="5358"/>
      <w:bookmarkEnd w:id="535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采用热熔连接。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粘接剂和热熔材料应由排水管供应商配套供应。</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承包商在采购该种管材时，均需由项目监理验收合格后方可运至现场，并要求制造商提供有关接口的详细说明及资料，给项目监理审查。</w:t>
      </w:r>
    </w:p>
    <w:p>
      <w:pPr>
        <w:adjustRightInd w:val="0"/>
        <w:snapToGrid w:val="0"/>
        <w:spacing w:line="360" w:lineRule="auto"/>
        <w:jc w:val="left"/>
        <w:outlineLvl w:val="2"/>
        <w:rPr>
          <w:rFonts w:ascii="宋体" w:hAnsi="宋体"/>
          <w:b/>
          <w:bCs/>
          <w:szCs w:val="20"/>
        </w:rPr>
      </w:pPr>
      <w:bookmarkStart w:id="5360" w:name="_Toc16242473"/>
      <w:bookmarkStart w:id="5361" w:name="_Toc202671094"/>
      <w:bookmarkStart w:id="5362" w:name="_Toc266663120"/>
      <w:bookmarkStart w:id="5363" w:name="_Toc271232478"/>
      <w:bookmarkStart w:id="5364" w:name="_Toc436811077"/>
      <w:bookmarkStart w:id="5365" w:name="_Toc518058823"/>
      <w:bookmarkStart w:id="5366" w:name="_Toc518376882"/>
      <w:bookmarkStart w:id="5367" w:name="_Toc521492362"/>
      <w:bookmarkStart w:id="5368" w:name="_Toc521493219"/>
      <w:bookmarkStart w:id="5369" w:name="_Toc521493893"/>
      <w:bookmarkStart w:id="5370" w:name="_Toc106883502"/>
      <w:r>
        <w:rPr>
          <w:rFonts w:hint="eastAsia" w:ascii="宋体" w:hAnsi="宋体"/>
          <w:b/>
          <w:bCs/>
          <w:szCs w:val="20"/>
        </w:rPr>
        <w:t>5.8.</w:t>
      </w:r>
      <w:r>
        <w:rPr>
          <w:rFonts w:ascii="宋体" w:hAnsi="宋体"/>
          <w:b/>
          <w:bCs/>
          <w:szCs w:val="20"/>
        </w:rPr>
        <w:t>4 提升孔</w:t>
      </w:r>
      <w:bookmarkEnd w:id="5360"/>
      <w:bookmarkEnd w:id="5361"/>
      <w:bookmarkEnd w:id="5362"/>
      <w:bookmarkEnd w:id="5363"/>
      <w:bookmarkEnd w:id="5364"/>
      <w:bookmarkEnd w:id="5365"/>
      <w:bookmarkEnd w:id="5366"/>
      <w:bookmarkEnd w:id="5367"/>
      <w:bookmarkEnd w:id="5368"/>
      <w:bookmarkEnd w:id="5369"/>
      <w:bookmarkEnd w:id="537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不允许设置提升孔。承包商应采用吊索来起吊每节管道。</w:t>
      </w:r>
    </w:p>
    <w:p>
      <w:pPr>
        <w:adjustRightInd w:val="0"/>
        <w:snapToGrid w:val="0"/>
        <w:spacing w:line="360" w:lineRule="auto"/>
        <w:jc w:val="left"/>
        <w:outlineLvl w:val="2"/>
        <w:rPr>
          <w:rFonts w:ascii="宋体" w:hAnsi="宋体"/>
          <w:b/>
          <w:bCs/>
          <w:szCs w:val="20"/>
        </w:rPr>
      </w:pPr>
      <w:bookmarkStart w:id="5371" w:name="_Toc16242474"/>
      <w:bookmarkStart w:id="5372" w:name="_Toc202671095"/>
      <w:bookmarkStart w:id="5373" w:name="_Toc266663121"/>
      <w:bookmarkStart w:id="5374" w:name="_Toc271232479"/>
      <w:bookmarkStart w:id="5375" w:name="_Toc436811078"/>
      <w:bookmarkStart w:id="5376" w:name="_Toc518058824"/>
      <w:bookmarkStart w:id="5377" w:name="_Toc518376883"/>
      <w:bookmarkStart w:id="5378" w:name="_Toc521492363"/>
      <w:bookmarkStart w:id="5379" w:name="_Toc521493220"/>
      <w:bookmarkStart w:id="5380" w:name="_Toc521493894"/>
      <w:bookmarkStart w:id="5381" w:name="_Toc106883503"/>
      <w:r>
        <w:rPr>
          <w:rFonts w:hint="eastAsia" w:ascii="宋体" w:hAnsi="宋体"/>
          <w:b/>
          <w:bCs/>
          <w:szCs w:val="20"/>
        </w:rPr>
        <w:t>5.8.</w:t>
      </w:r>
      <w:r>
        <w:rPr>
          <w:rFonts w:ascii="宋体" w:hAnsi="宋体"/>
          <w:b/>
          <w:bCs/>
          <w:szCs w:val="20"/>
        </w:rPr>
        <w:t>5 基础</w:t>
      </w:r>
      <w:bookmarkEnd w:id="5371"/>
      <w:bookmarkEnd w:id="5372"/>
      <w:bookmarkEnd w:id="5373"/>
      <w:bookmarkEnd w:id="5374"/>
      <w:bookmarkEnd w:id="5375"/>
      <w:bookmarkEnd w:id="5376"/>
      <w:bookmarkEnd w:id="5377"/>
      <w:bookmarkEnd w:id="5378"/>
      <w:bookmarkEnd w:id="5379"/>
      <w:bookmarkEnd w:id="5380"/>
      <w:bookmarkEnd w:id="538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本工程采用的热塑管道PE管。管道基础采用砂基础，作法如下：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（1）对一般土质，当地基承载力特征值fak≥80KPa时，基底可铺设一层厚度为100mm的中粗砂基础层；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（2）当地基土质较差，其地基承载力特征值55KPa≤fak≤80KPa或槽底处在地下水位之下时，下层铺设厚度为200mm砂砾基础层，上层铺设厚度为50mm的中粗砂；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（3）对于软土地基，地基承载力特征值fak&lt;55KPa，或因施工原因地基原状土被扰动而影响地基承载力时，必须先对地基进行加固处理，在达到规定地基承载能力后，再铺设厚度为100mm的中粗砂基础层。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在铺设管基前应清除沟槽内的淤泥和积水。只有在项目监理已经检查沟槽后方可铺设管基。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每次铺设管基长度应经项目监理同意，以便精确铺设管道。当管道准备落位时，碎石管基隆起的部分应小心地压实，以防止管道偏移。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在项目监理指明的地方进行压实测试。</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管道接口部分的凹槽应在铺管时随铺随挖，凹槽长度0.6m，深度0.1m，宽度为管径的1.1倍。在接口完成后，凹槽随即用砂回填密实。</w:t>
      </w:r>
    </w:p>
    <w:p>
      <w:pPr>
        <w:adjustRightInd w:val="0"/>
        <w:snapToGrid w:val="0"/>
        <w:spacing w:line="360" w:lineRule="auto"/>
        <w:jc w:val="left"/>
        <w:outlineLvl w:val="2"/>
        <w:rPr>
          <w:rFonts w:ascii="宋体" w:hAnsi="宋体"/>
          <w:b/>
          <w:bCs/>
          <w:szCs w:val="20"/>
        </w:rPr>
      </w:pPr>
      <w:bookmarkStart w:id="5382" w:name="_Toc521493895"/>
      <w:bookmarkStart w:id="5383" w:name="_Toc521493221"/>
      <w:bookmarkStart w:id="5384" w:name="_Toc16242475"/>
      <w:bookmarkStart w:id="5385" w:name="_Toc521492364"/>
      <w:bookmarkStart w:id="5386" w:name="_Toc518058825"/>
      <w:bookmarkStart w:id="5387" w:name="_Toc266663122"/>
      <w:bookmarkStart w:id="5388" w:name="_Toc518376884"/>
      <w:bookmarkStart w:id="5389" w:name="_Toc271232480"/>
      <w:bookmarkStart w:id="5390" w:name="_Toc436811079"/>
      <w:bookmarkStart w:id="5391" w:name="_Toc202671096"/>
      <w:bookmarkStart w:id="5392" w:name="_Toc106883504"/>
      <w:r>
        <w:rPr>
          <w:rFonts w:hint="eastAsia" w:ascii="宋体" w:hAnsi="宋体"/>
          <w:b/>
          <w:bCs/>
          <w:szCs w:val="20"/>
        </w:rPr>
        <w:t>5.8.</w:t>
      </w:r>
      <w:r>
        <w:rPr>
          <w:rFonts w:ascii="宋体" w:hAnsi="宋体"/>
          <w:b/>
          <w:bCs/>
          <w:szCs w:val="20"/>
        </w:rPr>
        <w:t>6 敷设</w:t>
      </w:r>
      <w:bookmarkEnd w:id="5382"/>
      <w:bookmarkEnd w:id="5383"/>
      <w:bookmarkEnd w:id="5384"/>
      <w:bookmarkEnd w:id="5385"/>
      <w:bookmarkEnd w:id="5386"/>
      <w:bookmarkEnd w:id="5387"/>
      <w:bookmarkEnd w:id="5388"/>
      <w:bookmarkEnd w:id="5389"/>
      <w:bookmarkEnd w:id="5390"/>
      <w:bookmarkEnd w:id="5391"/>
      <w:bookmarkEnd w:id="539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在受力或不受力的情况下，仔细处理所有管道及配件。用起重机将管道提升后再沿滑道缓缓放下，这样可以防止碰撞。在将管道放入沟槽时需采用起重机、绳子和其它合适的设备。管道及配件均不得跌落与倾倒。下管过程中，严禁将管子从上往下自由滚放，应防止块石等重物撞击管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管道与管配件在放入沟槽前应对管道及管件类型、规格、数量进行验证，并按要求进行外观检查，合格者方可使用。同一批次的产品下管时注意按厂家提供的管段编号顺序下管。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吊管前应找出管体重心，作出标志，并采用专用起吊工具满足管体起吊安全要求管道内部和所有接头表面应彻底清洁，并保持干净。在管道的接口处采用无色无毛的棉布蘸95％的酒精擦拭接口，连接面必须保持干净、干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下管、安管不得扰动管道基础。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管道不能敷设在水中，当沟槽的现状与天气不适于施工时，不允许敷设管道。</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设有线路桩号，并要求标出邻近该桩的管内底高程。在邻近沟槽并与截污管平行线上每隔一定间距设设置高程标牌。在施工中应仔细检查各连续段管道的高程与线型。管道可以采用经项目监理审批的直观法设置。每完成60m的管道施工后，承包商须用精密仪器检验管道线型和高程。检查结果须报项目监理，并在24h内将现场记录的副本提供给项目监理。敷设管道前，应用批准的方法准确修整管道管基，控制好线型和高程。</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管道应准确地按图纸所示的位置和高程或在项目监理的指导下敷设。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如果在开挖过程中有遇到了障碍物或其他的现有设施，则经项目监理同意后，管道和检查井的位置可稍作改动。设在他人领地的检查井应尽可能设置在边线上。</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除非特别要求，排水管道的最小覆土深度为700mm。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管道沟槽在开挖过程中若遇到岩石，则必须在设计的管道基础高程处再往下挖150mm，并回填级配碎石、砂或混凝土。</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当合同中两种管道交叉或合同中将实施的管道与现有管道发生交叉，承包商应向项目监理提呈其具体的实施方案，并说明如何保护现有管道、交叉部位管道不受沉降和负荷的影响。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一般情况下，项目监理要求应将相交部位的下部管道在沟槽宽度内全部用混凝包裹，而上部管道用混凝土垫底。混凝土高度取决于现有的土壤的土质、两管道间的净距及上部管道的设置方法等，在下部管道的安装和回填时，要特别注意避免时引起上部管道的弯曲破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在管材、线型、高程和接口处存在缺陷或者其他问题的管道都应由承包商更换并不得向业主索求额外费用。</w:t>
      </w:r>
    </w:p>
    <w:p>
      <w:pPr>
        <w:adjustRightInd w:val="0"/>
        <w:snapToGrid w:val="0"/>
        <w:spacing w:line="360" w:lineRule="auto"/>
        <w:jc w:val="left"/>
        <w:outlineLvl w:val="2"/>
        <w:rPr>
          <w:rFonts w:ascii="宋体" w:hAnsi="宋体"/>
          <w:b/>
          <w:bCs/>
          <w:szCs w:val="20"/>
        </w:rPr>
      </w:pPr>
      <w:bookmarkStart w:id="5393" w:name="_Toc16242476"/>
      <w:bookmarkStart w:id="5394" w:name="_Toc202671097"/>
      <w:bookmarkStart w:id="5395" w:name="_Toc266663123"/>
      <w:bookmarkStart w:id="5396" w:name="_Toc271232481"/>
      <w:bookmarkStart w:id="5397" w:name="_Toc436811080"/>
      <w:bookmarkStart w:id="5398" w:name="_Toc518058826"/>
      <w:bookmarkStart w:id="5399" w:name="_Toc518376885"/>
      <w:bookmarkStart w:id="5400" w:name="_Toc521492365"/>
      <w:bookmarkStart w:id="5401" w:name="_Toc521493222"/>
      <w:bookmarkStart w:id="5402" w:name="_Toc521493896"/>
      <w:bookmarkStart w:id="5403" w:name="_Toc106883505"/>
      <w:r>
        <w:rPr>
          <w:rFonts w:hint="eastAsia" w:ascii="宋体" w:hAnsi="宋体"/>
          <w:b/>
          <w:bCs/>
          <w:szCs w:val="20"/>
        </w:rPr>
        <w:t>5.8.</w:t>
      </w:r>
      <w:r>
        <w:rPr>
          <w:rFonts w:ascii="宋体" w:hAnsi="宋体"/>
          <w:b/>
          <w:bCs/>
          <w:szCs w:val="20"/>
        </w:rPr>
        <w:t>7 连接</w:t>
      </w:r>
      <w:bookmarkEnd w:id="5393"/>
      <w:bookmarkEnd w:id="5394"/>
      <w:bookmarkEnd w:id="5395"/>
      <w:bookmarkEnd w:id="5396"/>
      <w:bookmarkEnd w:id="5397"/>
      <w:bookmarkEnd w:id="5398"/>
      <w:bookmarkEnd w:id="5399"/>
      <w:bookmarkEnd w:id="5400"/>
      <w:bookmarkEnd w:id="5401"/>
      <w:bookmarkEnd w:id="5402"/>
      <w:bookmarkEnd w:id="540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管道的连接和安装工作应在管道验收合格后进行。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管道连接就位后应复测设计标高及设计中心线，管道位置偏差应控制在设计允许的误差范围内。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管道与其它材质的管道连接时，采用检查井或专用法兰连接。采用检查井连接按厂家要求进行。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熔、电熔连接时，应首先清除连接面的污垢。连接采用的专用电器设备、挤出焊接设备和工具，当承包商不具备符合要求的设施和技术时，应由管材生产厂家提供并进行连接技术指导。管道连接时采用的润滑剂等辅助材料，亦应由管材生产厂家提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热熔、电熔连接机具与接头或管件应正确连通。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热熔、电熔连接通电期间，不得移动管件或在连接件上施加任何外力。</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从事管道连接的操作工人上岗前，应经过专门培训，经考试和技术评定合格后，方可上岗操作。</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管道连接结束后，应进行接状外观质量检验，必要时可进行密封性试验。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所有接口的材料、附件均须按照厂商的说明书进行安装、连接和检测。接口应平直，环形间隙应均匀。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承包商应按不同类型接头方式选择合适的接头，并要求供货商提供，所有的接头都必须按制造商的说明来安装。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上述施工完毕后，在整个沟槽上回填并压实。</w:t>
      </w:r>
    </w:p>
    <w:p>
      <w:pPr>
        <w:adjustRightInd w:val="0"/>
        <w:snapToGrid w:val="0"/>
        <w:spacing w:line="360" w:lineRule="auto"/>
        <w:jc w:val="left"/>
        <w:outlineLvl w:val="2"/>
        <w:rPr>
          <w:rFonts w:ascii="宋体" w:hAnsi="宋体"/>
          <w:b/>
          <w:bCs/>
          <w:szCs w:val="20"/>
        </w:rPr>
      </w:pPr>
      <w:bookmarkStart w:id="5404" w:name="_Toc16242477"/>
      <w:bookmarkStart w:id="5405" w:name="_Toc202671098"/>
      <w:bookmarkStart w:id="5406" w:name="_Toc266663124"/>
      <w:bookmarkStart w:id="5407" w:name="_Toc271232482"/>
      <w:bookmarkStart w:id="5408" w:name="_Toc436811081"/>
      <w:bookmarkStart w:id="5409" w:name="_Toc518058827"/>
      <w:bookmarkStart w:id="5410" w:name="_Toc518376886"/>
      <w:bookmarkStart w:id="5411" w:name="_Toc521492366"/>
      <w:bookmarkStart w:id="5412" w:name="_Toc521493223"/>
      <w:bookmarkStart w:id="5413" w:name="_Toc521493897"/>
      <w:bookmarkStart w:id="5414" w:name="_Toc106883506"/>
      <w:r>
        <w:rPr>
          <w:rFonts w:hint="eastAsia" w:ascii="宋体" w:hAnsi="宋体"/>
          <w:b/>
          <w:bCs/>
          <w:szCs w:val="20"/>
        </w:rPr>
        <w:t>5.8.</w:t>
      </w:r>
      <w:r>
        <w:rPr>
          <w:rFonts w:ascii="宋体" w:hAnsi="宋体"/>
          <w:b/>
          <w:bCs/>
          <w:szCs w:val="20"/>
        </w:rPr>
        <w:t>8 管道的裁截</w:t>
      </w:r>
      <w:bookmarkEnd w:id="5404"/>
      <w:bookmarkEnd w:id="5405"/>
      <w:bookmarkEnd w:id="5406"/>
      <w:bookmarkEnd w:id="5407"/>
      <w:bookmarkEnd w:id="5408"/>
      <w:bookmarkEnd w:id="5409"/>
      <w:bookmarkEnd w:id="5410"/>
      <w:bookmarkEnd w:id="5411"/>
      <w:bookmarkEnd w:id="5412"/>
      <w:bookmarkEnd w:id="5413"/>
      <w:bookmarkEnd w:id="541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一般不允许裁截，这时可适当调整两检查井间的距离。只有需要满足精确定位要求时，并经项目监理同意，待相邻所有管道安装完毕，精确计算了裁截长度后，才能进行裁截。承包商应确定每节管道的长度、角度和形状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除非项目监理特别要求，否则裁截管道端只能与阀门井的侧墙连接。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管道的裁截应由有经验的技工用合宜的机械设备进行裁截，裁截的端部应垂直平整，以确保在定位和安装过程中不损伤接口。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由于裁截管道引起的剥落、表面划伤必须修复好。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裁截后剩下的管道应运出现场，除非经项目监理同意，此段管道可用于工程其它地方。</w:t>
      </w:r>
    </w:p>
    <w:p>
      <w:pPr>
        <w:adjustRightInd w:val="0"/>
        <w:snapToGrid w:val="0"/>
        <w:spacing w:line="360" w:lineRule="auto"/>
        <w:jc w:val="left"/>
        <w:outlineLvl w:val="2"/>
        <w:rPr>
          <w:rFonts w:ascii="宋体" w:hAnsi="宋体"/>
          <w:b/>
          <w:bCs/>
          <w:szCs w:val="20"/>
        </w:rPr>
      </w:pPr>
      <w:bookmarkStart w:id="5415" w:name="_Toc16242478"/>
      <w:bookmarkStart w:id="5416" w:name="_Toc202671099"/>
      <w:bookmarkStart w:id="5417" w:name="_Toc266663125"/>
      <w:bookmarkStart w:id="5418" w:name="_Toc271232483"/>
      <w:bookmarkStart w:id="5419" w:name="_Toc436811082"/>
      <w:bookmarkStart w:id="5420" w:name="_Toc518058828"/>
      <w:bookmarkStart w:id="5421" w:name="_Toc518376887"/>
      <w:bookmarkStart w:id="5422" w:name="_Toc521492367"/>
      <w:bookmarkStart w:id="5423" w:name="_Toc521493224"/>
      <w:bookmarkStart w:id="5424" w:name="_Toc521493898"/>
      <w:bookmarkStart w:id="5425" w:name="_Toc106883507"/>
      <w:r>
        <w:rPr>
          <w:rFonts w:hint="eastAsia" w:ascii="宋体" w:hAnsi="宋体"/>
          <w:b/>
          <w:bCs/>
          <w:szCs w:val="20"/>
        </w:rPr>
        <w:t>5.8.</w:t>
      </w:r>
      <w:r>
        <w:rPr>
          <w:rFonts w:ascii="宋体" w:hAnsi="宋体"/>
          <w:b/>
          <w:bCs/>
          <w:szCs w:val="20"/>
        </w:rPr>
        <w:t>9 管道的偏角</w:t>
      </w:r>
      <w:bookmarkEnd w:id="5415"/>
      <w:bookmarkEnd w:id="5416"/>
      <w:bookmarkEnd w:id="5417"/>
      <w:bookmarkEnd w:id="5418"/>
      <w:bookmarkEnd w:id="5419"/>
      <w:bookmarkEnd w:id="5420"/>
      <w:bookmarkEnd w:id="5421"/>
      <w:bookmarkEnd w:id="5422"/>
      <w:bookmarkEnd w:id="5423"/>
      <w:bookmarkEnd w:id="5424"/>
      <w:bookmarkEnd w:id="542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直线敷设管道不允许有偏角。</w:t>
      </w:r>
    </w:p>
    <w:p>
      <w:pPr>
        <w:adjustRightInd w:val="0"/>
        <w:snapToGrid w:val="0"/>
        <w:spacing w:line="360" w:lineRule="auto"/>
        <w:outlineLvl w:val="0"/>
        <w:rPr>
          <w:rFonts w:ascii="宋体" w:hAnsi="宋体"/>
          <w:b/>
          <w:bCs/>
        </w:rPr>
      </w:pPr>
      <w:bookmarkStart w:id="5426" w:name="_Toc16242485"/>
      <w:bookmarkStart w:id="5427" w:name="_Toc202671101"/>
      <w:bookmarkStart w:id="5428" w:name="_Toc266663126"/>
      <w:bookmarkStart w:id="5429" w:name="_Toc271232484"/>
      <w:bookmarkStart w:id="5430" w:name="_Toc436811083"/>
      <w:bookmarkStart w:id="5431" w:name="_Toc518058829"/>
      <w:bookmarkStart w:id="5432" w:name="_Toc518376888"/>
      <w:bookmarkStart w:id="5433" w:name="_Toc521492368"/>
      <w:bookmarkStart w:id="5434" w:name="_Toc521493225"/>
      <w:bookmarkStart w:id="5435" w:name="_Toc521493899"/>
      <w:bookmarkStart w:id="5436" w:name="_Toc106883508"/>
      <w:r>
        <w:rPr>
          <w:rFonts w:hint="eastAsia" w:ascii="宋体" w:hAnsi="宋体"/>
          <w:b/>
          <w:bCs/>
        </w:rPr>
        <w:t>5.9</w:t>
      </w:r>
      <w:r>
        <w:rPr>
          <w:rFonts w:ascii="宋体" w:hAnsi="宋体"/>
          <w:b/>
          <w:bCs/>
        </w:rPr>
        <w:t xml:space="preserve"> 本合同下的钢管使用</w:t>
      </w:r>
      <w:bookmarkEnd w:id="5426"/>
      <w:bookmarkEnd w:id="5427"/>
      <w:bookmarkEnd w:id="5428"/>
      <w:bookmarkEnd w:id="5429"/>
      <w:bookmarkEnd w:id="5430"/>
      <w:bookmarkEnd w:id="5431"/>
      <w:bookmarkEnd w:id="5432"/>
      <w:bookmarkEnd w:id="5433"/>
      <w:bookmarkEnd w:id="5434"/>
      <w:bookmarkEnd w:id="5435"/>
      <w:bookmarkEnd w:id="5436"/>
    </w:p>
    <w:p>
      <w:pPr>
        <w:adjustRightInd w:val="0"/>
        <w:snapToGrid w:val="0"/>
        <w:spacing w:line="360" w:lineRule="auto"/>
        <w:jc w:val="left"/>
        <w:outlineLvl w:val="2"/>
        <w:rPr>
          <w:rFonts w:ascii="宋体" w:hAnsi="宋体"/>
          <w:b/>
          <w:bCs/>
          <w:szCs w:val="20"/>
        </w:rPr>
      </w:pPr>
      <w:bookmarkStart w:id="5437" w:name="_Toc16242486"/>
      <w:bookmarkStart w:id="5438" w:name="_Toc202671102"/>
      <w:bookmarkStart w:id="5439" w:name="_Toc266663127"/>
      <w:bookmarkStart w:id="5440" w:name="_Toc271232485"/>
      <w:bookmarkStart w:id="5441" w:name="_Toc436811084"/>
      <w:bookmarkStart w:id="5442" w:name="_Toc518058830"/>
      <w:bookmarkStart w:id="5443" w:name="_Toc518376889"/>
      <w:bookmarkStart w:id="5444" w:name="_Toc521492369"/>
      <w:bookmarkStart w:id="5445" w:name="_Toc521493226"/>
      <w:bookmarkStart w:id="5446" w:name="_Toc521493900"/>
      <w:bookmarkStart w:id="5447" w:name="_Toc106883509"/>
      <w:r>
        <w:rPr>
          <w:rFonts w:hint="eastAsia" w:ascii="宋体" w:hAnsi="宋体"/>
          <w:b/>
          <w:bCs/>
          <w:szCs w:val="20"/>
        </w:rPr>
        <w:t>5.9.</w:t>
      </w:r>
      <w:r>
        <w:rPr>
          <w:rFonts w:ascii="宋体" w:hAnsi="宋体"/>
          <w:b/>
          <w:bCs/>
          <w:szCs w:val="20"/>
        </w:rPr>
        <w:t>1 验收内容及测试</w:t>
      </w:r>
      <w:bookmarkEnd w:id="5437"/>
      <w:bookmarkEnd w:id="5438"/>
      <w:bookmarkEnd w:id="5439"/>
      <w:bookmarkEnd w:id="5440"/>
      <w:bookmarkEnd w:id="5441"/>
      <w:bookmarkEnd w:id="5442"/>
      <w:bookmarkEnd w:id="5443"/>
      <w:bookmarkEnd w:id="5444"/>
      <w:bookmarkEnd w:id="5445"/>
      <w:bookmarkEnd w:id="5446"/>
      <w:bookmarkEnd w:id="544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本工程中所有的管道及管件的材质应符合施工图中指定的要求及相应的规范的规定。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应对管道及管件进行外观检查（目视检查），并检查油漆的质量及尺寸偏差。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如有不合格则应逐根检查。测试不仅仅是管道制造商的事，承包商也应同时参与这种测试，在测试结果获得项目监理认可以前，不得将管道从制造厂运至现场。</w:t>
      </w:r>
    </w:p>
    <w:p>
      <w:pPr>
        <w:adjustRightInd w:val="0"/>
        <w:snapToGrid w:val="0"/>
        <w:spacing w:line="360" w:lineRule="auto"/>
        <w:jc w:val="left"/>
        <w:outlineLvl w:val="2"/>
        <w:rPr>
          <w:rFonts w:ascii="宋体" w:hAnsi="宋体"/>
          <w:b/>
          <w:bCs/>
          <w:szCs w:val="20"/>
        </w:rPr>
      </w:pPr>
      <w:bookmarkStart w:id="5448" w:name="_Toc16242487"/>
      <w:bookmarkStart w:id="5449" w:name="_Toc202671103"/>
      <w:bookmarkStart w:id="5450" w:name="_Toc266663128"/>
      <w:bookmarkStart w:id="5451" w:name="_Toc271232486"/>
      <w:bookmarkStart w:id="5452" w:name="_Toc436811085"/>
      <w:bookmarkStart w:id="5453" w:name="_Toc518058831"/>
      <w:bookmarkStart w:id="5454" w:name="_Toc518376890"/>
      <w:bookmarkStart w:id="5455" w:name="_Toc521492370"/>
      <w:bookmarkStart w:id="5456" w:name="_Toc521493227"/>
      <w:bookmarkStart w:id="5457" w:name="_Toc521493901"/>
      <w:bookmarkStart w:id="5458" w:name="_Toc106883510"/>
      <w:r>
        <w:rPr>
          <w:rFonts w:hint="eastAsia" w:ascii="宋体" w:hAnsi="宋体"/>
          <w:b/>
          <w:bCs/>
          <w:szCs w:val="20"/>
        </w:rPr>
        <w:t>5.9.</w:t>
      </w:r>
      <w:r>
        <w:rPr>
          <w:rFonts w:ascii="宋体" w:hAnsi="宋体"/>
          <w:b/>
          <w:bCs/>
          <w:szCs w:val="20"/>
        </w:rPr>
        <w:t>2 接口</w:t>
      </w:r>
      <w:bookmarkEnd w:id="5448"/>
      <w:bookmarkEnd w:id="5449"/>
      <w:bookmarkEnd w:id="5450"/>
      <w:bookmarkEnd w:id="5451"/>
      <w:bookmarkEnd w:id="5452"/>
      <w:bookmarkEnd w:id="5453"/>
      <w:bookmarkEnd w:id="5454"/>
      <w:bookmarkEnd w:id="5455"/>
      <w:bookmarkEnd w:id="5456"/>
      <w:bookmarkEnd w:id="5457"/>
      <w:bookmarkEnd w:id="545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本工程的钢管的接口应采用焊接。焊接应满足有关焊接规范的要求。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承包商在采购或制作上述管道时，均需由项目监理验收合格后方可运至现场，并要求制造商提供有关接口的详细说明及资料给项目监理审查。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将5%焊缝（或按业主要求）的射线检查报告呈送项目监理。若射线检查出管子的焊接缺陷，项目监理可拒收该段管子，但允许承包商进行修补，并重新提交修复的射线检查以求批准，修补后仍有焊接缺陷的管段业主代表有权拒收。</w:t>
      </w:r>
    </w:p>
    <w:p>
      <w:pPr>
        <w:adjustRightInd w:val="0"/>
        <w:snapToGrid w:val="0"/>
        <w:spacing w:line="360" w:lineRule="auto"/>
        <w:jc w:val="left"/>
        <w:outlineLvl w:val="2"/>
        <w:rPr>
          <w:rFonts w:ascii="宋体" w:hAnsi="宋体"/>
          <w:b/>
          <w:bCs/>
          <w:szCs w:val="20"/>
        </w:rPr>
      </w:pPr>
      <w:bookmarkStart w:id="5459" w:name="_Toc521493228"/>
      <w:bookmarkStart w:id="5460" w:name="_Toc521493902"/>
      <w:bookmarkStart w:id="5461" w:name="_Toc521492371"/>
      <w:bookmarkStart w:id="5462" w:name="_Toc16242488"/>
      <w:bookmarkStart w:id="5463" w:name="_Toc202671104"/>
      <w:bookmarkStart w:id="5464" w:name="_Toc266663129"/>
      <w:bookmarkStart w:id="5465" w:name="_Toc271232487"/>
      <w:bookmarkStart w:id="5466" w:name="_Toc436811086"/>
      <w:bookmarkStart w:id="5467" w:name="_Toc518058832"/>
      <w:bookmarkStart w:id="5468" w:name="_Toc518376891"/>
      <w:bookmarkStart w:id="5469" w:name="_Toc106883511"/>
      <w:r>
        <w:rPr>
          <w:rFonts w:hint="eastAsia" w:ascii="宋体" w:hAnsi="宋体"/>
          <w:b/>
          <w:bCs/>
          <w:szCs w:val="20"/>
        </w:rPr>
        <w:t>5.9.</w:t>
      </w:r>
      <w:r>
        <w:rPr>
          <w:rFonts w:ascii="宋体" w:hAnsi="宋体"/>
          <w:b/>
          <w:bCs/>
          <w:szCs w:val="20"/>
        </w:rPr>
        <w:t>3 管道的铺设</w:t>
      </w:r>
      <w:bookmarkEnd w:id="5459"/>
      <w:bookmarkEnd w:id="5460"/>
      <w:bookmarkEnd w:id="5461"/>
      <w:bookmarkEnd w:id="5462"/>
      <w:bookmarkEnd w:id="5463"/>
      <w:bookmarkEnd w:id="5464"/>
      <w:bookmarkEnd w:id="5465"/>
      <w:bookmarkEnd w:id="5466"/>
      <w:bookmarkEnd w:id="5467"/>
      <w:bookmarkEnd w:id="5468"/>
      <w:bookmarkEnd w:id="546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管道应在沟底标高和管基质量经项目监理检查同意后方可铺设。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管道一般要求铺设在未扰动的原状土上。如土层被扰动，应根据土质情况并按项目监理的意见采取相应的加固措施。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若沟槽地基为岩石或砾石时，如在设计图纸上无规定，应在其上加铺0.2m厚的砂垫层。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管道在安装和铺设前，必须清除管道内外的浮锈、污垢和其它杂物。管道的铺设应注意以下事项：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（1）本规定适用于工作压力不大于1.0MPa；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（2）钢管在安装前应检查管道的外观，应无明显的腐蚀、裂纹、重皮及压延等不良现象；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（3）钢管的最大与最小外径之差同最大外径之比(椭园度)不得超过1.5%；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（4）直线管段相邻两环形焊缝的间隙不应小于100mm。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下管时，管身必须紧贴基础面，不得用砖和其它硬物衬垫。</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稳管时，每根管口必须仔细对准中心并按规定控制标高，稳好的管道和管段的坡度应用测量仪器进行检查，并得到项目监理的认可。管道中心的座标位置允许偏差不大于50mm，管顶标高允许偏差不大于±20mm。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管道在安装的过程中，应防止损坏已有的涂层，如有损坏，应按已有的涂层的施工工艺进行恢复。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管道安装铺设中断时，应用塞子盖堵将敝口处封闭，但应采取排水等有效措施，防止浮管。管道继续安装时，应认真检查原管内部，如有杂物等，必须清除。</w:t>
      </w:r>
    </w:p>
    <w:p>
      <w:pPr>
        <w:adjustRightInd w:val="0"/>
        <w:snapToGrid w:val="0"/>
        <w:spacing w:line="360" w:lineRule="auto"/>
        <w:jc w:val="left"/>
        <w:outlineLvl w:val="2"/>
        <w:rPr>
          <w:rFonts w:ascii="宋体" w:hAnsi="宋体"/>
          <w:b/>
          <w:bCs/>
          <w:szCs w:val="20"/>
        </w:rPr>
      </w:pPr>
      <w:bookmarkStart w:id="5470" w:name="_Toc16242489"/>
      <w:bookmarkStart w:id="5471" w:name="_Toc202671105"/>
      <w:bookmarkStart w:id="5472" w:name="_Toc266663130"/>
      <w:bookmarkStart w:id="5473" w:name="_Toc271232488"/>
      <w:bookmarkStart w:id="5474" w:name="_Toc436811087"/>
      <w:bookmarkStart w:id="5475" w:name="_Toc518058833"/>
      <w:bookmarkStart w:id="5476" w:name="_Toc518376892"/>
      <w:bookmarkStart w:id="5477" w:name="_Toc521492372"/>
      <w:bookmarkStart w:id="5478" w:name="_Toc521493229"/>
      <w:bookmarkStart w:id="5479" w:name="_Toc521493903"/>
      <w:bookmarkStart w:id="5480" w:name="_Toc106883512"/>
      <w:r>
        <w:rPr>
          <w:rFonts w:hint="eastAsia" w:ascii="宋体" w:hAnsi="宋体"/>
          <w:b/>
          <w:bCs/>
          <w:szCs w:val="20"/>
        </w:rPr>
        <w:t>5.9.</w:t>
      </w:r>
      <w:r>
        <w:rPr>
          <w:rFonts w:ascii="宋体" w:hAnsi="宋体"/>
          <w:b/>
          <w:bCs/>
          <w:szCs w:val="20"/>
        </w:rPr>
        <w:t>4 管道附件</w:t>
      </w:r>
      <w:bookmarkEnd w:id="5470"/>
      <w:bookmarkEnd w:id="5471"/>
      <w:bookmarkEnd w:id="5472"/>
      <w:bookmarkEnd w:id="5473"/>
      <w:bookmarkEnd w:id="5474"/>
      <w:bookmarkEnd w:id="5475"/>
      <w:bookmarkEnd w:id="5476"/>
      <w:bookmarkEnd w:id="5477"/>
      <w:bookmarkEnd w:id="5478"/>
      <w:bookmarkEnd w:id="5479"/>
      <w:bookmarkEnd w:id="548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管道附件安装前应按设计图要求查对规格型号，其质量标准应符合本技术规范的要求。</w:t>
      </w:r>
    </w:p>
    <w:p>
      <w:pPr>
        <w:adjustRightInd w:val="0"/>
        <w:snapToGrid w:val="0"/>
        <w:spacing w:line="360" w:lineRule="auto"/>
        <w:jc w:val="left"/>
        <w:outlineLvl w:val="2"/>
        <w:rPr>
          <w:rFonts w:ascii="宋体" w:hAnsi="宋体"/>
          <w:b/>
          <w:bCs/>
          <w:szCs w:val="20"/>
        </w:rPr>
      </w:pPr>
      <w:bookmarkStart w:id="5481" w:name="_Toc16242490"/>
      <w:bookmarkStart w:id="5482" w:name="_Toc202671106"/>
      <w:bookmarkStart w:id="5483" w:name="_Toc266663131"/>
      <w:bookmarkStart w:id="5484" w:name="_Toc271232489"/>
      <w:bookmarkStart w:id="5485" w:name="_Toc436811088"/>
      <w:bookmarkStart w:id="5486" w:name="_Toc518058834"/>
      <w:bookmarkStart w:id="5487" w:name="_Toc518376893"/>
      <w:bookmarkStart w:id="5488" w:name="_Toc521492373"/>
      <w:bookmarkStart w:id="5489" w:name="_Toc521493230"/>
      <w:bookmarkStart w:id="5490" w:name="_Toc521493904"/>
      <w:bookmarkStart w:id="5491" w:name="_Toc106883513"/>
      <w:r>
        <w:rPr>
          <w:rFonts w:hint="eastAsia" w:ascii="宋体" w:hAnsi="宋体"/>
          <w:b/>
          <w:bCs/>
          <w:szCs w:val="20"/>
        </w:rPr>
        <w:t>5.9.</w:t>
      </w:r>
      <w:r>
        <w:rPr>
          <w:rFonts w:ascii="宋体" w:hAnsi="宋体"/>
          <w:b/>
          <w:bCs/>
          <w:szCs w:val="20"/>
        </w:rPr>
        <w:t>5 与现有管网的连接</w:t>
      </w:r>
      <w:bookmarkEnd w:id="5481"/>
      <w:bookmarkEnd w:id="5482"/>
      <w:bookmarkEnd w:id="5483"/>
      <w:bookmarkEnd w:id="5484"/>
      <w:bookmarkEnd w:id="5485"/>
      <w:bookmarkEnd w:id="5486"/>
      <w:bookmarkEnd w:id="5487"/>
      <w:bookmarkEnd w:id="5488"/>
      <w:bookmarkEnd w:id="5489"/>
      <w:bookmarkEnd w:id="5490"/>
      <w:bookmarkEnd w:id="549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需要与现有管网连接时，承包商应提供必要的连接接头、异径接头、法兰盘等，在开始连接前要核实现有管道的情况，如果有必要应挖一个探坑，以确保安装符和要求，承包商要保证安装工作的简捷和熟练，将对现有管网的影响减少到最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与现有管道连接完毕后要做渗漏实验，由于连接的原因而引起的渗漏试验不能顺利通过，则应重新安装，费用由承包商自己支付，该实验必须重复直到结果符合要求为止。</w:t>
      </w:r>
    </w:p>
    <w:p>
      <w:pPr>
        <w:adjustRightInd w:val="0"/>
        <w:snapToGrid w:val="0"/>
        <w:spacing w:line="360" w:lineRule="auto"/>
        <w:jc w:val="left"/>
        <w:outlineLvl w:val="2"/>
        <w:rPr>
          <w:rFonts w:ascii="宋体" w:hAnsi="宋体"/>
          <w:b/>
          <w:bCs/>
          <w:szCs w:val="20"/>
        </w:rPr>
      </w:pPr>
      <w:bookmarkStart w:id="5492" w:name="_Toc16242491"/>
      <w:bookmarkStart w:id="5493" w:name="_Toc202671107"/>
      <w:bookmarkStart w:id="5494" w:name="_Toc266663132"/>
      <w:bookmarkStart w:id="5495" w:name="_Toc271232490"/>
      <w:bookmarkStart w:id="5496" w:name="_Toc436811089"/>
      <w:bookmarkStart w:id="5497" w:name="_Toc518058835"/>
      <w:bookmarkStart w:id="5498" w:name="_Toc518376894"/>
      <w:bookmarkStart w:id="5499" w:name="_Toc521492374"/>
      <w:bookmarkStart w:id="5500" w:name="_Toc521493231"/>
      <w:bookmarkStart w:id="5501" w:name="_Toc521493905"/>
      <w:bookmarkStart w:id="5502" w:name="_Toc106883514"/>
      <w:r>
        <w:rPr>
          <w:rFonts w:ascii="宋体" w:hAnsi="宋体"/>
          <w:b/>
          <w:bCs/>
          <w:szCs w:val="20"/>
        </w:rPr>
        <w:t>5.9.6 管道的油漆及保护层</w:t>
      </w:r>
      <w:bookmarkEnd w:id="5492"/>
      <w:bookmarkEnd w:id="5493"/>
      <w:bookmarkEnd w:id="5494"/>
      <w:bookmarkEnd w:id="5495"/>
      <w:bookmarkEnd w:id="5496"/>
      <w:bookmarkEnd w:id="5497"/>
      <w:bookmarkEnd w:id="5498"/>
      <w:bookmarkEnd w:id="5499"/>
      <w:bookmarkEnd w:id="5500"/>
      <w:bookmarkEnd w:id="5501"/>
      <w:bookmarkEnd w:id="5502"/>
    </w:p>
    <w:p>
      <w:pPr>
        <w:spacing w:line="360" w:lineRule="auto"/>
        <w:outlineLvl w:val="3"/>
        <w:rPr>
          <w:rFonts w:ascii="宋体" w:hAnsi="宋体"/>
        </w:rPr>
      </w:pPr>
      <w:bookmarkStart w:id="5503" w:name="_Toc202671108"/>
      <w:bookmarkStart w:id="5504" w:name="_Toc16242492"/>
      <w:r>
        <w:rPr>
          <w:rFonts w:ascii="宋体" w:hAnsi="宋体"/>
        </w:rPr>
        <w:t>5.9.6.1概述</w:t>
      </w:r>
      <w:bookmarkEnd w:id="5503"/>
      <w:bookmarkEnd w:id="550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施工条件、准备工作及施工应按BS6150：2006要求执行，特殊形式的保护层作法应参照制造商操作说明书执行。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底漆、内涂层、罩面漆应采用同一厂家生产的，并应在施工前调制好(除非调和到使用的时间有限制)，每层漆应相互调和相容。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采用密封容器的油漆，应在其外包装上标明制造商名称、批号、质量及使用说明等内容。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只有当油漆表面干燥，气温高于4</w:t>
      </w:r>
      <w:r>
        <w:rPr>
          <w:rFonts w:hint="eastAsia" w:ascii="宋体" w:hAnsi="宋体"/>
          <w:kern w:val="0"/>
          <w:szCs w:val="21"/>
        </w:rPr>
        <w:t>℃</w:t>
      </w:r>
      <w:r>
        <w:rPr>
          <w:rFonts w:ascii="宋体" w:hAnsi="宋体"/>
          <w:kern w:val="0"/>
          <w:szCs w:val="21"/>
        </w:rPr>
        <w:t>，同时相时湿度不超过85%时才允许进行现场的油漆施工，项目监理应在现场油漆施工开始前指示承包商采用合适的方法将油污、润滑剂、脏物等清除干净。</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承包商必须准备用于检验油漆用的试验板，供项目监理检查和试验用。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为方便检查，相邻两道漆不应采用相同颜色(白色除外)。</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织物、网状材料打底处理，应在组装前完成。</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每层漆的厚度的测量应采用μm计(或类似的设备)进行检测，直到项目监理满意为止。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涂料的涂敷必须严格符合涂料制造商为本项目包括必要的表面处理的书面建议。制造商应选派合适的代表来指导和帮助涂敷涂层。涂料的制造商还须制定项目监理可接受的质量保证说明书。制造商代表须将所有报告复制一份并直接报给项目监理。</w:t>
      </w:r>
    </w:p>
    <w:p>
      <w:pPr>
        <w:spacing w:line="360" w:lineRule="auto"/>
        <w:outlineLvl w:val="3"/>
        <w:rPr>
          <w:rFonts w:ascii="宋体" w:hAnsi="宋体"/>
        </w:rPr>
      </w:pPr>
      <w:bookmarkStart w:id="5505" w:name="_Toc16242493"/>
      <w:bookmarkStart w:id="5506" w:name="_Toc202671109"/>
      <w:bookmarkStart w:id="5507" w:name="_Toc271232491"/>
      <w:bookmarkStart w:id="5508" w:name="_Toc325896046"/>
      <w:bookmarkStart w:id="5509" w:name="_Toc331598976"/>
      <w:bookmarkStart w:id="5510" w:name="_Toc353976635"/>
      <w:r>
        <w:rPr>
          <w:rFonts w:ascii="宋体" w:hAnsi="宋体"/>
        </w:rPr>
        <w:t>5.9.6.2 表面处理准备</w:t>
      </w:r>
      <w:bookmarkEnd w:id="5505"/>
      <w:bookmarkEnd w:id="5506"/>
      <w:bookmarkEnd w:id="5507"/>
      <w:bookmarkEnd w:id="5508"/>
      <w:bookmarkEnd w:id="5509"/>
      <w:bookmarkEnd w:id="551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除非特别要求，所有要求涂油漆的或其他涂层的金属表面应认真清理干净，做到无油渍、无锈、无灰、无水、无起壳和毛刺等。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准备工作应包括：</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准备清除以上杂质的工具；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喷砂处理，砂屑粒径应控制在75μm至25μm之间；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用相同的厂家生产的能与底漆共同工作的溶剂，对油漆面进行脱脂处理(喷砂处理前后都要进行)。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表面预处理应使钢管表面无油污、泥土、潮气等和达到《涂装前钢材表面处理规范》SY/T0407-97所规定的Sa2.5级的要求或项目监理指定的标准要求。</w:t>
      </w:r>
    </w:p>
    <w:p>
      <w:pPr>
        <w:spacing w:line="360" w:lineRule="auto"/>
        <w:outlineLvl w:val="3"/>
        <w:rPr>
          <w:rFonts w:ascii="宋体" w:hAnsi="宋体"/>
        </w:rPr>
      </w:pPr>
      <w:r>
        <w:rPr>
          <w:rFonts w:ascii="宋体" w:hAnsi="宋体"/>
        </w:rPr>
        <w:t>5.9.6.3钢管防腐</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所有的钢管和配件内外壁都应进行处理以防止腐蚀。</w:t>
      </w:r>
    </w:p>
    <w:p>
      <w:pPr>
        <w:adjustRightInd w:val="0"/>
        <w:snapToGrid w:val="0"/>
        <w:spacing w:line="360" w:lineRule="auto"/>
        <w:ind w:firstLine="500" w:firstLineChars="200"/>
        <w:textAlignment w:val="baseline"/>
        <w:rPr>
          <w:rFonts w:ascii="宋体" w:hAnsi="宋体"/>
          <w:kern w:val="0"/>
          <w:szCs w:val="21"/>
        </w:rPr>
      </w:pPr>
      <w:bookmarkStart w:id="5511" w:name="_Toc353976636"/>
      <w:bookmarkStart w:id="5512" w:name="_Toc106050261"/>
      <w:r>
        <w:rPr>
          <w:rFonts w:ascii="宋体" w:hAnsi="宋体"/>
          <w:kern w:val="0"/>
          <w:szCs w:val="21"/>
        </w:rPr>
        <w:t>1. 外壁的防腐处理</w:t>
      </w:r>
      <w:bookmarkEnd w:id="5511"/>
      <w:bookmarkEnd w:id="551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（1）埋地钢管及配件</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普通埋地钢管</w:t>
      </w:r>
      <w:r>
        <w:rPr>
          <w:rFonts w:ascii="宋体" w:hAnsi="宋体"/>
          <w:kern w:val="0"/>
          <w:szCs w:val="21"/>
        </w:rPr>
        <w:t>在按前节的要求对表面进行处理后，用HCH-2环氧煤沥青涂料进行加强级防腐，即一底四面二布，干膜总厚度不低于400μm，电火花试验5KV时无打火现象。</w:t>
      </w:r>
      <w:r>
        <w:rPr>
          <w:rFonts w:hint="eastAsia" w:ascii="宋体" w:hAnsi="宋体"/>
          <w:kern w:val="0"/>
          <w:szCs w:val="21"/>
        </w:rPr>
        <w:t>架空及河底穿越钢管</w:t>
      </w:r>
      <w:r>
        <w:rPr>
          <w:rFonts w:ascii="宋体" w:hAnsi="宋体"/>
          <w:kern w:val="0"/>
          <w:szCs w:val="21"/>
        </w:rPr>
        <w:t>在按前节的要求对表面进行处理后，用HCH-2环氧煤沥青涂料进行</w:t>
      </w:r>
      <w:r>
        <w:rPr>
          <w:rFonts w:hint="eastAsia" w:ascii="宋体" w:hAnsi="宋体"/>
          <w:kern w:val="0"/>
          <w:szCs w:val="21"/>
        </w:rPr>
        <w:t>特</w:t>
      </w:r>
      <w:r>
        <w:rPr>
          <w:rFonts w:ascii="宋体" w:hAnsi="宋体"/>
          <w:kern w:val="0"/>
          <w:szCs w:val="21"/>
        </w:rPr>
        <w:t>加强级防腐，即一底</w:t>
      </w:r>
      <w:r>
        <w:rPr>
          <w:rFonts w:hint="eastAsia" w:ascii="宋体" w:hAnsi="宋体"/>
          <w:kern w:val="0"/>
          <w:szCs w:val="21"/>
        </w:rPr>
        <w:t>六</w:t>
      </w:r>
      <w:r>
        <w:rPr>
          <w:rFonts w:ascii="宋体" w:hAnsi="宋体"/>
          <w:kern w:val="0"/>
          <w:szCs w:val="21"/>
        </w:rPr>
        <w:t>面二布，干膜总厚度不低于</w:t>
      </w:r>
      <w:r>
        <w:rPr>
          <w:rFonts w:hint="eastAsia" w:ascii="宋体" w:hAnsi="宋体"/>
          <w:kern w:val="0"/>
          <w:szCs w:val="21"/>
        </w:rPr>
        <w:t>6</w:t>
      </w:r>
      <w:r>
        <w:rPr>
          <w:rFonts w:ascii="宋体" w:hAnsi="宋体"/>
          <w:kern w:val="0"/>
          <w:szCs w:val="21"/>
        </w:rPr>
        <w:t>00μm，电火花试验5KV时无打火现象。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当某处已施工完的保护层遭破坏后，应用钢刷刷去附着在上面的灰尘，并用制造厂提供的溶剂清洗后，按上面所要求的方法重作保护层；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重新做的保护层厚度应与原厚度相同，如果破坏了多层，则每层修复时的间隔时间应控制在16h至72h内。</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（2）明装钢管及配件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在按前节的要求对表面进行处理后，用IPN8710互穿网络防腐涂料进行普通级防腐处理，即IPN8710-1底漆1道，IPN8710-2C面漆2道，干膜总厚度不低于130μm。</w:t>
      </w:r>
    </w:p>
    <w:p>
      <w:pPr>
        <w:adjustRightInd w:val="0"/>
        <w:snapToGrid w:val="0"/>
        <w:spacing w:line="360" w:lineRule="auto"/>
        <w:ind w:firstLine="500" w:firstLineChars="200"/>
        <w:textAlignment w:val="baseline"/>
        <w:rPr>
          <w:rFonts w:ascii="宋体" w:hAnsi="宋体"/>
          <w:kern w:val="0"/>
          <w:szCs w:val="21"/>
        </w:rPr>
      </w:pPr>
      <w:bookmarkStart w:id="5513" w:name="_Toc353976637"/>
      <w:bookmarkStart w:id="5514" w:name="_Toc106050262"/>
      <w:r>
        <w:rPr>
          <w:rFonts w:ascii="宋体" w:hAnsi="宋体"/>
          <w:kern w:val="0"/>
          <w:szCs w:val="21"/>
        </w:rPr>
        <w:t>2. 内壁的防腐处理</w:t>
      </w:r>
      <w:bookmarkEnd w:id="5513"/>
      <w:bookmarkEnd w:id="5514"/>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（1）埋地钢管及配件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当管道和配件表面清理及打底完成后，用IPN8710互穿网络防腐涂料进行特加强级防腐处理，即IPN8710-1底漆2道，IPN8710-2C中间漆2道，IPN8710-2A面漆2道，干膜总厚度不低于240μm。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（2）明装钢管及配件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在按前节的要求对表面进行处理后，用IPN8710互穿网络防腐涂料进行普通级防腐处理，即IPN8710-1底漆2道，IPN8710-2B面漆2道，干膜总厚度不低于240μm。</w:t>
      </w:r>
    </w:p>
    <w:p>
      <w:pPr>
        <w:adjustRightInd w:val="0"/>
        <w:snapToGrid w:val="0"/>
        <w:spacing w:line="360" w:lineRule="auto"/>
        <w:outlineLvl w:val="0"/>
        <w:rPr>
          <w:rFonts w:ascii="宋体" w:hAnsi="宋体"/>
          <w:b/>
          <w:bCs/>
        </w:rPr>
      </w:pPr>
      <w:bookmarkStart w:id="5515" w:name="_Toc518376895"/>
      <w:bookmarkStart w:id="5516" w:name="_Toc521493232"/>
      <w:bookmarkStart w:id="5517" w:name="_Toc521492375"/>
      <w:bookmarkStart w:id="5518" w:name="_Toc521493906"/>
      <w:bookmarkStart w:id="5519" w:name="_Toc266663133"/>
      <w:bookmarkStart w:id="5520" w:name="_Toc271232492"/>
      <w:bookmarkStart w:id="5521" w:name="_Toc436811090"/>
      <w:bookmarkStart w:id="5522" w:name="_Toc518058836"/>
      <w:bookmarkStart w:id="5523" w:name="_Toc106883515"/>
      <w:r>
        <w:rPr>
          <w:rFonts w:hint="eastAsia" w:ascii="宋体" w:hAnsi="宋体"/>
          <w:b/>
          <w:bCs/>
        </w:rPr>
        <w:t>5.10</w:t>
      </w:r>
      <w:r>
        <w:rPr>
          <w:rFonts w:ascii="宋体" w:hAnsi="宋体"/>
          <w:b/>
          <w:bCs/>
        </w:rPr>
        <w:t xml:space="preserve"> 本合同下的球墨铸铁管</w:t>
      </w:r>
      <w:bookmarkEnd w:id="5515"/>
      <w:bookmarkEnd w:id="5516"/>
      <w:bookmarkEnd w:id="5517"/>
      <w:bookmarkEnd w:id="5518"/>
      <w:bookmarkEnd w:id="5519"/>
      <w:bookmarkEnd w:id="5520"/>
      <w:bookmarkEnd w:id="5521"/>
      <w:bookmarkEnd w:id="5522"/>
      <w:bookmarkEnd w:id="5523"/>
    </w:p>
    <w:p>
      <w:pPr>
        <w:adjustRightInd w:val="0"/>
        <w:snapToGrid w:val="0"/>
        <w:spacing w:line="360" w:lineRule="auto"/>
        <w:jc w:val="left"/>
        <w:outlineLvl w:val="0"/>
        <w:rPr>
          <w:rFonts w:ascii="宋体" w:hAnsi="宋体"/>
          <w:b/>
          <w:bCs/>
          <w:szCs w:val="20"/>
        </w:rPr>
      </w:pPr>
      <w:bookmarkStart w:id="5524" w:name="_Toc266663134"/>
      <w:bookmarkStart w:id="5525" w:name="_Toc271232493"/>
      <w:bookmarkStart w:id="5526" w:name="_Toc436811091"/>
      <w:bookmarkStart w:id="5527" w:name="_Toc518058837"/>
      <w:bookmarkStart w:id="5528" w:name="_Toc518376896"/>
      <w:bookmarkStart w:id="5529" w:name="_Toc521492376"/>
      <w:bookmarkStart w:id="5530" w:name="_Toc521493233"/>
      <w:bookmarkStart w:id="5531" w:name="_Toc521493907"/>
      <w:bookmarkStart w:id="5532" w:name="_Toc106883516"/>
      <w:r>
        <w:rPr>
          <w:rFonts w:hint="eastAsia" w:ascii="宋体" w:hAnsi="宋体"/>
          <w:b/>
          <w:bCs/>
          <w:szCs w:val="20"/>
        </w:rPr>
        <w:t>5.10.</w:t>
      </w:r>
      <w:r>
        <w:rPr>
          <w:rFonts w:ascii="宋体" w:hAnsi="宋体"/>
          <w:b/>
          <w:bCs/>
          <w:szCs w:val="20"/>
        </w:rPr>
        <w:t>1 球墨铸铁管及管件的外观质量</w:t>
      </w:r>
      <w:bookmarkEnd w:id="5524"/>
      <w:bookmarkEnd w:id="5525"/>
      <w:bookmarkEnd w:id="5526"/>
      <w:bookmarkEnd w:id="5527"/>
      <w:bookmarkEnd w:id="5528"/>
      <w:bookmarkEnd w:id="5529"/>
      <w:bookmarkEnd w:id="5530"/>
      <w:bookmarkEnd w:id="5531"/>
      <w:bookmarkEnd w:id="553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本工程采用的球墨铸铁管均为离心球墨铸铁管，离心球墨铸铁管及管件的外观质量应符合下列规定：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1）管及管件表面不得有裂纹，管及管件表面不得有妨碍使用的凹凸不平的缺陷；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2）采用橡胶圈柔性接口的铸铁、球墨铸铁管，承口的内工作面和插口的外工作面应光滑；轮廓清晰，不得有影响接口密封性的缺陷；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3）离心球墨铸铁管及管件的尺寸公差应符合现行国家产品标准的规定。</w:t>
      </w:r>
    </w:p>
    <w:p>
      <w:pPr>
        <w:adjustRightInd w:val="0"/>
        <w:snapToGrid w:val="0"/>
        <w:spacing w:line="360" w:lineRule="auto"/>
        <w:jc w:val="left"/>
        <w:outlineLvl w:val="0"/>
        <w:rPr>
          <w:rFonts w:ascii="宋体" w:hAnsi="宋体"/>
          <w:b/>
          <w:bCs/>
          <w:szCs w:val="20"/>
        </w:rPr>
      </w:pPr>
      <w:bookmarkStart w:id="5533" w:name="_Toc266663135"/>
      <w:bookmarkStart w:id="5534" w:name="_Toc271232494"/>
      <w:bookmarkStart w:id="5535" w:name="_Toc436811092"/>
      <w:bookmarkStart w:id="5536" w:name="_Toc518058838"/>
      <w:bookmarkStart w:id="5537" w:name="_Toc518376897"/>
      <w:bookmarkStart w:id="5538" w:name="_Toc521492377"/>
      <w:bookmarkStart w:id="5539" w:name="_Toc521493234"/>
      <w:bookmarkStart w:id="5540" w:name="_Toc521493908"/>
      <w:bookmarkStart w:id="5541" w:name="_Toc106883517"/>
      <w:r>
        <w:rPr>
          <w:rFonts w:hint="eastAsia" w:ascii="宋体" w:hAnsi="宋体"/>
          <w:b/>
          <w:bCs/>
          <w:szCs w:val="20"/>
        </w:rPr>
        <w:t>5.10.</w:t>
      </w:r>
      <w:r>
        <w:rPr>
          <w:rFonts w:ascii="宋体" w:hAnsi="宋体"/>
          <w:b/>
          <w:bCs/>
          <w:szCs w:val="20"/>
        </w:rPr>
        <w:t>2 安装前的检查</w:t>
      </w:r>
      <w:bookmarkEnd w:id="5533"/>
      <w:bookmarkEnd w:id="5534"/>
      <w:bookmarkEnd w:id="5535"/>
      <w:bookmarkEnd w:id="5536"/>
      <w:bookmarkEnd w:id="5537"/>
      <w:bookmarkEnd w:id="5538"/>
      <w:bookmarkEnd w:id="5539"/>
      <w:bookmarkEnd w:id="5540"/>
      <w:bookmarkEnd w:id="554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离心球墨铸铁管及管件下沟前，应清除承口内部的油污、飞刺、铸砂及凹凸不平的铸瘤；柔性接口铸铁管及管件承口的内工作面、插口的外工作面应修整光滑，不得有沟槽、凸脊缺陷；有裂纹的管及管件不得使用。</w:t>
      </w:r>
    </w:p>
    <w:p>
      <w:pPr>
        <w:adjustRightInd w:val="0"/>
        <w:snapToGrid w:val="0"/>
        <w:spacing w:line="360" w:lineRule="auto"/>
        <w:jc w:val="left"/>
        <w:outlineLvl w:val="0"/>
        <w:rPr>
          <w:rFonts w:ascii="宋体" w:hAnsi="宋体"/>
          <w:b/>
          <w:bCs/>
          <w:szCs w:val="20"/>
        </w:rPr>
      </w:pPr>
      <w:bookmarkStart w:id="5542" w:name="_Toc266663136"/>
      <w:bookmarkStart w:id="5543" w:name="_Toc271232495"/>
      <w:bookmarkStart w:id="5544" w:name="_Toc436811093"/>
      <w:bookmarkStart w:id="5545" w:name="_Toc518058839"/>
      <w:bookmarkStart w:id="5546" w:name="_Toc518376898"/>
      <w:bookmarkStart w:id="5547" w:name="_Toc521492378"/>
      <w:bookmarkStart w:id="5548" w:name="_Toc521493235"/>
      <w:bookmarkStart w:id="5549" w:name="_Toc521493909"/>
      <w:bookmarkStart w:id="5550" w:name="_Toc106883518"/>
      <w:r>
        <w:rPr>
          <w:rFonts w:hint="eastAsia" w:ascii="宋体" w:hAnsi="宋体"/>
          <w:b/>
          <w:bCs/>
          <w:szCs w:val="20"/>
        </w:rPr>
        <w:t>5.10.</w:t>
      </w:r>
      <w:r>
        <w:rPr>
          <w:rFonts w:ascii="宋体" w:hAnsi="宋体"/>
          <w:b/>
          <w:bCs/>
          <w:szCs w:val="20"/>
        </w:rPr>
        <w:t>3 管道的铺设</w:t>
      </w:r>
      <w:bookmarkEnd w:id="5542"/>
      <w:bookmarkEnd w:id="5543"/>
      <w:bookmarkEnd w:id="5544"/>
      <w:bookmarkEnd w:id="5545"/>
      <w:bookmarkEnd w:id="5546"/>
      <w:bookmarkEnd w:id="5547"/>
      <w:bookmarkEnd w:id="5548"/>
      <w:bookmarkEnd w:id="5549"/>
      <w:bookmarkEnd w:id="555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管道应在沟底标高和管基质量经项目监理检查同意后方可铺设。</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管道一般要求铺设在未扰动的原状土上。如土层被扰动，应根据土质情况并按项目监理的意见采取相应的加固措施。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若沟槽地基为岩石或砾石时，如在设计图纸上无规定，应在其上加铺0.2m厚的砂垫层。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 沿直线安装管道时，宜选用管径公差组合最小的管节组对连接，接口的环向间隙应均匀，承插口间隙不应小于3m。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 刚性接口材料应符合下列规定：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1）水泥宜采用425号水泥；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2）石棉应用机选4F级温石棉；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3）油麻应采用纤维较长、无皮质、清洁、松软、富有韧性的油麻；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4）圆形橡胶圈应符合国家现行标准《预应力、自应力钢筋混凝土管用橡胶密封圈》的规定；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5）铅的纯度不应小于99%。</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 刚性接口填料应符合设计规定。设计无规定时，宜符合表</w:t>
      </w:r>
      <w:r>
        <w:rPr>
          <w:rFonts w:hint="eastAsia" w:ascii="宋体" w:hAnsi="宋体"/>
          <w:kern w:val="0"/>
          <w:szCs w:val="21"/>
        </w:rPr>
        <w:t>1</w:t>
      </w:r>
      <w:r>
        <w:rPr>
          <w:rFonts w:ascii="宋体" w:hAnsi="宋体"/>
          <w:kern w:val="0"/>
          <w:szCs w:val="21"/>
        </w:rPr>
        <w:t>4</w:t>
      </w:r>
      <w:r>
        <w:rPr>
          <w:rFonts w:hint="eastAsia" w:ascii="宋体" w:hAnsi="宋体"/>
          <w:kern w:val="0"/>
          <w:szCs w:val="21"/>
        </w:rPr>
        <w:t>.</w:t>
      </w:r>
      <w:r>
        <w:rPr>
          <w:rFonts w:ascii="宋体" w:hAnsi="宋体"/>
          <w:kern w:val="0"/>
          <w:szCs w:val="21"/>
        </w:rPr>
        <w:t>12-1的规定。</w:t>
      </w:r>
    </w:p>
    <w:p>
      <w:pPr>
        <w:numPr>
          <w:ilvl w:val="12"/>
          <w:numId w:val="0"/>
        </w:numPr>
        <w:ind w:left="142" w:leftChars="57" w:firstLine="2516" w:firstLineChars="1007"/>
        <w:rPr>
          <w:rFonts w:ascii="宋体" w:hAnsi="宋体"/>
          <w:szCs w:val="21"/>
        </w:rPr>
      </w:pPr>
      <w:r>
        <w:rPr>
          <w:rFonts w:ascii="宋体" w:hAnsi="宋体"/>
          <w:szCs w:val="21"/>
        </w:rPr>
        <w:t>刚性接口填料的规定                       表</w:t>
      </w:r>
      <w:r>
        <w:rPr>
          <w:rFonts w:hint="eastAsia" w:ascii="宋体" w:hAnsi="宋体"/>
          <w:szCs w:val="21"/>
        </w:rPr>
        <w:t>1</w:t>
      </w:r>
      <w:r>
        <w:rPr>
          <w:rFonts w:ascii="宋体" w:hAnsi="宋体"/>
          <w:szCs w:val="21"/>
        </w:rPr>
        <w:t>4</w:t>
      </w:r>
      <w:r>
        <w:rPr>
          <w:rFonts w:hint="eastAsia" w:ascii="宋体" w:hAnsi="宋体"/>
          <w:szCs w:val="21"/>
        </w:rPr>
        <w:t>.</w:t>
      </w:r>
      <w:r>
        <w:rPr>
          <w:rFonts w:ascii="宋体" w:hAnsi="宋体"/>
          <w:szCs w:val="21"/>
        </w:rPr>
        <w:t>12-1</w:t>
      </w:r>
    </w:p>
    <w:tbl>
      <w:tblPr>
        <w:tblStyle w:val="77"/>
        <w:tblW w:w="829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2"/>
        <w:gridCol w:w="738"/>
        <w:gridCol w:w="2793"/>
        <w:gridCol w:w="1365"/>
        <w:gridCol w:w="27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672" w:type="dxa"/>
            <w:vMerge w:val="restart"/>
            <w:vAlign w:val="center"/>
          </w:tcPr>
          <w:p>
            <w:pPr>
              <w:spacing w:before="203" w:beforeLines="50" w:after="203" w:afterLines="50"/>
              <w:rPr>
                <w:rFonts w:ascii="宋体" w:hAnsi="宋体"/>
                <w:szCs w:val="21"/>
              </w:rPr>
            </w:pPr>
            <w:r>
              <w:rPr>
                <w:rFonts w:ascii="宋体" w:hAnsi="宋体"/>
                <w:szCs w:val="21"/>
              </w:rPr>
              <w:t>接口种类</w:t>
            </w:r>
          </w:p>
        </w:tc>
        <w:tc>
          <w:tcPr>
            <w:tcW w:w="3531" w:type="dxa"/>
            <w:gridSpan w:val="2"/>
            <w:vAlign w:val="center"/>
          </w:tcPr>
          <w:p>
            <w:pPr>
              <w:spacing w:before="203" w:beforeLines="50" w:after="203" w:afterLines="50"/>
              <w:ind w:leftChars="-1" w:hanging="2" w:hangingChars="1"/>
              <w:jc w:val="center"/>
              <w:rPr>
                <w:rFonts w:ascii="宋体" w:hAnsi="宋体"/>
                <w:szCs w:val="21"/>
              </w:rPr>
            </w:pPr>
            <w:r>
              <w:rPr>
                <w:rFonts w:ascii="宋体" w:hAnsi="宋体"/>
                <w:szCs w:val="21"/>
              </w:rPr>
              <w:t>内层填料</w:t>
            </w:r>
          </w:p>
        </w:tc>
        <w:tc>
          <w:tcPr>
            <w:tcW w:w="4095" w:type="dxa"/>
            <w:gridSpan w:val="2"/>
            <w:vAlign w:val="center"/>
          </w:tcPr>
          <w:p>
            <w:pPr>
              <w:spacing w:before="203" w:beforeLines="50" w:after="203" w:afterLines="50"/>
              <w:jc w:val="center"/>
              <w:rPr>
                <w:rFonts w:ascii="宋体" w:hAnsi="宋体"/>
                <w:szCs w:val="21"/>
              </w:rPr>
            </w:pPr>
            <w:r>
              <w:rPr>
                <w:rFonts w:ascii="宋体" w:hAnsi="宋体"/>
                <w:szCs w:val="21"/>
              </w:rPr>
              <w:t>外层填料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672" w:type="dxa"/>
            <w:vMerge w:val="continue"/>
            <w:vAlign w:val="center"/>
          </w:tcPr>
          <w:p>
            <w:pPr>
              <w:spacing w:before="203" w:beforeLines="50" w:after="203" w:afterLines="50"/>
              <w:rPr>
                <w:rFonts w:ascii="宋体" w:hAnsi="宋体"/>
                <w:szCs w:val="21"/>
              </w:rPr>
            </w:pPr>
          </w:p>
        </w:tc>
        <w:tc>
          <w:tcPr>
            <w:tcW w:w="738" w:type="dxa"/>
            <w:vAlign w:val="center"/>
          </w:tcPr>
          <w:p>
            <w:pPr>
              <w:spacing w:before="203" w:beforeLines="50" w:after="203" w:afterLines="50"/>
              <w:jc w:val="center"/>
              <w:rPr>
                <w:rFonts w:ascii="宋体" w:hAnsi="宋体"/>
                <w:szCs w:val="21"/>
              </w:rPr>
            </w:pPr>
            <w:r>
              <w:rPr>
                <w:rFonts w:ascii="宋体" w:hAnsi="宋体"/>
                <w:szCs w:val="21"/>
              </w:rPr>
              <w:t>材料</w:t>
            </w:r>
          </w:p>
        </w:tc>
        <w:tc>
          <w:tcPr>
            <w:tcW w:w="2793" w:type="dxa"/>
            <w:vAlign w:val="center"/>
          </w:tcPr>
          <w:p>
            <w:pPr>
              <w:spacing w:before="203" w:beforeLines="50" w:after="203" w:afterLines="50"/>
              <w:ind w:firstLine="1000" w:firstLineChars="400"/>
              <w:jc w:val="center"/>
              <w:rPr>
                <w:rFonts w:ascii="宋体" w:hAnsi="宋体"/>
                <w:szCs w:val="21"/>
              </w:rPr>
            </w:pPr>
            <w:r>
              <w:rPr>
                <w:rFonts w:ascii="宋体" w:hAnsi="宋体"/>
                <w:szCs w:val="21"/>
              </w:rPr>
              <w:t>填打深度</w:t>
            </w:r>
          </w:p>
        </w:tc>
        <w:tc>
          <w:tcPr>
            <w:tcW w:w="1365" w:type="dxa"/>
            <w:vAlign w:val="center"/>
          </w:tcPr>
          <w:p>
            <w:pPr>
              <w:spacing w:before="203" w:beforeLines="50" w:after="203" w:afterLines="50"/>
              <w:ind w:firstLine="250" w:firstLineChars="100"/>
              <w:jc w:val="center"/>
              <w:rPr>
                <w:rFonts w:ascii="宋体" w:hAnsi="宋体"/>
                <w:szCs w:val="21"/>
              </w:rPr>
            </w:pPr>
            <w:r>
              <w:rPr>
                <w:rFonts w:ascii="宋体" w:hAnsi="宋体"/>
                <w:szCs w:val="21"/>
              </w:rPr>
              <w:t>材料</w:t>
            </w:r>
          </w:p>
        </w:tc>
        <w:tc>
          <w:tcPr>
            <w:tcW w:w="2730" w:type="dxa"/>
            <w:vAlign w:val="center"/>
          </w:tcPr>
          <w:p>
            <w:pPr>
              <w:spacing w:before="203" w:beforeLines="50" w:after="203" w:afterLines="50"/>
              <w:ind w:left="-1277" w:firstLine="500" w:firstLineChars="200"/>
              <w:jc w:val="center"/>
              <w:rPr>
                <w:rFonts w:ascii="宋体" w:hAnsi="宋体"/>
                <w:szCs w:val="21"/>
              </w:rPr>
            </w:pPr>
            <w:r>
              <w:rPr>
                <w:rFonts w:ascii="宋体" w:hAnsi="宋体"/>
                <w:szCs w:val="21"/>
              </w:rPr>
              <w:t>填打深度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672" w:type="dxa"/>
            <w:vMerge w:val="restart"/>
            <w:vAlign w:val="center"/>
          </w:tcPr>
          <w:p>
            <w:pPr>
              <w:spacing w:before="203" w:beforeLines="50" w:after="203" w:afterLines="50"/>
              <w:rPr>
                <w:rFonts w:ascii="宋体" w:hAnsi="宋体"/>
                <w:szCs w:val="21"/>
              </w:rPr>
            </w:pPr>
            <w:r>
              <w:rPr>
                <w:rFonts w:ascii="宋体" w:hAnsi="宋体"/>
                <w:szCs w:val="21"/>
              </w:rPr>
              <w:t>刚性接口</w:t>
            </w:r>
          </w:p>
        </w:tc>
        <w:tc>
          <w:tcPr>
            <w:tcW w:w="738" w:type="dxa"/>
            <w:vAlign w:val="center"/>
          </w:tcPr>
          <w:p>
            <w:pPr>
              <w:spacing w:before="203" w:beforeLines="50" w:after="203" w:afterLines="50"/>
              <w:jc w:val="center"/>
              <w:rPr>
                <w:rFonts w:ascii="宋体" w:hAnsi="宋体"/>
                <w:szCs w:val="21"/>
              </w:rPr>
            </w:pPr>
            <w:r>
              <w:rPr>
                <w:rFonts w:ascii="宋体" w:hAnsi="宋体"/>
                <w:szCs w:val="21"/>
              </w:rPr>
              <w:t>油</w:t>
            </w:r>
          </w:p>
          <w:p>
            <w:pPr>
              <w:spacing w:before="203" w:beforeLines="50" w:after="203" w:afterLines="50"/>
              <w:jc w:val="center"/>
              <w:rPr>
                <w:rFonts w:ascii="宋体" w:hAnsi="宋体"/>
                <w:szCs w:val="21"/>
              </w:rPr>
            </w:pPr>
            <w:r>
              <w:rPr>
                <w:rFonts w:ascii="宋体" w:hAnsi="宋体"/>
                <w:szCs w:val="21"/>
              </w:rPr>
              <w:t>麻</w:t>
            </w:r>
          </w:p>
          <w:p>
            <w:pPr>
              <w:spacing w:before="203" w:beforeLines="50" w:after="203" w:afterLines="50"/>
              <w:jc w:val="center"/>
              <w:rPr>
                <w:rFonts w:ascii="宋体" w:hAnsi="宋体"/>
                <w:szCs w:val="21"/>
              </w:rPr>
            </w:pPr>
            <w:r>
              <w:rPr>
                <w:rFonts w:ascii="宋体" w:hAnsi="宋体"/>
                <w:szCs w:val="21"/>
              </w:rPr>
              <w:t>辫</w:t>
            </w:r>
          </w:p>
        </w:tc>
        <w:tc>
          <w:tcPr>
            <w:tcW w:w="2793" w:type="dxa"/>
            <w:vAlign w:val="center"/>
          </w:tcPr>
          <w:p>
            <w:pPr>
              <w:spacing w:before="203" w:beforeLines="50" w:after="203" w:afterLines="50"/>
              <w:rPr>
                <w:rFonts w:ascii="宋体" w:hAnsi="宋体"/>
                <w:szCs w:val="21"/>
              </w:rPr>
            </w:pPr>
            <w:r>
              <w:rPr>
                <w:rFonts w:ascii="宋体" w:hAnsi="宋体"/>
                <w:szCs w:val="21"/>
              </w:rPr>
              <w:t>约占承口总深度的1/3，不得超过承口水线里缘；当采用铅接口时，应距承口水线里缘5mm</w:t>
            </w:r>
          </w:p>
        </w:tc>
        <w:tc>
          <w:tcPr>
            <w:tcW w:w="1365" w:type="dxa"/>
            <w:vAlign w:val="center"/>
          </w:tcPr>
          <w:p>
            <w:pPr>
              <w:spacing w:before="203" w:beforeLines="50" w:after="203" w:afterLines="50"/>
              <w:jc w:val="center"/>
              <w:rPr>
                <w:rFonts w:ascii="宋体" w:hAnsi="宋体"/>
                <w:szCs w:val="21"/>
              </w:rPr>
            </w:pPr>
            <w:r>
              <w:rPr>
                <w:rFonts w:ascii="宋体" w:hAnsi="宋体"/>
                <w:szCs w:val="21"/>
              </w:rPr>
              <w:t>石棉</w:t>
            </w:r>
          </w:p>
          <w:p>
            <w:pPr>
              <w:spacing w:before="203" w:beforeLines="50" w:after="203" w:afterLines="50"/>
              <w:jc w:val="center"/>
              <w:rPr>
                <w:rFonts w:ascii="宋体" w:hAnsi="宋体"/>
                <w:szCs w:val="21"/>
              </w:rPr>
            </w:pPr>
            <w:r>
              <w:rPr>
                <w:rFonts w:ascii="宋体" w:hAnsi="宋体"/>
                <w:szCs w:val="21"/>
              </w:rPr>
              <w:t>水泥</w:t>
            </w:r>
          </w:p>
        </w:tc>
        <w:tc>
          <w:tcPr>
            <w:tcW w:w="2730" w:type="dxa"/>
            <w:vAlign w:val="center"/>
          </w:tcPr>
          <w:p>
            <w:pPr>
              <w:spacing w:before="203" w:beforeLines="50" w:after="203" w:afterLines="50"/>
              <w:ind w:left="102"/>
              <w:rPr>
                <w:rFonts w:ascii="宋体" w:hAnsi="宋体"/>
                <w:szCs w:val="21"/>
              </w:rPr>
            </w:pPr>
            <w:r>
              <w:rPr>
                <w:rFonts w:ascii="宋体" w:hAnsi="宋体"/>
                <w:szCs w:val="21"/>
              </w:rPr>
              <w:t>约占承口总深度的2/3，表面平整一致，凹入端面2mm</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672" w:type="dxa"/>
            <w:vMerge w:val="continue"/>
            <w:vAlign w:val="center"/>
          </w:tcPr>
          <w:p>
            <w:pPr>
              <w:spacing w:before="203" w:beforeLines="50" w:after="203" w:afterLines="50"/>
              <w:rPr>
                <w:rFonts w:ascii="宋体" w:hAnsi="宋体"/>
                <w:szCs w:val="21"/>
              </w:rPr>
            </w:pPr>
          </w:p>
        </w:tc>
        <w:tc>
          <w:tcPr>
            <w:tcW w:w="738" w:type="dxa"/>
            <w:vAlign w:val="center"/>
          </w:tcPr>
          <w:p>
            <w:pPr>
              <w:spacing w:before="203" w:beforeLines="50" w:after="203" w:afterLines="50"/>
              <w:jc w:val="center"/>
              <w:rPr>
                <w:rFonts w:ascii="宋体" w:hAnsi="宋体"/>
                <w:szCs w:val="21"/>
              </w:rPr>
            </w:pPr>
            <w:r>
              <w:rPr>
                <w:rFonts w:ascii="宋体" w:hAnsi="宋体"/>
                <w:szCs w:val="21"/>
              </w:rPr>
              <w:t>橡</w:t>
            </w:r>
          </w:p>
          <w:p>
            <w:pPr>
              <w:spacing w:before="203" w:beforeLines="50" w:after="203" w:afterLines="50"/>
              <w:jc w:val="center"/>
              <w:rPr>
                <w:rFonts w:ascii="宋体" w:hAnsi="宋体"/>
                <w:szCs w:val="21"/>
              </w:rPr>
            </w:pPr>
            <w:r>
              <w:rPr>
                <w:rFonts w:ascii="宋体" w:hAnsi="宋体"/>
                <w:szCs w:val="21"/>
              </w:rPr>
              <w:t>胶</w:t>
            </w:r>
          </w:p>
          <w:p>
            <w:pPr>
              <w:spacing w:before="203" w:beforeLines="50" w:after="203" w:afterLines="50"/>
              <w:jc w:val="center"/>
              <w:rPr>
                <w:rFonts w:ascii="宋体" w:hAnsi="宋体"/>
                <w:szCs w:val="21"/>
              </w:rPr>
            </w:pPr>
            <w:r>
              <w:rPr>
                <w:rFonts w:ascii="宋体" w:hAnsi="宋体"/>
                <w:szCs w:val="21"/>
              </w:rPr>
              <w:t>圈</w:t>
            </w:r>
          </w:p>
        </w:tc>
        <w:tc>
          <w:tcPr>
            <w:tcW w:w="2793" w:type="dxa"/>
            <w:vAlign w:val="center"/>
          </w:tcPr>
          <w:p>
            <w:pPr>
              <w:spacing w:before="203" w:beforeLines="50" w:after="203" w:afterLines="50"/>
              <w:rPr>
                <w:rFonts w:ascii="宋体" w:hAnsi="宋体"/>
                <w:szCs w:val="21"/>
              </w:rPr>
            </w:pPr>
            <w:r>
              <w:rPr>
                <w:rFonts w:ascii="宋体" w:hAnsi="宋体"/>
                <w:szCs w:val="21"/>
              </w:rPr>
              <w:t>填打至插口小台或距插口端10mm</w:t>
            </w:r>
          </w:p>
        </w:tc>
        <w:tc>
          <w:tcPr>
            <w:tcW w:w="1365" w:type="dxa"/>
            <w:vAlign w:val="center"/>
          </w:tcPr>
          <w:p>
            <w:pPr>
              <w:spacing w:before="203" w:beforeLines="50" w:after="203" w:afterLines="50"/>
              <w:jc w:val="center"/>
              <w:rPr>
                <w:rFonts w:ascii="宋体" w:hAnsi="宋体"/>
                <w:szCs w:val="21"/>
              </w:rPr>
            </w:pPr>
            <w:r>
              <w:rPr>
                <w:rFonts w:ascii="宋体" w:hAnsi="宋体"/>
                <w:szCs w:val="21"/>
              </w:rPr>
              <w:t>石棉</w:t>
            </w:r>
          </w:p>
          <w:p>
            <w:pPr>
              <w:spacing w:before="203" w:beforeLines="50" w:after="203" w:afterLines="50"/>
              <w:jc w:val="center"/>
              <w:rPr>
                <w:rFonts w:ascii="宋体" w:hAnsi="宋体"/>
                <w:szCs w:val="21"/>
              </w:rPr>
            </w:pPr>
            <w:r>
              <w:rPr>
                <w:rFonts w:ascii="宋体" w:hAnsi="宋体"/>
                <w:szCs w:val="21"/>
              </w:rPr>
              <w:t>水泥</w:t>
            </w:r>
          </w:p>
        </w:tc>
        <w:tc>
          <w:tcPr>
            <w:tcW w:w="2730" w:type="dxa"/>
            <w:vAlign w:val="center"/>
          </w:tcPr>
          <w:p>
            <w:pPr>
              <w:spacing w:before="203" w:beforeLines="50" w:after="203" w:afterLines="50"/>
              <w:ind w:left="102"/>
              <w:rPr>
                <w:rFonts w:ascii="宋体" w:hAnsi="宋体"/>
                <w:szCs w:val="21"/>
              </w:rPr>
            </w:pPr>
            <w:r>
              <w:rPr>
                <w:rFonts w:ascii="宋体" w:hAnsi="宋体"/>
                <w:szCs w:val="21"/>
              </w:rPr>
              <w:t>填打至橡胶圈，表面平整一致，凹入端面2mm</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 石棉水泥应在填打前拌和，石棉水泥的重量配合比应为石棉30%，水泥70%，水灰比宜小于或等于0.20；拌好的石棉水泥应在初凝前用完；填打后的接口应及时潮湿养</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 热天或昼夜温差较大地区的刚性接口，宜在气温较低时施工，冬期宜在午间气温较高时施工，并应采取保温措施。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 采用石棉水泥做接口外层填料时，当地下对水泥有侵蚀作用时，应在接口表面涂防腐层。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7. 刚性接口填打后，管道不得碰撞及扭转。</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8. 当柔性接口采用滑入式T形、梯唇形及柔性机械接口时，橡胶圈的质量、性能、细部尺寸，应符合现行国家球墨铸铁管及管件标准中有关橡胶圈的规定，并符合GB50268-2008中第5.6.5条的规定。每个橡胶圈的接头不得超过2个。</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9. 橡胶圈安装就位后不得扭曲。当用探尺检查时，沿圆周各点应与承口端面等距，其允许偏差应为±3mm。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10. 安装滑入式橡胶圈接口时，推入深度应达到标记环，并复查与其相邻已安好的第一至第二个接口推入深度。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11. 安装柔性机械接口时，应使插口与承口法兰压盖的纵向轴线相重合；螺栓安装方向应一致，并均匀、对称地紧固。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12. 当特殊需要采用铅接口施工时，管口表面必须干燥、清洁，严禁水滴落入铅锅内；灌铅时铅液必须沿注孔一侧灌入，一次灌满，不得断流；脱膜后将铅打实，表面应平整，凹入承口宜为1~2mm。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13. 球墨铸铁管安装偏差应符合下列规定：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1）管道安装允许偏差应符合表</w:t>
      </w:r>
      <w:r>
        <w:rPr>
          <w:rFonts w:hint="eastAsia" w:ascii="宋体" w:hAnsi="宋体"/>
          <w:kern w:val="0"/>
          <w:szCs w:val="21"/>
        </w:rPr>
        <w:t>1</w:t>
      </w:r>
      <w:r>
        <w:rPr>
          <w:rFonts w:ascii="宋体" w:hAnsi="宋体"/>
          <w:kern w:val="0"/>
          <w:szCs w:val="21"/>
        </w:rPr>
        <w:t>4</w:t>
      </w:r>
      <w:r>
        <w:rPr>
          <w:rFonts w:hint="eastAsia" w:ascii="宋体" w:hAnsi="宋体"/>
          <w:kern w:val="0"/>
          <w:szCs w:val="21"/>
        </w:rPr>
        <w:t>.</w:t>
      </w:r>
      <w:r>
        <w:rPr>
          <w:rFonts w:ascii="宋体" w:hAnsi="宋体"/>
          <w:kern w:val="0"/>
          <w:szCs w:val="21"/>
        </w:rPr>
        <w:t>12-2的规定；</w:t>
      </w:r>
    </w:p>
    <w:p>
      <w:pPr>
        <w:spacing w:line="360" w:lineRule="auto"/>
        <w:jc w:val="center"/>
        <w:rPr>
          <w:rFonts w:ascii="宋体" w:hAnsi="宋体"/>
          <w:szCs w:val="21"/>
        </w:rPr>
      </w:pPr>
      <w:r>
        <w:rPr>
          <w:rFonts w:ascii="宋体" w:hAnsi="宋体"/>
          <w:szCs w:val="21"/>
        </w:rPr>
        <w:t>球墨铸铁管安装允许偏差（mm）                 表</w:t>
      </w:r>
      <w:r>
        <w:rPr>
          <w:rFonts w:hint="eastAsia" w:ascii="宋体" w:hAnsi="宋体"/>
          <w:szCs w:val="21"/>
        </w:rPr>
        <w:t>1</w:t>
      </w:r>
      <w:r>
        <w:rPr>
          <w:rFonts w:ascii="宋体" w:hAnsi="宋体"/>
          <w:szCs w:val="21"/>
        </w:rPr>
        <w:t>4</w:t>
      </w:r>
      <w:r>
        <w:rPr>
          <w:rFonts w:hint="eastAsia" w:ascii="宋体" w:hAnsi="宋体"/>
          <w:szCs w:val="21"/>
        </w:rPr>
        <w:t>.</w:t>
      </w:r>
      <w:r>
        <w:rPr>
          <w:rFonts w:ascii="宋体" w:hAnsi="宋体"/>
          <w:szCs w:val="21"/>
        </w:rPr>
        <w:t>12-2</w:t>
      </w:r>
    </w:p>
    <w:tbl>
      <w:tblPr>
        <w:tblStyle w:val="77"/>
        <w:tblW w:w="0" w:type="auto"/>
        <w:tblInd w:w="46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72"/>
        <w:gridCol w:w="2841"/>
        <w:gridCol w:w="284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7" w:hRule="exact"/>
        </w:trPr>
        <w:tc>
          <w:tcPr>
            <w:tcW w:w="2372" w:type="dxa"/>
            <w:vMerge w:val="restart"/>
            <w:vAlign w:val="center"/>
          </w:tcPr>
          <w:p>
            <w:pPr>
              <w:spacing w:before="203" w:beforeLines="50" w:after="203" w:afterLines="50"/>
              <w:ind w:firstLine="750" w:firstLineChars="300"/>
              <w:rPr>
                <w:rFonts w:ascii="宋体" w:hAnsi="宋体"/>
                <w:szCs w:val="21"/>
              </w:rPr>
            </w:pPr>
            <w:r>
              <w:rPr>
                <w:rFonts w:ascii="宋体" w:hAnsi="宋体"/>
                <w:szCs w:val="21"/>
              </w:rPr>
              <w:t>项    目</w:t>
            </w:r>
          </w:p>
        </w:tc>
        <w:tc>
          <w:tcPr>
            <w:tcW w:w="5682" w:type="dxa"/>
            <w:gridSpan w:val="2"/>
            <w:vAlign w:val="center"/>
          </w:tcPr>
          <w:p>
            <w:pPr>
              <w:spacing w:before="203" w:beforeLines="50" w:after="203" w:afterLines="50"/>
              <w:ind w:firstLine="2750" w:firstLineChars="1100"/>
              <w:rPr>
                <w:rFonts w:ascii="宋体" w:hAnsi="宋体"/>
                <w:szCs w:val="21"/>
              </w:rPr>
            </w:pPr>
            <w:r>
              <w:rPr>
                <w:rFonts w:ascii="宋体" w:hAnsi="宋体"/>
                <w:szCs w:val="21"/>
              </w:rPr>
              <w:t>允 许 偏 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372" w:type="dxa"/>
            <w:vMerge w:val="continue"/>
            <w:vAlign w:val="center"/>
          </w:tcPr>
          <w:p>
            <w:pPr>
              <w:spacing w:before="203" w:beforeLines="50" w:after="203" w:afterLines="50"/>
              <w:rPr>
                <w:rFonts w:ascii="宋体" w:hAnsi="宋体"/>
                <w:szCs w:val="21"/>
              </w:rPr>
            </w:pPr>
          </w:p>
        </w:tc>
        <w:tc>
          <w:tcPr>
            <w:tcW w:w="2841" w:type="dxa"/>
            <w:vAlign w:val="center"/>
          </w:tcPr>
          <w:p>
            <w:pPr>
              <w:spacing w:after="203" w:afterLines="50"/>
              <w:ind w:firstLine="1000" w:firstLineChars="400"/>
              <w:rPr>
                <w:rFonts w:ascii="宋体" w:hAnsi="宋体"/>
                <w:szCs w:val="21"/>
              </w:rPr>
            </w:pPr>
            <w:r>
              <w:rPr>
                <w:rFonts w:ascii="宋体" w:hAnsi="宋体"/>
                <w:szCs w:val="21"/>
              </w:rPr>
              <w:t>无压力管道</w:t>
            </w:r>
          </w:p>
        </w:tc>
        <w:tc>
          <w:tcPr>
            <w:tcW w:w="2841" w:type="dxa"/>
            <w:vAlign w:val="center"/>
          </w:tcPr>
          <w:p>
            <w:pPr>
              <w:spacing w:after="203" w:afterLines="50"/>
              <w:ind w:firstLine="1000" w:firstLineChars="400"/>
              <w:rPr>
                <w:rFonts w:ascii="宋体" w:hAnsi="宋体"/>
                <w:szCs w:val="21"/>
              </w:rPr>
            </w:pPr>
            <w:r>
              <w:rPr>
                <w:rFonts w:ascii="宋体" w:hAnsi="宋体"/>
                <w:szCs w:val="21"/>
              </w:rPr>
              <w:t>压力管道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372" w:type="dxa"/>
            <w:vAlign w:val="center"/>
          </w:tcPr>
          <w:p>
            <w:pPr>
              <w:spacing w:after="203" w:afterLines="50"/>
              <w:ind w:firstLine="750" w:firstLineChars="300"/>
              <w:rPr>
                <w:rFonts w:ascii="宋体" w:hAnsi="宋体"/>
                <w:szCs w:val="21"/>
              </w:rPr>
            </w:pPr>
            <w:r>
              <w:rPr>
                <w:rFonts w:ascii="宋体" w:hAnsi="宋体"/>
                <w:szCs w:val="21"/>
              </w:rPr>
              <w:t>轴线位置</w:t>
            </w:r>
          </w:p>
        </w:tc>
        <w:tc>
          <w:tcPr>
            <w:tcW w:w="2841" w:type="dxa"/>
            <w:vAlign w:val="center"/>
          </w:tcPr>
          <w:p>
            <w:pPr>
              <w:spacing w:after="203" w:afterLines="50"/>
              <w:ind w:firstLine="1500" w:firstLineChars="600"/>
              <w:rPr>
                <w:rFonts w:ascii="宋体" w:hAnsi="宋体"/>
                <w:szCs w:val="21"/>
              </w:rPr>
            </w:pPr>
            <w:r>
              <w:rPr>
                <w:rFonts w:ascii="宋体" w:hAnsi="宋体"/>
                <w:szCs w:val="21"/>
              </w:rPr>
              <w:t>15</w:t>
            </w:r>
          </w:p>
        </w:tc>
        <w:tc>
          <w:tcPr>
            <w:tcW w:w="2841" w:type="dxa"/>
            <w:vAlign w:val="center"/>
          </w:tcPr>
          <w:p>
            <w:pPr>
              <w:spacing w:after="203" w:afterLines="50"/>
              <w:ind w:firstLine="1500" w:firstLineChars="600"/>
              <w:rPr>
                <w:rFonts w:ascii="宋体" w:hAnsi="宋体"/>
                <w:szCs w:val="21"/>
              </w:rPr>
            </w:pPr>
            <w:r>
              <w:rPr>
                <w:rFonts w:ascii="宋体" w:hAnsi="宋体"/>
                <w:szCs w:val="21"/>
              </w:rPr>
              <w:t>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372" w:type="dxa"/>
            <w:vAlign w:val="center"/>
          </w:tcPr>
          <w:p>
            <w:pPr>
              <w:spacing w:after="203" w:afterLines="50"/>
              <w:ind w:firstLine="750" w:firstLineChars="300"/>
              <w:rPr>
                <w:rFonts w:ascii="宋体" w:hAnsi="宋体"/>
                <w:szCs w:val="21"/>
              </w:rPr>
            </w:pPr>
            <w:r>
              <w:rPr>
                <w:rFonts w:ascii="宋体" w:hAnsi="宋体"/>
                <w:szCs w:val="21"/>
              </w:rPr>
              <w:t>高    程</w:t>
            </w:r>
          </w:p>
        </w:tc>
        <w:tc>
          <w:tcPr>
            <w:tcW w:w="2841" w:type="dxa"/>
            <w:vAlign w:val="center"/>
          </w:tcPr>
          <w:p>
            <w:pPr>
              <w:spacing w:after="203" w:afterLines="50"/>
              <w:ind w:firstLine="1500" w:firstLineChars="600"/>
              <w:rPr>
                <w:rFonts w:ascii="宋体" w:hAnsi="宋体"/>
                <w:szCs w:val="21"/>
              </w:rPr>
            </w:pPr>
            <w:r>
              <w:rPr>
                <w:rFonts w:ascii="宋体" w:hAnsi="宋体"/>
                <w:szCs w:val="21"/>
              </w:rPr>
              <w:t>±10</w:t>
            </w:r>
          </w:p>
        </w:tc>
        <w:tc>
          <w:tcPr>
            <w:tcW w:w="2841" w:type="dxa"/>
            <w:vAlign w:val="center"/>
          </w:tcPr>
          <w:p>
            <w:pPr>
              <w:spacing w:after="203" w:afterLines="50"/>
              <w:ind w:firstLine="1250" w:firstLineChars="500"/>
              <w:rPr>
                <w:rFonts w:ascii="宋体" w:hAnsi="宋体"/>
                <w:szCs w:val="21"/>
              </w:rPr>
            </w:pPr>
            <w:r>
              <w:rPr>
                <w:rFonts w:ascii="宋体" w:hAnsi="宋体"/>
                <w:szCs w:val="21"/>
              </w:rPr>
              <w:t>±20</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2）闸阀安装应牢固、严密，启闭灵活，与管道轴线垂直。</w:t>
      </w:r>
    </w:p>
    <w:p>
      <w:pPr>
        <w:adjustRightInd w:val="0"/>
        <w:snapToGrid w:val="0"/>
        <w:spacing w:line="360" w:lineRule="auto"/>
        <w:jc w:val="left"/>
        <w:outlineLvl w:val="0"/>
        <w:rPr>
          <w:rFonts w:ascii="宋体" w:hAnsi="宋体"/>
          <w:b/>
          <w:bCs/>
          <w:szCs w:val="20"/>
        </w:rPr>
      </w:pPr>
      <w:bookmarkStart w:id="5551" w:name="_Toc266663137"/>
      <w:bookmarkStart w:id="5552" w:name="_Toc271232496"/>
      <w:bookmarkStart w:id="5553" w:name="_Toc436811094"/>
      <w:bookmarkStart w:id="5554" w:name="_Toc518058840"/>
      <w:bookmarkStart w:id="5555" w:name="_Toc518376899"/>
      <w:bookmarkStart w:id="5556" w:name="_Toc521492379"/>
      <w:bookmarkStart w:id="5557" w:name="_Toc521493236"/>
      <w:bookmarkStart w:id="5558" w:name="_Toc521493910"/>
      <w:bookmarkStart w:id="5559" w:name="_Toc106883519"/>
      <w:r>
        <w:rPr>
          <w:rFonts w:hint="eastAsia" w:ascii="宋体" w:hAnsi="宋体"/>
          <w:b/>
          <w:bCs/>
          <w:szCs w:val="20"/>
        </w:rPr>
        <w:t>5.10.</w:t>
      </w:r>
      <w:r>
        <w:rPr>
          <w:rFonts w:ascii="宋体" w:hAnsi="宋体"/>
          <w:b/>
          <w:bCs/>
          <w:szCs w:val="20"/>
        </w:rPr>
        <w:t>4 管道的偏角</w:t>
      </w:r>
      <w:bookmarkEnd w:id="5551"/>
      <w:bookmarkEnd w:id="5552"/>
      <w:bookmarkEnd w:id="5553"/>
      <w:bookmarkEnd w:id="5554"/>
      <w:bookmarkEnd w:id="5555"/>
      <w:bookmarkEnd w:id="5556"/>
      <w:bookmarkEnd w:id="5557"/>
      <w:bookmarkEnd w:id="5558"/>
      <w:bookmarkEnd w:id="555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 直线敷设管道不允许有偏角。</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 管道沿曲线安装时，接口的允许转角，不得大于表</w:t>
      </w:r>
      <w:r>
        <w:rPr>
          <w:rFonts w:hint="eastAsia" w:ascii="宋体" w:hAnsi="宋体"/>
          <w:kern w:val="0"/>
          <w:szCs w:val="21"/>
        </w:rPr>
        <w:t>1</w:t>
      </w:r>
      <w:r>
        <w:rPr>
          <w:rFonts w:ascii="宋体" w:hAnsi="宋体"/>
          <w:kern w:val="0"/>
          <w:szCs w:val="21"/>
        </w:rPr>
        <w:t>4</w:t>
      </w:r>
      <w:r>
        <w:rPr>
          <w:rFonts w:hint="eastAsia" w:ascii="宋体" w:hAnsi="宋体"/>
          <w:kern w:val="0"/>
          <w:szCs w:val="21"/>
        </w:rPr>
        <w:t>.</w:t>
      </w:r>
      <w:r>
        <w:rPr>
          <w:rFonts w:ascii="宋体" w:hAnsi="宋体"/>
          <w:kern w:val="0"/>
          <w:szCs w:val="21"/>
        </w:rPr>
        <w:t>12-3的规定。</w:t>
      </w:r>
    </w:p>
    <w:p>
      <w:pPr>
        <w:numPr>
          <w:ilvl w:val="12"/>
          <w:numId w:val="0"/>
        </w:numPr>
        <w:ind w:left="142" w:leftChars="57" w:firstLine="1891" w:firstLineChars="757"/>
        <w:rPr>
          <w:rFonts w:ascii="宋体" w:hAnsi="宋体"/>
          <w:szCs w:val="21"/>
        </w:rPr>
      </w:pPr>
      <w:r>
        <w:rPr>
          <w:rFonts w:ascii="宋体" w:hAnsi="宋体"/>
          <w:szCs w:val="21"/>
        </w:rPr>
        <w:t>沿曲线安装接口的允许转角                    表</w:t>
      </w:r>
      <w:r>
        <w:rPr>
          <w:rFonts w:hint="eastAsia" w:ascii="宋体" w:hAnsi="宋体"/>
          <w:szCs w:val="21"/>
        </w:rPr>
        <w:t>1</w:t>
      </w:r>
      <w:r>
        <w:rPr>
          <w:rFonts w:ascii="宋体" w:hAnsi="宋体"/>
          <w:szCs w:val="21"/>
        </w:rPr>
        <w:t>4</w:t>
      </w:r>
      <w:r>
        <w:rPr>
          <w:rFonts w:hint="eastAsia" w:ascii="宋体" w:hAnsi="宋体"/>
          <w:szCs w:val="21"/>
        </w:rPr>
        <w:t>.</w:t>
      </w:r>
      <w:r>
        <w:rPr>
          <w:rFonts w:ascii="宋体" w:hAnsi="宋体"/>
          <w:szCs w:val="21"/>
        </w:rPr>
        <w:t>12-3</w:t>
      </w:r>
    </w:p>
    <w:tbl>
      <w:tblPr>
        <w:tblStyle w:val="77"/>
        <w:tblW w:w="0" w:type="auto"/>
        <w:tblInd w:w="46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000"/>
        <w:gridCol w:w="2213"/>
        <w:gridCol w:w="284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5" w:hRule="exact"/>
        </w:trPr>
        <w:tc>
          <w:tcPr>
            <w:tcW w:w="3000" w:type="dxa"/>
            <w:vAlign w:val="center"/>
          </w:tcPr>
          <w:p>
            <w:pPr>
              <w:spacing w:before="203" w:beforeLines="50" w:after="203" w:afterLines="50"/>
              <w:ind w:firstLine="750" w:firstLineChars="300"/>
              <w:jc w:val="center"/>
              <w:rPr>
                <w:rFonts w:ascii="宋体" w:hAnsi="宋体"/>
                <w:szCs w:val="21"/>
              </w:rPr>
            </w:pPr>
            <w:r>
              <w:rPr>
                <w:rFonts w:ascii="宋体" w:hAnsi="宋体"/>
                <w:szCs w:val="21"/>
              </w:rPr>
              <w:t>接口种类</w:t>
            </w:r>
          </w:p>
        </w:tc>
        <w:tc>
          <w:tcPr>
            <w:tcW w:w="2213" w:type="dxa"/>
            <w:vAlign w:val="center"/>
          </w:tcPr>
          <w:p>
            <w:pPr>
              <w:spacing w:before="203" w:beforeLines="50" w:after="203" w:afterLines="50"/>
              <w:ind w:leftChars="-1" w:hanging="2" w:hangingChars="1"/>
              <w:jc w:val="center"/>
              <w:rPr>
                <w:rFonts w:ascii="宋体" w:hAnsi="宋体"/>
                <w:szCs w:val="21"/>
              </w:rPr>
            </w:pPr>
            <w:r>
              <w:rPr>
                <w:rFonts w:ascii="宋体" w:hAnsi="宋体"/>
                <w:szCs w:val="21"/>
              </w:rPr>
              <w:t>管径（mm）</w:t>
            </w:r>
          </w:p>
        </w:tc>
        <w:tc>
          <w:tcPr>
            <w:tcW w:w="2841" w:type="dxa"/>
            <w:vAlign w:val="center"/>
          </w:tcPr>
          <w:p>
            <w:pPr>
              <w:spacing w:before="203" w:beforeLines="50" w:after="203" w:afterLines="50"/>
              <w:jc w:val="center"/>
              <w:rPr>
                <w:rFonts w:ascii="宋体" w:hAnsi="宋体"/>
                <w:szCs w:val="21"/>
              </w:rPr>
            </w:pPr>
            <w:r>
              <w:rPr>
                <w:rFonts w:ascii="宋体" w:hAnsi="宋体"/>
                <w:szCs w:val="21"/>
              </w:rPr>
              <w:t>允许转角（º）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000" w:type="dxa"/>
            <w:vMerge w:val="restart"/>
            <w:vAlign w:val="center"/>
          </w:tcPr>
          <w:p>
            <w:pPr>
              <w:spacing w:before="203" w:beforeLines="50" w:after="203" w:afterLines="50"/>
              <w:ind w:firstLine="750" w:firstLineChars="300"/>
              <w:jc w:val="center"/>
              <w:rPr>
                <w:rFonts w:ascii="宋体" w:hAnsi="宋体"/>
                <w:szCs w:val="21"/>
              </w:rPr>
            </w:pPr>
            <w:r>
              <w:rPr>
                <w:rFonts w:ascii="宋体" w:hAnsi="宋体"/>
                <w:szCs w:val="21"/>
              </w:rPr>
              <w:t>刚性接口</w:t>
            </w:r>
          </w:p>
        </w:tc>
        <w:tc>
          <w:tcPr>
            <w:tcW w:w="2213" w:type="dxa"/>
            <w:vAlign w:val="center"/>
          </w:tcPr>
          <w:p>
            <w:pPr>
              <w:spacing w:after="203" w:afterLines="50"/>
              <w:ind w:left="-2" w:leftChars="-1" w:firstLine="432" w:firstLineChars="173"/>
              <w:rPr>
                <w:rFonts w:ascii="宋体" w:hAnsi="宋体"/>
                <w:szCs w:val="21"/>
              </w:rPr>
            </w:pPr>
            <w:r>
              <w:rPr>
                <w:rFonts w:ascii="宋体" w:hAnsi="宋体"/>
                <w:szCs w:val="21"/>
              </w:rPr>
              <w:t>75~450</w:t>
            </w:r>
          </w:p>
        </w:tc>
        <w:tc>
          <w:tcPr>
            <w:tcW w:w="2841" w:type="dxa"/>
            <w:vAlign w:val="center"/>
          </w:tcPr>
          <w:p>
            <w:pPr>
              <w:spacing w:after="203" w:afterLines="50"/>
              <w:jc w:val="center"/>
              <w:rPr>
                <w:rFonts w:ascii="宋体" w:hAnsi="宋体"/>
                <w:szCs w:val="21"/>
              </w:rPr>
            </w:pPr>
            <w:r>
              <w:rPr>
                <w:rFonts w:ascii="宋体" w:hAnsi="宋体"/>
                <w:szCs w:val="21"/>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000" w:type="dxa"/>
            <w:vMerge w:val="continue"/>
            <w:vAlign w:val="center"/>
          </w:tcPr>
          <w:p>
            <w:pPr>
              <w:spacing w:before="203" w:beforeLines="50" w:after="203" w:afterLines="50"/>
              <w:rPr>
                <w:rFonts w:ascii="宋体" w:hAnsi="宋体"/>
                <w:szCs w:val="21"/>
              </w:rPr>
            </w:pPr>
          </w:p>
        </w:tc>
        <w:tc>
          <w:tcPr>
            <w:tcW w:w="2213" w:type="dxa"/>
            <w:vAlign w:val="center"/>
          </w:tcPr>
          <w:p>
            <w:pPr>
              <w:spacing w:after="203" w:afterLines="50"/>
              <w:ind w:left="-2" w:leftChars="-1" w:firstLine="432" w:firstLineChars="173"/>
              <w:rPr>
                <w:rFonts w:ascii="宋体" w:hAnsi="宋体"/>
                <w:szCs w:val="21"/>
              </w:rPr>
            </w:pPr>
            <w:r>
              <w:rPr>
                <w:rFonts w:ascii="宋体" w:hAnsi="宋体"/>
                <w:szCs w:val="21"/>
              </w:rPr>
              <w:t>500~1200</w:t>
            </w:r>
          </w:p>
        </w:tc>
        <w:tc>
          <w:tcPr>
            <w:tcW w:w="2841" w:type="dxa"/>
            <w:vAlign w:val="center"/>
          </w:tcPr>
          <w:p>
            <w:pPr>
              <w:spacing w:after="203" w:afterLines="50"/>
              <w:jc w:val="center"/>
              <w:rPr>
                <w:rFonts w:ascii="宋体" w:hAnsi="宋体"/>
                <w:szCs w:val="21"/>
              </w:rPr>
            </w:pPr>
            <w:r>
              <w:rPr>
                <w:rFonts w:ascii="宋体" w:hAnsi="宋体"/>
                <w:szCs w:val="21"/>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exact"/>
        </w:trPr>
        <w:tc>
          <w:tcPr>
            <w:tcW w:w="3000" w:type="dxa"/>
            <w:vMerge w:val="restart"/>
            <w:vAlign w:val="center"/>
          </w:tcPr>
          <w:p>
            <w:pPr>
              <w:spacing w:before="203" w:beforeLines="50" w:after="203" w:afterLines="50"/>
              <w:rPr>
                <w:rFonts w:ascii="宋体" w:hAnsi="宋体"/>
                <w:szCs w:val="21"/>
              </w:rPr>
            </w:pPr>
            <w:r>
              <w:rPr>
                <w:rFonts w:ascii="宋体" w:hAnsi="宋体"/>
                <w:szCs w:val="21"/>
              </w:rPr>
              <w:t>滑入式T形、梯唇形橡胶圈接口及柔性机械式接口</w:t>
            </w:r>
          </w:p>
        </w:tc>
        <w:tc>
          <w:tcPr>
            <w:tcW w:w="2213" w:type="dxa"/>
            <w:vAlign w:val="center"/>
          </w:tcPr>
          <w:p>
            <w:pPr>
              <w:spacing w:after="203" w:afterLines="50"/>
              <w:ind w:left="-2" w:leftChars="-1" w:firstLine="432" w:firstLineChars="173"/>
              <w:rPr>
                <w:rFonts w:ascii="宋体" w:hAnsi="宋体"/>
                <w:szCs w:val="21"/>
              </w:rPr>
            </w:pPr>
            <w:r>
              <w:rPr>
                <w:rFonts w:ascii="宋体" w:hAnsi="宋体"/>
                <w:szCs w:val="21"/>
              </w:rPr>
              <w:t>75~600</w:t>
            </w:r>
          </w:p>
        </w:tc>
        <w:tc>
          <w:tcPr>
            <w:tcW w:w="2841" w:type="dxa"/>
            <w:vAlign w:val="center"/>
          </w:tcPr>
          <w:p>
            <w:pPr>
              <w:spacing w:after="203" w:afterLines="50"/>
              <w:jc w:val="center"/>
              <w:rPr>
                <w:rFonts w:ascii="宋体" w:hAnsi="宋体"/>
                <w:szCs w:val="21"/>
              </w:rPr>
            </w:pPr>
            <w:r>
              <w:rPr>
                <w:rFonts w:ascii="宋体" w:hAnsi="宋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000" w:type="dxa"/>
            <w:vMerge w:val="continue"/>
            <w:vAlign w:val="center"/>
          </w:tcPr>
          <w:p>
            <w:pPr>
              <w:spacing w:before="203" w:beforeLines="50" w:after="203" w:afterLines="50"/>
              <w:rPr>
                <w:rFonts w:ascii="宋体" w:hAnsi="宋体"/>
                <w:szCs w:val="21"/>
              </w:rPr>
            </w:pPr>
          </w:p>
        </w:tc>
        <w:tc>
          <w:tcPr>
            <w:tcW w:w="2213" w:type="dxa"/>
            <w:vAlign w:val="center"/>
          </w:tcPr>
          <w:p>
            <w:pPr>
              <w:spacing w:after="203" w:afterLines="50"/>
              <w:ind w:left="-2" w:leftChars="-1" w:firstLine="432" w:firstLineChars="173"/>
              <w:rPr>
                <w:rFonts w:ascii="宋体" w:hAnsi="宋体"/>
                <w:szCs w:val="21"/>
              </w:rPr>
            </w:pPr>
            <w:r>
              <w:rPr>
                <w:rFonts w:ascii="宋体" w:hAnsi="宋体"/>
                <w:szCs w:val="21"/>
              </w:rPr>
              <w:t>700~800</w:t>
            </w:r>
          </w:p>
        </w:tc>
        <w:tc>
          <w:tcPr>
            <w:tcW w:w="2841" w:type="dxa"/>
            <w:vAlign w:val="center"/>
          </w:tcPr>
          <w:p>
            <w:pPr>
              <w:spacing w:after="203" w:afterLines="50"/>
              <w:jc w:val="center"/>
              <w:rPr>
                <w:rFonts w:ascii="宋体" w:hAnsi="宋体"/>
                <w:szCs w:val="21"/>
              </w:rPr>
            </w:pPr>
            <w:r>
              <w:rPr>
                <w:rFonts w:ascii="宋体" w:hAnsi="宋体"/>
                <w:szCs w:val="21"/>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exact"/>
        </w:trPr>
        <w:tc>
          <w:tcPr>
            <w:tcW w:w="3000" w:type="dxa"/>
            <w:vMerge w:val="continue"/>
            <w:vAlign w:val="center"/>
          </w:tcPr>
          <w:p>
            <w:pPr>
              <w:spacing w:before="203" w:beforeLines="50" w:after="203" w:afterLines="50"/>
              <w:rPr>
                <w:rFonts w:ascii="宋体" w:hAnsi="宋体"/>
                <w:szCs w:val="21"/>
              </w:rPr>
            </w:pPr>
          </w:p>
        </w:tc>
        <w:tc>
          <w:tcPr>
            <w:tcW w:w="2213" w:type="dxa"/>
            <w:vAlign w:val="center"/>
          </w:tcPr>
          <w:p>
            <w:pPr>
              <w:spacing w:after="203" w:afterLines="50"/>
              <w:ind w:left="-2" w:leftChars="-1" w:firstLine="432" w:firstLineChars="173"/>
              <w:rPr>
                <w:rFonts w:ascii="宋体" w:hAnsi="宋体"/>
                <w:szCs w:val="21"/>
              </w:rPr>
            </w:pPr>
            <w:r>
              <w:rPr>
                <w:rFonts w:ascii="宋体" w:hAnsi="宋体"/>
                <w:szCs w:val="21"/>
              </w:rPr>
              <w:t>≥900</w:t>
            </w:r>
          </w:p>
        </w:tc>
        <w:tc>
          <w:tcPr>
            <w:tcW w:w="2841" w:type="dxa"/>
            <w:vAlign w:val="center"/>
          </w:tcPr>
          <w:p>
            <w:pPr>
              <w:spacing w:after="203" w:afterLines="50"/>
              <w:jc w:val="center"/>
              <w:rPr>
                <w:rFonts w:ascii="宋体" w:hAnsi="宋体"/>
                <w:szCs w:val="21"/>
              </w:rPr>
            </w:pPr>
            <w:r>
              <w:rPr>
                <w:rFonts w:ascii="宋体" w:hAnsi="宋体"/>
                <w:szCs w:val="21"/>
              </w:rPr>
              <w:t>1</w:t>
            </w:r>
          </w:p>
        </w:tc>
      </w:tr>
    </w:tbl>
    <w:p>
      <w:pPr>
        <w:adjustRightInd w:val="0"/>
        <w:snapToGrid w:val="0"/>
        <w:spacing w:line="360" w:lineRule="auto"/>
        <w:jc w:val="left"/>
        <w:outlineLvl w:val="2"/>
        <w:rPr>
          <w:rFonts w:ascii="宋体" w:hAnsi="宋体"/>
          <w:b/>
          <w:bCs/>
          <w:szCs w:val="20"/>
        </w:rPr>
      </w:pPr>
      <w:bookmarkStart w:id="5560" w:name="_Toc266663138"/>
      <w:bookmarkStart w:id="5561" w:name="_Toc271232497"/>
      <w:bookmarkStart w:id="5562" w:name="_Toc436811095"/>
      <w:bookmarkStart w:id="5563" w:name="_Toc518058841"/>
      <w:bookmarkStart w:id="5564" w:name="_Toc518376900"/>
      <w:bookmarkStart w:id="5565" w:name="_Toc521492380"/>
      <w:bookmarkStart w:id="5566" w:name="_Toc521493237"/>
      <w:bookmarkStart w:id="5567" w:name="_Toc521493911"/>
      <w:bookmarkStart w:id="5568" w:name="_Toc106883520"/>
      <w:r>
        <w:rPr>
          <w:rFonts w:hint="eastAsia" w:ascii="宋体" w:hAnsi="宋体"/>
          <w:b/>
          <w:bCs/>
          <w:szCs w:val="20"/>
        </w:rPr>
        <w:t>5.10.</w:t>
      </w:r>
      <w:r>
        <w:rPr>
          <w:rFonts w:ascii="宋体" w:hAnsi="宋体"/>
          <w:b/>
          <w:bCs/>
          <w:szCs w:val="20"/>
        </w:rPr>
        <w:t>5 管道的裁截</w:t>
      </w:r>
      <w:bookmarkEnd w:id="5560"/>
      <w:bookmarkEnd w:id="5561"/>
      <w:bookmarkEnd w:id="5562"/>
      <w:bookmarkEnd w:id="5563"/>
      <w:bookmarkEnd w:id="5564"/>
      <w:bookmarkEnd w:id="5565"/>
      <w:bookmarkEnd w:id="5566"/>
      <w:bookmarkEnd w:id="5567"/>
      <w:bookmarkEnd w:id="556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一般不允许裁截，这时可适当调整两检查井间的距离。只有需要满足精确定位要求时，并经项目监理同意，待相邻所有管道安装完毕，精确计算了裁截长度后，才能进行裁截。承包商应确定每节管道的长度、角度和形状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除非项目监理特别要求，否则裁截管道端只能与阀门井的侧墙连接。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管道的裁截应由有经验的技工用合宜的机械设备进行裁截，裁截的端部应垂直平整，以确保在定位和安装过程中不损伤接口。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由于裁截管道引起的剥落、表面划伤必须修复好。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裁截后剩下的管道应运出现场，除非经项目监理同意，此段管道可用于工程其它地方。</w:t>
      </w:r>
    </w:p>
    <w:p>
      <w:pPr>
        <w:adjustRightInd w:val="0"/>
        <w:snapToGrid w:val="0"/>
        <w:spacing w:line="360" w:lineRule="auto"/>
        <w:jc w:val="left"/>
        <w:outlineLvl w:val="0"/>
        <w:rPr>
          <w:rFonts w:ascii="宋体" w:hAnsi="宋体"/>
          <w:b/>
          <w:bCs/>
          <w:szCs w:val="20"/>
        </w:rPr>
      </w:pPr>
      <w:bookmarkStart w:id="5569" w:name="_Toc521492381"/>
      <w:bookmarkStart w:id="5570" w:name="_Toc518376901"/>
      <w:bookmarkStart w:id="5571" w:name="_Toc436811096"/>
      <w:bookmarkStart w:id="5572" w:name="_Toc518058842"/>
      <w:bookmarkStart w:id="5573" w:name="_Toc521493238"/>
      <w:bookmarkStart w:id="5574" w:name="_Toc521493912"/>
      <w:bookmarkStart w:id="5575" w:name="_Toc106883521"/>
      <w:r>
        <w:rPr>
          <w:rFonts w:hint="eastAsia" w:ascii="宋体" w:hAnsi="宋体"/>
          <w:b/>
          <w:bCs/>
          <w:szCs w:val="20"/>
        </w:rPr>
        <w:t>5.10.6</w:t>
      </w:r>
      <w:r>
        <w:rPr>
          <w:rFonts w:ascii="宋体" w:hAnsi="宋体"/>
          <w:b/>
          <w:bCs/>
          <w:szCs w:val="20"/>
        </w:rPr>
        <w:t xml:space="preserve"> 管道的</w:t>
      </w:r>
      <w:r>
        <w:rPr>
          <w:rFonts w:hint="eastAsia" w:ascii="宋体" w:hAnsi="宋体"/>
          <w:b/>
          <w:bCs/>
          <w:szCs w:val="20"/>
        </w:rPr>
        <w:t>防腐</w:t>
      </w:r>
      <w:bookmarkEnd w:id="5569"/>
      <w:bookmarkEnd w:id="5570"/>
      <w:bookmarkEnd w:id="5571"/>
      <w:bookmarkEnd w:id="5572"/>
      <w:bookmarkEnd w:id="5573"/>
      <w:bookmarkEnd w:id="5574"/>
      <w:bookmarkEnd w:id="557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 外壁的防腐处理</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外壁喷锌后涂沥青防腐，按《球墨铸铁管外表面锌涂层 第一部分：带终饰层的金属锌涂层》(GB/T17456.1-2009) 和《球墨铸铁管沥青涂层》(GB/T17459-1998)执行。喷锌密度不低于130g/m2，沥青漆涂层干膜的厚度不小于70μm。</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2</w:t>
      </w:r>
      <w:r>
        <w:rPr>
          <w:rFonts w:ascii="宋体" w:hAnsi="宋体"/>
          <w:kern w:val="0"/>
          <w:szCs w:val="21"/>
        </w:rPr>
        <w:t xml:space="preserve">. </w:t>
      </w:r>
      <w:r>
        <w:rPr>
          <w:rFonts w:hint="eastAsia" w:ascii="宋体" w:hAnsi="宋体"/>
          <w:kern w:val="0"/>
          <w:szCs w:val="21"/>
        </w:rPr>
        <w:t>内</w:t>
      </w:r>
      <w:r>
        <w:rPr>
          <w:rFonts w:ascii="宋体" w:hAnsi="宋体"/>
          <w:kern w:val="0"/>
          <w:szCs w:val="21"/>
        </w:rPr>
        <w:t>壁的防腐处理</w:t>
      </w:r>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水泥砂浆衬里，按《球墨铸铁管和管件水泥砂浆衬里》GB/T17547-2009相关规定执行。</w:t>
      </w:r>
    </w:p>
    <w:p>
      <w:pPr>
        <w:adjustRightInd w:val="0"/>
        <w:snapToGrid w:val="0"/>
        <w:spacing w:line="360" w:lineRule="auto"/>
        <w:outlineLvl w:val="0"/>
        <w:rPr>
          <w:rFonts w:ascii="宋体" w:hAnsi="宋体"/>
          <w:b/>
          <w:bCs/>
        </w:rPr>
      </w:pPr>
      <w:bookmarkStart w:id="5576" w:name="_Toc266663139"/>
      <w:bookmarkStart w:id="5577" w:name="_Toc271232498"/>
      <w:bookmarkStart w:id="5578" w:name="_Toc436811097"/>
      <w:bookmarkStart w:id="5579" w:name="_Toc518058843"/>
      <w:bookmarkStart w:id="5580" w:name="_Toc518376902"/>
      <w:bookmarkStart w:id="5581" w:name="_Toc521492382"/>
      <w:bookmarkStart w:id="5582" w:name="_Toc521493239"/>
      <w:bookmarkStart w:id="5583" w:name="_Toc521493913"/>
      <w:bookmarkStart w:id="5584" w:name="_Toc106883522"/>
      <w:r>
        <w:rPr>
          <w:rFonts w:hint="eastAsia" w:ascii="宋体" w:hAnsi="宋体"/>
          <w:b/>
          <w:bCs/>
        </w:rPr>
        <w:t>5.11</w:t>
      </w:r>
      <w:r>
        <w:rPr>
          <w:rFonts w:ascii="宋体" w:hAnsi="宋体"/>
          <w:b/>
          <w:bCs/>
        </w:rPr>
        <w:t>阀门井、支墩、挡墩</w:t>
      </w:r>
      <w:bookmarkEnd w:id="5576"/>
      <w:bookmarkEnd w:id="5577"/>
      <w:r>
        <w:rPr>
          <w:rFonts w:ascii="宋体" w:hAnsi="宋体"/>
          <w:b/>
          <w:bCs/>
        </w:rPr>
        <w:t>及拖拉墩</w:t>
      </w:r>
      <w:bookmarkEnd w:id="5578"/>
      <w:bookmarkEnd w:id="5579"/>
      <w:bookmarkEnd w:id="5580"/>
      <w:bookmarkEnd w:id="5581"/>
      <w:bookmarkEnd w:id="5582"/>
      <w:bookmarkEnd w:id="5583"/>
      <w:bookmarkEnd w:id="5584"/>
    </w:p>
    <w:p>
      <w:pPr>
        <w:adjustRightInd w:val="0"/>
        <w:snapToGrid w:val="0"/>
        <w:spacing w:line="360" w:lineRule="auto"/>
        <w:jc w:val="left"/>
        <w:outlineLvl w:val="2"/>
        <w:rPr>
          <w:rFonts w:ascii="宋体" w:hAnsi="宋体"/>
          <w:b/>
          <w:bCs/>
          <w:szCs w:val="20"/>
        </w:rPr>
      </w:pPr>
      <w:bookmarkStart w:id="5585" w:name="_Toc266663140"/>
      <w:bookmarkStart w:id="5586" w:name="_Toc271232499"/>
      <w:bookmarkStart w:id="5587" w:name="_Toc436811098"/>
      <w:bookmarkStart w:id="5588" w:name="_Toc518058844"/>
      <w:bookmarkStart w:id="5589" w:name="_Toc518376903"/>
      <w:bookmarkStart w:id="5590" w:name="_Toc521492383"/>
      <w:bookmarkStart w:id="5591" w:name="_Toc521493240"/>
      <w:bookmarkStart w:id="5592" w:name="_Toc521493914"/>
      <w:bookmarkStart w:id="5593" w:name="_Toc106883523"/>
      <w:r>
        <w:rPr>
          <w:rFonts w:hint="eastAsia" w:ascii="宋体" w:hAnsi="宋体"/>
          <w:b/>
          <w:bCs/>
          <w:szCs w:val="20"/>
        </w:rPr>
        <w:t>5.11.</w:t>
      </w:r>
      <w:r>
        <w:rPr>
          <w:rFonts w:ascii="宋体" w:hAnsi="宋体"/>
          <w:b/>
          <w:bCs/>
          <w:szCs w:val="20"/>
        </w:rPr>
        <w:t>1阀门井</w:t>
      </w:r>
      <w:bookmarkEnd w:id="5585"/>
      <w:bookmarkEnd w:id="5586"/>
      <w:bookmarkEnd w:id="5587"/>
      <w:bookmarkEnd w:id="5588"/>
      <w:bookmarkEnd w:id="5589"/>
      <w:bookmarkEnd w:id="5590"/>
      <w:bookmarkEnd w:id="5591"/>
      <w:bookmarkEnd w:id="5592"/>
      <w:bookmarkEnd w:id="5593"/>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给水阀门、排气阀井、排泥井阀井及排泥湿井根据设计图纸的要求，并参照国家标准图07MS101-2执行。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各种阀井位于铺装地面下时，井口高出20mm，在非铺装地面下时井口高出地面50mm以上。井圈盖板及铸铁井盖座安装时，应满座75#水泥砂浆并抹角。阀门井地基如系岩石层。则取消混凝土垫层，但井底应抹2~3cm厚的1：2水泥砂浆防水层。地基如系松土，应根据现场实际情况加深挖50cm以上，然后分层回填夯实后，再打混凝土垫层。阀井的施工按照《给水排水管道工程施工及验收规范》GB50268-2008第8.2节和标准图集07MS101-2的要求执行。</w:t>
      </w:r>
    </w:p>
    <w:p>
      <w:pPr>
        <w:adjustRightInd w:val="0"/>
        <w:snapToGrid w:val="0"/>
        <w:spacing w:line="360" w:lineRule="auto"/>
        <w:jc w:val="left"/>
        <w:outlineLvl w:val="0"/>
        <w:rPr>
          <w:rFonts w:ascii="宋体" w:hAnsi="宋体"/>
          <w:b/>
          <w:bCs/>
          <w:szCs w:val="20"/>
        </w:rPr>
      </w:pPr>
      <w:bookmarkStart w:id="5594" w:name="_Toc266663141"/>
      <w:bookmarkStart w:id="5595" w:name="_Toc271232500"/>
      <w:bookmarkStart w:id="5596" w:name="_Toc436811099"/>
      <w:bookmarkStart w:id="5597" w:name="_Toc518058845"/>
      <w:bookmarkStart w:id="5598" w:name="_Toc518376904"/>
      <w:bookmarkStart w:id="5599" w:name="_Toc521492384"/>
      <w:bookmarkStart w:id="5600" w:name="_Toc521493241"/>
      <w:bookmarkStart w:id="5601" w:name="_Toc521493915"/>
      <w:bookmarkStart w:id="5602" w:name="_Toc106883524"/>
      <w:r>
        <w:rPr>
          <w:rFonts w:hint="eastAsia" w:ascii="宋体" w:hAnsi="宋体"/>
          <w:b/>
          <w:bCs/>
          <w:szCs w:val="20"/>
        </w:rPr>
        <w:t>5.11.</w:t>
      </w:r>
      <w:r>
        <w:rPr>
          <w:rFonts w:ascii="宋体" w:hAnsi="宋体"/>
          <w:b/>
          <w:bCs/>
          <w:szCs w:val="20"/>
        </w:rPr>
        <w:t>2 混凝土支墩、挡墩</w:t>
      </w:r>
      <w:bookmarkEnd w:id="5594"/>
      <w:bookmarkEnd w:id="5595"/>
      <w:r>
        <w:rPr>
          <w:rFonts w:ascii="宋体" w:hAnsi="宋体"/>
          <w:b/>
          <w:bCs/>
          <w:szCs w:val="20"/>
        </w:rPr>
        <w:t>、拖拉墩</w:t>
      </w:r>
      <w:bookmarkEnd w:id="5596"/>
      <w:bookmarkEnd w:id="5597"/>
      <w:bookmarkEnd w:id="5598"/>
      <w:bookmarkEnd w:id="5599"/>
      <w:bookmarkEnd w:id="5600"/>
      <w:bookmarkEnd w:id="5601"/>
      <w:bookmarkEnd w:id="560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柔性接口给水管道支墩、挡墩、拖拉墩的施工应根据设计图纸以及国家标准图10S505的要求执行，支墩、挡墩必须与管道紧密结合使之有足够的支撑力。支墩的施工按照《给水排水管道工程施工及验收规范》GB50268-2008第8.3节和标准图集10S505的要求执行。</w:t>
      </w:r>
    </w:p>
    <w:p>
      <w:pPr>
        <w:adjustRightInd w:val="0"/>
        <w:snapToGrid w:val="0"/>
        <w:spacing w:line="360" w:lineRule="auto"/>
        <w:outlineLvl w:val="0"/>
        <w:rPr>
          <w:rFonts w:ascii="宋体" w:hAnsi="宋体"/>
          <w:b/>
          <w:bCs/>
        </w:rPr>
      </w:pPr>
      <w:bookmarkStart w:id="5603" w:name="_Toc436811100"/>
      <w:bookmarkStart w:id="5604" w:name="_Toc518058846"/>
      <w:bookmarkStart w:id="5605" w:name="_Toc518376905"/>
      <w:bookmarkStart w:id="5606" w:name="_Toc521492385"/>
      <w:bookmarkStart w:id="5607" w:name="_Toc521493242"/>
      <w:bookmarkStart w:id="5608" w:name="_Toc521493916"/>
      <w:bookmarkStart w:id="5609" w:name="_Toc106883525"/>
      <w:bookmarkStart w:id="5610" w:name="_Toc266663142"/>
      <w:bookmarkStart w:id="5611" w:name="_Toc271232501"/>
      <w:r>
        <w:rPr>
          <w:rFonts w:hint="eastAsia" w:ascii="宋体" w:hAnsi="宋体"/>
          <w:b/>
          <w:bCs/>
        </w:rPr>
        <w:t>5.12</w:t>
      </w:r>
      <w:r>
        <w:rPr>
          <w:rFonts w:ascii="宋体" w:hAnsi="宋体"/>
          <w:b/>
          <w:bCs/>
        </w:rPr>
        <w:t xml:space="preserve"> 阀门、消火栓及管件</w:t>
      </w:r>
      <w:bookmarkEnd w:id="5603"/>
      <w:bookmarkEnd w:id="5604"/>
      <w:bookmarkEnd w:id="5605"/>
      <w:bookmarkEnd w:id="5606"/>
      <w:bookmarkEnd w:id="5607"/>
      <w:bookmarkEnd w:id="5608"/>
      <w:bookmarkEnd w:id="5609"/>
    </w:p>
    <w:p>
      <w:pPr>
        <w:adjustRightInd w:val="0"/>
        <w:snapToGrid w:val="0"/>
        <w:spacing w:line="360" w:lineRule="auto"/>
        <w:jc w:val="left"/>
        <w:outlineLvl w:val="2"/>
        <w:rPr>
          <w:rFonts w:ascii="宋体" w:hAnsi="宋体"/>
          <w:b/>
          <w:bCs/>
          <w:szCs w:val="20"/>
        </w:rPr>
      </w:pPr>
      <w:bookmarkStart w:id="5612" w:name="_Toc436811101"/>
      <w:bookmarkStart w:id="5613" w:name="_Toc518058847"/>
      <w:bookmarkStart w:id="5614" w:name="_Toc518376906"/>
      <w:bookmarkStart w:id="5615" w:name="_Toc521492386"/>
      <w:bookmarkStart w:id="5616" w:name="_Toc521493243"/>
      <w:bookmarkStart w:id="5617" w:name="_Toc521493917"/>
      <w:bookmarkStart w:id="5618" w:name="_Toc106883526"/>
      <w:r>
        <w:rPr>
          <w:rFonts w:hint="eastAsia" w:ascii="宋体" w:hAnsi="宋体"/>
          <w:b/>
          <w:bCs/>
          <w:szCs w:val="20"/>
        </w:rPr>
        <w:t>5.12.</w:t>
      </w:r>
      <w:r>
        <w:rPr>
          <w:rFonts w:ascii="宋体" w:hAnsi="宋体"/>
          <w:b/>
          <w:bCs/>
          <w:szCs w:val="20"/>
        </w:rPr>
        <w:t>1 阀门</w:t>
      </w:r>
      <w:bookmarkEnd w:id="5612"/>
      <w:bookmarkEnd w:id="5613"/>
      <w:bookmarkEnd w:id="5614"/>
      <w:bookmarkEnd w:id="5615"/>
      <w:bookmarkEnd w:id="5616"/>
      <w:bookmarkEnd w:id="5617"/>
      <w:bookmarkEnd w:id="5618"/>
    </w:p>
    <w:p>
      <w:pPr>
        <w:spacing w:line="360" w:lineRule="auto"/>
        <w:outlineLvl w:val="0"/>
        <w:rPr>
          <w:rFonts w:ascii="宋体" w:hAnsi="宋体"/>
          <w:b/>
        </w:rPr>
      </w:pPr>
      <w:bookmarkStart w:id="5619" w:name="_Toc353976649"/>
      <w:bookmarkStart w:id="5620" w:name="_Toc106050275"/>
      <w:bookmarkStart w:id="5621" w:name="_Toc106883527"/>
      <w:r>
        <w:rPr>
          <w:rFonts w:hint="eastAsia" w:ascii="宋体" w:hAnsi="宋体"/>
          <w:b/>
        </w:rPr>
        <w:t>5.12.</w:t>
      </w:r>
      <w:r>
        <w:rPr>
          <w:rFonts w:ascii="宋体" w:hAnsi="宋体"/>
          <w:b/>
        </w:rPr>
        <w:t>1.1 排气阀及排泥阀技术要求</w:t>
      </w:r>
      <w:bookmarkEnd w:id="5619"/>
      <w:bookmarkEnd w:id="5620"/>
      <w:bookmarkEnd w:id="562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 基本技术要求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（1）管内充水运行时，大量气体和平常供水运行时所积累的少量气体都能自动排出。</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（2）当阀内处于漏水状态时，能自动关闭排气孔，而无漏水现象。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（3）当管道内排空产生负压时，排气阀能自动进气。</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（4）浮筒应在导向托架内随水位升降而升降，不受进水或排水的水流影响。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（5）密封盖受浮筒上浮力关闭排气口，排气口处气、水均不准渗漏。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（6）公称压力1.0MPa，试验压力1.5MPa。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（7）阀下配置隔离闸阀（配套供货），以方便排气阀养护、维修。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 材质要求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（1）阀体（阀箱）</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阀体可采用球墨铸铁或高于它的材料制成，并应按照公称压力1.0MPa进行设计，其应力对于强度极限而言，安全系数不低于5。</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（2）浮体（浮桶）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浮体采用不锈钢或等效材料制成，应能承受2倍工作外压而不变形，并保证浮体内不进水。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（3）其它零件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导向托架可采用铝合金或其它等效材料制成，密封盖、导向套管等阀内件应采用不锈钢、青铜合金制成，密封垫，排气嘴等密封件则宜采用丁腈橡胶NBR制成且不得用再生胶。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（4）法兰</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阀门法兰应符合ISO标准（PN10），以便与闸阀连接。</w:t>
      </w:r>
    </w:p>
    <w:p>
      <w:pPr>
        <w:spacing w:line="360" w:lineRule="auto"/>
        <w:outlineLvl w:val="0"/>
        <w:rPr>
          <w:rFonts w:ascii="宋体" w:hAnsi="宋体"/>
        </w:rPr>
      </w:pPr>
      <w:bookmarkStart w:id="5622" w:name="_Toc353976650"/>
      <w:bookmarkStart w:id="5623" w:name="_Toc106050276"/>
      <w:bookmarkStart w:id="5624" w:name="_Toc106883528"/>
      <w:r>
        <w:rPr>
          <w:rFonts w:hint="eastAsia" w:ascii="宋体" w:hAnsi="宋体"/>
        </w:rPr>
        <w:t>5.12.</w:t>
      </w:r>
      <w:r>
        <w:rPr>
          <w:rFonts w:ascii="宋体" w:hAnsi="宋体"/>
        </w:rPr>
        <w:t>1.2 闸阀技术要求</w:t>
      </w:r>
      <w:bookmarkEnd w:id="5622"/>
      <w:bookmarkEnd w:id="5623"/>
      <w:bookmarkEnd w:id="5624"/>
    </w:p>
    <w:p>
      <w:pPr>
        <w:adjustRightInd w:val="0"/>
        <w:snapToGrid w:val="0"/>
        <w:spacing w:line="360" w:lineRule="auto"/>
        <w:ind w:firstLine="500" w:firstLineChars="200"/>
        <w:textAlignment w:val="baseline"/>
        <w:rPr>
          <w:rFonts w:ascii="宋体" w:hAnsi="宋体"/>
          <w:kern w:val="0"/>
          <w:szCs w:val="21"/>
        </w:rPr>
      </w:pPr>
      <w:bookmarkStart w:id="5625" w:name="_Toc353976651"/>
      <w:r>
        <w:rPr>
          <w:rFonts w:ascii="宋体" w:hAnsi="宋体"/>
          <w:kern w:val="0"/>
          <w:szCs w:val="21"/>
        </w:rPr>
        <w:t>1. 基本要求</w:t>
      </w:r>
      <w:bookmarkEnd w:id="5625"/>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（1）本合同所采用闸阀为软密封闸阀</w:t>
      </w:r>
      <w:r>
        <w:rPr>
          <w:rFonts w:hint="eastAsia" w:ascii="宋体" w:hAnsi="宋体"/>
          <w:kern w:val="0"/>
          <w:szCs w:val="21"/>
        </w:rPr>
        <w:t>和法兰蝶阀</w:t>
      </w:r>
      <w:r>
        <w:rPr>
          <w:rFonts w:ascii="宋体" w:hAnsi="宋体"/>
          <w:kern w:val="0"/>
          <w:szCs w:val="21"/>
        </w:rPr>
        <w:t>，利用整体包胶闸板产生的变形补偿作用来达到良好的密封效果，应用于流体管道上作为调节和截流装置使用。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（2）同一类型的全部闸阀应向同一生产厂订货，同一型号闸阀的零部件，易损件应能互换。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（3）闸阀的醒目处应标识型号、口径、公称压力，制造厂标识。</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（4）密封效果好，采用弹性密封手轮操作，全衬胶阀板，阀体无凹槽，不易沉积泥砂，泄漏量为零。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（5）操作灵活，无外漏，阀杆采用止推轴承和“O”型圈密封，减少了开关时的磨擦力，解决了填料箱漏水问题。</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（6）阻力损失小，阀体为直通型，减小了流体产生紊流的程度。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（7）阀体、阀盖、阀板骨架采用消失模精密铸造，外观更加美观，体积小，重量比传统闸阀减轻25%左右。</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（8）阀体内腔喷涂环氧树脂，阀板采用全包胶，一流橡胶硫化技术保证每件产品精确几何尺寸和良好互换性。且橡胶与骨架接覆牢固，不会产生锈蚀或其它腐蚀相象，符合卫生标准 GB/T17219-1998要求，可直接用于饮用水。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（9）关键零件均采用优质材料，基本无需维护，寿命远大于10年。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（10）阀体、阀板、阀盖、传动帽采用球铁材料，强度更高确保阀门运输、安装、使用过程中的安全性。</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（11）采用三道“0”圈密封设计，即可减少启闭力，又可大大减少漏水现象。同时可不停水更换损坏的“0”圈。</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（12）基本性能：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适用介质：原水、清水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适用温度：0～80</w:t>
      </w:r>
      <w:r>
        <w:rPr>
          <w:rFonts w:hint="eastAsia" w:ascii="宋体" w:hAnsi="宋体"/>
          <w:kern w:val="0"/>
          <w:szCs w:val="21"/>
        </w:rPr>
        <w:t>℃</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连接法兰：GB/T17241</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结构长度：GB12221</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试验标准：JB/T9092</w:t>
      </w:r>
    </w:p>
    <w:p>
      <w:pPr>
        <w:adjustRightInd w:val="0"/>
        <w:snapToGrid w:val="0"/>
        <w:spacing w:line="360" w:lineRule="auto"/>
        <w:ind w:firstLine="500" w:firstLineChars="200"/>
        <w:textAlignment w:val="baseline"/>
        <w:rPr>
          <w:rFonts w:ascii="宋体" w:hAnsi="宋体"/>
          <w:kern w:val="0"/>
          <w:szCs w:val="21"/>
        </w:rPr>
      </w:pPr>
      <w:bookmarkStart w:id="5626" w:name="_Toc353976652"/>
      <w:r>
        <w:rPr>
          <w:rFonts w:ascii="宋体" w:hAnsi="宋体"/>
          <w:kern w:val="0"/>
          <w:szCs w:val="21"/>
        </w:rPr>
        <w:t>2. 工厂试验</w:t>
      </w:r>
      <w:bookmarkEnd w:id="562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闸阀应根据有关的国际标准和本节要求进行工厂内各项检验，在现场安装后应进行功能性试操作和密封压力试验，应保证阀门能顺利地开启和关闭，并达到规定的性能和技术要求。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承包商应提供所有闸阀、操作机构及各种附件等的检验、安装的合格证明。</w:t>
      </w:r>
    </w:p>
    <w:p>
      <w:pPr>
        <w:spacing w:line="360" w:lineRule="auto"/>
        <w:outlineLvl w:val="0"/>
        <w:rPr>
          <w:rFonts w:ascii="宋体" w:hAnsi="宋体"/>
        </w:rPr>
      </w:pPr>
      <w:bookmarkStart w:id="5627" w:name="_Toc353976653"/>
      <w:bookmarkStart w:id="5628" w:name="_Toc106050277"/>
      <w:bookmarkStart w:id="5629" w:name="_Toc106883529"/>
      <w:r>
        <w:rPr>
          <w:rFonts w:hint="eastAsia" w:ascii="宋体" w:hAnsi="宋体"/>
        </w:rPr>
        <w:t>5.12.</w:t>
      </w:r>
      <w:r>
        <w:rPr>
          <w:rFonts w:ascii="宋体" w:hAnsi="宋体"/>
        </w:rPr>
        <w:t>1.3 阀门的安装</w:t>
      </w:r>
      <w:bookmarkEnd w:id="5627"/>
      <w:bookmarkEnd w:id="5628"/>
      <w:bookmarkEnd w:id="562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所有的阀门应按制造厂的说明来安装和交付使用。安装后，所有的阀门应清洗。门、盘、座和其他活动部件应严格地检查，并应去除所有遗留的物料。阀门应按运行条件来校验，所有的活动部件应涂上润滑脂或制造厂介绍的其他处理，以使其达到良好的运行条件。</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闸阀可按其工作的任一方向安装，通过伞齿轮来操作，应将闸门固定，并使主轴垂直。</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不带齿轮传动装置，无放空管及其他需要安置在井中设施的闸阀可以敷设在地下，阀门埋人部分按其他章节规定的带缠系统作防护。阀门的操纵杆，填料函可用适当的套筒、管子或窨井作防护。套筒、管子或窨井应有足够的内径，为维修轴、填料提供适当的通道。端部要封闭，以免地面上的土壤和水进入其中。</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排气阀应与预设在输水管顶的规定位置上的法兰连接，进排气口竖直向上。埋地管道段上的排气阀设专门的保护井，以防止周围的土壤和水淹没排气阀体。</w:t>
      </w:r>
    </w:p>
    <w:p>
      <w:pPr>
        <w:adjustRightInd w:val="0"/>
        <w:snapToGrid w:val="0"/>
        <w:spacing w:line="360" w:lineRule="auto"/>
        <w:jc w:val="left"/>
        <w:outlineLvl w:val="2"/>
        <w:rPr>
          <w:rFonts w:ascii="宋体" w:hAnsi="宋体"/>
          <w:b/>
          <w:bCs/>
          <w:szCs w:val="20"/>
        </w:rPr>
      </w:pPr>
      <w:bookmarkStart w:id="5630" w:name="_Toc436811102"/>
      <w:bookmarkStart w:id="5631" w:name="_Toc518058848"/>
      <w:bookmarkStart w:id="5632" w:name="_Toc518376907"/>
      <w:bookmarkStart w:id="5633" w:name="_Toc521492387"/>
      <w:bookmarkStart w:id="5634" w:name="_Toc521493244"/>
      <w:bookmarkStart w:id="5635" w:name="_Toc521493918"/>
      <w:bookmarkStart w:id="5636" w:name="_Toc106883530"/>
      <w:r>
        <w:rPr>
          <w:rFonts w:hint="eastAsia" w:ascii="宋体" w:hAnsi="宋体"/>
          <w:b/>
          <w:bCs/>
          <w:szCs w:val="20"/>
        </w:rPr>
        <w:t>5.12.</w:t>
      </w:r>
      <w:r>
        <w:rPr>
          <w:rFonts w:ascii="宋体" w:hAnsi="宋体"/>
          <w:b/>
          <w:bCs/>
          <w:szCs w:val="20"/>
        </w:rPr>
        <w:t>2 消火栓</w:t>
      </w:r>
      <w:bookmarkEnd w:id="5630"/>
      <w:bookmarkEnd w:id="5631"/>
      <w:bookmarkEnd w:id="5632"/>
      <w:bookmarkEnd w:id="5633"/>
      <w:bookmarkEnd w:id="5634"/>
      <w:bookmarkEnd w:id="5635"/>
      <w:bookmarkEnd w:id="563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室外消火栓的设备和安装须满足GB 4452-1996的要求。</w:t>
      </w:r>
    </w:p>
    <w:p>
      <w:pPr>
        <w:spacing w:line="360" w:lineRule="auto"/>
        <w:outlineLvl w:val="3"/>
        <w:rPr>
          <w:rFonts w:ascii="宋体" w:hAnsi="宋体"/>
        </w:rPr>
      </w:pPr>
      <w:bookmarkStart w:id="5637" w:name="_Toc353976655"/>
      <w:r>
        <w:rPr>
          <w:rFonts w:hint="eastAsia" w:ascii="宋体" w:hAnsi="宋体"/>
        </w:rPr>
        <w:t>5.12</w:t>
      </w:r>
      <w:r>
        <w:rPr>
          <w:rFonts w:ascii="宋体" w:hAnsi="宋体"/>
        </w:rPr>
        <w:t>.2.1 技术要求</w:t>
      </w:r>
      <w:bookmarkEnd w:id="563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 材料</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（1）消火栓应用灰铸铁HT 200或力学性能不低于灰铸铁HT 200的其他金属材料。其力学性能应符合GB 9439或相应标准的规定。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（2）消火栓的阀座、阀杆螺母应用铸造铜合金，其性能应符合GB 1176规定。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（3）消火栓的阀杆应用低碳钢制成，表面应镀铬，或性能不低于镀铬的其他表面处理方法。并应符合相应标准的规定。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 外观质量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（1）消火栓的铸铁件表面应光滑，涂防锈漆后上部外露部分应涂红色漆、漆膜色泽应均匀、无龟裂、无明显的划痕和碰伤。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（2）消火栓的铸铜件表面应无严重的砂眼、气孔、渣孔、缩松、氧化夹渣、裂纹、冷隔和穿透性缺陷。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 螺纹</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消火栓管螺纹的基本尺寸和公差应符合GB 7307的规定。普通螺纹公差应符合GB 197中内螺纹7H级、外螺纹8g级的要求。螺纹应无缺牙，表面应光洁。</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 开启高度</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进水口公称通径100mm的消火栓其开启高度应大于50mm，进水口公称通径150mm的消火栓其开启高度应大于55mm。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5. 进水口连接尺寸</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（1）法兰连接尺寸应符合图1和表1的规定。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消火栓不直接接在管道干线上，而是用与水平成45°角的三通或支管三通。该三通应座在管沟的混凝土基础上。接至消火栓的支管也应在混凝土上，该支管应具有足够的柔性接头以适应可能发生的沉降差，以防止干线中三通与支管连接处或邻近处的任何弯曲位移。</w:t>
      </w:r>
    </w:p>
    <w:p>
      <w:pPr>
        <w:snapToGrid w:val="0"/>
        <w:spacing w:line="360" w:lineRule="auto"/>
        <w:ind w:firstLine="420"/>
        <w:jc w:val="center"/>
        <w:rPr>
          <w:rFonts w:ascii="宋体" w:hAnsi="宋体"/>
        </w:rPr>
      </w:pPr>
      <w:r>
        <w:rPr>
          <w:rFonts w:ascii="宋体" w:hAnsi="宋体"/>
        </w:rPr>
        <w:drawing>
          <wp:inline distT="0" distB="0" distL="0" distR="0">
            <wp:extent cx="1419225" cy="2038350"/>
            <wp:effectExtent l="19050" t="0" r="9525" b="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7"/>
                    <a:srcRect/>
                    <a:stretch>
                      <a:fillRect/>
                    </a:stretch>
                  </pic:blipFill>
                  <pic:spPr>
                    <a:xfrm>
                      <a:off x="0" y="0"/>
                      <a:ext cx="1419225" cy="2038350"/>
                    </a:xfrm>
                    <a:prstGeom prst="rect">
                      <a:avLst/>
                    </a:prstGeom>
                    <a:noFill/>
                    <a:ln w="9525">
                      <a:noFill/>
                      <a:miter lim="800000"/>
                      <a:headEnd/>
                      <a:tailEnd/>
                    </a:ln>
                  </pic:spPr>
                </pic:pic>
              </a:graphicData>
            </a:graphic>
          </wp:inline>
        </w:drawing>
      </w:r>
    </w:p>
    <w:p>
      <w:pPr>
        <w:snapToGrid w:val="0"/>
        <w:spacing w:line="360" w:lineRule="auto"/>
        <w:ind w:firstLine="420"/>
        <w:jc w:val="center"/>
        <w:rPr>
          <w:rFonts w:ascii="宋体" w:hAnsi="宋体"/>
        </w:rPr>
      </w:pPr>
    </w:p>
    <w:p>
      <w:pPr>
        <w:jc w:val="center"/>
        <w:rPr>
          <w:rFonts w:ascii="宋体" w:hAnsi="宋体"/>
          <w:b/>
          <w:bCs/>
        </w:rPr>
      </w:pPr>
      <w:r>
        <w:rPr>
          <w:rFonts w:ascii="宋体" w:hAnsi="宋体"/>
          <w:b/>
          <w:bCs/>
        </w:rPr>
        <w:t>表1     单位mm</w:t>
      </w:r>
    </w:p>
    <w:tbl>
      <w:tblPr>
        <w:tblStyle w:val="77"/>
        <w:tblW w:w="874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65"/>
        <w:gridCol w:w="1065"/>
        <w:gridCol w:w="1065"/>
        <w:gridCol w:w="1233"/>
        <w:gridCol w:w="1080"/>
        <w:gridCol w:w="1080"/>
        <w:gridCol w:w="1080"/>
        <w:gridCol w:w="10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1065" w:type="dxa"/>
            <w:vMerge w:val="restart"/>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进水口公称通径DN</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法兰外径</w:t>
            </w:r>
          </w:p>
          <w:p>
            <w:pPr>
              <w:widowControl/>
              <w:spacing w:line="240" w:lineRule="atLeast"/>
              <w:jc w:val="center"/>
              <w:rPr>
                <w:rFonts w:ascii="宋体" w:hAnsi="宋体"/>
                <w:sz w:val="18"/>
                <w:szCs w:val="18"/>
              </w:rPr>
            </w:pPr>
            <w:r>
              <w:rPr>
                <w:rFonts w:ascii="宋体" w:hAnsi="宋体"/>
                <w:sz w:val="18"/>
                <w:szCs w:val="18"/>
              </w:rPr>
              <w:t>D</w:t>
            </w:r>
          </w:p>
        </w:tc>
        <w:tc>
          <w:tcPr>
            <w:tcW w:w="2313" w:type="dxa"/>
            <w:gridSpan w:val="2"/>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螺栓孔中心圆直径</w:t>
            </w:r>
          </w:p>
          <w:p>
            <w:pPr>
              <w:widowControl/>
              <w:spacing w:line="240" w:lineRule="atLeast"/>
              <w:jc w:val="center"/>
              <w:rPr>
                <w:rFonts w:ascii="宋体" w:hAnsi="宋体"/>
                <w:sz w:val="18"/>
                <w:szCs w:val="18"/>
              </w:rPr>
            </w:pPr>
            <w:r>
              <w:rPr>
                <w:rFonts w:ascii="宋体" w:hAnsi="宋体"/>
                <w:sz w:val="18"/>
                <w:szCs w:val="18"/>
              </w:rPr>
              <w:t>D</w:t>
            </w:r>
            <w:r>
              <w:rPr>
                <w:rFonts w:ascii="宋体" w:hAnsi="宋体"/>
                <w:sz w:val="18"/>
                <w:szCs w:val="18"/>
                <w:vertAlign w:val="subscript"/>
              </w:rPr>
              <w:t>1</w:t>
            </w:r>
          </w:p>
        </w:tc>
        <w:tc>
          <w:tcPr>
            <w:tcW w:w="2160" w:type="dxa"/>
            <w:gridSpan w:val="2"/>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螺栓孔直径</w:t>
            </w:r>
          </w:p>
          <w:p>
            <w:pPr>
              <w:widowControl/>
              <w:spacing w:line="240" w:lineRule="atLeast"/>
              <w:jc w:val="center"/>
              <w:rPr>
                <w:rFonts w:ascii="宋体" w:hAnsi="宋体"/>
                <w:sz w:val="18"/>
                <w:szCs w:val="18"/>
              </w:rPr>
            </w:pPr>
            <w:r>
              <w:rPr>
                <w:rFonts w:ascii="宋体" w:hAnsi="宋体"/>
                <w:sz w:val="18"/>
                <w:szCs w:val="18"/>
              </w:rPr>
              <w:t>d</w:t>
            </w:r>
            <w:r>
              <w:rPr>
                <w:rFonts w:ascii="宋体" w:hAnsi="宋体"/>
                <w:sz w:val="18"/>
                <w:szCs w:val="18"/>
                <w:vertAlign w:val="subscript"/>
              </w:rPr>
              <w:t>0</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螺栓数  n(个)</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基本尺寸</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极限偏差</w:t>
            </w:r>
          </w:p>
        </w:tc>
        <w:tc>
          <w:tcPr>
            <w:tcW w:w="123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基本尺寸</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极限偏差</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基本尺寸</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极限偏差</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100</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220</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±2.80</w:t>
            </w:r>
          </w:p>
        </w:tc>
        <w:tc>
          <w:tcPr>
            <w:tcW w:w="123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180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±0.50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18.0</w:t>
            </w:r>
          </w:p>
        </w:tc>
        <w:tc>
          <w:tcPr>
            <w:tcW w:w="1080"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position w:val="-12"/>
                <w:sz w:val="18"/>
                <w:szCs w:val="18"/>
              </w:rPr>
              <w:drawing>
                <wp:inline distT="0" distB="0" distL="0" distR="0">
                  <wp:extent cx="255270" cy="233680"/>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8"/>
                          <a:srcRect/>
                          <a:stretch>
                            <a:fillRect/>
                          </a:stretch>
                        </pic:blipFill>
                        <pic:spPr>
                          <a:xfrm>
                            <a:off x="0" y="0"/>
                            <a:ext cx="255270" cy="233680"/>
                          </a:xfrm>
                          <a:prstGeom prst="rect">
                            <a:avLst/>
                          </a:prstGeom>
                          <a:noFill/>
                          <a:ln w="9525">
                            <a:noFill/>
                            <a:miter lim="800000"/>
                            <a:headEnd/>
                            <a:tailEnd/>
                          </a:ln>
                        </pic:spPr>
                      </pic:pic>
                    </a:graphicData>
                  </a:graphic>
                </wp:inline>
              </w:drawing>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150</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285</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±3.10</w:t>
            </w:r>
          </w:p>
        </w:tc>
        <w:tc>
          <w:tcPr>
            <w:tcW w:w="123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240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±0.80</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22.0</w:t>
            </w:r>
          </w:p>
        </w:tc>
        <w:tc>
          <w:tcPr>
            <w:tcW w:w="1080"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position w:val="-12"/>
                <w:sz w:val="18"/>
                <w:szCs w:val="18"/>
              </w:rPr>
              <w:drawing>
                <wp:inline distT="0" distB="0" distL="0" distR="0">
                  <wp:extent cx="255270" cy="233680"/>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srcRect/>
                          <a:stretch>
                            <a:fillRect/>
                          </a:stretch>
                        </pic:blipFill>
                        <pic:spPr>
                          <a:xfrm>
                            <a:off x="0" y="0"/>
                            <a:ext cx="255270" cy="233680"/>
                          </a:xfrm>
                          <a:prstGeom prst="rect">
                            <a:avLst/>
                          </a:prstGeom>
                          <a:noFill/>
                          <a:ln w="9525">
                            <a:noFill/>
                            <a:miter lim="800000"/>
                            <a:headEnd/>
                            <a:tailEnd/>
                          </a:ln>
                        </pic:spPr>
                      </pic:pic>
                    </a:graphicData>
                  </a:graphic>
                </wp:inline>
              </w:drawing>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p>
        </w:tc>
      </w:tr>
    </w:tbl>
    <w:p>
      <w:pPr>
        <w:rPr>
          <w:rFonts w:ascii="宋体" w:hAnsi="宋体"/>
        </w:rPr>
      </w:pP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（2）承插式连接尺寸应符合图2、表2和表3的规定。</w:t>
      </w:r>
    </w:p>
    <w:p>
      <w:pPr>
        <w:jc w:val="center"/>
        <w:rPr>
          <w:rFonts w:ascii="宋体" w:hAnsi="宋体"/>
        </w:rPr>
      </w:pPr>
      <w:r>
        <w:rPr>
          <w:rFonts w:ascii="宋体" w:hAnsi="宋体"/>
        </w:rPr>
        <w:drawing>
          <wp:inline distT="0" distB="0" distL="0" distR="0">
            <wp:extent cx="3429000" cy="2200275"/>
            <wp:effectExtent l="19050" t="0" r="0" b="0"/>
            <wp:docPr id="4" name="图片 4" descr="@W6X(@LR61P(B@HQJAGZ9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6X(@LR61P(B@HQJAGZ91F"/>
                    <pic:cNvPicPr>
                      <a:picLocks noChangeAspect="1" noChangeArrowheads="1"/>
                    </pic:cNvPicPr>
                  </pic:nvPicPr>
                  <pic:blipFill>
                    <a:blip r:embed="rId10"/>
                    <a:srcRect/>
                    <a:stretch>
                      <a:fillRect/>
                    </a:stretch>
                  </pic:blipFill>
                  <pic:spPr>
                    <a:xfrm>
                      <a:off x="0" y="0"/>
                      <a:ext cx="3429000" cy="2200275"/>
                    </a:xfrm>
                    <a:prstGeom prst="rect">
                      <a:avLst/>
                    </a:prstGeom>
                    <a:noFill/>
                    <a:ln w="9525">
                      <a:noFill/>
                      <a:miter lim="800000"/>
                      <a:headEnd/>
                      <a:tailEnd/>
                    </a:ln>
                  </pic:spPr>
                </pic:pic>
              </a:graphicData>
            </a:graphic>
          </wp:inline>
        </w:drawing>
      </w:r>
    </w:p>
    <w:p>
      <w:pPr>
        <w:jc w:val="center"/>
        <w:rPr>
          <w:rFonts w:ascii="宋体" w:hAnsi="宋体"/>
          <w:b/>
          <w:bCs/>
        </w:rPr>
      </w:pPr>
      <w:r>
        <w:rPr>
          <w:rFonts w:ascii="宋体" w:hAnsi="宋体"/>
          <w:b/>
          <w:bCs/>
        </w:rPr>
        <w:t>表2                 mm</w:t>
      </w:r>
    </w:p>
    <w:tbl>
      <w:tblPr>
        <w:tblStyle w:val="7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进水口公称通径</w:t>
            </w:r>
          </w:p>
        </w:tc>
        <w:tc>
          <w:tcPr>
            <w:tcW w:w="6818" w:type="dxa"/>
            <w:gridSpan w:val="4"/>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各  部  尺  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a</w:t>
            </w:r>
          </w:p>
        </w:tc>
        <w:tc>
          <w:tcPr>
            <w:tcW w:w="170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b</w:t>
            </w:r>
          </w:p>
        </w:tc>
        <w:tc>
          <w:tcPr>
            <w:tcW w:w="170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c</w:t>
            </w:r>
          </w:p>
        </w:tc>
        <w:tc>
          <w:tcPr>
            <w:tcW w:w="170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e</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100~150</w:t>
            </w:r>
          </w:p>
        </w:tc>
        <w:tc>
          <w:tcPr>
            <w:tcW w:w="170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15</w:t>
            </w:r>
          </w:p>
        </w:tc>
        <w:tc>
          <w:tcPr>
            <w:tcW w:w="170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10</w:t>
            </w:r>
          </w:p>
        </w:tc>
        <w:tc>
          <w:tcPr>
            <w:tcW w:w="170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20</w:t>
            </w:r>
          </w:p>
        </w:tc>
        <w:tc>
          <w:tcPr>
            <w:tcW w:w="170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6</w:t>
            </w:r>
          </w:p>
        </w:tc>
      </w:tr>
    </w:tbl>
    <w:p>
      <w:pPr>
        <w:rPr>
          <w:rFonts w:ascii="宋体" w:hAnsi="宋体"/>
        </w:rPr>
      </w:pPr>
    </w:p>
    <w:p>
      <w:pPr>
        <w:jc w:val="center"/>
        <w:rPr>
          <w:rFonts w:ascii="宋体" w:hAnsi="宋体"/>
          <w:b/>
          <w:bCs/>
        </w:rPr>
      </w:pPr>
      <w:r>
        <w:rPr>
          <w:rFonts w:ascii="宋体" w:hAnsi="宋体"/>
          <w:b/>
          <w:bCs/>
        </w:rPr>
        <w:t>表3  承口尺寸    mm</w:t>
      </w:r>
    </w:p>
    <w:tbl>
      <w:tblPr>
        <w:tblStyle w:val="7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165"/>
        <w:gridCol w:w="771"/>
        <w:gridCol w:w="753"/>
        <w:gridCol w:w="754"/>
        <w:gridCol w:w="754"/>
        <w:gridCol w:w="754"/>
        <w:gridCol w:w="754"/>
        <w:gridCol w:w="754"/>
        <w:gridCol w:w="753"/>
        <w:gridCol w:w="754"/>
        <w:gridCol w:w="75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06"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进水口公称通径</w:t>
            </w:r>
          </w:p>
        </w:tc>
        <w:tc>
          <w:tcPr>
            <w:tcW w:w="77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承口内径</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A</w:t>
            </w:r>
          </w:p>
        </w:tc>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B</w:t>
            </w:r>
          </w:p>
        </w:tc>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C</w:t>
            </w:r>
          </w:p>
        </w:tc>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E</w:t>
            </w:r>
          </w:p>
        </w:tc>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P</w:t>
            </w:r>
          </w:p>
        </w:tc>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l</w:t>
            </w:r>
          </w:p>
        </w:tc>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δ</w:t>
            </w:r>
          </w:p>
        </w:tc>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x</w:t>
            </w:r>
          </w:p>
        </w:tc>
        <w:tc>
          <w:tcPr>
            <w:tcW w:w="7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tLeast"/>
              <w:jc w:val="center"/>
              <w:rPr>
                <w:rFonts w:ascii="宋体" w:hAnsi="宋体"/>
                <w:sz w:val="18"/>
                <w:szCs w:val="18"/>
              </w:rPr>
            </w:pPr>
            <w:r>
              <w:rPr>
                <w:rFonts w:ascii="宋体" w:hAnsi="宋体"/>
                <w:sz w:val="18"/>
                <w:szCs w:val="18"/>
              </w:rPr>
              <w:t>R</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06"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100</w:t>
            </w:r>
          </w:p>
        </w:tc>
        <w:tc>
          <w:tcPr>
            <w:tcW w:w="77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113.0</w:t>
            </w:r>
          </w:p>
        </w:tc>
        <w:tc>
          <w:tcPr>
            <w:tcW w:w="77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36</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26</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12</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10</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90</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9</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5</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13</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32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06"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150</w:t>
            </w:r>
          </w:p>
        </w:tc>
        <w:tc>
          <w:tcPr>
            <w:tcW w:w="77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138.0</w:t>
            </w:r>
          </w:p>
        </w:tc>
        <w:tc>
          <w:tcPr>
            <w:tcW w:w="774"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36</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26</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12</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10</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95</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10</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5</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13</w:t>
            </w:r>
          </w:p>
        </w:tc>
        <w:tc>
          <w:tcPr>
            <w:tcW w:w="775" w:type="dxa"/>
            <w:tcBorders>
              <w:top w:val="single" w:color="auto" w:sz="4" w:space="0"/>
              <w:left w:val="single" w:color="auto" w:sz="4" w:space="0"/>
              <w:bottom w:val="single" w:color="auto" w:sz="4" w:space="0"/>
              <w:right w:val="single" w:color="auto" w:sz="4" w:space="0"/>
            </w:tcBorders>
            <w:shd w:val="clear" w:color="auto" w:fill="auto"/>
          </w:tcPr>
          <w:p>
            <w:pPr>
              <w:widowControl/>
              <w:spacing w:line="240" w:lineRule="atLeast"/>
              <w:jc w:val="center"/>
              <w:rPr>
                <w:rFonts w:ascii="宋体" w:hAnsi="宋体"/>
                <w:sz w:val="18"/>
                <w:szCs w:val="18"/>
              </w:rPr>
            </w:pPr>
            <w:r>
              <w:rPr>
                <w:rFonts w:ascii="宋体" w:hAnsi="宋体"/>
                <w:sz w:val="18"/>
                <w:szCs w:val="18"/>
              </w:rPr>
              <w:t>32</w:t>
            </w:r>
          </w:p>
        </w:tc>
      </w:tr>
    </w:tbl>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6. 密封性能</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消火栓在公称压力水压下，各连接部位，以及排放余水装置均不得有渗漏现象。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7. 消火栓在1.5倍的公称压力水压下，所有铸件不得有渗漏现象及影响正常使用的损伤。</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8. 排放余水装置</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消火栓应装有自动排放余水的装置，在消火栓处于正常使用(全开启)状态时，该装置不得发生渗漏现象。</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9. 消火栓接口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（1）进水口公称通径100mm的地上消火栓应用GB 3265规定的KWS65型外螺纹固定接口。地下消火栓应用GB 3265规定的KWA65型外螺纹固定接口。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（2）进水口公称通径150mm的地上消火栓应用GB 3265规定的KWS80型外螺纹固定接口。地下消火栓应用GB 3265规定的KWA80型外螺纹固定接口。</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（3）进水口公称通径为100 mm消火栓上的吸水管接口螺纹为M125×6，进水口公称通径为150mm消火栓上的吸水管接口螺纹为M170×6。</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（4）消火栓接口的性能指标应符合GB 12514的规定。</w:t>
      </w:r>
    </w:p>
    <w:p>
      <w:pPr>
        <w:spacing w:line="360" w:lineRule="auto"/>
        <w:outlineLvl w:val="3"/>
        <w:rPr>
          <w:rFonts w:ascii="宋体" w:hAnsi="宋体"/>
        </w:rPr>
      </w:pPr>
      <w:bookmarkStart w:id="5638" w:name="_Toc353976656"/>
      <w:r>
        <w:rPr>
          <w:rFonts w:hint="eastAsia" w:ascii="宋体" w:hAnsi="宋体"/>
        </w:rPr>
        <w:t>5.12</w:t>
      </w:r>
      <w:r>
        <w:rPr>
          <w:rFonts w:ascii="宋体" w:hAnsi="宋体"/>
        </w:rPr>
        <w:t>.2.2 消火栓的安装</w:t>
      </w:r>
      <w:bookmarkEnd w:id="563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消火栓不直接接在管道干线上，而是用与水平成45°角的三通或支管三通。该三通应座在管沟的混凝土基础上。接至消火栓的支管也应在混凝土上，该支管应具有足够的柔性接头以适应可能发生的沉降差，以防止干线中三通与支管连接处或邻近处的任何弯曲位移。</w:t>
      </w:r>
    </w:p>
    <w:p>
      <w:pPr>
        <w:adjustRightInd w:val="0"/>
        <w:snapToGrid w:val="0"/>
        <w:spacing w:line="360" w:lineRule="auto"/>
        <w:jc w:val="left"/>
        <w:outlineLvl w:val="2"/>
        <w:rPr>
          <w:rFonts w:ascii="宋体" w:hAnsi="宋体"/>
          <w:b/>
          <w:bCs/>
          <w:szCs w:val="20"/>
        </w:rPr>
      </w:pPr>
      <w:bookmarkStart w:id="5639" w:name="_Toc436811103"/>
      <w:bookmarkStart w:id="5640" w:name="_Toc518058849"/>
      <w:bookmarkStart w:id="5641" w:name="_Toc518376908"/>
      <w:bookmarkStart w:id="5642" w:name="_Toc521492388"/>
      <w:bookmarkStart w:id="5643" w:name="_Toc521493245"/>
      <w:bookmarkStart w:id="5644" w:name="_Toc521493919"/>
      <w:bookmarkStart w:id="5645" w:name="_Toc106883531"/>
      <w:r>
        <w:rPr>
          <w:rFonts w:hint="eastAsia" w:ascii="宋体" w:hAnsi="宋体"/>
          <w:b/>
          <w:bCs/>
          <w:szCs w:val="20"/>
        </w:rPr>
        <w:t>5.12.</w:t>
      </w:r>
      <w:r>
        <w:rPr>
          <w:rFonts w:ascii="宋体" w:hAnsi="宋体"/>
          <w:b/>
          <w:bCs/>
          <w:szCs w:val="20"/>
        </w:rPr>
        <w:t>3 管件</w:t>
      </w:r>
      <w:bookmarkEnd w:id="5639"/>
      <w:bookmarkEnd w:id="5640"/>
      <w:bookmarkEnd w:id="5641"/>
      <w:bookmarkEnd w:id="5642"/>
      <w:bookmarkEnd w:id="5643"/>
      <w:bookmarkEnd w:id="5644"/>
      <w:bookmarkEnd w:id="5645"/>
    </w:p>
    <w:p>
      <w:pPr>
        <w:spacing w:line="360" w:lineRule="auto"/>
        <w:outlineLvl w:val="3"/>
        <w:rPr>
          <w:rFonts w:ascii="宋体" w:hAnsi="宋体"/>
        </w:rPr>
      </w:pPr>
      <w:bookmarkStart w:id="5646" w:name="_Toc353976658"/>
      <w:r>
        <w:rPr>
          <w:rFonts w:hint="eastAsia" w:ascii="宋体" w:hAnsi="宋体"/>
        </w:rPr>
        <w:t>5.12</w:t>
      </w:r>
      <w:r>
        <w:rPr>
          <w:rFonts w:ascii="宋体" w:hAnsi="宋体"/>
        </w:rPr>
        <w:t>.3.1 双法兰限位伸缩接头</w:t>
      </w:r>
      <w:bookmarkEnd w:id="5646"/>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伸缩接头应符合GB/T12456、GB12227及其他相关标准或相当的ISO标准，球化率不得低于4级。伸缩接头本体不应有擦伤、沟槽或碰撞形成的明显凹陷，并不得有裂纹、结疤、折叠、分层等缺陷。</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限位伸缩接头应可以消除轴向伸缩间距及在拆装阀门时提供间隙，并设有限位装置，可实现管道在允许的伸缩量中可以自由伸缩，一旦超过其最大伸缩量，就起到限位作用。传力伸缩接头应设有传力限位结构，使管道与连接设备成为一整体，并有一定的位移量，便于管道与设备的拆装，并能承受管道由于工作压力和水锤压力引起得张力，可以把轴向推力传递至整个管道，对连接设备起到一定的保护作用。</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限位伸缩接头及传力伸缩接头发货前内外表面均应已作防腐处理，并应适应工作介质(清水、污水或污泥)。</w:t>
      </w:r>
    </w:p>
    <w:p>
      <w:pPr>
        <w:adjustRightInd w:val="0"/>
        <w:snapToGrid w:val="0"/>
        <w:spacing w:line="360" w:lineRule="auto"/>
        <w:ind w:firstLine="500" w:firstLineChars="200"/>
        <w:textAlignment w:val="baseline"/>
        <w:rPr>
          <w:rFonts w:ascii="宋体" w:hAnsi="宋体"/>
          <w:kern w:val="0"/>
          <w:szCs w:val="21"/>
        </w:rPr>
      </w:pPr>
      <w:bookmarkStart w:id="5647" w:name="_Toc353976659"/>
      <w:r>
        <w:rPr>
          <w:rFonts w:ascii="宋体" w:hAnsi="宋体"/>
          <w:kern w:val="0"/>
          <w:szCs w:val="21"/>
        </w:rPr>
        <w:t>1. 结构及性能</w:t>
      </w:r>
      <w:bookmarkEnd w:id="5647"/>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（1）提供的法兰式伸缩接头应能够与相同公称直径的阀门等设备直接连接，并提供足够尺寸和数量的螺栓、螺母。</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（2）伸缩量</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限位伸缩接头的伸缩量应不低于以下要求：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DN65～DN250    △L≥50mm；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DN300～DN700   △L≥65mm；</w:t>
      </w:r>
    </w:p>
    <w:p>
      <w:pPr>
        <w:adjustRightInd w:val="0"/>
        <w:snapToGrid w:val="0"/>
        <w:spacing w:line="360" w:lineRule="auto"/>
        <w:ind w:firstLine="500" w:firstLineChars="200"/>
        <w:textAlignment w:val="baseline"/>
        <w:rPr>
          <w:rFonts w:ascii="宋体" w:hAnsi="宋体"/>
          <w:kern w:val="0"/>
          <w:szCs w:val="21"/>
        </w:rPr>
      </w:pPr>
      <w:bookmarkStart w:id="5648" w:name="_Toc353976660"/>
      <w:r>
        <w:rPr>
          <w:rFonts w:ascii="宋体" w:hAnsi="宋体"/>
          <w:kern w:val="0"/>
          <w:szCs w:val="21"/>
        </w:rPr>
        <w:t>DN800～DN2200  △L≥130mm；</w:t>
      </w:r>
      <w:bookmarkEnd w:id="5648"/>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传力伸缩接头的伸缩量应不低于以下要求：</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DN65～DN250    △L≥40mm；</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DN300～DN700   △L≥50mm；</w:t>
      </w:r>
    </w:p>
    <w:p>
      <w:pPr>
        <w:adjustRightInd w:val="0"/>
        <w:snapToGrid w:val="0"/>
        <w:spacing w:line="360" w:lineRule="auto"/>
        <w:ind w:firstLine="500" w:firstLineChars="200"/>
        <w:textAlignment w:val="baseline"/>
        <w:rPr>
          <w:rFonts w:ascii="宋体" w:hAnsi="宋体"/>
          <w:kern w:val="0"/>
          <w:szCs w:val="21"/>
        </w:rPr>
      </w:pPr>
      <w:bookmarkStart w:id="5649" w:name="_Toc353976661"/>
      <w:r>
        <w:rPr>
          <w:rFonts w:ascii="宋体" w:hAnsi="宋体"/>
          <w:kern w:val="0"/>
          <w:szCs w:val="21"/>
        </w:rPr>
        <w:t>DN800～DN2200  △L≥60mm；</w:t>
      </w:r>
      <w:bookmarkEnd w:id="5649"/>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（3）所有接头应装拆灵活简便，同一类产品的零部件应均能互换。</w:t>
      </w:r>
    </w:p>
    <w:p>
      <w:pPr>
        <w:adjustRightInd w:val="0"/>
        <w:snapToGrid w:val="0"/>
        <w:spacing w:line="360" w:lineRule="auto"/>
        <w:ind w:firstLine="500" w:firstLineChars="200"/>
        <w:textAlignment w:val="baseline"/>
        <w:rPr>
          <w:rFonts w:ascii="宋体" w:hAnsi="宋体"/>
          <w:kern w:val="0"/>
          <w:szCs w:val="21"/>
        </w:rPr>
      </w:pPr>
      <w:bookmarkStart w:id="5650" w:name="_Toc353976662"/>
      <w:r>
        <w:rPr>
          <w:rFonts w:ascii="宋体" w:hAnsi="宋体"/>
          <w:kern w:val="0"/>
          <w:szCs w:val="21"/>
        </w:rPr>
        <w:t>2. 材料</w:t>
      </w:r>
      <w:bookmarkEnd w:id="5650"/>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法兰及接头本体：球墨铸铁QT400-15或等同；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橡胶密封圈: 丁晴橡胶RN7444；</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螺栓、螺母：优质碳素钢Q235A；</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限位短管：球墨铸铁QT400-15或等同。</w:t>
      </w:r>
    </w:p>
    <w:p>
      <w:pPr>
        <w:adjustRightInd w:val="0"/>
        <w:snapToGrid w:val="0"/>
        <w:spacing w:line="360" w:lineRule="auto"/>
        <w:ind w:firstLine="500" w:firstLineChars="200"/>
        <w:textAlignment w:val="baseline"/>
        <w:rPr>
          <w:rFonts w:ascii="宋体" w:hAnsi="宋体"/>
          <w:kern w:val="0"/>
          <w:szCs w:val="21"/>
        </w:rPr>
      </w:pPr>
      <w:bookmarkStart w:id="5651" w:name="_Toc353976663"/>
      <w:r>
        <w:rPr>
          <w:rFonts w:ascii="宋体" w:hAnsi="宋体"/>
          <w:kern w:val="0"/>
          <w:szCs w:val="21"/>
        </w:rPr>
        <w:t>3. 检查与试验</w:t>
      </w:r>
      <w:bookmarkEnd w:id="5651"/>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（1）所有接头在发货前必须进行工厂检查和试验，检查和试验应严格按照GB/T12465-96、GB12227-89标准及其他相关标准进行。详细的检查验收条款应包括下列条款的规定。</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（2）供货材料在制造厂应进行性能试验、拆装试验。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（3）工厂检查</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检查应包括外观、内腔清洁、结构尺寸和连接尺寸、制作公差及铸件质量等。</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（4）工厂试验</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接头本体水压强度试验，试验压力为1.5倍公称压力，恒压5分钟，应无泄漏和结构损伤，不得有明显的塑性变形。</w:t>
      </w:r>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密封性试验，试验压力为1.25倍公称压力，恒压5分钟，不得有渗漏。</w:t>
      </w:r>
    </w:p>
    <w:p>
      <w:pPr>
        <w:spacing w:line="360" w:lineRule="auto"/>
        <w:outlineLvl w:val="3"/>
        <w:rPr>
          <w:rFonts w:ascii="宋体" w:hAnsi="宋体"/>
        </w:rPr>
      </w:pPr>
      <w:bookmarkStart w:id="5652" w:name="_Toc353976664"/>
      <w:r>
        <w:rPr>
          <w:rFonts w:hint="eastAsia" w:ascii="宋体" w:hAnsi="宋体"/>
        </w:rPr>
        <w:t>5.12</w:t>
      </w:r>
      <w:r>
        <w:rPr>
          <w:rFonts w:ascii="宋体" w:hAnsi="宋体"/>
        </w:rPr>
        <w:t>.3.2 其他管件</w:t>
      </w:r>
      <w:bookmarkEnd w:id="5652"/>
    </w:p>
    <w:p>
      <w:pPr>
        <w:adjustRightInd w:val="0"/>
        <w:snapToGrid w:val="0"/>
        <w:spacing w:line="360" w:lineRule="auto"/>
        <w:ind w:firstLine="500" w:firstLineChars="200"/>
        <w:textAlignment w:val="baseline"/>
        <w:rPr>
          <w:rFonts w:ascii="宋体" w:hAnsi="宋体"/>
          <w:kern w:val="0"/>
          <w:szCs w:val="21"/>
        </w:rPr>
      </w:pPr>
      <w:r>
        <w:rPr>
          <w:rFonts w:ascii="宋体" w:hAnsi="宋体"/>
          <w:kern w:val="0"/>
          <w:szCs w:val="21"/>
        </w:rPr>
        <w:t>承插弯管、全盘四通、插盘短管、双承短管、双承渐放管、盲板法兰等管件应按照图纸要求进行采购，安装时应符合本章技术规范对不同管材的管件的技术要求。</w:t>
      </w:r>
    </w:p>
    <w:p>
      <w:pPr>
        <w:adjustRightInd w:val="0"/>
        <w:snapToGrid w:val="0"/>
        <w:spacing w:line="360" w:lineRule="auto"/>
        <w:outlineLvl w:val="1"/>
        <w:rPr>
          <w:rFonts w:ascii="宋体" w:hAnsi="宋体"/>
          <w:b/>
          <w:bCs/>
        </w:rPr>
      </w:pPr>
      <w:bookmarkStart w:id="5653" w:name="_Toc436811104"/>
      <w:bookmarkStart w:id="5654" w:name="_Toc518058850"/>
      <w:bookmarkStart w:id="5655" w:name="_Toc518376909"/>
      <w:bookmarkStart w:id="5656" w:name="_Toc521492389"/>
      <w:bookmarkStart w:id="5657" w:name="_Toc521493246"/>
      <w:bookmarkStart w:id="5658" w:name="_Toc521493920"/>
      <w:bookmarkStart w:id="5659" w:name="_Toc106883532"/>
      <w:r>
        <w:rPr>
          <w:rFonts w:hint="eastAsia" w:ascii="宋体" w:hAnsi="宋体"/>
          <w:b/>
          <w:bCs/>
        </w:rPr>
        <w:t>5.13</w:t>
      </w:r>
      <w:r>
        <w:rPr>
          <w:rFonts w:ascii="宋体" w:hAnsi="宋体"/>
          <w:b/>
          <w:bCs/>
        </w:rPr>
        <w:t>计量与支付</w:t>
      </w:r>
      <w:bookmarkEnd w:id="5610"/>
      <w:bookmarkEnd w:id="5611"/>
      <w:bookmarkEnd w:id="5653"/>
      <w:bookmarkEnd w:id="5654"/>
      <w:bookmarkEnd w:id="5655"/>
      <w:bookmarkEnd w:id="5656"/>
      <w:bookmarkEnd w:id="5657"/>
      <w:bookmarkEnd w:id="5658"/>
      <w:bookmarkEnd w:id="5659"/>
    </w:p>
    <w:p>
      <w:pPr>
        <w:adjustRightInd w:val="0"/>
        <w:snapToGrid w:val="0"/>
        <w:spacing w:line="360" w:lineRule="auto"/>
        <w:ind w:firstLine="500" w:firstLineChars="200"/>
        <w:textAlignment w:val="baseline"/>
        <w:rPr>
          <w:rFonts w:ascii="宋体" w:hAnsi="宋体"/>
          <w:kern w:val="0"/>
          <w:szCs w:val="21"/>
        </w:rPr>
      </w:pPr>
      <w:r>
        <w:rPr>
          <w:rFonts w:hint="eastAsia" w:ascii="宋体" w:hAnsi="宋体"/>
          <w:kern w:val="0"/>
          <w:szCs w:val="21"/>
        </w:rPr>
        <w:t>详见</w:t>
      </w:r>
      <w:r>
        <w:rPr>
          <w:rFonts w:ascii="宋体" w:hAnsi="宋体"/>
          <w:kern w:val="0"/>
          <w:szCs w:val="21"/>
        </w:rPr>
        <w:t>工程量清单</w:t>
      </w:r>
      <w:r>
        <w:rPr>
          <w:rFonts w:hint="eastAsia" w:ascii="宋体" w:hAnsi="宋体"/>
          <w:kern w:val="0"/>
          <w:szCs w:val="21"/>
        </w:rPr>
        <w:t>。</w:t>
      </w:r>
    </w:p>
    <w:p>
      <w:pPr>
        <w:rPr>
          <w:rFonts w:ascii="宋体" w:hAnsi="宋体"/>
        </w:rPr>
      </w:pPr>
    </w:p>
    <w:p>
      <w:pPr>
        <w:adjustRightInd w:val="0"/>
        <w:snapToGrid w:val="0"/>
        <w:spacing w:line="360" w:lineRule="auto"/>
        <w:ind w:firstLine="500" w:firstLineChars="200"/>
        <w:rPr>
          <w:rFonts w:ascii="宋体" w:hAnsi="宋体"/>
          <w:szCs w:val="21"/>
        </w:rPr>
      </w:pPr>
    </w:p>
    <w:p>
      <w:pPr>
        <w:widowControl/>
        <w:jc w:val="left"/>
        <w:rPr>
          <w:rFonts w:ascii="宋体" w:hAnsi="宋体"/>
          <w:b/>
          <w:sz w:val="32"/>
        </w:rPr>
      </w:pPr>
      <w:r>
        <w:rPr>
          <w:rFonts w:ascii="宋体" w:hAnsi="宋体"/>
          <w:b/>
          <w:sz w:val="32"/>
        </w:rPr>
        <w:br w:type="page"/>
      </w:r>
    </w:p>
    <w:p>
      <w:pPr>
        <w:keepNext/>
        <w:spacing w:line="480" w:lineRule="auto"/>
        <w:jc w:val="center"/>
        <w:outlineLvl w:val="0"/>
        <w:rPr>
          <w:rFonts w:ascii="宋体" w:hAnsi="宋体"/>
          <w:b/>
          <w:sz w:val="32"/>
        </w:rPr>
      </w:pPr>
      <w:bookmarkStart w:id="5660" w:name="_Toc106883533"/>
      <w:r>
        <w:rPr>
          <w:rFonts w:hint="eastAsia" w:ascii="宋体" w:hAnsi="宋体"/>
          <w:b/>
          <w:sz w:val="32"/>
        </w:rPr>
        <w:t>6</w:t>
      </w:r>
      <w:r>
        <w:rPr>
          <w:rFonts w:ascii="宋体" w:hAnsi="宋体"/>
          <w:b/>
          <w:sz w:val="32"/>
        </w:rPr>
        <w:t xml:space="preserve"> 机械</w:t>
      </w:r>
      <w:r>
        <w:rPr>
          <w:rFonts w:hint="eastAsia" w:ascii="宋体" w:hAnsi="宋体"/>
          <w:b/>
          <w:sz w:val="32"/>
        </w:rPr>
        <w:t>/工艺</w:t>
      </w:r>
      <w:r>
        <w:rPr>
          <w:rFonts w:ascii="宋体" w:hAnsi="宋体"/>
          <w:b/>
          <w:sz w:val="32"/>
        </w:rPr>
        <w:t>设备</w:t>
      </w:r>
      <w:r>
        <w:rPr>
          <w:rFonts w:hint="eastAsia" w:ascii="宋体" w:hAnsi="宋体"/>
          <w:b/>
          <w:sz w:val="32"/>
        </w:rPr>
        <w:t>通用技术要求</w:t>
      </w:r>
      <w:bookmarkEnd w:id="5660"/>
    </w:p>
    <w:p>
      <w:pPr>
        <w:snapToGrid w:val="0"/>
        <w:spacing w:before="203" w:beforeLines="50" w:after="203" w:afterLines="50"/>
        <w:outlineLvl w:val="0"/>
        <w:rPr>
          <w:rFonts w:ascii="宋体" w:hAnsi="宋体"/>
          <w:b/>
        </w:rPr>
      </w:pPr>
      <w:bookmarkStart w:id="5661" w:name="_Toc23066"/>
      <w:bookmarkStart w:id="5662" w:name="_Toc29183"/>
      <w:bookmarkStart w:id="5663" w:name="_Toc115840522"/>
      <w:bookmarkStart w:id="5664" w:name="_Toc69484219"/>
      <w:bookmarkStart w:id="5665" w:name="_Toc44593717"/>
      <w:bookmarkStart w:id="5666" w:name="_Toc116811631"/>
      <w:bookmarkStart w:id="5667" w:name="_Toc152414578"/>
      <w:bookmarkStart w:id="5668" w:name="_Toc106883534"/>
      <w:r>
        <w:rPr>
          <w:rFonts w:hint="eastAsia" w:ascii="宋体" w:hAnsi="宋体"/>
          <w:b/>
        </w:rPr>
        <w:t>6.1范围</w:t>
      </w:r>
      <w:bookmarkEnd w:id="5661"/>
      <w:bookmarkEnd w:id="5662"/>
      <w:bookmarkEnd w:id="5663"/>
      <w:bookmarkEnd w:id="5664"/>
      <w:bookmarkEnd w:id="5665"/>
      <w:bookmarkEnd w:id="5666"/>
      <w:bookmarkEnd w:id="5667"/>
      <w:bookmarkEnd w:id="5668"/>
    </w:p>
    <w:p>
      <w:pPr>
        <w:snapToGrid w:val="0"/>
        <w:spacing w:before="203" w:beforeLines="50" w:after="203" w:afterLines="50"/>
        <w:ind w:firstLine="500" w:firstLineChars="200"/>
        <w:rPr>
          <w:rFonts w:ascii="宋体" w:hAnsi="宋体"/>
        </w:rPr>
      </w:pPr>
      <w:r>
        <w:rPr>
          <w:rFonts w:hint="eastAsia" w:ascii="宋体" w:hAnsi="宋体"/>
        </w:rPr>
        <w:t>本合同的机械工程范围，是指承包商在净水厂机械设备采购、安装及调试工程内，为满足水厂处理工艺要求的所有机械设备的设计、制造、测试、供货、运输、安装、调试、试运行、培训、运行维护、交付使用、质保期内保修，以及为上述机械工程所作的一切准备工作、服务、人工、材料和包括竣工资料与操作维护手册的提供，不管它们是否在文件或图纸上注明。</w:t>
      </w:r>
    </w:p>
    <w:p>
      <w:pPr>
        <w:snapToGrid w:val="0"/>
        <w:spacing w:before="203" w:beforeLines="50" w:after="203" w:afterLines="50"/>
        <w:ind w:firstLine="500" w:firstLineChars="200"/>
        <w:rPr>
          <w:rFonts w:ascii="宋体" w:hAnsi="宋体"/>
        </w:rPr>
      </w:pPr>
      <w:r>
        <w:rPr>
          <w:rFonts w:hint="eastAsia" w:ascii="宋体" w:hAnsi="宋体"/>
        </w:rPr>
        <w:t>本合同涉及的主要机械设备或机械工程成套设备如下，但不限于此：</w:t>
      </w:r>
    </w:p>
    <w:p>
      <w:pPr>
        <w:numPr>
          <w:ilvl w:val="2"/>
          <w:numId w:val="15"/>
        </w:numPr>
        <w:tabs>
          <w:tab w:val="left" w:pos="567"/>
        </w:tabs>
        <w:adjustRightInd w:val="0"/>
        <w:snapToGrid w:val="0"/>
        <w:spacing w:before="50" w:after="50"/>
        <w:ind w:left="567" w:hanging="567"/>
        <w:textAlignment w:val="baseline"/>
        <w:rPr>
          <w:rFonts w:ascii="宋体" w:hAnsi="宋体"/>
        </w:rPr>
      </w:pPr>
      <w:bookmarkStart w:id="5669" w:name="_Toc116811632"/>
      <w:bookmarkStart w:id="5670" w:name="_Toc44593718"/>
      <w:bookmarkStart w:id="5671" w:name="_Toc115840523"/>
      <w:bookmarkStart w:id="5672" w:name="_Toc25929"/>
      <w:bookmarkStart w:id="5673" w:name="_Toc6282"/>
      <w:bookmarkStart w:id="5674" w:name="_Toc152414579"/>
      <w:r>
        <w:rPr>
          <w:rFonts w:hint="eastAsia" w:ascii="宋体" w:hAnsi="宋体"/>
        </w:rPr>
        <w:t>泵类：包括离心泵、潜水泵、螺杆泵</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各种电动、气动、手动阀门及闸门和附件</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滤池及反冲洗成套设备</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脱水设备</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罗茨鼓风机</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空气压缩机</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投加系统</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浓缩机</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污泥脱水成套设备</w:t>
      </w:r>
    </w:p>
    <w:p>
      <w:pPr>
        <w:numPr>
          <w:ilvl w:val="2"/>
          <w:numId w:val="15"/>
        </w:numPr>
        <w:tabs>
          <w:tab w:val="left" w:pos="567"/>
        </w:tabs>
        <w:adjustRightInd w:val="0"/>
        <w:snapToGrid w:val="0"/>
        <w:spacing w:before="50" w:after="50"/>
        <w:ind w:left="567" w:hanging="567"/>
        <w:textAlignment w:val="baseline"/>
        <w:rPr>
          <w:rFonts w:ascii="宋体" w:hAnsi="宋体"/>
        </w:rPr>
      </w:pPr>
      <w:r>
        <w:rPr>
          <w:rFonts w:hint="eastAsia" w:ascii="宋体" w:hAnsi="宋体"/>
        </w:rPr>
        <w:t>搅拌机</w:t>
      </w:r>
    </w:p>
    <w:p>
      <w:pPr>
        <w:snapToGrid w:val="0"/>
        <w:spacing w:before="407" w:beforeLines="100" w:after="407" w:afterLines="100"/>
        <w:outlineLvl w:val="1"/>
        <w:rPr>
          <w:rFonts w:ascii="宋体" w:hAnsi="宋体"/>
          <w:b/>
        </w:rPr>
      </w:pPr>
      <w:bookmarkStart w:id="5675" w:name="_Toc69484220"/>
      <w:bookmarkStart w:id="5676" w:name="_Toc106883535"/>
      <w:r>
        <w:rPr>
          <w:rFonts w:hint="eastAsia" w:ascii="宋体" w:hAnsi="宋体"/>
          <w:b/>
        </w:rPr>
        <w:t>6.2 一般技术规范</w:t>
      </w:r>
      <w:bookmarkEnd w:id="5669"/>
      <w:bookmarkEnd w:id="5670"/>
      <w:bookmarkEnd w:id="5671"/>
      <w:bookmarkEnd w:id="5672"/>
      <w:bookmarkEnd w:id="5673"/>
      <w:bookmarkEnd w:id="5674"/>
      <w:bookmarkEnd w:id="5675"/>
      <w:bookmarkEnd w:id="5676"/>
    </w:p>
    <w:p>
      <w:pPr>
        <w:pStyle w:val="5"/>
        <w:snapToGrid w:val="0"/>
        <w:spacing w:before="203" w:beforeLines="50" w:after="203" w:afterLines="50"/>
        <w:rPr>
          <w:rFonts w:ascii="宋体" w:hAnsi="宋体" w:eastAsia="宋体"/>
          <w:bCs/>
          <w:sz w:val="24"/>
        </w:rPr>
      </w:pPr>
      <w:bookmarkStart w:id="5677" w:name="_Toc69484221"/>
      <w:bookmarkStart w:id="5678" w:name="_Toc115840524"/>
      <w:bookmarkStart w:id="5679" w:name="_Toc152414580"/>
      <w:bookmarkStart w:id="5680" w:name="_Toc24414"/>
      <w:bookmarkStart w:id="5681" w:name="_Toc29202"/>
      <w:bookmarkStart w:id="5682" w:name="_Toc44593719"/>
      <w:bookmarkStart w:id="5683" w:name="_Toc116811633"/>
      <w:bookmarkStart w:id="5684" w:name="_Toc106883536"/>
      <w:r>
        <w:rPr>
          <w:rFonts w:hint="eastAsia" w:ascii="宋体" w:hAnsi="宋体" w:eastAsia="宋体"/>
          <w:bCs/>
          <w:sz w:val="24"/>
        </w:rPr>
        <w:t>6.2.1 参照标准</w:t>
      </w:r>
      <w:bookmarkEnd w:id="5677"/>
      <w:bookmarkEnd w:id="5678"/>
      <w:bookmarkEnd w:id="5679"/>
      <w:bookmarkEnd w:id="5680"/>
      <w:bookmarkEnd w:id="5681"/>
      <w:bookmarkEnd w:id="5682"/>
      <w:bookmarkEnd w:id="5683"/>
      <w:bookmarkEnd w:id="5684"/>
    </w:p>
    <w:p>
      <w:pPr>
        <w:snapToGrid w:val="0"/>
        <w:spacing w:before="203" w:beforeLines="50" w:after="203" w:afterLines="50"/>
        <w:ind w:firstLine="500" w:firstLineChars="200"/>
        <w:rPr>
          <w:rFonts w:ascii="宋体" w:hAnsi="宋体"/>
        </w:rPr>
      </w:pPr>
      <w:r>
        <w:rPr>
          <w:rFonts w:hint="eastAsia" w:ascii="宋体" w:hAnsi="宋体"/>
        </w:rPr>
        <w:t>参照标准已列入陈述本工程所需设备技术要求的相应章节中，当合同内没有表明或商定任何标准时，所有详细资料、材料、设备及制造工艺应符合相应的国家规范和标准。</w:t>
      </w:r>
    </w:p>
    <w:p>
      <w:pPr>
        <w:pStyle w:val="5"/>
        <w:spacing w:before="0" w:after="0" w:line="360" w:lineRule="auto"/>
        <w:rPr>
          <w:rFonts w:ascii="宋体" w:hAnsi="宋体" w:eastAsia="宋体"/>
          <w:bCs/>
          <w:sz w:val="24"/>
        </w:rPr>
      </w:pPr>
      <w:bookmarkStart w:id="5685" w:name="_Toc69484222"/>
      <w:bookmarkStart w:id="5686" w:name="_Toc22390"/>
      <w:bookmarkStart w:id="5687" w:name="_Toc44593720"/>
      <w:bookmarkStart w:id="5688" w:name="_Toc3163"/>
      <w:bookmarkStart w:id="5689" w:name="_Toc115840525"/>
      <w:bookmarkStart w:id="5690" w:name="_Toc152414581"/>
      <w:bookmarkStart w:id="5691" w:name="_Toc116811634"/>
      <w:bookmarkStart w:id="5692" w:name="_Toc106883537"/>
      <w:r>
        <w:rPr>
          <w:rFonts w:hint="eastAsia" w:ascii="宋体" w:hAnsi="宋体" w:eastAsia="宋体"/>
          <w:bCs/>
          <w:sz w:val="24"/>
        </w:rPr>
        <w:t>6.2.2 使用期限</w:t>
      </w:r>
      <w:bookmarkEnd w:id="5685"/>
      <w:bookmarkEnd w:id="5686"/>
      <w:bookmarkEnd w:id="5687"/>
      <w:bookmarkEnd w:id="5688"/>
      <w:bookmarkEnd w:id="5689"/>
      <w:bookmarkEnd w:id="5690"/>
      <w:bookmarkEnd w:id="5691"/>
      <w:bookmarkEnd w:id="5692"/>
    </w:p>
    <w:p>
      <w:pPr>
        <w:snapToGrid w:val="0"/>
        <w:spacing w:before="203" w:beforeLines="50" w:after="203" w:afterLines="50"/>
        <w:ind w:firstLine="500" w:firstLineChars="200"/>
        <w:rPr>
          <w:rFonts w:ascii="宋体" w:hAnsi="宋体"/>
        </w:rPr>
      </w:pPr>
      <w:r>
        <w:rPr>
          <w:rFonts w:hint="eastAsia" w:ascii="宋体" w:hAnsi="宋体"/>
        </w:rPr>
        <w:t>设计的材料和设备均应可以长期运行，并应适合于长期的每天二十四小时的连续运转，且只须进行最少量的维修，要求承包商对任何部件使用期作出证明，承包商可以用类似设备的使用记录或用测试报告来证明。</w:t>
      </w:r>
    </w:p>
    <w:p>
      <w:pPr>
        <w:snapToGrid w:val="0"/>
        <w:spacing w:before="203" w:beforeLines="50" w:after="203" w:afterLines="50"/>
        <w:ind w:firstLine="500" w:firstLineChars="200"/>
        <w:rPr>
          <w:rFonts w:ascii="宋体" w:hAnsi="宋体"/>
        </w:rPr>
      </w:pPr>
      <w:r>
        <w:rPr>
          <w:rFonts w:hint="eastAsia" w:ascii="宋体" w:hAnsi="宋体"/>
        </w:rPr>
        <w:t>常规的维护和修理应尽可能的不要求高水平技术人员实施。</w:t>
      </w:r>
    </w:p>
    <w:p>
      <w:pPr>
        <w:snapToGrid w:val="0"/>
        <w:spacing w:before="203" w:beforeLines="50" w:after="203" w:afterLines="50"/>
        <w:ind w:firstLine="500" w:firstLineChars="200"/>
        <w:rPr>
          <w:rFonts w:ascii="宋体" w:hAnsi="宋体"/>
        </w:rPr>
      </w:pPr>
      <w:r>
        <w:rPr>
          <w:rFonts w:hint="eastAsia" w:ascii="宋体" w:hAnsi="宋体"/>
        </w:rPr>
        <w:t>除去易耗件如密封垫料等正常情况需要较频繁的更换外，凡是须经受磨耗的所有部件，除另有规定外，无故障工作时间均不应少于100,000小时，整机的工作寿命应不少于20年，滚动轴承的基本额定寿命为不少于100,000小时。</w:t>
      </w:r>
    </w:p>
    <w:p>
      <w:pPr>
        <w:pStyle w:val="5"/>
        <w:spacing w:before="0" w:after="0" w:line="360" w:lineRule="auto"/>
        <w:rPr>
          <w:rFonts w:ascii="宋体" w:hAnsi="宋体" w:eastAsia="宋体"/>
          <w:bCs/>
          <w:sz w:val="24"/>
        </w:rPr>
      </w:pPr>
      <w:bookmarkStart w:id="5693" w:name="_Toc115840526"/>
      <w:bookmarkStart w:id="5694" w:name="_Toc116811635"/>
      <w:bookmarkStart w:id="5695" w:name="_Toc21910"/>
      <w:bookmarkStart w:id="5696" w:name="_Toc152414582"/>
      <w:bookmarkStart w:id="5697" w:name="_Toc69484223"/>
      <w:bookmarkStart w:id="5698" w:name="_Toc44593721"/>
      <w:bookmarkStart w:id="5699" w:name="_Toc22674"/>
      <w:bookmarkStart w:id="5700" w:name="_Toc106883538"/>
      <w:r>
        <w:rPr>
          <w:rFonts w:hint="eastAsia" w:ascii="宋体" w:hAnsi="宋体" w:eastAsia="宋体"/>
          <w:bCs/>
          <w:sz w:val="24"/>
        </w:rPr>
        <w:t>6.2.3 材料</w:t>
      </w:r>
      <w:bookmarkEnd w:id="5693"/>
      <w:bookmarkEnd w:id="5694"/>
      <w:bookmarkEnd w:id="5695"/>
      <w:bookmarkEnd w:id="5696"/>
      <w:bookmarkEnd w:id="5697"/>
      <w:bookmarkEnd w:id="5698"/>
      <w:bookmarkEnd w:id="5699"/>
      <w:bookmarkEnd w:id="5700"/>
    </w:p>
    <w:p>
      <w:pPr>
        <w:snapToGrid w:val="0"/>
        <w:spacing w:before="203" w:beforeLines="50" w:after="203" w:afterLines="50"/>
        <w:ind w:firstLine="500" w:firstLineChars="200"/>
        <w:rPr>
          <w:rFonts w:ascii="宋体" w:hAnsi="宋体"/>
        </w:rPr>
      </w:pPr>
      <w:r>
        <w:rPr>
          <w:rFonts w:hint="eastAsia" w:ascii="宋体" w:hAnsi="宋体"/>
        </w:rPr>
        <w:t>工程中所使用的材料必须是最适合该工程的，并应是新的、优质的、无缺陷的，且应选择使用寿命长，维护要求低的材料。</w:t>
      </w:r>
    </w:p>
    <w:p>
      <w:pPr>
        <w:snapToGrid w:val="0"/>
        <w:spacing w:before="203" w:beforeLines="50" w:after="203" w:afterLines="50"/>
        <w:ind w:firstLine="500" w:firstLineChars="200"/>
        <w:rPr>
          <w:rFonts w:ascii="宋体" w:hAnsi="宋体"/>
        </w:rPr>
      </w:pPr>
      <w:r>
        <w:rPr>
          <w:rFonts w:hint="eastAsia" w:ascii="宋体" w:hAnsi="宋体"/>
        </w:rPr>
        <w:t>浸没在水下的设备的活动部分及表面，如销、栓与心轴等，应是抗腐蚀的。直接与各种化学制品接触的部件应具有对这些化学制品有完全的抗腐蚀与抗磨损的能力，并能保证这些部件不会由于时间的消逝，暴露在日光下或任何其它原因引起老化。</w:t>
      </w:r>
    </w:p>
    <w:p>
      <w:pPr>
        <w:snapToGrid w:val="0"/>
        <w:spacing w:before="203" w:beforeLines="50" w:after="203" w:afterLines="50"/>
        <w:ind w:firstLine="500" w:firstLineChars="200"/>
        <w:rPr>
          <w:rFonts w:ascii="宋体" w:hAnsi="宋体"/>
        </w:rPr>
      </w:pPr>
      <w:r>
        <w:rPr>
          <w:rFonts w:hint="eastAsia" w:ascii="宋体" w:hAnsi="宋体"/>
        </w:rPr>
        <w:t>当规定中标注“不锈钢”而未标注不锈钢标号（牌号）材料时，它应具有不低于英国</w:t>
      </w:r>
      <w:r>
        <w:rPr>
          <w:rFonts w:ascii="宋体" w:hAnsi="宋体"/>
        </w:rPr>
        <w:t>BS970</w:t>
      </w:r>
      <w:r>
        <w:rPr>
          <w:rFonts w:hint="eastAsia" w:ascii="宋体" w:hAnsi="宋体"/>
        </w:rPr>
        <w:t>标准第四部分规定的抗大气腐蚀的能力。</w:t>
      </w:r>
    </w:p>
    <w:p>
      <w:pPr>
        <w:snapToGrid w:val="0"/>
        <w:spacing w:before="203" w:beforeLines="50" w:after="203" w:afterLines="50"/>
        <w:ind w:firstLine="500" w:firstLineChars="200"/>
        <w:rPr>
          <w:rFonts w:ascii="宋体" w:hAnsi="宋体"/>
        </w:rPr>
      </w:pPr>
      <w:r>
        <w:rPr>
          <w:rFonts w:hint="eastAsia" w:ascii="宋体" w:hAnsi="宋体"/>
        </w:rPr>
        <w:t>（1）水（包括含氯水或其他水）为316S12级种类奥氏体钢。</w:t>
      </w:r>
    </w:p>
    <w:p>
      <w:pPr>
        <w:snapToGrid w:val="0"/>
        <w:spacing w:before="203" w:beforeLines="50" w:after="203" w:afterLines="50"/>
        <w:ind w:firstLine="500" w:firstLineChars="200"/>
        <w:rPr>
          <w:rFonts w:ascii="宋体" w:hAnsi="宋体"/>
        </w:rPr>
      </w:pPr>
      <w:r>
        <w:rPr>
          <w:rFonts w:hint="eastAsia" w:ascii="宋体" w:hAnsi="宋体"/>
        </w:rPr>
        <w:t>（2）大气中为304S15</w:t>
      </w:r>
      <w:r>
        <w:rPr>
          <w:rFonts w:ascii="宋体" w:hAnsi="宋体"/>
        </w:rPr>
        <w:t>级</w:t>
      </w:r>
      <w:r>
        <w:rPr>
          <w:rFonts w:hint="eastAsia" w:ascii="宋体" w:hAnsi="宋体"/>
        </w:rPr>
        <w:t>奥氏体钢。</w:t>
      </w:r>
    </w:p>
    <w:p>
      <w:pPr>
        <w:snapToGrid w:val="0"/>
        <w:spacing w:before="203" w:beforeLines="50" w:after="203" w:afterLines="50"/>
        <w:ind w:firstLine="500" w:firstLineChars="200"/>
        <w:rPr>
          <w:rFonts w:ascii="宋体" w:hAnsi="宋体"/>
        </w:rPr>
      </w:pPr>
      <w:r>
        <w:rPr>
          <w:rFonts w:hint="eastAsia" w:ascii="宋体" w:hAnsi="宋体"/>
        </w:rPr>
        <w:t>这种类型的不锈钢在焊接后应不产生晶间腐蚀，相对滑动（摩擦）场合须防止其相互侵蚀而粘附，具有合适的硬度和粗糙度，并使用润滑剂来防止粘附。</w:t>
      </w:r>
    </w:p>
    <w:p>
      <w:pPr>
        <w:snapToGrid w:val="0"/>
        <w:spacing w:before="203" w:beforeLines="50" w:after="203" w:afterLines="50"/>
        <w:ind w:firstLine="500" w:firstLineChars="200"/>
        <w:rPr>
          <w:rFonts w:ascii="宋体" w:hAnsi="宋体"/>
        </w:rPr>
      </w:pPr>
      <w:r>
        <w:rPr>
          <w:rFonts w:hint="eastAsia" w:ascii="宋体" w:hAnsi="宋体"/>
        </w:rPr>
        <w:t>标注“铸铁”时，应具有GG25以上机械特性。</w:t>
      </w:r>
    </w:p>
    <w:p>
      <w:pPr>
        <w:snapToGrid w:val="0"/>
        <w:spacing w:before="203" w:beforeLines="50" w:after="203" w:afterLines="50"/>
        <w:ind w:firstLine="500" w:firstLineChars="200"/>
        <w:rPr>
          <w:rFonts w:ascii="宋体" w:hAnsi="宋体"/>
        </w:rPr>
      </w:pPr>
      <w:r>
        <w:rPr>
          <w:rFonts w:hint="eastAsia" w:ascii="宋体" w:hAnsi="宋体"/>
        </w:rPr>
        <w:t>标注“工程塑料”时，应采用ABS。</w:t>
      </w:r>
    </w:p>
    <w:p>
      <w:pPr>
        <w:snapToGrid w:val="0"/>
        <w:spacing w:before="203" w:beforeLines="50" w:after="203" w:afterLines="50"/>
        <w:ind w:firstLine="500" w:firstLineChars="200"/>
        <w:rPr>
          <w:rFonts w:ascii="宋体" w:hAnsi="宋体"/>
        </w:rPr>
      </w:pPr>
      <w:r>
        <w:rPr>
          <w:rFonts w:hint="eastAsia" w:ascii="宋体" w:hAnsi="宋体"/>
        </w:rPr>
        <w:t>指定或使用青铜时，必须用不含锌的青铜。</w:t>
      </w:r>
    </w:p>
    <w:p>
      <w:pPr>
        <w:snapToGrid w:val="0"/>
        <w:spacing w:before="203" w:beforeLines="50" w:after="203" w:afterLines="50"/>
        <w:ind w:firstLine="500" w:firstLineChars="200"/>
        <w:rPr>
          <w:rFonts w:ascii="宋体" w:hAnsi="宋体"/>
        </w:rPr>
      </w:pPr>
      <w:r>
        <w:rPr>
          <w:rFonts w:hint="eastAsia" w:ascii="宋体" w:hAnsi="宋体"/>
        </w:rPr>
        <w:t>应防止由于二种电位接近的金属接合而引起的电化学腐蚀，当必须使用不同金属并须相互接触时，则应作选择以使双金属的腐蚀越低越好。必要时应使用橡胶或其它被批准的材料绝缘。</w:t>
      </w:r>
    </w:p>
    <w:p>
      <w:pPr>
        <w:snapToGrid w:val="0"/>
        <w:spacing w:before="203" w:beforeLines="50" w:after="203" w:afterLines="50"/>
        <w:ind w:firstLine="500" w:firstLineChars="200"/>
        <w:rPr>
          <w:rFonts w:ascii="宋体" w:hAnsi="宋体"/>
        </w:rPr>
      </w:pPr>
      <w:r>
        <w:rPr>
          <w:rFonts w:hint="eastAsia" w:ascii="宋体" w:hAnsi="宋体"/>
        </w:rPr>
        <w:t>当合同上规定需要提供材料的样品时，承包商应将这些样品材料在进行制造任何设备前的不少于三十个日历日之前，提交给业主认可，而这些样品所代表的材料，在未获得认可时则不得进行制造，送达现场或用于任何工程中。</w:t>
      </w:r>
    </w:p>
    <w:p>
      <w:pPr>
        <w:pStyle w:val="5"/>
        <w:snapToGrid w:val="0"/>
        <w:spacing w:before="203" w:beforeLines="50" w:after="203" w:afterLines="50"/>
        <w:rPr>
          <w:rFonts w:ascii="宋体" w:hAnsi="宋体" w:eastAsia="宋体"/>
          <w:bCs/>
          <w:sz w:val="24"/>
        </w:rPr>
      </w:pPr>
      <w:bookmarkStart w:id="5701" w:name="_Toc116811636"/>
      <w:bookmarkStart w:id="5702" w:name="_Toc115840527"/>
      <w:bookmarkStart w:id="5703" w:name="_Toc7082"/>
      <w:bookmarkStart w:id="5704" w:name="_Toc44593722"/>
      <w:bookmarkStart w:id="5705" w:name="_Toc152414583"/>
      <w:bookmarkStart w:id="5706" w:name="_Toc69484224"/>
      <w:bookmarkStart w:id="5707" w:name="_Toc13230"/>
      <w:bookmarkStart w:id="5708" w:name="_Toc106883539"/>
      <w:r>
        <w:rPr>
          <w:rFonts w:hint="eastAsia" w:ascii="宋体" w:hAnsi="宋体" w:eastAsia="宋体"/>
          <w:bCs/>
          <w:sz w:val="24"/>
        </w:rPr>
        <w:t>6.2.4 质量控制</w:t>
      </w:r>
      <w:bookmarkEnd w:id="5701"/>
      <w:bookmarkEnd w:id="5702"/>
      <w:bookmarkEnd w:id="5703"/>
      <w:bookmarkEnd w:id="5704"/>
      <w:bookmarkEnd w:id="5705"/>
      <w:bookmarkEnd w:id="5706"/>
      <w:bookmarkEnd w:id="5707"/>
      <w:bookmarkEnd w:id="5708"/>
    </w:p>
    <w:p>
      <w:pPr>
        <w:snapToGrid w:val="0"/>
        <w:spacing w:before="203" w:beforeLines="50" w:after="203" w:afterLines="50"/>
        <w:ind w:firstLine="500" w:firstLineChars="200"/>
        <w:rPr>
          <w:rFonts w:ascii="宋体" w:hAnsi="宋体"/>
        </w:rPr>
      </w:pPr>
      <w:r>
        <w:rPr>
          <w:rFonts w:hint="eastAsia" w:ascii="宋体" w:hAnsi="宋体"/>
        </w:rPr>
        <w:t>制造厂应具有ISO9000系列质量管理控制体系或同类质量管理控制体系的认证。任何机械设备和钢结构件的设计与制造均必须受上述的质量管理体系控制。</w:t>
      </w:r>
    </w:p>
    <w:p>
      <w:pPr>
        <w:pStyle w:val="5"/>
        <w:spacing w:before="203" w:beforeLines="50" w:after="203" w:afterLines="50"/>
        <w:rPr>
          <w:rFonts w:ascii="宋体" w:hAnsi="宋体" w:eastAsia="宋体"/>
          <w:bCs/>
          <w:sz w:val="24"/>
        </w:rPr>
      </w:pPr>
      <w:bookmarkStart w:id="5709" w:name="_Toc44593723"/>
      <w:bookmarkStart w:id="5710" w:name="_Toc28740"/>
      <w:bookmarkStart w:id="5711" w:name="_Toc27905"/>
      <w:bookmarkStart w:id="5712" w:name="_Toc116811637"/>
      <w:bookmarkStart w:id="5713" w:name="_Toc152414584"/>
      <w:bookmarkStart w:id="5714" w:name="_Toc115840528"/>
      <w:bookmarkStart w:id="5715" w:name="_Toc69484225"/>
      <w:bookmarkStart w:id="5716" w:name="_Toc106883540"/>
      <w:r>
        <w:rPr>
          <w:rFonts w:hint="eastAsia" w:ascii="宋体" w:hAnsi="宋体" w:eastAsia="宋体"/>
          <w:bCs/>
          <w:sz w:val="24"/>
        </w:rPr>
        <w:t>6.2.5 铸造与锻造</w:t>
      </w:r>
      <w:bookmarkEnd w:id="5709"/>
      <w:bookmarkEnd w:id="5710"/>
      <w:bookmarkEnd w:id="5711"/>
      <w:bookmarkEnd w:id="5712"/>
      <w:bookmarkEnd w:id="5713"/>
      <w:bookmarkEnd w:id="5714"/>
      <w:bookmarkEnd w:id="5715"/>
      <w:bookmarkEnd w:id="5716"/>
    </w:p>
    <w:p>
      <w:pPr>
        <w:spacing w:before="203" w:beforeLines="50" w:after="203" w:afterLines="50"/>
        <w:rPr>
          <w:rFonts w:ascii="宋体" w:hAnsi="宋体"/>
        </w:rPr>
      </w:pPr>
      <w:r>
        <w:rPr>
          <w:rFonts w:hint="eastAsia" w:ascii="宋体" w:hAnsi="宋体"/>
        </w:rPr>
        <w:t>（1）铸钢件</w:t>
      </w:r>
    </w:p>
    <w:p>
      <w:pPr>
        <w:spacing w:before="203" w:beforeLines="50" w:after="203" w:afterLines="50"/>
        <w:ind w:firstLine="500" w:firstLineChars="200"/>
        <w:rPr>
          <w:rFonts w:ascii="宋体" w:hAnsi="宋体"/>
        </w:rPr>
      </w:pPr>
      <w:r>
        <w:rPr>
          <w:rFonts w:hint="eastAsia" w:ascii="宋体" w:hAnsi="宋体"/>
        </w:rPr>
        <w:t>铸件应从DIN 1681、DIN 17245、DIN 17445和SEW 510或相当的标准所述材料范围选用，且其检验、质量和其它要求至少是可接受的标准。</w:t>
      </w:r>
    </w:p>
    <w:p>
      <w:pPr>
        <w:spacing w:before="203" w:beforeLines="50" w:after="203" w:afterLines="50"/>
        <w:ind w:firstLine="500" w:firstLineChars="200"/>
        <w:rPr>
          <w:rFonts w:ascii="宋体" w:hAnsi="宋体"/>
        </w:rPr>
      </w:pPr>
      <w:r>
        <w:rPr>
          <w:rFonts w:hint="eastAsia" w:ascii="宋体" w:hAnsi="宋体"/>
        </w:rPr>
        <w:t>由于对缺陷而言各种使用场合有不同的要求，因此铸钢件应按DIN17245、质量级别Ⅰ、Ⅱ和Ⅲ级提供。这些质量等级的使用范围如下：</w:t>
      </w:r>
    </w:p>
    <w:p>
      <w:pPr>
        <w:spacing w:before="203" w:beforeLines="50" w:after="203" w:afterLines="50"/>
        <w:ind w:firstLine="500" w:firstLineChars="200"/>
        <w:rPr>
          <w:rFonts w:ascii="宋体" w:hAnsi="宋体"/>
        </w:rPr>
      </w:pPr>
      <w:r>
        <w:rPr>
          <w:rFonts w:hint="eastAsia" w:ascii="宋体" w:hAnsi="宋体"/>
        </w:rPr>
        <w:t>介质温度不超过400℃或可能的最高工作压力达32bar（表压）以下──质量等级：Ⅰ级。</w:t>
      </w:r>
    </w:p>
    <w:p>
      <w:pPr>
        <w:spacing w:before="203" w:beforeLines="50" w:after="203" w:afterLines="50"/>
        <w:ind w:firstLine="500" w:firstLineChars="200"/>
        <w:rPr>
          <w:rFonts w:ascii="宋体" w:hAnsi="宋体"/>
        </w:rPr>
      </w:pPr>
      <w:r>
        <w:rPr>
          <w:rFonts w:hint="eastAsia" w:ascii="宋体" w:hAnsi="宋体"/>
        </w:rPr>
        <w:t>介质温度为400～500℃或可能的最高工作压力达32～80bar（表压）──质量等级：Ⅱ级。</w:t>
      </w:r>
    </w:p>
    <w:p>
      <w:pPr>
        <w:spacing w:before="203" w:beforeLines="50" w:after="203" w:afterLines="50"/>
        <w:ind w:firstLine="500" w:firstLineChars="200"/>
        <w:rPr>
          <w:rFonts w:ascii="宋体" w:hAnsi="宋体"/>
        </w:rPr>
      </w:pPr>
      <w:r>
        <w:rPr>
          <w:rFonts w:hint="eastAsia" w:ascii="宋体" w:hAnsi="宋体"/>
        </w:rPr>
        <w:t>介质温度＞450℃或可能的最高工作压力达80bar（表压）以上──质量等级：Ⅲ级。</w:t>
      </w:r>
    </w:p>
    <w:p>
      <w:pPr>
        <w:spacing w:before="203" w:beforeLines="50" w:after="203" w:afterLines="50"/>
        <w:ind w:firstLine="500" w:firstLineChars="200"/>
        <w:rPr>
          <w:rFonts w:ascii="宋体" w:hAnsi="宋体"/>
        </w:rPr>
      </w:pPr>
      <w:r>
        <w:rPr>
          <w:rFonts w:hint="eastAsia" w:ascii="宋体" w:hAnsi="宋体"/>
        </w:rPr>
        <w:t>如果压力和温度数据不在同一级别时，应取用两种级别中的较高者。</w:t>
      </w:r>
    </w:p>
    <w:p>
      <w:pPr>
        <w:spacing w:before="203" w:beforeLines="50" w:after="203" w:afterLines="50"/>
        <w:rPr>
          <w:rFonts w:ascii="宋体" w:hAnsi="宋体"/>
        </w:rPr>
      </w:pPr>
      <w:r>
        <w:rPr>
          <w:rFonts w:hint="eastAsia" w:ascii="宋体" w:hAnsi="宋体"/>
        </w:rPr>
        <w:t>（2）铸铁件</w:t>
      </w:r>
    </w:p>
    <w:p>
      <w:pPr>
        <w:spacing w:before="203" w:beforeLines="50" w:after="203" w:afterLines="50"/>
        <w:ind w:firstLine="500" w:firstLineChars="200"/>
        <w:rPr>
          <w:rFonts w:ascii="宋体" w:hAnsi="宋体"/>
        </w:rPr>
      </w:pPr>
      <w:r>
        <w:rPr>
          <w:rFonts w:hint="eastAsia" w:ascii="宋体" w:hAnsi="宋体"/>
        </w:rPr>
        <w:t>除非监理工程师特别认可，铸铁将不能使用于受拉伸或冲击、或工作温度超过100℃的任何设备零件。</w:t>
      </w:r>
    </w:p>
    <w:p>
      <w:pPr>
        <w:spacing w:before="203" w:beforeLines="50" w:after="203" w:afterLines="50"/>
        <w:ind w:firstLine="500" w:firstLineChars="200"/>
        <w:rPr>
          <w:rFonts w:ascii="宋体" w:hAnsi="宋体"/>
        </w:rPr>
      </w:pPr>
      <w:r>
        <w:rPr>
          <w:rFonts w:hint="eastAsia" w:ascii="宋体" w:hAnsi="宋体"/>
        </w:rPr>
        <w:t>铸件的材料应符合有关标准，如DIN1691、DIN1692、DIN1693、DIN1694和DIN17006或相当标准的要求。</w:t>
      </w:r>
    </w:p>
    <w:p>
      <w:pPr>
        <w:spacing w:before="203" w:beforeLines="50" w:after="203" w:afterLines="50"/>
        <w:rPr>
          <w:rFonts w:ascii="宋体" w:hAnsi="宋体"/>
        </w:rPr>
      </w:pPr>
      <w:r>
        <w:rPr>
          <w:rFonts w:hint="eastAsia" w:ascii="宋体" w:hAnsi="宋体"/>
        </w:rPr>
        <w:t>（3）锻钢件</w:t>
      </w:r>
    </w:p>
    <w:p>
      <w:pPr>
        <w:spacing w:before="203" w:beforeLines="50" w:after="203" w:afterLines="50"/>
        <w:ind w:firstLine="500" w:firstLineChars="200"/>
        <w:rPr>
          <w:rFonts w:ascii="宋体" w:hAnsi="宋体"/>
        </w:rPr>
      </w:pPr>
      <w:r>
        <w:rPr>
          <w:rFonts w:hint="eastAsia" w:ascii="宋体" w:hAnsi="宋体"/>
        </w:rPr>
        <w:t>承包商应提供一份重要材料采购技术规范的复制件。各有关文件都应对质量和检查要求作明确的陈述。</w:t>
      </w:r>
    </w:p>
    <w:p>
      <w:pPr>
        <w:spacing w:before="203" w:beforeLines="50" w:after="203" w:afterLines="50"/>
        <w:ind w:firstLine="500" w:firstLineChars="200"/>
        <w:rPr>
          <w:rFonts w:ascii="宋体" w:hAnsi="宋体"/>
        </w:rPr>
      </w:pPr>
      <w:r>
        <w:rPr>
          <w:rFonts w:hint="eastAsia" w:ascii="宋体" w:hAnsi="宋体"/>
        </w:rPr>
        <w:t>凡有可能，锻钢件材料和其技术要求尽可能从审定过的国际标准中选用。例如对钢铁材料技术规范：SEW550和SEQ620，对钢铁供货状态SEL620，TR107，对锻件的有关要求DIN7521，DIN7522等。</w:t>
      </w:r>
    </w:p>
    <w:p>
      <w:pPr>
        <w:spacing w:before="203" w:beforeLines="50" w:after="203" w:afterLines="50"/>
        <w:ind w:firstLine="500" w:firstLineChars="200"/>
        <w:rPr>
          <w:rFonts w:ascii="宋体" w:hAnsi="宋体"/>
        </w:rPr>
      </w:pPr>
      <w:r>
        <w:rPr>
          <w:rFonts w:hint="eastAsia" w:ascii="宋体" w:hAnsi="宋体"/>
        </w:rPr>
        <w:t>所有锻件都应用硷性电炉钢或镇静酸性转炉钢制造。有些情况下应考虑用真空脱氧钢。</w:t>
      </w:r>
    </w:p>
    <w:p>
      <w:pPr>
        <w:spacing w:before="203" w:beforeLines="50" w:after="203" w:afterLines="50"/>
        <w:ind w:firstLine="500" w:firstLineChars="200"/>
        <w:rPr>
          <w:rFonts w:ascii="宋体" w:hAnsi="宋体"/>
        </w:rPr>
      </w:pPr>
      <w:r>
        <w:rPr>
          <w:rFonts w:hint="eastAsia" w:ascii="宋体" w:hAnsi="宋体"/>
        </w:rPr>
        <w:t>锻件的外表及内表均应没有裂纹、无机加工所不能消除的大范围的夹渣及表面缺陷。</w:t>
      </w:r>
    </w:p>
    <w:p>
      <w:pPr>
        <w:spacing w:before="203" w:beforeLines="50" w:after="203" w:afterLines="50"/>
        <w:ind w:firstLine="500" w:firstLineChars="200"/>
        <w:rPr>
          <w:rFonts w:ascii="宋体" w:hAnsi="宋体"/>
        </w:rPr>
      </w:pPr>
      <w:r>
        <w:rPr>
          <w:rFonts w:hint="eastAsia" w:ascii="宋体" w:hAnsi="宋体"/>
        </w:rPr>
        <w:t>每个锻件应敲上钢印（标记号），这个号码应在所有精加工过程一直保留。识别标记号应写在该锻件的所有文件及试验证书上。</w:t>
      </w:r>
    </w:p>
    <w:p>
      <w:pPr>
        <w:pStyle w:val="5"/>
        <w:snapToGrid w:val="0"/>
        <w:spacing w:before="203" w:beforeLines="50" w:after="203" w:afterLines="50"/>
        <w:rPr>
          <w:rFonts w:ascii="宋体" w:hAnsi="宋体" w:eastAsia="宋体"/>
          <w:bCs/>
          <w:sz w:val="24"/>
        </w:rPr>
      </w:pPr>
      <w:bookmarkStart w:id="5717" w:name="_Toc26928"/>
      <w:bookmarkStart w:id="5718" w:name="_Toc69484226"/>
      <w:bookmarkStart w:id="5719" w:name="_Toc116811638"/>
      <w:bookmarkStart w:id="5720" w:name="_Toc44593724"/>
      <w:bookmarkStart w:id="5721" w:name="_Toc115840529"/>
      <w:bookmarkStart w:id="5722" w:name="_Toc8052"/>
      <w:bookmarkStart w:id="5723" w:name="_Toc152414585"/>
      <w:bookmarkStart w:id="5724" w:name="_Toc106883541"/>
      <w:r>
        <w:rPr>
          <w:rFonts w:hint="eastAsia" w:ascii="宋体" w:hAnsi="宋体" w:eastAsia="宋体"/>
          <w:bCs/>
          <w:sz w:val="24"/>
        </w:rPr>
        <w:t>6.2.6 齿轮传动与齿轮箱</w:t>
      </w:r>
      <w:bookmarkEnd w:id="5717"/>
      <w:bookmarkEnd w:id="5718"/>
      <w:bookmarkEnd w:id="5719"/>
      <w:bookmarkEnd w:id="5720"/>
      <w:bookmarkEnd w:id="5721"/>
      <w:bookmarkEnd w:id="5722"/>
      <w:bookmarkEnd w:id="5723"/>
      <w:bookmarkEnd w:id="5724"/>
    </w:p>
    <w:p>
      <w:pPr>
        <w:snapToGrid w:val="0"/>
        <w:spacing w:before="120" w:after="120"/>
        <w:rPr>
          <w:rFonts w:ascii="宋体" w:hAnsi="宋体"/>
        </w:rPr>
      </w:pPr>
      <w:r>
        <w:rPr>
          <w:rFonts w:hint="eastAsia" w:ascii="宋体" w:hAnsi="宋体"/>
        </w:rPr>
        <w:t>（1）所有的齿轮传动均应符合ISO标准或同类标准，服务系数不低于1.4，所有的齿轮传动均应由箱体封闭。齿轮的材料应采用合金钢16MnCr或更好，齿面需作渗碳淬火处理，表面硬度HRC58</w:t>
      </w:r>
      <w:r>
        <w:rPr>
          <w:rFonts w:ascii="宋体" w:hAnsi="宋体"/>
        </w:rPr>
        <w:t>～</w:t>
      </w:r>
      <w:r>
        <w:rPr>
          <w:rFonts w:hint="eastAsia" w:ascii="宋体" w:hAnsi="宋体"/>
        </w:rPr>
        <w:t>62，磨齿精度不低于DIN3962的7级。</w:t>
      </w:r>
    </w:p>
    <w:p>
      <w:pPr>
        <w:snapToGrid w:val="0"/>
        <w:spacing w:before="120" w:after="120"/>
        <w:rPr>
          <w:rFonts w:ascii="宋体" w:hAnsi="宋体"/>
        </w:rPr>
      </w:pPr>
      <w:r>
        <w:rPr>
          <w:rFonts w:hint="eastAsia" w:ascii="宋体" w:hAnsi="宋体"/>
        </w:rPr>
        <w:t>（2）齿轮箱应按以下规定来设计和制造，应具有：</w:t>
      </w:r>
    </w:p>
    <w:p>
      <w:pPr>
        <w:numPr>
          <w:ilvl w:val="0"/>
          <w:numId w:val="16"/>
        </w:numPr>
        <w:tabs>
          <w:tab w:val="left" w:pos="993"/>
        </w:tabs>
        <w:adjustRightInd w:val="0"/>
        <w:snapToGrid w:val="0"/>
        <w:spacing w:before="120" w:after="120"/>
        <w:ind w:left="993" w:hanging="426"/>
        <w:textAlignment w:val="baseline"/>
        <w:rPr>
          <w:rFonts w:ascii="宋体" w:hAnsi="宋体"/>
        </w:rPr>
      </w:pPr>
      <w:r>
        <w:rPr>
          <w:rFonts w:hint="eastAsia" w:ascii="宋体" w:hAnsi="宋体"/>
        </w:rPr>
        <w:t>刻度清楚的观察玻璃或量油尺，以显示流动的或静止的油位；</w:t>
      </w:r>
    </w:p>
    <w:p>
      <w:pPr>
        <w:numPr>
          <w:ilvl w:val="0"/>
          <w:numId w:val="16"/>
        </w:numPr>
        <w:tabs>
          <w:tab w:val="left" w:pos="993"/>
        </w:tabs>
        <w:adjustRightInd w:val="0"/>
        <w:snapToGrid w:val="0"/>
        <w:spacing w:before="120" w:after="120"/>
        <w:ind w:left="993" w:hanging="426"/>
        <w:textAlignment w:val="baseline"/>
        <w:rPr>
          <w:rFonts w:ascii="宋体" w:hAnsi="宋体"/>
        </w:rPr>
      </w:pPr>
      <w:r>
        <w:rPr>
          <w:rFonts w:hint="eastAsia" w:ascii="宋体" w:hAnsi="宋体"/>
        </w:rPr>
        <w:t>齿轮箱的所有接缝处须密封可靠以防止水与灰尘的进入，或润滑剂的外流；</w:t>
      </w:r>
    </w:p>
    <w:p>
      <w:pPr>
        <w:numPr>
          <w:ilvl w:val="0"/>
          <w:numId w:val="16"/>
        </w:numPr>
        <w:tabs>
          <w:tab w:val="left" w:pos="993"/>
        </w:tabs>
        <w:adjustRightInd w:val="0"/>
        <w:snapToGrid w:val="0"/>
        <w:spacing w:before="120" w:after="120"/>
        <w:ind w:left="993" w:hanging="426"/>
        <w:textAlignment w:val="baseline"/>
        <w:rPr>
          <w:rFonts w:ascii="宋体" w:hAnsi="宋体"/>
        </w:rPr>
      </w:pPr>
      <w:r>
        <w:rPr>
          <w:rFonts w:hint="eastAsia" w:ascii="宋体" w:hAnsi="宋体"/>
        </w:rPr>
        <w:t>装有用螺栓拧紧盖的检查孔、加油的接头、通气塞、排放旋塞或塞阀，如果需要，溢流与排放的接管应予以延伸并与排放装置联结；以避免排出的油溢出；箱体上须设置手柄或吊环；每个齿轮箱接合面或底座上用圆锥销定位；齿轮传动部件应便于检查和进行维修。</w:t>
      </w:r>
    </w:p>
    <w:p>
      <w:pPr>
        <w:pStyle w:val="5"/>
        <w:spacing w:before="0" w:after="0" w:line="360" w:lineRule="auto"/>
        <w:rPr>
          <w:rFonts w:ascii="宋体" w:hAnsi="宋体" w:eastAsia="宋体"/>
          <w:bCs/>
          <w:sz w:val="24"/>
        </w:rPr>
      </w:pPr>
      <w:bookmarkStart w:id="5725" w:name="_Toc26899"/>
      <w:bookmarkStart w:id="5726" w:name="_Toc44593725"/>
      <w:bookmarkStart w:id="5727" w:name="_Toc115840530"/>
      <w:bookmarkStart w:id="5728" w:name="_Toc8483"/>
      <w:bookmarkStart w:id="5729" w:name="_Toc152414586"/>
      <w:bookmarkStart w:id="5730" w:name="_Toc116811639"/>
      <w:bookmarkStart w:id="5731" w:name="_Toc69484227"/>
      <w:bookmarkStart w:id="5732" w:name="_Toc106883542"/>
      <w:r>
        <w:rPr>
          <w:rFonts w:hint="eastAsia" w:ascii="宋体" w:hAnsi="宋体" w:eastAsia="宋体"/>
          <w:bCs/>
          <w:sz w:val="24"/>
        </w:rPr>
        <w:t>6.2.7 焊接</w:t>
      </w:r>
      <w:bookmarkEnd w:id="5725"/>
      <w:bookmarkEnd w:id="5726"/>
      <w:bookmarkEnd w:id="5727"/>
      <w:bookmarkEnd w:id="5728"/>
      <w:bookmarkEnd w:id="5729"/>
      <w:bookmarkEnd w:id="5730"/>
      <w:bookmarkEnd w:id="5731"/>
      <w:bookmarkEnd w:id="5732"/>
    </w:p>
    <w:p>
      <w:pPr>
        <w:pStyle w:val="6"/>
        <w:spacing w:before="0" w:after="0" w:line="377" w:lineRule="auto"/>
        <w:rPr>
          <w:rFonts w:ascii="宋体" w:hAnsi="宋体" w:eastAsia="宋体"/>
          <w:bCs w:val="0"/>
          <w:sz w:val="24"/>
          <w:szCs w:val="24"/>
        </w:rPr>
      </w:pPr>
      <w:r>
        <w:rPr>
          <w:rFonts w:hint="eastAsia" w:ascii="宋体" w:hAnsi="宋体" w:eastAsia="宋体"/>
          <w:bCs w:val="0"/>
          <w:sz w:val="24"/>
          <w:szCs w:val="24"/>
        </w:rPr>
        <w:t>6.2.7.1 总述</w:t>
      </w:r>
    </w:p>
    <w:p>
      <w:pPr>
        <w:snapToGrid w:val="0"/>
        <w:spacing w:before="203" w:beforeLines="50" w:after="203" w:afterLines="50"/>
        <w:ind w:firstLine="500" w:firstLineChars="200"/>
        <w:rPr>
          <w:rFonts w:ascii="宋体" w:hAnsi="宋体"/>
        </w:rPr>
      </w:pPr>
      <w:r>
        <w:rPr>
          <w:rFonts w:hint="eastAsia" w:ascii="宋体" w:hAnsi="宋体"/>
        </w:rPr>
        <w:t>执行本合同所进行的一切焊接，都应遵守本招标文件规定的有关标准或监理工程师同意的相当标准。为了得到认可，承包商应证实所拟采用的焊接技术规范和标准与本技术规范的要求不存在矛盾之处，并与有关章节里的规范是一致的。在设计规范和标准间有矛盾时，应由监理工程师决定何者为准。</w:t>
      </w:r>
    </w:p>
    <w:p>
      <w:pPr>
        <w:snapToGrid w:val="0"/>
        <w:spacing w:before="203" w:beforeLines="50" w:after="203" w:afterLines="50"/>
        <w:ind w:firstLine="500" w:firstLineChars="200"/>
        <w:rPr>
          <w:rFonts w:ascii="宋体" w:hAnsi="宋体"/>
        </w:rPr>
      </w:pPr>
      <w:r>
        <w:rPr>
          <w:rFonts w:hint="eastAsia" w:ascii="宋体" w:hAnsi="宋体"/>
        </w:rPr>
        <w:t>承包商应满足按每个设备的技术规范进行焊接所必需的机械、劳动力、设备、工具、材料及消耗品。所有设备、机械和工具应该有好的质量和维护并完全适合于使用目的。</w:t>
      </w:r>
    </w:p>
    <w:p>
      <w:pPr>
        <w:snapToGrid w:val="0"/>
        <w:spacing w:before="203" w:beforeLines="50" w:after="203" w:afterLines="50"/>
        <w:ind w:firstLine="500" w:firstLineChars="200"/>
        <w:rPr>
          <w:rFonts w:ascii="宋体" w:hAnsi="宋体"/>
        </w:rPr>
      </w:pPr>
      <w:r>
        <w:rPr>
          <w:rFonts w:hint="eastAsia" w:ascii="宋体" w:hAnsi="宋体"/>
        </w:rPr>
        <w:t>承包商应对其设备和人员与政府机构和其它地方当局颁布的规则和要求相符合负责。这些规则是指针对气割和焊接操作、放射源和同位素的使用、搬运和储存。</w:t>
      </w:r>
    </w:p>
    <w:p>
      <w:pPr>
        <w:snapToGrid w:val="0"/>
        <w:spacing w:before="203" w:beforeLines="50" w:after="203" w:afterLines="50"/>
        <w:ind w:firstLine="500" w:firstLineChars="200"/>
        <w:rPr>
          <w:rFonts w:ascii="宋体" w:hAnsi="宋体"/>
        </w:rPr>
      </w:pPr>
      <w:r>
        <w:rPr>
          <w:rFonts w:hint="eastAsia" w:ascii="宋体" w:hAnsi="宋体"/>
        </w:rPr>
        <w:t>施焊人员均应具有相应等级的焊工资格证书及在焊接监督员的监督之下进行。派往工地的焊接监督员应该是在建设工地焊接有监督经验的人员，并具有执行本技术规范所述标准的工作经验。</w:t>
      </w:r>
    </w:p>
    <w:p>
      <w:pPr>
        <w:pStyle w:val="6"/>
        <w:spacing w:before="0" w:after="0" w:line="377" w:lineRule="auto"/>
        <w:rPr>
          <w:rFonts w:ascii="宋体" w:hAnsi="宋体" w:eastAsia="宋体"/>
          <w:bCs w:val="0"/>
          <w:sz w:val="24"/>
          <w:szCs w:val="24"/>
        </w:rPr>
      </w:pPr>
      <w:r>
        <w:rPr>
          <w:rFonts w:hint="eastAsia" w:ascii="宋体" w:hAnsi="宋体" w:eastAsia="宋体"/>
          <w:bCs w:val="0"/>
          <w:sz w:val="24"/>
          <w:szCs w:val="24"/>
        </w:rPr>
        <w:t>6.2.7.2 焊接技术</w:t>
      </w:r>
    </w:p>
    <w:p>
      <w:pPr>
        <w:spacing w:before="203" w:beforeLines="50" w:after="203" w:afterLines="50"/>
        <w:ind w:firstLine="500" w:firstLineChars="200"/>
        <w:rPr>
          <w:rFonts w:ascii="宋体" w:hAnsi="宋体"/>
        </w:rPr>
      </w:pPr>
      <w:r>
        <w:rPr>
          <w:rFonts w:hint="eastAsia" w:ascii="宋体" w:hAnsi="宋体"/>
        </w:rPr>
        <w:t>低合金钢、高屈服点钢及其它Ⅰ级钢（BS2633：输送流体的管道用铁素体钢的电弧焊）的单侧对接焊需用钨级惰性气体保护焊或手工气体保护焊打底（根部）。金属焊丝惰性气体（CO2）保护自动焊（MIG）短路过渡焊及金属焊丝惰性气体保护焊中采用焊药芯焊均不能接受的。对于Ⅰ级钢不能采用衬环、衬底和易熔的根部嵌条，而仅可在监理工程师事先同意的其它系统中采用。焊接过程的设计应保证至少1.5mm～最大3.0mm的焊接加强高度。</w:t>
      </w:r>
    </w:p>
    <w:p>
      <w:pPr>
        <w:spacing w:before="203" w:beforeLines="50" w:after="203" w:afterLines="50"/>
        <w:ind w:firstLine="500" w:firstLineChars="200"/>
        <w:rPr>
          <w:rFonts w:ascii="宋体" w:hAnsi="宋体"/>
        </w:rPr>
      </w:pPr>
      <w:r>
        <w:rPr>
          <w:rFonts w:hint="eastAsia" w:ascii="宋体" w:hAnsi="宋体"/>
        </w:rPr>
        <w:t>按ANSI 31.1的要求和SAME规范第九章规定为每一种焊接形式应提供两份最新版“焊接工艺技术规范”（WPS）和“工艺鉴定记录”（PQR）的复印件。</w:t>
      </w:r>
    </w:p>
    <w:p>
      <w:pPr>
        <w:pStyle w:val="6"/>
        <w:spacing w:before="0" w:after="0" w:line="377" w:lineRule="auto"/>
        <w:rPr>
          <w:rFonts w:ascii="宋体" w:hAnsi="宋体" w:eastAsia="宋体"/>
          <w:bCs w:val="0"/>
          <w:sz w:val="24"/>
          <w:szCs w:val="24"/>
        </w:rPr>
      </w:pPr>
      <w:r>
        <w:rPr>
          <w:rFonts w:hint="eastAsia" w:ascii="宋体" w:hAnsi="宋体" w:eastAsia="宋体"/>
          <w:bCs w:val="0"/>
          <w:sz w:val="24"/>
          <w:szCs w:val="24"/>
        </w:rPr>
        <w:t>6.2.7.3 焊接消耗品的存储</w:t>
      </w:r>
    </w:p>
    <w:p>
      <w:pPr>
        <w:snapToGrid w:val="0"/>
        <w:spacing w:before="203" w:beforeLines="50" w:after="203" w:afterLines="50"/>
        <w:ind w:firstLine="500" w:firstLineChars="200"/>
        <w:rPr>
          <w:rFonts w:ascii="宋体" w:hAnsi="宋体"/>
        </w:rPr>
      </w:pPr>
      <w:r>
        <w:rPr>
          <w:rFonts w:hint="eastAsia" w:ascii="宋体" w:hAnsi="宋体"/>
        </w:rPr>
        <w:t>所有焊接电焊条、焊丝和焊剂应存储在清洁干燥的地方，并应防止各种形式的破坏。所有焊接消耗品应正确地进行标记，并将这些标记一直保留到使用时为止。每批电焊条和焊丝可用各制造厂的试验证书和使用注意事项加以识别，并将严格地按供应顺序使用。</w:t>
      </w:r>
    </w:p>
    <w:p>
      <w:pPr>
        <w:snapToGrid w:val="0"/>
        <w:spacing w:before="203" w:beforeLines="50" w:after="203" w:afterLines="50"/>
        <w:ind w:firstLine="500" w:firstLineChars="200"/>
        <w:rPr>
          <w:rFonts w:ascii="宋体" w:hAnsi="宋体"/>
        </w:rPr>
      </w:pPr>
      <w:r>
        <w:rPr>
          <w:rFonts w:hint="eastAsia" w:ascii="宋体" w:hAnsi="宋体"/>
        </w:rPr>
        <w:t>焊剂层损坏的焊条、弯曲的焊条及遗失标记的焊条都不能用于本技术规范所包括的场合。</w:t>
      </w:r>
    </w:p>
    <w:p>
      <w:pPr>
        <w:snapToGrid w:val="0"/>
        <w:spacing w:before="203" w:beforeLines="50" w:after="203" w:afterLines="50"/>
        <w:ind w:firstLine="500" w:firstLineChars="200"/>
        <w:rPr>
          <w:rFonts w:ascii="宋体" w:hAnsi="宋体"/>
        </w:rPr>
      </w:pPr>
      <w:r>
        <w:rPr>
          <w:rFonts w:hint="eastAsia" w:ascii="宋体" w:hAnsi="宋体"/>
        </w:rPr>
        <w:t>承包商应供应足够数量的干燥烘箱，以便在使用前48小时内正确地存储电焊条。干燥烘箱应采用电加热，并有加热温度自动控制器及目视温度计。电焊条存储温度由制造厂提供；但对于低氢成分的电焊条，不应低于100℃。低氢成分的电焊条再次烘干时应严格地按制造厂的建议进行。</w:t>
      </w:r>
    </w:p>
    <w:p>
      <w:pPr>
        <w:snapToGrid w:val="0"/>
        <w:spacing w:before="203" w:beforeLines="50" w:after="203" w:afterLines="50"/>
        <w:ind w:firstLine="500" w:firstLineChars="200"/>
        <w:rPr>
          <w:rFonts w:ascii="宋体" w:hAnsi="宋体"/>
        </w:rPr>
      </w:pPr>
      <w:r>
        <w:rPr>
          <w:rFonts w:hint="eastAsia" w:ascii="宋体" w:hAnsi="宋体"/>
        </w:rPr>
        <w:t>所有电焊条向工作场所发送时应放在保温箱内运送。电焊条在使用以前都应留在保温的容器内。</w:t>
      </w:r>
    </w:p>
    <w:p>
      <w:pPr>
        <w:snapToGrid w:val="0"/>
        <w:spacing w:before="203" w:beforeLines="50" w:after="203" w:afterLines="50"/>
        <w:ind w:firstLine="500" w:firstLineChars="200"/>
        <w:rPr>
          <w:rFonts w:ascii="宋体" w:hAnsi="宋体"/>
        </w:rPr>
      </w:pPr>
      <w:r>
        <w:rPr>
          <w:rFonts w:hint="eastAsia" w:ascii="宋体" w:hAnsi="宋体"/>
        </w:rPr>
        <w:t>与燃烧或焊接设备一起使用的气瓶应按ISO标准的要求进行标志后才供应给工作场合。它们在需要使用以前应存放在有适当遮阳设施的地方。</w:t>
      </w:r>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6.2.7.4 焊接设备</w:t>
      </w:r>
    </w:p>
    <w:p>
      <w:pPr>
        <w:snapToGrid w:val="0"/>
        <w:spacing w:before="203" w:beforeLines="50" w:after="203" w:afterLines="50"/>
        <w:ind w:firstLine="500" w:firstLineChars="200"/>
        <w:rPr>
          <w:rFonts w:ascii="宋体" w:hAnsi="宋体"/>
        </w:rPr>
      </w:pPr>
      <w:r>
        <w:rPr>
          <w:rFonts w:hint="eastAsia" w:ascii="宋体" w:hAnsi="宋体"/>
        </w:rPr>
        <w:t>焊接设备应有充足的容量，并维持在保证焊接质量的良好状态，能使用工地所要求的所有尺寸的电焊条。</w:t>
      </w:r>
    </w:p>
    <w:p>
      <w:pPr>
        <w:snapToGrid w:val="0"/>
        <w:spacing w:before="203" w:beforeLines="50" w:after="203" w:afterLines="50"/>
        <w:ind w:firstLine="500" w:firstLineChars="200"/>
        <w:rPr>
          <w:rFonts w:ascii="宋体" w:hAnsi="宋体"/>
        </w:rPr>
      </w:pPr>
      <w:r>
        <w:rPr>
          <w:rFonts w:hint="eastAsia" w:ascii="宋体" w:hAnsi="宋体"/>
        </w:rPr>
        <w:t>任何焊接设备，如果业主/监理工程师认为不适用或不能满足工作要求的，承包商应予以更换。</w:t>
      </w:r>
    </w:p>
    <w:p>
      <w:pPr>
        <w:snapToGrid w:val="0"/>
        <w:spacing w:before="203" w:beforeLines="50" w:after="203" w:afterLines="50"/>
        <w:ind w:firstLine="500" w:firstLineChars="200"/>
        <w:rPr>
          <w:rFonts w:ascii="宋体" w:hAnsi="宋体"/>
        </w:rPr>
      </w:pPr>
      <w:r>
        <w:rPr>
          <w:rFonts w:hint="eastAsia" w:ascii="宋体" w:hAnsi="宋体"/>
        </w:rPr>
        <w:t>焊接机械接地线应用夹头或其它认可的方法牢固地固在工作场地上。焊接电缆应维持完好状态，避免纽结和连接点松脱。</w:t>
      </w:r>
    </w:p>
    <w:p>
      <w:pPr>
        <w:pStyle w:val="6"/>
        <w:spacing w:before="0" w:after="0" w:line="377" w:lineRule="auto"/>
        <w:rPr>
          <w:rFonts w:ascii="宋体" w:hAnsi="宋体" w:eastAsia="宋体"/>
          <w:bCs w:val="0"/>
          <w:sz w:val="24"/>
          <w:szCs w:val="24"/>
        </w:rPr>
      </w:pPr>
      <w:r>
        <w:rPr>
          <w:rFonts w:hint="eastAsia" w:ascii="宋体" w:hAnsi="宋体" w:eastAsia="宋体"/>
          <w:bCs w:val="0"/>
          <w:sz w:val="24"/>
          <w:szCs w:val="24"/>
        </w:rPr>
        <w:t>6.2.7.5 焊接工作</w:t>
      </w:r>
    </w:p>
    <w:p>
      <w:pPr>
        <w:snapToGrid w:val="0"/>
        <w:spacing w:before="203" w:beforeLines="50" w:after="203" w:afterLines="50"/>
        <w:ind w:firstLine="500" w:firstLineChars="200"/>
        <w:rPr>
          <w:rFonts w:ascii="宋体" w:hAnsi="宋体"/>
        </w:rPr>
      </w:pPr>
      <w:r>
        <w:rPr>
          <w:rFonts w:hint="eastAsia" w:ascii="宋体" w:hAnsi="宋体"/>
        </w:rPr>
        <w:t>焊接工作应配置适当的防火、防风、防风沙及防潮湿水分的设备。焊接工作不应在天气条件不允许的操作和充分的检查的情况下进行。</w:t>
      </w:r>
    </w:p>
    <w:p>
      <w:pPr>
        <w:snapToGrid w:val="0"/>
        <w:spacing w:before="203" w:beforeLines="50" w:after="203" w:afterLines="50"/>
        <w:ind w:firstLine="500" w:firstLineChars="200"/>
        <w:rPr>
          <w:rFonts w:ascii="宋体" w:hAnsi="宋体"/>
        </w:rPr>
      </w:pPr>
      <w:r>
        <w:rPr>
          <w:rFonts w:hint="eastAsia" w:ascii="宋体" w:hAnsi="宋体"/>
        </w:rPr>
        <w:t>焊接坡口的准备可以是加工、剪切、气割和磨削，应仔细精确的进行。气割时应尽量使用机械引导工具。一切边缘都应去除渣屑、毛刺、氧化皮及异物，最后的坡口应与设计要求相符合。</w:t>
      </w:r>
    </w:p>
    <w:p>
      <w:pPr>
        <w:snapToGrid w:val="0"/>
        <w:spacing w:before="203" w:beforeLines="50" w:after="203" w:afterLines="50"/>
        <w:ind w:firstLine="500" w:firstLineChars="200"/>
        <w:rPr>
          <w:rFonts w:ascii="宋体" w:hAnsi="宋体"/>
        </w:rPr>
      </w:pPr>
      <w:r>
        <w:rPr>
          <w:rFonts w:hint="eastAsia" w:ascii="宋体" w:hAnsi="宋体"/>
        </w:rPr>
        <w:t>在焊接以前，焊口应是干燥的，无潮气形成的凝结水。</w:t>
      </w:r>
    </w:p>
    <w:p>
      <w:pPr>
        <w:snapToGrid w:val="0"/>
        <w:spacing w:before="203" w:beforeLines="50" w:after="203" w:afterLines="50"/>
        <w:ind w:firstLine="500" w:firstLineChars="200"/>
        <w:rPr>
          <w:rFonts w:ascii="宋体" w:hAnsi="宋体"/>
        </w:rPr>
      </w:pPr>
      <w:r>
        <w:rPr>
          <w:rFonts w:hint="eastAsia" w:ascii="宋体" w:hAnsi="宋体"/>
        </w:rPr>
        <w:t>承压部件及结构零件的焊口应进行超声波检查、着色试验（用液体试验）或磁粉检查。</w:t>
      </w:r>
    </w:p>
    <w:p>
      <w:pPr>
        <w:snapToGrid w:val="0"/>
        <w:spacing w:before="203" w:beforeLines="50" w:after="203" w:afterLines="50"/>
        <w:ind w:firstLine="500" w:firstLineChars="200"/>
        <w:rPr>
          <w:rFonts w:ascii="宋体" w:hAnsi="宋体"/>
        </w:rPr>
      </w:pPr>
      <w:r>
        <w:rPr>
          <w:rFonts w:hint="eastAsia" w:ascii="宋体" w:hAnsi="宋体"/>
        </w:rPr>
        <w:t>应采用认可的对中轧头，并且在根部焊接完成以前不能取下。凡使用过的定位板或跨接件在割掉时应特别小心。焊缝送去检查以前应将裂缝及缺陷磨掉。这些部位应按与焊缝同样的方法进行检验，如果这些部位要承压或位于钢构件上的话。</w:t>
      </w:r>
    </w:p>
    <w:p>
      <w:pPr>
        <w:snapToGrid w:val="0"/>
        <w:spacing w:before="203" w:beforeLines="50" w:after="203" w:afterLines="50"/>
        <w:ind w:firstLine="500" w:firstLineChars="200"/>
        <w:rPr>
          <w:rFonts w:ascii="宋体" w:hAnsi="宋体"/>
        </w:rPr>
      </w:pPr>
      <w:r>
        <w:rPr>
          <w:rFonts w:hint="eastAsia" w:ascii="宋体" w:hAnsi="宋体"/>
        </w:rPr>
        <w:t>焊接准备中采用点焊是允许的，但在完成根部焊接以前应彻底磨掉。电焊条及点焊的预热要求与实焊时的要求相同。任何不完善的点焊应在进行焊接根部以前清除。</w:t>
      </w:r>
    </w:p>
    <w:p>
      <w:pPr>
        <w:snapToGrid w:val="0"/>
        <w:spacing w:before="203" w:beforeLines="50" w:after="203" w:afterLines="50"/>
        <w:ind w:firstLine="500" w:firstLineChars="200"/>
        <w:rPr>
          <w:rFonts w:ascii="宋体" w:hAnsi="宋体"/>
        </w:rPr>
      </w:pPr>
      <w:r>
        <w:rPr>
          <w:rFonts w:hint="eastAsia" w:ascii="宋体" w:hAnsi="宋体"/>
        </w:rPr>
        <w:t>需要进行预热的情况下，凡是可能都应用电阻或高频设备来预热，或者用特殊的火焰喷嘴预热。预热和层间温度都应用测温笔在离开焊缝不小于75mm的地方检查。用手握火炬进行预热是不允许的。应按英国标准BS2633或相当的标准进行热处理。</w:t>
      </w:r>
    </w:p>
    <w:p>
      <w:pPr>
        <w:snapToGrid w:val="0"/>
        <w:spacing w:before="203" w:beforeLines="50" w:after="203" w:afterLines="50"/>
        <w:ind w:firstLine="500" w:firstLineChars="200"/>
        <w:rPr>
          <w:rFonts w:ascii="宋体" w:hAnsi="宋体"/>
        </w:rPr>
      </w:pPr>
      <w:r>
        <w:rPr>
          <w:rFonts w:hint="eastAsia" w:ascii="宋体" w:hAnsi="宋体"/>
        </w:rPr>
        <w:t>在焊接过程中应去除焊渣、多余的焊缝金属及不规则的表面。清理工作可用手或有动力的工具。禁止用火焰刨削。</w:t>
      </w:r>
    </w:p>
    <w:p>
      <w:pPr>
        <w:snapToGrid w:val="0"/>
        <w:spacing w:before="203" w:beforeLines="50" w:after="203" w:afterLines="50"/>
        <w:ind w:firstLine="500" w:firstLineChars="200"/>
        <w:rPr>
          <w:rFonts w:ascii="宋体" w:hAnsi="宋体"/>
        </w:rPr>
      </w:pPr>
      <w:r>
        <w:rPr>
          <w:rFonts w:hint="eastAsia" w:ascii="宋体" w:hAnsi="宋体"/>
        </w:rPr>
        <w:t>背面的修整可用电弧空气刨，前提是要将焊槽磨成光滑的曲面，所有在电弧气刨过程中生成的表面不规则物都应被除去，然后对焊槽用磁粉试验方法进行检查。</w:t>
      </w:r>
    </w:p>
    <w:p>
      <w:pPr>
        <w:snapToGrid w:val="0"/>
        <w:spacing w:before="203" w:beforeLines="50" w:after="203" w:afterLines="50"/>
        <w:ind w:firstLine="500" w:firstLineChars="200"/>
        <w:rPr>
          <w:rFonts w:ascii="宋体" w:hAnsi="宋体"/>
        </w:rPr>
      </w:pPr>
      <w:r>
        <w:rPr>
          <w:rFonts w:hint="eastAsia" w:ascii="宋体" w:hAnsi="宋体"/>
        </w:rPr>
        <w:t>焊上的附加件，如搭子、楔子、支撑铁等应远离应力高及承压的焊缝。如果附加件跨过主焊缝，那么设计应保证在距主焊缝40mm之内不再另有焊缝存在。跨过主焊缝的附件应设计成在与主焊缝之间至少保留25mm的空挡。</w:t>
      </w:r>
    </w:p>
    <w:p>
      <w:pPr>
        <w:snapToGrid w:val="0"/>
        <w:spacing w:before="203" w:beforeLines="50" w:after="203" w:afterLines="50"/>
        <w:ind w:firstLine="500" w:firstLineChars="200"/>
        <w:rPr>
          <w:rFonts w:ascii="宋体" w:hAnsi="宋体"/>
        </w:rPr>
      </w:pPr>
      <w:r>
        <w:rPr>
          <w:rFonts w:hint="eastAsia" w:ascii="宋体" w:hAnsi="宋体"/>
        </w:rPr>
        <w:t>不同材料间的过渡焊接应由制造厂在可控制的条件下进行。高屈服点结构钢的现场焊接没有监理工程师预先同意是不允许的。</w:t>
      </w:r>
    </w:p>
    <w:p>
      <w:pPr>
        <w:snapToGrid w:val="0"/>
        <w:spacing w:before="203" w:beforeLines="50" w:after="203" w:afterLines="50"/>
        <w:ind w:firstLine="500" w:firstLineChars="200"/>
        <w:rPr>
          <w:rFonts w:ascii="宋体" w:hAnsi="宋体"/>
        </w:rPr>
      </w:pPr>
      <w:r>
        <w:rPr>
          <w:rFonts w:hint="eastAsia" w:ascii="宋体" w:hAnsi="宋体"/>
        </w:rPr>
        <w:t>所有管子的对接焊应100％的焊透，其根部要有最大为3mm的超透焊。</w:t>
      </w:r>
    </w:p>
    <w:p>
      <w:pPr>
        <w:snapToGrid w:val="0"/>
        <w:spacing w:before="203" w:beforeLines="50" w:after="203" w:afterLines="50"/>
        <w:ind w:firstLine="500" w:firstLineChars="200"/>
        <w:rPr>
          <w:rFonts w:ascii="宋体" w:hAnsi="宋体"/>
        </w:rPr>
      </w:pPr>
      <w:r>
        <w:rPr>
          <w:rFonts w:hint="eastAsia" w:ascii="宋体" w:hAnsi="宋体"/>
        </w:rPr>
        <w:t>除非另有规定而外，接受X射线、超声波或其它形式非破坏性试验的焊接件焊缝应修整光滑。应注意焊接金属和母材的熔合而无过度熔化现象。支管和附件的焊接缝应修正平滑，且直角焊缝应修光。用埋弧焊或其它认可的方法焊接的焊缝，假如焊接波纹不会影响非破坏性试验结果的评价就可以不再加工。所有焊缝修整应在最终热处理前进行。</w:t>
      </w:r>
    </w:p>
    <w:p>
      <w:pPr>
        <w:snapToGrid w:val="0"/>
        <w:spacing w:before="203" w:beforeLines="50" w:after="203" w:afterLines="50"/>
        <w:ind w:firstLine="500" w:firstLineChars="200"/>
        <w:rPr>
          <w:rFonts w:ascii="宋体" w:hAnsi="宋体"/>
        </w:rPr>
      </w:pPr>
      <w:r>
        <w:rPr>
          <w:rFonts w:hint="eastAsia" w:ascii="宋体" w:hAnsi="宋体"/>
        </w:rPr>
        <w:t>焊后热处理应按BS2633用专门为此设计的设备进行。气体烧嘴或手握火炬不准采用。凡在热处理炉中进行处理者，承包商应提供热处理图表的复印件。用电加热元件进行热处理者应设置适用的热电偶监视，热电偶与记录仪相连。最少要有两支热偶，将复制的热处理图表提交给监理工程师。</w:t>
      </w:r>
    </w:p>
    <w:p>
      <w:pPr>
        <w:pStyle w:val="6"/>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6.2.7.6 焊接标准</w:t>
      </w:r>
    </w:p>
    <w:p>
      <w:pPr>
        <w:spacing w:before="203" w:beforeLines="50" w:after="203" w:afterLines="50"/>
        <w:ind w:firstLine="500" w:firstLineChars="200"/>
        <w:rPr>
          <w:rFonts w:ascii="宋体" w:hAnsi="宋体"/>
        </w:rPr>
      </w:pPr>
      <w:r>
        <w:rPr>
          <w:rFonts w:hint="eastAsia" w:ascii="宋体" w:hAnsi="宋体"/>
        </w:rPr>
        <w:t>所有焊接件的检查和试验应按但不限于有关的中国标准技术规范（由设备的设计条件所要求的）或相当的标准进行。</w:t>
      </w:r>
    </w:p>
    <w:p>
      <w:pPr>
        <w:pStyle w:val="5"/>
        <w:spacing w:before="203" w:beforeLines="50" w:after="203" w:afterLines="50"/>
        <w:rPr>
          <w:rFonts w:ascii="宋体" w:hAnsi="宋体" w:eastAsia="宋体"/>
          <w:bCs/>
          <w:sz w:val="24"/>
        </w:rPr>
      </w:pPr>
      <w:bookmarkStart w:id="5733" w:name="_Toc1382"/>
      <w:bookmarkStart w:id="5734" w:name="_Toc44593726"/>
      <w:bookmarkStart w:id="5735" w:name="_Toc27571"/>
      <w:bookmarkStart w:id="5736" w:name="_Toc115840531"/>
      <w:bookmarkStart w:id="5737" w:name="_Toc116811640"/>
      <w:bookmarkStart w:id="5738" w:name="_Toc69484228"/>
      <w:bookmarkStart w:id="5739" w:name="_Toc152414587"/>
      <w:bookmarkStart w:id="5740" w:name="_Toc106883543"/>
      <w:r>
        <w:rPr>
          <w:rFonts w:hint="eastAsia" w:ascii="宋体" w:hAnsi="宋体" w:eastAsia="宋体"/>
          <w:bCs/>
          <w:sz w:val="24"/>
        </w:rPr>
        <w:t>6.2.8 平衡</w:t>
      </w:r>
      <w:bookmarkEnd w:id="5733"/>
      <w:bookmarkEnd w:id="5734"/>
      <w:bookmarkEnd w:id="5735"/>
      <w:bookmarkEnd w:id="5736"/>
      <w:bookmarkEnd w:id="5737"/>
      <w:bookmarkEnd w:id="5738"/>
      <w:bookmarkEnd w:id="5739"/>
      <w:bookmarkEnd w:id="5740"/>
    </w:p>
    <w:p>
      <w:pPr>
        <w:spacing w:before="203" w:beforeLines="50" w:after="203" w:afterLines="50"/>
        <w:ind w:firstLine="500" w:firstLineChars="200"/>
        <w:rPr>
          <w:rFonts w:ascii="宋体" w:hAnsi="宋体"/>
        </w:rPr>
      </w:pPr>
      <w:r>
        <w:rPr>
          <w:rFonts w:hint="eastAsia" w:ascii="宋体" w:hAnsi="宋体"/>
        </w:rPr>
        <w:t>所有的旋转部分均应作适当的静态与动态平衡，以使在正常的全速运转时，并在最严酷的负荷条件时，均不应在设备本体，或在车间内，或在其周边出现过分的振动。</w:t>
      </w:r>
    </w:p>
    <w:p>
      <w:pPr>
        <w:pStyle w:val="5"/>
        <w:snapToGrid w:val="0"/>
        <w:spacing w:before="203" w:beforeLines="50" w:after="203" w:afterLines="50"/>
        <w:rPr>
          <w:rFonts w:ascii="宋体" w:hAnsi="宋体" w:eastAsia="宋体"/>
          <w:bCs/>
          <w:sz w:val="24"/>
        </w:rPr>
      </w:pPr>
      <w:bookmarkStart w:id="5741" w:name="_Toc69484229"/>
      <w:bookmarkStart w:id="5742" w:name="_Toc116811641"/>
      <w:bookmarkStart w:id="5743" w:name="_Toc152414588"/>
      <w:bookmarkStart w:id="5744" w:name="_Toc44593727"/>
      <w:bookmarkStart w:id="5745" w:name="_Toc2213"/>
      <w:bookmarkStart w:id="5746" w:name="_Toc115840532"/>
      <w:bookmarkStart w:id="5747" w:name="_Toc3360"/>
      <w:bookmarkStart w:id="5748" w:name="_Toc106883544"/>
      <w:r>
        <w:rPr>
          <w:rFonts w:hint="eastAsia" w:ascii="宋体" w:hAnsi="宋体" w:eastAsia="宋体"/>
          <w:bCs/>
          <w:sz w:val="24"/>
        </w:rPr>
        <w:t>6.2.9 互换性</w:t>
      </w:r>
      <w:bookmarkEnd w:id="5741"/>
      <w:bookmarkEnd w:id="5742"/>
      <w:bookmarkEnd w:id="5743"/>
      <w:bookmarkEnd w:id="5744"/>
      <w:bookmarkEnd w:id="5745"/>
      <w:bookmarkEnd w:id="5746"/>
      <w:bookmarkEnd w:id="5747"/>
      <w:bookmarkEnd w:id="5748"/>
    </w:p>
    <w:p>
      <w:pPr>
        <w:snapToGrid w:val="0"/>
        <w:spacing w:before="203" w:beforeLines="50" w:after="203" w:afterLines="50"/>
        <w:ind w:firstLine="500" w:firstLineChars="200"/>
        <w:rPr>
          <w:rFonts w:ascii="宋体" w:hAnsi="宋体"/>
        </w:rPr>
      </w:pPr>
      <w:r>
        <w:rPr>
          <w:rFonts w:hint="eastAsia" w:ascii="宋体" w:hAnsi="宋体"/>
        </w:rPr>
        <w:t>所有相同规格的设备不论是作为一个整体或是它的有关部件均应是可互换的。</w:t>
      </w:r>
    </w:p>
    <w:p>
      <w:pPr>
        <w:snapToGrid w:val="0"/>
        <w:spacing w:before="203" w:beforeLines="50" w:after="203" w:afterLines="50"/>
        <w:ind w:firstLine="500" w:firstLineChars="200"/>
        <w:rPr>
          <w:rFonts w:ascii="宋体" w:hAnsi="宋体"/>
        </w:rPr>
      </w:pPr>
      <w:r>
        <w:rPr>
          <w:rFonts w:hint="eastAsia" w:ascii="宋体" w:hAnsi="宋体"/>
        </w:rPr>
        <w:t>所提供的设备的种类必须是合乎标准化的，就这一点而论在实际上能使设备的部件具有最大的互换性。</w:t>
      </w:r>
    </w:p>
    <w:p>
      <w:pPr>
        <w:pStyle w:val="5"/>
        <w:snapToGrid w:val="0"/>
        <w:spacing w:before="203" w:beforeLines="50" w:after="203" w:afterLines="50"/>
        <w:rPr>
          <w:rFonts w:ascii="宋体" w:hAnsi="宋体" w:eastAsia="宋体"/>
          <w:bCs/>
          <w:sz w:val="24"/>
        </w:rPr>
      </w:pPr>
      <w:bookmarkStart w:id="5749" w:name="_Toc115840533"/>
      <w:bookmarkStart w:id="5750" w:name="_Toc116811642"/>
      <w:bookmarkStart w:id="5751" w:name="_Toc12720"/>
      <w:bookmarkStart w:id="5752" w:name="_Toc5549"/>
      <w:bookmarkStart w:id="5753" w:name="_Toc44593728"/>
      <w:bookmarkStart w:id="5754" w:name="_Toc69484230"/>
      <w:bookmarkStart w:id="5755" w:name="_Toc152414589"/>
      <w:bookmarkStart w:id="5756" w:name="_Toc106883545"/>
      <w:r>
        <w:rPr>
          <w:rFonts w:hint="eastAsia" w:ascii="宋体" w:hAnsi="宋体" w:eastAsia="宋体"/>
          <w:bCs/>
          <w:sz w:val="24"/>
        </w:rPr>
        <w:t>6.2.10 噪音控制</w:t>
      </w:r>
      <w:bookmarkEnd w:id="5749"/>
      <w:bookmarkEnd w:id="5750"/>
      <w:bookmarkEnd w:id="5751"/>
      <w:bookmarkEnd w:id="5752"/>
      <w:bookmarkEnd w:id="5753"/>
      <w:bookmarkEnd w:id="5754"/>
      <w:bookmarkEnd w:id="5755"/>
      <w:bookmarkEnd w:id="5756"/>
    </w:p>
    <w:p>
      <w:pPr>
        <w:snapToGrid w:val="0"/>
        <w:spacing w:before="203" w:beforeLines="50" w:after="203" w:afterLines="50"/>
        <w:ind w:firstLine="500" w:firstLineChars="200"/>
        <w:rPr>
          <w:rFonts w:ascii="宋体" w:hAnsi="宋体"/>
        </w:rPr>
      </w:pPr>
      <w:r>
        <w:rPr>
          <w:rFonts w:hint="eastAsia" w:ascii="宋体" w:hAnsi="宋体"/>
        </w:rPr>
        <w:t>承包商应保证所安装的设备的所有项目在运转时是无异常噪声。</w:t>
      </w:r>
    </w:p>
    <w:p>
      <w:pPr>
        <w:snapToGrid w:val="0"/>
        <w:spacing w:before="203" w:beforeLines="50" w:after="203" w:afterLines="50"/>
        <w:ind w:firstLine="500" w:firstLineChars="200"/>
        <w:rPr>
          <w:rFonts w:ascii="宋体" w:hAnsi="宋体"/>
        </w:rPr>
      </w:pPr>
      <w:r>
        <w:rPr>
          <w:rFonts w:hint="eastAsia" w:ascii="宋体" w:hAnsi="宋体"/>
        </w:rPr>
        <w:t>如果需要的话应安装消音设备以使设备在操作时在离其1m的圆周不超过80dB（A）的噪声。</w:t>
      </w:r>
    </w:p>
    <w:p>
      <w:pPr>
        <w:pStyle w:val="5"/>
        <w:snapToGrid w:val="0"/>
        <w:spacing w:before="50" w:after="50"/>
        <w:rPr>
          <w:rFonts w:ascii="宋体" w:hAnsi="宋体" w:eastAsia="宋体"/>
          <w:bCs/>
          <w:sz w:val="24"/>
        </w:rPr>
      </w:pPr>
      <w:bookmarkStart w:id="5757" w:name="_Toc115840534"/>
      <w:bookmarkStart w:id="5758" w:name="_Toc69484231"/>
      <w:bookmarkStart w:id="5759" w:name="_Toc152414590"/>
      <w:bookmarkStart w:id="5760" w:name="_Toc116811643"/>
      <w:bookmarkStart w:id="5761" w:name="_Toc44593729"/>
      <w:bookmarkStart w:id="5762" w:name="_Toc11240"/>
      <w:bookmarkStart w:id="5763" w:name="_Toc9464"/>
      <w:bookmarkStart w:id="5764" w:name="_Toc106883546"/>
      <w:r>
        <w:rPr>
          <w:rFonts w:hint="eastAsia" w:ascii="宋体" w:hAnsi="宋体" w:eastAsia="宋体"/>
          <w:bCs/>
          <w:sz w:val="24"/>
        </w:rPr>
        <w:t>6.2.11 润滑和清洗</w:t>
      </w:r>
      <w:bookmarkEnd w:id="5757"/>
      <w:bookmarkEnd w:id="5758"/>
      <w:bookmarkEnd w:id="5759"/>
      <w:bookmarkEnd w:id="5760"/>
      <w:bookmarkEnd w:id="5761"/>
      <w:bookmarkEnd w:id="5762"/>
      <w:bookmarkEnd w:id="5763"/>
      <w:bookmarkEnd w:id="5764"/>
    </w:p>
    <w:p>
      <w:pPr>
        <w:snapToGrid w:val="0"/>
        <w:spacing w:before="120" w:after="120"/>
        <w:ind w:firstLine="500" w:firstLineChars="200"/>
        <w:rPr>
          <w:rFonts w:ascii="宋体" w:hAnsi="宋体"/>
        </w:rPr>
      </w:pPr>
      <w:r>
        <w:rPr>
          <w:rFonts w:hint="eastAsia" w:ascii="宋体" w:hAnsi="宋体"/>
        </w:rPr>
        <w:t>为了进行定期的检查与清洗，以及活动部件加注润滑油，应作适当的布局安排。</w:t>
      </w:r>
    </w:p>
    <w:p>
      <w:pPr>
        <w:snapToGrid w:val="0"/>
        <w:spacing w:before="120" w:after="120"/>
        <w:ind w:firstLine="500" w:firstLineChars="200"/>
        <w:rPr>
          <w:rFonts w:ascii="宋体" w:hAnsi="宋体"/>
        </w:rPr>
      </w:pPr>
      <w:r>
        <w:rPr>
          <w:rFonts w:hint="eastAsia" w:ascii="宋体" w:hAnsi="宋体"/>
        </w:rPr>
        <w:t>承包商应使整个设备需加注润滑脂或油的部分，使用同一个等级或类型的润滑剂加注。</w:t>
      </w:r>
    </w:p>
    <w:p>
      <w:pPr>
        <w:snapToGrid w:val="0"/>
        <w:spacing w:before="120" w:after="120"/>
        <w:ind w:firstLine="500" w:firstLineChars="200"/>
        <w:rPr>
          <w:rFonts w:ascii="宋体" w:hAnsi="宋体"/>
        </w:rPr>
      </w:pPr>
      <w:r>
        <w:rPr>
          <w:rFonts w:hint="eastAsia" w:ascii="宋体" w:hAnsi="宋体"/>
        </w:rPr>
        <w:t>需周期性加注润滑脂的机械装置的所有轴承座，均应具有经批准类型的加油嘴，如果需要的话，可将其通过延伸管引到一个便于到达的位置上，用于加润滑脂的手动压注机或加油泵应与工具和备件同时提供。</w:t>
      </w:r>
    </w:p>
    <w:p>
      <w:pPr>
        <w:snapToGrid w:val="0"/>
        <w:spacing w:before="120" w:after="120"/>
        <w:ind w:firstLine="500" w:firstLineChars="200"/>
        <w:rPr>
          <w:rFonts w:ascii="宋体" w:hAnsi="宋体"/>
        </w:rPr>
      </w:pPr>
      <w:r>
        <w:rPr>
          <w:rFonts w:hint="eastAsia" w:ascii="宋体" w:hAnsi="宋体"/>
        </w:rPr>
        <w:t>承包商应提供必需的润滑剂，用于设备在发送前的测试，以及在现场，在设备完全交付时使用。</w:t>
      </w:r>
    </w:p>
    <w:p>
      <w:pPr>
        <w:snapToGrid w:val="0"/>
        <w:spacing w:before="120" w:after="120"/>
        <w:ind w:firstLine="500" w:firstLineChars="200"/>
        <w:rPr>
          <w:rFonts w:ascii="宋体" w:hAnsi="宋体"/>
        </w:rPr>
      </w:pPr>
      <w:r>
        <w:rPr>
          <w:rFonts w:hint="eastAsia" w:ascii="宋体" w:hAnsi="宋体"/>
        </w:rPr>
        <w:t>承包商应用适当的金属容器来装盛足够使用</w:t>
      </w:r>
      <w:r>
        <w:rPr>
          <w:rFonts w:ascii="宋体" w:hAnsi="宋体"/>
        </w:rPr>
        <w:t>24</w:t>
      </w:r>
      <w:r>
        <w:rPr>
          <w:rFonts w:hint="eastAsia" w:ascii="宋体" w:hAnsi="宋体"/>
        </w:rPr>
        <w:t>个月的，适用于装置不同部件的，推荐等级的各种润滑油，提供并运至业主的仓库。那些润滑剂应列入备件和工具的一览表内。</w:t>
      </w:r>
    </w:p>
    <w:p>
      <w:pPr>
        <w:pStyle w:val="5"/>
        <w:snapToGrid w:val="0"/>
        <w:spacing w:before="203" w:beforeLines="50" w:after="203" w:afterLines="50"/>
        <w:rPr>
          <w:rFonts w:ascii="宋体" w:hAnsi="宋体" w:eastAsia="宋体"/>
          <w:bCs/>
          <w:sz w:val="24"/>
        </w:rPr>
      </w:pPr>
      <w:bookmarkStart w:id="5765" w:name="_Toc152414591"/>
      <w:bookmarkStart w:id="5766" w:name="_Toc44593730"/>
      <w:bookmarkStart w:id="5767" w:name="_Toc29734"/>
      <w:bookmarkStart w:id="5768" w:name="_Toc28147"/>
      <w:bookmarkStart w:id="5769" w:name="_Toc115840535"/>
      <w:bookmarkStart w:id="5770" w:name="_Toc116811644"/>
      <w:bookmarkStart w:id="5771" w:name="_Toc69484232"/>
      <w:bookmarkStart w:id="5772" w:name="_Toc106883547"/>
      <w:r>
        <w:rPr>
          <w:rFonts w:hint="eastAsia" w:ascii="宋体" w:hAnsi="宋体" w:eastAsia="宋体"/>
          <w:bCs/>
          <w:sz w:val="24"/>
        </w:rPr>
        <w:t>6.2.12 铭牌、标志与电路原理牌</w:t>
      </w:r>
      <w:bookmarkEnd w:id="5765"/>
      <w:bookmarkEnd w:id="5766"/>
      <w:bookmarkEnd w:id="5767"/>
      <w:bookmarkEnd w:id="5768"/>
      <w:bookmarkEnd w:id="5769"/>
      <w:bookmarkEnd w:id="5770"/>
      <w:bookmarkEnd w:id="5771"/>
      <w:bookmarkEnd w:id="5772"/>
    </w:p>
    <w:p>
      <w:pPr>
        <w:snapToGrid w:val="0"/>
        <w:spacing w:before="203" w:beforeLines="50" w:after="203" w:afterLines="50"/>
        <w:ind w:firstLine="500" w:firstLineChars="200"/>
        <w:rPr>
          <w:rFonts w:ascii="宋体" w:hAnsi="宋体"/>
        </w:rPr>
      </w:pPr>
      <w:r>
        <w:rPr>
          <w:rFonts w:hint="eastAsia" w:ascii="宋体" w:hAnsi="宋体"/>
        </w:rPr>
        <w:t>每台机器和所有的设备均应具有一个金属制铭牌板，用认可的方式固定，以中文或英文把制造商的名称、编号以及全部参数（诸如输出功率、速度、压力、制造日期等）清楚地在上面注明。</w:t>
      </w:r>
    </w:p>
    <w:p>
      <w:pPr>
        <w:snapToGrid w:val="0"/>
        <w:spacing w:before="203" w:beforeLines="50" w:after="203" w:afterLines="50"/>
        <w:ind w:firstLine="500" w:firstLineChars="200"/>
        <w:rPr>
          <w:rFonts w:ascii="宋体" w:hAnsi="宋体"/>
        </w:rPr>
      </w:pPr>
      <w:r>
        <w:rPr>
          <w:rFonts w:hint="eastAsia" w:ascii="宋体" w:hAnsi="宋体"/>
        </w:rPr>
        <w:t>当所提供的设备的厂铭牌可能设在一个不方便的部位时，如浸没式泵，那么承包商应提供另外一个把详细情况综合在一起的厂铭牌，并应装订在或邻近于该设备的控制板处。</w:t>
      </w:r>
    </w:p>
    <w:p>
      <w:pPr>
        <w:snapToGrid w:val="0"/>
        <w:spacing w:before="203" w:beforeLines="50" w:after="203" w:afterLines="50"/>
        <w:ind w:firstLine="500" w:firstLineChars="200"/>
        <w:rPr>
          <w:rFonts w:ascii="宋体" w:hAnsi="宋体"/>
        </w:rPr>
      </w:pPr>
      <w:r>
        <w:rPr>
          <w:rFonts w:hint="eastAsia" w:ascii="宋体" w:hAnsi="宋体"/>
        </w:rPr>
        <w:t>所有的标志，电路原理牌等应以中文或英文雕刻，中文应雕在英文的上方。</w:t>
      </w:r>
    </w:p>
    <w:p>
      <w:pPr>
        <w:snapToGrid w:val="0"/>
        <w:spacing w:before="203" w:beforeLines="50" w:after="203" w:afterLines="50"/>
        <w:ind w:firstLine="500" w:firstLineChars="200"/>
        <w:rPr>
          <w:rFonts w:ascii="宋体" w:hAnsi="宋体"/>
        </w:rPr>
      </w:pPr>
      <w:r>
        <w:rPr>
          <w:rFonts w:hint="eastAsia" w:ascii="宋体" w:hAnsi="宋体"/>
        </w:rPr>
        <w:t>除非另有规定，所有电气设备如绝缘器，起动装置，开关或保险熔丝以及其它等应清楚地加以标明，以示该部件的功能，而在单相设备的情况时，则表明该设备是连接到那一相的，并应以螺栓把它固定在电气箱的外表面上。</w:t>
      </w:r>
    </w:p>
    <w:p>
      <w:pPr>
        <w:snapToGrid w:val="0"/>
        <w:spacing w:before="203" w:beforeLines="50" w:after="203" w:afterLines="50"/>
        <w:ind w:firstLine="500" w:firstLineChars="200"/>
        <w:rPr>
          <w:rFonts w:ascii="宋体" w:hAnsi="宋体"/>
        </w:rPr>
      </w:pPr>
      <w:r>
        <w:rPr>
          <w:rFonts w:hint="eastAsia" w:ascii="宋体" w:hAnsi="宋体"/>
        </w:rPr>
        <w:t>承包商将不受气候影响的开关盘，室外绝缘器等应如上述一样固定雕刻好的标志。</w:t>
      </w:r>
    </w:p>
    <w:p>
      <w:pPr>
        <w:snapToGrid w:val="0"/>
        <w:spacing w:before="203" w:beforeLines="50" w:after="203" w:afterLines="50"/>
        <w:ind w:firstLine="500" w:firstLineChars="200"/>
        <w:rPr>
          <w:rFonts w:ascii="宋体" w:hAnsi="宋体"/>
        </w:rPr>
      </w:pPr>
      <w:r>
        <w:rPr>
          <w:rFonts w:hint="eastAsia" w:ascii="宋体" w:hAnsi="宋体"/>
        </w:rPr>
        <w:t>对在保险熔丝器板上的电路原理表牌的标志应在该熔丝器板上，如上述所规定的那样表明之。每个电路均应加以签定和识别。</w:t>
      </w:r>
    </w:p>
    <w:p>
      <w:pPr>
        <w:snapToGrid w:val="0"/>
        <w:spacing w:before="203" w:beforeLines="50" w:after="203" w:afterLines="50"/>
        <w:ind w:firstLine="500" w:firstLineChars="200"/>
        <w:rPr>
          <w:rFonts w:ascii="宋体" w:hAnsi="宋体"/>
        </w:rPr>
      </w:pPr>
      <w:r>
        <w:rPr>
          <w:rFonts w:hint="eastAsia" w:ascii="宋体" w:hAnsi="宋体"/>
        </w:rPr>
        <w:t>标志上的字句雕刻，应在该工作未进行之前由业主批准。在警告标志上的字样应以“危险”二字开始，并以红底白字用中英文书写。</w:t>
      </w:r>
    </w:p>
    <w:p>
      <w:pPr>
        <w:pStyle w:val="5"/>
        <w:snapToGrid w:val="0"/>
        <w:spacing w:before="203" w:beforeLines="50" w:after="203" w:afterLines="50"/>
        <w:rPr>
          <w:rFonts w:ascii="宋体" w:hAnsi="宋体" w:eastAsia="宋体"/>
          <w:bCs/>
          <w:sz w:val="24"/>
        </w:rPr>
      </w:pPr>
      <w:bookmarkStart w:id="5773" w:name="_Toc6489"/>
      <w:bookmarkStart w:id="5774" w:name="_Toc116811645"/>
      <w:bookmarkStart w:id="5775" w:name="_Toc152414592"/>
      <w:bookmarkStart w:id="5776" w:name="_Toc44593731"/>
      <w:bookmarkStart w:id="5777" w:name="_Toc29163"/>
      <w:bookmarkStart w:id="5778" w:name="_Toc115840536"/>
      <w:bookmarkStart w:id="5779" w:name="_Toc69484233"/>
      <w:bookmarkStart w:id="5780" w:name="_Toc106883548"/>
      <w:r>
        <w:rPr>
          <w:rFonts w:hint="eastAsia" w:ascii="宋体" w:hAnsi="宋体" w:eastAsia="宋体"/>
          <w:bCs/>
          <w:sz w:val="24"/>
        </w:rPr>
        <w:t>6.2.13 地脚螺栓和二次灌浆</w:t>
      </w:r>
      <w:bookmarkEnd w:id="5773"/>
      <w:bookmarkEnd w:id="5774"/>
      <w:bookmarkEnd w:id="5775"/>
      <w:bookmarkEnd w:id="5776"/>
      <w:bookmarkEnd w:id="5777"/>
      <w:bookmarkEnd w:id="5778"/>
      <w:bookmarkEnd w:id="5779"/>
      <w:bookmarkEnd w:id="5780"/>
    </w:p>
    <w:p>
      <w:pPr>
        <w:snapToGrid w:val="0"/>
        <w:spacing w:before="203" w:beforeLines="50" w:after="203" w:afterLines="50"/>
        <w:ind w:firstLine="500" w:firstLineChars="200"/>
        <w:rPr>
          <w:rFonts w:ascii="宋体" w:hAnsi="宋体"/>
        </w:rPr>
      </w:pPr>
      <w:r>
        <w:rPr>
          <w:rFonts w:hint="eastAsia" w:ascii="宋体" w:hAnsi="宋体"/>
        </w:rPr>
        <w:t>设备和装置所必需的所有基础均应根据由业主所批准的设备与装置供应者的细节与图纸建造。</w:t>
      </w:r>
    </w:p>
    <w:p>
      <w:pPr>
        <w:snapToGrid w:val="0"/>
        <w:spacing w:before="203" w:beforeLines="50" w:after="203" w:afterLines="50"/>
        <w:ind w:firstLine="500" w:firstLineChars="200"/>
        <w:rPr>
          <w:rFonts w:ascii="宋体" w:hAnsi="宋体"/>
        </w:rPr>
      </w:pPr>
      <w:r>
        <w:rPr>
          <w:rFonts w:hint="eastAsia" w:ascii="宋体" w:hAnsi="宋体"/>
        </w:rPr>
        <w:t>承包商应提供为本合同规定供应的全部设备和装置上需用于锚固、紧固、定位等方面的所有螺栓、垫圈、螺母、垫板、支架、托架、基座和基础螺栓等，以及为安装固定设备的预留孔、预留洞、沟槽、预埋铁板、特殊埋件、土建基础等所需的二次灌浆，包括设备安装基础、凿毛、找平和其他相关工作。</w:t>
      </w:r>
    </w:p>
    <w:p>
      <w:pPr>
        <w:snapToGrid w:val="0"/>
        <w:spacing w:before="203" w:beforeLines="50" w:after="203" w:afterLines="50"/>
        <w:ind w:firstLine="500" w:firstLineChars="200"/>
        <w:rPr>
          <w:rFonts w:ascii="宋体" w:hAnsi="宋体"/>
        </w:rPr>
      </w:pPr>
      <w:r>
        <w:rPr>
          <w:rFonts w:hint="eastAsia" w:ascii="宋体" w:hAnsi="宋体"/>
        </w:rPr>
        <w:t>二次灌浆的材料的配比应视灌注体大小和强度要求确定，灌浆料的品质和施工工艺应经监理工程师批准。</w:t>
      </w:r>
    </w:p>
    <w:p>
      <w:pPr>
        <w:pStyle w:val="5"/>
        <w:snapToGrid w:val="0"/>
        <w:spacing w:before="203" w:beforeLines="50" w:after="203" w:afterLines="50"/>
        <w:rPr>
          <w:rFonts w:ascii="宋体" w:hAnsi="宋体" w:eastAsia="宋体"/>
          <w:bCs/>
          <w:sz w:val="24"/>
        </w:rPr>
      </w:pPr>
      <w:bookmarkStart w:id="5781" w:name="_Toc69484234"/>
      <w:bookmarkStart w:id="5782" w:name="_Toc152414593"/>
      <w:bookmarkStart w:id="5783" w:name="_Toc17289"/>
      <w:bookmarkStart w:id="5784" w:name="_Toc853"/>
      <w:bookmarkStart w:id="5785" w:name="_Toc115840537"/>
      <w:bookmarkStart w:id="5786" w:name="_Toc44593732"/>
      <w:bookmarkStart w:id="5787" w:name="_Toc116811646"/>
      <w:bookmarkStart w:id="5788" w:name="_Toc106883549"/>
      <w:r>
        <w:rPr>
          <w:rFonts w:hint="eastAsia" w:ascii="宋体" w:hAnsi="宋体" w:eastAsia="宋体"/>
          <w:bCs/>
          <w:sz w:val="24"/>
        </w:rPr>
        <w:t>6.2.14 钢结构件</w:t>
      </w:r>
      <w:bookmarkEnd w:id="5781"/>
      <w:bookmarkEnd w:id="5782"/>
      <w:bookmarkEnd w:id="5783"/>
      <w:bookmarkEnd w:id="5784"/>
      <w:bookmarkEnd w:id="5785"/>
      <w:bookmarkEnd w:id="5786"/>
      <w:bookmarkEnd w:id="5787"/>
      <w:bookmarkEnd w:id="5788"/>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6.2.14.1 总述</w:t>
      </w:r>
    </w:p>
    <w:p>
      <w:pPr>
        <w:snapToGrid w:val="0"/>
        <w:spacing w:before="203" w:beforeLines="50" w:after="203" w:afterLines="50"/>
        <w:ind w:firstLine="500" w:firstLineChars="200"/>
        <w:rPr>
          <w:rFonts w:ascii="宋体" w:hAnsi="宋体"/>
        </w:rPr>
      </w:pPr>
      <w:r>
        <w:rPr>
          <w:rFonts w:hint="eastAsia" w:ascii="宋体" w:hAnsi="宋体"/>
        </w:rPr>
        <w:t>承包商应对属合同供应的设备，为其运行和有效的维护提供安全和接近设备所必需的全部工作平台、走道和扶梯。</w:t>
      </w:r>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6.2.14.2 设计负荷</w:t>
      </w:r>
    </w:p>
    <w:p>
      <w:pPr>
        <w:snapToGrid w:val="0"/>
        <w:spacing w:before="203" w:beforeLines="50" w:after="203" w:afterLines="50"/>
        <w:ind w:firstLine="500" w:firstLineChars="200"/>
        <w:rPr>
          <w:rFonts w:ascii="宋体" w:hAnsi="宋体"/>
        </w:rPr>
      </w:pPr>
      <w:r>
        <w:rPr>
          <w:rFonts w:hint="eastAsia" w:ascii="宋体" w:hAnsi="宋体"/>
        </w:rPr>
        <w:t>结构部件及其固定应根据常规的恒加速法进行设计，或者经监理工程师认可的其它国际上公认的专用动态计算方法来设计。</w:t>
      </w:r>
    </w:p>
    <w:p>
      <w:pPr>
        <w:snapToGrid w:val="0"/>
        <w:spacing w:before="203" w:beforeLines="50" w:after="203" w:afterLines="50"/>
        <w:ind w:firstLine="500" w:firstLineChars="200"/>
        <w:rPr>
          <w:rFonts w:ascii="宋体" w:hAnsi="宋体"/>
        </w:rPr>
      </w:pPr>
      <w:r>
        <w:rPr>
          <w:rFonts w:hint="eastAsia" w:ascii="宋体" w:hAnsi="宋体"/>
        </w:rPr>
        <w:t>属合同供应的全部钢筋混凝土构架和钢结构的设计，应使其局部的和总的沉降或其它位移不超过可允许的限度，并应对所有连接处的膨胀采取措施。包括构架上负荷密度在内的设计，并应提交给监理工程师认可。</w:t>
      </w:r>
    </w:p>
    <w:p>
      <w:pPr>
        <w:snapToGrid w:val="0"/>
        <w:spacing w:before="203" w:beforeLines="50" w:after="203" w:afterLines="50"/>
        <w:ind w:firstLine="500" w:firstLineChars="200"/>
        <w:rPr>
          <w:rFonts w:ascii="宋体" w:hAnsi="宋体"/>
        </w:rPr>
      </w:pPr>
      <w:r>
        <w:rPr>
          <w:rFonts w:hint="eastAsia" w:ascii="宋体" w:hAnsi="宋体"/>
        </w:rPr>
        <w:t>对旋转式或往复式装置的基础设计，应能确保由机械负荷引起的弹性挠度被限制在机械制造厂规定的范围内。整个基础或其一部分以及所有邻近构架的自振频率不应与振动设备的工作频率相重合。基础的自振频率应至少比振动设备的工作频率高10％或低10％。</w:t>
      </w:r>
    </w:p>
    <w:p>
      <w:pPr>
        <w:snapToGrid w:val="0"/>
        <w:spacing w:before="203" w:beforeLines="50" w:after="203" w:afterLines="50"/>
        <w:ind w:firstLine="500" w:firstLineChars="200"/>
        <w:rPr>
          <w:rFonts w:ascii="宋体" w:hAnsi="宋体"/>
        </w:rPr>
      </w:pPr>
      <w:r>
        <w:rPr>
          <w:rFonts w:hint="eastAsia" w:ascii="宋体" w:hAnsi="宋体"/>
        </w:rPr>
        <w:t>钢构件和其它型式构架的基础应被设计成能承受由框架和风力引起的全部荷载和力矩。它们还应适应于配带有芯管、钢制锚固件或钢板的埋入式固定螺栓。</w:t>
      </w:r>
    </w:p>
    <w:p>
      <w:pPr>
        <w:snapToGrid w:val="0"/>
        <w:spacing w:before="203" w:beforeLines="50" w:after="203" w:afterLines="50"/>
        <w:ind w:firstLine="500" w:firstLineChars="200"/>
        <w:rPr>
          <w:rFonts w:ascii="宋体" w:hAnsi="宋体"/>
        </w:rPr>
      </w:pPr>
      <w:r>
        <w:rPr>
          <w:rFonts w:hint="eastAsia" w:ascii="宋体" w:hAnsi="宋体"/>
        </w:rPr>
        <w:t>承包商应提供按业主/监理工程师要求的全部土建工程交接资料。</w:t>
      </w:r>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6.2.14.3 钢制平台</w:t>
      </w:r>
    </w:p>
    <w:p>
      <w:pPr>
        <w:snapToGrid w:val="0"/>
        <w:spacing w:before="203" w:beforeLines="50" w:after="203" w:afterLines="50"/>
        <w:ind w:firstLine="500" w:firstLineChars="200"/>
        <w:rPr>
          <w:rFonts w:ascii="宋体" w:hAnsi="宋体"/>
        </w:rPr>
      </w:pPr>
      <w:r>
        <w:rPr>
          <w:rFonts w:hint="eastAsia" w:ascii="宋体" w:hAnsi="宋体"/>
        </w:rPr>
        <w:t>所有平台和过道板应使用矩形、高频焊接的敞开栅板，或使用麻花形六角形钢条与扁钢作十字焊接的格栅板。所有的平台和过道楼板必须承受3.5kN/m</w:t>
      </w:r>
      <w:r>
        <w:rPr>
          <w:rFonts w:hint="eastAsia" w:ascii="宋体" w:hAnsi="宋体"/>
          <w:vertAlign w:val="superscript"/>
        </w:rPr>
        <w:t>2</w:t>
      </w:r>
      <w:r>
        <w:rPr>
          <w:rFonts w:hint="eastAsia" w:ascii="宋体" w:hAnsi="宋体"/>
        </w:rPr>
        <w:t>的负载（除非通行需要更大荷载），并提供合适尺寸的脚趾板。全部格栅板都应镀锌。</w:t>
      </w:r>
    </w:p>
    <w:p>
      <w:pPr>
        <w:snapToGrid w:val="0"/>
        <w:spacing w:before="203" w:beforeLines="50" w:after="203" w:afterLines="50"/>
        <w:ind w:firstLine="500" w:firstLineChars="200"/>
        <w:rPr>
          <w:rFonts w:ascii="宋体" w:hAnsi="宋体"/>
        </w:rPr>
      </w:pPr>
      <w:r>
        <w:rPr>
          <w:rFonts w:hint="eastAsia" w:ascii="宋体" w:hAnsi="宋体"/>
        </w:rPr>
        <w:t>对所有工作平台、走道和钢梯，都应在其每一侧装设栏杆。</w:t>
      </w:r>
    </w:p>
    <w:p>
      <w:pPr>
        <w:snapToGrid w:val="0"/>
        <w:spacing w:before="203" w:beforeLines="50" w:after="203" w:afterLines="50"/>
        <w:ind w:firstLine="500" w:firstLineChars="200"/>
        <w:rPr>
          <w:rFonts w:ascii="宋体" w:hAnsi="宋体"/>
        </w:rPr>
      </w:pPr>
      <w:r>
        <w:rPr>
          <w:rFonts w:hint="eastAsia" w:ascii="宋体" w:hAnsi="宋体"/>
        </w:rPr>
        <w:t>栏杆高度应为1.2m，而其它要求可按照通常的经验。扶手的直径应不小于40mm。采用不锈钢制作，栏杆管壁应≥2mm。</w:t>
      </w:r>
    </w:p>
    <w:p>
      <w:pPr>
        <w:snapToGrid w:val="0"/>
        <w:spacing w:before="203" w:beforeLines="50" w:after="203" w:afterLines="50"/>
        <w:ind w:firstLine="500" w:firstLineChars="200"/>
        <w:rPr>
          <w:rFonts w:ascii="宋体" w:hAnsi="宋体"/>
        </w:rPr>
      </w:pPr>
      <w:r>
        <w:rPr>
          <w:rFonts w:hint="eastAsia" w:ascii="宋体" w:hAnsi="宋体"/>
        </w:rPr>
        <w:t>全部接合点应设计成能确保在其相连的构件损坏之前不发生破坏。</w:t>
      </w:r>
    </w:p>
    <w:p>
      <w:pPr>
        <w:snapToGrid w:val="0"/>
        <w:spacing w:before="203" w:beforeLines="50" w:after="203" w:afterLines="50"/>
        <w:ind w:firstLine="500" w:firstLineChars="200"/>
        <w:rPr>
          <w:rFonts w:ascii="宋体" w:hAnsi="宋体"/>
        </w:rPr>
      </w:pPr>
      <w:r>
        <w:rPr>
          <w:rFonts w:hint="eastAsia" w:ascii="宋体" w:hAnsi="宋体"/>
        </w:rPr>
        <w:t>接合点最好是这样来定位，即其间距应近似等于从基准立柱算起的栏杆总跨距的五分之一。</w:t>
      </w:r>
    </w:p>
    <w:p>
      <w:pPr>
        <w:snapToGrid w:val="0"/>
        <w:spacing w:before="203" w:beforeLines="50" w:after="203" w:afterLines="50"/>
        <w:ind w:firstLine="500" w:firstLineChars="200"/>
        <w:rPr>
          <w:rFonts w:ascii="宋体" w:hAnsi="宋体"/>
        </w:rPr>
      </w:pPr>
      <w:r>
        <w:rPr>
          <w:rFonts w:hint="eastAsia" w:ascii="宋体" w:hAnsi="宋体"/>
        </w:rPr>
        <w:t>除非在制造后已采取抛光处理，否则接合点都应锉平或磨光。斜面接合是不能接受的。对接合点使用半径弯管附件。在需要的地方，应装设可拆卸的栏杆。对垂直构件的插管座应被埋进楼板平面以下，以避免造成交通的障碍。</w:t>
      </w:r>
    </w:p>
    <w:p>
      <w:pPr>
        <w:snapToGrid w:val="0"/>
        <w:spacing w:before="203" w:beforeLines="50" w:after="203" w:afterLines="50"/>
        <w:ind w:firstLine="500" w:firstLineChars="200"/>
        <w:rPr>
          <w:rFonts w:ascii="宋体" w:hAnsi="宋体"/>
        </w:rPr>
      </w:pPr>
      <w:r>
        <w:rPr>
          <w:rFonts w:hint="eastAsia" w:ascii="宋体" w:hAnsi="宋体"/>
        </w:rPr>
        <w:t>危险的开口区域应采用可拆卸的链条保护起来。</w:t>
      </w:r>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6.2.14.4 钢梯</w:t>
      </w:r>
    </w:p>
    <w:p>
      <w:pPr>
        <w:snapToGrid w:val="0"/>
        <w:spacing w:before="203" w:beforeLines="50" w:after="203" w:afterLines="50"/>
        <w:ind w:firstLine="500" w:firstLineChars="200"/>
        <w:rPr>
          <w:rFonts w:ascii="宋体" w:hAnsi="宋体"/>
        </w:rPr>
      </w:pPr>
      <w:r>
        <w:rPr>
          <w:rFonts w:hint="eastAsia" w:ascii="宋体" w:hAnsi="宋体"/>
        </w:rPr>
        <w:t>无论何处的钢梯，其与水平线的倾角应尽可能按45°来标准化。钢梯的最小宽度应为700mm，并应以100mm增量来增加。</w:t>
      </w:r>
    </w:p>
    <w:p>
      <w:pPr>
        <w:snapToGrid w:val="0"/>
        <w:spacing w:before="203" w:beforeLines="50" w:after="203" w:afterLines="50"/>
        <w:ind w:firstLine="500" w:firstLineChars="200"/>
        <w:rPr>
          <w:rFonts w:ascii="宋体" w:hAnsi="宋体"/>
        </w:rPr>
      </w:pPr>
      <w:r>
        <w:rPr>
          <w:rFonts w:hint="eastAsia" w:ascii="宋体" w:hAnsi="宋体"/>
        </w:rPr>
        <w:t>在超过16梯级的地方，应设置中间平台，并每梯段应是相等的。在一个钢梯由两个以上梯级组成的地方，则在相邻段间应作方向变化，并且其所有方向变化应是同向的，或朝左手向，或朝右手向。</w:t>
      </w:r>
    </w:p>
    <w:p>
      <w:pPr>
        <w:snapToGrid w:val="0"/>
        <w:spacing w:before="203" w:beforeLines="50" w:after="203" w:afterLines="50"/>
        <w:ind w:firstLine="500" w:firstLineChars="200"/>
        <w:rPr>
          <w:rFonts w:ascii="宋体" w:hAnsi="宋体"/>
        </w:rPr>
      </w:pPr>
      <w:r>
        <w:rPr>
          <w:rFonts w:hint="eastAsia" w:ascii="宋体" w:hAnsi="宋体"/>
        </w:rPr>
        <w:t>应提供合适的、配置有脚趾板的楼梯平台。该脚趾板不应固定在楼板上。</w:t>
      </w:r>
    </w:p>
    <w:p>
      <w:pPr>
        <w:snapToGrid w:val="0"/>
        <w:spacing w:before="203" w:beforeLines="50" w:after="203" w:afterLines="50"/>
        <w:ind w:firstLine="500" w:firstLineChars="200"/>
        <w:rPr>
          <w:rFonts w:ascii="宋体" w:hAnsi="宋体"/>
        </w:rPr>
      </w:pPr>
      <w:r>
        <w:rPr>
          <w:rFonts w:hint="eastAsia" w:ascii="宋体" w:hAnsi="宋体"/>
        </w:rPr>
        <w:t>按规定，在钢梯的两侧都应装扶手，无论其侧面是敞开与否。宽度超过2m的楼梯应配置中间栏杆和中间支柱以支撑楼梯踏板。</w:t>
      </w:r>
    </w:p>
    <w:p>
      <w:pPr>
        <w:snapToGrid w:val="0"/>
        <w:spacing w:before="203" w:beforeLines="50" w:after="203" w:afterLines="50"/>
        <w:ind w:firstLine="500" w:firstLineChars="200"/>
        <w:rPr>
          <w:rFonts w:ascii="宋体" w:hAnsi="宋体"/>
        </w:rPr>
      </w:pPr>
      <w:r>
        <w:rPr>
          <w:rFonts w:hint="eastAsia" w:ascii="宋体" w:hAnsi="宋体"/>
        </w:rPr>
        <w:t>所有的直爬钢梯，高度超过2.5m时，应由设置安全环，并与梯子相同的材料制成。</w:t>
      </w:r>
      <w:bookmarkStart w:id="5789" w:name="_Toc7590940"/>
    </w:p>
    <w:bookmarkEnd w:id="5789"/>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6.2.14.5 沟盖板</w:t>
      </w:r>
    </w:p>
    <w:p>
      <w:pPr>
        <w:snapToGrid w:val="0"/>
        <w:spacing w:before="203" w:beforeLines="50" w:after="203" w:afterLines="50"/>
        <w:ind w:firstLine="500" w:firstLineChars="200"/>
        <w:rPr>
          <w:rFonts w:ascii="宋体" w:hAnsi="宋体"/>
        </w:rPr>
      </w:pPr>
      <w:r>
        <w:rPr>
          <w:rFonts w:hint="eastAsia" w:ascii="宋体" w:hAnsi="宋体"/>
        </w:rPr>
        <w:t>地槽盖板应为铝合金、聚脂玻璃钢或镀锌钢制格栅板。一般应承受3.5kN/m</w:t>
      </w:r>
      <w:r>
        <w:rPr>
          <w:rFonts w:hint="eastAsia" w:ascii="宋体" w:hAnsi="宋体"/>
          <w:vertAlign w:val="superscript"/>
        </w:rPr>
        <w:t>2</w:t>
      </w:r>
      <w:r>
        <w:rPr>
          <w:rFonts w:hint="eastAsia" w:ascii="宋体" w:hAnsi="宋体"/>
        </w:rPr>
        <w:t>的上压负载，除非通行需要更大载荷。应提供与盖板相同材料制成的具有适当角度的边框。</w:t>
      </w:r>
    </w:p>
    <w:p>
      <w:pPr>
        <w:pStyle w:val="5"/>
        <w:spacing w:before="203" w:beforeLines="50" w:after="203" w:afterLines="50"/>
        <w:rPr>
          <w:rFonts w:ascii="宋体" w:hAnsi="宋体" w:eastAsia="宋体"/>
          <w:bCs/>
          <w:sz w:val="24"/>
        </w:rPr>
      </w:pPr>
      <w:bookmarkStart w:id="5790" w:name="_Toc44593733"/>
      <w:bookmarkStart w:id="5791" w:name="_Toc152414594"/>
      <w:bookmarkStart w:id="5792" w:name="_Toc116811647"/>
      <w:bookmarkStart w:id="5793" w:name="_Toc69484235"/>
      <w:bookmarkStart w:id="5794" w:name="_Toc17224"/>
      <w:bookmarkStart w:id="5795" w:name="_Toc115840538"/>
      <w:bookmarkStart w:id="5796" w:name="_Toc17047"/>
      <w:bookmarkStart w:id="5797" w:name="_Toc106883550"/>
      <w:r>
        <w:rPr>
          <w:rFonts w:hint="eastAsia" w:ascii="宋体" w:hAnsi="宋体" w:eastAsia="宋体"/>
          <w:bCs/>
          <w:sz w:val="24"/>
        </w:rPr>
        <w:t>6.2.15 防护及油漆</w:t>
      </w:r>
      <w:bookmarkEnd w:id="5790"/>
      <w:bookmarkEnd w:id="5791"/>
      <w:bookmarkEnd w:id="5792"/>
      <w:bookmarkEnd w:id="5793"/>
      <w:bookmarkEnd w:id="5794"/>
      <w:bookmarkEnd w:id="5795"/>
      <w:bookmarkEnd w:id="5796"/>
      <w:bookmarkEnd w:id="5797"/>
    </w:p>
    <w:p>
      <w:pPr>
        <w:pStyle w:val="6"/>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6.2.15.1 总述</w:t>
      </w:r>
    </w:p>
    <w:p>
      <w:pPr>
        <w:spacing w:before="203" w:beforeLines="50" w:after="203" w:afterLines="50"/>
        <w:ind w:firstLine="500" w:firstLineChars="200"/>
        <w:rPr>
          <w:rFonts w:ascii="宋体" w:hAnsi="宋体"/>
        </w:rPr>
      </w:pPr>
      <w:r>
        <w:rPr>
          <w:rFonts w:hint="eastAsia" w:ascii="宋体" w:hAnsi="宋体"/>
        </w:rPr>
        <w:t>本技术规范的目的，是规定对容器、设备的表面预处理，涂防护层和油漆系统，以及钢结构镀锌的要求。</w:t>
      </w:r>
    </w:p>
    <w:p>
      <w:pPr>
        <w:spacing w:before="203" w:beforeLines="50" w:after="203" w:afterLines="50"/>
        <w:ind w:firstLine="500" w:firstLineChars="200"/>
        <w:rPr>
          <w:rFonts w:ascii="宋体" w:hAnsi="宋体"/>
        </w:rPr>
      </w:pPr>
      <w:r>
        <w:rPr>
          <w:rFonts w:hint="eastAsia" w:ascii="宋体" w:hAnsi="宋体"/>
        </w:rPr>
        <w:t>本技术规范应作为准备油漆工艺、工程图、材料和劳力要求的基础。</w:t>
      </w:r>
    </w:p>
    <w:p>
      <w:pPr>
        <w:spacing w:before="203" w:beforeLines="50" w:after="203" w:afterLines="50"/>
        <w:ind w:firstLine="500" w:firstLineChars="200"/>
        <w:rPr>
          <w:rFonts w:ascii="宋体" w:hAnsi="宋体"/>
        </w:rPr>
      </w:pPr>
      <w:r>
        <w:rPr>
          <w:rFonts w:hint="eastAsia" w:ascii="宋体" w:hAnsi="宋体"/>
        </w:rPr>
        <w:t>本技术规范涉及到对工程的镀锌和油漆的工作的总要求。这个技术规范也概述了对工程中任何需要油漆物品的油漆类型、表面预处理、底漆层修整、底漆层和罩面漆层数目，以及干膜厚度。</w:t>
      </w:r>
    </w:p>
    <w:p>
      <w:pPr>
        <w:spacing w:before="203" w:beforeLines="50" w:after="203" w:afterLines="50"/>
        <w:ind w:firstLine="500" w:firstLineChars="200"/>
        <w:rPr>
          <w:rFonts w:ascii="宋体" w:hAnsi="宋体"/>
        </w:rPr>
      </w:pPr>
      <w:r>
        <w:rPr>
          <w:rFonts w:hint="eastAsia" w:ascii="宋体" w:hAnsi="宋体"/>
        </w:rPr>
        <w:t>承包商应提供全部劳力、材料和设备，包括高质量底漆和溶剂。所建议的方法应根据最成功的工程经验，并经过监理工程师和业主的认可。</w:t>
      </w:r>
    </w:p>
    <w:p>
      <w:pPr>
        <w:pStyle w:val="6"/>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6.2.15.2 材料和工艺</w:t>
      </w:r>
    </w:p>
    <w:p>
      <w:pPr>
        <w:spacing w:before="203" w:beforeLines="50" w:after="203" w:afterLines="50"/>
        <w:ind w:firstLine="500" w:firstLineChars="200"/>
        <w:rPr>
          <w:rFonts w:ascii="宋体" w:hAnsi="宋体"/>
        </w:rPr>
      </w:pPr>
      <w:r>
        <w:rPr>
          <w:rFonts w:hint="eastAsia" w:ascii="宋体" w:hAnsi="宋体"/>
        </w:rPr>
        <w:t>所有的材料和设备、采用的方法和工作质量应随时接受监理工程师和业主的检查和认可。</w:t>
      </w:r>
    </w:p>
    <w:p>
      <w:pPr>
        <w:spacing w:before="203" w:beforeLines="50" w:after="203" w:afterLines="50"/>
        <w:ind w:firstLine="500" w:firstLineChars="200"/>
        <w:rPr>
          <w:rFonts w:ascii="宋体" w:hAnsi="宋体"/>
        </w:rPr>
      </w:pPr>
      <w:r>
        <w:rPr>
          <w:rFonts w:hint="eastAsia" w:ascii="宋体" w:hAnsi="宋体"/>
        </w:rPr>
        <w:t>当监理工程师和业主要按本规范的要求做必要的检查时，承包商应协助进行试验或检查。</w:t>
      </w:r>
    </w:p>
    <w:p>
      <w:pPr>
        <w:spacing w:before="203" w:beforeLines="50" w:after="203" w:afterLines="50"/>
        <w:ind w:firstLine="500" w:firstLineChars="200"/>
        <w:rPr>
          <w:rFonts w:ascii="宋体" w:hAnsi="宋体"/>
        </w:rPr>
      </w:pPr>
      <w:r>
        <w:rPr>
          <w:rFonts w:hint="eastAsia" w:ascii="宋体" w:hAnsi="宋体"/>
        </w:rPr>
        <w:t>除了白色以外，连续的油漆涂层不应采用同一色调。</w:t>
      </w:r>
    </w:p>
    <w:p>
      <w:pPr>
        <w:spacing w:before="203" w:beforeLines="50" w:after="203" w:afterLines="50"/>
        <w:ind w:firstLine="500" w:firstLineChars="200"/>
        <w:rPr>
          <w:rFonts w:ascii="宋体" w:hAnsi="宋体"/>
        </w:rPr>
      </w:pPr>
      <w:r>
        <w:rPr>
          <w:rFonts w:hint="eastAsia" w:ascii="宋体" w:hAnsi="宋体"/>
        </w:rPr>
        <w:t>所有油漆工作都须取样品，并将其保存在现场，以便在油漆层损坏时作为可能的参考。被保存的样品必须至少保持到质保期满之时。</w:t>
      </w:r>
    </w:p>
    <w:p>
      <w:pPr>
        <w:spacing w:before="203" w:beforeLines="50" w:after="203" w:afterLines="50"/>
        <w:ind w:firstLine="500" w:firstLineChars="200"/>
        <w:rPr>
          <w:rFonts w:ascii="宋体" w:hAnsi="宋体"/>
        </w:rPr>
      </w:pPr>
      <w:r>
        <w:rPr>
          <w:rFonts w:hint="eastAsia" w:ascii="宋体" w:hAnsi="宋体"/>
        </w:rPr>
        <w:t>所有在附表“油漆系统”上引用油漆膜厚度指的是干膜状态。</w:t>
      </w:r>
    </w:p>
    <w:p>
      <w:pPr>
        <w:spacing w:before="203" w:beforeLines="50" w:after="203" w:afterLines="50"/>
        <w:ind w:firstLine="500" w:firstLineChars="200"/>
        <w:rPr>
          <w:rFonts w:ascii="宋体" w:hAnsi="宋体"/>
        </w:rPr>
      </w:pPr>
      <w:r>
        <w:rPr>
          <w:rFonts w:hint="eastAsia" w:ascii="宋体" w:hAnsi="宋体"/>
        </w:rPr>
        <w:t>无论是由于采用不适当的工艺，或是由分包商供应的油漆材料引起的影响防腐效果的缺陷，必须由承包商自费进行修正。</w:t>
      </w:r>
    </w:p>
    <w:p>
      <w:pPr>
        <w:spacing w:before="203" w:beforeLines="50" w:after="203" w:afterLines="50"/>
        <w:ind w:firstLine="500" w:firstLineChars="200"/>
        <w:rPr>
          <w:rFonts w:ascii="宋体" w:hAnsi="宋体"/>
        </w:rPr>
      </w:pPr>
      <w:r>
        <w:rPr>
          <w:rFonts w:hint="eastAsia" w:ascii="宋体" w:hAnsi="宋体"/>
        </w:rPr>
        <w:t>对高质量的合成树脂涂层，承包商必须对腐蚀防护性能给予5年保证。对用热涂法的沥青涂层、高质建筑沥青涂层（膜厚300μm），或者用非沥青基材料但有同样防腐蚀性的涂层系统，必须给予至少四年保证期。</w:t>
      </w:r>
    </w:p>
    <w:p>
      <w:pPr>
        <w:spacing w:before="203" w:beforeLines="50" w:after="203" w:afterLines="50"/>
        <w:ind w:firstLine="500" w:firstLineChars="200"/>
        <w:rPr>
          <w:rFonts w:ascii="宋体" w:hAnsi="宋体"/>
        </w:rPr>
      </w:pPr>
      <w:r>
        <w:rPr>
          <w:rFonts w:hint="eastAsia" w:ascii="宋体" w:hAnsi="宋体"/>
        </w:rPr>
        <w:t>油漆应在表面温度大于5℃时进行。表面温度必须至少高于露点3℃，以确保在该表面上不发生凝结现象。必须核对相对湿度，以防止在物件表面凝结。</w:t>
      </w:r>
    </w:p>
    <w:p>
      <w:pPr>
        <w:spacing w:before="203" w:beforeLines="50" w:after="203" w:afterLines="50"/>
        <w:ind w:firstLine="500" w:firstLineChars="200"/>
        <w:rPr>
          <w:rFonts w:ascii="宋体" w:hAnsi="宋体"/>
        </w:rPr>
      </w:pPr>
      <w:r>
        <w:rPr>
          <w:rFonts w:hint="eastAsia" w:ascii="宋体" w:hAnsi="宋体"/>
        </w:rPr>
        <w:t>应该注意，避免在临近雨前对室外部件进行油漆。</w:t>
      </w:r>
    </w:p>
    <w:p>
      <w:pPr>
        <w:spacing w:before="203" w:beforeLines="50" w:after="203" w:afterLines="50"/>
        <w:ind w:firstLine="500" w:firstLineChars="200"/>
        <w:rPr>
          <w:rFonts w:ascii="宋体" w:hAnsi="宋体"/>
        </w:rPr>
      </w:pPr>
      <w:r>
        <w:rPr>
          <w:rFonts w:hint="eastAsia" w:ascii="宋体" w:hAnsi="宋体"/>
        </w:rPr>
        <w:t>在炎热天气下，应采取预防措施，以保证达到所规定的底漆或罩面漆干膜厚度。</w:t>
      </w:r>
    </w:p>
    <w:p>
      <w:pPr>
        <w:spacing w:before="203" w:beforeLines="50" w:after="203" w:afterLines="50"/>
        <w:ind w:firstLine="500" w:firstLineChars="200"/>
        <w:rPr>
          <w:rFonts w:ascii="宋体" w:hAnsi="宋体"/>
        </w:rPr>
      </w:pPr>
      <w:r>
        <w:rPr>
          <w:rFonts w:hint="eastAsia" w:ascii="宋体" w:hAnsi="宋体"/>
        </w:rPr>
        <w:t>在干燥之前暴露于过大湿度或雨等情况中的底漆层，应允许烘干，去除被损坏的底漆区域，并对被损表面重新处理和涂底漆。</w:t>
      </w:r>
    </w:p>
    <w:p>
      <w:pPr>
        <w:spacing w:before="203" w:beforeLines="50" w:after="203" w:afterLines="50"/>
        <w:ind w:firstLine="500" w:firstLineChars="200"/>
        <w:rPr>
          <w:rFonts w:ascii="宋体" w:hAnsi="宋体"/>
        </w:rPr>
      </w:pPr>
      <w:r>
        <w:rPr>
          <w:rFonts w:hint="eastAsia" w:ascii="宋体" w:hAnsi="宋体"/>
        </w:rPr>
        <w:t>露水可能聚集在遮蔽或不通风的水平表面上，要加强保护措施。为此应多加一层罩漆层。</w:t>
      </w:r>
    </w:p>
    <w:p>
      <w:pPr>
        <w:spacing w:before="203" w:beforeLines="50" w:after="203" w:afterLines="50"/>
        <w:ind w:firstLine="500" w:firstLineChars="200"/>
        <w:rPr>
          <w:rFonts w:ascii="宋体" w:hAnsi="宋体"/>
        </w:rPr>
      </w:pPr>
      <w:r>
        <w:rPr>
          <w:rFonts w:hint="eastAsia" w:ascii="宋体" w:hAnsi="宋体"/>
        </w:rPr>
        <w:t>在“油漆系统”中表示为“正常”的温度，是指在浙江省嵊州的气候条件下。</w:t>
      </w:r>
    </w:p>
    <w:p>
      <w:pPr>
        <w:pStyle w:val="6"/>
        <w:spacing w:before="0" w:after="0" w:line="377" w:lineRule="auto"/>
        <w:rPr>
          <w:rFonts w:ascii="宋体" w:hAnsi="宋体" w:eastAsia="宋体"/>
          <w:bCs w:val="0"/>
          <w:sz w:val="24"/>
          <w:szCs w:val="24"/>
        </w:rPr>
      </w:pPr>
      <w:r>
        <w:rPr>
          <w:rFonts w:hint="eastAsia" w:ascii="宋体" w:hAnsi="宋体" w:eastAsia="宋体"/>
          <w:bCs w:val="0"/>
          <w:sz w:val="24"/>
          <w:szCs w:val="24"/>
        </w:rPr>
        <w:t>6.2.15.4 参考标准</w:t>
      </w:r>
    </w:p>
    <w:p>
      <w:pPr>
        <w:snapToGrid w:val="0"/>
        <w:spacing w:before="203" w:beforeLines="50" w:after="203" w:afterLines="50"/>
        <w:ind w:firstLine="500" w:firstLineChars="200"/>
        <w:rPr>
          <w:rFonts w:ascii="宋体" w:hAnsi="宋体"/>
        </w:rPr>
      </w:pPr>
      <w:r>
        <w:rPr>
          <w:rFonts w:hint="eastAsia" w:ascii="宋体" w:hAnsi="宋体"/>
        </w:rPr>
        <w:t>除另有说明外，护涂层和油漆应符合下述相应参考标准。</w:t>
      </w:r>
    </w:p>
    <w:tbl>
      <w:tblPr>
        <w:tblStyle w:val="77"/>
        <w:tblW w:w="0" w:type="auto"/>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0"/>
        <w:gridCol w:w="5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729</w:t>
            </w:r>
            <w:r>
              <w:rPr>
                <w:rFonts w:ascii="宋体" w:hAnsi="宋体"/>
              </w:rPr>
              <w:tab/>
            </w:r>
          </w:p>
        </w:tc>
        <w:tc>
          <w:tcPr>
            <w:tcW w:w="5111" w:type="dxa"/>
          </w:tcPr>
          <w:p>
            <w:pPr>
              <w:rPr>
                <w:rFonts w:ascii="宋体" w:hAnsi="宋体"/>
              </w:rPr>
            </w:pPr>
            <w:r>
              <w:rPr>
                <w:rFonts w:hint="eastAsia" w:ascii="宋体" w:hAnsi="宋体"/>
              </w:rPr>
              <w:t>钢铁件热镀锌层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1224</w:t>
            </w:r>
            <w:r>
              <w:rPr>
                <w:rFonts w:ascii="宋体" w:hAnsi="宋体"/>
              </w:rPr>
              <w:tab/>
            </w:r>
          </w:p>
        </w:tc>
        <w:tc>
          <w:tcPr>
            <w:tcW w:w="5111" w:type="dxa"/>
          </w:tcPr>
          <w:p>
            <w:pPr>
              <w:rPr>
                <w:rFonts w:ascii="宋体" w:hAnsi="宋体"/>
              </w:rPr>
            </w:pPr>
            <w:r>
              <w:rPr>
                <w:rFonts w:hint="eastAsia" w:ascii="宋体" w:hAnsi="宋体"/>
              </w:rPr>
              <w:t>镍铬电镀层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1706</w:t>
            </w:r>
            <w:r>
              <w:rPr>
                <w:rFonts w:ascii="宋体" w:hAnsi="宋体"/>
              </w:rPr>
              <w:tab/>
            </w:r>
          </w:p>
        </w:tc>
        <w:tc>
          <w:tcPr>
            <w:tcW w:w="5111" w:type="dxa"/>
          </w:tcPr>
          <w:p>
            <w:pPr>
              <w:rPr>
                <w:rFonts w:ascii="宋体" w:hAnsi="宋体"/>
              </w:rPr>
            </w:pPr>
            <w:r>
              <w:rPr>
                <w:rFonts w:hint="eastAsia" w:ascii="宋体" w:hAnsi="宋体"/>
              </w:rPr>
              <w:t>钢铁上的镉与锌的电镀层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00" w:type="dxa"/>
          </w:tcPr>
          <w:p>
            <w:pPr>
              <w:rPr>
                <w:rFonts w:ascii="宋体" w:hAnsi="宋体"/>
              </w:rPr>
            </w:pPr>
            <w:r>
              <w:rPr>
                <w:rFonts w:ascii="宋体" w:hAnsi="宋体"/>
              </w:rPr>
              <w:t>BS 2451</w:t>
            </w:r>
            <w:r>
              <w:rPr>
                <w:rFonts w:ascii="宋体" w:hAnsi="宋体"/>
              </w:rPr>
              <w:tab/>
            </w:r>
          </w:p>
        </w:tc>
        <w:tc>
          <w:tcPr>
            <w:tcW w:w="5111" w:type="dxa"/>
          </w:tcPr>
          <w:p>
            <w:pPr>
              <w:rPr>
                <w:rFonts w:ascii="宋体" w:hAnsi="宋体"/>
              </w:rPr>
            </w:pPr>
            <w:r>
              <w:rPr>
                <w:rFonts w:hint="eastAsia" w:ascii="宋体" w:hAnsi="宋体"/>
              </w:rPr>
              <w:t>冷硬铁丸及铁块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2569</w:t>
            </w:r>
            <w:r>
              <w:rPr>
                <w:rFonts w:ascii="宋体" w:hAnsi="宋体"/>
              </w:rPr>
              <w:tab/>
            </w:r>
          </w:p>
        </w:tc>
        <w:tc>
          <w:tcPr>
            <w:tcW w:w="5111" w:type="dxa"/>
          </w:tcPr>
          <w:p>
            <w:pPr>
              <w:rPr>
                <w:rFonts w:ascii="宋体" w:hAnsi="宋体"/>
              </w:rPr>
            </w:pPr>
            <w:r>
              <w:rPr>
                <w:rFonts w:hint="eastAsia" w:ascii="宋体" w:hAnsi="宋体"/>
              </w:rPr>
              <w:t>喷涂金属复层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2989</w:t>
            </w:r>
            <w:r>
              <w:rPr>
                <w:rFonts w:ascii="宋体" w:hAnsi="宋体"/>
              </w:rPr>
              <w:tab/>
            </w:r>
          </w:p>
        </w:tc>
        <w:tc>
          <w:tcPr>
            <w:tcW w:w="5111" w:type="dxa"/>
          </w:tcPr>
          <w:p>
            <w:pPr>
              <w:rPr>
                <w:rFonts w:ascii="宋体" w:hAnsi="宋体"/>
              </w:rPr>
            </w:pPr>
            <w:r>
              <w:rPr>
                <w:rFonts w:hint="eastAsia" w:ascii="宋体" w:hAnsi="宋体"/>
              </w:rPr>
              <w:t>连续冷浸锌与镀铁锌合金的钢宽带材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3382</w:t>
            </w:r>
            <w:r>
              <w:rPr>
                <w:rFonts w:ascii="宋体" w:hAnsi="宋体"/>
              </w:rPr>
              <w:tab/>
            </w:r>
          </w:p>
        </w:tc>
        <w:tc>
          <w:tcPr>
            <w:tcW w:w="5111" w:type="dxa"/>
          </w:tcPr>
          <w:p>
            <w:pPr>
              <w:rPr>
                <w:rFonts w:ascii="宋体" w:hAnsi="宋体"/>
              </w:rPr>
            </w:pPr>
            <w:r>
              <w:rPr>
                <w:rFonts w:hint="eastAsia" w:ascii="宋体" w:hAnsi="宋体"/>
              </w:rPr>
              <w:t>螺纹另件上的电镀层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00" w:type="dxa"/>
          </w:tcPr>
          <w:p>
            <w:pPr>
              <w:rPr>
                <w:rFonts w:ascii="宋体" w:hAnsi="宋体"/>
              </w:rPr>
            </w:pPr>
            <w:r>
              <w:rPr>
                <w:rFonts w:ascii="宋体" w:hAnsi="宋体"/>
              </w:rPr>
              <w:t>BS 3416</w:t>
            </w:r>
            <w:r>
              <w:rPr>
                <w:rFonts w:ascii="宋体" w:hAnsi="宋体"/>
              </w:rPr>
              <w:tab/>
            </w:r>
          </w:p>
        </w:tc>
        <w:tc>
          <w:tcPr>
            <w:tcW w:w="5111" w:type="dxa"/>
          </w:tcPr>
          <w:p>
            <w:pPr>
              <w:rPr>
                <w:rFonts w:ascii="宋体" w:hAnsi="宋体"/>
              </w:rPr>
            </w:pPr>
            <w:r>
              <w:rPr>
                <w:rFonts w:hint="eastAsia" w:ascii="宋体" w:hAnsi="宋体"/>
              </w:rPr>
              <w:t>冷用黑沥青涂料溶液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4129</w:t>
            </w:r>
            <w:r>
              <w:rPr>
                <w:rFonts w:ascii="宋体" w:hAnsi="宋体"/>
              </w:rPr>
              <w:tab/>
            </w:r>
            <w:r>
              <w:rPr>
                <w:rFonts w:ascii="宋体" w:hAnsi="宋体"/>
              </w:rPr>
              <w:tab/>
            </w:r>
          </w:p>
        </w:tc>
        <w:tc>
          <w:tcPr>
            <w:tcW w:w="5111" w:type="dxa"/>
          </w:tcPr>
          <w:p>
            <w:pPr>
              <w:rPr>
                <w:rFonts w:ascii="宋体" w:hAnsi="宋体"/>
              </w:rPr>
            </w:pPr>
            <w:r>
              <w:rPr>
                <w:rFonts w:hint="eastAsia" w:ascii="宋体" w:hAnsi="宋体"/>
              </w:rPr>
              <w:t>焊接金属涂料及由保护层焊接的电阻焊特性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4147</w:t>
            </w:r>
            <w:r>
              <w:rPr>
                <w:rFonts w:ascii="宋体" w:hAnsi="宋体"/>
              </w:rPr>
              <w:tab/>
            </w:r>
            <w:r>
              <w:rPr>
                <w:rFonts w:ascii="宋体" w:hAnsi="宋体"/>
              </w:rPr>
              <w:tab/>
            </w:r>
          </w:p>
        </w:tc>
        <w:tc>
          <w:tcPr>
            <w:tcW w:w="5111" w:type="dxa"/>
          </w:tcPr>
          <w:p>
            <w:pPr>
              <w:rPr>
                <w:rFonts w:ascii="宋体" w:hAnsi="宋体"/>
              </w:rPr>
            </w:pPr>
            <w:r>
              <w:rPr>
                <w:rFonts w:hint="eastAsia" w:ascii="宋体" w:hAnsi="宋体"/>
              </w:rPr>
              <w:t>钢铁防护用热敷沥青基涂料规格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4232</w:t>
            </w:r>
            <w:r>
              <w:rPr>
                <w:rFonts w:ascii="宋体" w:hAnsi="宋体"/>
              </w:rPr>
              <w:tab/>
            </w:r>
            <w:r>
              <w:rPr>
                <w:rFonts w:ascii="宋体" w:hAnsi="宋体"/>
              </w:rPr>
              <w:tab/>
            </w:r>
          </w:p>
        </w:tc>
        <w:tc>
          <w:tcPr>
            <w:tcW w:w="5111" w:type="dxa"/>
          </w:tcPr>
          <w:p>
            <w:pPr>
              <w:rPr>
                <w:rFonts w:ascii="宋体" w:hAnsi="宋体"/>
              </w:rPr>
            </w:pPr>
            <w:r>
              <w:rPr>
                <w:rFonts w:hint="eastAsia" w:ascii="宋体" w:hAnsi="宋体"/>
              </w:rPr>
              <w:t>为涂料而进行的钢表面喷砂修整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00" w:type="dxa"/>
          </w:tcPr>
          <w:p>
            <w:pPr>
              <w:rPr>
                <w:rFonts w:ascii="宋体" w:hAnsi="宋体"/>
              </w:rPr>
            </w:pPr>
            <w:r>
              <w:rPr>
                <w:rFonts w:ascii="宋体" w:hAnsi="宋体"/>
              </w:rPr>
              <w:t>BS 4921</w:t>
            </w:r>
            <w:r>
              <w:rPr>
                <w:rFonts w:ascii="宋体" w:hAnsi="宋体"/>
              </w:rPr>
              <w:tab/>
            </w:r>
            <w:r>
              <w:rPr>
                <w:rFonts w:ascii="宋体" w:hAnsi="宋体"/>
              </w:rPr>
              <w:tab/>
            </w:r>
          </w:p>
        </w:tc>
        <w:tc>
          <w:tcPr>
            <w:tcW w:w="5111" w:type="dxa"/>
          </w:tcPr>
          <w:p>
            <w:pPr>
              <w:rPr>
                <w:rFonts w:ascii="宋体" w:hAnsi="宋体"/>
              </w:rPr>
            </w:pPr>
            <w:r>
              <w:rPr>
                <w:rFonts w:hint="eastAsia" w:ascii="宋体" w:hAnsi="宋体"/>
              </w:rPr>
              <w:t>钢铁件上的镀料层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BS 5493</w:t>
            </w:r>
            <w:r>
              <w:rPr>
                <w:rFonts w:ascii="宋体" w:hAnsi="宋体"/>
              </w:rPr>
              <w:tab/>
            </w:r>
            <w:r>
              <w:rPr>
                <w:rFonts w:ascii="宋体" w:hAnsi="宋体"/>
              </w:rPr>
              <w:tab/>
            </w:r>
          </w:p>
        </w:tc>
        <w:tc>
          <w:tcPr>
            <w:tcW w:w="5111" w:type="dxa"/>
          </w:tcPr>
          <w:p>
            <w:pPr>
              <w:rPr>
                <w:rFonts w:ascii="宋体" w:hAnsi="宋体"/>
              </w:rPr>
            </w:pPr>
            <w:r>
              <w:rPr>
                <w:rFonts w:hint="eastAsia" w:ascii="宋体" w:hAnsi="宋体"/>
              </w:rPr>
              <w:t>钢铁结构防腐层的实用规范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CP 231</w:t>
            </w:r>
            <w:r>
              <w:rPr>
                <w:rFonts w:ascii="宋体" w:hAnsi="宋体"/>
              </w:rPr>
              <w:tab/>
            </w:r>
            <w:r>
              <w:rPr>
                <w:rFonts w:ascii="宋体" w:hAnsi="宋体"/>
              </w:rPr>
              <w:tab/>
            </w:r>
          </w:p>
        </w:tc>
        <w:tc>
          <w:tcPr>
            <w:tcW w:w="5111" w:type="dxa"/>
          </w:tcPr>
          <w:p>
            <w:pPr>
              <w:rPr>
                <w:rFonts w:ascii="宋体" w:hAnsi="宋体"/>
              </w:rPr>
            </w:pPr>
            <w:r>
              <w:rPr>
                <w:rFonts w:hint="eastAsia" w:ascii="宋体" w:hAnsi="宋体"/>
              </w:rPr>
              <w:t>建筑物的油漆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0" w:type="dxa"/>
          </w:tcPr>
          <w:p>
            <w:pPr>
              <w:rPr>
                <w:rFonts w:ascii="宋体" w:hAnsi="宋体"/>
              </w:rPr>
            </w:pPr>
            <w:r>
              <w:rPr>
                <w:rFonts w:ascii="宋体" w:hAnsi="宋体"/>
              </w:rPr>
              <w:t>CP 3012</w:t>
            </w:r>
            <w:r>
              <w:rPr>
                <w:rFonts w:ascii="宋体" w:hAnsi="宋体"/>
              </w:rPr>
              <w:tab/>
            </w:r>
          </w:p>
        </w:tc>
        <w:tc>
          <w:tcPr>
            <w:tcW w:w="5111" w:type="dxa"/>
          </w:tcPr>
          <w:p>
            <w:pPr>
              <w:rPr>
                <w:rFonts w:ascii="宋体" w:hAnsi="宋体"/>
              </w:rPr>
            </w:pPr>
            <w:r>
              <w:rPr>
                <w:rFonts w:hint="eastAsia" w:ascii="宋体" w:hAnsi="宋体"/>
              </w:rPr>
              <w:t>金属表面的清理及处理</w:t>
            </w:r>
          </w:p>
        </w:tc>
      </w:tr>
    </w:tbl>
    <w:p>
      <w:pPr>
        <w:pStyle w:val="6"/>
        <w:spacing w:before="0" w:after="0" w:line="377" w:lineRule="auto"/>
        <w:rPr>
          <w:rFonts w:ascii="宋体" w:hAnsi="宋体" w:eastAsia="宋体"/>
          <w:bCs w:val="0"/>
          <w:sz w:val="24"/>
          <w:szCs w:val="24"/>
        </w:rPr>
      </w:pPr>
      <w:r>
        <w:rPr>
          <w:rFonts w:hint="eastAsia" w:ascii="宋体" w:hAnsi="宋体" w:eastAsia="宋体"/>
          <w:bCs w:val="0"/>
          <w:sz w:val="24"/>
          <w:szCs w:val="24"/>
        </w:rPr>
        <w:t>6.2.15.5 防护层和涂料系统</w:t>
      </w:r>
    </w:p>
    <w:p>
      <w:pPr>
        <w:snapToGrid w:val="0"/>
        <w:spacing w:before="203" w:beforeLines="50" w:after="203" w:afterLines="50"/>
        <w:ind w:firstLine="500" w:firstLineChars="200"/>
        <w:rPr>
          <w:rFonts w:ascii="宋体" w:hAnsi="宋体"/>
        </w:rPr>
      </w:pPr>
      <w:r>
        <w:rPr>
          <w:rFonts w:hint="eastAsia" w:ascii="宋体" w:hAnsi="宋体"/>
        </w:rPr>
        <w:t>各防护层，涂料系统和工作环境必须按照下述要求，除非已另有规定。干膜厚度</w:t>
      </w:r>
      <w:r>
        <w:rPr>
          <w:rFonts w:ascii="宋体" w:hAnsi="宋体"/>
        </w:rPr>
        <w:t>（DFT）（</w:t>
      </w:r>
      <w:r>
        <w:rPr>
          <w:rFonts w:hint="eastAsia" w:ascii="宋体" w:hAnsi="宋体"/>
        </w:rPr>
        <w:t>无论是单层或全部</w:t>
      </w:r>
      <w:r>
        <w:rPr>
          <w:rFonts w:ascii="宋体" w:hAnsi="宋体"/>
        </w:rPr>
        <w:t>）</w:t>
      </w:r>
      <w:r>
        <w:rPr>
          <w:rFonts w:hint="eastAsia" w:ascii="宋体" w:hAnsi="宋体"/>
        </w:rPr>
        <w:t>即采用适当的测定仪测得的最小膜厚度。如果采用氯丁橡胶，那么必须采用含云母的氧化铁底漆。</w:t>
      </w:r>
    </w:p>
    <w:p>
      <w:pPr>
        <w:snapToGrid w:val="0"/>
        <w:rPr>
          <w:rFonts w:ascii="宋体" w:hAnsi="宋体"/>
        </w:rPr>
      </w:pPr>
      <w:r>
        <w:rPr>
          <w:rFonts w:hint="eastAsia" w:ascii="宋体" w:hAnsi="宋体"/>
        </w:rPr>
        <w:t>方法</w:t>
      </w:r>
      <w:r>
        <w:rPr>
          <w:rFonts w:ascii="宋体" w:hAnsi="宋体"/>
        </w:rPr>
        <w:t>（</w:t>
      </w:r>
      <w:r>
        <w:rPr>
          <w:rFonts w:hint="eastAsia" w:ascii="宋体" w:hAnsi="宋体"/>
        </w:rPr>
        <w:t>1</w:t>
      </w:r>
      <w:r>
        <w:rPr>
          <w:rFonts w:ascii="宋体" w:hAnsi="宋体"/>
        </w:rPr>
        <w:t>）</w:t>
      </w:r>
    </w:p>
    <w:p>
      <w:pPr>
        <w:snapToGrid w:val="0"/>
        <w:ind w:firstLine="500" w:firstLineChars="200"/>
        <w:rPr>
          <w:rFonts w:ascii="宋体" w:hAnsi="宋体"/>
        </w:rPr>
      </w:pPr>
      <w:r>
        <w:rPr>
          <w:rFonts w:hint="eastAsia" w:ascii="宋体" w:hAnsi="宋体"/>
        </w:rPr>
        <w:t>表面类型</w:t>
      </w:r>
      <w:r>
        <w:rPr>
          <w:rFonts w:ascii="宋体" w:hAnsi="宋体"/>
        </w:rPr>
        <w:tab/>
      </w:r>
      <w:r>
        <w:rPr>
          <w:rFonts w:hint="eastAsia" w:ascii="宋体" w:hAnsi="宋体"/>
        </w:rPr>
        <w:tab/>
      </w:r>
      <w:r>
        <w:rPr>
          <w:rFonts w:hint="eastAsia" w:ascii="宋体" w:hAnsi="宋体"/>
        </w:rPr>
        <w:tab/>
      </w:r>
      <w:r>
        <w:rPr>
          <w:rFonts w:hint="eastAsia" w:ascii="宋体" w:hAnsi="宋体"/>
        </w:rPr>
        <w:t>黑色金属</w:t>
      </w:r>
    </w:p>
    <w:p>
      <w:pPr>
        <w:snapToGrid w:val="0"/>
        <w:ind w:firstLine="500" w:firstLineChars="200"/>
        <w:rPr>
          <w:rFonts w:ascii="宋体" w:hAnsi="宋体"/>
        </w:rPr>
      </w:pPr>
      <w:r>
        <w:rPr>
          <w:rFonts w:hint="eastAsia" w:ascii="宋体" w:hAnsi="宋体"/>
        </w:rPr>
        <w:t>工作环境</w:t>
      </w:r>
      <w:r>
        <w:rPr>
          <w:rFonts w:ascii="宋体" w:hAnsi="宋体"/>
        </w:rPr>
        <w:tab/>
      </w:r>
      <w:r>
        <w:rPr>
          <w:rFonts w:ascii="宋体" w:hAnsi="宋体"/>
        </w:rPr>
        <w:tab/>
      </w:r>
      <w:r>
        <w:rPr>
          <w:rFonts w:hint="eastAsia" w:ascii="宋体" w:hAnsi="宋体"/>
        </w:rPr>
        <w:tab/>
      </w:r>
      <w:r>
        <w:rPr>
          <w:rFonts w:hint="eastAsia" w:ascii="宋体" w:hAnsi="宋体"/>
        </w:rPr>
        <w:t>大气式</w:t>
      </w:r>
      <w:r>
        <w:rPr>
          <w:rFonts w:ascii="宋体" w:hAnsi="宋体"/>
        </w:rPr>
        <w:sym w:font="Symbol" w:char="F0BE"/>
      </w:r>
      <w:r>
        <w:rPr>
          <w:rFonts w:ascii="宋体" w:hAnsi="宋体"/>
        </w:rPr>
        <w:sym w:font="Symbol" w:char="F0BE"/>
      </w:r>
      <w:r>
        <w:rPr>
          <w:rFonts w:hint="eastAsia" w:ascii="宋体" w:hAnsi="宋体"/>
        </w:rPr>
        <w:t>外部</w:t>
      </w:r>
    </w:p>
    <w:p>
      <w:pPr>
        <w:snapToGrid w:val="0"/>
        <w:ind w:firstLine="500" w:firstLineChars="200"/>
        <w:rPr>
          <w:rFonts w:ascii="宋体" w:hAnsi="宋体"/>
        </w:rPr>
      </w:pPr>
      <w:r>
        <w:rPr>
          <w:rFonts w:hint="eastAsia" w:ascii="宋体" w:hAnsi="宋体"/>
        </w:rPr>
        <w:t>涂料系列参考</w:t>
      </w:r>
      <w:r>
        <w:rPr>
          <w:rFonts w:ascii="宋体" w:hAnsi="宋体"/>
        </w:rPr>
        <w:tab/>
      </w:r>
      <w:r>
        <w:rPr>
          <w:rFonts w:ascii="宋体" w:hAnsi="宋体"/>
        </w:rPr>
        <w:tab/>
      </w:r>
      <w:r>
        <w:rPr>
          <w:rFonts w:hint="eastAsia" w:ascii="宋体" w:hAnsi="宋体"/>
        </w:rPr>
        <w:t>氯丁橡胶</w:t>
      </w:r>
    </w:p>
    <w:p>
      <w:pPr>
        <w:snapToGrid w:val="0"/>
        <w:ind w:firstLine="500" w:firstLineChars="200"/>
        <w:rPr>
          <w:rFonts w:ascii="宋体" w:hAnsi="宋体"/>
        </w:rPr>
      </w:pPr>
      <w:r>
        <w:rPr>
          <w:rFonts w:hint="eastAsia" w:ascii="宋体" w:hAnsi="宋体"/>
        </w:rPr>
        <w:t>表面处理</w:t>
      </w:r>
      <w:r>
        <w:rPr>
          <w:rFonts w:ascii="宋体" w:hAnsi="宋体"/>
        </w:rPr>
        <w:tab/>
      </w:r>
      <w:r>
        <w:rPr>
          <w:rFonts w:ascii="宋体" w:hAnsi="宋体"/>
        </w:rPr>
        <w:tab/>
      </w:r>
      <w:r>
        <w:rPr>
          <w:rFonts w:hint="eastAsia" w:ascii="宋体" w:hAnsi="宋体"/>
        </w:rPr>
        <w:tab/>
      </w:r>
      <w:r>
        <w:rPr>
          <w:rFonts w:hint="eastAsia" w:ascii="宋体" w:hAnsi="宋体"/>
        </w:rPr>
        <w:t>喷砂清理，达到</w:t>
      </w:r>
      <w:r>
        <w:rPr>
          <w:rFonts w:ascii="宋体" w:hAnsi="宋体"/>
        </w:rPr>
        <w:t>BS4232</w:t>
      </w:r>
      <w:r>
        <w:rPr>
          <w:rFonts w:hint="eastAsia" w:ascii="宋体" w:hAnsi="宋体"/>
        </w:rPr>
        <w:t>二级标准</w:t>
      </w:r>
    </w:p>
    <w:p>
      <w:pPr>
        <w:snapToGrid w:val="0"/>
        <w:ind w:firstLine="500" w:firstLineChars="200"/>
        <w:rPr>
          <w:rFonts w:ascii="宋体" w:hAnsi="宋体"/>
        </w:rPr>
      </w:pPr>
      <w:r>
        <w:rPr>
          <w:rFonts w:hint="eastAsia" w:ascii="宋体" w:hAnsi="宋体"/>
        </w:rPr>
        <w:t>方法介绍</w:t>
      </w:r>
      <w:r>
        <w:rPr>
          <w:rFonts w:ascii="宋体" w:hAnsi="宋体"/>
        </w:rPr>
        <w:tab/>
      </w:r>
      <w:r>
        <w:rPr>
          <w:rFonts w:ascii="宋体" w:hAnsi="宋体"/>
        </w:rPr>
        <w:tab/>
      </w:r>
      <w:r>
        <w:rPr>
          <w:rFonts w:hint="eastAsia" w:ascii="宋体" w:hAnsi="宋体"/>
        </w:rPr>
        <w:tab/>
      </w:r>
      <w:r>
        <w:rPr>
          <w:rFonts w:hint="eastAsia" w:ascii="宋体" w:hAnsi="宋体"/>
        </w:rPr>
        <w:t>溶介自然硅酸锌</w:t>
      </w:r>
      <w:r>
        <w:rPr>
          <w:rFonts w:ascii="宋体" w:hAnsi="宋体"/>
        </w:rPr>
        <w:t>75um</w:t>
      </w:r>
      <w:r>
        <w:rPr>
          <w:rFonts w:hint="eastAsia" w:ascii="宋体" w:hAnsi="宋体"/>
        </w:rPr>
        <w:t>，</w:t>
      </w:r>
      <w:r>
        <w:rPr>
          <w:rFonts w:ascii="宋体" w:hAnsi="宋体"/>
        </w:rPr>
        <w:t>DFT</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高级氯丁橡胶</w:t>
      </w:r>
      <w:r>
        <w:rPr>
          <w:rFonts w:ascii="宋体" w:hAnsi="宋体"/>
        </w:rPr>
        <w:t>80um</w:t>
      </w:r>
      <w:r>
        <w:rPr>
          <w:rFonts w:hint="eastAsia" w:ascii="宋体" w:hAnsi="宋体"/>
        </w:rPr>
        <w:t>，</w:t>
      </w:r>
      <w:r>
        <w:rPr>
          <w:rFonts w:ascii="宋体" w:hAnsi="宋体"/>
        </w:rPr>
        <w:t>DFT</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氯丁橡胶瓷漆</w:t>
      </w:r>
      <w:r>
        <w:rPr>
          <w:rFonts w:ascii="宋体" w:hAnsi="宋体"/>
        </w:rPr>
        <w:t>35um</w:t>
      </w:r>
      <w:r>
        <w:rPr>
          <w:rFonts w:hint="eastAsia" w:ascii="宋体" w:hAnsi="宋体"/>
        </w:rPr>
        <w:t>，</w:t>
      </w:r>
      <w:r>
        <w:rPr>
          <w:rFonts w:ascii="宋体" w:hAnsi="宋体"/>
        </w:rPr>
        <w:t>DFT</w:t>
      </w:r>
    </w:p>
    <w:p>
      <w:pPr>
        <w:snapToGrid w:val="0"/>
        <w:rPr>
          <w:rFonts w:ascii="宋体" w:hAnsi="宋体"/>
        </w:rPr>
      </w:pPr>
      <w:r>
        <w:rPr>
          <w:rFonts w:hint="eastAsia" w:ascii="宋体" w:hAnsi="宋体"/>
        </w:rPr>
        <w:t>方法</w:t>
      </w:r>
      <w:r>
        <w:rPr>
          <w:rFonts w:ascii="宋体" w:hAnsi="宋体"/>
        </w:rPr>
        <w:t>（</w:t>
      </w:r>
      <w:r>
        <w:rPr>
          <w:rFonts w:hint="eastAsia" w:ascii="宋体" w:hAnsi="宋体"/>
        </w:rPr>
        <w:t>2</w:t>
      </w:r>
      <w:r>
        <w:rPr>
          <w:rFonts w:ascii="宋体" w:hAnsi="宋体"/>
        </w:rPr>
        <w:t>）</w:t>
      </w:r>
    </w:p>
    <w:p>
      <w:pPr>
        <w:snapToGrid w:val="0"/>
        <w:ind w:firstLine="500" w:firstLineChars="200"/>
        <w:rPr>
          <w:rFonts w:ascii="宋体" w:hAnsi="宋体"/>
        </w:rPr>
      </w:pPr>
      <w:r>
        <w:rPr>
          <w:rFonts w:hint="eastAsia" w:ascii="宋体" w:hAnsi="宋体"/>
        </w:rPr>
        <w:t>表面类型</w:t>
      </w:r>
      <w:r>
        <w:rPr>
          <w:rFonts w:hint="eastAsia" w:ascii="宋体" w:hAnsi="宋体"/>
        </w:rPr>
        <w:tab/>
      </w:r>
      <w:r>
        <w:rPr>
          <w:rFonts w:hint="eastAsia" w:ascii="宋体" w:hAnsi="宋体"/>
        </w:rPr>
        <w:tab/>
      </w:r>
      <w:r>
        <w:rPr>
          <w:rFonts w:ascii="宋体" w:hAnsi="宋体"/>
        </w:rPr>
        <w:tab/>
      </w:r>
      <w:r>
        <w:rPr>
          <w:rFonts w:hint="eastAsia" w:ascii="宋体" w:hAnsi="宋体"/>
        </w:rPr>
        <w:t>黑色金属</w:t>
      </w:r>
    </w:p>
    <w:p>
      <w:pPr>
        <w:snapToGrid w:val="0"/>
        <w:ind w:firstLine="500" w:firstLineChars="200"/>
        <w:rPr>
          <w:rFonts w:ascii="宋体" w:hAnsi="宋体"/>
        </w:rPr>
      </w:pPr>
      <w:r>
        <w:rPr>
          <w:rFonts w:hint="eastAsia" w:ascii="宋体" w:hAnsi="宋体"/>
        </w:rPr>
        <w:t>工作环境</w:t>
      </w:r>
      <w:r>
        <w:rPr>
          <w:rFonts w:ascii="宋体" w:hAnsi="宋体"/>
        </w:rPr>
        <w:tab/>
      </w:r>
      <w:r>
        <w:rPr>
          <w:rFonts w:ascii="宋体" w:hAnsi="宋体"/>
        </w:rPr>
        <w:tab/>
      </w:r>
      <w:r>
        <w:rPr>
          <w:rFonts w:hint="eastAsia" w:ascii="宋体" w:hAnsi="宋体"/>
        </w:rPr>
        <w:tab/>
      </w:r>
      <w:r>
        <w:rPr>
          <w:rFonts w:hint="eastAsia" w:ascii="宋体" w:hAnsi="宋体"/>
        </w:rPr>
        <w:t>大气式</w:t>
      </w:r>
      <w:r>
        <w:rPr>
          <w:rFonts w:ascii="宋体" w:hAnsi="宋体"/>
        </w:rPr>
        <w:sym w:font="Symbol" w:char="F0BE"/>
      </w:r>
      <w:r>
        <w:rPr>
          <w:rFonts w:ascii="宋体" w:hAnsi="宋体"/>
        </w:rPr>
        <w:sym w:font="Symbol" w:char="F0BE"/>
      </w:r>
      <w:r>
        <w:rPr>
          <w:rFonts w:hint="eastAsia" w:ascii="宋体" w:hAnsi="宋体"/>
        </w:rPr>
        <w:t>内部</w:t>
      </w:r>
    </w:p>
    <w:p>
      <w:pPr>
        <w:snapToGrid w:val="0"/>
        <w:ind w:firstLine="500" w:firstLineChars="200"/>
        <w:rPr>
          <w:rFonts w:ascii="宋体" w:hAnsi="宋体"/>
        </w:rPr>
      </w:pPr>
      <w:r>
        <w:rPr>
          <w:rFonts w:hint="eastAsia" w:ascii="宋体" w:hAnsi="宋体"/>
        </w:rPr>
        <w:t>涂料系列参考</w:t>
      </w:r>
      <w:r>
        <w:rPr>
          <w:rFonts w:ascii="宋体" w:hAnsi="宋体"/>
        </w:rPr>
        <w:tab/>
      </w:r>
      <w:r>
        <w:rPr>
          <w:rFonts w:ascii="宋体" w:hAnsi="宋体"/>
        </w:rPr>
        <w:tab/>
      </w:r>
      <w:r>
        <w:rPr>
          <w:rFonts w:hint="eastAsia" w:ascii="宋体" w:hAnsi="宋体"/>
        </w:rPr>
        <w:t>干燥油漆</w:t>
      </w:r>
    </w:p>
    <w:p>
      <w:pPr>
        <w:snapToGrid w:val="0"/>
        <w:ind w:firstLine="500" w:firstLineChars="200"/>
        <w:rPr>
          <w:rFonts w:ascii="宋体" w:hAnsi="宋体"/>
        </w:rPr>
      </w:pPr>
      <w:r>
        <w:rPr>
          <w:rFonts w:hint="eastAsia" w:ascii="宋体" w:hAnsi="宋体"/>
        </w:rPr>
        <w:t>表面处理</w:t>
      </w:r>
      <w:r>
        <w:rPr>
          <w:rFonts w:ascii="宋体" w:hAnsi="宋体"/>
        </w:rPr>
        <w:tab/>
      </w:r>
      <w:r>
        <w:rPr>
          <w:rFonts w:ascii="宋体" w:hAnsi="宋体"/>
        </w:rPr>
        <w:tab/>
      </w:r>
      <w:r>
        <w:rPr>
          <w:rFonts w:hint="eastAsia" w:ascii="宋体" w:hAnsi="宋体"/>
        </w:rPr>
        <w:tab/>
      </w:r>
      <w:r>
        <w:rPr>
          <w:rFonts w:hint="eastAsia" w:ascii="宋体" w:hAnsi="宋体"/>
        </w:rPr>
        <w:t>喷砂清理达到</w:t>
      </w:r>
      <w:r>
        <w:rPr>
          <w:rFonts w:ascii="宋体" w:hAnsi="宋体"/>
        </w:rPr>
        <w:t>BS4232</w:t>
      </w:r>
      <w:r>
        <w:rPr>
          <w:rFonts w:hint="eastAsia" w:ascii="宋体" w:hAnsi="宋体"/>
        </w:rPr>
        <w:t>二级标准</w:t>
      </w:r>
    </w:p>
    <w:p>
      <w:pPr>
        <w:snapToGrid w:val="0"/>
        <w:ind w:firstLine="500" w:firstLineChars="200"/>
        <w:rPr>
          <w:rFonts w:ascii="宋体" w:hAnsi="宋体"/>
        </w:rPr>
      </w:pPr>
      <w:r>
        <w:rPr>
          <w:rFonts w:hint="eastAsia" w:ascii="宋体" w:hAnsi="宋体"/>
        </w:rPr>
        <w:t>方法介绍</w:t>
      </w:r>
      <w:r>
        <w:rPr>
          <w:rFonts w:ascii="宋体" w:hAnsi="宋体"/>
        </w:rPr>
        <w:tab/>
      </w:r>
      <w:r>
        <w:rPr>
          <w:rFonts w:ascii="宋体" w:hAnsi="宋体"/>
        </w:rPr>
        <w:tab/>
      </w:r>
      <w:r>
        <w:rPr>
          <w:rFonts w:hint="eastAsia" w:ascii="宋体" w:hAnsi="宋体"/>
        </w:rPr>
        <w:tab/>
      </w:r>
      <w:r>
        <w:rPr>
          <w:rFonts w:hint="eastAsia" w:ascii="宋体" w:hAnsi="宋体"/>
        </w:rPr>
        <w:t>防锈漆</w:t>
      </w:r>
      <w:r>
        <w:rPr>
          <w:rFonts w:ascii="宋体" w:hAnsi="宋体"/>
        </w:rPr>
        <w:sym w:font="Symbol" w:char="F0BE"/>
      </w:r>
      <w:r>
        <w:rPr>
          <w:rFonts w:ascii="宋体" w:hAnsi="宋体"/>
        </w:rPr>
        <w:sym w:font="Symbol" w:char="F0BE"/>
      </w:r>
      <w:r>
        <w:rPr>
          <w:rFonts w:hint="eastAsia" w:ascii="宋体" w:hAnsi="宋体"/>
        </w:rPr>
        <w:t>干燥油漆</w:t>
      </w:r>
      <w:r>
        <w:rPr>
          <w:rFonts w:ascii="宋体" w:hAnsi="宋体"/>
        </w:rPr>
        <w:t>70um</w:t>
      </w:r>
      <w:r>
        <w:rPr>
          <w:rFonts w:hint="eastAsia" w:ascii="宋体" w:hAnsi="宋体"/>
        </w:rPr>
        <w:t>，</w:t>
      </w:r>
      <w:r>
        <w:rPr>
          <w:rFonts w:ascii="宋体" w:hAnsi="宋体"/>
        </w:rPr>
        <w:t>DFT</w:t>
      </w:r>
    </w:p>
    <w:p>
      <w:pPr>
        <w:snapToGrid w:val="0"/>
        <w:ind w:firstLine="500" w:firstLineChars="200"/>
        <w:rPr>
          <w:rFonts w:ascii="宋体" w:hAnsi="宋体"/>
        </w:rPr>
      </w:pPr>
      <w:r>
        <w:rPr>
          <w:rFonts w:ascii="宋体" w:hAnsi="宋体"/>
        </w:rPr>
        <w:tab/>
      </w:r>
      <w:r>
        <w:rPr>
          <w:rFonts w:hint="eastAsia" w:ascii="宋体" w:hAnsi="宋体"/>
        </w:rPr>
        <w:tab/>
      </w:r>
      <w:r>
        <w:rPr>
          <w:rFonts w:ascii="宋体" w:hAnsi="宋体"/>
        </w:rPr>
        <w:tab/>
      </w:r>
      <w:r>
        <w:rPr>
          <w:rFonts w:ascii="宋体" w:hAnsi="宋体"/>
        </w:rPr>
        <w:tab/>
      </w:r>
      <w:r>
        <w:rPr>
          <w:rFonts w:ascii="宋体" w:hAnsi="宋体"/>
        </w:rPr>
        <w:tab/>
      </w:r>
      <w:r>
        <w:rPr>
          <w:rFonts w:hint="eastAsia" w:ascii="宋体" w:hAnsi="宋体"/>
        </w:rPr>
        <w:t>含云母的氧化铁底漆</w:t>
      </w:r>
      <w:r>
        <w:rPr>
          <w:rFonts w:ascii="宋体" w:hAnsi="宋体"/>
        </w:rPr>
        <w:t>60/80umDFT</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含云母的氧化铁终饰</w:t>
      </w:r>
      <w:r>
        <w:rPr>
          <w:rFonts w:ascii="宋体" w:hAnsi="宋体"/>
        </w:rPr>
        <w:t>60/80umDFT</w:t>
      </w:r>
    </w:p>
    <w:p>
      <w:pPr>
        <w:snapToGrid w:val="0"/>
        <w:rPr>
          <w:rFonts w:ascii="宋体" w:hAnsi="宋体"/>
        </w:rPr>
      </w:pPr>
      <w:r>
        <w:rPr>
          <w:rFonts w:hint="eastAsia" w:ascii="宋体" w:hAnsi="宋体"/>
        </w:rPr>
        <w:t>方法</w:t>
      </w:r>
      <w:r>
        <w:rPr>
          <w:rFonts w:ascii="宋体" w:hAnsi="宋体"/>
        </w:rPr>
        <w:t>（</w:t>
      </w:r>
      <w:r>
        <w:rPr>
          <w:rFonts w:hint="eastAsia" w:ascii="宋体" w:hAnsi="宋体"/>
        </w:rPr>
        <w:t>3</w:t>
      </w:r>
      <w:r>
        <w:rPr>
          <w:rFonts w:ascii="宋体" w:hAnsi="宋体"/>
        </w:rPr>
        <w:t>）</w:t>
      </w:r>
    </w:p>
    <w:p>
      <w:pPr>
        <w:snapToGrid w:val="0"/>
        <w:ind w:firstLine="500" w:firstLineChars="200"/>
        <w:rPr>
          <w:rFonts w:ascii="宋体" w:hAnsi="宋体"/>
        </w:rPr>
      </w:pPr>
      <w:r>
        <w:rPr>
          <w:rFonts w:hint="eastAsia" w:ascii="宋体" w:hAnsi="宋体"/>
        </w:rPr>
        <w:t>表面类型</w:t>
      </w:r>
      <w:r>
        <w:rPr>
          <w:rFonts w:ascii="宋体" w:hAnsi="宋体"/>
        </w:rPr>
        <w:tab/>
      </w:r>
      <w:r>
        <w:rPr>
          <w:rFonts w:hint="eastAsia" w:ascii="宋体" w:hAnsi="宋体"/>
        </w:rPr>
        <w:tab/>
      </w:r>
      <w:r>
        <w:rPr>
          <w:rFonts w:hint="eastAsia" w:ascii="宋体" w:hAnsi="宋体"/>
        </w:rPr>
        <w:tab/>
      </w:r>
      <w:r>
        <w:rPr>
          <w:rFonts w:hint="eastAsia" w:ascii="宋体" w:hAnsi="宋体"/>
        </w:rPr>
        <w:t>黑色金属</w:t>
      </w:r>
      <w:r>
        <w:rPr>
          <w:rFonts w:ascii="宋体" w:hAnsi="宋体"/>
        </w:rPr>
        <w:sym w:font="Symbol" w:char="F0BE"/>
      </w:r>
      <w:r>
        <w:rPr>
          <w:rFonts w:ascii="宋体" w:hAnsi="宋体"/>
        </w:rPr>
        <w:sym w:font="Symbol" w:char="F0BE"/>
      </w:r>
      <w:r>
        <w:rPr>
          <w:rFonts w:hint="eastAsia" w:ascii="宋体" w:hAnsi="宋体"/>
        </w:rPr>
        <w:t>锌保护</w:t>
      </w:r>
    </w:p>
    <w:p>
      <w:pPr>
        <w:snapToGrid w:val="0"/>
        <w:ind w:firstLine="500" w:firstLineChars="200"/>
        <w:rPr>
          <w:rFonts w:ascii="宋体" w:hAnsi="宋体"/>
        </w:rPr>
      </w:pPr>
      <w:r>
        <w:rPr>
          <w:rFonts w:hint="eastAsia" w:ascii="宋体" w:hAnsi="宋体"/>
        </w:rPr>
        <w:t>工作环境</w:t>
      </w:r>
      <w:r>
        <w:rPr>
          <w:rFonts w:ascii="宋体" w:hAnsi="宋体"/>
        </w:rPr>
        <w:tab/>
      </w:r>
      <w:r>
        <w:rPr>
          <w:rFonts w:ascii="宋体" w:hAnsi="宋体"/>
        </w:rPr>
        <w:tab/>
      </w:r>
      <w:r>
        <w:rPr>
          <w:rFonts w:hint="eastAsia" w:ascii="宋体" w:hAnsi="宋体"/>
        </w:rPr>
        <w:tab/>
      </w:r>
      <w:r>
        <w:rPr>
          <w:rFonts w:hint="eastAsia" w:ascii="宋体" w:hAnsi="宋体"/>
        </w:rPr>
        <w:t>大气式</w:t>
      </w:r>
      <w:r>
        <w:rPr>
          <w:rFonts w:ascii="宋体" w:hAnsi="宋体"/>
        </w:rPr>
        <w:sym w:font="Symbol" w:char="F0BE"/>
      </w:r>
      <w:r>
        <w:rPr>
          <w:rFonts w:ascii="宋体" w:hAnsi="宋体"/>
        </w:rPr>
        <w:sym w:font="Symbol" w:char="F0BE"/>
      </w:r>
      <w:r>
        <w:rPr>
          <w:rFonts w:hint="eastAsia" w:ascii="宋体" w:hAnsi="宋体"/>
        </w:rPr>
        <w:t>内部和外部</w:t>
      </w:r>
    </w:p>
    <w:p>
      <w:pPr>
        <w:snapToGrid w:val="0"/>
        <w:ind w:firstLine="500" w:firstLineChars="200"/>
        <w:rPr>
          <w:rFonts w:ascii="宋体" w:hAnsi="宋体"/>
        </w:rPr>
      </w:pPr>
      <w:r>
        <w:rPr>
          <w:rFonts w:hint="eastAsia" w:ascii="宋体" w:hAnsi="宋体"/>
        </w:rPr>
        <w:t>涂料系列参考</w:t>
      </w:r>
      <w:r>
        <w:rPr>
          <w:rFonts w:ascii="宋体" w:hAnsi="宋体"/>
        </w:rPr>
        <w:tab/>
      </w:r>
      <w:r>
        <w:rPr>
          <w:rFonts w:ascii="宋体" w:hAnsi="宋体"/>
        </w:rPr>
        <w:tab/>
      </w:r>
      <w:r>
        <w:rPr>
          <w:rFonts w:hint="eastAsia" w:ascii="宋体" w:hAnsi="宋体"/>
        </w:rPr>
        <w:t>氯丁橡胶</w:t>
      </w:r>
    </w:p>
    <w:p>
      <w:pPr>
        <w:snapToGrid w:val="0"/>
        <w:ind w:firstLine="500" w:firstLineChars="200"/>
        <w:rPr>
          <w:rFonts w:ascii="宋体" w:hAnsi="宋体"/>
        </w:rPr>
      </w:pPr>
      <w:r>
        <w:rPr>
          <w:rFonts w:hint="eastAsia" w:ascii="宋体" w:hAnsi="宋体"/>
        </w:rPr>
        <w:t>表面处理</w:t>
      </w:r>
      <w:r>
        <w:rPr>
          <w:rFonts w:ascii="宋体" w:hAnsi="宋体"/>
        </w:rPr>
        <w:tab/>
      </w:r>
      <w:r>
        <w:rPr>
          <w:rFonts w:ascii="宋体" w:hAnsi="宋体"/>
        </w:rPr>
        <w:tab/>
      </w:r>
      <w:r>
        <w:rPr>
          <w:rFonts w:hint="eastAsia" w:ascii="宋体" w:hAnsi="宋体"/>
        </w:rPr>
        <w:tab/>
      </w:r>
      <w:r>
        <w:rPr>
          <w:rFonts w:hint="eastAsia" w:ascii="宋体" w:hAnsi="宋体"/>
        </w:rPr>
        <w:t>电镀层或喷涂</w:t>
      </w:r>
      <w:r>
        <w:rPr>
          <w:rFonts w:ascii="宋体" w:hAnsi="宋体"/>
        </w:rPr>
        <w:t>，</w:t>
      </w:r>
      <w:r>
        <w:rPr>
          <w:rFonts w:hint="eastAsia" w:ascii="宋体" w:hAnsi="宋体"/>
        </w:rPr>
        <w:t>锌必须除掉</w:t>
      </w:r>
      <w:r>
        <w:rPr>
          <w:rFonts w:ascii="宋体" w:hAnsi="宋体"/>
        </w:rPr>
        <w:t>，</w:t>
      </w:r>
      <w:r>
        <w:rPr>
          <w:rFonts w:hint="eastAsia" w:ascii="宋体" w:hAnsi="宋体"/>
        </w:rPr>
        <w:t>以除去氧化物</w:t>
      </w:r>
    </w:p>
    <w:p>
      <w:pPr>
        <w:snapToGrid w:val="0"/>
        <w:ind w:firstLine="500" w:firstLineChars="200"/>
        <w:rPr>
          <w:rFonts w:ascii="宋体" w:hAnsi="宋体"/>
        </w:rPr>
      </w:pPr>
      <w:r>
        <w:rPr>
          <w:rFonts w:hint="eastAsia" w:ascii="宋体" w:hAnsi="宋体"/>
        </w:rPr>
        <w:t>方法介绍</w:t>
      </w:r>
      <w:r>
        <w:rPr>
          <w:rFonts w:ascii="宋体" w:hAnsi="宋体"/>
        </w:rPr>
        <w:tab/>
      </w:r>
      <w:r>
        <w:rPr>
          <w:rFonts w:ascii="宋体" w:hAnsi="宋体"/>
        </w:rPr>
        <w:tab/>
      </w:r>
      <w:r>
        <w:rPr>
          <w:rFonts w:hint="eastAsia" w:ascii="宋体" w:hAnsi="宋体"/>
        </w:rPr>
        <w:tab/>
      </w:r>
      <w:r>
        <w:rPr>
          <w:rFonts w:hint="eastAsia" w:ascii="宋体" w:hAnsi="宋体"/>
        </w:rPr>
        <w:t>二层含磷酸和防锈剂的防腐涂层</w:t>
      </w:r>
      <w:r>
        <w:rPr>
          <w:rFonts w:ascii="宋体" w:hAnsi="宋体"/>
        </w:rPr>
        <w:t>DFT</w:t>
      </w:r>
      <w:r>
        <w:rPr>
          <w:rFonts w:hint="eastAsia" w:ascii="宋体" w:hAnsi="宋体"/>
        </w:rPr>
        <w:t>为</w:t>
      </w:r>
      <w:r>
        <w:rPr>
          <w:rFonts w:ascii="宋体" w:hAnsi="宋体"/>
        </w:rPr>
        <w:t>10um</w:t>
      </w:r>
    </w:p>
    <w:p>
      <w:pPr>
        <w:snapToGrid w:val="0"/>
        <w:rPr>
          <w:rFonts w:ascii="宋体" w:hAnsi="宋体"/>
        </w:rPr>
      </w:pPr>
    </w:p>
    <w:p>
      <w:pPr>
        <w:snapToGrid w:val="0"/>
        <w:rPr>
          <w:rFonts w:ascii="宋体" w:hAnsi="宋体"/>
        </w:rPr>
      </w:pPr>
      <w:r>
        <w:rPr>
          <w:rFonts w:hint="eastAsia" w:ascii="宋体" w:hAnsi="宋体"/>
        </w:rPr>
        <w:t>方法</w:t>
      </w:r>
      <w:r>
        <w:rPr>
          <w:rFonts w:ascii="宋体" w:hAnsi="宋体"/>
        </w:rPr>
        <w:t>（</w:t>
      </w:r>
      <w:r>
        <w:rPr>
          <w:rFonts w:hint="eastAsia" w:ascii="宋体" w:hAnsi="宋体"/>
        </w:rPr>
        <w:t>4</w:t>
      </w:r>
      <w:r>
        <w:rPr>
          <w:rFonts w:ascii="宋体" w:hAnsi="宋体"/>
        </w:rPr>
        <w:t>）</w:t>
      </w:r>
    </w:p>
    <w:p>
      <w:pPr>
        <w:snapToGrid w:val="0"/>
        <w:ind w:firstLine="500" w:firstLineChars="200"/>
        <w:rPr>
          <w:rFonts w:ascii="宋体" w:hAnsi="宋体"/>
        </w:rPr>
      </w:pPr>
      <w:r>
        <w:rPr>
          <w:rFonts w:hint="eastAsia" w:ascii="宋体" w:hAnsi="宋体"/>
        </w:rPr>
        <w:t>表面类型</w:t>
      </w:r>
      <w:r>
        <w:rPr>
          <w:rFonts w:hint="eastAsia" w:ascii="宋体" w:hAnsi="宋体"/>
        </w:rPr>
        <w:tab/>
      </w:r>
      <w:r>
        <w:rPr>
          <w:rFonts w:hint="eastAsia" w:ascii="宋体" w:hAnsi="宋体"/>
        </w:rPr>
        <w:tab/>
      </w:r>
      <w:r>
        <w:rPr>
          <w:rFonts w:ascii="宋体" w:hAnsi="宋体"/>
        </w:rPr>
        <w:tab/>
      </w:r>
      <w:r>
        <w:rPr>
          <w:rFonts w:hint="eastAsia" w:ascii="宋体" w:hAnsi="宋体"/>
        </w:rPr>
        <w:t>铝</w:t>
      </w:r>
    </w:p>
    <w:p>
      <w:pPr>
        <w:snapToGrid w:val="0"/>
        <w:ind w:firstLine="500" w:firstLineChars="200"/>
        <w:rPr>
          <w:rFonts w:ascii="宋体" w:hAnsi="宋体"/>
        </w:rPr>
      </w:pPr>
      <w:r>
        <w:rPr>
          <w:rFonts w:hint="eastAsia" w:ascii="宋体" w:hAnsi="宋体"/>
        </w:rPr>
        <w:t>工作环境</w:t>
      </w:r>
      <w:r>
        <w:rPr>
          <w:rFonts w:ascii="宋体" w:hAnsi="宋体"/>
        </w:rPr>
        <w:tab/>
      </w:r>
      <w:r>
        <w:rPr>
          <w:rFonts w:ascii="宋体" w:hAnsi="宋体"/>
        </w:rPr>
        <w:tab/>
      </w:r>
      <w:r>
        <w:rPr>
          <w:rFonts w:hint="eastAsia" w:ascii="宋体" w:hAnsi="宋体"/>
        </w:rPr>
        <w:tab/>
      </w:r>
      <w:r>
        <w:rPr>
          <w:rFonts w:hint="eastAsia" w:ascii="宋体" w:hAnsi="宋体"/>
        </w:rPr>
        <w:t>大气式</w:t>
      </w:r>
      <w:r>
        <w:rPr>
          <w:rFonts w:ascii="宋体" w:hAnsi="宋体"/>
        </w:rPr>
        <w:sym w:font="Symbol" w:char="F0BE"/>
      </w:r>
      <w:r>
        <w:rPr>
          <w:rFonts w:ascii="宋体" w:hAnsi="宋体"/>
        </w:rPr>
        <w:sym w:font="Symbol" w:char="F0BE"/>
      </w:r>
      <w:r>
        <w:rPr>
          <w:rFonts w:hint="eastAsia" w:ascii="宋体" w:hAnsi="宋体"/>
        </w:rPr>
        <w:t>内部和外部</w:t>
      </w:r>
    </w:p>
    <w:p>
      <w:pPr>
        <w:snapToGrid w:val="0"/>
        <w:ind w:firstLine="500" w:firstLineChars="200"/>
        <w:rPr>
          <w:rFonts w:ascii="宋体" w:hAnsi="宋体"/>
        </w:rPr>
      </w:pPr>
      <w:r>
        <w:rPr>
          <w:rFonts w:hint="eastAsia" w:ascii="宋体" w:hAnsi="宋体"/>
        </w:rPr>
        <w:t>涂料系列参考</w:t>
      </w:r>
      <w:r>
        <w:rPr>
          <w:rFonts w:ascii="宋体" w:hAnsi="宋体"/>
        </w:rPr>
        <w:tab/>
      </w:r>
      <w:r>
        <w:rPr>
          <w:rFonts w:ascii="宋体" w:hAnsi="宋体"/>
        </w:rPr>
        <w:tab/>
      </w:r>
      <w:r>
        <w:rPr>
          <w:rFonts w:hint="eastAsia" w:ascii="宋体" w:hAnsi="宋体"/>
        </w:rPr>
        <w:t>氯丁橡胶</w:t>
      </w:r>
    </w:p>
    <w:p>
      <w:pPr>
        <w:snapToGrid w:val="0"/>
        <w:ind w:firstLine="500" w:firstLineChars="200"/>
        <w:rPr>
          <w:rFonts w:ascii="宋体" w:hAnsi="宋体"/>
        </w:rPr>
      </w:pPr>
      <w:r>
        <w:rPr>
          <w:rFonts w:hint="eastAsia" w:ascii="宋体" w:hAnsi="宋体"/>
        </w:rPr>
        <w:t>表面处理</w:t>
      </w:r>
      <w:r>
        <w:rPr>
          <w:rFonts w:ascii="宋体" w:hAnsi="宋体"/>
        </w:rPr>
        <w:tab/>
      </w:r>
      <w:r>
        <w:rPr>
          <w:rFonts w:ascii="宋体" w:hAnsi="宋体"/>
        </w:rPr>
        <w:tab/>
      </w:r>
      <w:r>
        <w:rPr>
          <w:rFonts w:hint="eastAsia" w:ascii="宋体" w:hAnsi="宋体"/>
        </w:rPr>
        <w:tab/>
      </w:r>
      <w:r>
        <w:rPr>
          <w:rFonts w:hint="eastAsia" w:ascii="宋体" w:hAnsi="宋体"/>
        </w:rPr>
        <w:t>清洗去除氧，并轻轻磨擦表面做出一个斜面</w:t>
      </w:r>
    </w:p>
    <w:p>
      <w:pPr>
        <w:snapToGrid w:val="0"/>
        <w:ind w:firstLine="500" w:firstLineChars="200"/>
        <w:rPr>
          <w:rFonts w:ascii="宋体" w:hAnsi="宋体"/>
        </w:rPr>
      </w:pPr>
      <w:r>
        <w:rPr>
          <w:rFonts w:hint="eastAsia" w:ascii="宋体" w:hAnsi="宋体"/>
        </w:rPr>
        <w:t>方法介绍</w:t>
      </w:r>
      <w:r>
        <w:rPr>
          <w:rFonts w:ascii="宋体" w:hAnsi="宋体"/>
        </w:rPr>
        <w:tab/>
      </w:r>
      <w:r>
        <w:rPr>
          <w:rFonts w:hint="eastAsia" w:ascii="宋体" w:hAnsi="宋体"/>
        </w:rPr>
        <w:tab/>
      </w:r>
      <w:r>
        <w:rPr>
          <w:rFonts w:ascii="宋体" w:hAnsi="宋体"/>
        </w:rPr>
        <w:tab/>
      </w:r>
      <w:r>
        <w:rPr>
          <w:rFonts w:hint="eastAsia" w:ascii="宋体" w:hAnsi="宋体"/>
        </w:rPr>
        <w:t>二层含磷酸和防锈剂的防腐涂层</w:t>
      </w:r>
      <w:r>
        <w:rPr>
          <w:rFonts w:ascii="宋体" w:hAnsi="宋体"/>
        </w:rPr>
        <w:t>DFT</w:t>
      </w:r>
      <w:r>
        <w:rPr>
          <w:rFonts w:hint="eastAsia" w:ascii="宋体" w:hAnsi="宋体"/>
        </w:rPr>
        <w:t>为</w:t>
      </w:r>
      <w:r>
        <w:rPr>
          <w:rFonts w:ascii="宋体" w:hAnsi="宋体"/>
        </w:rPr>
        <w:t>10um</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高级氯丁橡胶</w:t>
      </w:r>
      <w:r>
        <w:rPr>
          <w:rFonts w:ascii="宋体" w:hAnsi="宋体"/>
        </w:rPr>
        <w:t>100um</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氯橡胶瓷漆</w:t>
      </w:r>
      <w:r>
        <w:rPr>
          <w:rFonts w:ascii="宋体" w:hAnsi="宋体"/>
        </w:rPr>
        <w:t>35umDFT</w:t>
      </w:r>
    </w:p>
    <w:p>
      <w:pPr>
        <w:snapToGrid w:val="0"/>
        <w:rPr>
          <w:rFonts w:ascii="宋体" w:hAnsi="宋体"/>
        </w:rPr>
      </w:pPr>
      <w:r>
        <w:rPr>
          <w:rFonts w:hint="eastAsia" w:ascii="宋体" w:hAnsi="宋体"/>
        </w:rPr>
        <w:t>方法</w:t>
      </w:r>
      <w:r>
        <w:rPr>
          <w:rFonts w:ascii="宋体" w:hAnsi="宋体"/>
        </w:rPr>
        <w:t>（</w:t>
      </w:r>
      <w:r>
        <w:rPr>
          <w:rFonts w:hint="eastAsia" w:ascii="宋体" w:hAnsi="宋体"/>
        </w:rPr>
        <w:t>5</w:t>
      </w:r>
      <w:r>
        <w:rPr>
          <w:rFonts w:ascii="宋体" w:hAnsi="宋体"/>
        </w:rPr>
        <w:t>）</w:t>
      </w:r>
    </w:p>
    <w:p>
      <w:pPr>
        <w:snapToGrid w:val="0"/>
        <w:ind w:firstLine="500" w:firstLineChars="200"/>
        <w:rPr>
          <w:rFonts w:ascii="宋体" w:hAnsi="宋体"/>
        </w:rPr>
      </w:pPr>
      <w:r>
        <w:rPr>
          <w:rFonts w:hint="eastAsia" w:ascii="宋体" w:hAnsi="宋体"/>
        </w:rPr>
        <w:t>表面类型</w:t>
      </w:r>
      <w:r>
        <w:rPr>
          <w:rFonts w:ascii="宋体" w:hAnsi="宋体"/>
        </w:rPr>
        <w:tab/>
      </w:r>
      <w:r>
        <w:rPr>
          <w:rFonts w:hint="eastAsia" w:ascii="宋体" w:hAnsi="宋体"/>
        </w:rPr>
        <w:tab/>
      </w:r>
      <w:r>
        <w:rPr>
          <w:rFonts w:hint="eastAsia" w:ascii="宋体" w:hAnsi="宋体"/>
        </w:rPr>
        <w:tab/>
      </w:r>
      <w:r>
        <w:rPr>
          <w:rFonts w:hint="eastAsia" w:ascii="宋体" w:hAnsi="宋体"/>
        </w:rPr>
        <w:t>黑色金属</w:t>
      </w:r>
    </w:p>
    <w:p>
      <w:pPr>
        <w:snapToGrid w:val="0"/>
        <w:ind w:firstLine="500" w:firstLineChars="200"/>
        <w:rPr>
          <w:rFonts w:ascii="宋体" w:hAnsi="宋体"/>
        </w:rPr>
      </w:pPr>
      <w:r>
        <w:rPr>
          <w:rFonts w:hint="eastAsia" w:ascii="宋体" w:hAnsi="宋体"/>
        </w:rPr>
        <w:t>工作环境</w:t>
      </w:r>
      <w:r>
        <w:rPr>
          <w:rFonts w:ascii="宋体" w:hAnsi="宋体"/>
        </w:rPr>
        <w:tab/>
      </w:r>
      <w:r>
        <w:rPr>
          <w:rFonts w:ascii="宋体" w:hAnsi="宋体"/>
        </w:rPr>
        <w:tab/>
      </w:r>
      <w:r>
        <w:rPr>
          <w:rFonts w:hint="eastAsia" w:ascii="宋体" w:hAnsi="宋体"/>
        </w:rPr>
        <w:tab/>
      </w:r>
      <w:r>
        <w:rPr>
          <w:rFonts w:hint="eastAsia" w:ascii="宋体" w:hAnsi="宋体"/>
        </w:rPr>
        <w:t>浸水式</w:t>
      </w:r>
    </w:p>
    <w:p>
      <w:pPr>
        <w:snapToGrid w:val="0"/>
        <w:ind w:firstLine="500" w:firstLineChars="200"/>
        <w:rPr>
          <w:rFonts w:ascii="宋体" w:hAnsi="宋体"/>
        </w:rPr>
      </w:pPr>
      <w:r>
        <w:rPr>
          <w:rFonts w:hint="eastAsia" w:ascii="宋体" w:hAnsi="宋体"/>
        </w:rPr>
        <w:t>涂料系列参考</w:t>
      </w:r>
      <w:r>
        <w:rPr>
          <w:rFonts w:ascii="宋体" w:hAnsi="宋体"/>
        </w:rPr>
        <w:tab/>
      </w:r>
      <w:r>
        <w:rPr>
          <w:rFonts w:ascii="宋体" w:hAnsi="宋体"/>
        </w:rPr>
        <w:tab/>
      </w:r>
      <w:r>
        <w:rPr>
          <w:rFonts w:hint="eastAsia" w:ascii="宋体" w:hAnsi="宋体"/>
        </w:rPr>
        <w:t>环氧树脂</w:t>
      </w:r>
      <w:r>
        <w:rPr>
          <w:rFonts w:ascii="宋体" w:hAnsi="宋体"/>
        </w:rPr>
        <w:sym w:font="Symbol" w:char="F0BE"/>
      </w:r>
      <w:r>
        <w:rPr>
          <w:rFonts w:ascii="宋体" w:hAnsi="宋体"/>
        </w:rPr>
        <w:sym w:font="Symbol" w:char="F0BE"/>
      </w:r>
      <w:r>
        <w:rPr>
          <w:rFonts w:hint="eastAsia" w:ascii="宋体" w:hAnsi="宋体"/>
        </w:rPr>
        <w:t>方法</w:t>
      </w:r>
      <w:r>
        <w:rPr>
          <w:rFonts w:ascii="宋体" w:hAnsi="宋体"/>
        </w:rPr>
        <w:t>A</w:t>
      </w:r>
    </w:p>
    <w:p>
      <w:pPr>
        <w:snapToGrid w:val="0"/>
        <w:ind w:firstLine="500" w:firstLineChars="200"/>
        <w:rPr>
          <w:rFonts w:ascii="宋体" w:hAnsi="宋体"/>
        </w:rPr>
      </w:pPr>
      <w:r>
        <w:rPr>
          <w:rFonts w:hint="eastAsia" w:ascii="宋体" w:hAnsi="宋体"/>
        </w:rPr>
        <w:t>表面处理</w:t>
      </w:r>
      <w:r>
        <w:rPr>
          <w:rFonts w:ascii="宋体" w:hAnsi="宋体"/>
        </w:rPr>
        <w:tab/>
      </w:r>
      <w:r>
        <w:rPr>
          <w:rFonts w:ascii="宋体" w:hAnsi="宋体"/>
        </w:rPr>
        <w:tab/>
      </w:r>
      <w:r>
        <w:rPr>
          <w:rFonts w:hint="eastAsia" w:ascii="宋体" w:hAnsi="宋体"/>
        </w:rPr>
        <w:tab/>
      </w:r>
      <w:r>
        <w:rPr>
          <w:rFonts w:hint="eastAsia" w:ascii="宋体" w:hAnsi="宋体"/>
        </w:rPr>
        <w:t>喷砂处理达</w:t>
      </w:r>
      <w:r>
        <w:rPr>
          <w:rFonts w:ascii="宋体" w:hAnsi="宋体"/>
        </w:rPr>
        <w:t>BS4232</w:t>
      </w:r>
      <w:r>
        <w:rPr>
          <w:rFonts w:hint="eastAsia" w:ascii="宋体" w:hAnsi="宋体"/>
        </w:rPr>
        <w:t>一级标准</w:t>
      </w:r>
    </w:p>
    <w:p>
      <w:pPr>
        <w:snapToGrid w:val="0"/>
        <w:ind w:firstLine="500" w:firstLineChars="200"/>
        <w:rPr>
          <w:rFonts w:ascii="宋体" w:hAnsi="宋体"/>
        </w:rPr>
      </w:pPr>
      <w:r>
        <w:rPr>
          <w:rFonts w:hint="eastAsia" w:ascii="宋体" w:hAnsi="宋体"/>
        </w:rPr>
        <w:t>方法介绍</w:t>
      </w:r>
      <w:r>
        <w:rPr>
          <w:rFonts w:ascii="宋体" w:hAnsi="宋体"/>
        </w:rPr>
        <w:tab/>
      </w:r>
      <w:r>
        <w:rPr>
          <w:rFonts w:hint="eastAsia" w:ascii="宋体" w:hAnsi="宋体"/>
        </w:rPr>
        <w:tab/>
      </w:r>
      <w:r>
        <w:rPr>
          <w:rFonts w:ascii="宋体" w:hAnsi="宋体"/>
        </w:rPr>
        <w:tab/>
      </w:r>
      <w:r>
        <w:rPr>
          <w:rFonts w:hint="eastAsia" w:ascii="宋体" w:hAnsi="宋体"/>
        </w:rPr>
        <w:t>商品化防锈漆</w:t>
      </w:r>
      <w:r>
        <w:rPr>
          <w:rFonts w:ascii="宋体" w:hAnsi="宋体"/>
        </w:rPr>
        <w:t>（</w:t>
      </w:r>
      <w:r>
        <w:rPr>
          <w:rFonts w:hint="eastAsia" w:ascii="宋体" w:hAnsi="宋体"/>
        </w:rPr>
        <w:t>如果环氧层无法马上跟上</w:t>
      </w:r>
      <w:r>
        <w:rPr>
          <w:rFonts w:ascii="宋体" w:hAnsi="宋体"/>
        </w:rPr>
        <w:t>）</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催化剂处理后立即涂环氧树脂三层</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总干膜厚度</w:t>
      </w:r>
      <w:r>
        <w:rPr>
          <w:rFonts w:ascii="宋体" w:hAnsi="宋体"/>
        </w:rPr>
        <w:t>（DFT）240um</w:t>
      </w:r>
    </w:p>
    <w:p>
      <w:pPr>
        <w:snapToGrid w:val="0"/>
        <w:rPr>
          <w:rFonts w:ascii="宋体" w:hAnsi="宋体"/>
        </w:rPr>
      </w:pPr>
      <w:r>
        <w:rPr>
          <w:rFonts w:hint="eastAsia" w:ascii="宋体" w:hAnsi="宋体"/>
        </w:rPr>
        <w:t>方法</w:t>
      </w:r>
      <w:r>
        <w:rPr>
          <w:rFonts w:ascii="宋体" w:hAnsi="宋体"/>
        </w:rPr>
        <w:t>（</w:t>
      </w:r>
      <w:r>
        <w:rPr>
          <w:rFonts w:hint="eastAsia" w:ascii="宋体" w:hAnsi="宋体"/>
        </w:rPr>
        <w:t>6</w:t>
      </w:r>
      <w:r>
        <w:rPr>
          <w:rFonts w:ascii="宋体" w:hAnsi="宋体"/>
        </w:rPr>
        <w:t>）</w:t>
      </w:r>
    </w:p>
    <w:p>
      <w:pPr>
        <w:snapToGrid w:val="0"/>
        <w:ind w:firstLine="500" w:firstLineChars="200"/>
        <w:rPr>
          <w:rFonts w:ascii="宋体" w:hAnsi="宋体"/>
        </w:rPr>
      </w:pPr>
      <w:r>
        <w:rPr>
          <w:rFonts w:hint="eastAsia" w:ascii="宋体" w:hAnsi="宋体"/>
        </w:rPr>
        <w:t>表面类型</w:t>
      </w:r>
      <w:r>
        <w:rPr>
          <w:rFonts w:ascii="宋体" w:hAnsi="宋体"/>
        </w:rPr>
        <w:tab/>
      </w:r>
      <w:r>
        <w:rPr>
          <w:rFonts w:hint="eastAsia" w:ascii="宋体" w:hAnsi="宋体"/>
        </w:rPr>
        <w:tab/>
      </w:r>
      <w:r>
        <w:rPr>
          <w:rFonts w:hint="eastAsia" w:ascii="宋体" w:hAnsi="宋体"/>
        </w:rPr>
        <w:tab/>
      </w:r>
      <w:r>
        <w:rPr>
          <w:rFonts w:hint="eastAsia" w:ascii="宋体" w:hAnsi="宋体"/>
        </w:rPr>
        <w:t>钢管内表面，直径</w:t>
      </w:r>
      <w:r>
        <w:rPr>
          <w:rFonts w:ascii="宋体" w:hAnsi="宋体"/>
        </w:rPr>
        <w:t>200mm</w:t>
      </w:r>
      <w:r>
        <w:rPr>
          <w:rFonts w:hint="eastAsia" w:ascii="宋体" w:hAnsi="宋体"/>
        </w:rPr>
        <w:t>与以上</w:t>
      </w:r>
    </w:p>
    <w:p>
      <w:pPr>
        <w:snapToGrid w:val="0"/>
        <w:ind w:firstLine="500" w:firstLineChars="200"/>
        <w:rPr>
          <w:rFonts w:ascii="宋体" w:hAnsi="宋体"/>
        </w:rPr>
      </w:pPr>
      <w:r>
        <w:rPr>
          <w:rFonts w:hint="eastAsia" w:ascii="宋体" w:hAnsi="宋体"/>
        </w:rPr>
        <w:t>工作环境</w:t>
      </w:r>
      <w:r>
        <w:rPr>
          <w:rFonts w:ascii="宋体" w:hAnsi="宋体"/>
        </w:rPr>
        <w:tab/>
      </w:r>
      <w:r>
        <w:rPr>
          <w:rFonts w:ascii="宋体" w:hAnsi="宋体"/>
        </w:rPr>
        <w:tab/>
      </w:r>
      <w:r>
        <w:rPr>
          <w:rFonts w:hint="eastAsia" w:ascii="宋体" w:hAnsi="宋体"/>
        </w:rPr>
        <w:tab/>
      </w:r>
      <w:r>
        <w:rPr>
          <w:rFonts w:hint="eastAsia" w:ascii="宋体" w:hAnsi="宋体"/>
        </w:rPr>
        <w:t>钢管内表面，抗污水的磨蚀</w:t>
      </w:r>
    </w:p>
    <w:p>
      <w:pPr>
        <w:snapToGrid w:val="0"/>
        <w:ind w:firstLine="500" w:firstLineChars="200"/>
        <w:rPr>
          <w:rFonts w:ascii="宋体" w:hAnsi="宋体"/>
        </w:rPr>
      </w:pPr>
      <w:r>
        <w:rPr>
          <w:rFonts w:hint="eastAsia" w:ascii="宋体" w:hAnsi="宋体"/>
        </w:rPr>
        <w:t>涂料系列参考</w:t>
      </w:r>
      <w:r>
        <w:rPr>
          <w:rFonts w:ascii="宋体" w:hAnsi="宋体"/>
        </w:rPr>
        <w:tab/>
      </w:r>
      <w:r>
        <w:rPr>
          <w:rFonts w:ascii="宋体" w:hAnsi="宋体"/>
        </w:rPr>
        <w:tab/>
      </w:r>
      <w:r>
        <w:rPr>
          <w:rFonts w:hint="eastAsia" w:ascii="宋体" w:hAnsi="宋体"/>
        </w:rPr>
        <w:t>环氧树脂</w:t>
      </w:r>
      <w:r>
        <w:rPr>
          <w:rFonts w:ascii="宋体" w:hAnsi="宋体"/>
        </w:rPr>
        <w:sym w:font="Symbol" w:char="F0BE"/>
      </w:r>
      <w:r>
        <w:rPr>
          <w:rFonts w:ascii="宋体" w:hAnsi="宋体"/>
        </w:rPr>
        <w:sym w:font="Symbol" w:char="F0BE"/>
      </w:r>
      <w:r>
        <w:rPr>
          <w:rFonts w:hint="eastAsia" w:ascii="宋体" w:hAnsi="宋体"/>
        </w:rPr>
        <w:t>方法</w:t>
      </w:r>
      <w:r>
        <w:rPr>
          <w:rFonts w:ascii="宋体" w:hAnsi="宋体"/>
        </w:rPr>
        <w:t>B</w:t>
      </w:r>
    </w:p>
    <w:p>
      <w:pPr>
        <w:snapToGrid w:val="0"/>
        <w:ind w:firstLine="500" w:firstLineChars="200"/>
        <w:rPr>
          <w:rFonts w:ascii="宋体" w:hAnsi="宋体"/>
        </w:rPr>
      </w:pPr>
      <w:r>
        <w:rPr>
          <w:rFonts w:hint="eastAsia" w:ascii="宋体" w:hAnsi="宋体"/>
        </w:rPr>
        <w:t>表面处理</w:t>
      </w:r>
      <w:r>
        <w:rPr>
          <w:rFonts w:ascii="宋体" w:hAnsi="宋体"/>
        </w:rPr>
        <w:tab/>
      </w:r>
      <w:r>
        <w:rPr>
          <w:rFonts w:ascii="宋体" w:hAnsi="宋体"/>
        </w:rPr>
        <w:tab/>
      </w:r>
      <w:r>
        <w:rPr>
          <w:rFonts w:hint="eastAsia" w:ascii="宋体" w:hAnsi="宋体"/>
        </w:rPr>
        <w:tab/>
      </w:r>
      <w:r>
        <w:rPr>
          <w:rFonts w:hint="eastAsia" w:ascii="宋体" w:hAnsi="宋体"/>
        </w:rPr>
        <w:t>喷砂清理，达到</w:t>
      </w:r>
      <w:r>
        <w:rPr>
          <w:rFonts w:ascii="宋体" w:hAnsi="宋体"/>
        </w:rPr>
        <w:t>BS4232</w:t>
      </w:r>
      <w:r>
        <w:rPr>
          <w:rFonts w:hint="eastAsia" w:ascii="宋体" w:hAnsi="宋体"/>
        </w:rPr>
        <w:t>，一级标准</w:t>
      </w:r>
    </w:p>
    <w:p>
      <w:pPr>
        <w:snapToGrid w:val="0"/>
        <w:ind w:firstLine="500" w:firstLineChars="200"/>
        <w:rPr>
          <w:rFonts w:ascii="宋体" w:hAnsi="宋体"/>
        </w:rPr>
      </w:pPr>
      <w:r>
        <w:rPr>
          <w:rFonts w:hint="eastAsia" w:ascii="宋体" w:hAnsi="宋体"/>
        </w:rPr>
        <w:t>方法介绍</w:t>
      </w:r>
      <w:r>
        <w:rPr>
          <w:rFonts w:ascii="宋体" w:hAnsi="宋体"/>
        </w:rPr>
        <w:tab/>
      </w:r>
      <w:r>
        <w:rPr>
          <w:rFonts w:ascii="宋体" w:hAnsi="宋体"/>
        </w:rPr>
        <w:tab/>
      </w:r>
      <w:r>
        <w:rPr>
          <w:rFonts w:hint="eastAsia" w:ascii="宋体" w:hAnsi="宋体"/>
        </w:rPr>
        <w:tab/>
      </w:r>
      <w:r>
        <w:rPr>
          <w:rFonts w:hint="eastAsia" w:ascii="宋体" w:hAnsi="宋体"/>
        </w:rPr>
        <w:t>一层环氧树脂底漆，一层煤焦油</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棕色环氧树脂，一层黑色环氧树脂</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总干膜厚</w:t>
      </w:r>
      <w:r>
        <w:rPr>
          <w:rFonts w:ascii="宋体" w:hAnsi="宋体"/>
        </w:rPr>
        <w:t>（DFT）</w:t>
      </w:r>
      <w:r>
        <w:rPr>
          <w:rFonts w:hint="eastAsia" w:ascii="宋体" w:hAnsi="宋体"/>
        </w:rPr>
        <w:t>为</w:t>
      </w:r>
      <w:r>
        <w:rPr>
          <w:rFonts w:ascii="宋体" w:hAnsi="宋体"/>
        </w:rPr>
        <w:t>325um</w:t>
      </w:r>
    </w:p>
    <w:p>
      <w:pPr>
        <w:snapToGrid w:val="0"/>
        <w:rPr>
          <w:rFonts w:ascii="宋体" w:hAnsi="宋体"/>
        </w:rPr>
      </w:pPr>
      <w:r>
        <w:rPr>
          <w:rFonts w:hint="eastAsia" w:ascii="宋体" w:hAnsi="宋体"/>
        </w:rPr>
        <w:t>方法</w:t>
      </w:r>
      <w:r>
        <w:rPr>
          <w:rFonts w:ascii="宋体" w:hAnsi="宋体"/>
        </w:rPr>
        <w:t>（</w:t>
      </w:r>
      <w:r>
        <w:rPr>
          <w:rFonts w:hint="eastAsia" w:ascii="宋体" w:hAnsi="宋体"/>
        </w:rPr>
        <w:t>7</w:t>
      </w:r>
      <w:r>
        <w:rPr>
          <w:rFonts w:ascii="宋体" w:hAnsi="宋体"/>
        </w:rPr>
        <w:t>）</w:t>
      </w:r>
    </w:p>
    <w:p>
      <w:pPr>
        <w:snapToGrid w:val="0"/>
        <w:ind w:firstLine="500" w:firstLineChars="200"/>
        <w:rPr>
          <w:rFonts w:ascii="宋体" w:hAnsi="宋体"/>
        </w:rPr>
      </w:pPr>
      <w:r>
        <w:rPr>
          <w:rFonts w:hint="eastAsia" w:ascii="宋体" w:hAnsi="宋体"/>
        </w:rPr>
        <w:t>表面类型</w:t>
      </w:r>
      <w:r>
        <w:rPr>
          <w:rFonts w:ascii="宋体" w:hAnsi="宋体"/>
        </w:rPr>
        <w:tab/>
      </w:r>
      <w:r>
        <w:rPr>
          <w:rFonts w:hint="eastAsia" w:ascii="宋体" w:hAnsi="宋体"/>
        </w:rPr>
        <w:tab/>
      </w:r>
      <w:r>
        <w:rPr>
          <w:rFonts w:hint="eastAsia" w:ascii="宋体" w:hAnsi="宋体"/>
        </w:rPr>
        <w:tab/>
      </w:r>
      <w:r>
        <w:rPr>
          <w:rFonts w:hint="eastAsia" w:ascii="宋体" w:hAnsi="宋体"/>
        </w:rPr>
        <w:t>电气设备金属外壳</w:t>
      </w:r>
    </w:p>
    <w:p>
      <w:pPr>
        <w:snapToGrid w:val="0"/>
        <w:ind w:firstLine="500" w:firstLineChars="200"/>
        <w:rPr>
          <w:rFonts w:ascii="宋体" w:hAnsi="宋体"/>
        </w:rPr>
      </w:pPr>
      <w:r>
        <w:rPr>
          <w:rFonts w:hint="eastAsia" w:ascii="宋体" w:hAnsi="宋体"/>
        </w:rPr>
        <w:t>工作环境</w:t>
      </w:r>
      <w:r>
        <w:rPr>
          <w:rFonts w:ascii="宋体" w:hAnsi="宋体"/>
        </w:rPr>
        <w:tab/>
      </w:r>
      <w:r>
        <w:rPr>
          <w:rFonts w:ascii="宋体" w:hAnsi="宋体"/>
        </w:rPr>
        <w:tab/>
      </w:r>
      <w:r>
        <w:rPr>
          <w:rFonts w:hint="eastAsia" w:ascii="宋体" w:hAnsi="宋体"/>
        </w:rPr>
        <w:tab/>
      </w:r>
      <w:r>
        <w:rPr>
          <w:rFonts w:hint="eastAsia" w:ascii="宋体" w:hAnsi="宋体"/>
        </w:rPr>
        <w:t>大气式</w:t>
      </w:r>
      <w:r>
        <w:rPr>
          <w:rFonts w:ascii="宋体" w:hAnsi="宋体"/>
        </w:rPr>
        <w:sym w:font="Symbol" w:char="F0BE"/>
      </w:r>
      <w:r>
        <w:rPr>
          <w:rFonts w:ascii="宋体" w:hAnsi="宋体"/>
        </w:rPr>
        <w:sym w:font="Symbol" w:char="F0BE"/>
      </w:r>
      <w:r>
        <w:rPr>
          <w:rFonts w:hint="eastAsia" w:ascii="宋体" w:hAnsi="宋体"/>
        </w:rPr>
        <w:t>户内户外</w:t>
      </w:r>
    </w:p>
    <w:p>
      <w:pPr>
        <w:snapToGrid w:val="0"/>
        <w:ind w:firstLine="500" w:firstLineChars="200"/>
        <w:rPr>
          <w:rFonts w:ascii="宋体" w:hAnsi="宋体"/>
        </w:rPr>
      </w:pPr>
      <w:r>
        <w:rPr>
          <w:rFonts w:hint="eastAsia" w:ascii="宋体" w:hAnsi="宋体"/>
        </w:rPr>
        <w:t>涂料系列参考</w:t>
      </w:r>
      <w:r>
        <w:rPr>
          <w:rFonts w:ascii="宋体" w:hAnsi="宋体"/>
        </w:rPr>
        <w:tab/>
      </w:r>
      <w:r>
        <w:rPr>
          <w:rFonts w:ascii="宋体" w:hAnsi="宋体"/>
        </w:rPr>
        <w:tab/>
      </w:r>
      <w:r>
        <w:rPr>
          <w:rFonts w:hint="eastAsia" w:ascii="宋体" w:hAnsi="宋体"/>
        </w:rPr>
        <w:t>厂商提供烘干器或大气干燥</w:t>
      </w:r>
    </w:p>
    <w:p>
      <w:pPr>
        <w:snapToGrid w:val="0"/>
        <w:ind w:firstLine="500" w:firstLineChars="200"/>
        <w:rPr>
          <w:rFonts w:ascii="宋体" w:hAnsi="宋体"/>
        </w:rPr>
      </w:pPr>
      <w:r>
        <w:rPr>
          <w:rFonts w:hint="eastAsia" w:ascii="宋体" w:hAnsi="宋体"/>
        </w:rPr>
        <w:t>表面处理</w:t>
      </w:r>
      <w:r>
        <w:rPr>
          <w:rFonts w:ascii="宋体" w:hAnsi="宋体"/>
        </w:rPr>
        <w:tab/>
      </w:r>
      <w:r>
        <w:rPr>
          <w:rFonts w:ascii="宋体" w:hAnsi="宋体"/>
        </w:rPr>
        <w:tab/>
      </w:r>
      <w:r>
        <w:rPr>
          <w:rFonts w:hint="eastAsia" w:ascii="宋体" w:hAnsi="宋体"/>
        </w:rPr>
        <w:tab/>
      </w:r>
      <w:r>
        <w:rPr>
          <w:rFonts w:hint="eastAsia" w:ascii="宋体" w:hAnsi="宋体"/>
        </w:rPr>
        <w:t>根据待涂的材料来定</w:t>
      </w:r>
    </w:p>
    <w:p>
      <w:pPr>
        <w:snapToGrid w:val="0"/>
        <w:ind w:firstLine="500" w:firstLineChars="200"/>
        <w:rPr>
          <w:rFonts w:ascii="宋体" w:hAnsi="宋体"/>
        </w:rPr>
      </w:pPr>
      <w:r>
        <w:rPr>
          <w:rFonts w:ascii="宋体" w:hAnsi="宋体"/>
        </w:rPr>
        <w:tab/>
      </w:r>
      <w:r>
        <w:rPr>
          <w:rFonts w:hint="eastAsia" w:ascii="宋体" w:hAnsi="宋体"/>
        </w:rPr>
        <w:tab/>
      </w:r>
      <w:r>
        <w:rPr>
          <w:rFonts w:ascii="宋体" w:hAnsi="宋体"/>
        </w:rPr>
        <w:tab/>
      </w:r>
      <w:r>
        <w:rPr>
          <w:rFonts w:ascii="宋体" w:hAnsi="宋体"/>
        </w:rPr>
        <w:tab/>
      </w:r>
      <w:r>
        <w:rPr>
          <w:rFonts w:ascii="宋体" w:hAnsi="宋体"/>
        </w:rPr>
        <w:tab/>
      </w:r>
      <w:r>
        <w:rPr>
          <w:rFonts w:hint="eastAsia" w:ascii="宋体" w:hAnsi="宋体"/>
        </w:rPr>
        <w:t>钢：喷砂清理，达到</w:t>
      </w:r>
      <w:r>
        <w:rPr>
          <w:rFonts w:ascii="宋体" w:hAnsi="宋体"/>
        </w:rPr>
        <w:t>BS4232</w:t>
      </w:r>
      <w:r>
        <w:rPr>
          <w:rFonts w:hint="eastAsia" w:ascii="宋体" w:hAnsi="宋体"/>
        </w:rPr>
        <w:t>二级标准</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或磷酸清理，用磷酸盐浸洗或钝化</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浸洗的方法</w:t>
      </w:r>
      <w:r>
        <w:rPr>
          <w:rFonts w:ascii="宋体" w:hAnsi="宋体"/>
        </w:rPr>
        <w:t>（</w:t>
      </w:r>
      <w:r>
        <w:rPr>
          <w:rFonts w:hint="eastAsia" w:ascii="宋体" w:hAnsi="宋体"/>
        </w:rPr>
        <w:t>对环氧粉</w:t>
      </w:r>
      <w:r>
        <w:rPr>
          <w:rFonts w:ascii="宋体" w:hAnsi="宋体"/>
        </w:rPr>
        <w:t>）</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镀锌</w:t>
      </w:r>
      <w:r>
        <w:rPr>
          <w:rFonts w:ascii="宋体" w:hAnsi="宋体"/>
        </w:rPr>
        <w:t>：</w:t>
      </w:r>
      <w:r>
        <w:rPr>
          <w:rFonts w:hint="eastAsia" w:ascii="宋体" w:hAnsi="宋体"/>
        </w:rPr>
        <w:t>防腐底漆</w:t>
      </w:r>
    </w:p>
    <w:p>
      <w:pPr>
        <w:snapToGrid w:val="0"/>
        <w:ind w:firstLine="500" w:firstLineChars="200"/>
        <w:rPr>
          <w:rFonts w:ascii="宋体" w:hAnsi="宋体"/>
        </w:rPr>
      </w:pPr>
      <w:r>
        <w:rPr>
          <w:rFonts w:hint="eastAsia" w:ascii="宋体" w:hAnsi="宋体"/>
        </w:rPr>
        <w:t>方法介绍</w:t>
      </w:r>
      <w:r>
        <w:rPr>
          <w:rFonts w:ascii="宋体" w:hAnsi="宋体"/>
        </w:rPr>
        <w:tab/>
      </w:r>
      <w:r>
        <w:rPr>
          <w:rFonts w:hint="eastAsia" w:ascii="宋体" w:hAnsi="宋体"/>
        </w:rPr>
        <w:tab/>
      </w:r>
      <w:r>
        <w:rPr>
          <w:rFonts w:ascii="宋体" w:hAnsi="宋体"/>
        </w:rPr>
        <w:tab/>
      </w:r>
      <w:r>
        <w:rPr>
          <w:rFonts w:hint="eastAsia" w:ascii="宋体" w:hAnsi="宋体"/>
        </w:rPr>
        <w:t>多层或单层</w:t>
      </w:r>
      <w:r>
        <w:rPr>
          <w:rFonts w:ascii="宋体" w:hAnsi="宋体"/>
        </w:rPr>
        <w:t>（</w:t>
      </w:r>
      <w:r>
        <w:rPr>
          <w:rFonts w:hint="eastAsia" w:ascii="宋体" w:hAnsi="宋体"/>
        </w:rPr>
        <w:t>环氧粉</w:t>
      </w:r>
      <w:r>
        <w:rPr>
          <w:rFonts w:ascii="宋体" w:hAnsi="宋体"/>
        </w:rPr>
        <w:t>）</w:t>
      </w:r>
      <w:r>
        <w:rPr>
          <w:rFonts w:hint="eastAsia" w:ascii="宋体" w:hAnsi="宋体"/>
        </w:rPr>
        <w:t>涂料系统。瓷漆的总</w:t>
      </w:r>
      <w:r>
        <w:rPr>
          <w:rFonts w:ascii="宋体" w:hAnsi="宋体"/>
        </w:rPr>
        <w:t>DFT</w:t>
      </w:r>
      <w:r>
        <w:rPr>
          <w:rFonts w:hint="eastAsia" w:ascii="宋体" w:hAnsi="宋体"/>
        </w:rPr>
        <w:t>为</w:t>
      </w:r>
      <w:r>
        <w:rPr>
          <w:rFonts w:ascii="宋体" w:hAnsi="宋体"/>
        </w:rPr>
        <w:t>200um</w:t>
      </w:r>
    </w:p>
    <w:p>
      <w:pPr>
        <w:snapToGrid w:val="0"/>
        <w:ind w:firstLine="500" w:firstLineChars="200"/>
        <w:rPr>
          <w:rFonts w:ascii="宋体" w:hAnsi="宋体"/>
        </w:rPr>
      </w:pPr>
      <w:r>
        <w:rPr>
          <w:rFonts w:ascii="宋体" w:hAnsi="宋体"/>
        </w:rPr>
        <w:t>（</w:t>
      </w:r>
      <w:r>
        <w:rPr>
          <w:rFonts w:hint="eastAsia" w:ascii="宋体" w:hAnsi="宋体"/>
        </w:rPr>
        <w:t>多层涂料烘干机或空气干燥</w:t>
      </w:r>
      <w:r>
        <w:rPr>
          <w:rFonts w:ascii="宋体" w:hAnsi="宋体"/>
        </w:rPr>
        <w:t>）</w:t>
      </w:r>
    </w:p>
    <w:p>
      <w:pPr>
        <w:snapToGrid w:val="0"/>
        <w:ind w:firstLine="500" w:firstLineChars="200"/>
        <w:rPr>
          <w:rFonts w:ascii="宋体" w:hAnsi="宋体"/>
        </w:rPr>
      </w:pP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hint="eastAsia" w:ascii="宋体" w:hAnsi="宋体"/>
        </w:rPr>
        <w:t>环氧粉</w:t>
      </w:r>
      <w:r>
        <w:rPr>
          <w:rFonts w:ascii="宋体" w:hAnsi="宋体"/>
        </w:rPr>
        <w:t>（</w:t>
      </w:r>
      <w:r>
        <w:rPr>
          <w:rFonts w:hint="eastAsia" w:ascii="宋体" w:hAnsi="宋体"/>
        </w:rPr>
        <w:t>仅用于室内</w:t>
      </w:r>
      <w:r>
        <w:rPr>
          <w:rFonts w:ascii="宋体" w:hAnsi="宋体"/>
        </w:rPr>
        <w:t>）</w:t>
      </w:r>
      <w:r>
        <w:rPr>
          <w:rFonts w:hint="eastAsia" w:ascii="宋体" w:hAnsi="宋体"/>
        </w:rPr>
        <w:t>总</w:t>
      </w:r>
      <w:r>
        <w:rPr>
          <w:rFonts w:ascii="宋体" w:hAnsi="宋体"/>
        </w:rPr>
        <w:t>DFT</w:t>
      </w:r>
      <w:r>
        <w:rPr>
          <w:rFonts w:hint="eastAsia" w:ascii="宋体" w:hAnsi="宋体"/>
        </w:rPr>
        <w:t>为</w:t>
      </w:r>
      <w:r>
        <w:rPr>
          <w:rFonts w:ascii="宋体" w:hAnsi="宋体"/>
        </w:rPr>
        <w:t>80um</w:t>
      </w:r>
    </w:p>
    <w:p>
      <w:pPr>
        <w:snapToGrid w:val="0"/>
        <w:ind w:firstLine="500" w:firstLineChars="200"/>
        <w:rPr>
          <w:rFonts w:ascii="宋体" w:hAnsi="宋体"/>
        </w:rPr>
      </w:pPr>
      <w:r>
        <w:rPr>
          <w:rFonts w:hint="eastAsia" w:ascii="宋体" w:hAnsi="宋体"/>
        </w:rPr>
        <w:t>特殊要求</w:t>
      </w:r>
      <w:r>
        <w:rPr>
          <w:rFonts w:ascii="宋体" w:hAnsi="宋体"/>
        </w:rPr>
        <w:tab/>
      </w:r>
      <w:r>
        <w:rPr>
          <w:rFonts w:ascii="宋体" w:hAnsi="宋体"/>
        </w:rPr>
        <w:tab/>
      </w:r>
      <w:r>
        <w:rPr>
          <w:rFonts w:hint="eastAsia" w:ascii="宋体" w:hAnsi="宋体"/>
        </w:rPr>
        <w:tab/>
      </w:r>
      <w:r>
        <w:rPr>
          <w:rFonts w:hint="eastAsia" w:ascii="宋体" w:hAnsi="宋体"/>
        </w:rPr>
        <w:t>需涂终饰的底板的内表面时，要求掺和抗冷凝剂</w:t>
      </w:r>
    </w:p>
    <w:p>
      <w:pPr>
        <w:pStyle w:val="6"/>
        <w:snapToGrid w:val="0"/>
        <w:spacing w:before="203" w:beforeLines="50" w:after="203" w:afterLines="50" w:line="240" w:lineRule="auto"/>
        <w:rPr>
          <w:rFonts w:ascii="宋体" w:hAnsi="宋体" w:eastAsia="宋体"/>
          <w:sz w:val="24"/>
          <w:szCs w:val="24"/>
        </w:rPr>
      </w:pPr>
      <w:r>
        <w:rPr>
          <w:rFonts w:hint="eastAsia" w:ascii="宋体" w:hAnsi="宋体" w:eastAsia="宋体"/>
          <w:bCs w:val="0"/>
          <w:sz w:val="24"/>
          <w:szCs w:val="24"/>
        </w:rPr>
        <w:t>6.2.15.6 表面处理和应用</w:t>
      </w:r>
    </w:p>
    <w:p>
      <w:pPr>
        <w:snapToGrid w:val="0"/>
        <w:spacing w:before="203" w:beforeLines="50" w:after="203" w:afterLines="50"/>
        <w:rPr>
          <w:rFonts w:ascii="宋体" w:hAnsi="宋体"/>
        </w:rPr>
      </w:pPr>
      <w:r>
        <w:rPr>
          <w:rFonts w:hint="eastAsia" w:ascii="宋体" w:hAnsi="宋体"/>
        </w:rPr>
        <w:t>（1）表面喷砂处理达到规定的</w:t>
      </w:r>
      <w:r>
        <w:rPr>
          <w:rFonts w:ascii="宋体" w:hAnsi="宋体"/>
        </w:rPr>
        <w:t>BS4232</w:t>
      </w:r>
      <w:r>
        <w:rPr>
          <w:rFonts w:hint="eastAsia" w:ascii="宋体" w:hAnsi="宋体"/>
        </w:rPr>
        <w:t>一级或二级标准，采用的砂粒必须是激冷铁砂，达到</w:t>
      </w:r>
      <w:r>
        <w:rPr>
          <w:rFonts w:ascii="宋体" w:hAnsi="宋体"/>
        </w:rPr>
        <w:t>BS2451</w:t>
      </w:r>
      <w:r>
        <w:rPr>
          <w:rFonts w:hint="eastAsia" w:ascii="宋体" w:hAnsi="宋体"/>
        </w:rPr>
        <w:t>标准</w:t>
      </w:r>
      <w:r>
        <w:rPr>
          <w:rFonts w:ascii="宋体" w:hAnsi="宋体"/>
        </w:rPr>
        <w:t>（</w:t>
      </w:r>
      <w:r>
        <w:rPr>
          <w:rFonts w:hint="eastAsia" w:ascii="宋体" w:hAnsi="宋体"/>
        </w:rPr>
        <w:t>或者相似硬度的钢砂</w:t>
      </w:r>
      <w:r>
        <w:rPr>
          <w:rFonts w:ascii="宋体" w:hAnsi="宋体"/>
        </w:rPr>
        <w:t>）</w:t>
      </w:r>
      <w:r>
        <w:rPr>
          <w:rFonts w:hint="eastAsia" w:ascii="宋体" w:hAnsi="宋体"/>
        </w:rPr>
        <w:t>，最好是精细的颗粒，能通过</w:t>
      </w:r>
      <w:r>
        <w:rPr>
          <w:rFonts w:ascii="宋体" w:hAnsi="宋体"/>
        </w:rPr>
        <w:t>30</w:t>
      </w:r>
      <w:r>
        <w:rPr>
          <w:rFonts w:hint="eastAsia" w:ascii="宋体" w:hAnsi="宋体"/>
        </w:rPr>
        <w:t>号筛孔</w:t>
      </w:r>
      <w:r>
        <w:rPr>
          <w:rFonts w:ascii="宋体" w:hAnsi="宋体"/>
        </w:rPr>
        <w:t>（0.5mm）</w:t>
      </w:r>
      <w:r>
        <w:rPr>
          <w:rFonts w:hint="eastAsia" w:ascii="宋体" w:hAnsi="宋体"/>
        </w:rPr>
        <w:t>，大于</w:t>
      </w:r>
      <w:r>
        <w:rPr>
          <w:rFonts w:ascii="宋体" w:hAnsi="宋体"/>
        </w:rPr>
        <w:t>36</w:t>
      </w:r>
      <w:r>
        <w:rPr>
          <w:rFonts w:hint="eastAsia" w:ascii="宋体" w:hAnsi="宋体"/>
        </w:rPr>
        <w:t>筛孔</w:t>
      </w:r>
      <w:r>
        <w:rPr>
          <w:rFonts w:ascii="宋体" w:hAnsi="宋体"/>
        </w:rPr>
        <w:t>（0.42mm）</w:t>
      </w:r>
      <w:r>
        <w:rPr>
          <w:rFonts w:hint="eastAsia" w:ascii="宋体" w:hAnsi="宋体"/>
        </w:rPr>
        <w:t>上，砂粒不得含有有害物质，任何回用的砂粒在重新用前必须清理干净。</w:t>
      </w:r>
    </w:p>
    <w:p>
      <w:pPr>
        <w:snapToGrid w:val="0"/>
        <w:spacing w:before="203" w:beforeLines="50" w:after="203" w:afterLines="50"/>
        <w:rPr>
          <w:rFonts w:ascii="宋体" w:hAnsi="宋体"/>
        </w:rPr>
      </w:pPr>
      <w:r>
        <w:rPr>
          <w:rFonts w:hint="eastAsia" w:ascii="宋体" w:hAnsi="宋体"/>
        </w:rPr>
        <w:t>（2）喷砂后的表面粗糙度必须根据下述要求：</w:t>
      </w:r>
    </w:p>
    <w:p>
      <w:pPr>
        <w:snapToGrid w:val="0"/>
        <w:spacing w:before="203" w:beforeLines="50" w:after="203" w:afterLines="50"/>
        <w:ind w:firstLine="500" w:firstLineChars="200"/>
        <w:rPr>
          <w:rFonts w:ascii="宋体" w:hAnsi="宋体"/>
        </w:rPr>
      </w:pPr>
      <w:r>
        <w:rPr>
          <w:rFonts w:hint="eastAsia" w:ascii="宋体" w:hAnsi="宋体"/>
        </w:rPr>
        <w:t>一级：</w:t>
      </w:r>
      <w:r>
        <w:rPr>
          <w:rFonts w:ascii="宋体" w:hAnsi="宋体"/>
        </w:rPr>
        <w:tab/>
      </w:r>
      <w:r>
        <w:rPr>
          <w:rFonts w:ascii="宋体" w:hAnsi="宋体"/>
        </w:rPr>
        <w:t>25</w:t>
      </w:r>
      <w:r>
        <w:rPr>
          <w:rFonts w:hint="eastAsia" w:ascii="宋体" w:hAnsi="宋体"/>
        </w:rPr>
        <w:t>－</w:t>
      </w:r>
      <w:r>
        <w:rPr>
          <w:rFonts w:ascii="宋体" w:hAnsi="宋体"/>
        </w:rPr>
        <w:t>50um</w:t>
      </w:r>
      <w:r>
        <w:rPr>
          <w:rFonts w:hint="eastAsia" w:ascii="宋体" w:hAnsi="宋体"/>
        </w:rPr>
        <w:t>，指标值为</w:t>
      </w:r>
      <w:r>
        <w:rPr>
          <w:rFonts w:ascii="宋体" w:hAnsi="宋体"/>
        </w:rPr>
        <w:t>25～40um</w:t>
      </w:r>
    </w:p>
    <w:p>
      <w:pPr>
        <w:snapToGrid w:val="0"/>
        <w:spacing w:before="203" w:beforeLines="50" w:after="203" w:afterLines="50"/>
        <w:ind w:firstLine="500" w:firstLineChars="200"/>
        <w:rPr>
          <w:rFonts w:ascii="宋体" w:hAnsi="宋体"/>
        </w:rPr>
      </w:pPr>
      <w:r>
        <w:rPr>
          <w:rFonts w:hint="eastAsia" w:ascii="宋体" w:hAnsi="宋体"/>
        </w:rPr>
        <w:t>二级：</w:t>
      </w:r>
      <w:r>
        <w:rPr>
          <w:rFonts w:ascii="宋体" w:hAnsi="宋体"/>
        </w:rPr>
        <w:tab/>
      </w:r>
      <w:r>
        <w:rPr>
          <w:rFonts w:ascii="宋体" w:hAnsi="宋体"/>
        </w:rPr>
        <w:t>25</w:t>
      </w:r>
      <w:r>
        <w:rPr>
          <w:rFonts w:hint="eastAsia" w:ascii="宋体" w:hAnsi="宋体"/>
        </w:rPr>
        <w:t>－</w:t>
      </w:r>
      <w:r>
        <w:rPr>
          <w:rFonts w:ascii="宋体" w:hAnsi="宋体"/>
        </w:rPr>
        <w:t>100um</w:t>
      </w:r>
    </w:p>
    <w:p>
      <w:pPr>
        <w:snapToGrid w:val="0"/>
        <w:spacing w:before="203" w:beforeLines="50" w:after="203" w:afterLines="50"/>
        <w:ind w:firstLine="500" w:firstLineChars="200"/>
        <w:rPr>
          <w:rFonts w:ascii="宋体" w:hAnsi="宋体"/>
        </w:rPr>
      </w:pPr>
      <w:r>
        <w:rPr>
          <w:rFonts w:hint="eastAsia" w:ascii="宋体" w:hAnsi="宋体"/>
        </w:rPr>
        <w:t>表面粗糙度即断面上任何一个从峰顶到邻近槽最底部的尺寸。</w:t>
      </w:r>
    </w:p>
    <w:p>
      <w:pPr>
        <w:snapToGrid w:val="0"/>
        <w:spacing w:before="203" w:beforeLines="50" w:after="203" w:afterLines="50"/>
        <w:rPr>
          <w:rFonts w:ascii="宋体" w:hAnsi="宋体"/>
        </w:rPr>
      </w:pPr>
      <w:r>
        <w:rPr>
          <w:rFonts w:hint="eastAsia" w:ascii="宋体" w:hAnsi="宋体"/>
        </w:rPr>
        <w:t>（3）喷砂清理要大气温度高于</w:t>
      </w:r>
      <w:r>
        <w:rPr>
          <w:rFonts w:ascii="宋体" w:hAnsi="宋体"/>
        </w:rPr>
        <w:t>5</w:t>
      </w:r>
      <w:r>
        <w:rPr>
          <w:rFonts w:hint="eastAsia" w:ascii="宋体" w:hAnsi="宋体"/>
        </w:rPr>
        <w:t>℃，相对湿度低于</w:t>
      </w:r>
      <w:r>
        <w:rPr>
          <w:rFonts w:ascii="宋体" w:hAnsi="宋体"/>
        </w:rPr>
        <w:t>85%</w:t>
      </w:r>
      <w:r>
        <w:rPr>
          <w:rFonts w:hint="eastAsia" w:ascii="宋体" w:hAnsi="宋体"/>
        </w:rPr>
        <w:t>时进行。</w:t>
      </w:r>
    </w:p>
    <w:p>
      <w:pPr>
        <w:snapToGrid w:val="0"/>
        <w:spacing w:before="203" w:beforeLines="50" w:after="203" w:afterLines="50"/>
        <w:rPr>
          <w:rFonts w:ascii="宋体" w:hAnsi="宋体"/>
        </w:rPr>
      </w:pPr>
      <w:r>
        <w:rPr>
          <w:rFonts w:hint="eastAsia" w:ascii="宋体" w:hAnsi="宋体"/>
        </w:rPr>
        <w:t>（4）喷砂清理后，最好采用真空清理法来去除面上的灰尘和砂粒。在喷砂后四个小时内就要喷刷或涂一层保护性的底漆。</w:t>
      </w:r>
    </w:p>
    <w:p>
      <w:pPr>
        <w:snapToGrid w:val="0"/>
        <w:spacing w:before="203" w:beforeLines="50" w:after="203" w:afterLines="50"/>
        <w:rPr>
          <w:rFonts w:ascii="宋体" w:hAnsi="宋体"/>
        </w:rPr>
      </w:pPr>
      <w:r>
        <w:rPr>
          <w:rFonts w:hint="eastAsia" w:ascii="宋体" w:hAnsi="宋体"/>
        </w:rPr>
        <w:t>（5）承包商必须提供并操纵既用来保护经过喷砂清理后的表面</w:t>
      </w:r>
      <w:r>
        <w:rPr>
          <w:rFonts w:ascii="宋体" w:hAnsi="宋体"/>
        </w:rPr>
        <w:t>（</w:t>
      </w:r>
      <w:r>
        <w:rPr>
          <w:rFonts w:hint="eastAsia" w:ascii="宋体" w:hAnsi="宋体"/>
        </w:rPr>
        <w:t>直到可以涂漆为止</w:t>
      </w:r>
      <w:r>
        <w:rPr>
          <w:rFonts w:ascii="宋体" w:hAnsi="宋体"/>
        </w:rPr>
        <w:t>）</w:t>
      </w:r>
      <w:r>
        <w:rPr>
          <w:rFonts w:hint="eastAsia" w:ascii="宋体" w:hAnsi="宋体"/>
        </w:rPr>
        <w:t>并用以提供必要的养护条件和脱湿设备。</w:t>
      </w:r>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6.2.15.7 检验和试验</w:t>
      </w:r>
    </w:p>
    <w:p>
      <w:pPr>
        <w:snapToGrid w:val="0"/>
        <w:spacing w:before="203" w:beforeLines="50" w:after="203" w:afterLines="50"/>
        <w:ind w:firstLine="500" w:firstLineChars="200"/>
        <w:rPr>
          <w:rFonts w:ascii="宋体" w:hAnsi="宋体"/>
        </w:rPr>
      </w:pPr>
      <w:r>
        <w:rPr>
          <w:rFonts w:hint="eastAsia" w:ascii="宋体" w:hAnsi="宋体"/>
        </w:rPr>
        <w:t>必须遵循下述特殊要求：</w:t>
      </w:r>
    </w:p>
    <w:p>
      <w:pPr>
        <w:snapToGrid w:val="0"/>
        <w:spacing w:before="203" w:beforeLines="50" w:after="203" w:afterLines="50"/>
        <w:rPr>
          <w:rFonts w:ascii="宋体" w:hAnsi="宋体"/>
        </w:rPr>
      </w:pPr>
      <w:r>
        <w:rPr>
          <w:rFonts w:hint="eastAsia" w:ascii="宋体" w:hAnsi="宋体"/>
        </w:rPr>
        <w:t>（1）检查湿膜厚度: 必须配备经同意的湿膜厚度仪来检查涂料的等级。</w:t>
      </w:r>
    </w:p>
    <w:p>
      <w:pPr>
        <w:snapToGrid w:val="0"/>
        <w:spacing w:before="203" w:beforeLines="50" w:after="203" w:afterLines="50"/>
        <w:rPr>
          <w:rFonts w:ascii="宋体" w:hAnsi="宋体"/>
        </w:rPr>
      </w:pPr>
      <w:r>
        <w:rPr>
          <w:rFonts w:hint="eastAsia" w:ascii="宋体" w:hAnsi="宋体"/>
        </w:rPr>
        <w:t>（2）检查干膜厚度:涂于钢和其它镍基锰合金表面之上的涂层的干膜厚度，以各层涂料累积的总干膜厚度作系统的测定值。</w:t>
      </w:r>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6.2.15.8 镀锌</w:t>
      </w:r>
    </w:p>
    <w:p>
      <w:pPr>
        <w:snapToGrid w:val="0"/>
        <w:spacing w:before="203" w:beforeLines="50" w:after="203" w:afterLines="50"/>
        <w:ind w:firstLine="500" w:firstLineChars="200"/>
        <w:rPr>
          <w:rFonts w:ascii="宋体" w:hAnsi="宋体"/>
        </w:rPr>
      </w:pPr>
      <w:r>
        <w:rPr>
          <w:rFonts w:hint="eastAsia" w:ascii="宋体" w:hAnsi="宋体"/>
        </w:rPr>
        <w:t>镀锌工作在其所有方面应符合BS729、BS3083、CP2008标准，并且应该用热浸锌工艺来实施，除非另有规定。</w:t>
      </w:r>
    </w:p>
    <w:p>
      <w:pPr>
        <w:snapToGrid w:val="0"/>
        <w:spacing w:before="203" w:beforeLines="50" w:after="203" w:afterLines="50"/>
        <w:ind w:firstLine="500" w:firstLineChars="200"/>
        <w:rPr>
          <w:rFonts w:ascii="宋体" w:hAnsi="宋体"/>
        </w:rPr>
      </w:pPr>
      <w:r>
        <w:rPr>
          <w:rFonts w:hint="eastAsia" w:ascii="宋体" w:hAnsi="宋体"/>
        </w:rPr>
        <w:t>必须使热浸锌的钢部件和组件的设计适合于工艺要求。它们应符合BS4479标准。</w:t>
      </w:r>
    </w:p>
    <w:p>
      <w:pPr>
        <w:snapToGrid w:val="0"/>
        <w:spacing w:before="203" w:beforeLines="50" w:after="203" w:afterLines="50"/>
        <w:ind w:firstLine="500" w:firstLineChars="200"/>
        <w:rPr>
          <w:rFonts w:ascii="宋体" w:hAnsi="宋体"/>
        </w:rPr>
      </w:pPr>
      <w:r>
        <w:rPr>
          <w:rFonts w:hint="eastAsia" w:ascii="宋体" w:hAnsi="宋体"/>
        </w:rPr>
        <w:t>应提供通气孔和排水孔，以避免在浸锌时产生由于内部压力过高而导致的爆炸和气锁；并且确保在工作取出时，锌液不残留在部件的死角处。</w:t>
      </w:r>
    </w:p>
    <w:p>
      <w:pPr>
        <w:snapToGrid w:val="0"/>
        <w:spacing w:before="203" w:beforeLines="50" w:after="203" w:afterLines="50"/>
        <w:ind w:firstLine="500" w:firstLineChars="200"/>
        <w:rPr>
          <w:rFonts w:ascii="宋体" w:hAnsi="宋体"/>
        </w:rPr>
      </w:pPr>
      <w:r>
        <w:rPr>
          <w:rFonts w:hint="eastAsia" w:ascii="宋体" w:hAnsi="宋体"/>
        </w:rPr>
        <w:t>在焊接组件热浸锌之前，必须仔细地清理焊缝。焊缝和其周围的金属应该分别予以清理，最好采用喷砂清理，因为依靠一般的初步酸洗是不能完全去除焊渣。</w:t>
      </w:r>
    </w:p>
    <w:p>
      <w:pPr>
        <w:snapToGrid w:val="0"/>
        <w:spacing w:before="203" w:beforeLines="50" w:after="203" w:afterLines="50"/>
        <w:ind w:firstLine="500" w:firstLineChars="200"/>
        <w:rPr>
          <w:rFonts w:ascii="宋体" w:hAnsi="宋体"/>
        </w:rPr>
      </w:pPr>
      <w:r>
        <w:rPr>
          <w:rFonts w:hint="eastAsia" w:ascii="宋体" w:hAnsi="宋体"/>
        </w:rPr>
        <w:t>所有钢表面的缺陷，包括裂缝、表面剥离、皱皮和折迭应按照BS4360予以去除。在构件镀锌前，应先完成机组部件和组件的所有钻孔、切削、焊接、压形和最终的冷加工工序。被镀锌的钢工件表面，应该无油漆、无油、无油垢和其它污染物。</w:t>
      </w:r>
    </w:p>
    <w:p>
      <w:pPr>
        <w:snapToGrid w:val="0"/>
        <w:spacing w:before="203" w:beforeLines="50" w:after="203" w:afterLines="50"/>
        <w:ind w:firstLine="500" w:firstLineChars="200"/>
        <w:rPr>
          <w:rFonts w:ascii="宋体" w:hAnsi="宋体"/>
        </w:rPr>
      </w:pPr>
      <w:r>
        <w:rPr>
          <w:rFonts w:hint="eastAsia" w:ascii="宋体" w:hAnsi="宋体"/>
        </w:rPr>
        <w:t>最小平均镀层的质量应符合BS729表1的规定。钢结构首先按BS4232用细砂作喷砂处理并达到二级质量（Sa21/2）或在酸槽中酸洗。钢件截面厚度等于和大于5mm时，其最小平均镀层重量应为900g/m2。</w:t>
      </w:r>
    </w:p>
    <w:p>
      <w:pPr>
        <w:snapToGrid w:val="0"/>
        <w:spacing w:before="203" w:beforeLines="50" w:after="203" w:afterLines="50"/>
        <w:ind w:firstLine="500" w:firstLineChars="200"/>
        <w:rPr>
          <w:rFonts w:ascii="宋体" w:hAnsi="宋体"/>
        </w:rPr>
      </w:pPr>
      <w:r>
        <w:rPr>
          <w:rFonts w:hint="eastAsia" w:ascii="宋体" w:hAnsi="宋体"/>
        </w:rPr>
        <w:t>从镀锌槽取出时，所形成的锌膜应光滑、连续、无明显的表面缺陷，如可见的斑点、结疤、气泡、渣或灰尘夹杂物等。</w:t>
      </w:r>
    </w:p>
    <w:p>
      <w:pPr>
        <w:snapToGrid w:val="0"/>
        <w:spacing w:before="203" w:beforeLines="50" w:after="203" w:afterLines="50"/>
        <w:ind w:firstLine="500" w:firstLineChars="200"/>
        <w:rPr>
          <w:rFonts w:ascii="宋体" w:hAnsi="宋体"/>
        </w:rPr>
      </w:pPr>
      <w:r>
        <w:rPr>
          <w:rFonts w:hint="eastAsia" w:ascii="宋体" w:hAnsi="宋体"/>
        </w:rPr>
        <w:t>用高强度摩擦夹紧螺栓联接的电镀锌接触面在其组装前应该粗糙化，以便达到所需要的滑动系数（由BS3294，第一部分和BS4604，第一部分规定）。应注意确保粗糙化仅局限在需要粗糙面的范围内。</w:t>
      </w:r>
    </w:p>
    <w:p>
      <w:pPr>
        <w:snapToGrid w:val="0"/>
        <w:spacing w:before="203" w:beforeLines="50" w:after="203" w:afterLines="50"/>
        <w:ind w:firstLine="500" w:firstLineChars="200"/>
        <w:rPr>
          <w:rFonts w:ascii="宋体" w:hAnsi="宋体"/>
        </w:rPr>
      </w:pPr>
      <w:r>
        <w:rPr>
          <w:rFonts w:hint="eastAsia" w:ascii="宋体" w:hAnsi="宋体"/>
        </w:rPr>
        <w:t>螺栓、螺帽和垫圈，包括一般等级的高强度摩擦夹紧螺栓（参照BS3139和BS4395，第一部分）应该被热浸锌，其后浸锌离心分离（BS729）。在镀锌后，螺帽应采用螺丝攻扩大0.4mm；并且对螺纹上油，以便可用手指把螺帽拧在螺栓上，一直拧到该螺帽的整个高度为止。在螺栓已被穿插过钢构件之后，必须使该镀锌高强度摩擦夹紧螺栓伸出钢构件外的螺纹上的润滑剂不能流到钢构件的被粗糙化的结合面上去。</w:t>
      </w:r>
    </w:p>
    <w:p>
      <w:pPr>
        <w:snapToGrid w:val="0"/>
        <w:spacing w:before="203" w:beforeLines="50" w:after="203" w:afterLines="50"/>
        <w:ind w:firstLine="500" w:firstLineChars="200"/>
        <w:rPr>
          <w:rFonts w:ascii="宋体" w:hAnsi="宋体"/>
        </w:rPr>
      </w:pPr>
      <w:r>
        <w:rPr>
          <w:rFonts w:hint="eastAsia" w:ascii="宋体" w:hAnsi="宋体"/>
        </w:rPr>
        <w:t>为了卸载和安装，必须使用有保护层的吊索。贮存在工厂或现场的镀锌构件应该这样堆放，以使其所有表面都得到合理的通风，避免产生水渍（白色锈班）。</w:t>
      </w:r>
    </w:p>
    <w:p>
      <w:pPr>
        <w:snapToGrid w:val="0"/>
        <w:spacing w:before="203" w:beforeLines="50" w:after="203" w:afterLines="50"/>
        <w:ind w:firstLine="500" w:firstLineChars="200"/>
        <w:rPr>
          <w:rFonts w:ascii="宋体" w:hAnsi="宋体"/>
        </w:rPr>
      </w:pPr>
      <w:r>
        <w:rPr>
          <w:rFonts w:hint="eastAsia" w:ascii="宋体" w:hAnsi="宋体"/>
        </w:rPr>
        <w:t>任一形式受损的小面积镀层应用下列措施修复：</w:t>
      </w:r>
    </w:p>
    <w:p>
      <w:pPr>
        <w:numPr>
          <w:ilvl w:val="0"/>
          <w:numId w:val="17"/>
        </w:numPr>
        <w:tabs>
          <w:tab w:val="left" w:pos="993"/>
        </w:tabs>
        <w:adjustRightInd w:val="0"/>
        <w:snapToGrid w:val="0"/>
        <w:spacing w:before="203" w:beforeLines="50" w:after="203" w:afterLines="50"/>
        <w:ind w:left="993" w:hanging="513"/>
        <w:textAlignment w:val="baseline"/>
        <w:rPr>
          <w:rFonts w:ascii="宋体" w:hAnsi="宋体"/>
        </w:rPr>
      </w:pPr>
      <w:r>
        <w:rPr>
          <w:rFonts w:hint="eastAsia" w:ascii="宋体" w:hAnsi="宋体"/>
        </w:rPr>
        <w:t>任何焊渣都要清除，并用金属丝刷彻底清洁其表面。</w:t>
      </w:r>
    </w:p>
    <w:p>
      <w:pPr>
        <w:numPr>
          <w:ilvl w:val="0"/>
          <w:numId w:val="17"/>
        </w:numPr>
        <w:tabs>
          <w:tab w:val="left" w:pos="993"/>
        </w:tabs>
        <w:adjustRightInd w:val="0"/>
        <w:snapToGrid w:val="0"/>
        <w:spacing w:before="203" w:beforeLines="50" w:after="203" w:afterLines="50"/>
        <w:ind w:left="993" w:hanging="513"/>
        <w:textAlignment w:val="baseline"/>
        <w:rPr>
          <w:rFonts w:ascii="宋体" w:hAnsi="宋体"/>
        </w:rPr>
      </w:pPr>
      <w:r>
        <w:rPr>
          <w:rFonts w:hint="eastAsia" w:ascii="宋体" w:hAnsi="宋体"/>
        </w:rPr>
        <w:t>采用两层富锌涂料，或采用低熔点锌合金修补棒或粉沫敷在受损区上，再加热到300℃。</w:t>
      </w:r>
    </w:p>
    <w:p>
      <w:pPr>
        <w:snapToGrid w:val="0"/>
        <w:spacing w:before="203" w:beforeLines="50" w:after="203" w:afterLines="50"/>
        <w:ind w:firstLine="500" w:firstLineChars="200"/>
        <w:rPr>
          <w:rFonts w:ascii="宋体" w:hAnsi="宋体"/>
        </w:rPr>
      </w:pPr>
      <w:r>
        <w:rPr>
          <w:rFonts w:hint="eastAsia" w:ascii="宋体" w:hAnsi="宋体"/>
        </w:rPr>
        <w:t>在固定后，螺栓头、垫圈和螺帽应以两层富锌涂料。电镀表面的铜、铜合金或铝表面之间的连接，应使用经监理工程师认可的合适的带子包起来进行保护。</w:t>
      </w:r>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6.2.15.9 金属喷镀</w:t>
      </w:r>
    </w:p>
    <w:p>
      <w:pPr>
        <w:snapToGrid w:val="0"/>
        <w:spacing w:before="203" w:beforeLines="50" w:after="203" w:afterLines="50"/>
        <w:ind w:firstLine="500" w:firstLineChars="200"/>
        <w:rPr>
          <w:rFonts w:ascii="宋体" w:hAnsi="宋体"/>
        </w:rPr>
      </w:pPr>
      <w:r>
        <w:rPr>
          <w:rFonts w:hint="eastAsia" w:ascii="宋体" w:hAnsi="宋体"/>
        </w:rPr>
        <w:t>对构件表面喷镀铝、锌、锡、铜、铅或其它合适金属，也能达到防腐蚀目的。喷镀金属成分，表面预处理和喷镀方法，厚度、粘附强度和随后处理，都应符合BS2596标准。</w:t>
      </w:r>
    </w:p>
    <w:p>
      <w:pPr>
        <w:snapToGrid w:val="0"/>
        <w:spacing w:before="203" w:beforeLines="50" w:after="203" w:afterLines="50"/>
        <w:ind w:firstLine="500" w:firstLineChars="200"/>
        <w:rPr>
          <w:rFonts w:ascii="宋体" w:hAnsi="宋体"/>
        </w:rPr>
      </w:pPr>
      <w:r>
        <w:rPr>
          <w:rFonts w:hint="eastAsia" w:ascii="宋体" w:hAnsi="宋体"/>
        </w:rPr>
        <w:t>对于燃烧气体火焰、等离子弧、爆炸和其它类似工艺所采用的金属和金属复合物的喷镀、不熔镀层的要求，对被喷镀部件的预处理、喷镀技术、密封、抛光和检查的要求，都要按照BS4761相应规定。</w:t>
      </w:r>
    </w:p>
    <w:p>
      <w:pPr>
        <w:pStyle w:val="6"/>
        <w:snapToGrid w:val="0"/>
        <w:spacing w:before="203" w:beforeLines="50" w:after="203" w:afterLines="50" w:line="240" w:lineRule="auto"/>
        <w:rPr>
          <w:rFonts w:ascii="宋体" w:hAnsi="宋体" w:eastAsia="宋体"/>
          <w:bCs w:val="0"/>
          <w:sz w:val="24"/>
          <w:szCs w:val="24"/>
        </w:rPr>
      </w:pPr>
      <w:r>
        <w:rPr>
          <w:rFonts w:hint="eastAsia" w:ascii="宋体" w:hAnsi="宋体" w:eastAsia="宋体"/>
          <w:bCs w:val="0"/>
          <w:sz w:val="24"/>
          <w:szCs w:val="24"/>
        </w:rPr>
        <w:t>6.2.15.10 耐蚀钢</w:t>
      </w:r>
    </w:p>
    <w:p>
      <w:pPr>
        <w:snapToGrid w:val="0"/>
        <w:spacing w:before="203" w:beforeLines="50" w:after="203" w:afterLines="50"/>
        <w:ind w:firstLine="500" w:firstLineChars="200"/>
        <w:rPr>
          <w:rFonts w:ascii="宋体" w:hAnsi="宋体"/>
        </w:rPr>
      </w:pPr>
      <w:r>
        <w:rPr>
          <w:rFonts w:hint="eastAsia" w:ascii="宋体" w:hAnsi="宋体"/>
        </w:rPr>
        <w:t>使用耐腐蚀、耐风蚀钢的钢构件，必须遵守ASTM－A242，ASTMA588，DIN17100和其它等效标准的要求。</w:t>
      </w:r>
    </w:p>
    <w:p>
      <w:pPr>
        <w:pStyle w:val="5"/>
        <w:snapToGrid w:val="0"/>
        <w:spacing w:before="203" w:beforeLines="50" w:after="203" w:afterLines="50"/>
        <w:rPr>
          <w:rFonts w:ascii="宋体" w:hAnsi="宋体" w:eastAsia="宋体"/>
          <w:bCs/>
          <w:sz w:val="24"/>
        </w:rPr>
      </w:pPr>
      <w:bookmarkStart w:id="5798" w:name="_Toc69484236"/>
      <w:bookmarkStart w:id="5799" w:name="_Toc116811648"/>
      <w:bookmarkStart w:id="5800" w:name="_Toc618"/>
      <w:bookmarkStart w:id="5801" w:name="_Toc115840539"/>
      <w:bookmarkStart w:id="5802" w:name="_Toc152414595"/>
      <w:bookmarkStart w:id="5803" w:name="_Toc44593734"/>
      <w:bookmarkStart w:id="5804" w:name="_Toc11175"/>
      <w:bookmarkStart w:id="5805" w:name="_Toc106883551"/>
      <w:r>
        <w:rPr>
          <w:rFonts w:hint="eastAsia" w:ascii="宋体" w:hAnsi="宋体" w:eastAsia="宋体"/>
          <w:bCs/>
          <w:sz w:val="24"/>
        </w:rPr>
        <w:t>6.2.16 压力表</w:t>
      </w:r>
      <w:bookmarkEnd w:id="5798"/>
      <w:bookmarkEnd w:id="5799"/>
      <w:bookmarkEnd w:id="5800"/>
      <w:bookmarkEnd w:id="5801"/>
      <w:bookmarkEnd w:id="5802"/>
      <w:bookmarkEnd w:id="5803"/>
      <w:bookmarkEnd w:id="5804"/>
      <w:bookmarkEnd w:id="5805"/>
    </w:p>
    <w:p>
      <w:pPr>
        <w:snapToGrid w:val="0"/>
        <w:spacing w:before="203" w:beforeLines="50" w:after="203" w:afterLines="50"/>
        <w:ind w:firstLine="500" w:firstLineChars="200"/>
        <w:rPr>
          <w:rFonts w:ascii="宋体" w:hAnsi="宋体"/>
        </w:rPr>
      </w:pPr>
      <w:r>
        <w:rPr>
          <w:rFonts w:hint="eastAsia" w:ascii="宋体" w:hAnsi="宋体"/>
        </w:rPr>
        <w:t>装在每台设备中压力表直径不小于150mm。铝合金不能用在表的结构中，刻度盘和表盖应为紫铜，内部元件应为不锈钢、紫铜和其他抗腐蚀材料（不包括铝合金）。</w:t>
      </w:r>
    </w:p>
    <w:p>
      <w:pPr>
        <w:snapToGrid w:val="0"/>
        <w:spacing w:before="203" w:beforeLines="50" w:after="203" w:afterLines="50"/>
        <w:ind w:firstLine="500" w:firstLineChars="200"/>
        <w:rPr>
          <w:rFonts w:ascii="宋体" w:hAnsi="宋体"/>
        </w:rPr>
      </w:pPr>
      <w:r>
        <w:rPr>
          <w:rFonts w:hint="eastAsia" w:ascii="宋体" w:hAnsi="宋体"/>
        </w:rPr>
        <w:t>压力表可以直接安装在主要系统管道上或一个接一个地安装控制台或柜中，每个压力表后应紧接着一个旋塞，在压力表管道连接主系统端头应有一个隔离阀。装在控制盘中的压力表，隔离阀应连接一个试验压力表，装有旋塞的压力表，应能用经批准的标签和文字识别。</w:t>
      </w:r>
    </w:p>
    <w:p>
      <w:pPr>
        <w:snapToGrid w:val="0"/>
        <w:spacing w:before="203" w:beforeLines="50" w:after="203" w:afterLines="50"/>
        <w:ind w:firstLine="500" w:firstLineChars="200"/>
        <w:rPr>
          <w:rFonts w:ascii="宋体" w:hAnsi="宋体"/>
        </w:rPr>
      </w:pPr>
      <w:r>
        <w:rPr>
          <w:rFonts w:hint="eastAsia" w:ascii="宋体" w:hAnsi="宋体"/>
        </w:rPr>
        <w:t>用于污水和污泥的压力表，应有一个压力变送系统。变送系统应为充气密封型。内含铜或不锈钢毛细管和隔膜变送仪。</w:t>
      </w:r>
    </w:p>
    <w:p>
      <w:pPr>
        <w:snapToGrid w:val="0"/>
        <w:spacing w:before="203" w:beforeLines="50" w:after="203" w:afterLines="50"/>
        <w:ind w:firstLine="500" w:firstLineChars="200"/>
        <w:rPr>
          <w:rFonts w:ascii="宋体" w:hAnsi="宋体"/>
        </w:rPr>
      </w:pPr>
      <w:r>
        <w:rPr>
          <w:rFonts w:hint="eastAsia" w:ascii="宋体" w:hAnsi="宋体"/>
        </w:rPr>
        <w:t>隔膜应装在一个可清扫的壳中。变送仪的外壳应直接与15mm或更大口径的直通式隔离旋塞连接，隔离旋塞再直接接到压力管口上。</w:t>
      </w:r>
    </w:p>
    <w:p>
      <w:pPr>
        <w:snapToGrid w:val="0"/>
        <w:spacing w:before="203" w:beforeLines="50" w:after="203" w:afterLines="50"/>
        <w:ind w:firstLine="500" w:firstLineChars="200"/>
        <w:rPr>
          <w:rFonts w:ascii="宋体" w:hAnsi="宋体"/>
        </w:rPr>
      </w:pPr>
      <w:r>
        <w:rPr>
          <w:rFonts w:hint="eastAsia" w:ascii="宋体" w:hAnsi="宋体"/>
        </w:rPr>
        <w:t>压力表以bar为压力单位，以0.1bar为最小刻度。用于负压时使用真空表，精度均为全量程的±1.5%或±2.5％。</w:t>
      </w:r>
    </w:p>
    <w:p>
      <w:pPr>
        <w:pStyle w:val="5"/>
        <w:snapToGrid w:val="0"/>
        <w:spacing w:before="203" w:beforeLines="50" w:after="203" w:afterLines="50"/>
        <w:rPr>
          <w:rFonts w:ascii="宋体" w:hAnsi="宋体" w:eastAsia="宋体"/>
          <w:bCs/>
          <w:sz w:val="24"/>
        </w:rPr>
      </w:pPr>
      <w:bookmarkStart w:id="5806" w:name="_Toc14334"/>
      <w:bookmarkStart w:id="5807" w:name="_Toc116811649"/>
      <w:bookmarkStart w:id="5808" w:name="_Toc115840540"/>
      <w:bookmarkStart w:id="5809" w:name="_Toc152414596"/>
      <w:bookmarkStart w:id="5810" w:name="_Toc7679"/>
      <w:bookmarkStart w:id="5811" w:name="_Toc44593735"/>
      <w:bookmarkStart w:id="5812" w:name="_Toc69484237"/>
      <w:bookmarkStart w:id="5813" w:name="_Toc106883552"/>
      <w:r>
        <w:rPr>
          <w:rFonts w:hint="eastAsia" w:ascii="宋体" w:hAnsi="宋体" w:eastAsia="宋体"/>
          <w:bCs/>
          <w:sz w:val="24"/>
        </w:rPr>
        <w:t>6.2.17 螺母、螺钉、垫圈和螺栓</w:t>
      </w:r>
      <w:bookmarkEnd w:id="5806"/>
      <w:bookmarkEnd w:id="5807"/>
      <w:bookmarkEnd w:id="5808"/>
      <w:bookmarkEnd w:id="5809"/>
      <w:bookmarkEnd w:id="5810"/>
      <w:bookmarkEnd w:id="5811"/>
      <w:bookmarkEnd w:id="5812"/>
      <w:bookmarkEnd w:id="5813"/>
    </w:p>
    <w:p>
      <w:pPr>
        <w:snapToGrid w:val="0"/>
        <w:spacing w:before="203" w:beforeLines="50" w:after="203" w:afterLines="50"/>
        <w:ind w:firstLine="500" w:firstLineChars="200"/>
        <w:rPr>
          <w:rFonts w:ascii="宋体" w:hAnsi="宋体"/>
        </w:rPr>
      </w:pPr>
      <w:r>
        <w:rPr>
          <w:rFonts w:hint="eastAsia" w:ascii="宋体" w:hAnsi="宋体"/>
        </w:rPr>
        <w:t>粗制螺栓，螺钉和螺母应符合ISO225、ISO272、ISO885、ISO888和ISO4759/1 8.8级。垫圈应符合ISO/R887，并使用在所有螺母，六角螺栓和螺钉之下。</w:t>
      </w:r>
    </w:p>
    <w:p>
      <w:pPr>
        <w:snapToGrid w:val="0"/>
        <w:spacing w:before="203" w:beforeLines="50" w:after="203" w:afterLines="50"/>
        <w:ind w:firstLine="500" w:firstLineChars="200"/>
        <w:rPr>
          <w:rFonts w:ascii="宋体" w:hAnsi="宋体"/>
        </w:rPr>
      </w:pPr>
      <w:r>
        <w:rPr>
          <w:rFonts w:hint="eastAsia" w:ascii="宋体" w:hAnsi="宋体"/>
        </w:rPr>
        <w:t>所有在水下或处在潮湿环境的螺栓，螺钉，螺母，垫圈应采用不锈钢。</w:t>
      </w:r>
    </w:p>
    <w:p>
      <w:pPr>
        <w:pStyle w:val="5"/>
        <w:snapToGrid w:val="0"/>
        <w:spacing w:before="203" w:beforeLines="50" w:after="203" w:afterLines="50"/>
        <w:rPr>
          <w:rFonts w:ascii="宋体" w:hAnsi="宋体" w:eastAsia="宋体"/>
          <w:bCs/>
          <w:sz w:val="24"/>
        </w:rPr>
      </w:pPr>
      <w:bookmarkStart w:id="5814" w:name="_Toc44593736"/>
      <w:bookmarkStart w:id="5815" w:name="_Toc69484238"/>
      <w:bookmarkStart w:id="5816" w:name="_Toc32386"/>
      <w:bookmarkStart w:id="5817" w:name="_Toc3544"/>
      <w:bookmarkStart w:id="5818" w:name="_Toc115840541"/>
      <w:bookmarkStart w:id="5819" w:name="_Toc116811650"/>
      <w:bookmarkStart w:id="5820" w:name="_Toc152414597"/>
      <w:bookmarkStart w:id="5821" w:name="_Toc106883553"/>
      <w:r>
        <w:rPr>
          <w:rFonts w:hint="eastAsia" w:ascii="宋体" w:hAnsi="宋体" w:eastAsia="宋体"/>
          <w:bCs/>
          <w:sz w:val="24"/>
        </w:rPr>
        <w:t>6.2.18 基础螺栓</w:t>
      </w:r>
      <w:bookmarkEnd w:id="5814"/>
      <w:bookmarkEnd w:id="5815"/>
      <w:bookmarkEnd w:id="5816"/>
      <w:bookmarkEnd w:id="5817"/>
      <w:bookmarkEnd w:id="5818"/>
      <w:bookmarkEnd w:id="5819"/>
      <w:bookmarkEnd w:id="5820"/>
      <w:bookmarkEnd w:id="5821"/>
    </w:p>
    <w:p>
      <w:pPr>
        <w:snapToGrid w:val="0"/>
        <w:spacing w:before="203" w:beforeLines="50" w:after="203" w:afterLines="50"/>
        <w:ind w:firstLine="500" w:firstLineChars="200"/>
        <w:rPr>
          <w:rFonts w:ascii="宋体" w:hAnsi="宋体"/>
        </w:rPr>
      </w:pPr>
      <w:r>
        <w:rPr>
          <w:rFonts w:hint="eastAsia" w:ascii="宋体" w:hAnsi="宋体"/>
        </w:rPr>
        <w:t>用在混凝土，砖石中的基础螺栓，螺母和垫圈应为不锈钢。可根据需要采用钩形膨胀螺栓，或化学螺栓。承包商应递交他所建议使用的螺栓类型的详细资料，包括制造商的产品规格，给监理工程师批准。</w:t>
      </w:r>
    </w:p>
    <w:p>
      <w:pPr>
        <w:snapToGrid w:val="0"/>
        <w:spacing w:before="203" w:beforeLines="50" w:after="203" w:afterLines="50"/>
        <w:ind w:firstLine="500" w:firstLineChars="200"/>
        <w:rPr>
          <w:rFonts w:ascii="宋体" w:hAnsi="宋体"/>
        </w:rPr>
      </w:pPr>
      <w:r>
        <w:rPr>
          <w:rFonts w:hint="eastAsia" w:ascii="宋体" w:hAnsi="宋体"/>
        </w:rPr>
        <w:t>当螺栓用来紧固铝合金件时，应用非金属隔套和垫圈将铝合金隔离。带有棘形或齿形预埋螺栓的二次混凝土材料应为专用的非收缩型环氧树脂砂浆或为专用的非收缩型砂浆或为麻丝填料。基础螺栓和预埋螺栓应在二次灌浆材料达到足够的强度时才能投入使用。</w:t>
      </w:r>
    </w:p>
    <w:p>
      <w:pPr>
        <w:pStyle w:val="5"/>
        <w:snapToGrid w:val="0"/>
        <w:spacing w:before="203" w:beforeLines="50" w:after="203" w:afterLines="50"/>
        <w:rPr>
          <w:rFonts w:ascii="宋体" w:hAnsi="宋体" w:eastAsia="宋体"/>
          <w:bCs/>
          <w:sz w:val="24"/>
        </w:rPr>
      </w:pPr>
      <w:bookmarkStart w:id="5822" w:name="_Toc44593737"/>
      <w:bookmarkStart w:id="5823" w:name="_Toc152414598"/>
      <w:bookmarkStart w:id="5824" w:name="_Toc116811651"/>
      <w:bookmarkStart w:id="5825" w:name="_Toc18594"/>
      <w:bookmarkStart w:id="5826" w:name="_Toc69484239"/>
      <w:bookmarkStart w:id="5827" w:name="_Toc115840542"/>
      <w:bookmarkStart w:id="5828" w:name="_Toc26460"/>
      <w:bookmarkStart w:id="5829" w:name="_Toc106883554"/>
      <w:r>
        <w:rPr>
          <w:rFonts w:hint="eastAsia" w:ascii="宋体" w:hAnsi="宋体" w:eastAsia="宋体"/>
          <w:bCs/>
          <w:sz w:val="24"/>
        </w:rPr>
        <w:t>6.2.19 质检的准备</w:t>
      </w:r>
      <w:bookmarkEnd w:id="5822"/>
      <w:bookmarkEnd w:id="5823"/>
      <w:bookmarkEnd w:id="5824"/>
      <w:bookmarkEnd w:id="5825"/>
      <w:bookmarkEnd w:id="5826"/>
      <w:bookmarkEnd w:id="5827"/>
      <w:bookmarkEnd w:id="5828"/>
      <w:bookmarkEnd w:id="5829"/>
    </w:p>
    <w:p>
      <w:pPr>
        <w:snapToGrid w:val="0"/>
        <w:spacing w:before="203" w:beforeLines="50" w:after="203" w:afterLines="50"/>
        <w:ind w:firstLine="500" w:firstLineChars="200"/>
        <w:rPr>
          <w:rFonts w:ascii="宋体" w:hAnsi="宋体"/>
        </w:rPr>
      </w:pPr>
      <w:r>
        <w:rPr>
          <w:rFonts w:hint="eastAsia" w:ascii="宋体" w:hAnsi="宋体"/>
        </w:rPr>
        <w:t>每一设备都要在安装之前，检查它们是否损坏有无缺陷，完整程度准确性等。</w:t>
      </w:r>
    </w:p>
    <w:p>
      <w:pPr>
        <w:snapToGrid w:val="0"/>
        <w:spacing w:before="203" w:beforeLines="50" w:after="203" w:afterLines="50"/>
        <w:ind w:firstLine="500" w:firstLineChars="200"/>
        <w:rPr>
          <w:rFonts w:ascii="宋体" w:hAnsi="宋体"/>
        </w:rPr>
      </w:pPr>
      <w:r>
        <w:rPr>
          <w:rFonts w:hint="eastAsia" w:ascii="宋体" w:hAnsi="宋体"/>
        </w:rPr>
        <w:t>如若发现某设备和材质有遭跌损的现象时，应立即通知监理工程师，损坏设备的修理，不可在监理工程师认可以前，就进行修补。</w:t>
      </w:r>
    </w:p>
    <w:p>
      <w:pPr>
        <w:pStyle w:val="5"/>
        <w:snapToGrid w:val="0"/>
        <w:spacing w:before="203" w:beforeLines="50" w:after="203" w:afterLines="50"/>
        <w:rPr>
          <w:rFonts w:ascii="宋体" w:hAnsi="宋体" w:eastAsia="宋体"/>
          <w:bCs/>
          <w:sz w:val="24"/>
        </w:rPr>
      </w:pPr>
      <w:bookmarkStart w:id="5830" w:name="_Toc44593738"/>
      <w:bookmarkStart w:id="5831" w:name="_Toc22264"/>
      <w:bookmarkStart w:id="5832" w:name="_Toc116811652"/>
      <w:bookmarkStart w:id="5833" w:name="_Toc115840543"/>
      <w:bookmarkStart w:id="5834" w:name="_Toc69484240"/>
      <w:bookmarkStart w:id="5835" w:name="_Toc9865"/>
      <w:bookmarkStart w:id="5836" w:name="_Toc152414599"/>
      <w:bookmarkStart w:id="5837" w:name="_Toc106883555"/>
      <w:r>
        <w:rPr>
          <w:rFonts w:hint="eastAsia" w:ascii="宋体" w:hAnsi="宋体" w:eastAsia="宋体"/>
          <w:bCs/>
          <w:sz w:val="24"/>
        </w:rPr>
        <w:t>6.2.20 电机</w:t>
      </w:r>
      <w:bookmarkEnd w:id="5830"/>
      <w:bookmarkEnd w:id="5831"/>
      <w:bookmarkEnd w:id="5832"/>
      <w:bookmarkEnd w:id="5833"/>
      <w:bookmarkEnd w:id="5834"/>
      <w:bookmarkEnd w:id="5835"/>
      <w:bookmarkEnd w:id="5836"/>
      <w:bookmarkEnd w:id="5837"/>
    </w:p>
    <w:p>
      <w:pPr>
        <w:snapToGrid w:val="0"/>
        <w:spacing w:before="203" w:beforeLines="50" w:after="203" w:afterLines="50"/>
        <w:ind w:firstLine="500" w:firstLineChars="200"/>
        <w:rPr>
          <w:rFonts w:ascii="宋体" w:hAnsi="宋体"/>
        </w:rPr>
      </w:pPr>
      <w:r>
        <w:rPr>
          <w:rFonts w:hint="eastAsia" w:ascii="宋体" w:hAnsi="宋体"/>
        </w:rPr>
        <w:t>所有机械设备的电动机自然功率因数必须大于0.8，防护等级除注明外，均为IP54以上等级。</w:t>
      </w:r>
    </w:p>
    <w:p>
      <w:pPr>
        <w:pStyle w:val="5"/>
        <w:snapToGrid w:val="0"/>
        <w:spacing w:before="203" w:beforeLines="50" w:after="203" w:afterLines="50"/>
        <w:rPr>
          <w:rFonts w:ascii="宋体" w:hAnsi="宋体" w:eastAsia="宋体"/>
          <w:bCs/>
          <w:sz w:val="24"/>
        </w:rPr>
      </w:pPr>
      <w:bookmarkStart w:id="5838" w:name="_Toc69484241"/>
      <w:bookmarkStart w:id="5839" w:name="_Toc44593739"/>
      <w:bookmarkStart w:id="5840" w:name="_Toc115840544"/>
      <w:bookmarkStart w:id="5841" w:name="_Toc116811653"/>
      <w:bookmarkStart w:id="5842" w:name="_Toc152414600"/>
      <w:bookmarkStart w:id="5843" w:name="_Toc5824"/>
      <w:bookmarkStart w:id="5844" w:name="_Toc12039"/>
      <w:bookmarkStart w:id="5845" w:name="_Toc106883556"/>
      <w:r>
        <w:rPr>
          <w:rFonts w:hint="eastAsia" w:ascii="宋体" w:hAnsi="宋体" w:eastAsia="宋体"/>
          <w:bCs/>
          <w:sz w:val="24"/>
        </w:rPr>
        <w:t>6.2.21 安全措施</w:t>
      </w:r>
      <w:bookmarkEnd w:id="5838"/>
      <w:bookmarkEnd w:id="5839"/>
      <w:bookmarkEnd w:id="5840"/>
      <w:bookmarkEnd w:id="5841"/>
      <w:bookmarkEnd w:id="5842"/>
      <w:bookmarkEnd w:id="5843"/>
      <w:bookmarkEnd w:id="5844"/>
      <w:bookmarkEnd w:id="5845"/>
    </w:p>
    <w:p>
      <w:pPr>
        <w:snapToGrid w:val="0"/>
        <w:spacing w:before="203" w:beforeLines="50" w:after="203" w:afterLines="50"/>
        <w:ind w:firstLine="500" w:firstLineChars="200"/>
        <w:rPr>
          <w:rFonts w:ascii="宋体" w:hAnsi="宋体"/>
        </w:rPr>
      </w:pPr>
      <w:r>
        <w:rPr>
          <w:rFonts w:hint="eastAsia" w:ascii="宋体" w:hAnsi="宋体"/>
        </w:rPr>
        <w:t>设备除电气系统中设备过电流和信号报警保护外，一般应设机械式自动复位式过扭矩或安全销保护。</w:t>
      </w:r>
    </w:p>
    <w:p>
      <w:pPr>
        <w:snapToGrid w:val="0"/>
        <w:spacing w:before="203" w:beforeLines="50" w:after="203" w:afterLines="50"/>
        <w:ind w:firstLine="500" w:firstLineChars="200"/>
        <w:rPr>
          <w:rFonts w:ascii="宋体" w:hAnsi="宋体"/>
        </w:rPr>
      </w:pPr>
      <w:r>
        <w:rPr>
          <w:rFonts w:hint="eastAsia" w:ascii="宋体" w:hAnsi="宋体"/>
        </w:rPr>
        <w:t>设备的所有含有危险因素的部分应加上安全罩。在正常工况条件下，温度高于60℃或小于5℃的所有零件应装有防护栏或隔温保温措施。</w:t>
      </w:r>
    </w:p>
    <w:p>
      <w:pPr>
        <w:snapToGrid w:val="0"/>
        <w:spacing w:before="203" w:beforeLines="50" w:after="203" w:afterLines="50"/>
        <w:ind w:firstLine="500" w:firstLineChars="200"/>
        <w:rPr>
          <w:rFonts w:ascii="宋体" w:hAnsi="宋体"/>
        </w:rPr>
      </w:pPr>
      <w:r>
        <w:rPr>
          <w:rFonts w:hint="eastAsia" w:ascii="宋体" w:hAnsi="宋体"/>
        </w:rPr>
        <w:t>所有电气传导件包括由此而形成的电器装置都应绝缘或用防护栏防护或置于安全之处以防危险。</w:t>
      </w:r>
    </w:p>
    <w:p>
      <w:pPr>
        <w:snapToGrid w:val="0"/>
        <w:spacing w:before="203" w:beforeLines="50" w:after="203" w:afterLines="50"/>
        <w:ind w:firstLine="500" w:firstLineChars="200"/>
        <w:rPr>
          <w:rFonts w:ascii="宋体" w:hAnsi="宋体"/>
        </w:rPr>
      </w:pPr>
      <w:r>
        <w:rPr>
          <w:rFonts w:hint="eastAsia" w:ascii="宋体" w:hAnsi="宋体"/>
        </w:rPr>
        <w:t>安全罩应用钢丝网或用钢板网制成，如必要的话，用全钢板制成。安全罩应设计成对轴承、润滑脂加注点、温度计、和其它检测点便利操作的型式，允许操作工在没有危险或不需要拆掉安全罩的任何部分情况下，进行日常的维护工作。在便利到达检测点的地方应设置装有锁定装置的检修门。防护罩应采用螺栓固定，不会被无意地拆除或移动。</w:t>
      </w:r>
    </w:p>
    <w:p>
      <w:pPr>
        <w:snapToGrid w:val="0"/>
        <w:spacing w:before="203" w:beforeLines="50" w:after="203" w:afterLines="50"/>
        <w:ind w:firstLine="500" w:firstLineChars="200"/>
        <w:rPr>
          <w:rFonts w:ascii="宋体" w:hAnsi="宋体"/>
        </w:rPr>
      </w:pPr>
      <w:r>
        <w:rPr>
          <w:rFonts w:hint="eastAsia" w:ascii="宋体" w:hAnsi="宋体"/>
        </w:rPr>
        <w:t>用于防护罩结构的所有低碳钢包括螺栓，螺母，垫圈，挡圈应热浸锌，除非有其他规定。安全罩的图纸在加工前应送交业主批准。</w:t>
      </w:r>
    </w:p>
    <w:p>
      <w:pPr>
        <w:snapToGrid w:val="0"/>
        <w:spacing w:before="203" w:beforeLines="50" w:after="203" w:afterLines="50"/>
        <w:ind w:firstLine="500" w:firstLineChars="200"/>
        <w:rPr>
          <w:rFonts w:ascii="宋体" w:hAnsi="宋体"/>
        </w:rPr>
      </w:pPr>
      <w:r>
        <w:rPr>
          <w:rFonts w:hint="eastAsia" w:ascii="宋体" w:hAnsi="宋体"/>
        </w:rPr>
        <w:t>安全设计应符合GB5083《生产设备安全卫生设计总则》中的有关规定。</w:t>
      </w:r>
    </w:p>
    <w:p>
      <w:pPr>
        <w:snapToGrid w:val="0"/>
        <w:spacing w:before="203" w:beforeLines="50" w:after="203" w:afterLines="50"/>
        <w:ind w:firstLine="500" w:firstLineChars="200"/>
        <w:rPr>
          <w:rFonts w:ascii="宋体" w:hAnsi="宋体"/>
        </w:rPr>
      </w:pPr>
      <w:r>
        <w:rPr>
          <w:rFonts w:hint="eastAsia" w:ascii="宋体" w:hAnsi="宋体"/>
        </w:rPr>
        <w:t>带电设备接地电阻不应大于4Ω。</w:t>
      </w:r>
    </w:p>
    <w:p>
      <w:pPr>
        <w:pStyle w:val="5"/>
        <w:snapToGrid w:val="0"/>
        <w:spacing w:before="203" w:beforeLines="50" w:after="203" w:afterLines="50"/>
        <w:rPr>
          <w:rFonts w:ascii="宋体" w:hAnsi="宋体" w:eastAsia="宋体"/>
          <w:bCs/>
          <w:sz w:val="24"/>
        </w:rPr>
      </w:pPr>
      <w:bookmarkStart w:id="5846" w:name="_Toc116811654"/>
      <w:bookmarkStart w:id="5847" w:name="_Toc115840545"/>
      <w:bookmarkStart w:id="5848" w:name="_Toc69484242"/>
      <w:bookmarkStart w:id="5849" w:name="_Toc44593740"/>
      <w:bookmarkStart w:id="5850" w:name="_Toc152414601"/>
      <w:bookmarkStart w:id="5851" w:name="_Toc17470"/>
      <w:bookmarkStart w:id="5852" w:name="_Toc2028"/>
      <w:bookmarkStart w:id="5853" w:name="_Toc106883557"/>
      <w:r>
        <w:rPr>
          <w:rFonts w:hint="eastAsia" w:ascii="宋体" w:hAnsi="宋体" w:eastAsia="宋体"/>
          <w:bCs/>
          <w:sz w:val="24"/>
        </w:rPr>
        <w:t>6.2.22 泵类设备</w:t>
      </w:r>
      <w:bookmarkEnd w:id="5846"/>
      <w:bookmarkEnd w:id="5847"/>
      <w:bookmarkEnd w:id="5848"/>
      <w:bookmarkEnd w:id="5849"/>
      <w:bookmarkEnd w:id="5850"/>
      <w:bookmarkEnd w:id="5851"/>
      <w:bookmarkEnd w:id="5852"/>
      <w:bookmarkEnd w:id="5853"/>
    </w:p>
    <w:p>
      <w:pPr>
        <w:snapToGrid w:val="0"/>
        <w:spacing w:before="203" w:beforeLines="50" w:after="203" w:afterLines="50"/>
        <w:ind w:firstLine="500" w:firstLineChars="200"/>
        <w:rPr>
          <w:rFonts w:ascii="宋体" w:hAnsi="宋体"/>
        </w:rPr>
      </w:pPr>
      <w:r>
        <w:rPr>
          <w:rFonts w:hint="eastAsia" w:ascii="宋体" w:hAnsi="宋体"/>
        </w:rPr>
        <w:t>泵类设备详见“第五章”相关内容。</w:t>
      </w:r>
    </w:p>
    <w:p>
      <w:pPr>
        <w:pStyle w:val="5"/>
        <w:snapToGrid w:val="0"/>
        <w:spacing w:before="203" w:beforeLines="50" w:after="203" w:afterLines="50"/>
        <w:rPr>
          <w:rFonts w:ascii="宋体" w:hAnsi="宋体" w:eastAsia="宋体"/>
          <w:bCs/>
          <w:sz w:val="24"/>
        </w:rPr>
      </w:pPr>
      <w:bookmarkStart w:id="5854" w:name="_Toc44593741"/>
      <w:bookmarkStart w:id="5855" w:name="_Toc115840546"/>
      <w:bookmarkStart w:id="5856" w:name="_Toc11705"/>
      <w:bookmarkStart w:id="5857" w:name="_Toc152414602"/>
      <w:bookmarkStart w:id="5858" w:name="_Toc69484243"/>
      <w:bookmarkStart w:id="5859" w:name="_Toc6357"/>
      <w:bookmarkStart w:id="5860" w:name="_Toc116811655"/>
      <w:bookmarkStart w:id="5861" w:name="_Toc106883558"/>
      <w:r>
        <w:rPr>
          <w:rFonts w:hint="eastAsia" w:ascii="宋体" w:hAnsi="宋体" w:eastAsia="宋体"/>
          <w:bCs/>
          <w:sz w:val="24"/>
        </w:rPr>
        <w:t>6.2.23 阀类</w:t>
      </w:r>
      <w:bookmarkEnd w:id="5854"/>
      <w:bookmarkEnd w:id="5855"/>
      <w:bookmarkEnd w:id="5856"/>
      <w:bookmarkEnd w:id="5857"/>
      <w:bookmarkEnd w:id="5858"/>
      <w:bookmarkEnd w:id="5859"/>
      <w:bookmarkEnd w:id="5860"/>
      <w:bookmarkEnd w:id="5861"/>
    </w:p>
    <w:p>
      <w:pPr>
        <w:snapToGrid w:val="0"/>
        <w:spacing w:before="203" w:beforeLines="50" w:after="203" w:afterLines="50"/>
        <w:ind w:firstLine="500" w:firstLineChars="200"/>
        <w:rPr>
          <w:rFonts w:ascii="宋体" w:hAnsi="宋体"/>
        </w:rPr>
      </w:pPr>
      <w:r>
        <w:rPr>
          <w:rFonts w:hint="eastAsia" w:ascii="宋体" w:hAnsi="宋体"/>
        </w:rPr>
        <w:t>提供的所有阀门应是同类型中质量最好的，并应由认可的制造商提供。并应能适应其输送的液体及空气以及最大的工作压力和温度。</w:t>
      </w:r>
    </w:p>
    <w:p>
      <w:pPr>
        <w:snapToGrid w:val="0"/>
        <w:spacing w:before="203" w:beforeLines="50" w:after="203" w:afterLines="50"/>
        <w:ind w:firstLine="500" w:firstLineChars="200"/>
        <w:rPr>
          <w:rFonts w:ascii="宋体" w:hAnsi="宋体"/>
        </w:rPr>
      </w:pPr>
      <w:r>
        <w:rPr>
          <w:rFonts w:hint="eastAsia" w:ascii="宋体" w:hAnsi="宋体"/>
        </w:rPr>
        <w:t>（1）闸阀</w:t>
      </w:r>
    </w:p>
    <w:p>
      <w:pPr>
        <w:snapToGrid w:val="0"/>
        <w:spacing w:before="203" w:beforeLines="50" w:after="203" w:afterLines="50"/>
        <w:ind w:firstLine="500" w:firstLineChars="200"/>
        <w:rPr>
          <w:rFonts w:ascii="宋体" w:hAnsi="宋体"/>
        </w:rPr>
      </w:pPr>
      <w:r>
        <w:rPr>
          <w:rFonts w:hint="eastAsia" w:ascii="宋体" w:hAnsi="宋体"/>
        </w:rPr>
        <w:t>闸阀应为铸铁阀体的双法兰阀门，并用铸黄铜作密封面，填料涵、轴、螺母和轴衬均应采用有色金属制成。除非另有规定。闸阀应按中国标准</w:t>
      </w:r>
      <w:r>
        <w:rPr>
          <w:rFonts w:ascii="宋体" w:hAnsi="宋体"/>
        </w:rPr>
        <w:t>GB</w:t>
      </w:r>
      <w:r>
        <w:rPr>
          <w:rFonts w:hint="eastAsia" w:ascii="宋体" w:hAnsi="宋体"/>
        </w:rPr>
        <w:t>12233-89或相当的国际标准制造。阀门应具有带外螺纹的升杆式轴，按顺时针方向转动为关闭。除小口径之外，采用暗杆式闸阀，必须经业主批准。</w:t>
      </w:r>
    </w:p>
    <w:p>
      <w:pPr>
        <w:snapToGrid w:val="0"/>
        <w:spacing w:before="203" w:beforeLines="50" w:after="203" w:afterLines="50"/>
        <w:ind w:firstLine="500" w:firstLineChars="200"/>
        <w:rPr>
          <w:rFonts w:ascii="宋体" w:hAnsi="宋体"/>
        </w:rPr>
      </w:pPr>
      <w:r>
        <w:rPr>
          <w:rFonts w:hint="eastAsia" w:ascii="宋体" w:hAnsi="宋体"/>
        </w:rPr>
        <w:t>对于轴不接长的，用钥匙头操作的阀门，必须附带提供接杆式钥匙头，除非另有规定。</w:t>
      </w:r>
    </w:p>
    <w:p>
      <w:pPr>
        <w:snapToGrid w:val="0"/>
        <w:spacing w:before="203" w:beforeLines="50" w:after="203" w:afterLines="50"/>
        <w:ind w:firstLine="500" w:firstLineChars="200"/>
        <w:rPr>
          <w:rFonts w:ascii="宋体" w:hAnsi="宋体"/>
        </w:rPr>
      </w:pPr>
      <w:r>
        <w:rPr>
          <w:rFonts w:hint="eastAsia" w:ascii="宋体" w:hAnsi="宋体"/>
        </w:rPr>
        <w:t>所有闸阀在最大的压差下，从关闭到开启的手轮操作力不得大于</w:t>
      </w:r>
      <w:r>
        <w:rPr>
          <w:rFonts w:ascii="宋体" w:hAnsi="宋体"/>
        </w:rPr>
        <w:t>13</w:t>
      </w:r>
      <w:r>
        <w:rPr>
          <w:rFonts w:hint="eastAsia" w:ascii="宋体" w:hAnsi="宋体"/>
        </w:rPr>
        <w:t>kg</w:t>
      </w:r>
      <w:r>
        <w:rPr>
          <w:rFonts w:ascii="宋体" w:hAnsi="宋体"/>
        </w:rPr>
        <w:t>（</w:t>
      </w:r>
      <w:r>
        <w:rPr>
          <w:rFonts w:hint="eastAsia" w:ascii="宋体" w:hAnsi="宋体"/>
        </w:rPr>
        <w:t>“推－拉力”总共为</w:t>
      </w:r>
      <w:r>
        <w:rPr>
          <w:rFonts w:ascii="宋体" w:hAnsi="宋体"/>
        </w:rPr>
        <w:t>26</w:t>
      </w:r>
      <w:r>
        <w:rPr>
          <w:rFonts w:hint="eastAsia" w:ascii="宋体" w:hAnsi="宋体"/>
        </w:rPr>
        <w:t>kg</w:t>
      </w:r>
      <w:r>
        <w:rPr>
          <w:rFonts w:ascii="宋体" w:hAnsi="宋体"/>
        </w:rPr>
        <w:t>）</w:t>
      </w:r>
      <w:r>
        <w:rPr>
          <w:rFonts w:hint="eastAsia" w:ascii="宋体" w:hAnsi="宋体"/>
        </w:rPr>
        <w:t>，如果需要的话，可提供齿轮箱减速。</w:t>
      </w:r>
    </w:p>
    <w:p>
      <w:pPr>
        <w:snapToGrid w:val="0"/>
        <w:spacing w:before="203" w:beforeLines="50" w:after="203" w:afterLines="50"/>
        <w:ind w:firstLine="500" w:firstLineChars="200"/>
        <w:rPr>
          <w:rFonts w:ascii="宋体" w:hAnsi="宋体"/>
        </w:rPr>
      </w:pPr>
      <w:r>
        <w:rPr>
          <w:rFonts w:hint="eastAsia" w:ascii="宋体" w:hAnsi="宋体"/>
        </w:rPr>
        <w:t>（2）止回阀</w:t>
      </w:r>
    </w:p>
    <w:p>
      <w:pPr>
        <w:snapToGrid w:val="0"/>
        <w:spacing w:before="203" w:beforeLines="50" w:after="203" w:afterLines="50"/>
        <w:ind w:firstLine="500" w:firstLineChars="200"/>
        <w:rPr>
          <w:rFonts w:ascii="宋体" w:hAnsi="宋体"/>
        </w:rPr>
      </w:pPr>
      <w:r>
        <w:rPr>
          <w:rFonts w:hint="eastAsia" w:ascii="宋体" w:hAnsi="宋体"/>
        </w:rPr>
        <w:t>止回阀应按中国标准</w:t>
      </w:r>
      <w:r>
        <w:rPr>
          <w:rFonts w:ascii="宋体" w:hAnsi="宋体"/>
        </w:rPr>
        <w:t>GB</w:t>
      </w:r>
      <w:r>
        <w:rPr>
          <w:rFonts w:hint="eastAsia" w:ascii="宋体" w:hAnsi="宋体"/>
        </w:rPr>
        <w:t>12236-89或相当的国际标准制造，法兰和阀体由</w:t>
      </w:r>
      <w:r>
        <w:rPr>
          <w:rFonts w:ascii="宋体" w:hAnsi="宋体"/>
        </w:rPr>
        <w:t>铸铁整体</w:t>
      </w:r>
      <w:r>
        <w:rPr>
          <w:rFonts w:hint="eastAsia" w:ascii="宋体" w:hAnsi="宋体"/>
        </w:rPr>
        <w:t>制成或不锈钢制成，并配有不锈钢的铰销或轴，基座面应由锡青铜制成，除非另有规定。</w:t>
      </w:r>
    </w:p>
    <w:p>
      <w:pPr>
        <w:snapToGrid w:val="0"/>
        <w:spacing w:before="203" w:beforeLines="50" w:after="203" w:afterLines="50"/>
        <w:ind w:firstLine="500" w:firstLineChars="200"/>
        <w:rPr>
          <w:rFonts w:ascii="宋体" w:hAnsi="宋体"/>
        </w:rPr>
      </w:pPr>
      <w:r>
        <w:rPr>
          <w:rFonts w:hint="eastAsia" w:ascii="宋体" w:hAnsi="宋体"/>
        </w:rPr>
        <w:t>（3）隔膜阀</w:t>
      </w:r>
    </w:p>
    <w:p>
      <w:pPr>
        <w:snapToGrid w:val="0"/>
        <w:spacing w:before="203" w:beforeLines="50" w:after="203" w:afterLines="50"/>
        <w:ind w:firstLine="500" w:firstLineChars="200"/>
        <w:rPr>
          <w:rFonts w:ascii="宋体" w:hAnsi="宋体"/>
        </w:rPr>
      </w:pPr>
      <w:r>
        <w:rPr>
          <w:rFonts w:hint="eastAsia" w:ascii="宋体" w:hAnsi="宋体"/>
        </w:rPr>
        <w:t>隔膜阀应是双法兰式的，并具有水平内底和铸铁阀体。轴、螺母、轴衬及装在轴上的球形止推面应是有色金属的。用于显示阀门开关的位置指示器应配置在醒目的地方。隔膜应选用适合该液体的材料制造。</w:t>
      </w:r>
    </w:p>
    <w:p>
      <w:pPr>
        <w:snapToGrid w:val="0"/>
        <w:spacing w:before="203" w:beforeLines="50" w:after="203" w:afterLines="50"/>
        <w:ind w:firstLine="500" w:firstLineChars="200"/>
        <w:rPr>
          <w:rFonts w:ascii="宋体" w:hAnsi="宋体"/>
        </w:rPr>
      </w:pPr>
      <w:r>
        <w:rPr>
          <w:rFonts w:hint="eastAsia" w:ascii="宋体" w:hAnsi="宋体"/>
        </w:rPr>
        <w:t>（4）蝶阀</w:t>
      </w:r>
    </w:p>
    <w:p>
      <w:pPr>
        <w:snapToGrid w:val="0"/>
        <w:spacing w:before="203" w:beforeLines="50" w:after="203" w:afterLines="50"/>
        <w:ind w:firstLine="500" w:firstLineChars="200"/>
        <w:rPr>
          <w:rFonts w:ascii="宋体" w:hAnsi="宋体"/>
        </w:rPr>
      </w:pPr>
      <w:r>
        <w:rPr>
          <w:rFonts w:hint="eastAsia" w:ascii="宋体" w:hAnsi="宋体"/>
        </w:rPr>
        <w:t>蝶阀应按中国标准</w:t>
      </w:r>
      <w:r>
        <w:rPr>
          <w:rFonts w:ascii="宋体" w:hAnsi="宋体"/>
        </w:rPr>
        <w:t>GB</w:t>
      </w:r>
      <w:r>
        <w:rPr>
          <w:rFonts w:hint="eastAsia" w:ascii="宋体" w:hAnsi="宋体"/>
        </w:rPr>
        <w:t>12238-89或相当的国际标准制造，为铸铁阀体的双法兰或对夹式蝶阀，阀板有一可更换的密封座，轴承应采用批准的型式。阀板为刚性结构，成流线型，以使流体阻力为最小。</w:t>
      </w:r>
    </w:p>
    <w:p>
      <w:pPr>
        <w:snapToGrid w:val="0"/>
        <w:spacing w:before="203" w:beforeLines="50" w:after="203" w:afterLines="50"/>
        <w:ind w:firstLine="500" w:firstLineChars="200"/>
        <w:rPr>
          <w:rFonts w:ascii="宋体" w:hAnsi="宋体"/>
        </w:rPr>
      </w:pPr>
      <w:r>
        <w:rPr>
          <w:rFonts w:hint="eastAsia" w:ascii="宋体" w:hAnsi="宋体"/>
        </w:rPr>
        <w:t>（5）球阀</w:t>
      </w:r>
    </w:p>
    <w:p>
      <w:pPr>
        <w:snapToGrid w:val="0"/>
        <w:spacing w:before="203" w:beforeLines="50" w:after="203" w:afterLines="50"/>
        <w:ind w:firstLine="500" w:firstLineChars="200"/>
        <w:rPr>
          <w:rFonts w:ascii="宋体" w:hAnsi="宋体"/>
        </w:rPr>
      </w:pPr>
      <w:r>
        <w:rPr>
          <w:rFonts w:hint="eastAsia" w:ascii="宋体" w:hAnsi="宋体"/>
        </w:rPr>
        <w:t>球阀应按中国标准</w:t>
      </w:r>
      <w:r>
        <w:rPr>
          <w:rFonts w:ascii="宋体" w:hAnsi="宋体"/>
        </w:rPr>
        <w:t>GB</w:t>
      </w:r>
      <w:r>
        <w:rPr>
          <w:rFonts w:hint="eastAsia" w:ascii="宋体" w:hAnsi="宋体"/>
        </w:rPr>
        <w:t>12237-89或相当的国际标准制造，直径大于50mm的阀门应为法兰联接，阀门应提供操作板手，当阀门关闭时，板手应与管线呈直角。</w:t>
      </w:r>
    </w:p>
    <w:p>
      <w:pPr>
        <w:snapToGrid w:val="0"/>
        <w:spacing w:before="203" w:beforeLines="50" w:after="203" w:afterLines="50"/>
        <w:ind w:firstLine="500" w:firstLineChars="200"/>
        <w:rPr>
          <w:rFonts w:ascii="宋体" w:hAnsi="宋体"/>
        </w:rPr>
      </w:pPr>
      <w:r>
        <w:rPr>
          <w:rFonts w:hint="eastAsia" w:ascii="宋体" w:hAnsi="宋体"/>
        </w:rPr>
        <w:t>（6）阀门（闸门）电动执行机构</w:t>
      </w:r>
    </w:p>
    <w:p>
      <w:pPr>
        <w:snapToGrid w:val="0"/>
        <w:spacing w:before="203" w:beforeLines="50" w:after="203" w:afterLines="50"/>
        <w:ind w:firstLine="500" w:firstLineChars="200"/>
        <w:rPr>
          <w:rFonts w:ascii="宋体" w:hAnsi="宋体"/>
        </w:rPr>
      </w:pPr>
      <w:r>
        <w:rPr>
          <w:rFonts w:hint="eastAsia" w:ascii="宋体" w:hAnsi="宋体"/>
        </w:rPr>
        <w:t>电动执行机构由电机和减速装置、手操机构、输出轴、开关机构和机械位置指示机构等基本部件组成。承包商应保证各组件的机械特性与所选闸（阀）门相匹配。</w:t>
      </w:r>
    </w:p>
    <w:p>
      <w:pPr>
        <w:snapToGrid w:val="0"/>
        <w:spacing w:before="203" w:beforeLines="50" w:after="203" w:afterLines="50"/>
        <w:ind w:firstLine="500" w:firstLineChars="200"/>
        <w:rPr>
          <w:rFonts w:ascii="宋体" w:hAnsi="宋体"/>
        </w:rPr>
      </w:pPr>
      <w:r>
        <w:rPr>
          <w:rFonts w:hint="eastAsia" w:ascii="宋体" w:hAnsi="宋体"/>
        </w:rPr>
        <w:t>具体技术要求见“第一章  工程描述和合同范围”中“1.9.2- 房内管道安装要求”节对电动阀门执行器的相关要求。</w:t>
      </w:r>
    </w:p>
    <w:p>
      <w:pPr>
        <w:snapToGrid w:val="0"/>
        <w:spacing w:before="203" w:beforeLines="50" w:after="203" w:afterLines="50"/>
        <w:ind w:firstLine="500" w:firstLineChars="200"/>
        <w:rPr>
          <w:rFonts w:ascii="宋体" w:hAnsi="宋体"/>
        </w:rPr>
      </w:pPr>
      <w:r>
        <w:rPr>
          <w:rFonts w:hint="eastAsia" w:ascii="宋体" w:hAnsi="宋体"/>
        </w:rPr>
        <w:t>（7）阀门气动启闭装置</w:t>
      </w:r>
    </w:p>
    <w:p>
      <w:pPr>
        <w:snapToGrid w:val="0"/>
        <w:spacing w:before="203" w:beforeLines="50" w:after="203" w:afterLines="50"/>
        <w:ind w:firstLine="500" w:firstLineChars="200"/>
        <w:rPr>
          <w:rFonts w:ascii="宋体" w:hAnsi="宋体"/>
        </w:rPr>
      </w:pPr>
      <w:r>
        <w:rPr>
          <w:rFonts w:hint="eastAsia" w:ascii="宋体" w:hAnsi="宋体"/>
        </w:rPr>
        <w:t>每个行程的终端应在气缸活塞上保持一定压力，除非采用其他方式防止活塞滑移。</w:t>
      </w:r>
    </w:p>
    <w:p>
      <w:pPr>
        <w:snapToGrid w:val="0"/>
        <w:spacing w:before="203" w:beforeLines="50" w:after="203" w:afterLines="50"/>
        <w:ind w:firstLine="500" w:firstLineChars="200"/>
        <w:rPr>
          <w:rFonts w:ascii="宋体" w:hAnsi="宋体"/>
        </w:rPr>
      </w:pPr>
      <w:r>
        <w:rPr>
          <w:rFonts w:hint="eastAsia" w:ascii="宋体" w:hAnsi="宋体"/>
        </w:rPr>
        <w:t>缸体应采用冷拨黄铜或离心铸造青铜，气缸头盖和尾盖应采用耐腐蚀的钢铁材料，气缸活塞应采用镀铬钢、经硬质氧化铝膜处理的铝或镀镉铸铁。</w:t>
      </w:r>
    </w:p>
    <w:p>
      <w:pPr>
        <w:snapToGrid w:val="0"/>
        <w:spacing w:before="203" w:beforeLines="50" w:after="203" w:afterLines="50"/>
        <w:ind w:firstLine="500" w:firstLineChars="200"/>
        <w:rPr>
          <w:rFonts w:ascii="宋体" w:hAnsi="宋体"/>
        </w:rPr>
      </w:pPr>
      <w:r>
        <w:rPr>
          <w:rFonts w:hint="eastAsia" w:ascii="宋体" w:hAnsi="宋体"/>
        </w:rPr>
        <w:t>气缸活塞杆表面镀上厚度约为0.012mm硬铬的不锈钢制成。活塞杆衬套应采用青铜，气缸应该有刮垢器，应配备不可调的磨损补偿式活塞杆密封装置，活塞杆密封、活塞杆刮垢器及活塞环应采用氯丁橡胶、丁腈橡胶或同样适用于气压场合和材料。</w:t>
      </w:r>
    </w:p>
    <w:p>
      <w:pPr>
        <w:snapToGrid w:val="0"/>
        <w:spacing w:before="203" w:beforeLines="50" w:after="203" w:afterLines="50"/>
        <w:ind w:firstLine="500" w:firstLineChars="200"/>
        <w:rPr>
          <w:rFonts w:ascii="宋体" w:hAnsi="宋体"/>
        </w:rPr>
      </w:pPr>
      <w:r>
        <w:rPr>
          <w:rFonts w:hint="eastAsia" w:ascii="宋体" w:hAnsi="宋体"/>
        </w:rPr>
        <w:t>气缸结构应按工作压力进行设计，安全系数至少取5，采用铸铁时，安全系数至少取10。</w:t>
      </w:r>
    </w:p>
    <w:p>
      <w:pPr>
        <w:snapToGrid w:val="0"/>
        <w:spacing w:before="203" w:beforeLines="50" w:after="203" w:afterLines="50"/>
        <w:ind w:firstLine="500" w:firstLineChars="200"/>
        <w:rPr>
          <w:rFonts w:ascii="宋体" w:hAnsi="宋体"/>
        </w:rPr>
      </w:pPr>
      <w:r>
        <w:rPr>
          <w:rFonts w:hint="eastAsia" w:ascii="宋体" w:hAnsi="宋体"/>
        </w:rPr>
        <w:t>（8）手动启闭机及辅件</w:t>
      </w:r>
    </w:p>
    <w:p>
      <w:pPr>
        <w:snapToGrid w:val="0"/>
        <w:spacing w:before="203" w:beforeLines="50" w:after="203" w:afterLines="50"/>
        <w:ind w:firstLine="500" w:firstLineChars="200"/>
        <w:rPr>
          <w:rFonts w:ascii="宋体" w:hAnsi="宋体"/>
        </w:rPr>
      </w:pPr>
      <w:r>
        <w:rPr>
          <w:rFonts w:hint="eastAsia" w:ascii="宋体" w:hAnsi="宋体"/>
        </w:rPr>
        <w:t>手动启闭机应采用铸铁制造，并配有刻度指示器，支座高度从底部到手轮处不应小于</w:t>
      </w:r>
      <w:r>
        <w:rPr>
          <w:rFonts w:ascii="宋体" w:hAnsi="宋体"/>
        </w:rPr>
        <w:t>850</w:t>
      </w:r>
      <w:r>
        <w:rPr>
          <w:rFonts w:hint="eastAsia" w:ascii="宋体" w:hAnsi="宋体"/>
        </w:rPr>
        <w:t>mm，并钻孔固定在基础上，如果需要采用伞齿轮传动，应提供全密闭的油脂润滑的伞齿轮箱。</w:t>
      </w:r>
    </w:p>
    <w:p>
      <w:pPr>
        <w:snapToGrid w:val="0"/>
        <w:spacing w:before="203" w:beforeLines="50" w:after="203" w:afterLines="50"/>
        <w:ind w:firstLine="500" w:firstLineChars="200"/>
        <w:rPr>
          <w:rFonts w:ascii="宋体" w:hAnsi="宋体"/>
        </w:rPr>
      </w:pPr>
      <w:r>
        <w:rPr>
          <w:rFonts w:ascii="宋体" w:hAnsi="宋体"/>
        </w:rPr>
        <w:t>a</w:t>
      </w:r>
      <w:r>
        <w:rPr>
          <w:rFonts w:hint="eastAsia" w:ascii="宋体" w:hAnsi="宋体"/>
        </w:rPr>
        <w:t>.手轮</w:t>
      </w:r>
    </w:p>
    <w:p>
      <w:pPr>
        <w:snapToGrid w:val="0"/>
        <w:spacing w:before="203" w:beforeLines="50" w:after="203" w:afterLines="50"/>
        <w:ind w:firstLine="500" w:firstLineChars="200"/>
        <w:rPr>
          <w:rFonts w:ascii="宋体" w:hAnsi="宋体"/>
        </w:rPr>
      </w:pPr>
      <w:r>
        <w:rPr>
          <w:rFonts w:hint="eastAsia" w:ascii="宋体" w:hAnsi="宋体"/>
        </w:rPr>
        <w:t>所有手轮均须用优质光洁的铸铁制成，配有圆形的轮圈，并有开启方向的指示标志。</w:t>
      </w:r>
    </w:p>
    <w:p>
      <w:pPr>
        <w:snapToGrid w:val="0"/>
        <w:spacing w:before="203" w:beforeLines="50" w:after="203" w:afterLines="50"/>
        <w:ind w:firstLine="500" w:firstLineChars="200"/>
        <w:rPr>
          <w:rFonts w:ascii="宋体" w:hAnsi="宋体"/>
        </w:rPr>
      </w:pPr>
      <w:r>
        <w:rPr>
          <w:rFonts w:hint="eastAsia" w:ascii="宋体" w:hAnsi="宋体"/>
        </w:rPr>
        <w:t>所有阀门应按手轮或板手逆时针向旋转来开启。</w:t>
      </w:r>
    </w:p>
    <w:p>
      <w:pPr>
        <w:snapToGrid w:val="0"/>
        <w:spacing w:before="203" w:beforeLines="50" w:after="203" w:afterLines="50"/>
        <w:ind w:firstLine="500" w:firstLineChars="200"/>
        <w:rPr>
          <w:rFonts w:ascii="宋体" w:hAnsi="宋体"/>
        </w:rPr>
      </w:pPr>
      <w:r>
        <w:rPr>
          <w:rFonts w:ascii="宋体" w:hAnsi="宋体"/>
        </w:rPr>
        <w:t>b</w:t>
      </w:r>
      <w:r>
        <w:rPr>
          <w:rFonts w:hint="eastAsia" w:ascii="宋体" w:hAnsi="宋体"/>
        </w:rPr>
        <w:t>.连接轴</w:t>
      </w:r>
    </w:p>
    <w:p>
      <w:pPr>
        <w:snapToGrid w:val="0"/>
        <w:spacing w:before="203" w:beforeLines="50" w:after="203" w:afterLines="50"/>
        <w:ind w:firstLine="500" w:firstLineChars="200"/>
        <w:rPr>
          <w:rFonts w:ascii="宋体" w:hAnsi="宋体"/>
        </w:rPr>
      </w:pPr>
      <w:r>
        <w:rPr>
          <w:rFonts w:hint="eastAsia" w:ascii="宋体" w:hAnsi="宋体"/>
        </w:rPr>
        <w:t>连接轴应由低碳钢经镀锌制成，除非另有规定。</w:t>
      </w:r>
    </w:p>
    <w:p>
      <w:pPr>
        <w:snapToGrid w:val="0"/>
        <w:spacing w:before="203" w:beforeLines="50" w:after="203" w:afterLines="50"/>
        <w:ind w:firstLine="500" w:firstLineChars="200"/>
        <w:rPr>
          <w:rFonts w:ascii="宋体" w:hAnsi="宋体"/>
        </w:rPr>
      </w:pPr>
      <w:r>
        <w:rPr>
          <w:rFonts w:hint="eastAsia" w:ascii="宋体" w:hAnsi="宋体"/>
        </w:rPr>
        <w:t>连接轴的接长应采用刚性联轴节。</w:t>
      </w:r>
    </w:p>
    <w:p>
      <w:pPr>
        <w:snapToGrid w:val="0"/>
        <w:spacing w:before="203" w:beforeLines="50" w:after="203" w:afterLines="50"/>
        <w:ind w:firstLine="500" w:firstLineChars="200"/>
        <w:rPr>
          <w:rFonts w:ascii="宋体" w:hAnsi="宋体"/>
        </w:rPr>
      </w:pPr>
      <w:r>
        <w:rPr>
          <w:rFonts w:ascii="宋体" w:hAnsi="宋体"/>
        </w:rPr>
        <w:t>c</w:t>
      </w:r>
      <w:r>
        <w:rPr>
          <w:rFonts w:hint="eastAsia" w:ascii="宋体" w:hAnsi="宋体"/>
        </w:rPr>
        <w:t>.轴导支架</w:t>
      </w:r>
    </w:p>
    <w:p>
      <w:pPr>
        <w:snapToGrid w:val="0"/>
        <w:spacing w:before="203" w:beforeLines="50" w:after="203" w:afterLines="50"/>
        <w:ind w:firstLine="500" w:firstLineChars="200"/>
        <w:rPr>
          <w:rFonts w:ascii="宋体" w:hAnsi="宋体"/>
        </w:rPr>
      </w:pPr>
      <w:r>
        <w:rPr>
          <w:rFonts w:hint="eastAsia" w:ascii="宋体" w:hAnsi="宋体"/>
        </w:rPr>
        <w:t>轴导支架应由铸铁制成，在结构上应便于轴的装拆，并应固定在井壁上。支架之间的最大间距不应大于</w:t>
      </w:r>
      <w:r>
        <w:rPr>
          <w:rFonts w:ascii="宋体" w:hAnsi="宋体"/>
        </w:rPr>
        <w:t>3000</w:t>
      </w:r>
      <w:r>
        <w:rPr>
          <w:rFonts w:hint="eastAsia" w:ascii="宋体" w:hAnsi="宋体"/>
        </w:rPr>
        <w:t>mm，除非另有规定。</w:t>
      </w:r>
    </w:p>
    <w:p>
      <w:pPr>
        <w:snapToGrid w:val="0"/>
        <w:spacing w:before="203" w:beforeLines="50" w:after="203" w:afterLines="50"/>
        <w:ind w:firstLine="500" w:firstLineChars="200"/>
        <w:rPr>
          <w:rFonts w:ascii="宋体" w:hAnsi="宋体"/>
        </w:rPr>
      </w:pPr>
      <w:r>
        <w:rPr>
          <w:rFonts w:ascii="宋体" w:hAnsi="宋体"/>
        </w:rPr>
        <w:t>d</w:t>
      </w:r>
      <w:r>
        <w:rPr>
          <w:rFonts w:hint="eastAsia" w:ascii="宋体" w:hAnsi="宋体"/>
        </w:rPr>
        <w:t>.钥匙头</w:t>
      </w:r>
    </w:p>
    <w:p>
      <w:pPr>
        <w:snapToGrid w:val="0"/>
        <w:spacing w:before="203" w:beforeLines="50" w:after="203" w:afterLines="50"/>
        <w:ind w:firstLine="500" w:firstLineChars="200"/>
        <w:rPr>
          <w:rFonts w:ascii="宋体" w:hAnsi="宋体"/>
        </w:rPr>
      </w:pPr>
      <w:r>
        <w:rPr>
          <w:rFonts w:hint="eastAsia" w:ascii="宋体" w:hAnsi="宋体"/>
        </w:rPr>
        <w:t>用接杆操作的阀门，应配置操作阀门用的接杆，在杆上应带铸铁或钢制钥匙头。</w:t>
      </w:r>
    </w:p>
    <w:p>
      <w:pPr>
        <w:snapToGrid w:val="0"/>
        <w:spacing w:before="203" w:beforeLines="50" w:after="203" w:afterLines="50"/>
        <w:ind w:firstLine="500" w:firstLineChars="200"/>
        <w:rPr>
          <w:rFonts w:ascii="宋体" w:hAnsi="宋体"/>
        </w:rPr>
      </w:pPr>
      <w:r>
        <w:rPr>
          <w:rFonts w:hint="eastAsia" w:ascii="宋体" w:hAnsi="宋体"/>
        </w:rPr>
        <w:t>（9）试验和检验</w:t>
      </w:r>
    </w:p>
    <w:p>
      <w:pPr>
        <w:snapToGrid w:val="0"/>
        <w:spacing w:before="203" w:beforeLines="50" w:after="203" w:afterLines="50"/>
        <w:ind w:firstLine="500" w:firstLineChars="200"/>
        <w:rPr>
          <w:rFonts w:ascii="宋体" w:hAnsi="宋体"/>
        </w:rPr>
      </w:pPr>
      <w:r>
        <w:rPr>
          <w:rFonts w:hint="eastAsia" w:ascii="宋体" w:hAnsi="宋体"/>
        </w:rPr>
        <w:t>阀门的试验和检验应按照ZBJ16006-90或相当的国际标准，阀体水压试验的试验压力为规定的最大工作压力的</w:t>
      </w:r>
      <w:r>
        <w:rPr>
          <w:rFonts w:ascii="宋体" w:hAnsi="宋体"/>
        </w:rPr>
        <w:t>1.5</w:t>
      </w:r>
      <w:r>
        <w:rPr>
          <w:rFonts w:hint="eastAsia" w:ascii="宋体" w:hAnsi="宋体"/>
        </w:rPr>
        <w:t>倍。当阀座试验压力等于最大工作压力时，渗漏率不得超过相应标准的极限值。除非另有规定。</w:t>
      </w:r>
    </w:p>
    <w:p>
      <w:pPr>
        <w:keepNext/>
        <w:spacing w:line="480" w:lineRule="auto"/>
        <w:jc w:val="center"/>
        <w:outlineLvl w:val="0"/>
        <w:rPr>
          <w:rFonts w:ascii="宋体" w:hAnsi="宋体"/>
          <w:b/>
          <w:sz w:val="32"/>
        </w:rPr>
      </w:pPr>
      <w:r>
        <w:rPr>
          <w:rFonts w:ascii="宋体" w:hAnsi="宋体"/>
        </w:rPr>
        <w:br w:type="page"/>
      </w:r>
      <w:bookmarkStart w:id="5862" w:name="_Toc106883559"/>
      <w:bookmarkStart w:id="5863" w:name="_Toc328397094"/>
      <w:r>
        <w:rPr>
          <w:rFonts w:hint="eastAsia" w:ascii="宋体" w:hAnsi="宋体"/>
          <w:b/>
          <w:sz w:val="32"/>
        </w:rPr>
        <w:t>7</w:t>
      </w:r>
      <w:r>
        <w:rPr>
          <w:rFonts w:ascii="宋体" w:hAnsi="宋体"/>
          <w:b/>
          <w:sz w:val="32"/>
        </w:rPr>
        <w:t>电气</w:t>
      </w:r>
      <w:r>
        <w:rPr>
          <w:rFonts w:hint="eastAsia" w:ascii="宋体" w:hAnsi="宋体"/>
          <w:b/>
          <w:sz w:val="32"/>
        </w:rPr>
        <w:t>和控制系统总体要求</w:t>
      </w:r>
      <w:bookmarkEnd w:id="5862"/>
    </w:p>
    <w:p>
      <w:pPr>
        <w:pStyle w:val="750"/>
        <w:tabs>
          <w:tab w:val="left" w:pos="0"/>
        </w:tabs>
        <w:spacing w:before="50" w:after="50"/>
        <w:ind w:firstLine="544" w:firstLineChars="218"/>
        <w:rPr>
          <w:rFonts w:ascii="宋体" w:hAnsi="宋体" w:eastAsia="宋体"/>
        </w:rPr>
      </w:pPr>
      <w:bookmarkStart w:id="5864" w:name="_Toc453849878"/>
      <w:bookmarkStart w:id="5865" w:name="_Toc369685836"/>
      <w:bookmarkStart w:id="5866" w:name="_Toc456692025"/>
      <w:r>
        <w:rPr>
          <w:rFonts w:hint="eastAsia" w:ascii="宋体" w:hAnsi="宋体" w:eastAsia="宋体"/>
        </w:rPr>
        <w:t>本章为对本合同采购安装的电气和控制系统的总体要求。承包商除应遵守和执行本章的规定和要求之外，还应遵守和执行本技术规定和监理工程师要求的其他检验和测试条款的规定，如本章的总体要求与第一章有不一致之处，以第一章节内容和要求为准，本章为第一章的补充，或对其它不确定工程项的规定和要求。</w:t>
      </w:r>
    </w:p>
    <w:p>
      <w:pPr>
        <w:snapToGrid w:val="0"/>
        <w:spacing w:before="203" w:beforeLines="50" w:after="203" w:afterLines="50"/>
        <w:outlineLvl w:val="0"/>
        <w:rPr>
          <w:rFonts w:ascii="宋体" w:hAnsi="宋体"/>
          <w:b/>
        </w:rPr>
      </w:pPr>
      <w:bookmarkStart w:id="5867" w:name="_Toc154480511"/>
      <w:bookmarkStart w:id="5868" w:name="_Toc39809954"/>
      <w:bookmarkStart w:id="5869" w:name="_Toc155165112"/>
      <w:bookmarkStart w:id="5870" w:name="_Toc154220621"/>
      <w:bookmarkStart w:id="5871" w:name="_Toc45131559"/>
      <w:bookmarkStart w:id="5872" w:name="_Toc219132840"/>
      <w:bookmarkStart w:id="5873" w:name="_Toc262042997"/>
      <w:bookmarkStart w:id="5874" w:name="_Toc24196"/>
      <w:bookmarkStart w:id="5875" w:name="_Toc229294626"/>
      <w:bookmarkStart w:id="5876" w:name="_Toc229289681"/>
      <w:bookmarkStart w:id="5877" w:name="_Toc231198883"/>
      <w:bookmarkStart w:id="5878" w:name="_Toc231198984"/>
      <w:bookmarkStart w:id="5879" w:name="_Toc69484245"/>
      <w:bookmarkStart w:id="5880" w:name="_Toc44593743"/>
      <w:bookmarkStart w:id="5881" w:name="_Toc7369"/>
      <w:bookmarkStart w:id="5882" w:name="_Toc229288675"/>
      <w:bookmarkStart w:id="5883" w:name="_Toc106883560"/>
      <w:r>
        <w:rPr>
          <w:rFonts w:hint="eastAsia" w:ascii="宋体" w:hAnsi="宋体"/>
          <w:b/>
        </w:rPr>
        <w:t>7</w:t>
      </w:r>
      <w:r>
        <w:rPr>
          <w:rFonts w:ascii="宋体" w:hAnsi="宋体"/>
          <w:b/>
        </w:rPr>
        <w:t>.</w:t>
      </w:r>
      <w:bookmarkEnd w:id="5867"/>
      <w:bookmarkEnd w:id="5868"/>
      <w:bookmarkEnd w:id="5869"/>
      <w:bookmarkEnd w:id="5870"/>
      <w:bookmarkEnd w:id="5871"/>
      <w:bookmarkEnd w:id="5872"/>
      <w:r>
        <w:rPr>
          <w:rFonts w:hint="eastAsia" w:ascii="宋体" w:hAnsi="宋体"/>
          <w:b/>
        </w:rPr>
        <w:t>1范围</w:t>
      </w:r>
      <w:bookmarkEnd w:id="5873"/>
      <w:bookmarkEnd w:id="5874"/>
      <w:bookmarkEnd w:id="5875"/>
      <w:bookmarkEnd w:id="5876"/>
      <w:bookmarkEnd w:id="5877"/>
      <w:bookmarkEnd w:id="5878"/>
      <w:bookmarkEnd w:id="5879"/>
      <w:bookmarkEnd w:id="5880"/>
      <w:bookmarkEnd w:id="5881"/>
      <w:bookmarkEnd w:id="5882"/>
      <w:bookmarkEnd w:id="5883"/>
    </w:p>
    <w:p>
      <w:pPr>
        <w:pStyle w:val="750"/>
        <w:tabs>
          <w:tab w:val="left" w:pos="0"/>
        </w:tabs>
        <w:spacing w:before="50" w:after="50"/>
        <w:ind w:firstLine="544" w:firstLineChars="218"/>
        <w:rPr>
          <w:rFonts w:ascii="宋体" w:hAnsi="宋体" w:eastAsia="宋体"/>
        </w:rPr>
      </w:pPr>
      <w:bookmarkStart w:id="5884" w:name="_Toc231198985"/>
      <w:bookmarkStart w:id="5885" w:name="_Toc19674116"/>
      <w:bookmarkStart w:id="5886" w:name="_Toc229288676"/>
      <w:bookmarkStart w:id="5887" w:name="_Toc231198884"/>
      <w:bookmarkStart w:id="5888" w:name="_Toc229289682"/>
      <w:bookmarkStart w:id="5889" w:name="_Toc15273880"/>
      <w:bookmarkStart w:id="5890" w:name="_Toc17169883"/>
      <w:bookmarkStart w:id="5891" w:name="_Toc229294627"/>
      <w:bookmarkStart w:id="5892" w:name="_Toc39809956"/>
      <w:bookmarkStart w:id="5893" w:name="_Toc31449935"/>
      <w:bookmarkStart w:id="5894" w:name="_Toc204929549"/>
      <w:r>
        <w:rPr>
          <w:rFonts w:hint="eastAsia" w:ascii="宋体" w:hAnsi="宋体" w:eastAsia="宋体"/>
        </w:rPr>
        <w:t>本章针对净水厂设备供货和安装工程中的电力、照明、接地、仪表、控制、监控、自动化系统及其部件的设计、制造和安装给出了标准何技术要求。</w:t>
      </w:r>
    </w:p>
    <w:bookmarkEnd w:id="5884"/>
    <w:bookmarkEnd w:id="5885"/>
    <w:bookmarkEnd w:id="5886"/>
    <w:bookmarkEnd w:id="5887"/>
    <w:bookmarkEnd w:id="5888"/>
    <w:bookmarkEnd w:id="5889"/>
    <w:bookmarkEnd w:id="5890"/>
    <w:bookmarkEnd w:id="5891"/>
    <w:bookmarkEnd w:id="5892"/>
    <w:bookmarkEnd w:id="5893"/>
    <w:bookmarkEnd w:id="5894"/>
    <w:p>
      <w:pPr>
        <w:snapToGrid w:val="0"/>
        <w:spacing w:before="203" w:beforeLines="50" w:after="203" w:afterLines="50"/>
        <w:outlineLvl w:val="0"/>
        <w:rPr>
          <w:rFonts w:ascii="宋体" w:hAnsi="宋体"/>
          <w:b/>
        </w:rPr>
      </w:pPr>
      <w:bookmarkStart w:id="5895" w:name="_Toc1356"/>
      <w:bookmarkStart w:id="5896" w:name="_Toc231198986"/>
      <w:bookmarkStart w:id="5897" w:name="_Toc19674117"/>
      <w:bookmarkStart w:id="5898" w:name="_Toc17169884"/>
      <w:bookmarkStart w:id="5899" w:name="_Toc229289683"/>
      <w:bookmarkStart w:id="5900" w:name="_Toc229294628"/>
      <w:bookmarkStart w:id="5901" w:name="_Toc31449936"/>
      <w:bookmarkStart w:id="5902" w:name="_Toc229288677"/>
      <w:bookmarkStart w:id="5903" w:name="_Toc204929550"/>
      <w:bookmarkStart w:id="5904" w:name="_Toc30938"/>
      <w:bookmarkStart w:id="5905" w:name="_Toc69484246"/>
      <w:bookmarkStart w:id="5906" w:name="_Toc231198885"/>
      <w:bookmarkStart w:id="5907" w:name="_Toc15273881"/>
      <w:bookmarkStart w:id="5908" w:name="_Toc262042999"/>
      <w:bookmarkStart w:id="5909" w:name="_Toc44593744"/>
      <w:bookmarkStart w:id="5910" w:name="_Toc39809957"/>
      <w:bookmarkStart w:id="5911" w:name="_Toc106883561"/>
      <w:r>
        <w:rPr>
          <w:rFonts w:hint="eastAsia" w:ascii="宋体" w:hAnsi="宋体"/>
          <w:b/>
        </w:rPr>
        <w:t>7.2操作电压和频率</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p>
    <w:p>
      <w:pPr>
        <w:snapToGrid w:val="0"/>
        <w:spacing w:before="203" w:beforeLines="50" w:after="203" w:afterLines="50"/>
        <w:ind w:firstLine="420"/>
        <w:rPr>
          <w:rFonts w:ascii="宋体" w:hAnsi="宋体"/>
        </w:rPr>
      </w:pPr>
      <w:r>
        <w:rPr>
          <w:rFonts w:hint="eastAsia" w:ascii="宋体" w:hAnsi="宋体"/>
        </w:rPr>
        <w:t>电气系统的电压应从以下菜单中选择：</w:t>
      </w:r>
    </w:p>
    <w:p>
      <w:pPr>
        <w:numPr>
          <w:ilvl w:val="0"/>
          <w:numId w:val="18"/>
        </w:numPr>
        <w:adjustRightInd w:val="0"/>
        <w:snapToGrid w:val="0"/>
        <w:spacing w:before="203" w:beforeLines="50" w:after="203" w:afterLines="50"/>
        <w:ind w:left="426" w:hanging="426"/>
        <w:textAlignment w:val="baseline"/>
        <w:rPr>
          <w:rFonts w:ascii="宋体" w:hAnsi="宋体"/>
        </w:rPr>
      </w:pPr>
      <w:r>
        <w:rPr>
          <w:rFonts w:hint="eastAsia" w:ascii="宋体" w:hAnsi="宋体"/>
        </w:rPr>
        <w:t>10kV，相间，3相，3线，50Hz</w:t>
      </w:r>
    </w:p>
    <w:p>
      <w:pPr>
        <w:numPr>
          <w:ilvl w:val="0"/>
          <w:numId w:val="18"/>
        </w:numPr>
        <w:adjustRightInd w:val="0"/>
        <w:snapToGrid w:val="0"/>
        <w:spacing w:before="203" w:beforeLines="50" w:after="203" w:afterLines="50"/>
        <w:ind w:left="426" w:hanging="426"/>
        <w:textAlignment w:val="baseline"/>
        <w:rPr>
          <w:rFonts w:ascii="宋体" w:hAnsi="宋体"/>
        </w:rPr>
      </w:pPr>
      <w:r>
        <w:rPr>
          <w:rFonts w:hint="eastAsia" w:ascii="宋体" w:hAnsi="宋体"/>
        </w:rPr>
        <w:t>380V，相间，3相、中性线，4线，50Hz</w:t>
      </w:r>
    </w:p>
    <w:p>
      <w:pPr>
        <w:numPr>
          <w:ilvl w:val="0"/>
          <w:numId w:val="18"/>
        </w:numPr>
        <w:adjustRightInd w:val="0"/>
        <w:snapToGrid w:val="0"/>
        <w:spacing w:before="203" w:beforeLines="50" w:after="203" w:afterLines="50"/>
        <w:ind w:left="426" w:hanging="426"/>
        <w:textAlignment w:val="baseline"/>
        <w:rPr>
          <w:rFonts w:ascii="宋体" w:hAnsi="宋体"/>
        </w:rPr>
      </w:pPr>
      <w:r>
        <w:rPr>
          <w:rFonts w:hint="eastAsia" w:ascii="宋体" w:hAnsi="宋体"/>
        </w:rPr>
        <w:t>单相和中性线，2线，50Hz</w:t>
      </w:r>
    </w:p>
    <w:p>
      <w:pPr>
        <w:snapToGrid w:val="0"/>
        <w:spacing w:before="203" w:beforeLines="50" w:after="203" w:afterLines="50"/>
        <w:ind w:firstLine="420"/>
        <w:rPr>
          <w:rFonts w:ascii="宋体" w:hAnsi="宋体"/>
        </w:rPr>
      </w:pPr>
      <w:r>
        <w:rPr>
          <w:rFonts w:hint="eastAsia" w:ascii="宋体" w:hAnsi="宋体"/>
        </w:rPr>
        <w:t>除了用作照明和其他小功率电路运行电压外，还用作以下电压：</w:t>
      </w:r>
    </w:p>
    <w:p>
      <w:pPr>
        <w:numPr>
          <w:ilvl w:val="1"/>
          <w:numId w:val="19"/>
        </w:numPr>
        <w:adjustRightInd w:val="0"/>
        <w:snapToGrid w:val="0"/>
        <w:spacing w:before="120" w:after="120"/>
        <w:textAlignment w:val="baseline"/>
        <w:rPr>
          <w:rFonts w:ascii="宋体" w:hAnsi="宋体"/>
        </w:rPr>
      </w:pPr>
      <w:r>
        <w:rPr>
          <w:rFonts w:hint="eastAsia" w:ascii="宋体" w:hAnsi="宋体"/>
        </w:rPr>
        <w:t>组成监控和数据获取控制系统的所有计算机设备。</w:t>
      </w:r>
    </w:p>
    <w:p>
      <w:pPr>
        <w:numPr>
          <w:ilvl w:val="1"/>
          <w:numId w:val="19"/>
        </w:numPr>
        <w:adjustRightInd w:val="0"/>
        <w:snapToGrid w:val="0"/>
        <w:spacing w:before="120" w:after="120"/>
        <w:textAlignment w:val="baseline"/>
        <w:rPr>
          <w:rFonts w:ascii="宋体" w:hAnsi="宋体"/>
        </w:rPr>
      </w:pPr>
      <w:r>
        <w:rPr>
          <w:rFonts w:hint="eastAsia" w:ascii="宋体" w:hAnsi="宋体"/>
        </w:rPr>
        <w:t>高压断路器操作电压。</w:t>
      </w:r>
    </w:p>
    <w:p>
      <w:pPr>
        <w:numPr>
          <w:ilvl w:val="1"/>
          <w:numId w:val="19"/>
        </w:numPr>
        <w:adjustRightInd w:val="0"/>
        <w:snapToGrid w:val="0"/>
        <w:spacing w:before="120" w:after="120"/>
        <w:textAlignment w:val="baseline"/>
        <w:rPr>
          <w:rFonts w:ascii="宋体" w:hAnsi="宋体"/>
        </w:rPr>
      </w:pPr>
      <w:r>
        <w:rPr>
          <w:rFonts w:hint="eastAsia" w:ascii="宋体" w:hAnsi="宋体"/>
        </w:rPr>
        <w:t>高压柜控制电压。</w:t>
      </w:r>
    </w:p>
    <w:p>
      <w:pPr>
        <w:numPr>
          <w:ilvl w:val="1"/>
          <w:numId w:val="19"/>
        </w:numPr>
        <w:adjustRightInd w:val="0"/>
        <w:snapToGrid w:val="0"/>
        <w:spacing w:before="120" w:after="120"/>
        <w:textAlignment w:val="baseline"/>
        <w:rPr>
          <w:rFonts w:ascii="宋体" w:hAnsi="宋体"/>
        </w:rPr>
      </w:pPr>
      <w:r>
        <w:rPr>
          <w:rFonts w:hint="eastAsia" w:ascii="宋体" w:hAnsi="宋体"/>
        </w:rPr>
        <w:t>低压断路器操作电压。</w:t>
      </w:r>
    </w:p>
    <w:p>
      <w:pPr>
        <w:numPr>
          <w:ilvl w:val="1"/>
          <w:numId w:val="19"/>
        </w:numPr>
        <w:adjustRightInd w:val="0"/>
        <w:snapToGrid w:val="0"/>
        <w:spacing w:before="120" w:after="120"/>
        <w:textAlignment w:val="baseline"/>
        <w:rPr>
          <w:rFonts w:ascii="宋体" w:hAnsi="宋体"/>
        </w:rPr>
      </w:pPr>
      <w:r>
        <w:rPr>
          <w:rFonts w:hint="eastAsia" w:ascii="宋体" w:hAnsi="宋体"/>
        </w:rPr>
        <w:t>低压柜控制电压。</w:t>
      </w:r>
    </w:p>
    <w:p>
      <w:pPr>
        <w:numPr>
          <w:ilvl w:val="0"/>
          <w:numId w:val="18"/>
        </w:numPr>
        <w:adjustRightInd w:val="0"/>
        <w:snapToGrid w:val="0"/>
        <w:spacing w:before="203" w:beforeLines="50" w:after="203" w:afterLines="50"/>
        <w:ind w:left="426" w:hanging="426"/>
        <w:textAlignment w:val="baseline"/>
        <w:rPr>
          <w:rFonts w:ascii="宋体" w:hAnsi="宋体"/>
        </w:rPr>
      </w:pPr>
      <w:r>
        <w:rPr>
          <w:rFonts w:hint="eastAsia" w:ascii="宋体" w:hAnsi="宋体"/>
        </w:rPr>
        <w:t>220V单相、三线、此电压将用于：</w:t>
      </w:r>
    </w:p>
    <w:p>
      <w:pPr>
        <w:numPr>
          <w:ilvl w:val="1"/>
          <w:numId w:val="20"/>
        </w:numPr>
        <w:adjustRightInd w:val="0"/>
        <w:snapToGrid w:val="0"/>
        <w:spacing w:before="120" w:after="120"/>
        <w:textAlignment w:val="baseline"/>
        <w:rPr>
          <w:rFonts w:ascii="宋体" w:hAnsi="宋体"/>
        </w:rPr>
      </w:pPr>
      <w:r>
        <w:rPr>
          <w:rFonts w:hint="eastAsia" w:ascii="宋体" w:hAnsi="宋体"/>
        </w:rPr>
        <w:t>每一可编程逻辑控制器（PLC）的电源。</w:t>
      </w:r>
    </w:p>
    <w:p>
      <w:pPr>
        <w:numPr>
          <w:ilvl w:val="1"/>
          <w:numId w:val="20"/>
        </w:numPr>
        <w:adjustRightInd w:val="0"/>
        <w:snapToGrid w:val="0"/>
        <w:spacing w:before="120" w:after="120"/>
        <w:ind w:left="839"/>
        <w:textAlignment w:val="baseline"/>
        <w:rPr>
          <w:rFonts w:ascii="宋体" w:hAnsi="宋体"/>
        </w:rPr>
      </w:pPr>
      <w:r>
        <w:rPr>
          <w:rFonts w:hint="eastAsia" w:ascii="宋体" w:hAnsi="宋体"/>
        </w:rPr>
        <w:t>每一安装高度低于2.4米的照明灯具的电源。</w:t>
      </w:r>
    </w:p>
    <w:p>
      <w:pPr>
        <w:numPr>
          <w:ilvl w:val="0"/>
          <w:numId w:val="18"/>
        </w:numPr>
        <w:adjustRightInd w:val="0"/>
        <w:snapToGrid w:val="0"/>
        <w:spacing w:before="203" w:beforeLines="50" w:after="203" w:afterLines="50"/>
        <w:ind w:left="426" w:hanging="426"/>
        <w:textAlignment w:val="baseline"/>
        <w:rPr>
          <w:rFonts w:ascii="宋体" w:hAnsi="宋体"/>
        </w:rPr>
      </w:pPr>
      <w:r>
        <w:rPr>
          <w:rFonts w:hint="eastAsia" w:ascii="宋体" w:hAnsi="宋体"/>
        </w:rPr>
        <w:t>220V单相，三线(L,N,PE)带漏电保护，此电压将用于：</w:t>
      </w:r>
    </w:p>
    <w:p>
      <w:pPr>
        <w:numPr>
          <w:ilvl w:val="1"/>
          <w:numId w:val="21"/>
        </w:numPr>
        <w:adjustRightInd w:val="0"/>
        <w:snapToGrid w:val="0"/>
        <w:spacing w:before="120" w:after="120"/>
        <w:textAlignment w:val="baseline"/>
        <w:rPr>
          <w:rFonts w:ascii="宋体" w:hAnsi="宋体"/>
        </w:rPr>
      </w:pPr>
      <w:r>
        <w:rPr>
          <w:rFonts w:hint="eastAsia" w:ascii="宋体" w:hAnsi="宋体"/>
        </w:rPr>
        <w:t>每一单相插座的电源。</w:t>
      </w:r>
    </w:p>
    <w:p>
      <w:pPr>
        <w:numPr>
          <w:ilvl w:val="1"/>
          <w:numId w:val="21"/>
        </w:numPr>
        <w:adjustRightInd w:val="0"/>
        <w:snapToGrid w:val="0"/>
        <w:spacing w:before="120" w:after="120"/>
        <w:ind w:left="839"/>
        <w:textAlignment w:val="baseline"/>
        <w:rPr>
          <w:rFonts w:ascii="宋体" w:hAnsi="宋体"/>
        </w:rPr>
      </w:pPr>
      <w:r>
        <w:rPr>
          <w:rFonts w:hint="eastAsia" w:ascii="宋体" w:hAnsi="宋体"/>
        </w:rPr>
        <w:t>除了手提灯以外，所有便携式单相电动工具的操作电压。</w:t>
      </w:r>
    </w:p>
    <w:p>
      <w:pPr>
        <w:numPr>
          <w:ilvl w:val="1"/>
          <w:numId w:val="21"/>
        </w:numPr>
        <w:adjustRightInd w:val="0"/>
        <w:snapToGrid w:val="0"/>
        <w:spacing w:before="120" w:after="120"/>
        <w:ind w:left="839"/>
        <w:textAlignment w:val="baseline"/>
        <w:rPr>
          <w:rFonts w:ascii="宋体" w:hAnsi="宋体"/>
        </w:rPr>
      </w:pPr>
      <w:r>
        <w:rPr>
          <w:rFonts w:hint="eastAsia" w:ascii="宋体" w:hAnsi="宋体"/>
        </w:rPr>
        <w:t>24V直流，单极（负极）接地，2线，此电压将用于所有仪表电路。</w:t>
      </w:r>
    </w:p>
    <w:p>
      <w:pPr>
        <w:snapToGrid w:val="0"/>
        <w:spacing w:before="120" w:after="120"/>
        <w:ind w:firstLine="420"/>
        <w:rPr>
          <w:rFonts w:ascii="宋体" w:hAnsi="宋体"/>
        </w:rPr>
      </w:pPr>
      <w:r>
        <w:rPr>
          <w:rFonts w:hint="eastAsia" w:ascii="宋体" w:hAnsi="宋体"/>
        </w:rPr>
        <w:t>在某些情况下，使用其他的系统电压也是合适的，比如对大型变速驱动设备。但此类其它电压的使用必须经过监理工程师的批准。</w:t>
      </w:r>
    </w:p>
    <w:p>
      <w:pPr>
        <w:snapToGrid w:val="0"/>
        <w:spacing w:before="120" w:after="120"/>
        <w:ind w:firstLine="420"/>
        <w:rPr>
          <w:rFonts w:ascii="宋体" w:hAnsi="宋体"/>
        </w:rPr>
      </w:pPr>
      <w:r>
        <w:rPr>
          <w:rFonts w:hint="eastAsia" w:ascii="宋体" w:hAnsi="宋体"/>
        </w:rPr>
        <w:t>当标称电压上下波动10%，频率上下波动4%（2H</w:t>
      </w:r>
      <w:r>
        <w:rPr>
          <w:rFonts w:ascii="宋体" w:hAnsi="宋体"/>
        </w:rPr>
        <w:t>z</w:t>
      </w:r>
      <w:r>
        <w:rPr>
          <w:rFonts w:hint="eastAsia" w:ascii="宋体" w:hAnsi="宋体"/>
        </w:rPr>
        <w:t>），两者同时发生时，电气装置和设备的每一项目都应能适应此变化并能连续工作。</w:t>
      </w:r>
    </w:p>
    <w:p>
      <w:pPr>
        <w:snapToGrid w:val="0"/>
        <w:spacing w:before="203" w:beforeLines="50" w:after="203" w:afterLines="50"/>
        <w:outlineLvl w:val="1"/>
        <w:rPr>
          <w:rFonts w:ascii="宋体" w:hAnsi="宋体"/>
          <w:b/>
        </w:rPr>
      </w:pPr>
      <w:bookmarkStart w:id="5912" w:name="_Toc231198987"/>
      <w:bookmarkStart w:id="5913" w:name="_Toc15273884"/>
      <w:bookmarkStart w:id="5914" w:name="_Toc204929551"/>
      <w:bookmarkStart w:id="5915" w:name="_Toc9830"/>
      <w:bookmarkStart w:id="5916" w:name="_Toc17169887"/>
      <w:bookmarkStart w:id="5917" w:name="_Toc11775"/>
      <w:bookmarkStart w:id="5918" w:name="_Toc231198886"/>
      <w:bookmarkStart w:id="5919" w:name="_Toc39809958"/>
      <w:bookmarkStart w:id="5920" w:name="_Toc31449937"/>
      <w:bookmarkStart w:id="5921" w:name="_Toc262043000"/>
      <w:bookmarkStart w:id="5922" w:name="_Toc44593745"/>
      <w:bookmarkStart w:id="5923" w:name="_Toc229288678"/>
      <w:bookmarkStart w:id="5924" w:name="_Toc229294629"/>
      <w:bookmarkStart w:id="5925" w:name="_Toc69484247"/>
      <w:bookmarkStart w:id="5926" w:name="_Toc19674120"/>
      <w:bookmarkStart w:id="5927" w:name="_Toc229289684"/>
      <w:bookmarkStart w:id="5928" w:name="_Toc106883562"/>
      <w:r>
        <w:rPr>
          <w:rFonts w:hint="eastAsia" w:ascii="宋体" w:hAnsi="宋体"/>
          <w:b/>
        </w:rPr>
        <w:t>7.3品牌、功能和警告标签和额定值标牌</w:t>
      </w:r>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p>
    <w:p>
      <w:pPr>
        <w:snapToGrid w:val="0"/>
        <w:spacing w:before="120" w:after="120"/>
        <w:ind w:firstLine="420"/>
        <w:rPr>
          <w:rFonts w:ascii="宋体" w:hAnsi="宋体"/>
        </w:rPr>
      </w:pPr>
      <w:r>
        <w:rPr>
          <w:rFonts w:hint="eastAsia" w:ascii="宋体" w:hAnsi="宋体"/>
        </w:rPr>
        <w:t>净水厂对供电可靠性要求较高，为保障可靠地供电，供配电用电气设备应具有较高的性能质量保证。同时，为现实项目投产后方便业主维护管理，高压开关柜及其主要元器件、低压开关柜及其主要元器件宜选用同一品牌的产品，同时必须使用各品牌最新系列产品。</w:t>
      </w:r>
    </w:p>
    <w:p>
      <w:pPr>
        <w:snapToGrid w:val="0"/>
        <w:spacing w:before="120" w:after="120"/>
        <w:ind w:firstLine="420"/>
        <w:rPr>
          <w:rFonts w:ascii="宋体" w:hAnsi="宋体"/>
        </w:rPr>
      </w:pPr>
      <w:r>
        <w:rPr>
          <w:rFonts w:hint="eastAsia" w:ascii="宋体" w:hAnsi="宋体"/>
        </w:rPr>
        <w:t>每个高压开关柜、变压器、低压开关柜、控制面板、电机起动器、照明配电箱、动力配电箱、就地按钮箱、检修插座箱等都将贴上一个功能标签以指明该单元的功能。每个功能标签都应该是塑料的，标签上的功能说明应字迹清晰且能保持字迹永久性，功能说明采用白底黑字方式进行标记。</w:t>
      </w:r>
    </w:p>
    <w:p>
      <w:pPr>
        <w:snapToGrid w:val="0"/>
        <w:spacing w:before="120" w:after="120"/>
        <w:ind w:firstLine="420"/>
        <w:rPr>
          <w:rFonts w:ascii="宋体" w:hAnsi="宋体"/>
        </w:rPr>
      </w:pPr>
      <w:r>
        <w:rPr>
          <w:rFonts w:hint="eastAsia" w:ascii="宋体" w:hAnsi="宋体"/>
        </w:rPr>
        <w:t>对每个按钮、选择开关和指示灯，应为其提供一标签以指明其用途。标签将采用上述的塑料或不锈钢材料，标签上的用途说明应字迹清晰且能保持字迹永久性，用途说明采用白底黑字方式进行标记。</w:t>
      </w:r>
    </w:p>
    <w:p>
      <w:pPr>
        <w:snapToGrid w:val="0"/>
        <w:spacing w:before="120" w:after="120"/>
        <w:ind w:firstLine="420"/>
        <w:rPr>
          <w:rFonts w:ascii="宋体" w:hAnsi="宋体"/>
        </w:rPr>
      </w:pPr>
      <w:r>
        <w:rPr>
          <w:rFonts w:hint="eastAsia" w:ascii="宋体" w:hAnsi="宋体"/>
        </w:rPr>
        <w:t>每个高压开关柜、变压器、低压开关柜、电机、阀门、闸门或电动钟型套管执行器、螺线管、UPS单元等等都应装配一个制造商的额定值标牌，用于指明：</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制造商的名称和序号</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制造商的产品型号</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额定电压、电流、</w:t>
      </w:r>
      <w:r>
        <w:rPr>
          <w:rFonts w:ascii="宋体" w:hAnsi="宋体"/>
        </w:rPr>
        <w:t>kW</w:t>
      </w:r>
      <w:r>
        <w:rPr>
          <w:rFonts w:hint="eastAsia" w:ascii="宋体" w:hAnsi="宋体"/>
        </w:rPr>
        <w:t>、k</w:t>
      </w:r>
      <w:r>
        <w:rPr>
          <w:rFonts w:ascii="宋体" w:hAnsi="宋体"/>
        </w:rPr>
        <w:t>VA</w:t>
      </w:r>
      <w:r>
        <w:rPr>
          <w:rFonts w:hint="eastAsia" w:ascii="宋体" w:hAnsi="宋体"/>
        </w:rPr>
        <w:t>、功率因数、效率等等</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每一变压器的矢量组、阻抗和绕组接线细节</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每一电机的转速和旋转方向</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合适的和相关标准要求的其它信息</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标签应采用上述的塑料材料或不锈钢材料。</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每个标签将用铆钉或自攻螺钉固定</w:t>
      </w:r>
    </w:p>
    <w:p>
      <w:pPr>
        <w:numPr>
          <w:ilvl w:val="2"/>
          <w:numId w:val="22"/>
        </w:numPr>
        <w:tabs>
          <w:tab w:val="left" w:pos="993"/>
        </w:tabs>
        <w:adjustRightInd w:val="0"/>
        <w:snapToGrid w:val="0"/>
        <w:spacing w:before="120" w:after="120"/>
        <w:ind w:left="993" w:hanging="567"/>
        <w:textAlignment w:val="baseline"/>
        <w:rPr>
          <w:rFonts w:ascii="宋体" w:hAnsi="宋体"/>
        </w:rPr>
      </w:pPr>
      <w:r>
        <w:rPr>
          <w:rFonts w:hint="eastAsia" w:ascii="宋体" w:hAnsi="宋体"/>
        </w:rPr>
        <w:t>采用汉语标示</w:t>
      </w:r>
    </w:p>
    <w:p>
      <w:pPr>
        <w:spacing w:before="203" w:beforeLines="50" w:after="203" w:afterLines="50"/>
        <w:outlineLvl w:val="1"/>
        <w:rPr>
          <w:rFonts w:ascii="宋体" w:hAnsi="宋体"/>
          <w:b/>
        </w:rPr>
      </w:pPr>
      <w:bookmarkStart w:id="5929" w:name="_Toc229288679"/>
      <w:bookmarkStart w:id="5930" w:name="_Toc15273885"/>
      <w:bookmarkStart w:id="5931" w:name="_Toc229294630"/>
      <w:bookmarkStart w:id="5932" w:name="_Toc231198887"/>
      <w:bookmarkStart w:id="5933" w:name="_Toc231198988"/>
      <w:bookmarkStart w:id="5934" w:name="_Toc39809959"/>
      <w:bookmarkStart w:id="5935" w:name="_Toc19674121"/>
      <w:bookmarkStart w:id="5936" w:name="_Toc21956"/>
      <w:bookmarkStart w:id="5937" w:name="_Toc229289685"/>
      <w:bookmarkStart w:id="5938" w:name="_Toc31449938"/>
      <w:bookmarkStart w:id="5939" w:name="_Toc44593746"/>
      <w:bookmarkStart w:id="5940" w:name="_Toc17169888"/>
      <w:bookmarkStart w:id="5941" w:name="_Toc28706"/>
      <w:bookmarkStart w:id="5942" w:name="_Toc262043001"/>
      <w:bookmarkStart w:id="5943" w:name="_Toc204929552"/>
      <w:bookmarkStart w:id="5944" w:name="_Toc69484248"/>
      <w:bookmarkStart w:id="5945" w:name="_Toc106883563"/>
      <w:r>
        <w:rPr>
          <w:rFonts w:hint="eastAsia" w:ascii="宋体" w:hAnsi="宋体"/>
          <w:b/>
        </w:rPr>
        <w:t>7.4电机</w:t>
      </w:r>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p>
    <w:p>
      <w:pPr>
        <w:pStyle w:val="5"/>
        <w:spacing w:before="0" w:after="0" w:line="360" w:lineRule="auto"/>
        <w:ind w:left="427" w:hanging="425" w:hangingChars="170"/>
        <w:rPr>
          <w:rFonts w:ascii="宋体" w:hAnsi="宋体" w:eastAsia="宋体"/>
          <w:bCs/>
          <w:sz w:val="24"/>
        </w:rPr>
      </w:pPr>
      <w:bookmarkStart w:id="5946" w:name="_Toc69484249"/>
      <w:bookmarkStart w:id="5947" w:name="_Toc15273886"/>
      <w:bookmarkStart w:id="5948" w:name="_Toc17169889"/>
      <w:bookmarkStart w:id="5949" w:name="_Toc31449939"/>
      <w:bookmarkStart w:id="5950" w:name="_Toc3124"/>
      <w:bookmarkStart w:id="5951" w:name="_Toc19674122"/>
      <w:bookmarkStart w:id="5952" w:name="_Toc44593747"/>
      <w:bookmarkStart w:id="5953" w:name="_Toc22167"/>
      <w:bookmarkStart w:id="5954" w:name="_Toc204929553"/>
      <w:bookmarkStart w:id="5955" w:name="_Toc106883564"/>
      <w:r>
        <w:rPr>
          <w:rFonts w:hint="eastAsia" w:ascii="宋体" w:hAnsi="宋体" w:eastAsia="宋体"/>
          <w:bCs/>
          <w:sz w:val="24"/>
        </w:rPr>
        <w:t>7</w:t>
      </w:r>
      <w:r>
        <w:rPr>
          <w:rFonts w:ascii="宋体" w:hAnsi="宋体" w:eastAsia="宋体"/>
          <w:bCs/>
          <w:sz w:val="24"/>
        </w:rPr>
        <w:t>.4.1</w:t>
      </w:r>
      <w:r>
        <w:rPr>
          <w:rFonts w:hint="eastAsia" w:ascii="宋体" w:hAnsi="宋体" w:eastAsia="宋体"/>
          <w:bCs/>
          <w:sz w:val="24"/>
        </w:rPr>
        <w:t>与驱动设备相匹配</w:t>
      </w:r>
      <w:bookmarkEnd w:id="5946"/>
      <w:bookmarkEnd w:id="5947"/>
      <w:bookmarkEnd w:id="5948"/>
      <w:bookmarkEnd w:id="5949"/>
      <w:bookmarkEnd w:id="5950"/>
      <w:bookmarkEnd w:id="5951"/>
      <w:bookmarkEnd w:id="5952"/>
      <w:bookmarkEnd w:id="5953"/>
      <w:bookmarkEnd w:id="5954"/>
      <w:bookmarkEnd w:id="5955"/>
    </w:p>
    <w:p>
      <w:pPr>
        <w:snapToGrid w:val="0"/>
        <w:spacing w:before="203" w:beforeLines="50" w:after="203" w:afterLines="50"/>
        <w:ind w:firstLine="482"/>
        <w:rPr>
          <w:rFonts w:ascii="宋体" w:hAnsi="宋体"/>
        </w:rPr>
      </w:pPr>
      <w:r>
        <w:rPr>
          <w:rFonts w:hint="eastAsia" w:ascii="宋体" w:hAnsi="宋体"/>
        </w:rPr>
        <w:t>电机的</w:t>
      </w:r>
      <w:r>
        <w:rPr>
          <w:rFonts w:ascii="宋体" w:hAnsi="宋体"/>
        </w:rPr>
        <w:t>kW</w:t>
      </w:r>
      <w:r>
        <w:rPr>
          <w:rFonts w:hint="eastAsia" w:ascii="宋体" w:hAnsi="宋体"/>
        </w:rPr>
        <w:t>额定值应超过驱动设备在负荷点时所吸收功率的至少10%，其也将超过驱动设备在所有其他可能的操作条件下吸收功率的至少5%。对于作为变速驱动操作的电机，在本运算中所使用的</w:t>
      </w:r>
      <w:r>
        <w:rPr>
          <w:rFonts w:ascii="宋体" w:hAnsi="宋体"/>
        </w:rPr>
        <w:t>kW</w:t>
      </w:r>
      <w:r>
        <w:rPr>
          <w:rFonts w:hint="eastAsia" w:ascii="宋体" w:hAnsi="宋体"/>
        </w:rPr>
        <w:t>额定值将为允许减少冷却增加损失所需的电机降低额定值后的标称</w:t>
      </w:r>
      <w:r>
        <w:rPr>
          <w:rFonts w:ascii="宋体" w:hAnsi="宋体"/>
        </w:rPr>
        <w:t>kW</w:t>
      </w:r>
      <w:r>
        <w:rPr>
          <w:rFonts w:hint="eastAsia" w:ascii="宋体" w:hAnsi="宋体"/>
        </w:rPr>
        <w:t>额定值，如果相关的话，应在大于50H</w:t>
      </w:r>
      <w:r>
        <w:rPr>
          <w:rFonts w:ascii="宋体" w:hAnsi="宋体"/>
        </w:rPr>
        <w:t>z</w:t>
      </w:r>
      <w:r>
        <w:rPr>
          <w:rFonts w:hint="eastAsia" w:ascii="宋体" w:hAnsi="宋体"/>
        </w:rPr>
        <w:t>的频率下进行操作。</w:t>
      </w:r>
    </w:p>
    <w:p>
      <w:pPr>
        <w:snapToGrid w:val="0"/>
        <w:spacing w:before="203" w:beforeLines="50" w:after="203" w:afterLines="50"/>
        <w:ind w:firstLine="482"/>
        <w:rPr>
          <w:rFonts w:ascii="宋体" w:hAnsi="宋体"/>
        </w:rPr>
      </w:pPr>
      <w:r>
        <w:rPr>
          <w:rFonts w:hint="eastAsia" w:ascii="宋体" w:hAnsi="宋体"/>
        </w:rPr>
        <w:t xml:space="preserve"> 每个电机的转矩/转速特性均应在可接受的时间内将驱动设备加速到要求的操作速度。</w:t>
      </w:r>
    </w:p>
    <w:p>
      <w:pPr>
        <w:pStyle w:val="5"/>
        <w:tabs>
          <w:tab w:val="left" w:pos="360"/>
        </w:tabs>
        <w:spacing w:before="0" w:after="0" w:line="360" w:lineRule="auto"/>
        <w:rPr>
          <w:rFonts w:ascii="宋体" w:hAnsi="宋体" w:eastAsia="宋体"/>
          <w:bCs/>
          <w:sz w:val="24"/>
        </w:rPr>
      </w:pPr>
      <w:bookmarkStart w:id="5956" w:name="_Toc31449940"/>
      <w:bookmarkStart w:id="5957" w:name="_Toc17169890"/>
      <w:bookmarkStart w:id="5958" w:name="_Toc2811"/>
      <w:bookmarkStart w:id="5959" w:name="_Toc44593748"/>
      <w:bookmarkStart w:id="5960" w:name="_Toc19674123"/>
      <w:bookmarkStart w:id="5961" w:name="_Toc69484250"/>
      <w:bookmarkStart w:id="5962" w:name="_Toc204929554"/>
      <w:bookmarkStart w:id="5963" w:name="_Toc17030"/>
      <w:bookmarkStart w:id="5964" w:name="_Toc15273887"/>
      <w:bookmarkStart w:id="5965" w:name="_Toc106883565"/>
      <w:r>
        <w:rPr>
          <w:rFonts w:hint="eastAsia" w:ascii="宋体" w:hAnsi="宋体" w:eastAsia="宋体"/>
          <w:bCs/>
          <w:sz w:val="24"/>
        </w:rPr>
        <w:t>7</w:t>
      </w:r>
      <w:r>
        <w:rPr>
          <w:rFonts w:ascii="宋体" w:hAnsi="宋体" w:eastAsia="宋体"/>
          <w:bCs/>
          <w:sz w:val="24"/>
        </w:rPr>
        <w:t>.4.2</w:t>
      </w:r>
      <w:r>
        <w:rPr>
          <w:rFonts w:hint="eastAsia" w:ascii="宋体" w:hAnsi="宋体" w:eastAsia="宋体"/>
          <w:bCs/>
          <w:sz w:val="24"/>
        </w:rPr>
        <w:t>启动频率</w:t>
      </w:r>
      <w:bookmarkEnd w:id="5956"/>
      <w:bookmarkEnd w:id="5957"/>
      <w:bookmarkEnd w:id="5958"/>
      <w:bookmarkEnd w:id="5959"/>
      <w:bookmarkEnd w:id="5960"/>
      <w:bookmarkEnd w:id="5961"/>
      <w:bookmarkEnd w:id="5962"/>
      <w:bookmarkEnd w:id="5963"/>
      <w:bookmarkEnd w:id="5964"/>
      <w:bookmarkEnd w:id="5965"/>
    </w:p>
    <w:p>
      <w:pPr>
        <w:snapToGrid w:val="0"/>
        <w:spacing w:before="203" w:beforeLines="50" w:after="203" w:afterLines="50"/>
        <w:ind w:firstLine="482"/>
        <w:rPr>
          <w:rFonts w:ascii="宋体" w:hAnsi="宋体"/>
        </w:rPr>
      </w:pPr>
      <w:r>
        <w:rPr>
          <w:rFonts w:hint="eastAsia" w:ascii="宋体" w:hAnsi="宋体"/>
        </w:rPr>
        <w:t>在没有指明传动装置必须适应的每小时最大启动次数时，传动装置的供货商将计算在自动控制下发生的每小时的最大启动次数。此计算将基于无负荷转动发生。</w:t>
      </w:r>
    </w:p>
    <w:p>
      <w:pPr>
        <w:snapToGrid w:val="0"/>
        <w:spacing w:before="203" w:beforeLines="50" w:after="203" w:afterLines="50"/>
        <w:ind w:firstLine="482"/>
        <w:rPr>
          <w:rFonts w:ascii="宋体" w:hAnsi="宋体"/>
        </w:rPr>
      </w:pPr>
      <w:r>
        <w:rPr>
          <w:rFonts w:hint="eastAsia" w:ascii="宋体" w:hAnsi="宋体"/>
        </w:rPr>
        <w:t>每个电机都将适合于规定的每小时启动次数或者，如果没有规定的话，则以计算出的每小时最大启动次数为准。</w:t>
      </w:r>
    </w:p>
    <w:p>
      <w:pPr>
        <w:pStyle w:val="5"/>
        <w:tabs>
          <w:tab w:val="left" w:pos="360"/>
        </w:tabs>
        <w:spacing w:before="0" w:after="0" w:line="360" w:lineRule="auto"/>
        <w:rPr>
          <w:rFonts w:ascii="宋体" w:hAnsi="宋体" w:eastAsia="宋体"/>
          <w:bCs/>
          <w:sz w:val="24"/>
        </w:rPr>
      </w:pPr>
      <w:bookmarkStart w:id="5966" w:name="_Toc26209"/>
      <w:bookmarkStart w:id="5967" w:name="_Toc44593749"/>
      <w:bookmarkStart w:id="5968" w:name="_Toc17169892"/>
      <w:bookmarkStart w:id="5969" w:name="_Toc69484251"/>
      <w:bookmarkStart w:id="5970" w:name="_Toc15273889"/>
      <w:bookmarkStart w:id="5971" w:name="_Toc8688"/>
      <w:bookmarkStart w:id="5972" w:name="_Toc204929556"/>
      <w:bookmarkStart w:id="5973" w:name="_Toc31449942"/>
      <w:bookmarkStart w:id="5974" w:name="_Toc19674125"/>
      <w:bookmarkStart w:id="5975" w:name="_Toc106883566"/>
      <w:r>
        <w:rPr>
          <w:rFonts w:hint="eastAsia" w:ascii="宋体" w:hAnsi="宋体" w:eastAsia="宋体"/>
          <w:bCs/>
          <w:sz w:val="24"/>
        </w:rPr>
        <w:t>7</w:t>
      </w:r>
      <w:r>
        <w:rPr>
          <w:rFonts w:ascii="宋体" w:hAnsi="宋体" w:eastAsia="宋体"/>
          <w:bCs/>
          <w:sz w:val="24"/>
        </w:rPr>
        <w:t>.4.3</w:t>
      </w:r>
      <w:r>
        <w:rPr>
          <w:rFonts w:hint="eastAsia" w:ascii="宋体" w:hAnsi="宋体" w:eastAsia="宋体"/>
          <w:bCs/>
          <w:sz w:val="24"/>
        </w:rPr>
        <w:t>变速传动系统中使用的电机</w:t>
      </w:r>
      <w:bookmarkEnd w:id="5966"/>
      <w:bookmarkEnd w:id="5967"/>
      <w:bookmarkEnd w:id="5968"/>
      <w:bookmarkEnd w:id="5969"/>
      <w:bookmarkEnd w:id="5970"/>
      <w:bookmarkEnd w:id="5971"/>
      <w:bookmarkEnd w:id="5972"/>
      <w:bookmarkEnd w:id="5973"/>
      <w:bookmarkEnd w:id="5974"/>
      <w:bookmarkEnd w:id="5975"/>
    </w:p>
    <w:p>
      <w:pPr>
        <w:snapToGrid w:val="0"/>
        <w:spacing w:before="203" w:beforeLines="50" w:after="203" w:afterLines="50"/>
        <w:ind w:firstLine="420"/>
        <w:rPr>
          <w:rFonts w:ascii="宋体" w:hAnsi="宋体"/>
        </w:rPr>
      </w:pPr>
      <w:r>
        <w:rPr>
          <w:rFonts w:hint="eastAsia" w:ascii="宋体" w:hAnsi="宋体"/>
        </w:rPr>
        <w:t>由变频器（变速传动装置）驱动的每个电机都将适合于在指定速度范围内以任何速度以及在变频器产生的调频下进行连续运转。为满足本要求，在需要时提供电机绕组的增强冷却装置和设计。</w:t>
      </w:r>
    </w:p>
    <w:p>
      <w:pPr>
        <w:pStyle w:val="5"/>
        <w:tabs>
          <w:tab w:val="left" w:pos="360"/>
        </w:tabs>
        <w:spacing w:before="0" w:after="0" w:line="360" w:lineRule="auto"/>
        <w:rPr>
          <w:rFonts w:ascii="宋体" w:hAnsi="宋体" w:eastAsia="宋体"/>
          <w:bCs/>
          <w:sz w:val="24"/>
        </w:rPr>
      </w:pPr>
      <w:bookmarkStart w:id="5976" w:name="_Toc15273892"/>
      <w:bookmarkStart w:id="5977" w:name="_Toc69484252"/>
      <w:bookmarkStart w:id="5978" w:name="_Toc6894"/>
      <w:bookmarkStart w:id="5979" w:name="_Toc31449945"/>
      <w:bookmarkStart w:id="5980" w:name="_Toc44593750"/>
      <w:bookmarkStart w:id="5981" w:name="_Toc3778"/>
      <w:bookmarkStart w:id="5982" w:name="_Toc204929559"/>
      <w:bookmarkStart w:id="5983" w:name="_Toc19674128"/>
      <w:bookmarkStart w:id="5984" w:name="_Toc17169895"/>
      <w:bookmarkStart w:id="5985" w:name="_Toc106883567"/>
      <w:r>
        <w:rPr>
          <w:rFonts w:hint="eastAsia" w:ascii="宋体" w:hAnsi="宋体" w:eastAsia="宋体"/>
          <w:bCs/>
          <w:sz w:val="24"/>
        </w:rPr>
        <w:t>7</w:t>
      </w:r>
      <w:r>
        <w:rPr>
          <w:rFonts w:ascii="宋体" w:hAnsi="宋体" w:eastAsia="宋体"/>
          <w:bCs/>
          <w:sz w:val="24"/>
        </w:rPr>
        <w:t>.4.4</w:t>
      </w:r>
      <w:r>
        <w:rPr>
          <w:rFonts w:hint="eastAsia" w:ascii="宋体" w:hAnsi="宋体" w:eastAsia="宋体"/>
          <w:bCs/>
          <w:sz w:val="24"/>
        </w:rPr>
        <w:t>电缆终端设备</w:t>
      </w:r>
      <w:bookmarkEnd w:id="5976"/>
      <w:bookmarkEnd w:id="5977"/>
      <w:bookmarkEnd w:id="5978"/>
      <w:bookmarkEnd w:id="5979"/>
      <w:bookmarkEnd w:id="5980"/>
      <w:bookmarkEnd w:id="5981"/>
      <w:bookmarkEnd w:id="5982"/>
      <w:bookmarkEnd w:id="5983"/>
      <w:bookmarkEnd w:id="5984"/>
      <w:bookmarkEnd w:id="5985"/>
    </w:p>
    <w:p>
      <w:pPr>
        <w:snapToGrid w:val="0"/>
        <w:spacing w:before="203" w:beforeLines="50" w:after="203" w:afterLines="50"/>
        <w:ind w:firstLine="420"/>
        <w:rPr>
          <w:rFonts w:ascii="宋体" w:hAnsi="宋体"/>
        </w:rPr>
      </w:pPr>
      <w:r>
        <w:rPr>
          <w:rFonts w:hint="eastAsia" w:ascii="宋体" w:hAnsi="宋体"/>
        </w:rPr>
        <w:t>当电机是潜水设备的组成部分时，电缆需为软橡胶电缆长度不得少于15m。</w:t>
      </w:r>
    </w:p>
    <w:p>
      <w:pPr>
        <w:snapToGrid w:val="0"/>
        <w:spacing w:before="203" w:beforeLines="50" w:after="203" w:afterLines="50"/>
        <w:ind w:firstLine="420"/>
        <w:rPr>
          <w:rFonts w:ascii="宋体" w:hAnsi="宋体"/>
        </w:rPr>
      </w:pPr>
      <w:r>
        <w:rPr>
          <w:rFonts w:hint="eastAsia" w:ascii="宋体" w:hAnsi="宋体"/>
        </w:rPr>
        <w:t>电机厂家应随电机配套电缆接线盒且其防护等级应与电机所处环境相适应，并利于电缆的自然接线。普通电缆接线盒应用氯丁橡胶垫片密封以防尘，防水电缆接线盒尚应特殊处理以达到防水要求。每一个动力电缆接线盒都将是电机制造商所能提供的电机机架的最大的‘标准’箱。</w:t>
      </w:r>
    </w:p>
    <w:p>
      <w:pPr>
        <w:pStyle w:val="5"/>
        <w:tabs>
          <w:tab w:val="left" w:pos="360"/>
        </w:tabs>
        <w:spacing w:before="0" w:after="0" w:line="360" w:lineRule="auto"/>
        <w:rPr>
          <w:rFonts w:ascii="宋体" w:hAnsi="宋体" w:eastAsia="宋体"/>
          <w:bCs/>
          <w:sz w:val="24"/>
        </w:rPr>
      </w:pPr>
      <w:bookmarkStart w:id="5986" w:name="_Toc2315"/>
      <w:bookmarkStart w:id="5987" w:name="_Toc31449946"/>
      <w:bookmarkStart w:id="5988" w:name="_Toc19674129"/>
      <w:bookmarkStart w:id="5989" w:name="_Toc17169896"/>
      <w:bookmarkStart w:id="5990" w:name="_Toc204929560"/>
      <w:bookmarkStart w:id="5991" w:name="_Toc32567"/>
      <w:bookmarkStart w:id="5992" w:name="_Toc69484253"/>
      <w:bookmarkStart w:id="5993" w:name="_Toc44593751"/>
      <w:bookmarkStart w:id="5994" w:name="_Toc15273893"/>
      <w:bookmarkStart w:id="5995" w:name="_Toc106883568"/>
      <w:r>
        <w:rPr>
          <w:rFonts w:hint="eastAsia" w:ascii="宋体" w:hAnsi="宋体" w:eastAsia="宋体"/>
          <w:bCs/>
          <w:sz w:val="24"/>
        </w:rPr>
        <w:t>7</w:t>
      </w:r>
      <w:r>
        <w:rPr>
          <w:rFonts w:ascii="宋体" w:hAnsi="宋体" w:eastAsia="宋体"/>
          <w:bCs/>
          <w:sz w:val="24"/>
        </w:rPr>
        <w:t>.4.5</w:t>
      </w:r>
      <w:r>
        <w:rPr>
          <w:rFonts w:hint="eastAsia" w:ascii="宋体" w:hAnsi="宋体" w:eastAsia="宋体"/>
          <w:bCs/>
          <w:sz w:val="24"/>
        </w:rPr>
        <w:t>其他要求</w:t>
      </w:r>
      <w:bookmarkEnd w:id="5986"/>
      <w:bookmarkEnd w:id="5987"/>
      <w:bookmarkEnd w:id="5988"/>
      <w:bookmarkEnd w:id="5989"/>
      <w:bookmarkEnd w:id="5990"/>
      <w:bookmarkEnd w:id="5991"/>
      <w:bookmarkEnd w:id="5992"/>
      <w:bookmarkEnd w:id="5993"/>
      <w:bookmarkEnd w:id="5994"/>
      <w:bookmarkEnd w:id="5995"/>
    </w:p>
    <w:p>
      <w:pPr>
        <w:snapToGrid w:val="0"/>
        <w:spacing w:before="203" w:beforeLines="50" w:after="203" w:afterLines="50"/>
        <w:ind w:firstLine="420"/>
        <w:rPr>
          <w:rFonts w:ascii="宋体" w:hAnsi="宋体"/>
        </w:rPr>
      </w:pPr>
      <w:r>
        <w:rPr>
          <w:rFonts w:hint="eastAsia" w:ascii="宋体" w:hAnsi="宋体"/>
        </w:rPr>
        <w:t>功率为0.75kW或以上的电机应为鼠笼式感应型且将符合IEC 34,负荷类型S1（最大长时运转额定值）。除非另有说明或由监理工程师批准，电机冷却应符合ICO 141标准（全封闭风扇冷却）。</w:t>
      </w:r>
    </w:p>
    <w:p>
      <w:pPr>
        <w:snapToGrid w:val="0"/>
        <w:spacing w:before="203" w:beforeLines="50" w:after="203" w:afterLines="50"/>
        <w:ind w:firstLine="420"/>
        <w:rPr>
          <w:rFonts w:ascii="宋体" w:hAnsi="宋体"/>
        </w:rPr>
      </w:pPr>
      <w:r>
        <w:rPr>
          <w:rFonts w:hint="eastAsia" w:ascii="宋体" w:hAnsi="宋体"/>
        </w:rPr>
        <w:t>电机轴承提供添加额外润滑油的设施。对于油脂润滑轴承，应提供油嘴并有油脂走向指示。油润滑轴承将提供玻璃指示器，当电机在使用时，它能精确地指示出轴承的油位。</w:t>
      </w:r>
    </w:p>
    <w:p>
      <w:pPr>
        <w:snapToGrid w:val="0"/>
        <w:spacing w:before="203" w:beforeLines="50" w:after="203" w:afterLines="50"/>
        <w:ind w:firstLine="420"/>
        <w:rPr>
          <w:rFonts w:ascii="宋体" w:hAnsi="宋体"/>
        </w:rPr>
      </w:pPr>
      <w:r>
        <w:rPr>
          <w:rFonts w:hint="eastAsia" w:ascii="宋体" w:hAnsi="宋体"/>
        </w:rPr>
        <w:t>绕组应该按IEC 85中定义的F等级标准进行绝缘。除电机启动期外，温度升高将被限制在B等级绝热标准允许的范围之内。本项目为改造项目，原泵房的用电容量已确定，设备选型的功率不超过设计要求。</w:t>
      </w:r>
    </w:p>
    <w:p>
      <w:pPr>
        <w:spacing w:before="203" w:beforeLines="50" w:after="203" w:afterLines="50"/>
        <w:outlineLvl w:val="1"/>
        <w:rPr>
          <w:rFonts w:ascii="宋体" w:hAnsi="宋体"/>
          <w:b/>
        </w:rPr>
      </w:pPr>
      <w:bookmarkStart w:id="5996" w:name="_Toc69484254"/>
      <w:bookmarkStart w:id="5997" w:name="_Toc29215"/>
      <w:bookmarkStart w:id="5998" w:name="_Toc231198989"/>
      <w:bookmarkStart w:id="5999" w:name="_Toc15273896"/>
      <w:bookmarkStart w:id="6000" w:name="_Toc31449949"/>
      <w:bookmarkStart w:id="6001" w:name="_Toc204929563"/>
      <w:bookmarkStart w:id="6002" w:name="_Toc106883569"/>
      <w:bookmarkStart w:id="6003" w:name="_Toc229288680"/>
      <w:bookmarkStart w:id="6004" w:name="_Toc39809960"/>
      <w:bookmarkStart w:id="6005" w:name="_Toc229294631"/>
      <w:bookmarkStart w:id="6006" w:name="_Toc231198888"/>
      <w:bookmarkStart w:id="6007" w:name="_Toc229289686"/>
      <w:bookmarkStart w:id="6008" w:name="_Toc262043002"/>
      <w:bookmarkStart w:id="6009" w:name="_Toc17169899"/>
      <w:bookmarkStart w:id="6010" w:name="_Toc44593752"/>
      <w:bookmarkStart w:id="6011" w:name="_Toc2554"/>
      <w:bookmarkStart w:id="6012" w:name="_Toc19674132"/>
      <w:r>
        <w:rPr>
          <w:rFonts w:hint="eastAsia" w:ascii="宋体" w:hAnsi="宋体"/>
          <w:b/>
        </w:rPr>
        <w:t>7.5基本控制概念</w:t>
      </w:r>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p>
    <w:p>
      <w:pPr>
        <w:pStyle w:val="5"/>
        <w:tabs>
          <w:tab w:val="left" w:pos="360"/>
        </w:tabs>
        <w:spacing w:before="0" w:after="0" w:line="360" w:lineRule="auto"/>
        <w:rPr>
          <w:rFonts w:ascii="宋体" w:hAnsi="宋体" w:eastAsia="宋体"/>
          <w:bCs/>
          <w:sz w:val="24"/>
        </w:rPr>
      </w:pPr>
      <w:bookmarkStart w:id="6013" w:name="_Toc17169900"/>
      <w:bookmarkStart w:id="6014" w:name="_Toc19079"/>
      <w:bookmarkStart w:id="6015" w:name="_Toc44593753"/>
      <w:bookmarkStart w:id="6016" w:name="_Toc204929564"/>
      <w:bookmarkStart w:id="6017" w:name="_Toc69484255"/>
      <w:bookmarkStart w:id="6018" w:name="_Toc31449950"/>
      <w:bookmarkStart w:id="6019" w:name="_Toc8330"/>
      <w:bookmarkStart w:id="6020" w:name="_Toc19674133"/>
      <w:bookmarkStart w:id="6021" w:name="_Toc15273897"/>
      <w:bookmarkStart w:id="6022" w:name="_Toc262043003"/>
      <w:bookmarkStart w:id="6023" w:name="_Toc106883570"/>
      <w:r>
        <w:rPr>
          <w:rFonts w:hint="eastAsia" w:ascii="宋体" w:hAnsi="宋体" w:eastAsia="宋体"/>
          <w:bCs/>
          <w:sz w:val="24"/>
        </w:rPr>
        <w:t>7</w:t>
      </w:r>
      <w:r>
        <w:rPr>
          <w:rFonts w:ascii="宋体" w:hAnsi="宋体" w:eastAsia="宋体"/>
          <w:bCs/>
          <w:sz w:val="24"/>
        </w:rPr>
        <w:t>.5.1</w:t>
      </w:r>
      <w:r>
        <w:rPr>
          <w:rFonts w:hint="eastAsia" w:ascii="宋体" w:hAnsi="宋体" w:eastAsia="宋体"/>
          <w:bCs/>
          <w:sz w:val="24"/>
        </w:rPr>
        <w:t>介绍</w:t>
      </w:r>
      <w:bookmarkEnd w:id="6013"/>
      <w:bookmarkEnd w:id="6014"/>
      <w:bookmarkEnd w:id="6015"/>
      <w:bookmarkEnd w:id="6016"/>
      <w:bookmarkEnd w:id="6017"/>
      <w:bookmarkEnd w:id="6018"/>
      <w:bookmarkEnd w:id="6019"/>
      <w:bookmarkEnd w:id="6020"/>
      <w:bookmarkEnd w:id="6021"/>
      <w:bookmarkEnd w:id="6022"/>
      <w:bookmarkEnd w:id="6023"/>
    </w:p>
    <w:p>
      <w:pPr>
        <w:snapToGrid w:val="0"/>
        <w:spacing w:before="203" w:beforeLines="50" w:after="203" w:afterLines="50"/>
        <w:ind w:firstLine="420"/>
        <w:rPr>
          <w:rFonts w:ascii="宋体" w:hAnsi="宋体"/>
        </w:rPr>
      </w:pPr>
      <w:r>
        <w:rPr>
          <w:rFonts w:hint="eastAsia" w:ascii="宋体" w:hAnsi="宋体"/>
        </w:rPr>
        <w:t>就实际操作而论，控制装置可以选择自动运行也可选择手动运行。断电恢复后，系统能够自动恢复正常运转而毋须手动干预。</w:t>
      </w:r>
    </w:p>
    <w:p>
      <w:pPr>
        <w:pStyle w:val="5"/>
        <w:tabs>
          <w:tab w:val="left" w:pos="360"/>
        </w:tabs>
        <w:spacing w:before="0" w:after="0" w:line="360" w:lineRule="auto"/>
        <w:rPr>
          <w:rFonts w:ascii="宋体" w:hAnsi="宋体" w:eastAsia="宋体"/>
          <w:bCs/>
          <w:sz w:val="24"/>
        </w:rPr>
      </w:pPr>
      <w:bookmarkStart w:id="6024" w:name="_Toc17169901"/>
      <w:bookmarkStart w:id="6025" w:name="_Toc69484256"/>
      <w:bookmarkStart w:id="6026" w:name="_Toc31449951"/>
      <w:bookmarkStart w:id="6027" w:name="_Toc19674134"/>
      <w:bookmarkStart w:id="6028" w:name="_Toc17411"/>
      <w:bookmarkStart w:id="6029" w:name="_Toc204929565"/>
      <w:bookmarkStart w:id="6030" w:name="_Toc44593754"/>
      <w:bookmarkStart w:id="6031" w:name="_Toc3920"/>
      <w:bookmarkStart w:id="6032" w:name="_Toc15273898"/>
      <w:bookmarkStart w:id="6033" w:name="_Toc106883571"/>
      <w:r>
        <w:rPr>
          <w:rFonts w:hint="eastAsia" w:ascii="宋体" w:hAnsi="宋体" w:eastAsia="宋体"/>
          <w:bCs/>
          <w:sz w:val="24"/>
        </w:rPr>
        <w:t>7</w:t>
      </w:r>
      <w:r>
        <w:rPr>
          <w:rFonts w:ascii="宋体" w:hAnsi="宋体" w:eastAsia="宋体"/>
          <w:bCs/>
          <w:sz w:val="24"/>
        </w:rPr>
        <w:t>.5.2</w:t>
      </w:r>
      <w:r>
        <w:rPr>
          <w:rFonts w:hint="eastAsia" w:ascii="宋体" w:hAnsi="宋体" w:eastAsia="宋体"/>
          <w:bCs/>
          <w:sz w:val="24"/>
        </w:rPr>
        <w:t>电机控制模式</w:t>
      </w:r>
      <w:bookmarkEnd w:id="6024"/>
      <w:bookmarkEnd w:id="6025"/>
      <w:bookmarkEnd w:id="6026"/>
      <w:bookmarkEnd w:id="6027"/>
      <w:bookmarkEnd w:id="6028"/>
      <w:bookmarkEnd w:id="6029"/>
      <w:bookmarkEnd w:id="6030"/>
      <w:bookmarkEnd w:id="6031"/>
      <w:bookmarkEnd w:id="6032"/>
      <w:bookmarkEnd w:id="6033"/>
    </w:p>
    <w:p>
      <w:pPr>
        <w:snapToGrid w:val="0"/>
        <w:spacing w:before="203" w:beforeLines="50" w:after="203" w:afterLines="50"/>
        <w:ind w:firstLine="420"/>
        <w:rPr>
          <w:rFonts w:ascii="宋体" w:hAnsi="宋体"/>
        </w:rPr>
      </w:pPr>
      <w:r>
        <w:rPr>
          <w:rFonts w:hint="eastAsia" w:ascii="宋体" w:hAnsi="宋体"/>
        </w:rPr>
        <w:t>电机作为控制系统中一部分，控制系统具有手动、自动、远程控制切换功能，可实现设备的自动、手动、远程启停功能。</w:t>
      </w:r>
    </w:p>
    <w:p>
      <w:pPr>
        <w:pStyle w:val="5"/>
        <w:tabs>
          <w:tab w:val="left" w:pos="360"/>
        </w:tabs>
        <w:spacing w:before="0" w:after="0" w:line="360" w:lineRule="auto"/>
        <w:rPr>
          <w:rFonts w:ascii="宋体" w:hAnsi="宋体" w:eastAsia="宋体"/>
          <w:bCs/>
          <w:sz w:val="24"/>
        </w:rPr>
      </w:pPr>
      <w:bookmarkStart w:id="6034" w:name="_Toc31449954"/>
      <w:bookmarkStart w:id="6035" w:name="_Toc15273901"/>
      <w:bookmarkStart w:id="6036" w:name="_Toc204929568"/>
      <w:bookmarkStart w:id="6037" w:name="_Toc19674137"/>
      <w:bookmarkStart w:id="6038" w:name="_Toc17169904"/>
      <w:bookmarkStart w:id="6039" w:name="_Toc44593755"/>
      <w:bookmarkStart w:id="6040" w:name="_Toc19032"/>
      <w:bookmarkStart w:id="6041" w:name="_Toc69484257"/>
      <w:bookmarkStart w:id="6042" w:name="_Toc29399"/>
      <w:bookmarkStart w:id="6043" w:name="_Toc106883572"/>
      <w:r>
        <w:rPr>
          <w:rFonts w:hint="eastAsia" w:ascii="宋体" w:hAnsi="宋体" w:eastAsia="宋体"/>
          <w:bCs/>
          <w:sz w:val="24"/>
        </w:rPr>
        <w:t>7</w:t>
      </w:r>
      <w:r>
        <w:rPr>
          <w:rFonts w:ascii="宋体" w:hAnsi="宋体" w:eastAsia="宋体"/>
          <w:bCs/>
          <w:sz w:val="24"/>
        </w:rPr>
        <w:t>.5.3</w:t>
      </w:r>
      <w:r>
        <w:rPr>
          <w:rFonts w:hint="eastAsia" w:ascii="宋体" w:hAnsi="宋体" w:eastAsia="宋体"/>
          <w:bCs/>
          <w:sz w:val="24"/>
        </w:rPr>
        <w:t>“故障</w:t>
      </w:r>
      <w:bookmarkEnd w:id="6034"/>
      <w:bookmarkEnd w:id="6035"/>
      <w:bookmarkEnd w:id="6036"/>
      <w:bookmarkEnd w:id="6037"/>
      <w:bookmarkEnd w:id="6038"/>
      <w:r>
        <w:rPr>
          <w:rFonts w:hint="eastAsia" w:ascii="宋体" w:hAnsi="宋体" w:eastAsia="宋体"/>
          <w:bCs/>
          <w:sz w:val="24"/>
        </w:rPr>
        <w:t>”</w:t>
      </w:r>
      <w:bookmarkEnd w:id="6039"/>
      <w:bookmarkEnd w:id="6040"/>
      <w:bookmarkEnd w:id="6041"/>
      <w:bookmarkEnd w:id="6042"/>
      <w:bookmarkEnd w:id="6043"/>
    </w:p>
    <w:p>
      <w:pPr>
        <w:snapToGrid w:val="0"/>
        <w:spacing w:before="203" w:beforeLines="50" w:after="203" w:afterLines="50"/>
        <w:ind w:firstLine="420"/>
        <w:rPr>
          <w:rFonts w:ascii="宋体" w:hAnsi="宋体"/>
        </w:rPr>
      </w:pPr>
      <w:r>
        <w:rPr>
          <w:rFonts w:hint="eastAsia" w:ascii="宋体" w:hAnsi="宋体"/>
        </w:rPr>
        <w:t>“故障”是指在正常运行中不应发生的一种状态。但“故障”一旦发生，则可能导致一些不安全的状况，例如污染、溢流和损坏等。当系统检测到故障时，必须采取适当的措施处理。系统对故障的检测通常是通过硬接线电路来完成，系统对故障的处理可通过就地急停按钮或系统自动控制实现，直到查明故障原因并将故障状态手动复位为止。</w:t>
      </w:r>
    </w:p>
    <w:p>
      <w:pPr>
        <w:snapToGrid w:val="0"/>
        <w:spacing w:before="203" w:beforeLines="50" w:after="203" w:afterLines="50"/>
        <w:ind w:firstLine="420"/>
        <w:rPr>
          <w:rFonts w:ascii="宋体" w:hAnsi="宋体"/>
        </w:rPr>
      </w:pPr>
      <w:r>
        <w:rPr>
          <w:rFonts w:hint="eastAsia" w:ascii="宋体" w:hAnsi="宋体"/>
        </w:rPr>
        <w:t>以下是一些相关的故障实例：</w:t>
      </w:r>
    </w:p>
    <w:p>
      <w:pPr>
        <w:numPr>
          <w:ilvl w:val="0"/>
          <w:numId w:val="23"/>
        </w:numPr>
        <w:adjustRightInd w:val="0"/>
        <w:snapToGrid w:val="0"/>
        <w:spacing w:before="203" w:beforeLines="50" w:after="203" w:afterLines="50"/>
        <w:textAlignment w:val="baseline"/>
        <w:rPr>
          <w:rFonts w:ascii="宋体" w:hAnsi="宋体"/>
        </w:rPr>
      </w:pPr>
      <w:r>
        <w:rPr>
          <w:rFonts w:hint="eastAsia" w:ascii="宋体" w:hAnsi="宋体"/>
        </w:rPr>
        <w:t>过流</w:t>
      </w:r>
    </w:p>
    <w:p>
      <w:pPr>
        <w:numPr>
          <w:ilvl w:val="0"/>
          <w:numId w:val="23"/>
        </w:numPr>
        <w:adjustRightInd w:val="0"/>
        <w:snapToGrid w:val="0"/>
        <w:spacing w:before="203" w:beforeLines="50" w:after="203" w:afterLines="50"/>
        <w:textAlignment w:val="baseline"/>
        <w:rPr>
          <w:rFonts w:ascii="宋体" w:hAnsi="宋体"/>
        </w:rPr>
      </w:pPr>
      <w:r>
        <w:rPr>
          <w:rFonts w:hint="eastAsia" w:ascii="宋体" w:hAnsi="宋体"/>
        </w:rPr>
        <w:t>接地故障</w:t>
      </w:r>
    </w:p>
    <w:p>
      <w:pPr>
        <w:numPr>
          <w:ilvl w:val="0"/>
          <w:numId w:val="23"/>
        </w:numPr>
        <w:adjustRightInd w:val="0"/>
        <w:snapToGrid w:val="0"/>
        <w:spacing w:before="203" w:beforeLines="50" w:after="203" w:afterLines="50"/>
        <w:textAlignment w:val="baseline"/>
        <w:rPr>
          <w:rFonts w:ascii="宋体" w:hAnsi="宋体"/>
        </w:rPr>
      </w:pPr>
      <w:r>
        <w:rPr>
          <w:rFonts w:hint="eastAsia" w:ascii="宋体" w:hAnsi="宋体"/>
        </w:rPr>
        <w:t>超温</w:t>
      </w:r>
    </w:p>
    <w:p>
      <w:pPr>
        <w:numPr>
          <w:ilvl w:val="0"/>
          <w:numId w:val="23"/>
        </w:numPr>
        <w:adjustRightInd w:val="0"/>
        <w:snapToGrid w:val="0"/>
        <w:spacing w:before="203" w:beforeLines="50" w:after="203" w:afterLines="50"/>
        <w:ind w:left="851" w:hanging="371"/>
        <w:textAlignment w:val="baseline"/>
        <w:rPr>
          <w:rFonts w:ascii="宋体" w:hAnsi="宋体"/>
        </w:rPr>
      </w:pPr>
      <w:r>
        <w:rPr>
          <w:rFonts w:hint="eastAsia" w:ascii="宋体" w:hAnsi="宋体"/>
        </w:rPr>
        <w:t>低水位（水池、湿井、蓄水池）。万一出现低水位状况，必须要停止从水池抽水的任何泵的运行。</w:t>
      </w:r>
    </w:p>
    <w:p>
      <w:pPr>
        <w:numPr>
          <w:ilvl w:val="0"/>
          <w:numId w:val="23"/>
        </w:numPr>
        <w:adjustRightInd w:val="0"/>
        <w:snapToGrid w:val="0"/>
        <w:spacing w:before="203" w:beforeLines="50" w:after="203" w:afterLines="50"/>
        <w:ind w:left="851" w:hanging="371"/>
        <w:textAlignment w:val="baseline"/>
        <w:rPr>
          <w:rFonts w:ascii="宋体" w:hAnsi="宋体"/>
        </w:rPr>
      </w:pPr>
      <w:r>
        <w:rPr>
          <w:rFonts w:hint="eastAsia" w:ascii="宋体" w:hAnsi="宋体"/>
        </w:rPr>
        <w:t>高水位（水池、湿井、蓄水池）。万一出现高水位，必须要停止给水池供水等的任何泵的运行，或关闭进闸门或闸门。</w:t>
      </w:r>
    </w:p>
    <w:p>
      <w:pPr>
        <w:pStyle w:val="5"/>
        <w:tabs>
          <w:tab w:val="left" w:pos="360"/>
        </w:tabs>
        <w:spacing w:before="0" w:after="0" w:line="360" w:lineRule="auto"/>
        <w:rPr>
          <w:rFonts w:ascii="宋体" w:hAnsi="宋体" w:eastAsia="宋体"/>
          <w:bCs/>
          <w:sz w:val="24"/>
        </w:rPr>
      </w:pPr>
      <w:bookmarkStart w:id="6044" w:name="_Toc44593756"/>
      <w:bookmarkStart w:id="6045" w:name="_Toc8975"/>
      <w:bookmarkStart w:id="6046" w:name="_Toc19674139"/>
      <w:bookmarkStart w:id="6047" w:name="_Toc17169906"/>
      <w:bookmarkStart w:id="6048" w:name="_Toc15273903"/>
      <w:bookmarkStart w:id="6049" w:name="_Toc11848"/>
      <w:bookmarkStart w:id="6050" w:name="_Toc204929570"/>
      <w:bookmarkStart w:id="6051" w:name="_Toc69484258"/>
      <w:bookmarkStart w:id="6052" w:name="_Toc31449956"/>
      <w:bookmarkStart w:id="6053" w:name="_Toc106883573"/>
      <w:r>
        <w:rPr>
          <w:rFonts w:hint="eastAsia" w:ascii="宋体" w:hAnsi="宋体" w:eastAsia="宋体"/>
          <w:bCs/>
          <w:sz w:val="24"/>
        </w:rPr>
        <w:t>7</w:t>
      </w:r>
      <w:r>
        <w:rPr>
          <w:rFonts w:ascii="宋体" w:hAnsi="宋体" w:eastAsia="宋体"/>
          <w:bCs/>
          <w:sz w:val="24"/>
        </w:rPr>
        <w:t>.5.4</w:t>
      </w:r>
      <w:r>
        <w:rPr>
          <w:rFonts w:hint="eastAsia" w:ascii="宋体" w:hAnsi="宋体" w:eastAsia="宋体"/>
          <w:bCs/>
          <w:sz w:val="24"/>
        </w:rPr>
        <w:t>“水泵运行”信号</w:t>
      </w:r>
      <w:bookmarkEnd w:id="6044"/>
      <w:bookmarkEnd w:id="6045"/>
      <w:bookmarkEnd w:id="6046"/>
      <w:bookmarkEnd w:id="6047"/>
      <w:bookmarkEnd w:id="6048"/>
      <w:bookmarkEnd w:id="6049"/>
      <w:bookmarkEnd w:id="6050"/>
      <w:bookmarkEnd w:id="6051"/>
      <w:bookmarkEnd w:id="6052"/>
      <w:bookmarkEnd w:id="6053"/>
    </w:p>
    <w:p>
      <w:pPr>
        <w:snapToGrid w:val="0"/>
        <w:spacing w:before="203" w:beforeLines="50" w:after="203" w:afterLines="50"/>
        <w:ind w:firstLine="420"/>
        <w:rPr>
          <w:rFonts w:ascii="宋体" w:hAnsi="宋体"/>
        </w:rPr>
      </w:pPr>
      <w:r>
        <w:rPr>
          <w:rFonts w:hint="eastAsia" w:ascii="宋体" w:hAnsi="宋体"/>
        </w:rPr>
        <w:t>“水泵运行”信号将从每个电机控制系统中取得并通过显示屏显示。</w:t>
      </w:r>
    </w:p>
    <w:p>
      <w:pPr>
        <w:pStyle w:val="5"/>
        <w:tabs>
          <w:tab w:val="left" w:pos="360"/>
        </w:tabs>
        <w:spacing w:before="0" w:after="0" w:line="360" w:lineRule="auto"/>
        <w:rPr>
          <w:rFonts w:ascii="宋体" w:hAnsi="宋体" w:eastAsia="宋体"/>
          <w:bCs/>
          <w:sz w:val="24"/>
        </w:rPr>
      </w:pPr>
      <w:bookmarkStart w:id="6054" w:name="_Toc17169910"/>
      <w:bookmarkStart w:id="6055" w:name="_Toc28850"/>
      <w:bookmarkStart w:id="6056" w:name="_Toc19674143"/>
      <w:bookmarkStart w:id="6057" w:name="_Toc15273907"/>
      <w:bookmarkStart w:id="6058" w:name="_Toc31449960"/>
      <w:bookmarkStart w:id="6059" w:name="_Toc204929574"/>
      <w:bookmarkStart w:id="6060" w:name="_Toc69484259"/>
      <w:bookmarkStart w:id="6061" w:name="_Toc541"/>
      <w:bookmarkStart w:id="6062" w:name="_Toc44593757"/>
      <w:bookmarkStart w:id="6063" w:name="_Toc106883574"/>
      <w:r>
        <w:rPr>
          <w:rFonts w:hint="eastAsia" w:ascii="宋体" w:hAnsi="宋体" w:eastAsia="宋体"/>
          <w:bCs/>
          <w:sz w:val="24"/>
        </w:rPr>
        <w:t>7</w:t>
      </w:r>
      <w:r>
        <w:rPr>
          <w:rFonts w:ascii="宋体" w:hAnsi="宋体" w:eastAsia="宋体"/>
          <w:bCs/>
          <w:sz w:val="24"/>
        </w:rPr>
        <w:t>.5.5</w:t>
      </w:r>
      <w:r>
        <w:rPr>
          <w:rFonts w:hint="eastAsia" w:ascii="宋体" w:hAnsi="宋体" w:eastAsia="宋体"/>
          <w:bCs/>
          <w:sz w:val="24"/>
        </w:rPr>
        <w:t>控制系统体系结构</w:t>
      </w:r>
      <w:bookmarkEnd w:id="6054"/>
      <w:bookmarkEnd w:id="6055"/>
      <w:bookmarkEnd w:id="6056"/>
      <w:bookmarkEnd w:id="6057"/>
      <w:bookmarkEnd w:id="6058"/>
      <w:bookmarkEnd w:id="6059"/>
      <w:bookmarkEnd w:id="6060"/>
      <w:bookmarkEnd w:id="6061"/>
      <w:bookmarkEnd w:id="6062"/>
      <w:bookmarkEnd w:id="6063"/>
    </w:p>
    <w:p>
      <w:pPr>
        <w:snapToGrid w:val="0"/>
        <w:spacing w:before="203" w:beforeLines="50" w:after="203" w:afterLines="50"/>
        <w:ind w:firstLine="420"/>
        <w:rPr>
          <w:rFonts w:ascii="宋体" w:hAnsi="宋体"/>
        </w:rPr>
      </w:pPr>
      <w:r>
        <w:rPr>
          <w:rFonts w:hint="eastAsia" w:ascii="宋体" w:hAnsi="宋体"/>
        </w:rPr>
        <w:t>净水厂的控制系统具有以下的体系结构：</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主保护。主保护电路将基于硬接线逻辑且因此不依赖于可编程逻辑控制器或任何其他可编程控制设备。这些电路旨在保护人员不受损伤，阻止水池和通道溢流，防止设备受到损坏，等等。主保护电路将以手动和自动控制两种方式进行操作，除非另有说明。</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‘备份’控制。控制系统需具有备用，以满足主控系统发生故障后，能够自动运行备控系统。</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可编程逻辑控制器（PLC）。机械装置和电气装置的所有自控逻辑将存在于可编程逻辑控制器和主保护电路中。</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人机界面（HMI）。将为每个可编程逻辑控制器提供一个人机界面以便操作人员能够监视由PLC控制的设备以及操作人员能够作出调整，等等。</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监控和自控系统。除了另有说明，此系统将与现场上的所有PLC及综合保护通讯。在某些情况下，监控和数据获取系统将监视一个以上的现场。</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计算机监控净水厂系统综合功能，应用自动控制技术、计算机数字化技术和数字化信息传输技术，将净水厂相互有关连的各部分总承为一种有机的整体，用以完成从净水厂安全监测。监控软件为专用监控软件。对净水厂电气系统进行监视、控制及相关信息的显示(包括一次侧电流电压及电能的实时显示,系统一次图,开关接点位置,电流曲线图,电压棒图等)，各操作员的访问控制权限由对应的密码进行限制。记录全站电气系统的事件、告警报告及在指定周期内（如月、季度等）被归档的历史系统数据。</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同时软件可读取间隔层保护监控系统的定值及故障录波,方便用户维护及事故分析。</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净水厂通讯采用当今最先进,传输速度最快的以太网IEC61850通讯规约。</w:t>
      </w:r>
    </w:p>
    <w:p>
      <w:pPr>
        <w:numPr>
          <w:ilvl w:val="0"/>
          <w:numId w:val="24"/>
        </w:numPr>
        <w:adjustRightInd w:val="0"/>
        <w:snapToGrid w:val="0"/>
        <w:spacing w:before="203" w:beforeLines="50" w:after="203" w:afterLines="50"/>
        <w:ind w:left="426" w:hanging="426"/>
        <w:textAlignment w:val="baseline"/>
        <w:rPr>
          <w:rFonts w:ascii="宋体" w:hAnsi="宋体"/>
        </w:rPr>
      </w:pPr>
      <w:r>
        <w:rPr>
          <w:rFonts w:hint="eastAsia" w:ascii="宋体" w:hAnsi="宋体"/>
        </w:rPr>
        <w:t>系统的布置是一旦人机界面和/或监控和数据获取系统故障时，设备的自控和检测将不会受到影响。</w:t>
      </w:r>
    </w:p>
    <w:p>
      <w:pPr>
        <w:spacing w:before="203" w:beforeLines="50" w:after="203" w:afterLines="50"/>
        <w:rPr>
          <w:rFonts w:ascii="宋体" w:hAnsi="宋体"/>
          <w:b/>
        </w:rPr>
      </w:pPr>
      <w:bookmarkStart w:id="6064" w:name="_Toc262043004"/>
      <w:bookmarkStart w:id="6065" w:name="_Toc231198990"/>
      <w:bookmarkStart w:id="6066" w:name="_Toc15273908"/>
      <w:bookmarkStart w:id="6067" w:name="_Toc17169911"/>
      <w:bookmarkStart w:id="6068" w:name="_Toc19674144"/>
      <w:bookmarkStart w:id="6069" w:name="_Toc31449961"/>
      <w:bookmarkStart w:id="6070" w:name="_Toc7750"/>
      <w:bookmarkStart w:id="6071" w:name="_Toc229289687"/>
      <w:bookmarkStart w:id="6072" w:name="_Toc229294632"/>
      <w:bookmarkStart w:id="6073" w:name="_Toc39809961"/>
      <w:bookmarkStart w:id="6074" w:name="_Toc229288681"/>
      <w:bookmarkStart w:id="6075" w:name="_Toc231198889"/>
      <w:bookmarkStart w:id="6076" w:name="_Toc204929575"/>
      <w:r>
        <w:rPr>
          <w:rFonts w:hint="eastAsia" w:ascii="宋体" w:hAnsi="宋体"/>
          <w:b/>
        </w:rPr>
        <w:t>7.6负荷计算</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p>
    <w:p>
      <w:pPr>
        <w:snapToGrid w:val="0"/>
        <w:spacing w:before="203" w:beforeLines="50" w:after="203" w:afterLines="50"/>
        <w:ind w:firstLine="420"/>
        <w:rPr>
          <w:rFonts w:ascii="宋体" w:hAnsi="宋体"/>
        </w:rPr>
      </w:pPr>
      <w:r>
        <w:rPr>
          <w:rFonts w:hint="eastAsia" w:ascii="宋体" w:hAnsi="宋体"/>
        </w:rPr>
        <w:t>凡是装置和设备包括一个开关板、电机控制中心(MCC)或不间断电源（UPS）时，则承包商应对各个母线段和整个开关板、MCC和UPS编制一份负荷计划。该负荷计划将决定从开关板、MCC、母线段和/或UPS的电力适合的最大需求量。对于由开关板、MCC、母线段和/或UPS供电的同类项目，负荷计划将说明如下内容：</w:t>
      </w:r>
    </w:p>
    <w:p>
      <w:pPr>
        <w:numPr>
          <w:ilvl w:val="0"/>
          <w:numId w:val="25"/>
        </w:numPr>
        <w:adjustRightInd w:val="0"/>
        <w:snapToGrid w:val="0"/>
        <w:spacing w:before="203" w:beforeLines="50" w:after="203" w:afterLines="50"/>
        <w:ind w:left="426" w:hanging="426"/>
        <w:textAlignment w:val="baseline"/>
        <w:rPr>
          <w:rFonts w:ascii="宋体" w:hAnsi="宋体"/>
        </w:rPr>
      </w:pPr>
      <w:r>
        <w:rPr>
          <w:rFonts w:hint="eastAsia" w:ascii="宋体" w:hAnsi="宋体"/>
        </w:rPr>
        <w:t>组内项目数量</w:t>
      </w:r>
    </w:p>
    <w:p>
      <w:pPr>
        <w:numPr>
          <w:ilvl w:val="0"/>
          <w:numId w:val="25"/>
        </w:numPr>
        <w:adjustRightInd w:val="0"/>
        <w:snapToGrid w:val="0"/>
        <w:spacing w:before="203" w:beforeLines="50" w:after="203" w:afterLines="50"/>
        <w:ind w:left="426" w:hanging="426"/>
        <w:textAlignment w:val="baseline"/>
        <w:rPr>
          <w:rFonts w:ascii="宋体" w:hAnsi="宋体"/>
        </w:rPr>
      </w:pPr>
      <w:r>
        <w:rPr>
          <w:rFonts w:hint="eastAsia" w:ascii="宋体" w:hAnsi="宋体"/>
        </w:rPr>
        <w:t>每项工艺设备所需的轴功率(kw)</w:t>
      </w:r>
    </w:p>
    <w:p>
      <w:pPr>
        <w:numPr>
          <w:ilvl w:val="0"/>
          <w:numId w:val="25"/>
        </w:numPr>
        <w:adjustRightInd w:val="0"/>
        <w:snapToGrid w:val="0"/>
        <w:spacing w:before="203" w:beforeLines="50" w:after="203" w:afterLines="50"/>
        <w:ind w:left="426" w:hanging="426"/>
        <w:textAlignment w:val="baseline"/>
        <w:rPr>
          <w:rFonts w:ascii="宋体" w:hAnsi="宋体"/>
        </w:rPr>
      </w:pPr>
      <w:r>
        <w:rPr>
          <w:rFonts w:hint="eastAsia" w:ascii="宋体" w:hAnsi="宋体"/>
        </w:rPr>
        <w:t>每个电机的效率</w:t>
      </w:r>
    </w:p>
    <w:p>
      <w:pPr>
        <w:numPr>
          <w:ilvl w:val="0"/>
          <w:numId w:val="25"/>
        </w:numPr>
        <w:adjustRightInd w:val="0"/>
        <w:snapToGrid w:val="0"/>
        <w:spacing w:before="203" w:beforeLines="50" w:after="203" w:afterLines="50"/>
        <w:ind w:left="426" w:hanging="426"/>
        <w:textAlignment w:val="baseline"/>
        <w:rPr>
          <w:rFonts w:ascii="宋体" w:hAnsi="宋体"/>
        </w:rPr>
      </w:pPr>
      <w:r>
        <w:rPr>
          <w:rFonts w:hint="eastAsia" w:ascii="宋体" w:hAnsi="宋体"/>
        </w:rPr>
        <w:t>每个设备的功率因数</w:t>
      </w:r>
    </w:p>
    <w:p>
      <w:pPr>
        <w:numPr>
          <w:ilvl w:val="0"/>
          <w:numId w:val="25"/>
        </w:numPr>
        <w:adjustRightInd w:val="0"/>
        <w:snapToGrid w:val="0"/>
        <w:spacing w:before="203" w:beforeLines="50" w:after="203" w:afterLines="50"/>
        <w:ind w:left="426" w:hanging="426"/>
        <w:textAlignment w:val="baseline"/>
        <w:rPr>
          <w:rFonts w:ascii="宋体" w:hAnsi="宋体"/>
        </w:rPr>
      </w:pPr>
      <w:r>
        <w:rPr>
          <w:rFonts w:hint="eastAsia" w:ascii="宋体" w:hAnsi="宋体"/>
        </w:rPr>
        <w:t>在同一时间能使用的同类项目的数量。因此它包括所有的‘运行’和‘协助’装置，但不包括备用装置。</w:t>
      </w:r>
    </w:p>
    <w:p>
      <w:pPr>
        <w:numPr>
          <w:ilvl w:val="0"/>
          <w:numId w:val="25"/>
        </w:numPr>
        <w:adjustRightInd w:val="0"/>
        <w:snapToGrid w:val="0"/>
        <w:spacing w:before="203" w:beforeLines="50" w:after="203" w:afterLines="50"/>
        <w:ind w:left="426" w:hanging="426"/>
        <w:textAlignment w:val="baseline"/>
        <w:rPr>
          <w:rFonts w:ascii="宋体" w:hAnsi="宋体"/>
        </w:rPr>
      </w:pPr>
      <w:r>
        <w:rPr>
          <w:rFonts w:hint="eastAsia" w:ascii="宋体" w:hAnsi="宋体"/>
        </w:rPr>
        <w:t>‘差异系数’，在此其意思是电机额定值与由驱动装置在工作点吸收的轴功率的比。因此，每组电机的最大KVA需求为（b x e x f）/ （c x d）。</w:t>
      </w:r>
    </w:p>
    <w:p>
      <w:pPr>
        <w:spacing w:before="203" w:beforeLines="50" w:after="203" w:afterLines="50"/>
        <w:outlineLvl w:val="0"/>
        <w:rPr>
          <w:rFonts w:ascii="宋体" w:hAnsi="宋体"/>
          <w:b/>
        </w:rPr>
      </w:pPr>
      <w:bookmarkStart w:id="6077" w:name="_Toc21692"/>
      <w:bookmarkStart w:id="6078" w:name="_Toc17169915"/>
      <w:bookmarkStart w:id="6079" w:name="_Toc231198890"/>
      <w:bookmarkStart w:id="6080" w:name="_Toc229294633"/>
      <w:bookmarkStart w:id="6081" w:name="_Toc229289688"/>
      <w:bookmarkStart w:id="6082" w:name="_Toc229288682"/>
      <w:bookmarkStart w:id="6083" w:name="_Toc15273912"/>
      <w:bookmarkStart w:id="6084" w:name="_Toc262043005"/>
      <w:bookmarkStart w:id="6085" w:name="_Toc204929576"/>
      <w:bookmarkStart w:id="6086" w:name="_Toc19674148"/>
      <w:bookmarkStart w:id="6087" w:name="_Toc31449962"/>
      <w:bookmarkStart w:id="6088" w:name="_Toc231198991"/>
      <w:bookmarkStart w:id="6089" w:name="_Toc39809962"/>
      <w:bookmarkStart w:id="6090" w:name="_Toc106883575"/>
      <w:r>
        <w:rPr>
          <w:rFonts w:hint="eastAsia" w:ascii="宋体" w:hAnsi="宋体"/>
          <w:b/>
        </w:rPr>
        <w:t>7.7 故障水平</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p>
    <w:p>
      <w:pPr>
        <w:adjustRightInd w:val="0"/>
        <w:spacing w:line="315" w:lineRule="atLeast"/>
        <w:textAlignment w:val="baseline"/>
        <w:rPr>
          <w:rFonts w:ascii="宋体" w:hAnsi="宋体"/>
        </w:rPr>
      </w:pPr>
      <w:bookmarkStart w:id="6091" w:name="_Toc262043006"/>
      <w:bookmarkStart w:id="6092" w:name="_Toc12872"/>
      <w:bookmarkStart w:id="6093" w:name="_Toc261953680"/>
      <w:bookmarkStart w:id="6094" w:name="_Toc31449963"/>
      <w:bookmarkStart w:id="6095" w:name="_Toc15273913"/>
      <w:bookmarkStart w:id="6096" w:name="_Toc204929577"/>
      <w:bookmarkStart w:id="6097" w:name="_Toc19674149"/>
      <w:bookmarkStart w:id="6098" w:name="_Toc17169916"/>
      <w:r>
        <w:rPr>
          <w:rFonts w:hint="eastAsia" w:ascii="宋体" w:hAnsi="宋体"/>
        </w:rPr>
        <w:t>7.7.1最大预期故障水平和故障持续时间</w:t>
      </w:r>
      <w:bookmarkEnd w:id="6091"/>
      <w:bookmarkEnd w:id="6092"/>
      <w:bookmarkEnd w:id="6093"/>
      <w:bookmarkEnd w:id="6094"/>
      <w:bookmarkEnd w:id="6095"/>
      <w:bookmarkEnd w:id="6096"/>
      <w:bookmarkEnd w:id="6097"/>
      <w:bookmarkEnd w:id="6098"/>
    </w:p>
    <w:p>
      <w:pPr>
        <w:snapToGrid w:val="0"/>
        <w:spacing w:before="203" w:beforeLines="50" w:after="203" w:afterLines="50"/>
        <w:ind w:firstLine="420"/>
        <w:rPr>
          <w:rFonts w:ascii="宋体" w:hAnsi="宋体"/>
        </w:rPr>
      </w:pPr>
      <w:r>
        <w:rPr>
          <w:rFonts w:hint="eastAsia" w:ascii="宋体" w:hAnsi="宋体"/>
        </w:rPr>
        <w:t>承包商负责提供的的开关设备和变压器，应计算电气系统中那些通过高分断熔断器，短路器以及一些常规故障限制装置不能保护到的各点的最大预期故障短路电流。在确定该短路电流时，应考虑下列因素：</w:t>
      </w:r>
    </w:p>
    <w:p>
      <w:pPr>
        <w:numPr>
          <w:ilvl w:val="0"/>
          <w:numId w:val="26"/>
        </w:numPr>
        <w:tabs>
          <w:tab w:val="left" w:pos="993"/>
        </w:tabs>
        <w:adjustRightInd w:val="0"/>
        <w:snapToGrid w:val="0"/>
        <w:spacing w:before="203" w:beforeLines="50" w:after="203" w:afterLines="50"/>
        <w:ind w:left="993" w:hanging="513"/>
        <w:textAlignment w:val="baseline"/>
        <w:rPr>
          <w:rFonts w:ascii="宋体" w:hAnsi="宋体"/>
        </w:rPr>
      </w:pPr>
      <w:r>
        <w:rPr>
          <w:rFonts w:hint="eastAsia" w:ascii="宋体" w:hAnsi="宋体"/>
        </w:rPr>
        <w:t>从电力公司接收的电源点上的预期故障水平为电力公司系统预想的标称预期故障水平（如</w:t>
      </w:r>
      <w:r>
        <w:rPr>
          <w:rFonts w:ascii="宋体" w:hAnsi="宋体"/>
        </w:rPr>
        <w:t>10 kV</w:t>
      </w:r>
      <w:r>
        <w:rPr>
          <w:rFonts w:hint="eastAsia" w:ascii="宋体" w:hAnsi="宋体"/>
        </w:rPr>
        <w:t>时，</w:t>
      </w:r>
      <w:r>
        <w:rPr>
          <w:rFonts w:ascii="宋体" w:hAnsi="宋体"/>
        </w:rPr>
        <w:t>500 MVA</w:t>
      </w:r>
      <w:r>
        <w:rPr>
          <w:rFonts w:hint="eastAsia" w:ascii="宋体" w:hAnsi="宋体"/>
        </w:rPr>
        <w:t>），它高于电力公司对目前预期故障级建议的较低的预期故障水平。如此可适应电力公司对系统在可能预测的将来所可能做的任何修改。</w:t>
      </w:r>
    </w:p>
    <w:p>
      <w:pPr>
        <w:numPr>
          <w:ilvl w:val="0"/>
          <w:numId w:val="26"/>
        </w:numPr>
        <w:tabs>
          <w:tab w:val="left" w:pos="993"/>
        </w:tabs>
        <w:adjustRightInd w:val="0"/>
        <w:snapToGrid w:val="0"/>
        <w:spacing w:before="203" w:beforeLines="50" w:after="203" w:afterLines="50"/>
        <w:ind w:left="993" w:hanging="513"/>
        <w:textAlignment w:val="baseline"/>
        <w:rPr>
          <w:rFonts w:ascii="宋体" w:hAnsi="宋体"/>
        </w:rPr>
      </w:pPr>
      <w:r>
        <w:rPr>
          <w:rFonts w:hint="eastAsia" w:ascii="宋体" w:hAnsi="宋体"/>
        </w:rPr>
        <w:t>当变压器能够并联地操作时，预测故障电流则将在变压器为并联操作的假定基础上来计算。</w:t>
      </w:r>
    </w:p>
    <w:p>
      <w:pPr>
        <w:numPr>
          <w:ilvl w:val="0"/>
          <w:numId w:val="26"/>
        </w:numPr>
        <w:tabs>
          <w:tab w:val="left" w:pos="993"/>
        </w:tabs>
        <w:adjustRightInd w:val="0"/>
        <w:snapToGrid w:val="0"/>
        <w:spacing w:before="203" w:beforeLines="50" w:after="203" w:afterLines="50"/>
        <w:ind w:left="993" w:hanging="513"/>
        <w:textAlignment w:val="baseline"/>
        <w:rPr>
          <w:rFonts w:ascii="宋体" w:hAnsi="宋体"/>
        </w:rPr>
      </w:pPr>
      <w:r>
        <w:rPr>
          <w:rFonts w:hint="eastAsia" w:ascii="宋体" w:hAnsi="宋体"/>
        </w:rPr>
        <w:t>电机作用应加以考虑，为此目的，应假定所有的‘主’和‘辅助’驱动装置在故障的起始时间都在运转。</w:t>
      </w:r>
    </w:p>
    <w:p>
      <w:pPr>
        <w:numPr>
          <w:ilvl w:val="0"/>
          <w:numId w:val="26"/>
        </w:numPr>
        <w:tabs>
          <w:tab w:val="left" w:pos="993"/>
        </w:tabs>
        <w:adjustRightInd w:val="0"/>
        <w:snapToGrid w:val="0"/>
        <w:spacing w:before="203" w:beforeLines="50" w:after="203" w:afterLines="50"/>
        <w:ind w:left="993" w:hanging="513"/>
        <w:textAlignment w:val="baseline"/>
        <w:rPr>
          <w:rFonts w:ascii="宋体" w:hAnsi="宋体"/>
        </w:rPr>
      </w:pPr>
      <w:r>
        <w:rPr>
          <w:rFonts w:hint="eastAsia" w:ascii="宋体" w:hAnsi="宋体"/>
        </w:rPr>
        <w:t>计算应按</w:t>
      </w:r>
      <w:r>
        <w:rPr>
          <w:rFonts w:ascii="宋体" w:hAnsi="宋体"/>
        </w:rPr>
        <w:t>BS7639</w:t>
      </w:r>
      <w:r>
        <w:rPr>
          <w:rFonts w:hint="eastAsia" w:ascii="宋体" w:hAnsi="宋体"/>
        </w:rPr>
        <w:t>进行。</w:t>
      </w:r>
    </w:p>
    <w:p>
      <w:pPr>
        <w:snapToGrid w:val="0"/>
        <w:spacing w:before="203" w:beforeLines="50" w:after="203" w:afterLines="50"/>
        <w:ind w:firstLine="420"/>
        <w:rPr>
          <w:rFonts w:ascii="宋体" w:hAnsi="宋体"/>
        </w:rPr>
      </w:pPr>
      <w:r>
        <w:rPr>
          <w:rFonts w:hint="eastAsia" w:ascii="宋体" w:hAnsi="宋体"/>
        </w:rPr>
        <w:t>应确定为供电公司系统设计的（特别是为</w:t>
      </w:r>
      <w:r>
        <w:rPr>
          <w:rFonts w:ascii="宋体" w:hAnsi="宋体"/>
        </w:rPr>
        <w:t>1</w:t>
      </w:r>
      <w:r>
        <w:rPr>
          <w:rFonts w:hint="eastAsia" w:ascii="宋体" w:hAnsi="宋体"/>
        </w:rPr>
        <w:t>秒或</w:t>
      </w:r>
      <w:r>
        <w:rPr>
          <w:rFonts w:ascii="宋体" w:hAnsi="宋体"/>
        </w:rPr>
        <w:t>3</w:t>
      </w:r>
      <w:r>
        <w:rPr>
          <w:rFonts w:hint="eastAsia" w:ascii="宋体" w:hAnsi="宋体"/>
        </w:rPr>
        <w:t>秒）标称故障持续时间。同样应确定组成装置和设备的电气保护装置中断短路的时间。</w:t>
      </w:r>
    </w:p>
    <w:p>
      <w:pPr>
        <w:adjustRightInd w:val="0"/>
        <w:spacing w:line="315" w:lineRule="atLeast"/>
        <w:ind w:left="420"/>
        <w:textAlignment w:val="baseline"/>
        <w:rPr>
          <w:rFonts w:ascii="宋体" w:hAnsi="宋体"/>
        </w:rPr>
      </w:pPr>
      <w:bookmarkStart w:id="6099" w:name="_Toc136"/>
      <w:bookmarkStart w:id="6100" w:name="_Toc31449964"/>
      <w:bookmarkStart w:id="6101" w:name="_Toc19674150"/>
      <w:bookmarkStart w:id="6102" w:name="_Toc15273914"/>
      <w:bookmarkStart w:id="6103" w:name="_Toc17169917"/>
      <w:bookmarkStart w:id="6104" w:name="_Toc204929578"/>
      <w:r>
        <w:rPr>
          <w:rFonts w:hint="eastAsia" w:ascii="宋体" w:hAnsi="宋体"/>
        </w:rPr>
        <w:t>7.7.2故障承受能力</w:t>
      </w:r>
      <w:bookmarkEnd w:id="6099"/>
      <w:bookmarkEnd w:id="6100"/>
      <w:bookmarkEnd w:id="6101"/>
      <w:bookmarkEnd w:id="6102"/>
      <w:bookmarkEnd w:id="6103"/>
      <w:bookmarkEnd w:id="6104"/>
    </w:p>
    <w:p>
      <w:pPr>
        <w:snapToGrid w:val="0"/>
        <w:spacing w:before="203" w:beforeLines="50" w:after="203" w:afterLines="50"/>
        <w:ind w:firstLine="420"/>
        <w:rPr>
          <w:rFonts w:ascii="宋体" w:hAnsi="宋体"/>
        </w:rPr>
      </w:pPr>
      <w:r>
        <w:rPr>
          <w:rFonts w:hint="eastAsia" w:ascii="宋体" w:hAnsi="宋体"/>
        </w:rPr>
        <w:t>电气装置每一项目的故障承受能力将超过预期的故障级，或超过在电气系统中的连接点上计算出的故障持续时间，取两者中的大者。</w:t>
      </w:r>
    </w:p>
    <w:p>
      <w:pPr>
        <w:snapToGrid w:val="0"/>
        <w:spacing w:before="203" w:beforeLines="50" w:after="203" w:afterLines="50"/>
        <w:ind w:firstLine="420"/>
        <w:rPr>
          <w:rFonts w:ascii="宋体" w:hAnsi="宋体"/>
        </w:rPr>
      </w:pPr>
      <w:r>
        <w:rPr>
          <w:rFonts w:hint="eastAsia" w:ascii="宋体" w:hAnsi="宋体"/>
        </w:rPr>
        <w:t>没有由</w:t>
      </w:r>
      <w:r>
        <w:rPr>
          <w:rFonts w:ascii="宋体" w:hAnsi="宋体"/>
        </w:rPr>
        <w:t>HRC</w:t>
      </w:r>
      <w:r>
        <w:rPr>
          <w:rFonts w:hint="eastAsia" w:ascii="宋体" w:hAnsi="宋体"/>
        </w:rPr>
        <w:t>保险丝或其它适合的故障限制器加以保护的母线系统、母线槽、断路器及电机接线盒的故障承受能力应由</w:t>
      </w:r>
      <w:r>
        <w:rPr>
          <w:rFonts w:ascii="宋体" w:hAnsi="宋体"/>
        </w:rPr>
        <w:t>ASTA</w:t>
      </w:r>
      <w:r>
        <w:rPr>
          <w:rFonts w:hint="eastAsia" w:ascii="宋体" w:hAnsi="宋体"/>
        </w:rPr>
        <w:t>、</w:t>
      </w:r>
      <w:r>
        <w:rPr>
          <w:rFonts w:ascii="宋体" w:hAnsi="宋体"/>
        </w:rPr>
        <w:t>KEMA</w:t>
      </w:r>
      <w:r>
        <w:rPr>
          <w:rFonts w:hint="eastAsia" w:ascii="宋体" w:hAnsi="宋体"/>
        </w:rPr>
        <w:t>，或同等的短路检测机构颁发的短路典型测试证书加以证实。</w:t>
      </w:r>
    </w:p>
    <w:p>
      <w:pPr>
        <w:spacing w:before="203" w:beforeLines="50" w:after="203" w:afterLines="50"/>
        <w:outlineLvl w:val="0"/>
        <w:rPr>
          <w:rFonts w:ascii="宋体" w:hAnsi="宋体"/>
          <w:b/>
        </w:rPr>
      </w:pPr>
      <w:bookmarkStart w:id="6105" w:name="_Toc31449965"/>
      <w:bookmarkStart w:id="6106" w:name="_Toc15273915"/>
      <w:bookmarkStart w:id="6107" w:name="_Toc204929579"/>
      <w:bookmarkStart w:id="6108" w:name="_Toc17169918"/>
      <w:bookmarkStart w:id="6109" w:name="_Toc25613"/>
      <w:bookmarkStart w:id="6110" w:name="_Toc229289689"/>
      <w:bookmarkStart w:id="6111" w:name="_Toc39809963"/>
      <w:bookmarkStart w:id="6112" w:name="_Toc231198891"/>
      <w:bookmarkStart w:id="6113" w:name="_Toc262043007"/>
      <w:bookmarkStart w:id="6114" w:name="_Toc229294634"/>
      <w:bookmarkStart w:id="6115" w:name="_Toc229288683"/>
      <w:bookmarkStart w:id="6116" w:name="_Toc231198992"/>
      <w:bookmarkStart w:id="6117" w:name="_Toc19674151"/>
      <w:bookmarkStart w:id="6118" w:name="_Toc106883576"/>
      <w:r>
        <w:rPr>
          <w:rFonts w:hint="eastAsia" w:ascii="宋体" w:hAnsi="宋体"/>
          <w:b/>
        </w:rPr>
        <w:t>7.8 电压偏差及波动</w:t>
      </w:r>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p>
    <w:p>
      <w:pPr>
        <w:snapToGrid w:val="0"/>
        <w:spacing w:before="203" w:beforeLines="50" w:after="203" w:afterLines="50"/>
        <w:ind w:firstLine="420"/>
        <w:rPr>
          <w:rFonts w:ascii="宋体" w:hAnsi="宋体"/>
        </w:rPr>
      </w:pPr>
      <w:r>
        <w:rPr>
          <w:rFonts w:hint="eastAsia" w:ascii="宋体" w:hAnsi="宋体"/>
        </w:rPr>
        <w:t>在对电气系统中的装置调压时，应考虑到电压的调节不会导致装置的任一部件的失灵，比如泛光灯的熄灭、传动装置的跳闸等。为此：</w:t>
      </w:r>
    </w:p>
    <w:p>
      <w:pPr>
        <w:numPr>
          <w:ilvl w:val="0"/>
          <w:numId w:val="27"/>
        </w:numPr>
        <w:tabs>
          <w:tab w:val="left" w:pos="993"/>
        </w:tabs>
        <w:adjustRightInd w:val="0"/>
        <w:snapToGrid w:val="0"/>
        <w:spacing w:before="203" w:beforeLines="50" w:after="203" w:afterLines="50"/>
        <w:ind w:left="993" w:hanging="567"/>
        <w:textAlignment w:val="baseline"/>
        <w:rPr>
          <w:rFonts w:ascii="宋体" w:hAnsi="宋体"/>
        </w:rPr>
      </w:pPr>
      <w:r>
        <w:rPr>
          <w:rFonts w:hint="eastAsia" w:ascii="宋体" w:hAnsi="宋体"/>
        </w:rPr>
        <w:t>在稳定运行状态下，不考虑电机起动，变压器瞬变等因素，用电设备端子处电压偏差允许值(一额定电压的百分数表示)可按下列要求验算：一般电动机≤±5%；电梯电动机≤±7%；照明：在一般工作场所为≤±5%；在视觉要求较高的屋内场所为≤+5%、-2.5%；对于远离变电所的小面积一般工作场所，难以满足上述要求时，可为+5%、-10%范围内;其它用电设备，当无特殊规定时为±5%范围内。</w:t>
      </w:r>
    </w:p>
    <w:p>
      <w:pPr>
        <w:numPr>
          <w:ilvl w:val="0"/>
          <w:numId w:val="27"/>
        </w:numPr>
        <w:tabs>
          <w:tab w:val="left" w:pos="993"/>
        </w:tabs>
        <w:adjustRightInd w:val="0"/>
        <w:snapToGrid w:val="0"/>
        <w:spacing w:before="203" w:beforeLines="50" w:after="203" w:afterLines="50"/>
        <w:ind w:left="993" w:hanging="567"/>
        <w:textAlignment w:val="baseline"/>
        <w:rPr>
          <w:rFonts w:ascii="宋体" w:hAnsi="宋体"/>
        </w:rPr>
      </w:pPr>
      <w:r>
        <w:rPr>
          <w:rFonts w:hint="eastAsia" w:ascii="宋体" w:hAnsi="宋体"/>
        </w:rPr>
        <w:t>在电机启动时，配电母线上的电压应不低于系统标称电压的90%。</w:t>
      </w:r>
    </w:p>
    <w:p>
      <w:pPr>
        <w:numPr>
          <w:ilvl w:val="0"/>
          <w:numId w:val="27"/>
        </w:numPr>
        <w:tabs>
          <w:tab w:val="left" w:pos="993"/>
        </w:tabs>
        <w:adjustRightInd w:val="0"/>
        <w:snapToGrid w:val="0"/>
        <w:spacing w:before="203" w:beforeLines="50" w:after="203" w:afterLines="50"/>
        <w:ind w:left="993" w:hanging="567"/>
        <w:textAlignment w:val="baseline"/>
        <w:rPr>
          <w:rFonts w:ascii="宋体" w:hAnsi="宋体"/>
        </w:rPr>
      </w:pPr>
      <w:r>
        <w:rPr>
          <w:rFonts w:hint="eastAsia" w:ascii="宋体" w:hAnsi="宋体"/>
        </w:rPr>
        <w:t>上述电压偏差及波动的限制适用于：</w:t>
      </w:r>
    </w:p>
    <w:p>
      <w:pPr>
        <w:numPr>
          <w:ilvl w:val="2"/>
          <w:numId w:val="28"/>
        </w:numPr>
        <w:tabs>
          <w:tab w:val="left" w:pos="1418"/>
        </w:tabs>
        <w:adjustRightInd w:val="0"/>
        <w:snapToGrid w:val="0"/>
        <w:spacing w:before="203" w:beforeLines="50" w:after="203" w:afterLines="50"/>
        <w:ind w:left="1417" w:hanging="425"/>
        <w:textAlignment w:val="baseline"/>
        <w:rPr>
          <w:rFonts w:ascii="宋体" w:hAnsi="宋体"/>
        </w:rPr>
      </w:pPr>
      <w:r>
        <w:rPr>
          <w:rFonts w:hint="eastAsia" w:ascii="宋体" w:hAnsi="宋体"/>
        </w:rPr>
        <w:t>每一种可使用的电源布置。因此，例如，如果有两个主供电电源，不论是两个电源都在使用，或是只用其中的一个电源，该限制都将适用；</w:t>
      </w:r>
    </w:p>
    <w:p>
      <w:pPr>
        <w:numPr>
          <w:ilvl w:val="2"/>
          <w:numId w:val="28"/>
        </w:numPr>
        <w:tabs>
          <w:tab w:val="left" w:pos="1418"/>
        </w:tabs>
        <w:adjustRightInd w:val="0"/>
        <w:snapToGrid w:val="0"/>
        <w:spacing w:before="203" w:beforeLines="50" w:after="203" w:afterLines="50"/>
        <w:ind w:left="1417" w:hanging="425"/>
        <w:textAlignment w:val="baseline"/>
        <w:rPr>
          <w:rFonts w:ascii="宋体" w:hAnsi="宋体"/>
        </w:rPr>
      </w:pPr>
      <w:r>
        <w:rPr>
          <w:rFonts w:hint="eastAsia" w:ascii="宋体" w:hAnsi="宋体"/>
        </w:rPr>
        <w:t>电力公司提供的连接点的最低预期故障水平；</w:t>
      </w:r>
    </w:p>
    <w:p>
      <w:pPr>
        <w:numPr>
          <w:ilvl w:val="2"/>
          <w:numId w:val="28"/>
        </w:numPr>
        <w:tabs>
          <w:tab w:val="left" w:pos="1418"/>
        </w:tabs>
        <w:adjustRightInd w:val="0"/>
        <w:snapToGrid w:val="0"/>
        <w:spacing w:before="203" w:beforeLines="50" w:after="203" w:afterLines="50"/>
        <w:ind w:left="1417" w:hanging="425"/>
        <w:textAlignment w:val="baseline"/>
        <w:rPr>
          <w:rFonts w:ascii="宋体" w:hAnsi="宋体"/>
        </w:rPr>
      </w:pPr>
      <w:r>
        <w:rPr>
          <w:rFonts w:hint="eastAsia" w:ascii="宋体" w:hAnsi="宋体"/>
        </w:rPr>
        <w:t>当两台并联的变压器中，只有其中一台在使用时。</w:t>
      </w:r>
    </w:p>
    <w:p>
      <w:pPr>
        <w:snapToGrid w:val="0"/>
        <w:spacing w:before="203" w:beforeLines="50" w:after="203" w:afterLines="50"/>
        <w:ind w:firstLine="420"/>
        <w:rPr>
          <w:rFonts w:ascii="宋体" w:hAnsi="宋体"/>
        </w:rPr>
      </w:pPr>
      <w:r>
        <w:rPr>
          <w:rFonts w:hint="eastAsia" w:ascii="宋体" w:hAnsi="宋体"/>
        </w:rPr>
        <w:t>对电机线路而言，可以与电机同时操作的电气装置和设备的其它项目的公共耦合点与电机满负荷操作时的电机接线端子之间的电压下降不能超过公共耦合点的标称系统电压的</w:t>
      </w:r>
      <w:r>
        <w:rPr>
          <w:rFonts w:ascii="宋体" w:hAnsi="宋体"/>
        </w:rPr>
        <w:t>2.5%</w:t>
      </w:r>
      <w:r>
        <w:rPr>
          <w:rFonts w:hint="eastAsia" w:ascii="宋体" w:hAnsi="宋体"/>
        </w:rPr>
        <w:t>。</w:t>
      </w:r>
    </w:p>
    <w:p>
      <w:pPr>
        <w:snapToGrid w:val="0"/>
        <w:spacing w:before="203" w:beforeLines="50" w:after="203" w:afterLines="50"/>
        <w:ind w:firstLine="420"/>
        <w:rPr>
          <w:rFonts w:ascii="宋体" w:hAnsi="宋体"/>
        </w:rPr>
      </w:pPr>
      <w:r>
        <w:rPr>
          <w:rFonts w:hint="eastAsia" w:ascii="宋体" w:hAnsi="宋体"/>
        </w:rPr>
        <w:t>除非另有说明，用以防止大型电机同时启动的硬连线联锁或软件联锁都可以接受。一旦提供了此类联锁，视其为符合合同条款的目的是可以接收的，即使没有提供用于防止大型电机同时启动的“手动”联锁亦可。</w:t>
      </w:r>
    </w:p>
    <w:p>
      <w:pPr>
        <w:snapToGrid w:val="0"/>
        <w:spacing w:before="203" w:beforeLines="50" w:after="203" w:afterLines="50"/>
        <w:ind w:firstLine="420"/>
        <w:rPr>
          <w:rFonts w:ascii="宋体" w:hAnsi="宋体"/>
        </w:rPr>
      </w:pPr>
      <w:r>
        <w:rPr>
          <w:rFonts w:hint="eastAsia" w:ascii="宋体" w:hAnsi="宋体"/>
        </w:rPr>
        <w:t>凡由承包商负责选定电机起动器的型号或动力电缆的大小时，承包商应进行计算，以证明其符合电压偏差及波动的上述规定的限制。</w:t>
      </w:r>
    </w:p>
    <w:p>
      <w:pPr>
        <w:spacing w:before="203" w:beforeLines="50" w:after="203" w:afterLines="50"/>
        <w:outlineLvl w:val="0"/>
        <w:rPr>
          <w:rFonts w:ascii="宋体" w:hAnsi="宋体"/>
          <w:b/>
        </w:rPr>
      </w:pPr>
      <w:bookmarkStart w:id="6119" w:name="_Toc44593758"/>
      <w:bookmarkStart w:id="6120" w:name="_Toc69484260"/>
      <w:bookmarkStart w:id="6121" w:name="_Toc31449966"/>
      <w:bookmarkStart w:id="6122" w:name="_Toc15273918"/>
      <w:bookmarkStart w:id="6123" w:name="_Toc39809964"/>
      <w:bookmarkStart w:id="6124" w:name="_Toc17169921"/>
      <w:bookmarkStart w:id="6125" w:name="_Toc1507"/>
      <w:bookmarkStart w:id="6126" w:name="_Toc229294635"/>
      <w:bookmarkStart w:id="6127" w:name="_Toc204929580"/>
      <w:bookmarkStart w:id="6128" w:name="_Toc24788"/>
      <w:bookmarkStart w:id="6129" w:name="_Toc229288684"/>
      <w:bookmarkStart w:id="6130" w:name="_Toc19674154"/>
      <w:bookmarkStart w:id="6131" w:name="_Toc229289690"/>
      <w:bookmarkStart w:id="6132" w:name="_Toc231198892"/>
      <w:bookmarkStart w:id="6133" w:name="_Toc262043008"/>
      <w:bookmarkStart w:id="6134" w:name="_Toc231198993"/>
      <w:bookmarkStart w:id="6135" w:name="_Toc106883577"/>
      <w:r>
        <w:rPr>
          <w:rFonts w:hint="eastAsia" w:ascii="宋体" w:hAnsi="宋体"/>
          <w:b/>
        </w:rPr>
        <w:t>7.9 电机启动</w: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snapToGrid w:val="0"/>
        <w:spacing w:before="203" w:beforeLines="50" w:after="203" w:afterLines="50"/>
        <w:ind w:firstLine="420"/>
        <w:rPr>
          <w:rFonts w:ascii="宋体" w:hAnsi="宋体"/>
        </w:rPr>
      </w:pPr>
      <w:r>
        <w:rPr>
          <w:rFonts w:hint="eastAsia" w:ascii="宋体" w:hAnsi="宋体"/>
        </w:rPr>
        <w:t>凡由承包商负责挑选电机的定速起动器的合适的类型时，下列因素应加以考虑：</w:t>
      </w:r>
    </w:p>
    <w:p>
      <w:pPr>
        <w:numPr>
          <w:ilvl w:val="0"/>
          <w:numId w:val="29"/>
        </w:numPr>
        <w:adjustRightInd w:val="0"/>
        <w:snapToGrid w:val="0"/>
        <w:spacing w:before="203" w:beforeLines="50" w:after="203" w:afterLines="50"/>
        <w:ind w:left="902"/>
        <w:textAlignment w:val="baseline"/>
        <w:rPr>
          <w:rFonts w:ascii="宋体" w:hAnsi="宋体"/>
        </w:rPr>
      </w:pPr>
      <w:r>
        <w:rPr>
          <w:rFonts w:hint="eastAsia" w:ascii="宋体" w:hAnsi="宋体"/>
        </w:rPr>
        <w:t>传动设备和电机的转距</w:t>
      </w:r>
      <w:r>
        <w:rPr>
          <w:rFonts w:ascii="宋体" w:hAnsi="宋体"/>
        </w:rPr>
        <w:t>/</w:t>
      </w:r>
      <w:r>
        <w:rPr>
          <w:rFonts w:hint="eastAsia" w:ascii="宋体" w:hAnsi="宋体"/>
        </w:rPr>
        <w:t>速度曲线</w:t>
      </w:r>
    </w:p>
    <w:p>
      <w:pPr>
        <w:numPr>
          <w:ilvl w:val="0"/>
          <w:numId w:val="29"/>
        </w:numPr>
        <w:adjustRightInd w:val="0"/>
        <w:snapToGrid w:val="0"/>
        <w:spacing w:before="203" w:beforeLines="50" w:after="203" w:afterLines="50"/>
        <w:ind w:left="902"/>
        <w:textAlignment w:val="baseline"/>
        <w:rPr>
          <w:rFonts w:ascii="宋体" w:hAnsi="宋体"/>
        </w:rPr>
      </w:pPr>
      <w:r>
        <w:rPr>
          <w:rFonts w:hint="eastAsia" w:ascii="宋体" w:hAnsi="宋体"/>
        </w:rPr>
        <w:t>启动每个电机计算出的频率和合适电机启动次数</w:t>
      </w:r>
      <w:r>
        <w:rPr>
          <w:rFonts w:ascii="宋体" w:hAnsi="宋体"/>
        </w:rPr>
        <w:t>/</w:t>
      </w:r>
      <w:r>
        <w:rPr>
          <w:rFonts w:hint="eastAsia" w:ascii="宋体" w:hAnsi="宋体"/>
        </w:rPr>
        <w:t>小时数</w:t>
      </w:r>
    </w:p>
    <w:p>
      <w:pPr>
        <w:numPr>
          <w:ilvl w:val="0"/>
          <w:numId w:val="29"/>
        </w:numPr>
        <w:adjustRightInd w:val="0"/>
        <w:snapToGrid w:val="0"/>
        <w:spacing w:before="203" w:beforeLines="50" w:after="203" w:afterLines="50"/>
        <w:ind w:left="902"/>
        <w:textAlignment w:val="baseline"/>
        <w:rPr>
          <w:rFonts w:ascii="宋体" w:hAnsi="宋体"/>
        </w:rPr>
      </w:pPr>
      <w:r>
        <w:rPr>
          <w:rFonts w:hint="eastAsia" w:ascii="宋体" w:hAnsi="宋体"/>
        </w:rPr>
        <w:t>电压波动</w:t>
      </w:r>
    </w:p>
    <w:p>
      <w:pPr>
        <w:numPr>
          <w:ilvl w:val="0"/>
          <w:numId w:val="29"/>
        </w:numPr>
        <w:adjustRightInd w:val="0"/>
        <w:snapToGrid w:val="0"/>
        <w:spacing w:before="203" w:beforeLines="50" w:after="203" w:afterLines="50"/>
        <w:ind w:left="902"/>
        <w:textAlignment w:val="baseline"/>
        <w:rPr>
          <w:rFonts w:ascii="宋体" w:hAnsi="宋体"/>
        </w:rPr>
      </w:pPr>
      <w:r>
        <w:rPr>
          <w:rFonts w:ascii="宋体" w:hAnsi="宋体"/>
        </w:rPr>
        <w:t>“</w:t>
      </w:r>
      <w:r>
        <w:rPr>
          <w:rFonts w:hint="eastAsia" w:ascii="宋体" w:hAnsi="宋体"/>
        </w:rPr>
        <w:t>寿命成本</w:t>
      </w:r>
      <w:r>
        <w:rPr>
          <w:rFonts w:ascii="宋体" w:hAnsi="宋体"/>
        </w:rPr>
        <w:t>”</w:t>
      </w:r>
    </w:p>
    <w:p>
      <w:pPr>
        <w:snapToGrid w:val="0"/>
        <w:spacing w:before="203" w:beforeLines="50" w:after="203" w:afterLines="50"/>
        <w:ind w:firstLine="420"/>
        <w:rPr>
          <w:rFonts w:ascii="宋体" w:hAnsi="宋体"/>
        </w:rPr>
      </w:pPr>
      <w:r>
        <w:rPr>
          <w:rFonts w:hint="eastAsia" w:ascii="宋体" w:hAnsi="宋体"/>
        </w:rPr>
        <w:t>电机起动器应为下列类型之一：</w:t>
      </w:r>
    </w:p>
    <w:p>
      <w:pPr>
        <w:numPr>
          <w:ilvl w:val="0"/>
          <w:numId w:val="30"/>
        </w:numPr>
        <w:adjustRightInd w:val="0"/>
        <w:snapToGrid w:val="0"/>
        <w:spacing w:before="203" w:beforeLines="50" w:after="203" w:afterLines="50"/>
        <w:textAlignment w:val="baseline"/>
        <w:rPr>
          <w:rFonts w:ascii="宋体" w:hAnsi="宋体"/>
        </w:rPr>
      </w:pPr>
      <w:r>
        <w:rPr>
          <w:rFonts w:hint="eastAsia" w:ascii="宋体" w:hAnsi="宋体"/>
        </w:rPr>
        <w:t>直接联机启机</w:t>
      </w:r>
    </w:p>
    <w:p>
      <w:pPr>
        <w:numPr>
          <w:ilvl w:val="0"/>
          <w:numId w:val="30"/>
        </w:numPr>
        <w:adjustRightInd w:val="0"/>
        <w:snapToGrid w:val="0"/>
        <w:spacing w:before="203" w:beforeLines="50" w:after="203" w:afterLines="50"/>
        <w:ind w:left="902"/>
        <w:textAlignment w:val="baseline"/>
        <w:rPr>
          <w:rFonts w:ascii="宋体" w:hAnsi="宋体"/>
        </w:rPr>
      </w:pPr>
      <w:r>
        <w:rPr>
          <w:rFonts w:hint="eastAsia" w:ascii="宋体" w:hAnsi="宋体"/>
        </w:rPr>
        <w:t>软启动</w:t>
      </w:r>
    </w:p>
    <w:p>
      <w:pPr>
        <w:numPr>
          <w:ilvl w:val="0"/>
          <w:numId w:val="30"/>
        </w:numPr>
        <w:adjustRightInd w:val="0"/>
        <w:snapToGrid w:val="0"/>
        <w:spacing w:before="203" w:beforeLines="50" w:after="203" w:afterLines="50"/>
        <w:ind w:left="902"/>
        <w:textAlignment w:val="baseline"/>
        <w:rPr>
          <w:rFonts w:ascii="宋体" w:hAnsi="宋体"/>
        </w:rPr>
      </w:pPr>
      <w:r>
        <w:rPr>
          <w:rFonts w:hint="eastAsia" w:ascii="宋体" w:hAnsi="宋体"/>
        </w:rPr>
        <w:t>变频启动</w:t>
      </w:r>
    </w:p>
    <w:p>
      <w:pPr>
        <w:snapToGrid w:val="0"/>
        <w:spacing w:before="203" w:beforeLines="50" w:after="203" w:afterLines="50"/>
        <w:ind w:firstLine="420"/>
        <w:rPr>
          <w:rFonts w:ascii="宋体" w:hAnsi="宋体"/>
        </w:rPr>
      </w:pPr>
      <w:r>
        <w:rPr>
          <w:rFonts w:hint="eastAsia" w:ascii="宋体" w:hAnsi="宋体"/>
        </w:rPr>
        <w:t>其中，只要电压变动值是在规定的限度内，都可以选用直接联机启动器。假如选用软起动装置，应确定相适宜的特征（比如</w:t>
      </w:r>
      <w:r>
        <w:rPr>
          <w:rFonts w:ascii="宋体" w:hAnsi="宋体"/>
        </w:rPr>
        <w:t>“</w:t>
      </w:r>
      <w:r>
        <w:rPr>
          <w:rFonts w:hint="eastAsia" w:ascii="宋体" w:hAnsi="宋体"/>
        </w:rPr>
        <w:t>电压斜线上升</w:t>
      </w:r>
      <w:r>
        <w:rPr>
          <w:rFonts w:ascii="宋体" w:hAnsi="宋体"/>
        </w:rPr>
        <w:t>”</w:t>
      </w:r>
      <w:r>
        <w:rPr>
          <w:rFonts w:hint="eastAsia" w:ascii="宋体" w:hAnsi="宋体"/>
        </w:rPr>
        <w:t>、</w:t>
      </w:r>
      <w:r>
        <w:rPr>
          <w:rFonts w:ascii="宋体" w:hAnsi="宋体"/>
        </w:rPr>
        <w:t>“</w:t>
      </w:r>
      <w:r>
        <w:rPr>
          <w:rFonts w:hint="eastAsia" w:ascii="宋体" w:hAnsi="宋体"/>
        </w:rPr>
        <w:t>泵启动</w:t>
      </w:r>
      <w:r>
        <w:rPr>
          <w:rFonts w:ascii="宋体" w:hAnsi="宋体"/>
        </w:rPr>
        <w:t>”</w:t>
      </w:r>
      <w:r>
        <w:rPr>
          <w:rFonts w:hint="eastAsia" w:ascii="宋体" w:hAnsi="宋体"/>
        </w:rPr>
        <w:t>和可能的</w:t>
      </w:r>
      <w:r>
        <w:rPr>
          <w:rFonts w:ascii="宋体" w:hAnsi="宋体"/>
        </w:rPr>
        <w:t>“</w:t>
      </w:r>
      <w:r>
        <w:rPr>
          <w:rFonts w:hint="eastAsia" w:ascii="宋体" w:hAnsi="宋体"/>
        </w:rPr>
        <w:t>软停止</w:t>
      </w:r>
      <w:r>
        <w:rPr>
          <w:rFonts w:ascii="宋体" w:hAnsi="宋体"/>
        </w:rPr>
        <w:t>”</w:t>
      </w:r>
      <w:r>
        <w:rPr>
          <w:rFonts w:hint="eastAsia" w:ascii="宋体" w:hAnsi="宋体"/>
        </w:rPr>
        <w:t>）。</w:t>
      </w:r>
    </w:p>
    <w:p>
      <w:pPr>
        <w:spacing w:before="203" w:beforeLines="50" w:after="203" w:afterLines="50"/>
        <w:outlineLvl w:val="0"/>
        <w:rPr>
          <w:rFonts w:ascii="宋体" w:hAnsi="宋体"/>
          <w:b/>
        </w:rPr>
      </w:pPr>
      <w:bookmarkStart w:id="6136" w:name="_Toc204929581"/>
      <w:bookmarkStart w:id="6137" w:name="_Toc231198994"/>
      <w:bookmarkStart w:id="6138" w:name="_Toc39809965"/>
      <w:bookmarkStart w:id="6139" w:name="_Toc229294636"/>
      <w:bookmarkStart w:id="6140" w:name="_Toc31449967"/>
      <w:bookmarkStart w:id="6141" w:name="_Toc17169922"/>
      <w:bookmarkStart w:id="6142" w:name="_Toc229288685"/>
      <w:bookmarkStart w:id="6143" w:name="_Toc231198893"/>
      <w:bookmarkStart w:id="6144" w:name="_Toc262043009"/>
      <w:bookmarkStart w:id="6145" w:name="_Toc15273919"/>
      <w:bookmarkStart w:id="6146" w:name="_Toc19674155"/>
      <w:bookmarkStart w:id="6147" w:name="_Toc229289691"/>
      <w:bookmarkStart w:id="6148" w:name="_Toc44593759"/>
      <w:bookmarkStart w:id="6149" w:name="_Toc21926"/>
      <w:bookmarkStart w:id="6150" w:name="_Toc27006"/>
      <w:bookmarkStart w:id="6151" w:name="_Toc69484261"/>
      <w:bookmarkStart w:id="6152" w:name="_Toc106883578"/>
      <w:r>
        <w:rPr>
          <w:rFonts w:hint="eastAsia" w:ascii="宋体" w:hAnsi="宋体"/>
          <w:b/>
        </w:rPr>
        <w:t>7.10 电气</w:t>
      </w:r>
      <w:bookmarkEnd w:id="6136"/>
      <w:bookmarkEnd w:id="6137"/>
      <w:bookmarkEnd w:id="6138"/>
      <w:bookmarkEnd w:id="6139"/>
      <w:bookmarkEnd w:id="6140"/>
      <w:bookmarkEnd w:id="6141"/>
      <w:bookmarkEnd w:id="6142"/>
      <w:bookmarkEnd w:id="6143"/>
      <w:bookmarkEnd w:id="6144"/>
      <w:bookmarkEnd w:id="6145"/>
      <w:bookmarkEnd w:id="6146"/>
      <w:bookmarkEnd w:id="6147"/>
      <w:r>
        <w:rPr>
          <w:rFonts w:hint="eastAsia" w:ascii="宋体" w:hAnsi="宋体"/>
          <w:b/>
        </w:rPr>
        <w:t>控制柜</w:t>
      </w:r>
      <w:bookmarkEnd w:id="6148"/>
      <w:bookmarkEnd w:id="6149"/>
      <w:bookmarkEnd w:id="6150"/>
      <w:bookmarkEnd w:id="6151"/>
      <w:bookmarkEnd w:id="6152"/>
    </w:p>
    <w:p>
      <w:pPr>
        <w:snapToGrid w:val="0"/>
        <w:spacing w:before="203" w:beforeLines="50" w:after="203" w:afterLines="50"/>
        <w:rPr>
          <w:rFonts w:ascii="宋体" w:hAnsi="宋体"/>
        </w:rPr>
      </w:pPr>
      <w:r>
        <w:rPr>
          <w:rFonts w:hint="eastAsia" w:ascii="宋体" w:hAnsi="宋体"/>
        </w:rPr>
        <w:t>只要有可能，电气装置应布置在没有滴水，喷水，远离化学品、污泥等的地方；所有电气设备的安装地点都应符合</w:t>
      </w:r>
      <w:r>
        <w:rPr>
          <w:rFonts w:ascii="宋体" w:hAnsi="宋体"/>
        </w:rPr>
        <w:t>BS EN 60529</w:t>
      </w:r>
      <w:r>
        <w:rPr>
          <w:rFonts w:hint="eastAsia" w:ascii="宋体" w:hAnsi="宋体"/>
        </w:rPr>
        <w:t>规范所确定的电气IP防护等级。特别是：</w:t>
      </w:r>
    </w:p>
    <w:p>
      <w:pPr>
        <w:numPr>
          <w:ilvl w:val="1"/>
          <w:numId w:val="31"/>
        </w:numPr>
        <w:adjustRightInd w:val="0"/>
        <w:snapToGrid w:val="0"/>
        <w:spacing w:before="203" w:beforeLines="50" w:after="203" w:afterLines="50"/>
        <w:ind w:left="851" w:hanging="425"/>
        <w:textAlignment w:val="baseline"/>
        <w:rPr>
          <w:rFonts w:ascii="宋体" w:hAnsi="宋体"/>
        </w:rPr>
      </w:pPr>
      <w:r>
        <w:rPr>
          <w:rFonts w:hint="eastAsia" w:ascii="宋体" w:hAnsi="宋体"/>
        </w:rPr>
        <w:t>电气装置和设备的各项，不管是在正常或非正常的条件下，如果有可能被水淹泡的话，则其（包括所有电缆接头）柜体应符合</w:t>
      </w:r>
      <w:r>
        <w:rPr>
          <w:rFonts w:ascii="宋体" w:hAnsi="宋体"/>
        </w:rPr>
        <w:t>IP68</w:t>
      </w:r>
      <w:r>
        <w:rPr>
          <w:rFonts w:hint="eastAsia" w:ascii="宋体" w:hAnsi="宋体"/>
        </w:rPr>
        <w:t>54等级的要求；</w:t>
      </w:r>
    </w:p>
    <w:p>
      <w:pPr>
        <w:numPr>
          <w:ilvl w:val="1"/>
          <w:numId w:val="31"/>
        </w:numPr>
        <w:adjustRightInd w:val="0"/>
        <w:snapToGrid w:val="0"/>
        <w:spacing w:before="203" w:beforeLines="50" w:after="203" w:afterLines="50"/>
        <w:ind w:left="851" w:hanging="425"/>
        <w:textAlignment w:val="baseline"/>
        <w:rPr>
          <w:rFonts w:ascii="宋体" w:hAnsi="宋体"/>
        </w:rPr>
      </w:pPr>
      <w:r>
        <w:rPr>
          <w:rFonts w:hint="eastAsia" w:ascii="宋体" w:hAnsi="宋体"/>
        </w:rPr>
        <w:t>在可能的情况下，在采购电气装置和设备时，应同时配套工厂已接线的电缆，并且电缆的另一端应接线在没有水淹危险的位置；</w:t>
      </w:r>
    </w:p>
    <w:p>
      <w:pPr>
        <w:numPr>
          <w:ilvl w:val="1"/>
          <w:numId w:val="31"/>
        </w:numPr>
        <w:adjustRightInd w:val="0"/>
        <w:snapToGrid w:val="0"/>
        <w:spacing w:before="203" w:beforeLines="50" w:after="203" w:afterLines="50"/>
        <w:ind w:left="851" w:hanging="425"/>
        <w:textAlignment w:val="baseline"/>
        <w:rPr>
          <w:rFonts w:ascii="宋体" w:hAnsi="宋体"/>
        </w:rPr>
      </w:pPr>
      <w:r>
        <w:rPr>
          <w:rFonts w:hint="eastAsia" w:ascii="宋体" w:hAnsi="宋体"/>
        </w:rPr>
        <w:t>当电气装置和设备虽然没有水淹的可能性，但是可能会遇到水滴或偶尔的溢水时，其保护等级，包括所有电缆接头的防护等级，将符合</w:t>
      </w:r>
      <w:r>
        <w:rPr>
          <w:rFonts w:ascii="宋体" w:hAnsi="宋体"/>
        </w:rPr>
        <w:t>IP66</w:t>
      </w:r>
      <w:r>
        <w:rPr>
          <w:rFonts w:hint="eastAsia" w:ascii="宋体" w:hAnsi="宋体"/>
        </w:rPr>
        <w:t>级的要求；</w:t>
      </w:r>
    </w:p>
    <w:p>
      <w:pPr>
        <w:numPr>
          <w:ilvl w:val="1"/>
          <w:numId w:val="31"/>
        </w:numPr>
        <w:adjustRightInd w:val="0"/>
        <w:snapToGrid w:val="0"/>
        <w:spacing w:before="203" w:beforeLines="50" w:after="203" w:afterLines="50"/>
        <w:ind w:left="851" w:hanging="425"/>
        <w:textAlignment w:val="baseline"/>
        <w:rPr>
          <w:rFonts w:ascii="宋体" w:hAnsi="宋体"/>
        </w:rPr>
      </w:pPr>
      <w:r>
        <w:rPr>
          <w:rFonts w:hint="eastAsia" w:ascii="宋体" w:hAnsi="宋体"/>
        </w:rPr>
        <w:t>当电气装置和设备安装在户外，且没有额外的保护措施时，该设备包括所有电缆接头的防护等级应符合</w:t>
      </w:r>
      <w:r>
        <w:rPr>
          <w:rFonts w:ascii="宋体" w:hAnsi="宋体"/>
        </w:rPr>
        <w:t>IP</w:t>
      </w:r>
      <w:r>
        <w:rPr>
          <w:rFonts w:hint="eastAsia" w:ascii="宋体" w:hAnsi="宋体"/>
        </w:rPr>
        <w:t>64级的要求；</w:t>
      </w:r>
    </w:p>
    <w:p>
      <w:pPr>
        <w:numPr>
          <w:ilvl w:val="1"/>
          <w:numId w:val="31"/>
        </w:numPr>
        <w:adjustRightInd w:val="0"/>
        <w:snapToGrid w:val="0"/>
        <w:spacing w:before="203" w:beforeLines="50" w:after="203" w:afterLines="50"/>
        <w:ind w:left="851" w:hanging="425"/>
        <w:textAlignment w:val="baseline"/>
        <w:rPr>
          <w:rFonts w:ascii="宋体" w:hAnsi="宋体"/>
        </w:rPr>
      </w:pPr>
      <w:r>
        <w:rPr>
          <w:rFonts w:hint="eastAsia" w:ascii="宋体" w:hAnsi="宋体"/>
        </w:rPr>
        <w:t>当电气装置和设备（除变压器外）安装在室内，且不会有水淹，滴水或溅水的危险时，该设备的防护等级应符合IP33, 电缆接头的防护等级应符合</w:t>
      </w:r>
      <w:r>
        <w:rPr>
          <w:rFonts w:ascii="宋体" w:hAnsi="宋体"/>
        </w:rPr>
        <w:t>IP44</w:t>
      </w:r>
      <w:r>
        <w:rPr>
          <w:rFonts w:hint="eastAsia" w:ascii="宋体" w:hAnsi="宋体"/>
        </w:rPr>
        <w:t>的要求。室内变压器防护等级应符合</w:t>
      </w:r>
      <w:r>
        <w:rPr>
          <w:rFonts w:ascii="宋体" w:hAnsi="宋体"/>
        </w:rPr>
        <w:t>IP</w:t>
      </w:r>
      <w:r>
        <w:rPr>
          <w:rFonts w:hint="eastAsia" w:ascii="宋体" w:hAnsi="宋体"/>
        </w:rPr>
        <w:t>20的要求；</w:t>
      </w:r>
    </w:p>
    <w:p>
      <w:pPr>
        <w:numPr>
          <w:ilvl w:val="1"/>
          <w:numId w:val="31"/>
        </w:numPr>
        <w:adjustRightInd w:val="0"/>
        <w:snapToGrid w:val="0"/>
        <w:spacing w:before="203" w:beforeLines="50" w:after="203" w:afterLines="50"/>
        <w:ind w:left="851" w:hanging="425"/>
        <w:textAlignment w:val="baseline"/>
        <w:rPr>
          <w:rFonts w:ascii="宋体" w:hAnsi="宋体"/>
        </w:rPr>
      </w:pPr>
      <w:r>
        <w:rPr>
          <w:rFonts w:hint="eastAsia" w:ascii="宋体" w:hAnsi="宋体"/>
        </w:rPr>
        <w:t>当电气装置需要的冷却空气要穿过箱体时，则其将不得安装在可能被水淹或滴水的位置或暴露的户外位置。其保护等级应符合</w:t>
      </w:r>
      <w:r>
        <w:rPr>
          <w:rFonts w:ascii="宋体" w:hAnsi="宋体"/>
        </w:rPr>
        <w:t>IP44</w:t>
      </w:r>
      <w:r>
        <w:rPr>
          <w:rFonts w:hint="eastAsia" w:ascii="宋体" w:hAnsi="宋体"/>
        </w:rPr>
        <w:t>级，但进出气口除外，它将满足</w:t>
      </w:r>
      <w:r>
        <w:rPr>
          <w:rFonts w:ascii="宋体" w:hAnsi="宋体"/>
        </w:rPr>
        <w:t>IP22</w:t>
      </w:r>
      <w:r>
        <w:rPr>
          <w:rFonts w:hint="eastAsia" w:ascii="宋体" w:hAnsi="宋体"/>
        </w:rPr>
        <w:t>的要求；</w:t>
      </w:r>
    </w:p>
    <w:p>
      <w:pPr>
        <w:numPr>
          <w:ilvl w:val="1"/>
          <w:numId w:val="31"/>
        </w:numPr>
        <w:adjustRightInd w:val="0"/>
        <w:snapToGrid w:val="0"/>
        <w:spacing w:before="203" w:beforeLines="50" w:after="203" w:afterLines="50"/>
        <w:ind w:left="851" w:hanging="425"/>
        <w:textAlignment w:val="baseline"/>
        <w:rPr>
          <w:rFonts w:ascii="宋体" w:hAnsi="宋体"/>
        </w:rPr>
      </w:pPr>
      <w:r>
        <w:rPr>
          <w:rFonts w:hint="eastAsia" w:ascii="宋体" w:hAnsi="宋体"/>
        </w:rPr>
        <w:t>包含有标称电压</w:t>
      </w:r>
      <w:r>
        <w:rPr>
          <w:rFonts w:ascii="宋体" w:hAnsi="宋体"/>
        </w:rPr>
        <w:t>12 V</w:t>
      </w:r>
      <w:r>
        <w:rPr>
          <w:rFonts w:hint="eastAsia" w:ascii="宋体" w:hAnsi="宋体"/>
        </w:rPr>
        <w:t>或以上的电池的箱体装置应配备百叶通风口或其它通风措施，以最大限度地减少氢气在箱体装置中的积聚。箱体应符合上述等级要求，但百叶和通风口除外，其保护应为</w:t>
      </w:r>
      <w:r>
        <w:rPr>
          <w:rFonts w:ascii="宋体" w:hAnsi="宋体"/>
        </w:rPr>
        <w:t>IP22</w:t>
      </w:r>
      <w:r>
        <w:rPr>
          <w:rFonts w:hint="eastAsia" w:ascii="宋体" w:hAnsi="宋体"/>
        </w:rPr>
        <w:t>级。</w:t>
      </w:r>
    </w:p>
    <w:p>
      <w:pPr>
        <w:spacing w:before="203" w:beforeLines="50" w:after="203" w:afterLines="50"/>
        <w:outlineLvl w:val="0"/>
        <w:rPr>
          <w:rFonts w:ascii="宋体" w:hAnsi="宋体"/>
          <w:b/>
        </w:rPr>
      </w:pPr>
      <w:bookmarkStart w:id="6153" w:name="_Toc14143"/>
      <w:bookmarkStart w:id="6154" w:name="_Toc231198996"/>
      <w:bookmarkStart w:id="6155" w:name="_Toc39809967"/>
      <w:bookmarkStart w:id="6156" w:name="_Toc229288687"/>
      <w:bookmarkStart w:id="6157" w:name="_Toc229289693"/>
      <w:bookmarkStart w:id="6158" w:name="_Toc15273924"/>
      <w:bookmarkStart w:id="6159" w:name="_Toc262043012"/>
      <w:bookmarkStart w:id="6160" w:name="_Toc22469"/>
      <w:bookmarkStart w:id="6161" w:name="_Toc231198895"/>
      <w:bookmarkStart w:id="6162" w:name="_Toc204929586"/>
      <w:bookmarkStart w:id="6163" w:name="_Toc69484262"/>
      <w:bookmarkStart w:id="6164" w:name="_Toc19674160"/>
      <w:bookmarkStart w:id="6165" w:name="_Toc229294638"/>
      <w:bookmarkStart w:id="6166" w:name="_Toc44593760"/>
      <w:bookmarkStart w:id="6167" w:name="_Toc31449972"/>
      <w:bookmarkStart w:id="6168" w:name="_Toc17169927"/>
      <w:bookmarkStart w:id="6169" w:name="_Toc106883579"/>
      <w:r>
        <w:rPr>
          <w:rFonts w:hint="eastAsia" w:ascii="宋体" w:hAnsi="宋体"/>
          <w:b/>
        </w:rPr>
        <w:t>7.11电气保护</w:t>
      </w:r>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p>
    <w:p>
      <w:pPr>
        <w:pStyle w:val="5"/>
        <w:tabs>
          <w:tab w:val="left" w:pos="360"/>
        </w:tabs>
        <w:spacing w:before="0" w:after="0" w:line="360" w:lineRule="auto"/>
        <w:rPr>
          <w:rFonts w:ascii="宋体" w:hAnsi="宋体" w:eastAsia="宋体"/>
          <w:bCs/>
          <w:sz w:val="24"/>
        </w:rPr>
      </w:pPr>
      <w:bookmarkStart w:id="6170" w:name="_Toc204929587"/>
      <w:bookmarkStart w:id="6171" w:name="_Toc262043013"/>
      <w:bookmarkStart w:id="6172" w:name="_Toc15273925"/>
      <w:bookmarkStart w:id="6173" w:name="_Toc3514"/>
      <w:bookmarkStart w:id="6174" w:name="_Toc19674161"/>
      <w:bookmarkStart w:id="6175" w:name="_Toc261953687"/>
      <w:bookmarkStart w:id="6176" w:name="_Toc31449973"/>
      <w:bookmarkStart w:id="6177" w:name="_Toc17169928"/>
      <w:bookmarkStart w:id="6178" w:name="_Toc44593761"/>
      <w:bookmarkStart w:id="6179" w:name="_Toc31182"/>
      <w:bookmarkStart w:id="6180" w:name="_Toc69484263"/>
      <w:bookmarkStart w:id="6181" w:name="_Toc106883580"/>
      <w:r>
        <w:rPr>
          <w:rFonts w:hint="eastAsia" w:ascii="宋体" w:hAnsi="宋体" w:eastAsia="宋体"/>
          <w:bCs/>
          <w:sz w:val="24"/>
        </w:rPr>
        <w:t>7.11.</w:t>
      </w:r>
      <w:r>
        <w:rPr>
          <w:rFonts w:ascii="宋体" w:hAnsi="宋体" w:eastAsia="宋体"/>
          <w:bCs/>
          <w:sz w:val="24"/>
        </w:rPr>
        <w:t>1</w:t>
      </w:r>
      <w:r>
        <w:rPr>
          <w:rFonts w:hint="eastAsia" w:ascii="宋体" w:hAnsi="宋体" w:eastAsia="宋体"/>
          <w:bCs/>
          <w:sz w:val="24"/>
        </w:rPr>
        <w:t>过电流保护和短路保护</w:t>
      </w:r>
      <w:bookmarkEnd w:id="6170"/>
      <w:bookmarkEnd w:id="6171"/>
      <w:bookmarkEnd w:id="6172"/>
      <w:bookmarkEnd w:id="6173"/>
      <w:bookmarkEnd w:id="6174"/>
      <w:bookmarkEnd w:id="6175"/>
      <w:bookmarkEnd w:id="6176"/>
      <w:bookmarkEnd w:id="6177"/>
      <w:bookmarkEnd w:id="6178"/>
      <w:bookmarkEnd w:id="6179"/>
      <w:bookmarkEnd w:id="6180"/>
      <w:bookmarkEnd w:id="6181"/>
    </w:p>
    <w:p>
      <w:pPr>
        <w:snapToGrid w:val="0"/>
        <w:spacing w:before="203" w:beforeLines="50" w:after="203" w:afterLines="50"/>
        <w:rPr>
          <w:rFonts w:ascii="宋体" w:hAnsi="宋体"/>
        </w:rPr>
      </w:pPr>
      <w:r>
        <w:rPr>
          <w:rFonts w:hint="eastAsia" w:ascii="宋体" w:hAnsi="宋体"/>
        </w:rPr>
        <w:t>所有的电气装置和电气设备都必须设置过电流保护和短路保护。只要实际条件允许，这样做的目的是一旦电气装置发生故障时会自动中断，而不必中断其它正常设备的运行。</w:t>
      </w:r>
    </w:p>
    <w:p>
      <w:pPr>
        <w:pStyle w:val="5"/>
        <w:tabs>
          <w:tab w:val="left" w:pos="360"/>
        </w:tabs>
        <w:spacing w:before="0" w:after="0" w:line="360" w:lineRule="auto"/>
        <w:rPr>
          <w:rFonts w:ascii="宋体" w:hAnsi="宋体" w:eastAsia="宋体"/>
          <w:bCs/>
          <w:sz w:val="24"/>
        </w:rPr>
      </w:pPr>
      <w:bookmarkStart w:id="6182" w:name="_Toc3747"/>
      <w:bookmarkStart w:id="6183" w:name="_Toc19674162"/>
      <w:bookmarkStart w:id="6184" w:name="_Toc69484264"/>
      <w:bookmarkStart w:id="6185" w:name="_Toc31449974"/>
      <w:bookmarkStart w:id="6186" w:name="_Toc31750"/>
      <w:bookmarkStart w:id="6187" w:name="_Toc15273926"/>
      <w:bookmarkStart w:id="6188" w:name="_Toc44593762"/>
      <w:bookmarkStart w:id="6189" w:name="_Toc17169929"/>
      <w:bookmarkStart w:id="6190" w:name="_Toc204929588"/>
      <w:bookmarkStart w:id="6191" w:name="_Toc106883581"/>
      <w:r>
        <w:rPr>
          <w:rFonts w:hint="eastAsia" w:ascii="宋体" w:hAnsi="宋体" w:eastAsia="宋体"/>
          <w:bCs/>
          <w:sz w:val="24"/>
        </w:rPr>
        <w:t>7.11.</w:t>
      </w:r>
      <w:r>
        <w:rPr>
          <w:rFonts w:ascii="宋体" w:hAnsi="宋体" w:eastAsia="宋体"/>
          <w:bCs/>
          <w:sz w:val="24"/>
        </w:rPr>
        <w:t>2</w:t>
      </w:r>
      <w:r>
        <w:rPr>
          <w:rFonts w:hint="eastAsia" w:ascii="宋体" w:hAnsi="宋体" w:eastAsia="宋体"/>
          <w:bCs/>
          <w:sz w:val="24"/>
        </w:rPr>
        <w:t>剩余电流保护（故障性接地保护）</w:t>
      </w:r>
      <w:bookmarkEnd w:id="6182"/>
      <w:bookmarkEnd w:id="6183"/>
      <w:bookmarkEnd w:id="6184"/>
      <w:bookmarkEnd w:id="6185"/>
      <w:bookmarkEnd w:id="6186"/>
      <w:bookmarkEnd w:id="6187"/>
      <w:bookmarkEnd w:id="6188"/>
      <w:bookmarkEnd w:id="6189"/>
      <w:bookmarkEnd w:id="6190"/>
      <w:bookmarkEnd w:id="6191"/>
    </w:p>
    <w:p>
      <w:pPr>
        <w:snapToGrid w:val="0"/>
        <w:spacing w:before="203" w:beforeLines="50" w:after="203" w:afterLines="50"/>
        <w:rPr>
          <w:rFonts w:ascii="宋体" w:hAnsi="宋体"/>
        </w:rPr>
      </w:pPr>
      <w:r>
        <w:rPr>
          <w:rFonts w:hint="eastAsia" w:ascii="宋体" w:hAnsi="宋体"/>
        </w:rPr>
        <w:t xml:space="preserve"> 所有的插座都应配备剩余电流保护（灵敏度</w:t>
      </w:r>
      <w:r>
        <w:rPr>
          <w:rFonts w:ascii="宋体" w:hAnsi="宋体"/>
        </w:rPr>
        <w:t xml:space="preserve"> 30 mA</w:t>
      </w:r>
      <w:r>
        <w:rPr>
          <w:rFonts w:hint="eastAsia" w:ascii="宋体" w:hAnsi="宋体"/>
        </w:rPr>
        <w:t>）。</w:t>
      </w:r>
    </w:p>
    <w:p>
      <w:pPr>
        <w:spacing w:before="203" w:beforeLines="50" w:after="203" w:afterLines="50"/>
        <w:outlineLvl w:val="0"/>
        <w:rPr>
          <w:rFonts w:ascii="宋体" w:hAnsi="宋体"/>
          <w:b/>
        </w:rPr>
      </w:pPr>
      <w:bookmarkStart w:id="6192" w:name="_Toc23631"/>
      <w:bookmarkStart w:id="6193" w:name="_Toc19674163"/>
      <w:bookmarkStart w:id="6194" w:name="_Toc17169930"/>
      <w:bookmarkStart w:id="6195" w:name="_Toc28565"/>
      <w:bookmarkStart w:id="6196" w:name="_Toc262043014"/>
      <w:bookmarkStart w:id="6197" w:name="_Toc231198896"/>
      <w:bookmarkStart w:id="6198" w:name="_Toc231198997"/>
      <w:bookmarkStart w:id="6199" w:name="_Toc44593763"/>
      <w:bookmarkStart w:id="6200" w:name="_Toc15273927"/>
      <w:bookmarkStart w:id="6201" w:name="_Toc39809968"/>
      <w:bookmarkStart w:id="6202" w:name="_Toc229288688"/>
      <w:bookmarkStart w:id="6203" w:name="_Toc31449975"/>
      <w:bookmarkStart w:id="6204" w:name="_Toc229294639"/>
      <w:bookmarkStart w:id="6205" w:name="_Toc229289694"/>
      <w:bookmarkStart w:id="6206" w:name="_Toc69484265"/>
      <w:bookmarkStart w:id="6207" w:name="_Toc204929589"/>
      <w:bookmarkStart w:id="6208" w:name="_Toc106883582"/>
      <w:r>
        <w:rPr>
          <w:rFonts w:hint="eastAsia" w:ascii="宋体" w:hAnsi="宋体"/>
          <w:b/>
        </w:rPr>
        <w:t>7.12 电气装置的过热保护</w:t>
      </w:r>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p>
    <w:p>
      <w:pPr>
        <w:snapToGrid w:val="0"/>
        <w:spacing w:before="203" w:beforeLines="50" w:after="203" w:afterLines="50"/>
        <w:ind w:firstLine="420"/>
        <w:rPr>
          <w:rFonts w:ascii="宋体" w:hAnsi="宋体"/>
        </w:rPr>
      </w:pPr>
      <w:r>
        <w:rPr>
          <w:rFonts w:hint="eastAsia" w:ascii="宋体" w:hAnsi="宋体"/>
        </w:rPr>
        <w:t>绕组过热保护将提供给每一台电机，满足下列标准之一的电动机应在其绕组内配置过热保护。</w:t>
      </w:r>
    </w:p>
    <w:p>
      <w:pPr>
        <w:numPr>
          <w:ilvl w:val="0"/>
          <w:numId w:val="32"/>
        </w:numPr>
        <w:adjustRightInd w:val="0"/>
        <w:snapToGrid w:val="0"/>
        <w:spacing w:before="203" w:beforeLines="50" w:after="203" w:afterLines="50"/>
        <w:ind w:left="902"/>
        <w:textAlignment w:val="baseline"/>
        <w:rPr>
          <w:rFonts w:ascii="宋体" w:hAnsi="宋体"/>
        </w:rPr>
      </w:pPr>
      <w:r>
        <w:rPr>
          <w:rFonts w:hint="eastAsia" w:ascii="宋体" w:hAnsi="宋体"/>
        </w:rPr>
        <w:t>用作变速驱动装置；</w:t>
      </w:r>
    </w:p>
    <w:p>
      <w:pPr>
        <w:numPr>
          <w:ilvl w:val="0"/>
          <w:numId w:val="32"/>
        </w:numPr>
        <w:adjustRightInd w:val="0"/>
        <w:snapToGrid w:val="0"/>
        <w:spacing w:before="203" w:beforeLines="50" w:after="203" w:afterLines="50"/>
        <w:ind w:left="902"/>
        <w:textAlignment w:val="baseline"/>
        <w:rPr>
          <w:rFonts w:ascii="宋体" w:hAnsi="宋体"/>
        </w:rPr>
      </w:pPr>
      <w:r>
        <w:rPr>
          <w:rFonts w:hint="eastAsia" w:ascii="宋体" w:hAnsi="宋体"/>
        </w:rPr>
        <w:t>能够适应繁忙的工作条件，比如每小时的最大启动次数或或长时间运转；</w:t>
      </w:r>
    </w:p>
    <w:p>
      <w:pPr>
        <w:numPr>
          <w:ilvl w:val="0"/>
          <w:numId w:val="32"/>
        </w:numPr>
        <w:adjustRightInd w:val="0"/>
        <w:snapToGrid w:val="0"/>
        <w:spacing w:before="203" w:beforeLines="50" w:after="203" w:afterLines="50"/>
        <w:ind w:left="902"/>
        <w:textAlignment w:val="baseline"/>
        <w:rPr>
          <w:rFonts w:ascii="宋体" w:hAnsi="宋体"/>
        </w:rPr>
      </w:pPr>
      <w:r>
        <w:rPr>
          <w:rFonts w:hint="eastAsia" w:ascii="宋体" w:hAnsi="宋体"/>
        </w:rPr>
        <w:t>安装在有潜在危险的区域；</w:t>
      </w:r>
    </w:p>
    <w:p>
      <w:pPr>
        <w:numPr>
          <w:ilvl w:val="0"/>
          <w:numId w:val="32"/>
        </w:numPr>
        <w:adjustRightInd w:val="0"/>
        <w:snapToGrid w:val="0"/>
        <w:spacing w:before="203" w:beforeLines="50" w:after="203" w:afterLines="50"/>
        <w:ind w:left="902"/>
        <w:textAlignment w:val="baseline"/>
        <w:rPr>
          <w:rFonts w:ascii="宋体" w:hAnsi="宋体"/>
        </w:rPr>
      </w:pPr>
      <w:r>
        <w:rPr>
          <w:rFonts w:hint="eastAsia" w:ascii="宋体" w:hAnsi="宋体"/>
        </w:rPr>
        <w:t>额定功率在37</w:t>
      </w:r>
      <w:r>
        <w:rPr>
          <w:rFonts w:ascii="宋体" w:hAnsi="宋体"/>
        </w:rPr>
        <w:t xml:space="preserve"> kW</w:t>
      </w:r>
      <w:r>
        <w:rPr>
          <w:rFonts w:hint="eastAsia" w:ascii="宋体" w:hAnsi="宋体"/>
        </w:rPr>
        <w:t>或以上。</w:t>
      </w:r>
    </w:p>
    <w:p>
      <w:pPr>
        <w:snapToGrid w:val="0"/>
        <w:spacing w:before="203" w:beforeLines="50" w:after="203" w:afterLines="50"/>
        <w:ind w:firstLine="420"/>
        <w:rPr>
          <w:rFonts w:ascii="宋体" w:hAnsi="宋体"/>
        </w:rPr>
      </w:pPr>
      <w:r>
        <w:rPr>
          <w:rFonts w:hint="eastAsia" w:ascii="宋体" w:hAnsi="宋体"/>
        </w:rPr>
        <w:t>对于潜水泵电机，过热保护装置应与热传感器相匹配。此外，每个热传感器将是一个热敏电阻器。</w:t>
      </w:r>
    </w:p>
    <w:p>
      <w:pPr>
        <w:snapToGrid w:val="0"/>
        <w:spacing w:before="203" w:beforeLines="50" w:after="203" w:afterLines="50"/>
        <w:ind w:firstLine="420"/>
        <w:rPr>
          <w:rFonts w:ascii="宋体" w:hAnsi="宋体"/>
        </w:rPr>
      </w:pPr>
      <w:r>
        <w:rPr>
          <w:rFonts w:hint="eastAsia" w:ascii="宋体" w:hAnsi="宋体"/>
        </w:rPr>
        <w:t>应为干式变压器提供绕组过热保护装置。每个变压器在保护功能动作之前，应有</w:t>
      </w:r>
      <w:r>
        <w:rPr>
          <w:rFonts w:ascii="宋体" w:hAnsi="宋体"/>
        </w:rPr>
        <w:t>“</w:t>
      </w:r>
      <w:r>
        <w:rPr>
          <w:rFonts w:hint="eastAsia" w:ascii="宋体" w:hAnsi="宋体"/>
        </w:rPr>
        <w:t>高温</w:t>
      </w:r>
      <w:r>
        <w:rPr>
          <w:rFonts w:ascii="宋体" w:hAnsi="宋体"/>
        </w:rPr>
        <w:t>”</w:t>
      </w:r>
      <w:r>
        <w:rPr>
          <w:rFonts w:hint="eastAsia" w:ascii="宋体" w:hAnsi="宋体"/>
        </w:rPr>
        <w:t>告警。</w:t>
      </w:r>
    </w:p>
    <w:p>
      <w:pPr>
        <w:spacing w:before="203" w:beforeLines="50" w:after="203" w:afterLines="50"/>
        <w:outlineLvl w:val="0"/>
        <w:rPr>
          <w:rFonts w:ascii="宋体" w:hAnsi="宋体"/>
          <w:b/>
        </w:rPr>
      </w:pPr>
      <w:bookmarkStart w:id="6209" w:name="_Toc229289695"/>
      <w:bookmarkStart w:id="6210" w:name="_Toc231198998"/>
      <w:bookmarkStart w:id="6211" w:name="_Toc69484266"/>
      <w:bookmarkStart w:id="6212" w:name="_Toc19674164"/>
      <w:bookmarkStart w:id="6213" w:name="_Toc106883583"/>
      <w:bookmarkStart w:id="6214" w:name="_Toc39809969"/>
      <w:bookmarkStart w:id="6215" w:name="_Toc10696"/>
      <w:bookmarkStart w:id="6216" w:name="_Toc262043015"/>
      <w:bookmarkStart w:id="6217" w:name="_Toc231198897"/>
      <w:bookmarkStart w:id="6218" w:name="_Toc229294640"/>
      <w:bookmarkStart w:id="6219" w:name="_Toc44593764"/>
      <w:bookmarkStart w:id="6220" w:name="_Toc204929590"/>
      <w:bookmarkStart w:id="6221" w:name="_Toc31449976"/>
      <w:bookmarkStart w:id="6222" w:name="_Toc19636"/>
      <w:bookmarkStart w:id="6223" w:name="_Toc229288689"/>
      <w:bookmarkStart w:id="6224" w:name="_Toc15273928"/>
      <w:bookmarkStart w:id="6225" w:name="_Toc17169931"/>
      <w:r>
        <w:rPr>
          <w:rFonts w:hint="eastAsia" w:ascii="宋体" w:hAnsi="宋体"/>
          <w:b/>
        </w:rPr>
        <w:t>7.13其它驱动保护形式</w:t>
      </w:r>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p>
    <w:p>
      <w:pPr>
        <w:snapToGrid w:val="0"/>
        <w:spacing w:before="203" w:beforeLines="50" w:after="203" w:afterLines="50"/>
        <w:ind w:firstLine="420"/>
        <w:rPr>
          <w:rFonts w:ascii="宋体" w:hAnsi="宋体"/>
        </w:rPr>
      </w:pPr>
      <w:r>
        <w:rPr>
          <w:rFonts w:hint="eastAsia" w:ascii="宋体" w:hAnsi="宋体"/>
        </w:rPr>
        <w:t>当有规定时，或由驱动设备生产商推荐的，应提供其它形式的驱动保护，比如基于电气参数测量为依据的“低电压”，</w:t>
      </w:r>
      <w:r>
        <w:rPr>
          <w:rFonts w:ascii="宋体" w:hAnsi="宋体"/>
        </w:rPr>
        <w:t>“</w:t>
      </w:r>
      <w:r>
        <w:rPr>
          <w:rFonts w:hint="eastAsia" w:ascii="宋体" w:hAnsi="宋体"/>
        </w:rPr>
        <w:t>低电流</w:t>
      </w:r>
      <w:r>
        <w:rPr>
          <w:rFonts w:ascii="宋体" w:hAnsi="宋体"/>
        </w:rPr>
        <w:t>”</w:t>
      </w:r>
      <w:r>
        <w:rPr>
          <w:rFonts w:hint="eastAsia" w:ascii="宋体" w:hAnsi="宋体"/>
        </w:rPr>
        <w:t>或</w:t>
      </w:r>
      <w:r>
        <w:rPr>
          <w:rFonts w:ascii="宋体" w:hAnsi="宋体"/>
        </w:rPr>
        <w:t>“</w:t>
      </w:r>
      <w:r>
        <w:rPr>
          <w:rFonts w:hint="eastAsia" w:ascii="宋体" w:hAnsi="宋体"/>
        </w:rPr>
        <w:t>过转矩</w:t>
      </w:r>
      <w:r>
        <w:rPr>
          <w:rFonts w:ascii="宋体" w:hAnsi="宋体"/>
        </w:rPr>
        <w:t>”</w:t>
      </w:r>
      <w:r>
        <w:rPr>
          <w:rFonts w:hint="eastAsia" w:ascii="宋体" w:hAnsi="宋体"/>
        </w:rPr>
        <w:t>。每个保护设备应该是驱动设备生产商批准的型号。</w:t>
      </w:r>
    </w:p>
    <w:p>
      <w:pPr>
        <w:snapToGrid w:val="0"/>
        <w:spacing w:before="203" w:beforeLines="50" w:after="203" w:afterLines="50"/>
        <w:ind w:firstLine="420"/>
        <w:rPr>
          <w:rFonts w:ascii="宋体" w:hAnsi="宋体"/>
        </w:rPr>
      </w:pPr>
      <w:r>
        <w:rPr>
          <w:rFonts w:hint="eastAsia" w:ascii="宋体" w:hAnsi="宋体"/>
        </w:rPr>
        <w:t>一旦提供有“低电压”或</w:t>
      </w:r>
      <w:r>
        <w:rPr>
          <w:rFonts w:ascii="宋体" w:hAnsi="宋体"/>
        </w:rPr>
        <w:t>“</w:t>
      </w:r>
      <w:r>
        <w:rPr>
          <w:rFonts w:hint="eastAsia" w:ascii="宋体" w:hAnsi="宋体"/>
        </w:rPr>
        <w:t>低电流</w:t>
      </w:r>
      <w:r>
        <w:rPr>
          <w:rFonts w:ascii="宋体" w:hAnsi="宋体"/>
        </w:rPr>
        <w:t>”</w:t>
      </w:r>
      <w:r>
        <w:rPr>
          <w:rFonts w:hint="eastAsia" w:ascii="宋体" w:hAnsi="宋体"/>
        </w:rPr>
        <w:t>保护时，电机起动器线路的设置应该能够避开</w:t>
      </w:r>
      <w:r>
        <w:rPr>
          <w:rFonts w:ascii="宋体" w:hAnsi="宋体"/>
        </w:rPr>
        <w:t>“</w:t>
      </w:r>
      <w:r>
        <w:rPr>
          <w:rFonts w:hint="eastAsia" w:ascii="宋体" w:hAnsi="宋体"/>
        </w:rPr>
        <w:t>低电压</w:t>
      </w:r>
      <w:r>
        <w:rPr>
          <w:rFonts w:ascii="宋体" w:hAnsi="宋体"/>
        </w:rPr>
        <w:t>”</w:t>
      </w:r>
      <w:r>
        <w:rPr>
          <w:rFonts w:hint="eastAsia" w:ascii="宋体" w:hAnsi="宋体"/>
        </w:rPr>
        <w:t>或</w:t>
      </w:r>
      <w:r>
        <w:rPr>
          <w:rFonts w:ascii="宋体" w:hAnsi="宋体"/>
        </w:rPr>
        <w:t>“</w:t>
      </w:r>
      <w:r>
        <w:rPr>
          <w:rFonts w:hint="eastAsia" w:ascii="宋体" w:hAnsi="宋体"/>
        </w:rPr>
        <w:t>低电流</w:t>
      </w:r>
      <w:r>
        <w:rPr>
          <w:rFonts w:ascii="宋体" w:hAnsi="宋体"/>
        </w:rPr>
        <w:t>”</w:t>
      </w:r>
      <w:r>
        <w:rPr>
          <w:rFonts w:hint="eastAsia" w:ascii="宋体" w:hAnsi="宋体"/>
        </w:rPr>
        <w:t>保护。</w:t>
      </w:r>
    </w:p>
    <w:p>
      <w:pPr>
        <w:snapToGrid w:val="0"/>
        <w:spacing w:before="203" w:beforeLines="50" w:after="203" w:afterLines="50"/>
        <w:ind w:firstLine="420"/>
        <w:rPr>
          <w:rFonts w:ascii="宋体" w:hAnsi="宋体"/>
        </w:rPr>
      </w:pPr>
      <w:r>
        <w:rPr>
          <w:rFonts w:hint="eastAsia" w:ascii="宋体" w:hAnsi="宋体"/>
        </w:rPr>
        <w:t>在电动启动后和在电机达到稳定的操作状态之前，为防止假跳闸，应有一个适宜的时间设置</w:t>
      </w:r>
      <w:r>
        <w:rPr>
          <w:rFonts w:ascii="宋体" w:hAnsi="宋体"/>
        </w:rPr>
        <w:t xml:space="preserve">‘t’ </w:t>
      </w:r>
      <w:r>
        <w:rPr>
          <w:rFonts w:hint="eastAsia" w:ascii="宋体" w:hAnsi="宋体"/>
        </w:rPr>
        <w:t>。</w:t>
      </w:r>
    </w:p>
    <w:p>
      <w:pPr>
        <w:snapToGrid w:val="0"/>
        <w:spacing w:before="203" w:beforeLines="50" w:after="203" w:afterLines="50"/>
        <w:ind w:firstLine="420"/>
        <w:rPr>
          <w:rFonts w:ascii="宋体" w:hAnsi="宋体"/>
        </w:rPr>
      </w:pPr>
      <w:r>
        <w:rPr>
          <w:rFonts w:hint="eastAsia" w:ascii="宋体" w:hAnsi="宋体"/>
        </w:rPr>
        <w:t>一旦在电机起动器上已选择了</w:t>
      </w:r>
      <w:r>
        <w:rPr>
          <w:rFonts w:ascii="宋体" w:hAnsi="宋体"/>
        </w:rPr>
        <w:t>“</w:t>
      </w:r>
      <w:r>
        <w:rPr>
          <w:rFonts w:hint="eastAsia" w:ascii="宋体" w:hAnsi="宋体"/>
        </w:rPr>
        <w:t>测试</w:t>
      </w:r>
      <w:r>
        <w:rPr>
          <w:rFonts w:ascii="宋体" w:hAnsi="宋体"/>
        </w:rPr>
        <w:t>”</w:t>
      </w:r>
      <w:r>
        <w:rPr>
          <w:rFonts w:hint="eastAsia" w:ascii="宋体" w:hAnsi="宋体"/>
        </w:rPr>
        <w:t>模式时。</w:t>
      </w:r>
    </w:p>
    <w:p>
      <w:pPr>
        <w:snapToGrid w:val="0"/>
        <w:spacing w:before="203" w:beforeLines="50" w:after="203" w:afterLines="50"/>
        <w:ind w:firstLine="420"/>
        <w:rPr>
          <w:rFonts w:ascii="宋体" w:hAnsi="宋体"/>
        </w:rPr>
      </w:pPr>
      <w:r>
        <w:rPr>
          <w:rFonts w:hint="eastAsia" w:ascii="宋体" w:hAnsi="宋体"/>
        </w:rPr>
        <w:t>在每个屏蔽驱动装置的启动器内，应提供一个屏蔽制造商认同型号的过扭矩继电器，以防止堵塞时损坏屏蔽。</w:t>
      </w:r>
    </w:p>
    <w:p>
      <w:pPr>
        <w:spacing w:before="203" w:beforeLines="50" w:after="203" w:afterLines="50"/>
        <w:outlineLvl w:val="1"/>
        <w:rPr>
          <w:rFonts w:ascii="宋体" w:hAnsi="宋体"/>
          <w:b/>
        </w:rPr>
      </w:pPr>
      <w:bookmarkStart w:id="6226" w:name="_Toc44593765"/>
      <w:bookmarkStart w:id="6227" w:name="_Toc229294643"/>
      <w:bookmarkStart w:id="6228" w:name="_Toc229288692"/>
      <w:bookmarkStart w:id="6229" w:name="_Toc39809972"/>
      <w:bookmarkStart w:id="6230" w:name="_Toc26324"/>
      <w:bookmarkStart w:id="6231" w:name="_Toc23204"/>
      <w:bookmarkStart w:id="6232" w:name="_Toc19674167"/>
      <w:bookmarkStart w:id="6233" w:name="_Toc262043018"/>
      <w:bookmarkStart w:id="6234" w:name="_Toc15273931"/>
      <w:bookmarkStart w:id="6235" w:name="_Toc17169934"/>
      <w:bookmarkStart w:id="6236" w:name="_Toc31449979"/>
      <w:bookmarkStart w:id="6237" w:name="_Toc231198900"/>
      <w:bookmarkStart w:id="6238" w:name="_Toc231199001"/>
      <w:bookmarkStart w:id="6239" w:name="_Toc229289698"/>
      <w:bookmarkStart w:id="6240" w:name="_Toc204929593"/>
      <w:bookmarkStart w:id="6241" w:name="_Toc69484267"/>
      <w:bookmarkStart w:id="6242" w:name="_Toc106883584"/>
      <w:r>
        <w:rPr>
          <w:rFonts w:hint="eastAsia" w:ascii="宋体" w:hAnsi="宋体"/>
          <w:b/>
        </w:rPr>
        <w:t>7.14主保护</w:t>
      </w:r>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p>
    <w:p>
      <w:pPr>
        <w:pStyle w:val="5"/>
        <w:tabs>
          <w:tab w:val="left" w:pos="360"/>
        </w:tabs>
        <w:spacing w:before="0" w:after="0" w:line="360" w:lineRule="auto"/>
        <w:rPr>
          <w:rFonts w:ascii="宋体" w:hAnsi="宋体" w:eastAsia="宋体"/>
          <w:bCs/>
          <w:sz w:val="24"/>
        </w:rPr>
      </w:pPr>
      <w:bookmarkStart w:id="6243" w:name="_Toc69484268"/>
      <w:bookmarkStart w:id="6244" w:name="_Toc9336"/>
      <w:bookmarkStart w:id="6245" w:name="_Toc15273932"/>
      <w:bookmarkStart w:id="6246" w:name="_Toc31449980"/>
      <w:bookmarkStart w:id="6247" w:name="_Toc17169935"/>
      <w:bookmarkStart w:id="6248" w:name="_Toc262043019"/>
      <w:bookmarkStart w:id="6249" w:name="_Toc19674168"/>
      <w:bookmarkStart w:id="6250" w:name="_Toc204929594"/>
      <w:bookmarkStart w:id="6251" w:name="_Toc6874"/>
      <w:bookmarkStart w:id="6252" w:name="_Toc44593766"/>
      <w:bookmarkStart w:id="6253" w:name="_Toc106883585"/>
      <w:r>
        <w:rPr>
          <w:rFonts w:hint="eastAsia" w:ascii="宋体" w:hAnsi="宋体" w:eastAsia="宋体"/>
          <w:bCs/>
          <w:sz w:val="24"/>
        </w:rPr>
        <w:t>7</w:t>
      </w:r>
      <w:r>
        <w:rPr>
          <w:rFonts w:ascii="宋体" w:hAnsi="宋体" w:eastAsia="宋体"/>
          <w:bCs/>
          <w:sz w:val="24"/>
        </w:rPr>
        <w:t>.1</w:t>
      </w:r>
      <w:r>
        <w:rPr>
          <w:rFonts w:hint="eastAsia" w:ascii="宋体" w:hAnsi="宋体" w:eastAsia="宋体"/>
          <w:bCs/>
          <w:sz w:val="24"/>
        </w:rPr>
        <w:t>4</w:t>
      </w:r>
      <w:r>
        <w:rPr>
          <w:rFonts w:ascii="宋体" w:hAnsi="宋体" w:eastAsia="宋体"/>
          <w:bCs/>
          <w:sz w:val="24"/>
        </w:rPr>
        <w:t>.1</w:t>
      </w:r>
      <w:r>
        <w:rPr>
          <w:rFonts w:hint="eastAsia" w:ascii="宋体" w:hAnsi="宋体" w:eastAsia="宋体"/>
          <w:bCs/>
          <w:sz w:val="24"/>
        </w:rPr>
        <w:t>介绍</w:t>
      </w:r>
      <w:bookmarkEnd w:id="6243"/>
      <w:bookmarkEnd w:id="6244"/>
      <w:bookmarkEnd w:id="6245"/>
      <w:bookmarkEnd w:id="6246"/>
      <w:bookmarkEnd w:id="6247"/>
      <w:bookmarkEnd w:id="6248"/>
      <w:bookmarkEnd w:id="6249"/>
      <w:bookmarkEnd w:id="6250"/>
      <w:bookmarkEnd w:id="6251"/>
      <w:bookmarkEnd w:id="6252"/>
      <w:bookmarkEnd w:id="6253"/>
    </w:p>
    <w:p>
      <w:pPr>
        <w:snapToGrid w:val="0"/>
        <w:spacing w:before="203" w:beforeLines="50" w:after="203" w:afterLines="50"/>
        <w:ind w:firstLine="420"/>
        <w:rPr>
          <w:rFonts w:ascii="宋体" w:hAnsi="宋体"/>
        </w:rPr>
      </w:pPr>
      <w:r>
        <w:rPr>
          <w:rFonts w:hint="eastAsia" w:ascii="宋体" w:hAnsi="宋体"/>
        </w:rPr>
        <w:t>主保护系统是通过硬连线电气连锁方式提供的一个系统，其目的是：</w:t>
      </w:r>
    </w:p>
    <w:p>
      <w:pPr>
        <w:numPr>
          <w:ilvl w:val="2"/>
          <w:numId w:val="33"/>
        </w:numPr>
        <w:adjustRightInd w:val="0"/>
        <w:snapToGrid w:val="0"/>
        <w:spacing w:before="203" w:beforeLines="50" w:after="203" w:afterLines="50"/>
        <w:ind w:left="851" w:hanging="425"/>
        <w:textAlignment w:val="baseline"/>
        <w:rPr>
          <w:rFonts w:ascii="宋体" w:hAnsi="宋体"/>
        </w:rPr>
      </w:pPr>
      <w:r>
        <w:rPr>
          <w:rFonts w:hint="eastAsia" w:ascii="宋体" w:hAnsi="宋体"/>
        </w:rPr>
        <w:t>减少人身伤害风险，此类伤害可能是由控制系统或机械装置的误操作产生的后果；</w:t>
      </w:r>
    </w:p>
    <w:p>
      <w:pPr>
        <w:numPr>
          <w:ilvl w:val="2"/>
          <w:numId w:val="33"/>
        </w:numPr>
        <w:adjustRightInd w:val="0"/>
        <w:snapToGrid w:val="0"/>
        <w:spacing w:before="203" w:beforeLines="50" w:after="203" w:afterLines="50"/>
        <w:ind w:hanging="834"/>
        <w:textAlignment w:val="baseline"/>
        <w:rPr>
          <w:rFonts w:ascii="宋体" w:hAnsi="宋体"/>
        </w:rPr>
      </w:pPr>
      <w:r>
        <w:rPr>
          <w:rFonts w:hint="eastAsia" w:ascii="宋体" w:hAnsi="宋体"/>
        </w:rPr>
        <w:t>降低水淹和化学品溢出等的风险；</w:t>
      </w:r>
    </w:p>
    <w:p>
      <w:pPr>
        <w:numPr>
          <w:ilvl w:val="2"/>
          <w:numId w:val="33"/>
        </w:numPr>
        <w:adjustRightInd w:val="0"/>
        <w:snapToGrid w:val="0"/>
        <w:spacing w:before="203" w:beforeLines="50" w:after="203" w:afterLines="50"/>
        <w:ind w:hanging="834"/>
        <w:textAlignment w:val="baseline"/>
        <w:rPr>
          <w:rFonts w:ascii="宋体" w:hAnsi="宋体"/>
        </w:rPr>
      </w:pPr>
      <w:r>
        <w:rPr>
          <w:rFonts w:hint="eastAsia" w:ascii="宋体" w:hAnsi="宋体"/>
        </w:rPr>
        <w:t>减少损坏机械装置和管线的风险；</w:t>
      </w:r>
    </w:p>
    <w:p>
      <w:pPr>
        <w:snapToGrid w:val="0"/>
        <w:spacing w:before="203" w:beforeLines="50" w:after="203" w:afterLines="50"/>
        <w:ind w:firstLine="420"/>
        <w:rPr>
          <w:rFonts w:ascii="宋体" w:hAnsi="宋体"/>
        </w:rPr>
      </w:pPr>
      <w:r>
        <w:rPr>
          <w:rFonts w:hint="eastAsia" w:ascii="宋体" w:hAnsi="宋体"/>
        </w:rPr>
        <w:t>硬连线联锁有许多功能，它有时形成防护系统的组成部分，例如：</w:t>
      </w:r>
    </w:p>
    <w:p>
      <w:pPr>
        <w:numPr>
          <w:ilvl w:val="0"/>
          <w:numId w:val="34"/>
        </w:numPr>
        <w:adjustRightInd w:val="0"/>
        <w:snapToGrid w:val="0"/>
        <w:spacing w:before="203" w:beforeLines="50" w:after="203" w:afterLines="50"/>
        <w:ind w:left="851" w:hanging="425"/>
        <w:textAlignment w:val="baseline"/>
        <w:rPr>
          <w:rFonts w:ascii="宋体" w:hAnsi="宋体"/>
        </w:rPr>
      </w:pPr>
      <w:r>
        <w:rPr>
          <w:rFonts w:hint="eastAsia" w:ascii="宋体" w:hAnsi="宋体"/>
        </w:rPr>
        <w:t>禁止一项设备的运行，如果另一设备没有运行的话，或者池内的液面不在一定的限制范围内的话；</w:t>
      </w:r>
    </w:p>
    <w:p>
      <w:pPr>
        <w:numPr>
          <w:ilvl w:val="0"/>
          <w:numId w:val="34"/>
        </w:numPr>
        <w:adjustRightInd w:val="0"/>
        <w:snapToGrid w:val="0"/>
        <w:spacing w:before="203" w:beforeLines="50" w:after="203" w:afterLines="50"/>
        <w:ind w:left="851" w:hanging="425"/>
        <w:textAlignment w:val="baseline"/>
        <w:rPr>
          <w:rFonts w:ascii="宋体" w:hAnsi="宋体"/>
        </w:rPr>
      </w:pPr>
      <w:r>
        <w:rPr>
          <w:rFonts w:hint="eastAsia" w:ascii="宋体" w:hAnsi="宋体"/>
        </w:rPr>
        <w:t>跳闸或</w:t>
      </w:r>
      <w:r>
        <w:rPr>
          <w:rFonts w:ascii="宋体" w:hAnsi="宋体"/>
        </w:rPr>
        <w:t>“</w:t>
      </w:r>
      <w:r>
        <w:rPr>
          <w:rFonts w:hint="eastAsia" w:ascii="宋体" w:hAnsi="宋体"/>
        </w:rPr>
        <w:t>锁定</w:t>
      </w:r>
      <w:r>
        <w:rPr>
          <w:rFonts w:ascii="宋体" w:hAnsi="宋体"/>
        </w:rPr>
        <w:t>”</w:t>
      </w:r>
      <w:r>
        <w:rPr>
          <w:rFonts w:hint="eastAsia" w:ascii="宋体" w:hAnsi="宋体"/>
        </w:rPr>
        <w:t>一个设备，如果检测到不可接受的条件的话；</w:t>
      </w:r>
    </w:p>
    <w:p>
      <w:pPr>
        <w:numPr>
          <w:ilvl w:val="0"/>
          <w:numId w:val="34"/>
        </w:numPr>
        <w:adjustRightInd w:val="0"/>
        <w:snapToGrid w:val="0"/>
        <w:spacing w:before="203" w:beforeLines="50" w:after="203" w:afterLines="50"/>
        <w:ind w:left="851" w:hanging="425"/>
        <w:textAlignment w:val="baseline"/>
        <w:rPr>
          <w:rFonts w:ascii="宋体" w:hAnsi="宋体"/>
        </w:rPr>
      </w:pPr>
      <w:r>
        <w:rPr>
          <w:rFonts w:hint="eastAsia" w:ascii="宋体" w:hAnsi="宋体"/>
        </w:rPr>
        <w:t>禁止一设备运行，如果另一设备正在运行的话。比如，如果有三台泵可以将水输入管线，可能有必要将同时运转的泵的数量限制为两台以保证管线能承受的高峰压力不会超标；</w:t>
      </w:r>
    </w:p>
    <w:p>
      <w:pPr>
        <w:numPr>
          <w:ilvl w:val="0"/>
          <w:numId w:val="34"/>
        </w:numPr>
        <w:adjustRightInd w:val="0"/>
        <w:snapToGrid w:val="0"/>
        <w:spacing w:before="203" w:beforeLines="50" w:after="203" w:afterLines="50"/>
        <w:ind w:left="851" w:hanging="425"/>
        <w:textAlignment w:val="baseline"/>
        <w:rPr>
          <w:rFonts w:ascii="宋体" w:hAnsi="宋体"/>
        </w:rPr>
      </w:pPr>
      <w:r>
        <w:rPr>
          <w:rFonts w:hint="eastAsia" w:ascii="宋体" w:hAnsi="宋体"/>
        </w:rPr>
        <w:t>在特殊情况下打开或关闭阀门或闸门。</w:t>
      </w:r>
    </w:p>
    <w:p>
      <w:pPr>
        <w:pStyle w:val="5"/>
        <w:tabs>
          <w:tab w:val="left" w:pos="360"/>
        </w:tabs>
        <w:spacing w:before="0" w:after="0" w:line="360" w:lineRule="auto"/>
        <w:rPr>
          <w:rFonts w:ascii="宋体" w:hAnsi="宋体" w:eastAsia="宋体"/>
          <w:bCs/>
          <w:sz w:val="24"/>
        </w:rPr>
      </w:pPr>
      <w:bookmarkStart w:id="6254" w:name="_Toc44593767"/>
      <w:bookmarkStart w:id="6255" w:name="_Toc69484269"/>
      <w:bookmarkStart w:id="6256" w:name="_Toc20052"/>
      <w:bookmarkStart w:id="6257" w:name="_Toc204929595"/>
      <w:bookmarkStart w:id="6258" w:name="_Toc19674169"/>
      <w:bookmarkStart w:id="6259" w:name="_Toc15273933"/>
      <w:bookmarkStart w:id="6260" w:name="_Toc17169936"/>
      <w:bookmarkStart w:id="6261" w:name="_Toc31449981"/>
      <w:bookmarkStart w:id="6262" w:name="_Toc7585"/>
      <w:bookmarkStart w:id="6263" w:name="_Toc106883586"/>
      <w:r>
        <w:rPr>
          <w:rFonts w:hint="eastAsia" w:ascii="宋体" w:hAnsi="宋体" w:eastAsia="宋体"/>
          <w:bCs/>
          <w:sz w:val="24"/>
        </w:rPr>
        <w:t>7</w:t>
      </w:r>
      <w:r>
        <w:rPr>
          <w:rFonts w:ascii="宋体" w:hAnsi="宋体" w:eastAsia="宋体"/>
          <w:bCs/>
          <w:sz w:val="24"/>
        </w:rPr>
        <w:t>.1</w:t>
      </w:r>
      <w:r>
        <w:rPr>
          <w:rFonts w:hint="eastAsia" w:ascii="宋体" w:hAnsi="宋体" w:eastAsia="宋体"/>
          <w:bCs/>
          <w:sz w:val="24"/>
        </w:rPr>
        <w:t>4</w:t>
      </w:r>
      <w:r>
        <w:rPr>
          <w:rFonts w:ascii="宋体" w:hAnsi="宋体" w:eastAsia="宋体"/>
          <w:bCs/>
          <w:sz w:val="24"/>
        </w:rPr>
        <w:t>.2</w:t>
      </w:r>
      <w:r>
        <w:rPr>
          <w:rFonts w:hint="eastAsia" w:ascii="宋体" w:hAnsi="宋体" w:eastAsia="宋体"/>
          <w:bCs/>
          <w:sz w:val="24"/>
        </w:rPr>
        <w:t>驱动装置的实施</w:t>
      </w:r>
      <w:bookmarkEnd w:id="6254"/>
      <w:bookmarkEnd w:id="6255"/>
      <w:bookmarkEnd w:id="6256"/>
      <w:bookmarkEnd w:id="6257"/>
      <w:bookmarkEnd w:id="6258"/>
      <w:bookmarkEnd w:id="6259"/>
      <w:bookmarkEnd w:id="6260"/>
      <w:bookmarkEnd w:id="6261"/>
      <w:bookmarkEnd w:id="6262"/>
      <w:bookmarkEnd w:id="6263"/>
    </w:p>
    <w:p>
      <w:pPr>
        <w:numPr>
          <w:ilvl w:val="0"/>
          <w:numId w:val="35"/>
        </w:numPr>
        <w:adjustRightInd w:val="0"/>
        <w:snapToGrid w:val="0"/>
        <w:spacing w:before="203" w:beforeLines="50" w:after="203" w:afterLines="50"/>
        <w:ind w:left="851" w:hanging="425"/>
        <w:textAlignment w:val="baseline"/>
        <w:rPr>
          <w:rFonts w:ascii="宋体" w:hAnsi="宋体"/>
        </w:rPr>
      </w:pPr>
      <w:r>
        <w:rPr>
          <w:rFonts w:hint="eastAsia" w:ascii="宋体" w:hAnsi="宋体"/>
        </w:rPr>
        <w:t>单驱动器专用主保护</w:t>
      </w:r>
      <w:r>
        <w:rPr>
          <w:rFonts w:ascii="宋体" w:hAnsi="宋体"/>
        </w:rPr>
        <w:t>“</w:t>
      </w:r>
      <w:r>
        <w:rPr>
          <w:rFonts w:hint="eastAsia" w:ascii="宋体" w:hAnsi="宋体"/>
        </w:rPr>
        <w:t>禁止</w:t>
      </w:r>
      <w:r>
        <w:rPr>
          <w:rFonts w:ascii="宋体" w:hAnsi="宋体"/>
        </w:rPr>
        <w:t>”</w:t>
      </w:r>
      <w:r>
        <w:rPr>
          <w:rFonts w:hint="eastAsia" w:ascii="宋体" w:hAnsi="宋体"/>
        </w:rPr>
        <w:t>或</w:t>
      </w:r>
      <w:r>
        <w:rPr>
          <w:rFonts w:ascii="宋体" w:hAnsi="宋体"/>
        </w:rPr>
        <w:t>“</w:t>
      </w:r>
      <w:r>
        <w:rPr>
          <w:rFonts w:hint="eastAsia" w:ascii="宋体" w:hAnsi="宋体"/>
        </w:rPr>
        <w:t>跳闸</w:t>
      </w:r>
      <w:r>
        <w:rPr>
          <w:rFonts w:ascii="宋体" w:hAnsi="宋体"/>
        </w:rPr>
        <w:t>”</w:t>
      </w:r>
      <w:r>
        <w:rPr>
          <w:rFonts w:hint="eastAsia" w:ascii="宋体" w:hAnsi="宋体"/>
        </w:rPr>
        <w:t>装置:如果一个用于提供主保护的设备，如低位开关，专用于一单驱动器的话，它将直接连接到与驱动器相关的电机起动器的控制线路上且独立于相关控制面板；</w:t>
      </w:r>
    </w:p>
    <w:p>
      <w:pPr>
        <w:numPr>
          <w:ilvl w:val="0"/>
          <w:numId w:val="35"/>
        </w:numPr>
        <w:adjustRightInd w:val="0"/>
        <w:snapToGrid w:val="0"/>
        <w:spacing w:before="203" w:beforeLines="50" w:after="203" w:afterLines="50"/>
        <w:ind w:left="851" w:hanging="425"/>
        <w:textAlignment w:val="baseline"/>
        <w:rPr>
          <w:rFonts w:ascii="宋体" w:hAnsi="宋体"/>
        </w:rPr>
      </w:pPr>
      <w:r>
        <w:rPr>
          <w:rFonts w:hint="eastAsia" w:ascii="宋体" w:hAnsi="宋体"/>
        </w:rPr>
        <w:t>涉及两个或更多的驱动器的主保护“禁止”功能:如果一个主保护的“禁止”电路涉及两个或更多的驱动器，当没有“禁止”条件时，控制面板中的主保护电路将会给相关电机起动器中的主保护“禁止”继电器供电，且在当驱动器要“禁止”时就会断开继电器。在每个电机起动器中只有一个主保护</w:t>
      </w:r>
      <w:r>
        <w:rPr>
          <w:rFonts w:ascii="宋体" w:hAnsi="宋体"/>
        </w:rPr>
        <w:t>“</w:t>
      </w:r>
      <w:r>
        <w:rPr>
          <w:rFonts w:hint="eastAsia" w:ascii="宋体" w:hAnsi="宋体"/>
        </w:rPr>
        <w:t>禁止</w:t>
      </w:r>
      <w:r>
        <w:rPr>
          <w:rFonts w:ascii="宋体" w:hAnsi="宋体"/>
        </w:rPr>
        <w:t>”</w:t>
      </w:r>
      <w:r>
        <w:rPr>
          <w:rFonts w:hint="eastAsia" w:ascii="宋体" w:hAnsi="宋体"/>
        </w:rPr>
        <w:t>继电器。如果由控制面板监控到不止一个主保护条件用于禁止一个特定的驱动器，则所有这些条件都将作用于一个“禁止”继电器；</w:t>
      </w:r>
    </w:p>
    <w:p>
      <w:pPr>
        <w:numPr>
          <w:ilvl w:val="0"/>
          <w:numId w:val="35"/>
        </w:numPr>
        <w:adjustRightInd w:val="0"/>
        <w:snapToGrid w:val="0"/>
        <w:spacing w:before="203" w:beforeLines="50" w:after="203" w:afterLines="50"/>
        <w:ind w:left="851" w:hanging="425"/>
        <w:textAlignment w:val="baseline"/>
        <w:rPr>
          <w:rFonts w:ascii="宋体" w:hAnsi="宋体"/>
        </w:rPr>
      </w:pPr>
      <w:r>
        <w:rPr>
          <w:rFonts w:hint="eastAsia" w:ascii="宋体" w:hAnsi="宋体"/>
        </w:rPr>
        <w:t>驱动器间共享的主保护</w:t>
      </w:r>
      <w:r>
        <w:rPr>
          <w:rFonts w:ascii="宋体" w:hAnsi="宋体"/>
        </w:rPr>
        <w:t>“</w:t>
      </w:r>
      <w:r>
        <w:rPr>
          <w:rFonts w:hint="eastAsia" w:ascii="宋体" w:hAnsi="宋体"/>
        </w:rPr>
        <w:t>跳闸</w:t>
      </w:r>
      <w:r>
        <w:rPr>
          <w:rFonts w:ascii="宋体" w:hAnsi="宋体"/>
        </w:rPr>
        <w:t>”</w:t>
      </w:r>
      <w:r>
        <w:rPr>
          <w:rFonts w:hint="eastAsia" w:ascii="宋体" w:hAnsi="宋体"/>
        </w:rPr>
        <w:t>装置，如果一个主保护的“跳闸”电路涉及两个或更多的驱动器，当没有“跳闸”条件时，控制面板中的主保护电路将会给相关电机起动器中的主保护“跳闸”继电器供电，且在当驱动器要“跳闸”时就会断开继电器。对于每个单独的“跳闸”条件，在每个电机起动器中都有一个主保护</w:t>
      </w:r>
      <w:r>
        <w:rPr>
          <w:rFonts w:ascii="宋体" w:hAnsi="宋体"/>
        </w:rPr>
        <w:t>“</w:t>
      </w:r>
      <w:r>
        <w:rPr>
          <w:rFonts w:hint="eastAsia" w:ascii="宋体" w:hAnsi="宋体"/>
        </w:rPr>
        <w:t>跳闸</w:t>
      </w:r>
      <w:r>
        <w:rPr>
          <w:rFonts w:ascii="宋体" w:hAnsi="宋体"/>
        </w:rPr>
        <w:t>”</w:t>
      </w:r>
      <w:r>
        <w:rPr>
          <w:rFonts w:hint="eastAsia" w:ascii="宋体" w:hAnsi="宋体"/>
        </w:rPr>
        <w:t>继电器；</w:t>
      </w:r>
    </w:p>
    <w:p>
      <w:pPr>
        <w:numPr>
          <w:ilvl w:val="0"/>
          <w:numId w:val="35"/>
        </w:numPr>
        <w:adjustRightInd w:val="0"/>
        <w:snapToGrid w:val="0"/>
        <w:spacing w:before="203" w:beforeLines="50" w:after="203" w:afterLines="50"/>
        <w:ind w:left="851" w:hanging="425"/>
        <w:textAlignment w:val="baseline"/>
        <w:rPr>
          <w:rFonts w:ascii="宋体" w:hAnsi="宋体"/>
        </w:rPr>
      </w:pPr>
      <w:r>
        <w:rPr>
          <w:rFonts w:hint="eastAsia" w:ascii="宋体" w:hAnsi="宋体"/>
        </w:rPr>
        <w:t>在一个电机起动器中使用主保护</w:t>
      </w:r>
      <w:r>
        <w:rPr>
          <w:rFonts w:ascii="宋体" w:hAnsi="宋体"/>
        </w:rPr>
        <w:t>“</w:t>
      </w:r>
      <w:r>
        <w:rPr>
          <w:rFonts w:hint="eastAsia" w:ascii="宋体" w:hAnsi="宋体"/>
        </w:rPr>
        <w:t>禁止</w:t>
      </w:r>
      <w:r>
        <w:rPr>
          <w:rFonts w:ascii="宋体" w:hAnsi="宋体"/>
        </w:rPr>
        <w:t>”</w:t>
      </w:r>
      <w:r>
        <w:rPr>
          <w:rFonts w:hint="eastAsia" w:ascii="宋体" w:hAnsi="宋体"/>
        </w:rPr>
        <w:t>和</w:t>
      </w:r>
      <w:r>
        <w:rPr>
          <w:rFonts w:ascii="宋体" w:hAnsi="宋体"/>
        </w:rPr>
        <w:t>“</w:t>
      </w:r>
      <w:r>
        <w:rPr>
          <w:rFonts w:hint="eastAsia" w:ascii="宋体" w:hAnsi="宋体"/>
        </w:rPr>
        <w:t>跳闸</w:t>
      </w:r>
      <w:r>
        <w:rPr>
          <w:rFonts w:ascii="宋体" w:hAnsi="宋体"/>
        </w:rPr>
        <w:t>”</w:t>
      </w:r>
      <w:r>
        <w:rPr>
          <w:rFonts w:hint="eastAsia" w:ascii="宋体" w:hAnsi="宋体"/>
        </w:rPr>
        <w:t>继电器。每个电机起动器中的主保护</w:t>
      </w:r>
      <w:r>
        <w:rPr>
          <w:rFonts w:ascii="宋体" w:hAnsi="宋体"/>
        </w:rPr>
        <w:t>“</w:t>
      </w:r>
      <w:r>
        <w:rPr>
          <w:rFonts w:hint="eastAsia" w:ascii="宋体" w:hAnsi="宋体"/>
        </w:rPr>
        <w:t>禁止</w:t>
      </w:r>
      <w:r>
        <w:rPr>
          <w:rFonts w:ascii="宋体" w:hAnsi="宋体"/>
        </w:rPr>
        <w:t>”</w:t>
      </w:r>
      <w:r>
        <w:rPr>
          <w:rFonts w:hint="eastAsia" w:ascii="宋体" w:hAnsi="宋体"/>
        </w:rPr>
        <w:t>和</w:t>
      </w:r>
      <w:r>
        <w:rPr>
          <w:rFonts w:ascii="宋体" w:hAnsi="宋体"/>
        </w:rPr>
        <w:t>“</w:t>
      </w:r>
      <w:r>
        <w:rPr>
          <w:rFonts w:hint="eastAsia" w:ascii="宋体" w:hAnsi="宋体"/>
        </w:rPr>
        <w:t>跳闸</w:t>
      </w:r>
      <w:r>
        <w:rPr>
          <w:rFonts w:ascii="宋体" w:hAnsi="宋体"/>
        </w:rPr>
        <w:t>”</w:t>
      </w:r>
      <w:r>
        <w:rPr>
          <w:rFonts w:hint="eastAsia" w:ascii="宋体" w:hAnsi="宋体"/>
        </w:rPr>
        <w:t>继电器的使用将按照电机起动器部分的章节所述。</w:t>
      </w:r>
    </w:p>
    <w:p>
      <w:pPr>
        <w:pStyle w:val="5"/>
        <w:tabs>
          <w:tab w:val="left" w:pos="360"/>
        </w:tabs>
        <w:spacing w:before="0" w:after="0" w:line="360" w:lineRule="auto"/>
        <w:rPr>
          <w:rFonts w:ascii="宋体" w:hAnsi="宋体" w:eastAsia="宋体"/>
          <w:bCs/>
          <w:sz w:val="24"/>
        </w:rPr>
      </w:pPr>
      <w:bookmarkStart w:id="6264" w:name="_Toc231199003"/>
      <w:bookmarkStart w:id="6265" w:name="_Toc15273974"/>
      <w:bookmarkStart w:id="6266" w:name="_Toc262043021"/>
      <w:bookmarkStart w:id="6267" w:name="_Toc229289700"/>
      <w:bookmarkStart w:id="6268" w:name="_Toc229288694"/>
      <w:bookmarkStart w:id="6269" w:name="_Toc19674210"/>
      <w:bookmarkStart w:id="6270" w:name="_Toc10907"/>
      <w:bookmarkStart w:id="6271" w:name="_Toc231198902"/>
      <w:bookmarkStart w:id="6272" w:name="_Toc204929607"/>
      <w:bookmarkStart w:id="6273" w:name="_Toc39809974"/>
      <w:bookmarkStart w:id="6274" w:name="_Toc31449994"/>
      <w:bookmarkStart w:id="6275" w:name="_Toc17169977"/>
      <w:bookmarkStart w:id="6276" w:name="_Toc229294645"/>
      <w:bookmarkStart w:id="6277" w:name="_Toc44593768"/>
      <w:bookmarkStart w:id="6278" w:name="_Toc258"/>
      <w:bookmarkStart w:id="6279" w:name="_Toc69484270"/>
      <w:bookmarkStart w:id="6280" w:name="_Toc106883587"/>
      <w:r>
        <w:rPr>
          <w:rFonts w:hint="eastAsia" w:ascii="宋体" w:hAnsi="宋体" w:eastAsia="宋体"/>
          <w:bCs/>
          <w:sz w:val="24"/>
        </w:rPr>
        <w:t>7</w:t>
      </w:r>
      <w:r>
        <w:rPr>
          <w:rFonts w:ascii="宋体" w:hAnsi="宋体" w:eastAsia="宋体"/>
          <w:bCs/>
          <w:sz w:val="24"/>
        </w:rPr>
        <w:t>.1</w:t>
      </w:r>
      <w:r>
        <w:rPr>
          <w:rFonts w:hint="eastAsia" w:ascii="宋体" w:hAnsi="宋体" w:eastAsia="宋体"/>
          <w:bCs/>
          <w:sz w:val="24"/>
        </w:rPr>
        <w:t>4</w:t>
      </w:r>
      <w:r>
        <w:rPr>
          <w:rFonts w:ascii="宋体" w:hAnsi="宋体" w:eastAsia="宋体"/>
          <w:bCs/>
          <w:sz w:val="24"/>
        </w:rPr>
        <w:t>.3</w:t>
      </w:r>
      <w:r>
        <w:rPr>
          <w:rFonts w:hint="eastAsia" w:ascii="宋体" w:hAnsi="宋体" w:eastAsia="宋体"/>
          <w:bCs/>
          <w:sz w:val="24"/>
        </w:rPr>
        <w:t>指示灯及按钮</w:t>
      </w:r>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r>
        <w:rPr>
          <w:rFonts w:hint="eastAsia" w:ascii="宋体" w:hAnsi="宋体" w:eastAsia="宋体"/>
          <w:bCs/>
          <w:sz w:val="24"/>
        </w:rPr>
        <w:t>(防护等级: 室内IP44 ,室外IP65.)</w:t>
      </w:r>
      <w:bookmarkEnd w:id="6279"/>
      <w:bookmarkEnd w:id="6280"/>
    </w:p>
    <w:p>
      <w:pPr>
        <w:numPr>
          <w:ilvl w:val="0"/>
          <w:numId w:val="36"/>
        </w:numPr>
        <w:adjustRightInd w:val="0"/>
        <w:snapToGrid w:val="0"/>
        <w:spacing w:before="203" w:beforeLines="50" w:after="203" w:afterLines="50"/>
        <w:ind w:left="426" w:hanging="426"/>
        <w:textAlignment w:val="baseline"/>
        <w:rPr>
          <w:rFonts w:ascii="宋体" w:hAnsi="宋体"/>
          <w:b/>
        </w:rPr>
      </w:pPr>
      <w:r>
        <w:rPr>
          <w:rFonts w:hint="eastAsia" w:ascii="宋体" w:hAnsi="宋体"/>
          <w:b/>
        </w:rPr>
        <w:t xml:space="preserve">指示灯 </w:t>
      </w:r>
    </w:p>
    <w:p>
      <w:pPr>
        <w:numPr>
          <w:ilvl w:val="4"/>
          <w:numId w:val="37"/>
        </w:numPr>
        <w:adjustRightInd w:val="0"/>
        <w:snapToGrid w:val="0"/>
        <w:spacing w:before="203" w:beforeLines="50" w:after="203" w:afterLines="50"/>
        <w:ind w:left="851" w:hanging="425"/>
        <w:textAlignment w:val="baseline"/>
        <w:rPr>
          <w:rFonts w:ascii="宋体" w:hAnsi="宋体"/>
        </w:rPr>
      </w:pPr>
      <w:r>
        <w:rPr>
          <w:rFonts w:hint="eastAsia" w:ascii="宋体" w:hAnsi="宋体"/>
        </w:rPr>
        <w:t>事故跳闸，危险                              红色</w:t>
      </w:r>
    </w:p>
    <w:p>
      <w:pPr>
        <w:numPr>
          <w:ilvl w:val="4"/>
          <w:numId w:val="37"/>
        </w:numPr>
        <w:adjustRightInd w:val="0"/>
        <w:snapToGrid w:val="0"/>
        <w:spacing w:before="203" w:beforeLines="50" w:after="203" w:afterLines="50"/>
        <w:ind w:left="851" w:hanging="425"/>
        <w:textAlignment w:val="baseline"/>
        <w:rPr>
          <w:rFonts w:ascii="宋体" w:hAnsi="宋体"/>
        </w:rPr>
      </w:pPr>
      <w:r>
        <w:rPr>
          <w:rFonts w:hint="eastAsia" w:ascii="宋体" w:hAnsi="宋体"/>
        </w:rPr>
        <w:t>异常报警指示                                黄色</w:t>
      </w:r>
    </w:p>
    <w:p>
      <w:pPr>
        <w:numPr>
          <w:ilvl w:val="4"/>
          <w:numId w:val="37"/>
        </w:numPr>
        <w:adjustRightInd w:val="0"/>
        <w:snapToGrid w:val="0"/>
        <w:spacing w:before="203" w:beforeLines="50" w:after="203" w:afterLines="50"/>
        <w:ind w:left="851" w:hanging="425"/>
        <w:textAlignment w:val="baseline"/>
        <w:rPr>
          <w:rFonts w:ascii="宋体" w:hAnsi="宋体"/>
        </w:rPr>
      </w:pPr>
      <w:r>
        <w:rPr>
          <w:rFonts w:hint="eastAsia" w:ascii="宋体" w:hAnsi="宋体"/>
        </w:rPr>
        <w:t>开关闭合状态,运行                           白色</w:t>
      </w:r>
    </w:p>
    <w:p>
      <w:pPr>
        <w:numPr>
          <w:ilvl w:val="4"/>
          <w:numId w:val="37"/>
        </w:numPr>
        <w:adjustRightInd w:val="0"/>
        <w:snapToGrid w:val="0"/>
        <w:spacing w:before="203" w:beforeLines="50" w:after="203" w:afterLines="50"/>
        <w:ind w:left="851" w:hanging="425"/>
        <w:textAlignment w:val="baseline"/>
        <w:rPr>
          <w:rFonts w:ascii="宋体" w:hAnsi="宋体"/>
        </w:rPr>
      </w:pPr>
      <w:r>
        <w:rPr>
          <w:rFonts w:hint="eastAsia" w:ascii="宋体" w:hAnsi="宋体"/>
        </w:rPr>
        <w:t>阀门开到位                                 白色</w:t>
      </w:r>
    </w:p>
    <w:p>
      <w:pPr>
        <w:numPr>
          <w:ilvl w:val="4"/>
          <w:numId w:val="37"/>
        </w:numPr>
        <w:adjustRightInd w:val="0"/>
        <w:snapToGrid w:val="0"/>
        <w:spacing w:before="203" w:beforeLines="50" w:after="203" w:afterLines="50"/>
        <w:ind w:left="851" w:hanging="425"/>
        <w:textAlignment w:val="baseline"/>
        <w:rPr>
          <w:rFonts w:ascii="宋体" w:hAnsi="宋体"/>
        </w:rPr>
      </w:pPr>
      <w:r>
        <w:rPr>
          <w:rFonts w:hint="eastAsia" w:ascii="宋体" w:hAnsi="宋体"/>
        </w:rPr>
        <w:t>阀门关到位                              绿色</w:t>
      </w:r>
    </w:p>
    <w:p>
      <w:pPr>
        <w:numPr>
          <w:ilvl w:val="4"/>
          <w:numId w:val="37"/>
        </w:numPr>
        <w:adjustRightInd w:val="0"/>
        <w:snapToGrid w:val="0"/>
        <w:spacing w:before="203" w:beforeLines="50" w:after="203" w:afterLines="50"/>
        <w:ind w:left="851" w:hanging="425"/>
        <w:textAlignment w:val="baseline"/>
        <w:rPr>
          <w:rFonts w:ascii="宋体" w:hAnsi="宋体"/>
        </w:rPr>
      </w:pPr>
      <w:r>
        <w:rPr>
          <w:rFonts w:hint="eastAsia" w:ascii="宋体" w:hAnsi="宋体"/>
        </w:rPr>
        <w:t>正常停止按钮                               红色</w:t>
      </w:r>
    </w:p>
    <w:p>
      <w:pPr>
        <w:numPr>
          <w:ilvl w:val="4"/>
          <w:numId w:val="37"/>
        </w:numPr>
        <w:adjustRightInd w:val="0"/>
        <w:snapToGrid w:val="0"/>
        <w:spacing w:before="203" w:beforeLines="50" w:after="203" w:afterLines="50"/>
        <w:ind w:left="851" w:hanging="425"/>
        <w:textAlignment w:val="baseline"/>
        <w:rPr>
          <w:rFonts w:ascii="宋体" w:hAnsi="宋体"/>
        </w:rPr>
      </w:pPr>
      <w:r>
        <w:rPr>
          <w:rFonts w:hint="eastAsia" w:ascii="宋体" w:hAnsi="宋体"/>
        </w:rPr>
        <w:t>合闸按钮，开机按钮，起动按钮                白色</w:t>
      </w:r>
    </w:p>
    <w:p>
      <w:pPr>
        <w:numPr>
          <w:ilvl w:val="0"/>
          <w:numId w:val="36"/>
        </w:numPr>
        <w:adjustRightInd w:val="0"/>
        <w:snapToGrid w:val="0"/>
        <w:spacing w:before="203" w:beforeLines="50" w:after="203" w:afterLines="50"/>
        <w:ind w:left="426" w:hanging="426"/>
        <w:textAlignment w:val="baseline"/>
        <w:rPr>
          <w:rFonts w:ascii="宋体" w:hAnsi="宋体"/>
          <w:b/>
        </w:rPr>
      </w:pPr>
      <w:r>
        <w:rPr>
          <w:rFonts w:hint="eastAsia" w:ascii="宋体" w:hAnsi="宋体"/>
          <w:b/>
        </w:rPr>
        <w:t>手动/关闭/自动选择开关(</w:t>
      </w:r>
      <w:r>
        <w:rPr>
          <w:rFonts w:hint="eastAsia" w:ascii="宋体" w:hAnsi="宋体"/>
        </w:rPr>
        <w:t>防护等级：室内IP44，室外IP65)</w:t>
      </w:r>
    </w:p>
    <w:p>
      <w:pPr>
        <w:numPr>
          <w:ilvl w:val="4"/>
          <w:numId w:val="37"/>
        </w:numPr>
        <w:adjustRightInd w:val="0"/>
        <w:snapToGrid w:val="0"/>
        <w:spacing w:before="203" w:beforeLines="50" w:after="203" w:afterLines="50"/>
        <w:ind w:left="851" w:hanging="425"/>
        <w:textAlignment w:val="baseline"/>
        <w:rPr>
          <w:rFonts w:ascii="宋体" w:hAnsi="宋体"/>
        </w:rPr>
      </w:pPr>
      <w:r>
        <w:rPr>
          <w:rFonts w:hint="eastAsia" w:ascii="宋体" w:hAnsi="宋体"/>
        </w:rPr>
        <w:t>转换开关                                   黑色</w:t>
      </w:r>
    </w:p>
    <w:p>
      <w:pPr>
        <w:spacing w:before="203" w:beforeLines="50" w:after="203" w:afterLines="50"/>
        <w:outlineLvl w:val="1"/>
        <w:rPr>
          <w:rFonts w:ascii="宋体" w:hAnsi="宋体"/>
          <w:b/>
        </w:rPr>
      </w:pPr>
      <w:bookmarkStart w:id="6281" w:name="_Toc11840"/>
      <w:bookmarkStart w:id="6282" w:name="_Toc44593769"/>
      <w:bookmarkStart w:id="6283" w:name="_Toc229289702"/>
      <w:bookmarkStart w:id="6284" w:name="_Toc69484271"/>
      <w:bookmarkStart w:id="6285" w:name="_Toc229294647"/>
      <w:bookmarkStart w:id="6286" w:name="_Toc231198904"/>
      <w:bookmarkStart w:id="6287" w:name="_Toc17745"/>
      <w:bookmarkStart w:id="6288" w:name="_Toc229288696"/>
      <w:bookmarkStart w:id="6289" w:name="_Toc262043023"/>
      <w:bookmarkStart w:id="6290" w:name="_Toc231199005"/>
      <w:bookmarkStart w:id="6291" w:name="_Toc204929609"/>
      <w:bookmarkStart w:id="6292" w:name="_Toc31449996"/>
      <w:bookmarkStart w:id="6293" w:name="_Toc19674212"/>
      <w:bookmarkStart w:id="6294" w:name="_Toc39809976"/>
      <w:bookmarkStart w:id="6295" w:name="_Toc17169979"/>
      <w:bookmarkStart w:id="6296" w:name="_Toc106883588"/>
      <w:r>
        <w:rPr>
          <w:rFonts w:hint="eastAsia" w:ascii="宋体" w:hAnsi="宋体"/>
          <w:b/>
        </w:rPr>
        <w:t>7.</w:t>
      </w:r>
      <w:r>
        <w:rPr>
          <w:rFonts w:ascii="宋体" w:hAnsi="宋体"/>
          <w:b/>
        </w:rPr>
        <w:t>1</w:t>
      </w:r>
      <w:r>
        <w:rPr>
          <w:rFonts w:hint="eastAsia" w:ascii="宋体" w:hAnsi="宋体"/>
          <w:b/>
        </w:rPr>
        <w:t>5 接地系统和保护导线</w:t>
      </w:r>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p>
    <w:p>
      <w:pPr>
        <w:pStyle w:val="5"/>
        <w:spacing w:before="0" w:after="0" w:line="360" w:lineRule="auto"/>
        <w:rPr>
          <w:rFonts w:ascii="宋体" w:hAnsi="宋体" w:eastAsia="宋体"/>
          <w:bCs/>
          <w:sz w:val="24"/>
        </w:rPr>
      </w:pPr>
      <w:bookmarkStart w:id="6297" w:name="_Toc204929610"/>
      <w:bookmarkStart w:id="6298" w:name="_Toc10183"/>
      <w:bookmarkStart w:id="6299" w:name="_Toc44593770"/>
      <w:bookmarkStart w:id="6300" w:name="_Toc19674213"/>
      <w:bookmarkStart w:id="6301" w:name="_Toc31449997"/>
      <w:bookmarkStart w:id="6302" w:name="_Toc69484272"/>
      <w:bookmarkStart w:id="6303" w:name="_Toc262043024"/>
      <w:bookmarkStart w:id="6304" w:name="_Toc22603"/>
      <w:bookmarkStart w:id="6305" w:name="_Toc261953698"/>
      <w:bookmarkStart w:id="6306" w:name="_Toc106883589"/>
      <w:r>
        <w:rPr>
          <w:rFonts w:hint="eastAsia" w:ascii="宋体" w:hAnsi="宋体" w:eastAsia="宋体"/>
          <w:bCs/>
          <w:sz w:val="24"/>
        </w:rPr>
        <w:t>7.</w:t>
      </w:r>
      <w:r>
        <w:rPr>
          <w:rFonts w:ascii="宋体" w:hAnsi="宋体" w:eastAsia="宋体"/>
          <w:bCs/>
          <w:sz w:val="24"/>
        </w:rPr>
        <w:t>1</w:t>
      </w:r>
      <w:r>
        <w:rPr>
          <w:rFonts w:hint="eastAsia" w:ascii="宋体" w:hAnsi="宋体" w:eastAsia="宋体"/>
          <w:bCs/>
          <w:sz w:val="24"/>
        </w:rPr>
        <w:t>5.1概述</w:t>
      </w:r>
      <w:bookmarkEnd w:id="6297"/>
      <w:bookmarkEnd w:id="6298"/>
      <w:bookmarkEnd w:id="6299"/>
      <w:bookmarkEnd w:id="6300"/>
      <w:bookmarkEnd w:id="6301"/>
      <w:bookmarkEnd w:id="6302"/>
      <w:bookmarkEnd w:id="6303"/>
      <w:bookmarkEnd w:id="6304"/>
      <w:bookmarkEnd w:id="6305"/>
      <w:bookmarkEnd w:id="6306"/>
    </w:p>
    <w:p>
      <w:pPr>
        <w:snapToGrid w:val="0"/>
        <w:spacing w:before="203" w:beforeLines="50" w:after="203" w:afterLines="50"/>
        <w:ind w:firstLine="420"/>
        <w:rPr>
          <w:rFonts w:ascii="宋体" w:hAnsi="宋体"/>
        </w:rPr>
      </w:pPr>
      <w:r>
        <w:rPr>
          <w:rFonts w:hint="eastAsia" w:ascii="宋体" w:hAnsi="宋体"/>
        </w:rPr>
        <w:t>在含有接地系统的装置和设备中同样要考虑电源系统的影响，在每组电源变压器的附近至少设置两组地电极系统。每组地电极系统自身对地电阻不能超过1欧姆。</w:t>
      </w:r>
    </w:p>
    <w:p>
      <w:pPr>
        <w:snapToGrid w:val="0"/>
        <w:spacing w:before="203" w:beforeLines="50" w:after="203" w:afterLines="50"/>
        <w:ind w:firstLine="420"/>
        <w:rPr>
          <w:rFonts w:ascii="宋体" w:hAnsi="宋体"/>
        </w:rPr>
      </w:pPr>
      <w:r>
        <w:rPr>
          <w:rFonts w:hint="eastAsia" w:ascii="宋体" w:hAnsi="宋体"/>
        </w:rPr>
        <w:t>每个接地系统应按以下方式进行设置。镀锌接地扁钢应安装在电机控制中心电缆沟的适当位置上。接地扁钢的横断面应不小于40</w:t>
      </w:r>
      <w:r>
        <w:rPr>
          <w:rFonts w:ascii="宋体" w:hAnsi="宋体"/>
        </w:rPr>
        <w:t>x</w:t>
      </w:r>
      <w:r>
        <w:rPr>
          <w:rFonts w:hint="eastAsia" w:ascii="宋体" w:hAnsi="宋体"/>
        </w:rPr>
        <w:t>4</w:t>
      </w:r>
      <w:r>
        <w:rPr>
          <w:rFonts w:ascii="宋体" w:hAnsi="宋体"/>
        </w:rPr>
        <w:t>mm</w:t>
      </w:r>
      <w:r>
        <w:rPr>
          <w:rFonts w:hint="eastAsia" w:ascii="宋体" w:hAnsi="宋体"/>
        </w:rPr>
        <w:t>。室内接地扁钢应与室外接地系统可靠连接，采用专用接地扁钢将下列各处与室内接地系统连接起来：</w:t>
      </w:r>
    </w:p>
    <w:p>
      <w:pPr>
        <w:numPr>
          <w:ilvl w:val="2"/>
          <w:numId w:val="38"/>
        </w:numPr>
        <w:adjustRightInd w:val="0"/>
        <w:snapToGrid w:val="0"/>
        <w:spacing w:before="203" w:beforeLines="50" w:after="203" w:afterLines="50"/>
        <w:ind w:left="851" w:hanging="425"/>
        <w:textAlignment w:val="baseline"/>
        <w:rPr>
          <w:rFonts w:ascii="宋体" w:hAnsi="宋体"/>
        </w:rPr>
      </w:pPr>
      <w:r>
        <w:rPr>
          <w:rFonts w:hint="eastAsia" w:ascii="宋体" w:hAnsi="宋体"/>
        </w:rPr>
        <w:t>每个电力变压器的次级线圈中性点；</w:t>
      </w:r>
    </w:p>
    <w:p>
      <w:pPr>
        <w:numPr>
          <w:ilvl w:val="2"/>
          <w:numId w:val="38"/>
        </w:numPr>
        <w:adjustRightInd w:val="0"/>
        <w:snapToGrid w:val="0"/>
        <w:spacing w:before="203" w:beforeLines="50" w:after="203" w:afterLines="50"/>
        <w:ind w:left="851" w:hanging="425"/>
        <w:textAlignment w:val="baseline"/>
        <w:rPr>
          <w:rFonts w:ascii="宋体" w:hAnsi="宋体"/>
        </w:rPr>
      </w:pPr>
      <w:r>
        <w:rPr>
          <w:rFonts w:hint="eastAsia" w:ascii="宋体" w:hAnsi="宋体"/>
        </w:rPr>
        <w:t>电机控制中心</w:t>
      </w:r>
      <w:r>
        <w:rPr>
          <w:rFonts w:ascii="宋体" w:hAnsi="宋体"/>
        </w:rPr>
        <w:t>PE</w:t>
      </w:r>
      <w:r>
        <w:rPr>
          <w:rFonts w:hint="eastAsia" w:ascii="宋体" w:hAnsi="宋体"/>
        </w:rPr>
        <w:t>线；</w:t>
      </w:r>
    </w:p>
    <w:p>
      <w:pPr>
        <w:numPr>
          <w:ilvl w:val="2"/>
          <w:numId w:val="38"/>
        </w:numPr>
        <w:adjustRightInd w:val="0"/>
        <w:snapToGrid w:val="0"/>
        <w:spacing w:before="203" w:beforeLines="50" w:after="203" w:afterLines="50"/>
        <w:ind w:left="851" w:hanging="425"/>
        <w:textAlignment w:val="baseline"/>
        <w:rPr>
          <w:rFonts w:ascii="宋体" w:hAnsi="宋体"/>
        </w:rPr>
      </w:pPr>
      <w:r>
        <w:rPr>
          <w:rFonts w:hint="eastAsia" w:ascii="宋体" w:hAnsi="宋体"/>
        </w:rPr>
        <w:t>避雷保护的接地系统；</w:t>
      </w:r>
    </w:p>
    <w:p>
      <w:pPr>
        <w:numPr>
          <w:ilvl w:val="2"/>
          <w:numId w:val="38"/>
        </w:numPr>
        <w:adjustRightInd w:val="0"/>
        <w:snapToGrid w:val="0"/>
        <w:spacing w:before="203" w:beforeLines="50" w:after="203" w:afterLines="50"/>
        <w:ind w:left="851" w:hanging="425"/>
        <w:textAlignment w:val="baseline"/>
        <w:rPr>
          <w:rFonts w:ascii="宋体" w:hAnsi="宋体"/>
        </w:rPr>
      </w:pPr>
      <w:r>
        <w:rPr>
          <w:rFonts w:hint="eastAsia" w:ascii="宋体" w:hAnsi="宋体"/>
        </w:rPr>
        <w:t>每个电力变压器的外壳；</w:t>
      </w:r>
    </w:p>
    <w:p>
      <w:pPr>
        <w:snapToGrid w:val="0"/>
        <w:spacing w:before="203" w:beforeLines="50" w:after="203" w:afterLines="50"/>
        <w:ind w:firstLine="420"/>
        <w:rPr>
          <w:rFonts w:ascii="宋体" w:hAnsi="宋体"/>
        </w:rPr>
      </w:pPr>
      <w:r>
        <w:rPr>
          <w:rFonts w:hint="eastAsia" w:ascii="宋体" w:hAnsi="宋体"/>
        </w:rPr>
        <w:t>此外，金属走道、楼梯、扶手、机械设备等均应与接地系统可靠连接。</w:t>
      </w:r>
    </w:p>
    <w:p>
      <w:pPr>
        <w:pStyle w:val="5"/>
        <w:spacing w:before="0" w:after="0" w:line="360" w:lineRule="auto"/>
        <w:rPr>
          <w:rFonts w:ascii="宋体" w:hAnsi="宋体" w:eastAsia="宋体"/>
          <w:bCs/>
          <w:sz w:val="24"/>
        </w:rPr>
      </w:pPr>
      <w:bookmarkStart w:id="6307" w:name="_Toc24896"/>
      <w:bookmarkStart w:id="6308" w:name="_Toc24793"/>
      <w:bookmarkStart w:id="6309" w:name="_Toc31449998"/>
      <w:bookmarkStart w:id="6310" w:name="_Toc19674214"/>
      <w:bookmarkStart w:id="6311" w:name="_Toc44593771"/>
      <w:bookmarkStart w:id="6312" w:name="_Toc204929611"/>
      <w:bookmarkStart w:id="6313" w:name="_Toc69484273"/>
      <w:bookmarkStart w:id="6314" w:name="_Toc106883590"/>
      <w:r>
        <w:rPr>
          <w:rFonts w:hint="eastAsia" w:ascii="宋体" w:hAnsi="宋体" w:eastAsia="宋体"/>
          <w:bCs/>
          <w:sz w:val="24"/>
        </w:rPr>
        <w:t>7.</w:t>
      </w:r>
      <w:r>
        <w:rPr>
          <w:rFonts w:ascii="宋体" w:hAnsi="宋体" w:eastAsia="宋体"/>
          <w:bCs/>
          <w:sz w:val="24"/>
        </w:rPr>
        <w:t>1</w:t>
      </w:r>
      <w:r>
        <w:rPr>
          <w:rFonts w:hint="eastAsia" w:ascii="宋体" w:hAnsi="宋体" w:eastAsia="宋体"/>
          <w:bCs/>
          <w:sz w:val="24"/>
        </w:rPr>
        <w:t>5.2接地系统</w:t>
      </w:r>
      <w:bookmarkEnd w:id="6307"/>
      <w:bookmarkEnd w:id="6308"/>
      <w:bookmarkEnd w:id="6309"/>
      <w:bookmarkEnd w:id="6310"/>
      <w:bookmarkEnd w:id="6311"/>
      <w:bookmarkEnd w:id="6312"/>
      <w:bookmarkEnd w:id="6313"/>
      <w:bookmarkEnd w:id="6314"/>
    </w:p>
    <w:p>
      <w:pPr>
        <w:snapToGrid w:val="0"/>
        <w:spacing w:before="203" w:beforeLines="50" w:after="203" w:afterLines="50"/>
        <w:ind w:firstLine="420"/>
        <w:rPr>
          <w:rFonts w:ascii="宋体" w:hAnsi="宋体"/>
        </w:rPr>
      </w:pPr>
      <w:r>
        <w:rPr>
          <w:rFonts w:hint="eastAsia" w:ascii="宋体" w:hAnsi="宋体"/>
        </w:rPr>
        <w:t>本系统的接地以建筑物自然接地系统为主，当自然接地系统接地电阻达不到要求时，再增加人工接地。人工接地要求如下：</w:t>
      </w:r>
    </w:p>
    <w:p>
      <w:pPr>
        <w:numPr>
          <w:ilvl w:val="0"/>
          <w:numId w:val="39"/>
        </w:numPr>
        <w:adjustRightInd w:val="0"/>
        <w:snapToGrid w:val="0"/>
        <w:spacing w:before="203" w:beforeLines="50" w:after="203" w:afterLines="50"/>
        <w:textAlignment w:val="baseline"/>
        <w:rPr>
          <w:rFonts w:ascii="宋体" w:hAnsi="宋体"/>
        </w:rPr>
      </w:pPr>
      <w:r>
        <w:rPr>
          <w:rFonts w:hint="eastAsia" w:ascii="宋体" w:hAnsi="宋体"/>
        </w:rPr>
        <w:t>每个接地极系统由一个或多个镀锌钢管或角钢，镀锌扁钢带所组成。</w:t>
      </w:r>
    </w:p>
    <w:p>
      <w:pPr>
        <w:numPr>
          <w:ilvl w:val="0"/>
          <w:numId w:val="39"/>
        </w:numPr>
        <w:adjustRightInd w:val="0"/>
        <w:snapToGrid w:val="0"/>
        <w:spacing w:before="203" w:beforeLines="50" w:after="203" w:afterLines="50"/>
        <w:textAlignment w:val="baseline"/>
        <w:rPr>
          <w:rFonts w:ascii="宋体" w:hAnsi="宋体"/>
        </w:rPr>
      </w:pPr>
      <w:r>
        <w:rPr>
          <w:rFonts w:hint="eastAsia" w:ascii="宋体" w:hAnsi="宋体"/>
        </w:rPr>
        <w:t>垂直接地极应为热镀锌钢管或角钢，镀锌厚度不低于</w:t>
      </w:r>
      <w:r>
        <w:rPr>
          <w:rFonts w:ascii="宋体" w:hAnsi="宋体"/>
        </w:rPr>
        <w:t>0.25 毫米</w:t>
      </w:r>
      <w:r>
        <w:rPr>
          <w:rFonts w:hint="eastAsia" w:ascii="宋体" w:hAnsi="宋体"/>
        </w:rPr>
        <w:t>且外径不小于</w:t>
      </w:r>
      <w:r>
        <w:rPr>
          <w:rFonts w:ascii="宋体" w:hAnsi="宋体"/>
        </w:rPr>
        <w:t>60 毫米</w:t>
      </w:r>
      <w:r>
        <w:rPr>
          <w:rFonts w:hint="eastAsia" w:ascii="宋体" w:hAnsi="宋体"/>
        </w:rPr>
        <w:t>。此棒应该至少插入地下0.8米。 当有多个接地极时，这些接地极之间的距离至少大于等于5米。</w:t>
      </w:r>
    </w:p>
    <w:p>
      <w:pPr>
        <w:numPr>
          <w:ilvl w:val="0"/>
          <w:numId w:val="39"/>
        </w:numPr>
        <w:adjustRightInd w:val="0"/>
        <w:snapToGrid w:val="0"/>
        <w:spacing w:before="203" w:beforeLines="50" w:after="203" w:afterLines="50"/>
        <w:textAlignment w:val="baseline"/>
        <w:rPr>
          <w:rFonts w:ascii="宋体" w:hAnsi="宋体"/>
        </w:rPr>
      </w:pPr>
      <w:r>
        <w:rPr>
          <w:rFonts w:hint="eastAsia" w:ascii="宋体" w:hAnsi="宋体"/>
        </w:rPr>
        <w:t>每根接地棒应顶端坚硬、有柱帽、且可以延伸。接地干线应埋在地下至少</w:t>
      </w:r>
      <w:r>
        <w:rPr>
          <w:rFonts w:ascii="宋体" w:hAnsi="宋体"/>
        </w:rPr>
        <w:t>800 毫米</w:t>
      </w:r>
      <w:r>
        <w:rPr>
          <w:rFonts w:hint="eastAsia" w:ascii="宋体" w:hAnsi="宋体"/>
        </w:rPr>
        <w:t>的深度，并与接地极相互连接。</w:t>
      </w:r>
    </w:p>
    <w:p>
      <w:pPr>
        <w:numPr>
          <w:ilvl w:val="0"/>
          <w:numId w:val="39"/>
        </w:numPr>
        <w:adjustRightInd w:val="0"/>
        <w:snapToGrid w:val="0"/>
        <w:spacing w:before="203" w:beforeLines="50" w:after="203" w:afterLines="50"/>
        <w:textAlignment w:val="baseline"/>
        <w:rPr>
          <w:rFonts w:ascii="宋体" w:hAnsi="宋体"/>
        </w:rPr>
      </w:pPr>
      <w:r>
        <w:rPr>
          <w:rFonts w:hint="eastAsia" w:ascii="宋体" w:hAnsi="宋体"/>
        </w:rPr>
        <w:t>土壤条件不能使用垂直接地极时，可以使用由水平埋设的镀锌接地扁钢组成环形配置，镀锌扁钢的规格最小为</w:t>
      </w:r>
      <w:r>
        <w:rPr>
          <w:rFonts w:ascii="宋体" w:hAnsi="宋体"/>
        </w:rPr>
        <w:t>40 毫米 x 5 毫米</w:t>
      </w:r>
      <w:r>
        <w:rPr>
          <w:rFonts w:hint="eastAsia" w:ascii="宋体" w:hAnsi="宋体"/>
        </w:rPr>
        <w:t>。钢带的埋设深度至少为</w:t>
      </w:r>
      <w:r>
        <w:rPr>
          <w:rFonts w:ascii="宋体" w:hAnsi="宋体"/>
        </w:rPr>
        <w:t>800 毫米</w:t>
      </w:r>
      <w:r>
        <w:rPr>
          <w:rFonts w:hint="eastAsia" w:ascii="宋体" w:hAnsi="宋体"/>
        </w:rPr>
        <w:t>。</w:t>
      </w:r>
    </w:p>
    <w:p>
      <w:pPr>
        <w:numPr>
          <w:ilvl w:val="0"/>
          <w:numId w:val="39"/>
        </w:numPr>
        <w:adjustRightInd w:val="0"/>
        <w:snapToGrid w:val="0"/>
        <w:spacing w:before="203" w:beforeLines="50" w:after="203" w:afterLines="50"/>
        <w:textAlignment w:val="baseline"/>
        <w:rPr>
          <w:rFonts w:ascii="宋体" w:hAnsi="宋体"/>
        </w:rPr>
      </w:pPr>
      <w:r>
        <w:rPr>
          <w:rFonts w:hint="eastAsia" w:ascii="宋体" w:hAnsi="宋体"/>
        </w:rPr>
        <w:t>应提供标识杆和标识牌以标明地下钢带接地体的埋设路线。标识与电缆线路的标识类似。</w:t>
      </w:r>
    </w:p>
    <w:p>
      <w:pPr>
        <w:adjustRightInd w:val="0"/>
        <w:snapToGrid w:val="0"/>
        <w:spacing w:before="203" w:beforeLines="50" w:after="203" w:afterLines="50"/>
        <w:ind w:firstLine="420"/>
        <w:rPr>
          <w:rFonts w:ascii="宋体" w:hAnsi="宋体"/>
        </w:rPr>
      </w:pPr>
      <w:r>
        <w:rPr>
          <w:rFonts w:ascii="宋体" w:hAnsi="宋体"/>
        </w:rPr>
        <w:br w:type="page"/>
      </w:r>
      <w:bookmarkEnd w:id="5863"/>
      <w:bookmarkEnd w:id="5864"/>
      <w:bookmarkEnd w:id="5865"/>
      <w:bookmarkEnd w:id="5866"/>
    </w:p>
    <w:p>
      <w:pPr>
        <w:keepNext/>
        <w:spacing w:line="480" w:lineRule="auto"/>
        <w:jc w:val="center"/>
        <w:outlineLvl w:val="0"/>
        <w:rPr>
          <w:rFonts w:ascii="宋体" w:hAnsi="宋体"/>
          <w:b/>
          <w:sz w:val="32"/>
        </w:rPr>
      </w:pPr>
      <w:bookmarkStart w:id="6315" w:name="_Toc69484274"/>
      <w:bookmarkStart w:id="6316" w:name="_Toc106883591"/>
      <w:bookmarkStart w:id="6317" w:name="_Toc60230481"/>
      <w:r>
        <w:rPr>
          <w:rFonts w:hint="eastAsia" w:ascii="宋体" w:hAnsi="宋体"/>
          <w:b/>
          <w:sz w:val="32"/>
        </w:rPr>
        <w:t>8对机械和工艺设备的详细技术要求</w:t>
      </w:r>
      <w:bookmarkEnd w:id="6315"/>
      <w:bookmarkEnd w:id="6316"/>
      <w:bookmarkEnd w:id="6317"/>
    </w:p>
    <w:p>
      <w:pPr>
        <w:adjustRightInd w:val="0"/>
        <w:snapToGrid w:val="0"/>
        <w:spacing w:before="203" w:beforeLines="50" w:after="203" w:afterLines="50"/>
        <w:ind w:firstLine="420"/>
        <w:rPr>
          <w:rFonts w:ascii="宋体" w:hAnsi="宋体"/>
        </w:rPr>
      </w:pPr>
      <w:bookmarkStart w:id="6318" w:name="_Toc448248669"/>
      <w:r>
        <w:rPr>
          <w:rFonts w:hint="eastAsia" w:ascii="宋体" w:hAnsi="宋体"/>
        </w:rPr>
        <w:t>本章列出了本工程涉及的主要设备和系统的详细技术参数和要求，分别给出了机械设备和电气及自动控制设备的技术参数、数量、适用标准和规范、用途和安装位置，以及对于零配件、安装材料、以及维修养护等的特殊要求。</w:t>
      </w:r>
    </w:p>
    <w:p>
      <w:pPr>
        <w:adjustRightInd w:val="0"/>
        <w:snapToGrid w:val="0"/>
        <w:spacing w:before="203" w:beforeLines="50" w:after="203" w:afterLines="50"/>
        <w:ind w:firstLine="420"/>
        <w:rPr>
          <w:rFonts w:ascii="宋体" w:hAnsi="宋体"/>
        </w:rPr>
      </w:pPr>
      <w:r>
        <w:rPr>
          <w:rFonts w:hint="eastAsia" w:ascii="宋体" w:hAnsi="宋体"/>
        </w:rPr>
        <w:t>本文件虽然是在施工图设计的基础上完成的，但</w:t>
      </w:r>
      <w:r>
        <w:rPr>
          <w:rFonts w:ascii="宋体" w:hAnsi="宋体"/>
        </w:rPr>
        <w:t>也不可能</w:t>
      </w:r>
      <w:r>
        <w:rPr>
          <w:rFonts w:hint="eastAsia" w:ascii="宋体" w:hAnsi="宋体"/>
        </w:rPr>
        <w:t>是详尽无遗的，不可能包含各种设备的全部细节。本章仅对主要设备的特征和特定要求作了说明，并非涵盖了所有细节。但无论本文件是否规定和列出，承包商均应提供符合本招标文件要求的，符合中国或国际现行规范和标准的，技术成熟的崭新设备，本合同不接受未经市场和正常运行考验的试验产品。</w:t>
      </w:r>
    </w:p>
    <w:p>
      <w:pPr>
        <w:adjustRightInd w:val="0"/>
        <w:snapToGrid w:val="0"/>
        <w:spacing w:before="203" w:beforeLines="50" w:after="203" w:afterLines="50"/>
        <w:ind w:firstLine="420"/>
        <w:rPr>
          <w:rFonts w:ascii="宋体" w:hAnsi="宋体"/>
        </w:rPr>
      </w:pPr>
      <w:r>
        <w:rPr>
          <w:rFonts w:hint="eastAsia" w:ascii="宋体" w:hAnsi="宋体"/>
        </w:rPr>
        <w:t>本合同为供货安装工程，无论是否要求，承包商均应提供设备安装所需的管道管件、电缆、附件、配套设施和相应材料，以及全部安装、调试、培训、试运行、验收、交接等必需的服务和工作，以确保富西净水厂的正常运行，并将所有费用包含在投标人的投标总报价中，业主不再另行支付。</w:t>
      </w:r>
    </w:p>
    <w:p>
      <w:pPr>
        <w:keepNext/>
        <w:adjustRightInd w:val="0"/>
        <w:snapToGrid w:val="0"/>
        <w:spacing w:before="203" w:beforeLines="50" w:after="203" w:afterLines="50"/>
        <w:ind w:left="420"/>
        <w:outlineLvl w:val="0"/>
        <w:rPr>
          <w:rFonts w:ascii="宋体" w:hAnsi="宋体" w:cs="楷体"/>
          <w:b/>
        </w:rPr>
      </w:pPr>
      <w:bookmarkStart w:id="6319" w:name="_Toc106883592"/>
      <w:r>
        <w:rPr>
          <w:rFonts w:hint="eastAsia" w:ascii="宋体" w:hAnsi="宋体" w:cs="楷体"/>
          <w:b/>
        </w:rPr>
        <w:t>8.1蝶阀</w:t>
      </w:r>
      <w:bookmarkEnd w:id="6319"/>
    </w:p>
    <w:p>
      <w:pPr>
        <w:keepNext/>
        <w:adjustRightInd w:val="0"/>
        <w:snapToGrid w:val="0"/>
        <w:spacing w:before="203" w:beforeLines="50" w:after="203" w:afterLines="50"/>
        <w:outlineLvl w:val="2"/>
        <w:rPr>
          <w:rFonts w:ascii="宋体" w:hAnsi="宋体" w:cs="楷体"/>
          <w:b/>
        </w:rPr>
      </w:pPr>
      <w:bookmarkStart w:id="6320" w:name="_Toc456691908"/>
      <w:bookmarkStart w:id="6321" w:name="_Toc106883593"/>
      <w:bookmarkStart w:id="6322" w:name="_Toc448248665"/>
      <w:r>
        <w:rPr>
          <w:rFonts w:hint="eastAsia" w:ascii="宋体" w:hAnsi="宋体" w:cs="楷体"/>
          <w:b/>
        </w:rPr>
        <w:t>8.1.1概述</w:t>
      </w:r>
      <w:bookmarkEnd w:id="6320"/>
      <w:bookmarkEnd w:id="6321"/>
      <w:bookmarkEnd w:id="6322"/>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本工程使用的阀门有手动蝶阀、电动蝶阀等，安装位置详见供货范围及图纸。</w:t>
      </w:r>
    </w:p>
    <w:p>
      <w:pPr>
        <w:keepNext/>
        <w:adjustRightInd w:val="0"/>
        <w:snapToGrid w:val="0"/>
        <w:spacing w:before="203" w:beforeLines="50" w:after="203" w:afterLines="50"/>
        <w:outlineLvl w:val="2"/>
        <w:rPr>
          <w:rFonts w:ascii="宋体" w:hAnsi="宋体" w:cs="楷体"/>
          <w:b/>
        </w:rPr>
      </w:pPr>
      <w:bookmarkStart w:id="6323" w:name="_Toc448248667"/>
      <w:bookmarkStart w:id="6324" w:name="_Toc456691910"/>
      <w:bookmarkStart w:id="6325" w:name="_Toc106883594"/>
      <w:r>
        <w:rPr>
          <w:rFonts w:hint="eastAsia" w:ascii="宋体" w:hAnsi="宋体" w:cs="楷体"/>
          <w:b/>
        </w:rPr>
        <w:t>8.1.2供货范围</w:t>
      </w:r>
      <w:bookmarkEnd w:id="6323"/>
      <w:bookmarkEnd w:id="6324"/>
      <w:bookmarkEnd w:id="6325"/>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工程量清单表中列出的各项设备成套、整体供货，即只需要在设备两端使用螺栓等即可与外部设备（外部设备指非本采购清单列出的设备）或管道连接。清单如下：</w:t>
      </w:r>
    </w:p>
    <w:tbl>
      <w:tblPr>
        <w:tblStyle w:val="77"/>
        <w:tblW w:w="5225" w:type="pct"/>
        <w:jc w:val="center"/>
        <w:tblLayout w:type="fixed"/>
        <w:tblCellMar>
          <w:top w:w="0" w:type="dxa"/>
          <w:left w:w="108" w:type="dxa"/>
          <w:bottom w:w="0" w:type="dxa"/>
          <w:right w:w="108" w:type="dxa"/>
        </w:tblCellMar>
      </w:tblPr>
      <w:tblGrid>
        <w:gridCol w:w="810"/>
        <w:gridCol w:w="1279"/>
        <w:gridCol w:w="1465"/>
        <w:gridCol w:w="1161"/>
        <w:gridCol w:w="869"/>
        <w:gridCol w:w="807"/>
        <w:gridCol w:w="1380"/>
        <w:gridCol w:w="1341"/>
      </w:tblGrid>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规格参数</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材质</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安装位置</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1</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DN600</w:t>
            </w:r>
            <w:r>
              <w:rPr>
                <w:rFonts w:hint="eastAsia" w:ascii="宋体" w:hAnsi="宋体" w:cs="楷体"/>
              </w:rPr>
              <w:t>，</w:t>
            </w:r>
            <w:r>
              <w:rPr>
                <w:rFonts w:ascii="宋体" w:hAnsi="宋体" w:cs="楷体"/>
              </w:rPr>
              <w:t xml:space="preserve">  0.6MPa</w:t>
            </w:r>
          </w:p>
        </w:tc>
        <w:tc>
          <w:tcPr>
            <w:tcW w:w="637"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工艺进、出水管线</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立式</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2</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DN500， P=1.0Mpa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3</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DN600， P=1.0Mpa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4</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气动蝶阀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DN300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滤池表扫进水</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5</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气动蝶阀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DN250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滤池出水阀，可调型</w:t>
            </w:r>
          </w:p>
        </w:tc>
      </w:tr>
      <w:tr>
        <w:tblPrEx>
          <w:tblCellMar>
            <w:top w:w="0" w:type="dxa"/>
            <w:left w:w="108" w:type="dxa"/>
            <w:bottom w:w="0" w:type="dxa"/>
            <w:right w:w="108" w:type="dxa"/>
          </w:tblCellMar>
        </w:tblPrEx>
        <w:trPr>
          <w:cantSplit/>
          <w:trHeight w:val="90"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6</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气动蝶阀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DN250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滤池水冲阀</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7</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气动蝶阀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DN200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滤池气冲阀,金属硬密封</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8</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气动蝶阀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滤池排气管,金属硬密封</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9</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滤池排气管,金属硬密封</w:t>
            </w:r>
          </w:p>
        </w:tc>
      </w:tr>
      <w:tr>
        <w:tblPrEx>
          <w:tblCellMar>
            <w:top w:w="0" w:type="dxa"/>
            <w:left w:w="108" w:type="dxa"/>
            <w:bottom w:w="0" w:type="dxa"/>
            <w:right w:w="108" w:type="dxa"/>
          </w:tblCellMar>
        </w:tblPrEx>
        <w:trPr>
          <w:cantSplit/>
          <w:trHeight w:val="776"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1</w:t>
            </w:r>
            <w:r>
              <w:rPr>
                <w:rFonts w:ascii="宋体" w:hAnsi="宋体" w:cs="楷体"/>
                <w:kern w:val="0"/>
              </w:rPr>
              <w:t>0</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气动蝶阀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DN200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8</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滤池放空管</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11</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水泵出水</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12</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DN300，1.0MPa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水泵进水</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13</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风机出风,金属硬密封</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14</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DN300， 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送水泵房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附支墩</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15</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电动蝶阀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DN250， 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送水泵房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附支墩</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16</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DN250， 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送水泵房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附支墩</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17</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电动蝶阀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DN600， PN=1.0MPa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送水泵房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配启闭机、带加长杆</w:t>
            </w:r>
          </w:p>
        </w:tc>
      </w:tr>
    </w:tbl>
    <w:p>
      <w:pPr>
        <w:keepNext/>
        <w:adjustRightInd w:val="0"/>
        <w:snapToGrid w:val="0"/>
        <w:spacing w:before="203" w:beforeLines="50" w:after="203" w:afterLines="50"/>
        <w:ind w:left="420"/>
        <w:outlineLvl w:val="2"/>
        <w:rPr>
          <w:rFonts w:ascii="宋体" w:hAnsi="宋体" w:cs="楷体"/>
          <w:b/>
        </w:rPr>
      </w:pPr>
      <w:bookmarkStart w:id="6326" w:name="_Toc106883595"/>
      <w:r>
        <w:rPr>
          <w:rFonts w:hint="eastAsia" w:ascii="宋体" w:hAnsi="宋体" w:cs="楷体"/>
          <w:b/>
        </w:rPr>
        <w:t>8.1.3基本要求</w:t>
      </w:r>
      <w:bookmarkEnd w:id="6326"/>
    </w:p>
    <w:bookmarkEnd w:id="6318"/>
    <w:p>
      <w:pPr>
        <w:pStyle w:val="20"/>
        <w:snapToGrid w:val="0"/>
        <w:spacing w:before="120" w:after="120" w:line="240" w:lineRule="auto"/>
        <w:ind w:left="0" w:right="159" w:firstLine="0"/>
        <w:rPr>
          <w:rFonts w:ascii="宋体" w:hAnsi="宋体" w:cs="楷体"/>
          <w:b/>
          <w:bCs/>
          <w:sz w:val="24"/>
          <w:szCs w:val="18"/>
        </w:rPr>
      </w:pPr>
      <w:bookmarkStart w:id="6327" w:name="_Toc448248673"/>
      <w:bookmarkStart w:id="6328" w:name="_Toc456691914"/>
      <w:r>
        <w:rPr>
          <w:rFonts w:hint="eastAsia" w:ascii="宋体" w:hAnsi="宋体" w:cs="楷体"/>
          <w:b/>
          <w:bCs/>
          <w:sz w:val="24"/>
          <w:szCs w:val="18"/>
        </w:rPr>
        <w:t>8.1.3.1标准和规范</w:t>
      </w:r>
      <w:bookmarkStart w:id="6329" w:name="_Toc448248672"/>
      <w:bookmarkStart w:id="6330" w:name="_Toc456691913"/>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阀门的生产制造、技术标准等应符合ISO、IEC、ANSI、DIN、GB12220标准和等效的标准。阀门的法兰及其钻孔尺寸应符合ISO、GB标准。法兰的厚度由给定的工作压力确定，并符合国际标准，或者由制造商决定厚度并提交设计计算资料。上述所 列标准，并不是本文件所要求的全部，所有设备必须依照的标准即使本文件中未说明，也应遵照。</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如选用标准和规范与标书所列标准和规范有不同之处，承包商、制造商必须以 书面形式进行全面说明并提供该标准和规范。</w:t>
      </w:r>
    </w:p>
    <w:bookmarkEnd w:id="6329"/>
    <w:bookmarkEnd w:id="6330"/>
    <w:p>
      <w:pPr>
        <w:pStyle w:val="20"/>
        <w:snapToGrid w:val="0"/>
        <w:spacing w:before="120" w:after="120" w:line="240" w:lineRule="auto"/>
        <w:ind w:left="0" w:right="159" w:firstLine="0"/>
        <w:outlineLvl w:val="0"/>
        <w:rPr>
          <w:rFonts w:ascii="宋体" w:hAnsi="宋体" w:cs="楷体"/>
          <w:b/>
          <w:bCs/>
          <w:sz w:val="24"/>
          <w:szCs w:val="18"/>
        </w:rPr>
      </w:pPr>
      <w:bookmarkStart w:id="6331" w:name="_Toc106050344"/>
      <w:bookmarkStart w:id="6332" w:name="_Toc106883596"/>
      <w:r>
        <w:rPr>
          <w:rFonts w:hint="eastAsia" w:ascii="宋体" w:hAnsi="宋体" w:cs="楷体"/>
          <w:b/>
          <w:bCs/>
          <w:sz w:val="24"/>
          <w:szCs w:val="18"/>
        </w:rPr>
        <w:t>8.1.3.2产品要求</w:t>
      </w:r>
      <w:bookmarkEnd w:id="6331"/>
      <w:bookmarkEnd w:id="6332"/>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卖方提供上述的阀门类产品，要满足技术标书的要求，严禁贴牌生产供货。并在设备阀体上的适当地方应浇铸有阀门口径，工作压力，阀体型号和生产厂家。阀门铭牌上应注明阀门代号、系列号，生产日期，阀门口径，工作压力和材料等。上述信息必须与投标书信息吻合。</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所有阀门类产品在出厂前应按ISO、DIN、GB、JB及等同国际行业标准进行性 能、泄漏、静压及其它必要的试验。制造商应提供出厂产品检验的一切证书及产品合 格证，随带产品说明书及装箱单，包括附件、备品备件清单和专用工具。</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所有阀门的启闭件要处于关闭位置，所有阀门类产品两端用盲板保护法兰密封 面及阀门内腔。盲板应用木材、木质纤维板、塑料或金属制成，并用螺栓夹或锁紧装 置固定，且易于装卸。</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所有阀门类产品自运行之日起的12个月内，在产品说明书规定的正常操作条件下，因材料缺陷、制造质量、设计等原因造成的损坏，由卖方负责免费保修或更换保 修项目范围内的零件或整台产品。</w:t>
      </w:r>
    </w:p>
    <w:p>
      <w:pPr>
        <w:pStyle w:val="20"/>
        <w:snapToGrid w:val="0"/>
        <w:spacing w:before="120" w:after="120" w:line="240" w:lineRule="auto"/>
        <w:ind w:left="0" w:right="159" w:firstLine="0"/>
        <w:outlineLvl w:val="0"/>
        <w:rPr>
          <w:rFonts w:ascii="宋体" w:hAnsi="宋体" w:cs="楷体"/>
          <w:b/>
          <w:bCs/>
          <w:sz w:val="24"/>
          <w:szCs w:val="18"/>
        </w:rPr>
      </w:pPr>
      <w:bookmarkStart w:id="6333" w:name="_Toc106050345"/>
      <w:bookmarkStart w:id="6334" w:name="_Toc106883597"/>
      <w:r>
        <w:rPr>
          <w:rFonts w:hint="eastAsia" w:ascii="宋体" w:hAnsi="宋体" w:cs="楷体"/>
          <w:b/>
          <w:bCs/>
          <w:sz w:val="24"/>
          <w:szCs w:val="18"/>
        </w:rPr>
        <w:t>8.1.3.3运行寿命</w:t>
      </w:r>
      <w:bookmarkEnd w:id="6333"/>
      <w:bookmarkEnd w:id="6334"/>
    </w:p>
    <w:p>
      <w:pPr>
        <w:pStyle w:val="20"/>
        <w:snapToGrid w:val="0"/>
        <w:spacing w:before="120" w:after="120" w:line="240" w:lineRule="auto"/>
        <w:ind w:left="142" w:right="159" w:firstLine="476"/>
        <w:rPr>
          <w:rFonts w:ascii="宋体" w:hAnsi="宋体" w:cs="楷体"/>
        </w:rPr>
      </w:pPr>
      <w:r>
        <w:rPr>
          <w:rFonts w:hint="eastAsia" w:ascii="宋体" w:hAnsi="宋体" w:cs="楷体"/>
          <w:sz w:val="24"/>
          <w:szCs w:val="24"/>
        </w:rPr>
        <w:t>阀门类设备正常使用寿命至少为二十年。如发生质量及渗漏问题，承包商应免费维修或更换。</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承包商必须保证阀门在经正确安装、正常操作和保养条件下，在寿命期内运行良好 。</w:t>
      </w:r>
    </w:p>
    <w:p>
      <w:pPr>
        <w:pStyle w:val="20"/>
        <w:snapToGrid w:val="0"/>
        <w:spacing w:before="203" w:beforeLines="50" w:after="203" w:afterLines="50" w:line="240" w:lineRule="auto"/>
        <w:ind w:left="142" w:right="159" w:firstLine="476"/>
        <w:rPr>
          <w:rFonts w:ascii="宋体" w:hAnsi="宋体" w:cs="楷体"/>
          <w:sz w:val="24"/>
          <w:szCs w:val="24"/>
        </w:rPr>
      </w:pPr>
      <w:r>
        <w:rPr>
          <w:rFonts w:hint="eastAsia" w:ascii="宋体" w:hAnsi="宋体" w:cs="楷体"/>
          <w:sz w:val="24"/>
          <w:szCs w:val="24"/>
        </w:rPr>
        <w:t>在保质期内，承包商免费修理并负责更换有缺陷零件或整机。承包商必须按合同条款规定，及时提供设备的安装调试指导及技术培训等技术服务。</w:t>
      </w:r>
    </w:p>
    <w:p>
      <w:pPr>
        <w:pStyle w:val="20"/>
        <w:snapToGrid w:val="0"/>
        <w:spacing w:before="120" w:after="120" w:line="240" w:lineRule="auto"/>
        <w:ind w:left="0" w:right="159" w:firstLine="0"/>
        <w:outlineLvl w:val="0"/>
        <w:rPr>
          <w:rFonts w:ascii="宋体" w:hAnsi="宋体" w:cs="楷体"/>
          <w:b/>
          <w:bCs/>
          <w:sz w:val="24"/>
          <w:szCs w:val="18"/>
        </w:rPr>
      </w:pPr>
      <w:bookmarkStart w:id="6335" w:name="_Toc106050346"/>
      <w:bookmarkStart w:id="6336" w:name="_Toc106883598"/>
      <w:r>
        <w:rPr>
          <w:rFonts w:hint="eastAsia" w:ascii="宋体" w:hAnsi="宋体" w:cs="楷体"/>
          <w:b/>
          <w:bCs/>
          <w:sz w:val="24"/>
          <w:szCs w:val="18"/>
        </w:rPr>
        <w:t>8.1.3.4备品备件及所需附件</w:t>
      </w:r>
      <w:bookmarkEnd w:id="6335"/>
      <w:bookmarkEnd w:id="6336"/>
    </w:p>
    <w:p>
      <w:pPr>
        <w:adjustRightInd w:val="0"/>
        <w:snapToGrid w:val="0"/>
        <w:spacing w:before="203" w:beforeLines="50" w:after="203" w:afterLines="50"/>
        <w:ind w:left="621" w:right="2198" w:hanging="480"/>
        <w:jc w:val="left"/>
        <w:rPr>
          <w:rFonts w:ascii="宋体" w:hAnsi="宋体" w:cs="楷体"/>
          <w:b/>
          <w:bCs/>
        </w:rPr>
      </w:pPr>
      <w:r>
        <w:rPr>
          <w:rFonts w:hint="eastAsia" w:ascii="宋体" w:hAnsi="宋体" w:cs="楷体"/>
          <w:b/>
          <w:bCs/>
        </w:rPr>
        <w:t xml:space="preserve">1、备品备件 </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投标商应提供满足1年运行要求的备品备件。详细要求如下：</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提供备品备件的数量应保证上述使用时间的要求。应包括正常更换及需要维护的 部件。备品备件应符合技术要求，应是全新的、与需更换的部件完全可互换的。</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所有备品备件的包装及防护应符合标准，避免腐蚀及损坏，能适合高温及潮湿环境下长期存贮要求。在包装外面注明备品、备件名称和编号，以方便辨认。</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备品备件清单应列明名称、数量，应由制造商根据工程当地条件及指定的时间要求制定。</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备品备件的单价应包括供货、包装、运输等所有费用。每套伸缩接头提供止水胶圈1套。 对于每套阀门，提供阀板密封圈1套，阀轴密封圈1套。</w:t>
      </w:r>
    </w:p>
    <w:p>
      <w:pPr>
        <w:adjustRightInd w:val="0"/>
        <w:snapToGrid w:val="0"/>
        <w:spacing w:before="203" w:beforeLines="50" w:after="203" w:afterLines="50"/>
        <w:ind w:left="621" w:right="2198" w:hanging="480"/>
        <w:jc w:val="left"/>
        <w:rPr>
          <w:rFonts w:ascii="宋体" w:hAnsi="宋体" w:cs="楷体"/>
          <w:b/>
          <w:bCs/>
        </w:rPr>
      </w:pPr>
      <w:bookmarkStart w:id="6337" w:name="_Toc106050347"/>
      <w:bookmarkStart w:id="6338" w:name="_Toc106883599"/>
      <w:r>
        <w:rPr>
          <w:rFonts w:hint="eastAsia" w:ascii="宋体" w:hAnsi="宋体" w:cs="楷体"/>
          <w:b/>
          <w:bCs/>
        </w:rPr>
        <w:t>2、所需附件</w:t>
      </w:r>
      <w:bookmarkEnd w:id="6337"/>
      <w:bookmarkEnd w:id="6338"/>
      <w:r>
        <w:rPr>
          <w:rFonts w:hint="eastAsia" w:ascii="宋体" w:hAnsi="宋体" w:cs="楷体"/>
          <w:b/>
          <w:bCs/>
        </w:rPr>
        <w:t xml:space="preserve"> </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所需附件应包括设备专用工具及组装所需件，要求如下：</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投标商应提供保证供货设备及系统安装、试验及有效运行所需的机械、电气及控制系统附件。</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除非另外指明，应提供所有必须附件及两套维修、试验、检查专用工具，在报价 表中应详细列明。</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专用工具应整齐放置在专用的工具箱中，箱外标明所有工具名称，并附带所有工 具的使用说明书。</w:t>
      </w:r>
    </w:p>
    <w:p>
      <w:pPr>
        <w:pStyle w:val="20"/>
        <w:snapToGrid w:val="0"/>
        <w:spacing w:before="120" w:after="120" w:line="240" w:lineRule="auto"/>
        <w:ind w:left="0" w:right="159" w:firstLine="0"/>
        <w:outlineLvl w:val="0"/>
        <w:rPr>
          <w:rFonts w:ascii="宋体" w:hAnsi="宋体" w:cs="楷体"/>
          <w:b/>
          <w:bCs/>
          <w:sz w:val="24"/>
          <w:szCs w:val="18"/>
        </w:rPr>
      </w:pPr>
      <w:bookmarkStart w:id="6339" w:name="_Toc106050348"/>
      <w:bookmarkStart w:id="6340" w:name="_Toc106883600"/>
      <w:r>
        <w:rPr>
          <w:rFonts w:hint="eastAsia" w:ascii="宋体" w:hAnsi="宋体" w:cs="楷体"/>
          <w:b/>
          <w:bCs/>
          <w:sz w:val="24"/>
          <w:szCs w:val="18"/>
        </w:rPr>
        <w:t>8.1.3.5产品制造及生产</w:t>
      </w:r>
      <w:bookmarkEnd w:id="6339"/>
      <w:bookmarkEnd w:id="6340"/>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1、提供合格的生产厂商生产的标准设备。各种设备应根据AWWA标准设计制造或 GB标准制造，各种设备的法兰及其钻孔尺寸应符合GB标准。</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2、提供用于本工程所需的相同或相似的产品应尽可能是同一生产厂出产的成 品，以便实现产品外形、操作及维修、备件及替换、生产厂商服务的全部标准化。</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3、设备、部件的设计和生产应考虑对人身健康、安全操作维护、可接近性以及 零部件的耐久性。</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4、设备内外表面必须平滑完整，不得有裂纹、夹渣等缺陷，对于凹凸不平之处 必须进行修补。</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5、对设备需要防腐金属内外表面必须采取有效的内喷与外涂的涂漆保护措施， 涂漆工艺和材料应按规定要求确定。</w:t>
      </w:r>
    </w:p>
    <w:p>
      <w:pPr>
        <w:pStyle w:val="20"/>
        <w:snapToGrid w:val="0"/>
        <w:spacing w:before="203" w:beforeLines="50" w:after="203" w:afterLines="50" w:line="240" w:lineRule="auto"/>
        <w:ind w:left="141" w:right="159" w:firstLine="479"/>
        <w:rPr>
          <w:rFonts w:ascii="宋体" w:hAnsi="宋体" w:cs="楷体"/>
        </w:rPr>
      </w:pPr>
      <w:r>
        <w:rPr>
          <w:rFonts w:hint="eastAsia" w:ascii="宋体" w:hAnsi="宋体" w:cs="楷体"/>
          <w:sz w:val="24"/>
          <w:szCs w:val="24"/>
        </w:rPr>
        <w:t>供应的设备成品应符合技术规定认定的、最新的中国国家标准（GB标准）以及国际标准化组织标准（ISO标准），并取得相应的认证。</w:t>
      </w:r>
    </w:p>
    <w:p>
      <w:pPr>
        <w:keepNext/>
        <w:adjustRightInd w:val="0"/>
        <w:snapToGrid w:val="0"/>
        <w:spacing w:before="203" w:beforeLines="50" w:after="203" w:afterLines="50"/>
        <w:ind w:left="420"/>
        <w:outlineLvl w:val="0"/>
        <w:rPr>
          <w:rFonts w:ascii="宋体" w:hAnsi="宋体" w:cs="楷体"/>
          <w:b/>
        </w:rPr>
      </w:pPr>
      <w:bookmarkStart w:id="6341" w:name="_Toc106883601"/>
      <w:r>
        <w:rPr>
          <w:rFonts w:hint="eastAsia" w:ascii="宋体" w:hAnsi="宋体" w:cs="楷体"/>
          <w:b/>
        </w:rPr>
        <w:t>8.1.4详细说明</w:t>
      </w:r>
      <w:bookmarkEnd w:id="6341"/>
    </w:p>
    <w:p>
      <w:pPr>
        <w:pStyle w:val="20"/>
        <w:snapToGrid w:val="0"/>
        <w:spacing w:before="120" w:after="120" w:line="240" w:lineRule="auto"/>
        <w:ind w:left="0" w:right="159" w:firstLine="0"/>
        <w:rPr>
          <w:rFonts w:ascii="宋体" w:hAnsi="宋体" w:cs="楷体"/>
          <w:b/>
          <w:bCs/>
          <w:sz w:val="24"/>
          <w:szCs w:val="18"/>
        </w:rPr>
      </w:pPr>
      <w:r>
        <w:rPr>
          <w:rFonts w:hint="eastAsia" w:ascii="宋体" w:hAnsi="宋体" w:cs="楷体"/>
          <w:b/>
          <w:bCs/>
          <w:sz w:val="24"/>
          <w:szCs w:val="18"/>
        </w:rPr>
        <w:t>8.1.4.1手动蝶阀</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技术要求</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公称压力：0.6-1.0MPa。</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强度试验：0.9-2.4MPa。</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密封实验：0.66-1.76MPa</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 xml:space="preserve">工作环境：安装于室内。 </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 xml:space="preserve">适用温度（℃）：-40～+150。 </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 xml:space="preserve">应用介质：空气、水、污水、蒸气、煤气、油品等。 </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驱动方式：电/手动。</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连接方式：法兰。</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结构及材料</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阀体：阀体由球墨铸铁QT450-10或等同材料一次性整体铸造制成。</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蝶板为桁架式设计，桁架结构主要承受轴向拉力或压力。</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阀杆与阀体的密封采用聚四氟乙烯骨架镶嵌橡胶O形圈的结构，在保 证可靠密封的同时又具有一定的润滑作用，减少阀杆与阀体对橡胶O形圈的磨损，提 高使用寿命。</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密封圈采用T型结构优质橡胶制成，更适用于泥水介质，均匀的压板压紧结 构在密封圈局部被磨损的情况下仍可调节密封圈进行一定的弹性补偿。</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阀杆与蝶板采用退拔销连接，同时退拔销可采用特殊工具拆除，使零件的互 换性增强，间接提高阀门的使用寿命。</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上、下阀杆与阀体间均设置复合材料制成的轴套，具有自润滑能力，减少受 力情况下旋转产生的摩擦力。</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蝶板密封面与不锈钢阀座之间可有±1</w:t>
      </w:r>
      <w:r>
        <w:rPr>
          <w:rFonts w:ascii="宋体" w:hAnsi="宋体" w:cs="Calibri"/>
          <w:bCs/>
          <w:lang w:bidi="zh-CN"/>
        </w:rPr>
        <w:t>º</w:t>
      </w:r>
      <w:r>
        <w:rPr>
          <w:rFonts w:hint="eastAsia" w:ascii="宋体" w:hAnsi="宋体" w:cs="楷体"/>
          <w:bCs/>
          <w:lang w:bidi="zh-CN"/>
        </w:rPr>
        <w:t>的调节量，在密封面磨损的情况下有 一定的弹性补偿余量。</w:t>
      </w:r>
    </w:p>
    <w:p>
      <w:pPr>
        <w:adjustRightInd w:val="0"/>
        <w:snapToGrid w:val="0"/>
        <w:spacing w:before="120" w:after="120"/>
        <w:ind w:firstLine="420"/>
        <w:rPr>
          <w:rFonts w:ascii="宋体" w:hAnsi="宋体" w:cs="楷体"/>
        </w:rPr>
      </w:pPr>
      <w:r>
        <w:rPr>
          <w:rFonts w:hint="eastAsia" w:ascii="宋体" w:hAnsi="宋体" w:cs="楷体"/>
          <w:bCs/>
          <w:lang w:bidi="zh-CN"/>
        </w:rPr>
        <w:t>法兰：要与阀体铸为一体，法兰连接尺寸要符合GB/T17241.6的有关规定</w:t>
      </w:r>
      <w:r>
        <w:rPr>
          <w:rFonts w:hint="eastAsia" w:ascii="宋体" w:hAnsi="宋体" w:cs="楷体"/>
        </w:rPr>
        <w:t>。</w:t>
      </w:r>
    </w:p>
    <w:bookmarkEnd w:id="6327"/>
    <w:bookmarkEnd w:id="6328"/>
    <w:p>
      <w:pPr>
        <w:pStyle w:val="20"/>
        <w:snapToGrid w:val="0"/>
        <w:spacing w:before="120" w:after="120" w:line="240" w:lineRule="auto"/>
        <w:ind w:left="0" w:right="159" w:firstLine="0"/>
        <w:outlineLvl w:val="0"/>
        <w:rPr>
          <w:rFonts w:ascii="宋体" w:hAnsi="宋体" w:cs="楷体"/>
          <w:b/>
          <w:bCs/>
          <w:sz w:val="24"/>
          <w:szCs w:val="18"/>
        </w:rPr>
      </w:pPr>
      <w:bookmarkStart w:id="6342" w:name="_Toc106050350"/>
      <w:bookmarkStart w:id="6343" w:name="_Toc106883602"/>
      <w:bookmarkStart w:id="6344" w:name="_Toc86356709"/>
      <w:r>
        <w:rPr>
          <w:rFonts w:hint="eastAsia" w:ascii="宋体" w:hAnsi="宋体" w:cs="楷体"/>
          <w:b/>
          <w:bCs/>
          <w:sz w:val="24"/>
          <w:szCs w:val="18"/>
        </w:rPr>
        <w:t>8.1.4.</w:t>
      </w:r>
      <w:r>
        <w:rPr>
          <w:rFonts w:ascii="宋体" w:hAnsi="宋体" w:cs="楷体"/>
          <w:b/>
          <w:bCs/>
          <w:sz w:val="24"/>
          <w:szCs w:val="18"/>
        </w:rPr>
        <w:t>2</w:t>
      </w:r>
      <w:r>
        <w:rPr>
          <w:rFonts w:hint="eastAsia" w:ascii="宋体" w:hAnsi="宋体" w:cs="楷体"/>
          <w:b/>
          <w:bCs/>
          <w:sz w:val="24"/>
          <w:szCs w:val="18"/>
        </w:rPr>
        <w:t>气动蝶阀</w:t>
      </w:r>
      <w:bookmarkEnd w:id="6342"/>
      <w:bookmarkEnd w:id="6343"/>
    </w:p>
    <w:p>
      <w:pPr>
        <w:adjustRightInd w:val="0"/>
        <w:snapToGrid w:val="0"/>
        <w:spacing w:before="120" w:after="120"/>
        <w:ind w:firstLine="420"/>
        <w:rPr>
          <w:rFonts w:ascii="宋体" w:hAnsi="宋体" w:cs="楷体"/>
          <w:bCs/>
          <w:lang w:bidi="zh-CN"/>
        </w:rPr>
      </w:pPr>
      <w:r>
        <w:rPr>
          <w:rFonts w:hint="eastAsia" w:ascii="宋体" w:hAnsi="宋体" w:cs="楷体"/>
          <w:bCs/>
          <w:lang w:bidi="zh-CN"/>
        </w:rPr>
        <w:t>执行标准</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设计、制造标准：GB/T13932-2016《通用阀门 铁制旋启式止回阀》</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法兰连接尺寸标准: GB/T17241.6-2008《整体铸铁法兰》</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结构长度标准：GB/T12221-2005《金属阀门结构长度》</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压力试验标准：GB/T 13927-2008《工业阀门 压力试验》；</w:t>
      </w:r>
    </w:p>
    <w:p>
      <w:pPr>
        <w:keepNext/>
        <w:numPr>
          <w:ilvl w:val="0"/>
          <w:numId w:val="40"/>
        </w:numPr>
        <w:adjustRightInd w:val="0"/>
        <w:snapToGrid w:val="0"/>
        <w:spacing w:before="203" w:beforeLines="50" w:after="203" w:afterLines="50"/>
        <w:rPr>
          <w:rFonts w:ascii="宋体" w:hAnsi="宋体" w:cs="楷体"/>
        </w:rPr>
      </w:pPr>
      <w:r>
        <w:rPr>
          <w:rFonts w:hint="eastAsia" w:ascii="宋体" w:hAnsi="宋体" w:cs="楷体"/>
        </w:rPr>
        <w:t>技术要求</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公称压力：1.0～2.5MPa</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公称通径：50～600mm</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适用介质：水及弱腐蚀性流体</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适用温度：0～80℃</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连接方式：法兰。</w:t>
      </w:r>
    </w:p>
    <w:p>
      <w:pPr>
        <w:pStyle w:val="1156"/>
        <w:numPr>
          <w:ilvl w:val="0"/>
          <w:numId w:val="41"/>
        </w:numPr>
        <w:adjustRightInd w:val="0"/>
        <w:snapToGrid w:val="0"/>
        <w:spacing w:before="120" w:after="120"/>
        <w:ind w:firstLineChars="0"/>
        <w:rPr>
          <w:rFonts w:ascii="宋体" w:hAnsi="宋体" w:cs="楷体"/>
          <w:bCs/>
          <w:lang w:bidi="zh-CN"/>
        </w:rPr>
      </w:pPr>
      <w:r>
        <w:rPr>
          <w:rFonts w:hint="eastAsia" w:ascii="宋体" w:hAnsi="宋体" w:cs="楷体"/>
          <w:bCs/>
          <w:lang w:bidi="zh-CN"/>
        </w:rPr>
        <w:t>气动蝶阀工作压力＜0.2Mpa，气源压力6Bar。</w:t>
      </w:r>
    </w:p>
    <w:p>
      <w:pPr>
        <w:pStyle w:val="1156"/>
        <w:numPr>
          <w:ilvl w:val="0"/>
          <w:numId w:val="41"/>
        </w:numPr>
        <w:adjustRightInd w:val="0"/>
        <w:snapToGrid w:val="0"/>
        <w:spacing w:before="120" w:after="120"/>
        <w:ind w:firstLineChars="0"/>
        <w:rPr>
          <w:rFonts w:ascii="宋体" w:hAnsi="宋体" w:cs="楷体"/>
          <w:bCs/>
          <w:lang w:bidi="zh-CN"/>
        </w:rPr>
      </w:pPr>
      <w:r>
        <w:rPr>
          <w:rFonts w:hint="eastAsia" w:ascii="宋体" w:hAnsi="宋体" w:cs="楷体"/>
          <w:bCs/>
          <w:lang w:bidi="zh-CN"/>
        </w:rPr>
        <w:t>阀门应具有远程自动操作和现场手动操作功能。</w:t>
      </w:r>
    </w:p>
    <w:p>
      <w:pPr>
        <w:pStyle w:val="1156"/>
        <w:numPr>
          <w:ilvl w:val="0"/>
          <w:numId w:val="41"/>
        </w:numPr>
        <w:adjustRightInd w:val="0"/>
        <w:snapToGrid w:val="0"/>
        <w:spacing w:before="120" w:after="120"/>
        <w:ind w:firstLineChars="0"/>
        <w:rPr>
          <w:rFonts w:ascii="宋体" w:hAnsi="宋体" w:cs="楷体"/>
          <w:bCs/>
          <w:lang w:bidi="zh-CN"/>
        </w:rPr>
      </w:pPr>
      <w:r>
        <w:rPr>
          <w:rFonts w:hint="eastAsia" w:ascii="宋体" w:hAnsi="宋体" w:cs="楷体"/>
          <w:bCs/>
          <w:lang w:bidi="zh-CN"/>
        </w:rPr>
        <w:t>阀门应立式或卧式安装均可，蝶板应启闭灵活，无卡涩、跳动现象。</w:t>
      </w:r>
    </w:p>
    <w:p>
      <w:pPr>
        <w:pStyle w:val="1156"/>
        <w:numPr>
          <w:ilvl w:val="0"/>
          <w:numId w:val="41"/>
        </w:numPr>
        <w:adjustRightInd w:val="0"/>
        <w:snapToGrid w:val="0"/>
        <w:spacing w:before="120" w:after="120"/>
        <w:ind w:firstLineChars="0"/>
        <w:rPr>
          <w:rFonts w:ascii="宋体" w:hAnsi="宋体" w:cs="楷体"/>
          <w:bCs/>
          <w:lang w:bidi="zh-CN"/>
        </w:rPr>
      </w:pPr>
      <w:r>
        <w:rPr>
          <w:rFonts w:hint="eastAsia" w:ascii="宋体" w:hAnsi="宋体" w:cs="楷体"/>
          <w:bCs/>
          <w:lang w:bidi="zh-CN"/>
        </w:rPr>
        <w:t>阀体为全合成橡胶衬里密封，关闭时蝶板和阀座密封性能良好，要求密封等级为双向气泡VI级。蝶板在关闭角度为±2～4度（相对蝶板关闭角度0度）的情况下，阀门保持100%零泄漏，且蝶板与阀座密封（橡胶衬里）之间的磨擦小。正常使用时，合成橡胶衬里在保证密封性能完好的前提下，可经受十五万次以上的启闭操作，橡胶衬里寿命应可达20年。为保证质量，橡胶阀门衬里应与阀门为同一品牌供应商提供。</w:t>
      </w:r>
    </w:p>
    <w:p>
      <w:pPr>
        <w:pStyle w:val="1156"/>
        <w:numPr>
          <w:ilvl w:val="0"/>
          <w:numId w:val="41"/>
        </w:numPr>
        <w:adjustRightInd w:val="0"/>
        <w:snapToGrid w:val="0"/>
        <w:spacing w:before="120" w:after="120"/>
        <w:ind w:firstLineChars="0"/>
        <w:rPr>
          <w:rFonts w:ascii="宋体" w:hAnsi="宋体" w:cs="楷体"/>
          <w:bCs/>
          <w:lang w:bidi="zh-CN"/>
        </w:rPr>
      </w:pPr>
      <w:r>
        <w:rPr>
          <w:rFonts w:hint="eastAsia" w:ascii="宋体" w:hAnsi="宋体" w:cs="楷体"/>
          <w:bCs/>
          <w:lang w:bidi="zh-CN"/>
        </w:rPr>
        <w:t>气动执行机构以压缩空气为动力，通过双作用气缸启闭蝶阀。配置的电磁阀工作电压为AC220V，配带就地开、关电磁阀按纽。线圈应能耐高温，长时间通电不易烧毁，防护等级为IP67。电磁阀和限位开关应与气动装置组装为一体。</w:t>
      </w:r>
    </w:p>
    <w:p>
      <w:pPr>
        <w:pStyle w:val="1156"/>
        <w:numPr>
          <w:ilvl w:val="0"/>
          <w:numId w:val="41"/>
        </w:numPr>
        <w:adjustRightInd w:val="0"/>
        <w:snapToGrid w:val="0"/>
        <w:spacing w:before="120" w:after="120"/>
        <w:ind w:firstLineChars="0"/>
        <w:rPr>
          <w:rFonts w:ascii="宋体" w:hAnsi="宋体" w:cs="楷体"/>
          <w:bCs/>
          <w:lang w:bidi="zh-CN"/>
        </w:rPr>
      </w:pPr>
      <w:r>
        <w:rPr>
          <w:rFonts w:hint="eastAsia" w:ascii="宋体" w:hAnsi="宋体" w:cs="楷体"/>
          <w:bCs/>
          <w:lang w:bidi="zh-CN"/>
        </w:rPr>
        <w:t>气动执行机构包括双动气缸、电磁阀、限位开关等，每个气动执行机构配备1个电磁阀和2个限位开关，在电磁阀前应带有减压阀及过滤器。气动执行机构应配带就地开关按纽和阀位状态输出信号。气缸体为全密封式，无体外移动部件。应制作美观，耐腐蚀。</w:t>
      </w:r>
    </w:p>
    <w:p>
      <w:pPr>
        <w:keepNext/>
        <w:numPr>
          <w:ilvl w:val="0"/>
          <w:numId w:val="40"/>
        </w:numPr>
        <w:adjustRightInd w:val="0"/>
        <w:snapToGrid w:val="0"/>
        <w:spacing w:before="203" w:beforeLines="50" w:after="203" w:afterLines="50"/>
        <w:rPr>
          <w:rFonts w:ascii="宋体" w:hAnsi="宋体" w:cs="楷体"/>
        </w:rPr>
      </w:pPr>
      <w:r>
        <w:rPr>
          <w:rFonts w:hint="eastAsia" w:ascii="宋体" w:hAnsi="宋体" w:cs="楷体"/>
        </w:rPr>
        <w:t>构造及材质</w:t>
      </w:r>
    </w:p>
    <w:p>
      <w:pPr>
        <w:pStyle w:val="1156"/>
        <w:numPr>
          <w:ilvl w:val="0"/>
          <w:numId w:val="42"/>
        </w:numPr>
        <w:adjustRightInd w:val="0"/>
        <w:snapToGrid w:val="0"/>
        <w:spacing w:before="203" w:beforeLines="50" w:after="203" w:afterLines="50"/>
        <w:ind w:firstLineChars="0"/>
        <w:rPr>
          <w:rFonts w:ascii="宋体" w:hAnsi="宋体" w:cs="楷体"/>
          <w:bCs/>
          <w:lang w:bidi="zh-CN"/>
        </w:rPr>
      </w:pPr>
      <w:r>
        <w:rPr>
          <w:rFonts w:hint="eastAsia" w:ascii="宋体" w:hAnsi="宋体" w:cs="楷体"/>
          <w:bCs/>
          <w:lang w:bidi="zh-CN"/>
        </w:rPr>
        <w:t>蝶阀</w:t>
      </w:r>
    </w:p>
    <w:p>
      <w:pPr>
        <w:numPr>
          <w:ilvl w:val="0"/>
          <w:numId w:val="43"/>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阀体：球墨铸铁，要求铸件表面光滑，组织致密，无任何铸造缺陷。</w:t>
      </w:r>
    </w:p>
    <w:p>
      <w:pPr>
        <w:numPr>
          <w:ilvl w:val="0"/>
          <w:numId w:val="43"/>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蝶板：球墨铸铁整体铸造，球面形。</w:t>
      </w:r>
    </w:p>
    <w:p>
      <w:pPr>
        <w:numPr>
          <w:ilvl w:val="0"/>
          <w:numId w:val="43"/>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阀轴： Cr13不锈钢。</w:t>
      </w:r>
    </w:p>
    <w:p>
      <w:pPr>
        <w:numPr>
          <w:ilvl w:val="0"/>
          <w:numId w:val="43"/>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轴承：碳钢全衬聚四氟乙烯。</w:t>
      </w:r>
    </w:p>
    <w:p>
      <w:pPr>
        <w:numPr>
          <w:ilvl w:val="0"/>
          <w:numId w:val="43"/>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橡胶衬里：三元乙丙（EPDM）。</w:t>
      </w:r>
    </w:p>
    <w:p>
      <w:pPr>
        <w:pStyle w:val="1156"/>
        <w:numPr>
          <w:ilvl w:val="0"/>
          <w:numId w:val="42"/>
        </w:numPr>
        <w:adjustRightInd w:val="0"/>
        <w:snapToGrid w:val="0"/>
        <w:spacing w:before="203" w:beforeLines="50" w:after="203" w:afterLines="50"/>
        <w:ind w:firstLineChars="0"/>
        <w:rPr>
          <w:rFonts w:ascii="宋体" w:hAnsi="宋体" w:cs="楷体"/>
          <w:bCs/>
          <w:lang w:bidi="zh-CN"/>
        </w:rPr>
      </w:pPr>
      <w:r>
        <w:rPr>
          <w:rFonts w:hint="eastAsia" w:ascii="宋体" w:hAnsi="宋体" w:cs="楷体"/>
          <w:bCs/>
          <w:lang w:bidi="zh-CN"/>
        </w:rPr>
        <w:t>气动执行机构</w:t>
      </w:r>
    </w:p>
    <w:p>
      <w:pPr>
        <w:numPr>
          <w:ilvl w:val="0"/>
          <w:numId w:val="44"/>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气缸体：经阳极氧化处理的铝合金</w:t>
      </w:r>
    </w:p>
    <w:p>
      <w:pPr>
        <w:numPr>
          <w:ilvl w:val="0"/>
          <w:numId w:val="44"/>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活塞杆：滚压抛光的不锈钢</w:t>
      </w:r>
    </w:p>
    <w:p>
      <w:pPr>
        <w:numPr>
          <w:ilvl w:val="0"/>
          <w:numId w:val="44"/>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电磁阀：3位4通电磁阀，AC220V</w:t>
      </w:r>
    </w:p>
    <w:p>
      <w:pPr>
        <w:numPr>
          <w:ilvl w:val="0"/>
          <w:numId w:val="44"/>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限位开关：机械式限位开关</w:t>
      </w:r>
    </w:p>
    <w:p>
      <w:pPr>
        <w:numPr>
          <w:ilvl w:val="0"/>
          <w:numId w:val="44"/>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位置卡：能够输入4～20mA模拟信号</w:t>
      </w:r>
    </w:p>
    <w:p>
      <w:pPr>
        <w:numPr>
          <w:ilvl w:val="0"/>
          <w:numId w:val="44"/>
        </w:numPr>
        <w:adjustRightInd w:val="0"/>
        <w:snapToGrid w:val="0"/>
        <w:spacing w:before="203" w:beforeLines="50" w:after="203" w:afterLines="50"/>
        <w:ind w:firstLine="6"/>
        <w:rPr>
          <w:rFonts w:ascii="宋体" w:hAnsi="宋体" w:cs="楷体"/>
          <w:bCs/>
          <w:lang w:bidi="zh-CN"/>
        </w:rPr>
      </w:pPr>
      <w:r>
        <w:rPr>
          <w:rFonts w:hint="eastAsia" w:ascii="宋体" w:hAnsi="宋体" w:cs="楷体"/>
          <w:bCs/>
          <w:lang w:bidi="zh-CN"/>
        </w:rPr>
        <w:t>位置反馈卡：能够输出4～20mA模拟信号</w:t>
      </w:r>
    </w:p>
    <w:p>
      <w:pPr>
        <w:pStyle w:val="20"/>
        <w:snapToGrid w:val="0"/>
        <w:spacing w:before="120" w:after="120" w:line="240" w:lineRule="auto"/>
        <w:ind w:left="0" w:right="159" w:firstLine="0"/>
        <w:rPr>
          <w:rFonts w:ascii="宋体" w:hAnsi="宋体" w:cs="楷体"/>
          <w:b/>
          <w:bCs/>
          <w:sz w:val="24"/>
          <w:szCs w:val="18"/>
        </w:rPr>
      </w:pPr>
      <w:r>
        <w:rPr>
          <w:rFonts w:hint="eastAsia" w:ascii="宋体" w:hAnsi="宋体" w:cs="楷体"/>
          <w:b/>
          <w:bCs/>
          <w:sz w:val="24"/>
          <w:szCs w:val="18"/>
        </w:rPr>
        <w:t>8</w:t>
      </w:r>
      <w:r>
        <w:rPr>
          <w:rFonts w:ascii="宋体" w:hAnsi="宋体" w:cs="楷体"/>
          <w:b/>
          <w:bCs/>
          <w:sz w:val="24"/>
          <w:szCs w:val="18"/>
        </w:rPr>
        <w:t>.1.4.3</w:t>
      </w:r>
      <w:r>
        <w:rPr>
          <w:rFonts w:hint="eastAsia" w:ascii="宋体" w:hAnsi="宋体" w:cs="楷体"/>
          <w:b/>
          <w:bCs/>
          <w:sz w:val="24"/>
          <w:szCs w:val="18"/>
        </w:rPr>
        <w:t>电动蝶阀</w:t>
      </w:r>
    </w:p>
    <w:p>
      <w:pPr>
        <w:pStyle w:val="1199"/>
        <w:numPr>
          <w:ilvl w:val="0"/>
          <w:numId w:val="45"/>
        </w:numPr>
        <w:tabs>
          <w:tab w:val="left" w:pos="426"/>
        </w:tabs>
        <w:adjustRightInd w:val="0"/>
        <w:snapToGrid w:val="0"/>
        <w:spacing w:before="203" w:beforeLines="50" w:after="203" w:afterLines="50"/>
        <w:ind w:firstLineChars="0"/>
        <w:rPr>
          <w:rFonts w:ascii="宋体" w:hAnsi="宋体"/>
          <w:b/>
          <w:sz w:val="24"/>
          <w:szCs w:val="24"/>
        </w:rPr>
      </w:pPr>
      <w:r>
        <w:rPr>
          <w:rFonts w:hint="eastAsia" w:ascii="宋体" w:hAnsi="宋体"/>
          <w:b/>
          <w:sz w:val="24"/>
          <w:szCs w:val="24"/>
        </w:rPr>
        <w:t>蝶阀结构要求</w:t>
      </w:r>
    </w:p>
    <w:p>
      <w:pPr>
        <w:pStyle w:val="1199"/>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采用双偏心</w:t>
      </w:r>
      <w:r>
        <w:rPr>
          <w:rFonts w:ascii="宋体" w:hAnsi="宋体"/>
          <w:sz w:val="24"/>
          <w:szCs w:val="24"/>
        </w:rPr>
        <w:t>蝶阀设计、制造应符合 GB12238-2008 标准。各部件要求如下：</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阀体：阀体的最小壁厚应保证在承受 1.5 倍以上的额定工作压力时所有的部件不发生变形，材料为球墨铸铁（QT500）。法兰与阀体铸为一体，采用双法兰连接方式，法兰面和法兰孔应符合GB标准。</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阀板：材料采用球墨铸铁（QT500），蝶板的设计应力应能承受作用在关闭蝶阀上的全部压差，而所产生的工作应力不超过阀板使用材料的抗拉强度的1/5。阀板的厚度不得超过轴直径的2.25倍。</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阀座：采用堆焊，使不锈钢阀座和阀体为一体。阀座微微突出，防止沙石淤积。</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阀轴：阀轴可以是一根贯穿阀板的整轴，或为两根分别插入阀板中的短轴；如果是短轴，其插入阀板中的长度大于轴径的1.5倍。阀轴的最小直径应满足力矩及有关参数的要求，阀轴材料采用不锈钢制成。</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阀轴与阀板的连接：阀轴和阀板的连接，应能满足传递相当于最小轴径扭转强度的转矩要求，如果采用销或锥销，机械必须固牢。轴与阀板应紧密装配，以保证在开启或关闭操作中对阀门性能不产生有害影响。</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轴承：阀体轴承应采用有自润滑能力强的青铜粉末硬质合金。轴承内部设计有蓄润槽，使阀杆与轴承灵活可靠。在最大的压力负荷下，轴承运转时磨擦系数不超过0.25。</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阀门要求双向密封，压力试验要符合GB/T13927-2008 的规定。</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蝶阀采用双偏心结构设计，阀板密封圈采用 EPDM 密封圈，阀座密封采用 SS316 不锈钢，采用青铜密封防护套和―O‖型圈结合，形成外2内3共5道―O‖型圈的密封系。</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橡胶密封圈应有良好的耐磨性、抗腐蚀性、抗冲击性及抗老化（30年以上）等性能。</w:t>
      </w:r>
    </w:p>
    <w:p>
      <w:pPr>
        <w:pStyle w:val="1199"/>
        <w:numPr>
          <w:ilvl w:val="0"/>
          <w:numId w:val="46"/>
        </w:numPr>
        <w:tabs>
          <w:tab w:val="left" w:pos="993"/>
        </w:tabs>
        <w:adjustRightInd w:val="0"/>
        <w:snapToGrid w:val="0"/>
        <w:spacing w:before="203" w:beforeLines="50" w:after="203" w:afterLines="50"/>
        <w:ind w:firstLineChars="0"/>
        <w:rPr>
          <w:rFonts w:ascii="宋体" w:hAnsi="宋体"/>
          <w:sz w:val="24"/>
          <w:szCs w:val="24"/>
        </w:rPr>
      </w:pPr>
      <w:r>
        <w:rPr>
          <w:rFonts w:ascii="宋体" w:hAnsi="宋体"/>
          <w:sz w:val="24"/>
          <w:szCs w:val="24"/>
        </w:rPr>
        <w:t>每台蝶阀的启闭方向，一律应顺时针为关闭（从上往下看）。</w:t>
      </w:r>
    </w:p>
    <w:p>
      <w:pPr>
        <w:pStyle w:val="1199"/>
        <w:numPr>
          <w:ilvl w:val="0"/>
          <w:numId w:val="45"/>
        </w:numPr>
        <w:tabs>
          <w:tab w:val="left" w:pos="426"/>
        </w:tabs>
        <w:adjustRightInd w:val="0"/>
        <w:snapToGrid w:val="0"/>
        <w:spacing w:before="203" w:beforeLines="50" w:after="203" w:afterLines="50"/>
        <w:ind w:firstLineChars="0"/>
        <w:rPr>
          <w:rFonts w:ascii="宋体" w:hAnsi="宋体"/>
          <w:b/>
          <w:sz w:val="24"/>
          <w:szCs w:val="24"/>
        </w:rPr>
      </w:pPr>
      <w:r>
        <w:rPr>
          <w:rFonts w:hint="eastAsia" w:ascii="宋体" w:hAnsi="宋体"/>
          <w:b/>
          <w:sz w:val="24"/>
          <w:szCs w:val="24"/>
        </w:rPr>
        <w:t>蝶阀驱动机构</w:t>
      </w:r>
    </w:p>
    <w:p>
      <w:pPr>
        <w:pStyle w:val="1199"/>
        <w:numPr>
          <w:ilvl w:val="1"/>
          <w:numId w:val="47"/>
        </w:numPr>
        <w:tabs>
          <w:tab w:val="left" w:pos="851"/>
        </w:tabs>
        <w:adjustRightInd w:val="0"/>
        <w:snapToGrid w:val="0"/>
        <w:spacing w:before="203" w:beforeLines="50" w:after="203" w:afterLines="50"/>
        <w:ind w:left="840" w:hanging="840" w:firstLineChars="0"/>
        <w:rPr>
          <w:rFonts w:ascii="宋体" w:hAnsi="宋体"/>
          <w:sz w:val="24"/>
          <w:szCs w:val="24"/>
        </w:rPr>
      </w:pPr>
      <w:r>
        <w:rPr>
          <w:rFonts w:hint="eastAsia" w:ascii="宋体" w:hAnsi="宋体"/>
          <w:sz w:val="24"/>
          <w:szCs w:val="24"/>
        </w:rPr>
        <w:t>阀门电动传动装置要求如下：</w:t>
      </w:r>
    </w:p>
    <w:p>
      <w:pPr>
        <w:pStyle w:val="1199"/>
        <w:numPr>
          <w:ilvl w:val="0"/>
          <w:numId w:val="48"/>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传动装置包括减速箱、电动执行机构、控制器等附属设施。</w:t>
      </w:r>
    </w:p>
    <w:p>
      <w:pPr>
        <w:pStyle w:val="1199"/>
        <w:numPr>
          <w:ilvl w:val="0"/>
          <w:numId w:val="48"/>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蝶阀传动装置应采用全密封结构，防护等级为 IP68，确保能防尘、防潮和防水，所有受力部件应能经受 3 倍以上的额定力矩（启闭阀门时用力过大）而无任何损坏，而且还具有开启轻便灵活，开启圈数少，不会造成反方向误操作。应保证阀板能稳定地停留在任意中间位置的效果。驱动装置有良好的脂润滑，免维护。</w:t>
      </w:r>
    </w:p>
    <w:p>
      <w:pPr>
        <w:pStyle w:val="1199"/>
        <w:numPr>
          <w:ilvl w:val="0"/>
          <w:numId w:val="48"/>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设备应在-40℃~+80℃环境温度范围内可靠工作。</w:t>
      </w:r>
    </w:p>
    <w:p>
      <w:pPr>
        <w:pStyle w:val="1199"/>
        <w:numPr>
          <w:ilvl w:val="1"/>
          <w:numId w:val="47"/>
        </w:numPr>
        <w:tabs>
          <w:tab w:val="left" w:pos="851"/>
        </w:tabs>
        <w:adjustRightInd w:val="0"/>
        <w:snapToGrid w:val="0"/>
        <w:spacing w:before="203" w:beforeLines="50" w:after="203" w:afterLines="50"/>
        <w:ind w:left="840" w:hanging="840" w:firstLineChars="0"/>
        <w:rPr>
          <w:rFonts w:ascii="宋体" w:hAnsi="宋体"/>
          <w:sz w:val="24"/>
          <w:szCs w:val="24"/>
        </w:rPr>
      </w:pPr>
      <w:r>
        <w:rPr>
          <w:rFonts w:hint="eastAsia" w:ascii="宋体" w:hAnsi="宋体"/>
          <w:sz w:val="24"/>
          <w:szCs w:val="24"/>
        </w:rPr>
        <w:t>减速箱技术要求</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减速箱采用涡轮蜗杆式齿轮箱或滑块式齿轮箱；</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输出法兰严格根据 ISO5211 标准进行设计；</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所有蝶阀应为顺时针方向转动手轮关闭蝶阀。蝶阀方头向上，并配有手轮。在工作压力下应可以不大于 230N.m 的力矩启闭阀门，以易于操作。操作装置应能保证蝶阀在最大允许工作压力和最大流速的工况下正常操作。</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有较高的减速比（减速比应大于 45：1）；</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可选择各种速比的二级直齿或星齿轮减速机构来获得更全面的综合速比，从而达到更高的机械传动效率。</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在蜗杆底部配限位开关（开/关的极限位置）；</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采用角接触轴承或黄铜材质的轴承套，以确保蜗轮蜗杆长期平稳运行，抗震性强。</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输出轴套可任意拆卸，方便加工与之相匹配的键槽。</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输出法兰可有选择的重新定位。</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可调节的角行程范围：0 度</w:t>
      </w:r>
      <w:r>
        <w:rPr>
          <w:rFonts w:ascii="宋体" w:hAnsi="宋体"/>
          <w:sz w:val="24"/>
          <w:szCs w:val="24"/>
        </w:rPr>
        <w:t>-</w:t>
      </w:r>
      <w:r>
        <w:rPr>
          <w:rFonts w:hint="eastAsia" w:ascii="宋体" w:hAnsi="宋体"/>
          <w:sz w:val="24"/>
          <w:szCs w:val="24"/>
        </w:rPr>
        <w:t>90±5 度；</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每台蝶阀的一级箱都配有开、关可调的机械限位机构，驱动手轮的轮缘上应有明显的―开‖、―关‖方向的箭头和―开‖、―关‖字样标示。</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蜗轮材质为球墨铸铁，蜗杆材质为不锈钢。</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驱动机构应配有位置指标器，以显示阀门在各种开度下的位置。</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机械限位应设立于输入轴上，保证阀门安全开关，避免由于误操作导致的驱动机构被损坏。</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驱动机构应带有一个手轮，以便可以手动操作。手轮上将标有一个箭头以及―“开和―关”字样，以指示阀门运动后最终方向。</w:t>
      </w:r>
    </w:p>
    <w:p>
      <w:pPr>
        <w:pStyle w:val="1199"/>
        <w:numPr>
          <w:ilvl w:val="0"/>
          <w:numId w:val="49"/>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减速箱防腐：</w:t>
      </w:r>
    </w:p>
    <w:p>
      <w:pPr>
        <w:pStyle w:val="1199"/>
        <w:numPr>
          <w:ilvl w:val="0"/>
          <w:numId w:val="50"/>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减速箱表面采用优质油漆符合RAL 系列标准。</w:t>
      </w:r>
    </w:p>
    <w:p>
      <w:pPr>
        <w:pStyle w:val="1199"/>
        <w:numPr>
          <w:ilvl w:val="0"/>
          <w:numId w:val="50"/>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底漆采用环氧树脂为基体的防锈漆厚度不小于 80μm，具备良好的防腐、耐油、耐化学品和耐水性。</w:t>
      </w:r>
    </w:p>
    <w:p>
      <w:pPr>
        <w:pStyle w:val="1199"/>
        <w:numPr>
          <w:ilvl w:val="0"/>
          <w:numId w:val="50"/>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面漆采用丙烯酸-聚氨酯-氨基树脂漆，能牢固附着在底漆表面，具有足够的硬度、抗石化性、耐化学品性、耐污性和防腐性，厚度为 35μm。</w:t>
      </w:r>
    </w:p>
    <w:p>
      <w:pPr>
        <w:pStyle w:val="1199"/>
        <w:numPr>
          <w:ilvl w:val="1"/>
          <w:numId w:val="47"/>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电动执行机构技术要求</w:t>
      </w:r>
    </w:p>
    <w:p>
      <w:pPr>
        <w:pStyle w:val="1199"/>
        <w:numPr>
          <w:ilvl w:val="0"/>
          <w:numId w:val="51"/>
        </w:numPr>
        <w:tabs>
          <w:tab w:val="left" w:pos="993"/>
        </w:tabs>
        <w:adjustRightInd w:val="0"/>
        <w:snapToGrid w:val="0"/>
        <w:spacing w:before="203" w:beforeLines="50" w:after="203" w:afterLines="50"/>
        <w:ind w:left="993" w:hanging="513" w:firstLineChars="0"/>
        <w:rPr>
          <w:rFonts w:ascii="宋体" w:hAnsi="宋体"/>
          <w:sz w:val="24"/>
          <w:szCs w:val="24"/>
        </w:rPr>
      </w:pPr>
      <w:r>
        <w:rPr>
          <w:rFonts w:hint="eastAsia" w:ascii="宋体" w:hAnsi="宋体"/>
          <w:sz w:val="24"/>
          <w:szCs w:val="24"/>
        </w:rPr>
        <w:t>电动执行器带智能一体化控制单元产品，无需外部另配控制箱，电动执行器现场操作按键为霍尔非侵入式隔离，防止水、汽、灰尘等侵入电动装置造成设备故障或损坏，适应于不同的工况环境。</w:t>
      </w:r>
    </w:p>
    <w:p>
      <w:pPr>
        <w:pStyle w:val="1199"/>
        <w:numPr>
          <w:ilvl w:val="0"/>
          <w:numId w:val="51"/>
        </w:numPr>
        <w:tabs>
          <w:tab w:val="left" w:pos="993"/>
        </w:tabs>
        <w:adjustRightInd w:val="0"/>
        <w:snapToGrid w:val="0"/>
        <w:spacing w:before="203" w:beforeLines="50" w:after="203" w:afterLines="50"/>
        <w:ind w:left="993" w:hanging="513" w:firstLineChars="0"/>
        <w:rPr>
          <w:rFonts w:ascii="宋体" w:hAnsi="宋体"/>
          <w:sz w:val="24"/>
          <w:szCs w:val="24"/>
        </w:rPr>
      </w:pPr>
      <w:r>
        <w:rPr>
          <w:rFonts w:hint="eastAsia" w:ascii="宋体" w:hAnsi="宋体"/>
          <w:sz w:val="24"/>
          <w:szCs w:val="24"/>
        </w:rPr>
        <w:t>电动执行器具有三相电自动纠错功能，以防接错线造成设备损坏，同时具有动静态缺相保护，防止因缺相造成电机烧毁，提高设备的安全性。</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电动执行器带有高分辨率文大尺寸图文LCD 显示屏 ，可以同时以文字，符号、图形方式显示参数，行程显示精度可达到 0.1% ， 带有执行器输出力矩棒图显示，可随时了解阀门的运行情况，可全中文显示。同时具有自诊断功能，可完全显示阀门、电动执行器的运行情况，同时能将状态信息通过组态输出给控制室。便于操作人员了解设备运行情况，缩短人工诊断故障时间，减少经济损失。</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电动执行器具有现场手轮操作和电动操作两种功能，手/电动切换为全自动切换，无需切换手柄，免除手动切换易造成机械故障。</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电动执行器具有自动除湿保护功能，以适应现场潮湿或水汽的环境，也可适用于温差大造成凝露使设备出现故障及影响寿命，且自动除湿无需外部供电及人员控制干预，设备可根据环境自动控制。</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器无需遥控器可通过电动执行器现场操作按键实现所有参数的设定和操作，避免因遥控器丢失无法现实参数设定，电动执行器非侵入式免开盖调试，对执行机构任何外部调节，调试，故障诊断和设定值修改均可通过外部操作进行，不需要拆开执行机构的端盖。也可采用蓝牙APP读写功能，接受10~15M范围内蓝牙调试。以便于管道离地面有较远距离时也可正常完成设定和操作。</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电动执行器至少具有的输出信号：开到位、关到位、过转矩、远控/现场状态、综合故障，常开点与常闭点可通过执行器参数设定组态完成，适用于不同控制系统要求，同时具有阀位4-20mA 输出。</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电动执行器开关型产品接受远程开关量接点控制，调节型产品接受 4-20mA 控制。</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电动执行器需具有智能分段启闭控制功能，电动器可通过自身程序设置的智能分段控制，使阀门达到柔性启闭的效果，从而消除水锤或喘振效应。</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器需具有紧急安全位置控制功能，当使用者按下远程紧急控制开关，电动执行器内部会激活预先设置的紧急控制信号（该信号可以是开阀、关阀、停止或运行到指定位置），并被优先执行。可应付工作过程中的突发情况。</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远程多种控制方式：接受远方控制系统发出的接点控制信号，可与远方控制室自动控制系统相协调。</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适应系统控制要求：能适应控制系统设备的控制要求，有阀门到位、过转矩故障、缺相报警以及远控/现场等相关状态信号输出，输出为 SPDT 输出，供远程控制系统使用。</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实现无人值班或少人值班：对执行器及阀门的运行情况进行实时监视并能进行故障自诊断，有故障发生时，电动执行器能够根据采集到的各种信号诊断出故障类型，同时激活相应的保护处理措施，并在液晶显示屏上交替显示各种信息，同时将信息用 SPDT 输出反馈给远程控制室。具中文液晶显示、自诊断、多组可组态 SPDT 输出，满足运行无人值班或少人值守的管理要求。</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电动执行机构的外壳材料应采用优质全金属铝合金外壳的设计，整体喷涂环氧聚氨酯，有效防腐防霉。</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所有电动机应符合 JB2195、IEC60034 标准。供电电源:380V ±10%，50Hz，3 相交流。所有电动机的绝缘应采用 F 级绝缘，按 B 级绝缘考核温升。</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手轮操作：电动执行器上带有手轮，可在安装、调试、故障、断电等应急时能用手动方式完成开阀、关阀操作。角行程 15000N.m 以下产品手/电动操作时无需离合器切换手柄，为全自动切换操作。</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阀位显示：阀位除采用 0~100%液晶显示，同时还具有刻度盘阀位显示，当断电时阀位依然可靠、准确的显示阀位。</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霍尔无触点隔离密闭按键：采用霍尔（Hall）元件的密闭隔离按键系统，摒弃传统的按钮贯通轴，实现所有电气控制部件与外界的密闭隔离，抗振、无触点、寿命更长、灵敏度高，可靠性强。</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完善的保护功能：执行器具有完善的保护功能，包括三相电源相序自动纠错、三相电源缺相保护、电子式过转矩保护、过流保护、电机过热保护、智能自调式加热除湿保护、调节控制信号丢失保护、紧急控制保护 ESD、瞬时逆转保护。</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自调式智能除湿：无需人员干预可根据环境自动启闭加热除湿，适合不同的工作环境场合。</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人性化的人机界面：执行器具有液晶对话式中文菜单显示、实时自诊断并中文显示状态及报警信息、液晶实时显示阀位（0~100%）。</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现场就地按键参数设定：现场就地按键参数设定避免因遥控器丢失无法完成设定，提高产品使用的灵活性。</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驱动电机：采用启动力矩大、惯性小的三相交流专用电机。</w:t>
      </w:r>
    </w:p>
    <w:p>
      <w:pPr>
        <w:pStyle w:val="1199"/>
        <w:numPr>
          <w:ilvl w:val="0"/>
          <w:numId w:val="5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电源：电源电压 380VAC 50HZ。</w:t>
      </w:r>
    </w:p>
    <w:p>
      <w:pPr>
        <w:keepNext/>
        <w:adjustRightInd w:val="0"/>
        <w:snapToGrid w:val="0"/>
        <w:spacing w:before="203" w:beforeLines="50" w:after="203" w:afterLines="50"/>
        <w:ind w:left="420"/>
        <w:outlineLvl w:val="1"/>
        <w:rPr>
          <w:rFonts w:ascii="宋体" w:hAnsi="宋体" w:cs="楷体"/>
          <w:b/>
        </w:rPr>
      </w:pPr>
      <w:bookmarkStart w:id="6345" w:name="_Toc106883603"/>
      <w:r>
        <w:rPr>
          <w:rFonts w:hint="eastAsia" w:ascii="宋体" w:hAnsi="宋体" w:cs="楷体"/>
          <w:b/>
        </w:rPr>
        <w:t>8.2闸阀</w:t>
      </w:r>
      <w:bookmarkEnd w:id="6345"/>
    </w:p>
    <w:p>
      <w:pPr>
        <w:keepNext/>
        <w:adjustRightInd w:val="0"/>
        <w:snapToGrid w:val="0"/>
        <w:spacing w:before="203" w:beforeLines="50" w:after="203" w:afterLines="50"/>
        <w:outlineLvl w:val="0"/>
        <w:rPr>
          <w:rFonts w:ascii="宋体" w:hAnsi="宋体" w:cs="楷体"/>
          <w:b/>
        </w:rPr>
      </w:pPr>
      <w:bookmarkStart w:id="6346" w:name="_Toc106883604"/>
      <w:r>
        <w:rPr>
          <w:rFonts w:hint="eastAsia" w:ascii="宋体" w:hAnsi="宋体" w:cs="楷体"/>
          <w:b/>
        </w:rPr>
        <w:t>8.2.1概述</w:t>
      </w:r>
      <w:bookmarkEnd w:id="6346"/>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本工程使用的阀门有各类闸阀，安装位置详见供货范围及图纸。</w:t>
      </w:r>
    </w:p>
    <w:p>
      <w:pPr>
        <w:keepNext/>
        <w:adjustRightInd w:val="0"/>
        <w:snapToGrid w:val="0"/>
        <w:spacing w:before="203" w:beforeLines="50" w:after="203" w:afterLines="50"/>
        <w:outlineLvl w:val="0"/>
        <w:rPr>
          <w:rFonts w:ascii="宋体" w:hAnsi="宋体" w:cs="楷体"/>
          <w:b/>
        </w:rPr>
      </w:pPr>
      <w:bookmarkStart w:id="6347" w:name="_Toc106883605"/>
      <w:r>
        <w:rPr>
          <w:rFonts w:hint="eastAsia" w:ascii="宋体" w:hAnsi="宋体" w:cs="楷体"/>
          <w:b/>
        </w:rPr>
        <w:t>8.2.2供货范围</w:t>
      </w:r>
      <w:bookmarkEnd w:id="6347"/>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工程量清单表中列出的各项设备成套、整体供货，即只需要在设备两端使用螺栓等即可与外部设备（外部设备指非本采购清单列出的设备）或管道连接。清单如下：</w:t>
      </w:r>
    </w:p>
    <w:tbl>
      <w:tblPr>
        <w:tblStyle w:val="77"/>
        <w:tblW w:w="5225" w:type="pct"/>
        <w:jc w:val="center"/>
        <w:tblLayout w:type="fixed"/>
        <w:tblCellMar>
          <w:top w:w="0" w:type="dxa"/>
          <w:left w:w="108" w:type="dxa"/>
          <w:bottom w:w="0" w:type="dxa"/>
          <w:right w:w="108" w:type="dxa"/>
        </w:tblCellMar>
      </w:tblPr>
      <w:tblGrid>
        <w:gridCol w:w="810"/>
        <w:gridCol w:w="1279"/>
        <w:gridCol w:w="1465"/>
        <w:gridCol w:w="1161"/>
        <w:gridCol w:w="869"/>
        <w:gridCol w:w="807"/>
        <w:gridCol w:w="1380"/>
        <w:gridCol w:w="1341"/>
      </w:tblGrid>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规格参数</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材质</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安装位置</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DN100</w:t>
            </w:r>
            <w:r>
              <w:rPr>
                <w:rFonts w:hint="eastAsia" w:ascii="宋体" w:hAnsi="宋体" w:cs="楷体"/>
              </w:rPr>
              <w:t>，</w:t>
            </w:r>
            <w:r>
              <w:rPr>
                <w:rFonts w:ascii="宋体" w:hAnsi="宋体" w:cs="楷体"/>
              </w:rPr>
              <w:t>1.0MPa</w:t>
            </w:r>
          </w:p>
        </w:tc>
        <w:tc>
          <w:tcPr>
            <w:tcW w:w="637"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6</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给水及消防管线</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70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rPr>
              <w:t>DN200</w:t>
            </w:r>
            <w:r>
              <w:rPr>
                <w:rFonts w:hint="eastAsia" w:ascii="宋体" w:hAnsi="宋体" w:cs="楷体"/>
              </w:rPr>
              <w:t>，</w:t>
            </w:r>
            <w:r>
              <w:rPr>
                <w:rFonts w:ascii="宋体" w:hAnsi="宋体" w:cs="楷体"/>
              </w:rPr>
              <w:t xml:space="preserve"> L=152</w:t>
            </w:r>
            <w:r>
              <w:rPr>
                <w:rFonts w:hint="eastAsia" w:ascii="宋体" w:hAnsi="宋体" w:cs="楷体"/>
              </w:rPr>
              <w:t>，</w:t>
            </w:r>
            <w:r>
              <w:rPr>
                <w:rFonts w:ascii="宋体" w:hAnsi="宋体" w:cs="楷体"/>
              </w:rPr>
              <w:t xml:space="preserve"> PN=1.0Mpa</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jc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r>
              <w:rPr>
                <w:rFonts w:hint="eastAsia" w:ascii="宋体" w:hAnsi="宋体" w:cs="楷体"/>
              </w:rPr>
              <w:t>污水池</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70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rPr>
              <w:t>Z41T-10</w:t>
            </w:r>
            <w:r>
              <w:rPr>
                <w:rFonts w:hint="eastAsia" w:ascii="宋体" w:hAnsi="宋体" w:cs="楷体"/>
              </w:rPr>
              <w:t>，</w:t>
            </w:r>
            <w:r>
              <w:rPr>
                <w:rFonts w:ascii="宋体" w:hAnsi="宋体" w:cs="楷体"/>
              </w:rPr>
              <w:t xml:space="preserve">     DN300</w:t>
            </w:r>
            <w:r>
              <w:rPr>
                <w:rFonts w:hint="eastAsia" w:ascii="宋体" w:hAnsi="宋体" w:cs="楷体"/>
              </w:rPr>
              <w:t>，</w:t>
            </w:r>
            <w:r>
              <w:rPr>
                <w:rFonts w:ascii="宋体" w:hAnsi="宋体" w:cs="楷体"/>
              </w:rPr>
              <w:t>Pn=1.0MPa</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jc w:val="center"/>
              <w:rPr>
                <w:rFonts w:ascii="宋体" w:hAnsi="宋体" w:cs="楷体"/>
              </w:rPr>
            </w:pPr>
            <w:r>
              <w:rPr>
                <w:rFonts w:hint="eastAsia" w:ascii="宋体" w:hAnsi="宋体" w:cs="楷体"/>
              </w:rPr>
              <w:t>　</w:t>
            </w:r>
          </w:p>
        </w:tc>
        <w:tc>
          <w:tcPr>
            <w:tcW w:w="47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kern w:val="0"/>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0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rPr>
              <w:t>Z41T-10</w:t>
            </w:r>
            <w:r>
              <w:rPr>
                <w:rFonts w:hint="eastAsia" w:ascii="宋体" w:hAnsi="宋体" w:cs="楷体"/>
              </w:rPr>
              <w:t>，</w:t>
            </w:r>
            <w:r>
              <w:rPr>
                <w:rFonts w:ascii="宋体" w:hAnsi="宋体" w:cs="楷体"/>
              </w:rPr>
              <w:t xml:space="preserve">     DN200</w:t>
            </w:r>
            <w:r>
              <w:rPr>
                <w:rFonts w:hint="eastAsia" w:ascii="宋体" w:hAnsi="宋体" w:cs="楷体"/>
              </w:rPr>
              <w:t>，</w:t>
            </w:r>
            <w:r>
              <w:rPr>
                <w:rFonts w:ascii="宋体" w:hAnsi="宋体" w:cs="楷体"/>
              </w:rPr>
              <w:t>Pn=1.0MPa</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jc w:val="center"/>
              <w:rPr>
                <w:rFonts w:ascii="宋体" w:hAnsi="宋体" w:cs="楷体"/>
              </w:rPr>
            </w:pPr>
            <w:r>
              <w:rPr>
                <w:rFonts w:hint="eastAsia" w:ascii="宋体" w:hAnsi="宋体" w:cs="楷体"/>
              </w:rPr>
              <w:t>　</w:t>
            </w:r>
          </w:p>
        </w:tc>
        <w:tc>
          <w:tcPr>
            <w:tcW w:w="47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kern w:val="0"/>
              </w:rPr>
              <w:t>16</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p>
        </w:tc>
      </w:tr>
      <w:tr>
        <w:tblPrEx>
          <w:tblCellMar>
            <w:top w:w="0" w:type="dxa"/>
            <w:left w:w="108" w:type="dxa"/>
            <w:bottom w:w="0" w:type="dxa"/>
            <w:right w:w="108" w:type="dxa"/>
          </w:tblCellMar>
        </w:tblPrEx>
        <w:trPr>
          <w:cantSplit/>
          <w:trHeight w:val="90"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5</w:t>
            </w:r>
          </w:p>
        </w:tc>
        <w:tc>
          <w:tcPr>
            <w:tcW w:w="70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手动闸阀</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ascii="宋体" w:hAnsi="宋体" w:cs="楷体"/>
              </w:rPr>
              <w:t>Z41T-10</w:t>
            </w:r>
            <w:r>
              <w:rPr>
                <w:rFonts w:hint="eastAsia" w:ascii="宋体" w:hAnsi="宋体" w:cs="楷体"/>
              </w:rPr>
              <w:t>，</w:t>
            </w:r>
            <w:r>
              <w:rPr>
                <w:rFonts w:ascii="宋体" w:hAnsi="宋体" w:cs="楷体"/>
              </w:rPr>
              <w:t xml:space="preserve">     DN150</w:t>
            </w:r>
            <w:r>
              <w:rPr>
                <w:rFonts w:hint="eastAsia" w:ascii="宋体" w:hAnsi="宋体" w:cs="楷体"/>
              </w:rPr>
              <w:t>，</w:t>
            </w:r>
            <w:r>
              <w:rPr>
                <w:rFonts w:ascii="宋体" w:hAnsi="宋体" w:cs="楷体"/>
              </w:rPr>
              <w:t>Pn=1.0MPa</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　</w:t>
            </w:r>
          </w:p>
        </w:tc>
        <w:tc>
          <w:tcPr>
            <w:tcW w:w="47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ascii="宋体" w:hAnsi="宋体" w:cs="楷体"/>
                <w:kern w:val="0"/>
              </w:rPr>
              <w:t>1</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r>
      <w:tr>
        <w:tblPrEx>
          <w:tblCellMar>
            <w:top w:w="0" w:type="dxa"/>
            <w:left w:w="108" w:type="dxa"/>
            <w:bottom w:w="0" w:type="dxa"/>
            <w:right w:w="108" w:type="dxa"/>
          </w:tblCellMar>
        </w:tblPrEx>
        <w:trPr>
          <w:cantSplit/>
          <w:trHeight w:val="722"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6</w:t>
            </w:r>
          </w:p>
        </w:tc>
        <w:tc>
          <w:tcPr>
            <w:tcW w:w="70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rPr>
              <w:t>Z41T-10</w:t>
            </w:r>
            <w:r>
              <w:rPr>
                <w:rFonts w:hint="eastAsia" w:ascii="宋体" w:hAnsi="宋体" w:cs="楷体"/>
              </w:rPr>
              <w:t>，</w:t>
            </w:r>
            <w:r>
              <w:rPr>
                <w:rFonts w:ascii="宋体" w:hAnsi="宋体" w:cs="楷体"/>
              </w:rPr>
              <w:t xml:space="preserve">     DN50</w:t>
            </w:r>
            <w:r>
              <w:rPr>
                <w:rFonts w:hint="eastAsia" w:ascii="宋体" w:hAnsi="宋体" w:cs="楷体"/>
              </w:rPr>
              <w:t>，</w:t>
            </w:r>
            <w:r>
              <w:rPr>
                <w:rFonts w:ascii="宋体" w:hAnsi="宋体" w:cs="楷体"/>
              </w:rPr>
              <w:t>Pn=1.0MPa</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　</w:t>
            </w:r>
          </w:p>
        </w:tc>
        <w:tc>
          <w:tcPr>
            <w:tcW w:w="47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kern w:val="0"/>
              </w:rPr>
              <w:t>15</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7</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铸铁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sz w:val="18"/>
                <w:szCs w:val="18"/>
              </w:rPr>
              <w:t>2</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反冲泵房集水坑</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8</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铸铁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sz w:val="18"/>
                <w:szCs w:val="18"/>
              </w:rPr>
              <w:t>2</w:t>
            </w:r>
          </w:p>
        </w:tc>
        <w:tc>
          <w:tcPr>
            <w:tcW w:w="75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cs="楷体"/>
              </w:rPr>
              <w:t>送水泵房集水坑</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9</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DN100,1.0MPa,P＝1kw</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sz w:val="18"/>
                <w:szCs w:val="18"/>
              </w:rPr>
              <w:t>8</w:t>
            </w:r>
          </w:p>
        </w:tc>
        <w:tc>
          <w:tcPr>
            <w:tcW w:w="75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cs="楷体"/>
              </w:rPr>
              <w:t>回收水池及排泥池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ascii="宋体" w:hAnsi="宋体" w:cs="楷体"/>
                <w:kern w:val="0"/>
              </w:rPr>
              <w:t>10</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DN150  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sz w:val="18"/>
                <w:szCs w:val="18"/>
              </w:rPr>
              <w:t>8</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浓缩池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ascii="宋体" w:hAnsi="宋体" w:cs="楷体"/>
                <w:kern w:val="0"/>
              </w:rPr>
              <w:t>11</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手动闸阀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Z41T-10，DN100，1.0MPa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sz w:val="18"/>
                <w:szCs w:val="18"/>
              </w:rPr>
              <w:t>1</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污泥脱水机房</w:t>
            </w:r>
            <w:r>
              <w:rPr>
                <w:rFonts w:hint="eastAsia" w:ascii="宋体" w:hAnsi="宋体"/>
                <w:sz w:val="18"/>
                <w:szCs w:val="18"/>
              </w:rPr>
              <w:t>　</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p>
        </w:tc>
      </w:tr>
    </w:tbl>
    <w:p>
      <w:pPr>
        <w:keepNext/>
        <w:adjustRightInd w:val="0"/>
        <w:snapToGrid w:val="0"/>
        <w:spacing w:before="203" w:beforeLines="50" w:after="203" w:afterLines="50"/>
        <w:outlineLvl w:val="2"/>
        <w:rPr>
          <w:rFonts w:ascii="宋体" w:hAnsi="宋体" w:cs="楷体"/>
          <w:b/>
        </w:rPr>
      </w:pPr>
      <w:bookmarkStart w:id="6348" w:name="_Toc106883606"/>
      <w:r>
        <w:rPr>
          <w:rFonts w:hint="eastAsia" w:ascii="宋体" w:hAnsi="宋体" w:cs="楷体"/>
          <w:b/>
        </w:rPr>
        <w:t>8.2.3基本要求</w:t>
      </w:r>
      <w:bookmarkEnd w:id="6348"/>
    </w:p>
    <w:p>
      <w:pPr>
        <w:pStyle w:val="20"/>
        <w:snapToGrid w:val="0"/>
        <w:spacing w:before="120" w:after="120" w:line="240" w:lineRule="auto"/>
        <w:ind w:left="0" w:right="159" w:firstLine="0"/>
        <w:rPr>
          <w:rFonts w:ascii="宋体" w:hAnsi="宋体" w:cs="楷体"/>
          <w:b/>
          <w:bCs/>
          <w:sz w:val="24"/>
          <w:szCs w:val="18"/>
        </w:rPr>
      </w:pPr>
      <w:r>
        <w:rPr>
          <w:rFonts w:hint="eastAsia" w:ascii="宋体" w:hAnsi="宋体" w:cs="楷体"/>
          <w:b/>
          <w:bCs/>
          <w:sz w:val="24"/>
          <w:szCs w:val="18"/>
        </w:rPr>
        <w:t>8.</w:t>
      </w:r>
      <w:r>
        <w:rPr>
          <w:rFonts w:ascii="宋体" w:hAnsi="宋体" w:cs="楷体"/>
          <w:b/>
          <w:bCs/>
          <w:sz w:val="24"/>
          <w:szCs w:val="18"/>
        </w:rPr>
        <w:t>2</w:t>
      </w:r>
      <w:r>
        <w:rPr>
          <w:rFonts w:hint="eastAsia" w:ascii="宋体" w:hAnsi="宋体" w:cs="楷体"/>
          <w:b/>
          <w:bCs/>
          <w:sz w:val="24"/>
          <w:szCs w:val="18"/>
        </w:rPr>
        <w:t>.3.1标准和规范</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阀门的生产制造、技术标准等应符合ISO、IEC、ANSI、DIN、GB12220标准和等效的标准。阀门的法兰及其钻孔尺寸应符合ISO、GB标准。法兰的厚度由给定的工作压力确定，并符合国际标准，或者由制造商决定厚度并提交设计计算资料。上述所 列标准，并不是本文件所要求的全部，所有设备必须依照的标准即使本文件中未说明，也应遵照。</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如选用标准和规范与标书所列标准和规范有不同之处，承包商、制造商必须以 书面形式进行全面说明并提供该标准和规范。</w:t>
      </w:r>
    </w:p>
    <w:p>
      <w:pPr>
        <w:pStyle w:val="20"/>
        <w:snapToGrid w:val="0"/>
        <w:spacing w:before="120" w:after="120" w:line="240" w:lineRule="auto"/>
        <w:ind w:left="0" w:right="159" w:firstLine="0"/>
        <w:outlineLvl w:val="0"/>
        <w:rPr>
          <w:rFonts w:ascii="宋体" w:hAnsi="宋体" w:cs="楷体"/>
          <w:b/>
          <w:bCs/>
          <w:sz w:val="24"/>
          <w:szCs w:val="18"/>
        </w:rPr>
      </w:pPr>
      <w:bookmarkStart w:id="6349" w:name="_Toc106050355"/>
      <w:bookmarkStart w:id="6350" w:name="_Toc106883607"/>
      <w:r>
        <w:rPr>
          <w:rFonts w:hint="eastAsia" w:ascii="宋体" w:hAnsi="宋体" w:cs="楷体"/>
          <w:b/>
          <w:bCs/>
          <w:sz w:val="24"/>
          <w:szCs w:val="18"/>
        </w:rPr>
        <w:t>8.</w:t>
      </w:r>
      <w:r>
        <w:rPr>
          <w:rFonts w:ascii="宋体" w:hAnsi="宋体" w:cs="楷体"/>
          <w:b/>
          <w:bCs/>
          <w:sz w:val="24"/>
          <w:szCs w:val="18"/>
        </w:rPr>
        <w:t>2</w:t>
      </w:r>
      <w:r>
        <w:rPr>
          <w:rFonts w:hint="eastAsia" w:ascii="宋体" w:hAnsi="宋体" w:cs="楷体"/>
          <w:b/>
          <w:bCs/>
          <w:sz w:val="24"/>
          <w:szCs w:val="18"/>
        </w:rPr>
        <w:t>.3.2产品要求</w:t>
      </w:r>
      <w:bookmarkEnd w:id="6349"/>
      <w:bookmarkEnd w:id="6350"/>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卖方提供上述的阀门类产品，要满足技术标书的要求，严禁贴牌生产供货。并在设备阀体上的适当地方应浇铸有阀门口径，工作压力，阀体型号和生产厂家。阀门铭牌上应注明阀门代号、系列号，生产日期，阀门口径，工作压力和材料等。上述信息必须与投标书信息吻合。</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所有阀门类产品在出厂前应按ISO、DIN、GB、JB及等同国际行业标准进行性 能、泄漏、静压及其它必要的试验。制造商应提供出厂产品检验的一切证书及产品合 格证，随带产品说明书及装箱单，包括附件、备品备件清单和专用工具。</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所有阀门的启闭件要处于关闭位置，所有阀门类产品两端用盲板保护法兰密封 面及阀门内腔。盲板应用木材、木质纤维板、塑料或金属制成，并用螺栓夹或锁紧装 置固定，且易于装卸。</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所有阀门类产品自运行之日起的12个月内，在产品说明书规定的正常操作条件下，因材料缺陷、制造质量、设计等原因造成的损坏，由卖方负责免费保修或更换保 修项目范围内的零件或整台产品。</w:t>
      </w:r>
    </w:p>
    <w:p>
      <w:pPr>
        <w:pStyle w:val="20"/>
        <w:snapToGrid w:val="0"/>
        <w:spacing w:before="120" w:after="120" w:line="240" w:lineRule="auto"/>
        <w:ind w:left="0" w:right="159" w:firstLine="0"/>
        <w:outlineLvl w:val="0"/>
        <w:rPr>
          <w:rFonts w:ascii="宋体" w:hAnsi="宋体" w:cs="楷体"/>
          <w:b/>
          <w:bCs/>
          <w:sz w:val="24"/>
          <w:szCs w:val="18"/>
        </w:rPr>
      </w:pPr>
      <w:bookmarkStart w:id="6351" w:name="_Toc106050356"/>
      <w:bookmarkStart w:id="6352" w:name="_Toc106883608"/>
      <w:r>
        <w:rPr>
          <w:rFonts w:hint="eastAsia" w:ascii="宋体" w:hAnsi="宋体" w:cs="楷体"/>
          <w:b/>
          <w:bCs/>
          <w:sz w:val="24"/>
          <w:szCs w:val="18"/>
        </w:rPr>
        <w:t>8.</w:t>
      </w:r>
      <w:r>
        <w:rPr>
          <w:rFonts w:ascii="宋体" w:hAnsi="宋体" w:cs="楷体"/>
          <w:b/>
          <w:bCs/>
          <w:sz w:val="24"/>
          <w:szCs w:val="18"/>
        </w:rPr>
        <w:t>2</w:t>
      </w:r>
      <w:r>
        <w:rPr>
          <w:rFonts w:hint="eastAsia" w:ascii="宋体" w:hAnsi="宋体" w:cs="楷体"/>
          <w:b/>
          <w:bCs/>
          <w:sz w:val="24"/>
          <w:szCs w:val="18"/>
        </w:rPr>
        <w:t>.3.3运行寿命</w:t>
      </w:r>
      <w:bookmarkEnd w:id="6351"/>
      <w:bookmarkEnd w:id="6352"/>
    </w:p>
    <w:p>
      <w:pPr>
        <w:pStyle w:val="20"/>
        <w:snapToGrid w:val="0"/>
        <w:spacing w:before="120" w:after="120" w:line="240" w:lineRule="auto"/>
        <w:ind w:left="142" w:right="159" w:firstLine="476"/>
        <w:rPr>
          <w:rFonts w:ascii="宋体" w:hAnsi="宋体" w:cs="楷体"/>
        </w:rPr>
      </w:pPr>
      <w:r>
        <w:rPr>
          <w:rFonts w:hint="eastAsia" w:ascii="宋体" w:hAnsi="宋体" w:cs="楷体"/>
          <w:sz w:val="24"/>
          <w:szCs w:val="24"/>
        </w:rPr>
        <w:t>阀门类设备正常使用寿命至少为二十年。如发生质量及渗漏问题，承包商应免费维修或更换。</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承包商必须保证阀门在经正确安装、正常操作和保养条件下，在寿命期内运行良好 。</w:t>
      </w:r>
    </w:p>
    <w:p>
      <w:pPr>
        <w:pStyle w:val="20"/>
        <w:snapToGrid w:val="0"/>
        <w:spacing w:before="203" w:beforeLines="50" w:after="203" w:afterLines="50" w:line="240" w:lineRule="auto"/>
        <w:ind w:left="142" w:right="159" w:firstLine="476"/>
        <w:rPr>
          <w:rFonts w:ascii="宋体" w:hAnsi="宋体" w:cs="楷体"/>
          <w:sz w:val="24"/>
          <w:szCs w:val="24"/>
        </w:rPr>
      </w:pPr>
      <w:r>
        <w:rPr>
          <w:rFonts w:hint="eastAsia" w:ascii="宋体" w:hAnsi="宋体" w:cs="楷体"/>
          <w:sz w:val="24"/>
          <w:szCs w:val="24"/>
        </w:rPr>
        <w:t>在保质期内，承包商免费修理并负责更换有缺陷零件或整机。承包商必须按合同条款规定，及时提供设备的安装调试指导及技术培训等技术服务。</w:t>
      </w:r>
    </w:p>
    <w:p>
      <w:pPr>
        <w:pStyle w:val="20"/>
        <w:snapToGrid w:val="0"/>
        <w:spacing w:before="120" w:after="120" w:line="240" w:lineRule="auto"/>
        <w:ind w:left="0" w:right="159" w:firstLine="0"/>
        <w:outlineLvl w:val="0"/>
        <w:rPr>
          <w:rFonts w:ascii="宋体" w:hAnsi="宋体" w:cs="楷体"/>
          <w:b/>
          <w:bCs/>
          <w:sz w:val="24"/>
          <w:szCs w:val="18"/>
        </w:rPr>
      </w:pPr>
      <w:bookmarkStart w:id="6353" w:name="_Toc106050357"/>
      <w:bookmarkStart w:id="6354" w:name="_Toc106883609"/>
      <w:r>
        <w:rPr>
          <w:rFonts w:hint="eastAsia" w:ascii="宋体" w:hAnsi="宋体" w:cs="楷体"/>
          <w:b/>
          <w:bCs/>
          <w:sz w:val="24"/>
          <w:szCs w:val="18"/>
        </w:rPr>
        <w:t>8.</w:t>
      </w:r>
      <w:r>
        <w:rPr>
          <w:rFonts w:ascii="宋体" w:hAnsi="宋体" w:cs="楷体"/>
          <w:b/>
          <w:bCs/>
          <w:sz w:val="24"/>
          <w:szCs w:val="18"/>
        </w:rPr>
        <w:t>2</w:t>
      </w:r>
      <w:r>
        <w:rPr>
          <w:rFonts w:hint="eastAsia" w:ascii="宋体" w:hAnsi="宋体" w:cs="楷体"/>
          <w:b/>
          <w:bCs/>
          <w:sz w:val="24"/>
          <w:szCs w:val="18"/>
        </w:rPr>
        <w:t>.3.4备品备件及所需附件</w:t>
      </w:r>
      <w:bookmarkEnd w:id="6353"/>
      <w:bookmarkEnd w:id="6354"/>
    </w:p>
    <w:p>
      <w:pPr>
        <w:adjustRightInd w:val="0"/>
        <w:snapToGrid w:val="0"/>
        <w:spacing w:before="203" w:beforeLines="50" w:after="203" w:afterLines="50"/>
        <w:ind w:left="621" w:right="2198" w:hanging="480"/>
        <w:jc w:val="left"/>
        <w:rPr>
          <w:rFonts w:ascii="宋体" w:hAnsi="宋体" w:cs="楷体"/>
          <w:b/>
          <w:bCs/>
        </w:rPr>
      </w:pPr>
      <w:r>
        <w:rPr>
          <w:rFonts w:hint="eastAsia" w:ascii="宋体" w:hAnsi="宋体" w:cs="楷体"/>
          <w:b/>
          <w:bCs/>
        </w:rPr>
        <w:t xml:space="preserve">1、备品备件 </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投标商应提供满足1年运行要求的备品备件。详细要求如下：</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提供备品备件的数量应保证上述使用时间的要求。应包括正常更换及需要维护的 部件。备品备件应符合技术要求，应是全新的、与需更换的部件完全可互换的。</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所有备品备件的包装及防护应符合标准，避免腐蚀及损坏，能适合高温及潮湿环境下长期存贮要求。在包装外面注明备品、备件名称和编号，以方便辨认。</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备品备件清单应列明名称、数量，应由制造商根据工程当地条件及指定的时间要求制定。</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备品备件的单价应包括供货、包装、运输等所有费用。每套伸缩接头提供止水胶圈1套。 对于每套阀门，提供阀板密封圈1套，阀轴密封圈1套。</w:t>
      </w:r>
    </w:p>
    <w:p>
      <w:pPr>
        <w:adjustRightInd w:val="0"/>
        <w:snapToGrid w:val="0"/>
        <w:spacing w:before="203" w:beforeLines="50" w:after="203" w:afterLines="50"/>
        <w:ind w:left="621" w:right="2198" w:hanging="480"/>
        <w:jc w:val="left"/>
        <w:rPr>
          <w:rFonts w:ascii="宋体" w:hAnsi="宋体" w:cs="楷体"/>
          <w:b/>
          <w:bCs/>
        </w:rPr>
      </w:pPr>
      <w:bookmarkStart w:id="6355" w:name="_Toc106050358"/>
      <w:bookmarkStart w:id="6356" w:name="_Toc106883610"/>
      <w:r>
        <w:rPr>
          <w:rFonts w:hint="eastAsia" w:ascii="宋体" w:hAnsi="宋体" w:cs="楷体"/>
          <w:b/>
          <w:bCs/>
        </w:rPr>
        <w:t>2、所需附件</w:t>
      </w:r>
      <w:bookmarkEnd w:id="6355"/>
      <w:bookmarkEnd w:id="6356"/>
      <w:r>
        <w:rPr>
          <w:rFonts w:hint="eastAsia" w:ascii="宋体" w:hAnsi="宋体" w:cs="楷体"/>
          <w:b/>
          <w:bCs/>
        </w:rPr>
        <w:t xml:space="preserve"> </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所需附件应包括设备专用工具及组装所需件，要求如下：</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投标商应提供保证供货设备及系统安装、试验及有效运行所需的机械、电气及控制系统附件。</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除非另外指明，应提供所有必须附件及两套维修、试验、检查专用工具，在报价 表中应详细列明。</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专用工具应整齐放置在专用的工具箱中，箱外标明所有工具名称，并附带所有工 具的使用说明书。</w:t>
      </w:r>
    </w:p>
    <w:p>
      <w:pPr>
        <w:pStyle w:val="20"/>
        <w:snapToGrid w:val="0"/>
        <w:spacing w:before="120" w:after="120" w:line="240" w:lineRule="auto"/>
        <w:ind w:left="0" w:right="159" w:firstLine="0"/>
        <w:outlineLvl w:val="0"/>
        <w:rPr>
          <w:rFonts w:ascii="宋体" w:hAnsi="宋体" w:cs="楷体"/>
          <w:b/>
          <w:bCs/>
          <w:sz w:val="24"/>
          <w:szCs w:val="18"/>
        </w:rPr>
      </w:pPr>
      <w:bookmarkStart w:id="6357" w:name="_Toc106050359"/>
      <w:bookmarkStart w:id="6358" w:name="_Toc106883611"/>
      <w:r>
        <w:rPr>
          <w:rFonts w:hint="eastAsia" w:ascii="宋体" w:hAnsi="宋体" w:cs="楷体"/>
          <w:b/>
          <w:bCs/>
          <w:sz w:val="24"/>
          <w:szCs w:val="18"/>
        </w:rPr>
        <w:t>8.</w:t>
      </w:r>
      <w:r>
        <w:rPr>
          <w:rFonts w:ascii="宋体" w:hAnsi="宋体" w:cs="楷体"/>
          <w:b/>
          <w:bCs/>
          <w:sz w:val="24"/>
          <w:szCs w:val="18"/>
        </w:rPr>
        <w:t>2</w:t>
      </w:r>
      <w:r>
        <w:rPr>
          <w:rFonts w:hint="eastAsia" w:ascii="宋体" w:hAnsi="宋体" w:cs="楷体"/>
          <w:b/>
          <w:bCs/>
          <w:sz w:val="24"/>
          <w:szCs w:val="18"/>
        </w:rPr>
        <w:t>.3.5产品制造及生产</w:t>
      </w:r>
      <w:bookmarkEnd w:id="6357"/>
      <w:bookmarkEnd w:id="6358"/>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1、提供合格的生产厂商生产的标准设备。各种设备应根据AWWA标准设计制造或 GB标准制造，各种设备的法兰及其钻孔尺寸应符合GB标准。</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2、提供用于本工程所需的相同或相似的产品应尽可能是同一生产厂出产的成 品，以便实现产品外形、操作及维修、备件及替换、生产厂商服务的全部标准化。</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3、设备、部件的设计和生产应考虑对人身健康、安全操作维护、可接近性以及 零部件的耐久性。</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4、设备内外表面必须平滑完整，不得有裂纹、夹渣等缺陷，对于凹凸不平之处 必须进行修补。</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5、对设备需要防腐金属内外表面必须采取有效的内喷与外涂的涂漆保护措施， 涂漆工艺和材料应按规定要求确定。</w:t>
      </w:r>
    </w:p>
    <w:p>
      <w:pPr>
        <w:pStyle w:val="20"/>
        <w:snapToGrid w:val="0"/>
        <w:spacing w:before="203" w:beforeLines="50" w:after="203" w:afterLines="50" w:line="240" w:lineRule="auto"/>
        <w:ind w:left="141" w:right="159" w:firstLine="479"/>
        <w:rPr>
          <w:rFonts w:ascii="宋体" w:hAnsi="宋体" w:cs="楷体"/>
        </w:rPr>
      </w:pPr>
      <w:r>
        <w:rPr>
          <w:rFonts w:hint="eastAsia" w:ascii="宋体" w:hAnsi="宋体" w:cs="楷体"/>
          <w:sz w:val="24"/>
          <w:szCs w:val="24"/>
        </w:rPr>
        <w:t>供应的设备成品应符合技术规定认定的、最新的中国国家标准（GB标准）以及国际标准化组织标准（ISO标准），并取得相应的认证。</w:t>
      </w:r>
    </w:p>
    <w:p>
      <w:pPr>
        <w:keepNext/>
        <w:adjustRightInd w:val="0"/>
        <w:snapToGrid w:val="0"/>
        <w:spacing w:before="203" w:beforeLines="50" w:after="203" w:afterLines="50"/>
        <w:outlineLvl w:val="2"/>
        <w:rPr>
          <w:rFonts w:ascii="宋体" w:hAnsi="宋体" w:cs="楷体"/>
          <w:b/>
        </w:rPr>
      </w:pPr>
      <w:bookmarkStart w:id="6359" w:name="_Toc106883612"/>
      <w:r>
        <w:rPr>
          <w:rFonts w:hint="eastAsia" w:ascii="宋体" w:hAnsi="宋体" w:cs="楷体"/>
          <w:b/>
        </w:rPr>
        <w:t>8.2.4详细说明</w:t>
      </w:r>
      <w:bookmarkEnd w:id="6359"/>
    </w:p>
    <w:p>
      <w:pPr>
        <w:pStyle w:val="20"/>
        <w:snapToGrid w:val="0"/>
        <w:spacing w:before="120" w:after="120" w:line="240" w:lineRule="auto"/>
        <w:ind w:left="0" w:right="159" w:firstLine="0"/>
        <w:rPr>
          <w:rFonts w:ascii="宋体" w:hAnsi="宋体" w:cs="楷体"/>
          <w:b/>
          <w:bCs/>
          <w:sz w:val="24"/>
          <w:szCs w:val="18"/>
        </w:rPr>
      </w:pPr>
      <w:r>
        <w:rPr>
          <w:rFonts w:hint="eastAsia" w:ascii="宋体" w:hAnsi="宋体" w:cs="楷体"/>
          <w:b/>
          <w:bCs/>
          <w:sz w:val="24"/>
          <w:szCs w:val="18"/>
        </w:rPr>
        <w:t>8.</w:t>
      </w:r>
      <w:r>
        <w:rPr>
          <w:rFonts w:ascii="宋体" w:hAnsi="宋体" w:cs="楷体"/>
          <w:b/>
          <w:bCs/>
          <w:sz w:val="24"/>
          <w:szCs w:val="18"/>
        </w:rPr>
        <w:t>2</w:t>
      </w:r>
      <w:r>
        <w:rPr>
          <w:rFonts w:hint="eastAsia" w:ascii="宋体" w:hAnsi="宋体" w:cs="楷体"/>
          <w:b/>
          <w:bCs/>
          <w:sz w:val="24"/>
          <w:szCs w:val="18"/>
        </w:rPr>
        <w:t>.4.1软密封闸阀</w:t>
      </w:r>
    </w:p>
    <w:p>
      <w:pPr>
        <w:keepNext/>
        <w:numPr>
          <w:ilvl w:val="0"/>
          <w:numId w:val="52"/>
        </w:numPr>
        <w:adjustRightInd w:val="0"/>
        <w:snapToGrid w:val="0"/>
        <w:spacing w:before="203" w:beforeLines="50" w:after="203" w:afterLines="50"/>
        <w:rPr>
          <w:rFonts w:ascii="宋体" w:hAnsi="宋体" w:cs="楷体"/>
        </w:rPr>
      </w:pPr>
      <w:r>
        <w:rPr>
          <w:rFonts w:hint="eastAsia" w:ascii="宋体" w:hAnsi="宋体" w:cs="楷体"/>
        </w:rPr>
        <w:t>执行标准</w:t>
      </w:r>
    </w:p>
    <w:p>
      <w:pPr>
        <w:adjustRightInd w:val="0"/>
        <w:snapToGrid w:val="0"/>
        <w:spacing w:before="120" w:after="120"/>
        <w:rPr>
          <w:rFonts w:ascii="宋体" w:hAnsi="宋体" w:cs="楷体"/>
          <w:bCs/>
          <w:lang w:bidi="zh-CN"/>
        </w:rPr>
      </w:pPr>
      <w:r>
        <w:rPr>
          <w:rFonts w:hint="eastAsia" w:ascii="宋体" w:hAnsi="宋体" w:cs="楷体"/>
          <w:bCs/>
          <w:lang w:bidi="zh-CN"/>
        </w:rPr>
        <w:t xml:space="preserve">CJ/T 216—2013《给水排水用软密封闸阀》                              </w:t>
      </w:r>
    </w:p>
    <w:p>
      <w:pPr>
        <w:adjustRightInd w:val="0"/>
        <w:snapToGrid w:val="0"/>
        <w:spacing w:before="120" w:after="120"/>
        <w:rPr>
          <w:rFonts w:ascii="宋体" w:hAnsi="宋体" w:cs="楷体"/>
          <w:bCs/>
          <w:lang w:bidi="zh-CN"/>
        </w:rPr>
      </w:pPr>
      <w:bookmarkStart w:id="6360" w:name="_Toc106050361"/>
      <w:r>
        <w:rPr>
          <w:rFonts w:hint="eastAsia" w:ascii="宋体" w:hAnsi="宋体" w:cs="楷体"/>
          <w:bCs/>
          <w:lang w:bidi="zh-CN"/>
        </w:rPr>
        <w:t>GB/T 12221—2005《金属阀门  结构长度》</w:t>
      </w:r>
      <w:bookmarkEnd w:id="6360"/>
      <w:r>
        <w:rPr>
          <w:rFonts w:hint="eastAsia" w:ascii="宋体" w:hAnsi="宋体" w:cs="楷体"/>
          <w:bCs/>
          <w:lang w:bidi="zh-CN"/>
        </w:rPr>
        <w:t xml:space="preserve">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12232—2005《通用阀门  法兰连接铁制闸阀》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12227—2005《通用阀门  球墨铸铁件技术条件》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13927—2008《工业阀门  压力试验》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12225—2005《通用阀门  铜合金铸铁件技术条件》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12220—1989《通用阀门  标志》                               </w:t>
      </w:r>
    </w:p>
    <w:p>
      <w:pPr>
        <w:adjustRightInd w:val="0"/>
        <w:snapToGrid w:val="0"/>
        <w:spacing w:before="120" w:after="120"/>
        <w:rPr>
          <w:rFonts w:ascii="宋体" w:hAnsi="宋体" w:cs="楷体"/>
          <w:bCs/>
          <w:lang w:bidi="zh-CN"/>
        </w:rPr>
      </w:pPr>
      <w:r>
        <w:rPr>
          <w:rFonts w:hint="eastAsia" w:ascii="宋体" w:hAnsi="宋体" w:cs="楷体"/>
          <w:bCs/>
          <w:lang w:bidi="zh-CN"/>
        </w:rPr>
        <w:t xml:space="preserve">JB/T 7928—1999《通用阀门  供货要求》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GB/T17219—1998《生活饮用水输配水设备及防护材料的安全性评价标准》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5796—2005《梯形螺纹》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1220—2007《不锈钢棒》                                      </w:t>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21873—2008《橡胶密封件 给、排水管道及污水管道用接口密封圈 材料规范》   </w:t>
      </w:r>
    </w:p>
    <w:p>
      <w:pPr>
        <w:adjustRightInd w:val="0"/>
        <w:snapToGrid w:val="0"/>
        <w:spacing w:before="120" w:after="120"/>
        <w:rPr>
          <w:rFonts w:ascii="宋体" w:hAnsi="宋体" w:cs="楷体"/>
          <w:bCs/>
          <w:lang w:bidi="zh-CN"/>
        </w:rPr>
      </w:pPr>
      <w:r>
        <w:rPr>
          <w:rFonts w:hint="eastAsia" w:ascii="宋体" w:hAnsi="宋体" w:cs="楷体"/>
          <w:bCs/>
          <w:lang w:bidi="zh-CN"/>
        </w:rPr>
        <w:t>GB/T 8923.1—2011《</w:t>
      </w:r>
      <w:r>
        <w:fldChar w:fldCharType="begin"/>
      </w:r>
      <w:r>
        <w:instrText xml:space="preserve"> HYPERLINK "http://www.fjqi.gov.cn/webtest/access/user/bzxx.asp?id=GB%2FT+8923%2D1988" \t "_blank" </w:instrText>
      </w:r>
      <w:r>
        <w:fldChar w:fldCharType="separate"/>
      </w:r>
      <w:r>
        <w:rPr>
          <w:rFonts w:hint="eastAsia" w:ascii="宋体" w:hAnsi="宋体" w:cs="楷体"/>
          <w:bCs/>
          <w:lang w:bidi="zh-CN"/>
        </w:rPr>
        <w:t>涂装前钢材表面锈蚀等级和除锈等级</w:t>
      </w:r>
      <w:r>
        <w:rPr>
          <w:rFonts w:hint="eastAsia" w:ascii="宋体" w:hAnsi="宋体" w:cs="楷体"/>
          <w:bCs/>
          <w:lang w:bidi="zh-CN"/>
        </w:rPr>
        <w:fldChar w:fldCharType="end"/>
      </w:r>
      <w:r>
        <w:rPr>
          <w:rFonts w:hint="eastAsia" w:ascii="宋体" w:hAnsi="宋体" w:cs="楷体"/>
          <w:bCs/>
          <w:lang w:bidi="zh-CN"/>
        </w:rPr>
        <w:t xml:space="preserve">》              </w:t>
      </w:r>
    </w:p>
    <w:p>
      <w:pPr>
        <w:adjustRightInd w:val="0"/>
        <w:snapToGrid w:val="0"/>
        <w:spacing w:before="120" w:after="120"/>
        <w:rPr>
          <w:rFonts w:ascii="宋体" w:hAnsi="宋体" w:cs="楷体"/>
          <w:bCs/>
          <w:lang w:bidi="zh-CN"/>
        </w:rPr>
      </w:pPr>
      <w:r>
        <w:rPr>
          <w:rFonts w:hint="eastAsia" w:ascii="宋体" w:hAnsi="宋体" w:cs="楷体"/>
          <w:bCs/>
          <w:lang w:bidi="zh-CN"/>
        </w:rPr>
        <w:t>GB/T 6739—2006《色漆和清漆铅笔法测定漆膜硬度》</w:t>
      </w:r>
      <w:r>
        <w:rPr>
          <w:rFonts w:hint="eastAsia" w:ascii="宋体" w:hAnsi="宋体" w:cs="楷体"/>
          <w:bCs/>
          <w:lang w:bidi="zh-CN"/>
        </w:rPr>
        <w:tab/>
      </w:r>
      <w:r>
        <w:rPr>
          <w:rFonts w:hint="eastAsia" w:ascii="宋体" w:hAnsi="宋体" w:cs="楷体"/>
          <w:bCs/>
          <w:lang w:bidi="zh-CN"/>
        </w:rPr>
        <w:tab/>
      </w:r>
      <w:r>
        <w:rPr>
          <w:rFonts w:hint="eastAsia" w:ascii="宋体" w:hAnsi="宋体" w:cs="楷体"/>
          <w:bCs/>
          <w:lang w:bidi="zh-CN"/>
        </w:rPr>
        <w:tab/>
      </w:r>
      <w:r>
        <w:rPr>
          <w:rFonts w:hint="eastAsia" w:ascii="宋体" w:hAnsi="宋体" w:cs="楷体"/>
          <w:bCs/>
          <w:lang w:bidi="zh-CN"/>
        </w:rPr>
        <w:tab/>
      </w:r>
    </w:p>
    <w:p>
      <w:pPr>
        <w:adjustRightInd w:val="0"/>
        <w:snapToGrid w:val="0"/>
        <w:spacing w:before="120" w:after="120"/>
        <w:rPr>
          <w:rFonts w:ascii="宋体" w:hAnsi="宋体" w:cs="楷体"/>
          <w:bCs/>
          <w:lang w:bidi="zh-CN"/>
        </w:rPr>
      </w:pPr>
      <w:r>
        <w:rPr>
          <w:rFonts w:hint="eastAsia" w:ascii="宋体" w:hAnsi="宋体" w:cs="楷体"/>
          <w:bCs/>
          <w:lang w:bidi="zh-CN"/>
        </w:rPr>
        <w:t>GB/T 9286—1998《色漆和清漆 漆膜的划格试验》</w:t>
      </w:r>
      <w:r>
        <w:rPr>
          <w:rFonts w:hint="eastAsia" w:ascii="宋体" w:hAnsi="宋体" w:cs="楷体"/>
          <w:bCs/>
          <w:lang w:bidi="zh-CN"/>
        </w:rPr>
        <w:tab/>
      </w:r>
      <w:r>
        <w:rPr>
          <w:rFonts w:hint="eastAsia" w:ascii="宋体" w:hAnsi="宋体" w:cs="楷体"/>
          <w:bCs/>
          <w:lang w:bidi="zh-CN"/>
        </w:rPr>
        <w:tab/>
      </w:r>
      <w:r>
        <w:rPr>
          <w:rFonts w:hint="eastAsia" w:ascii="宋体" w:hAnsi="宋体" w:cs="楷体"/>
          <w:bCs/>
          <w:lang w:bidi="zh-CN"/>
        </w:rPr>
        <w:tab/>
      </w:r>
      <w:r>
        <w:rPr>
          <w:rFonts w:hint="eastAsia" w:ascii="宋体" w:hAnsi="宋体" w:cs="楷体"/>
          <w:bCs/>
          <w:lang w:bidi="zh-CN"/>
        </w:rPr>
        <w:tab/>
      </w:r>
      <w:r>
        <w:rPr>
          <w:rFonts w:hint="eastAsia" w:ascii="宋体" w:hAnsi="宋体" w:cs="楷体"/>
          <w:bCs/>
          <w:lang w:bidi="zh-CN"/>
        </w:rPr>
        <w:tab/>
      </w:r>
    </w:p>
    <w:p>
      <w:pPr>
        <w:adjustRightInd w:val="0"/>
        <w:snapToGrid w:val="0"/>
        <w:spacing w:before="120" w:after="120"/>
        <w:rPr>
          <w:rFonts w:ascii="宋体" w:hAnsi="宋体" w:cs="楷体"/>
          <w:bCs/>
          <w:lang w:bidi="zh-CN"/>
        </w:rPr>
      </w:pPr>
      <w:r>
        <w:rPr>
          <w:rFonts w:hint="eastAsia" w:ascii="宋体" w:hAnsi="宋体" w:cs="楷体"/>
          <w:bCs/>
          <w:lang w:bidi="zh-CN"/>
        </w:rPr>
        <w:t xml:space="preserve">GB/T 17241.6—2008《整体铸铁法兰》                            </w:t>
      </w:r>
    </w:p>
    <w:p>
      <w:pPr>
        <w:adjustRightInd w:val="0"/>
        <w:snapToGrid w:val="0"/>
        <w:spacing w:before="120" w:after="120"/>
        <w:rPr>
          <w:rFonts w:ascii="宋体" w:hAnsi="宋体" w:cs="楷体"/>
          <w:bCs/>
          <w:lang w:bidi="zh-CN"/>
        </w:rPr>
      </w:pPr>
      <w:bookmarkStart w:id="6361" w:name="_Toc106050362"/>
      <w:r>
        <w:rPr>
          <w:rFonts w:hint="eastAsia" w:ascii="宋体" w:hAnsi="宋体" w:cs="楷体"/>
          <w:bCs/>
          <w:lang w:bidi="zh-CN"/>
        </w:rPr>
        <w:t>GB/T 17241.7—1998《铸铁管法兰  技术条件》</w:t>
      </w:r>
      <w:bookmarkEnd w:id="6361"/>
      <w:r>
        <w:rPr>
          <w:rFonts w:hint="eastAsia" w:ascii="宋体" w:hAnsi="宋体" w:cs="楷体"/>
          <w:bCs/>
          <w:lang w:bidi="zh-CN"/>
        </w:rPr>
        <w:t xml:space="preserve"> </w:t>
      </w:r>
    </w:p>
    <w:p>
      <w:pPr>
        <w:keepNext/>
        <w:numPr>
          <w:ilvl w:val="0"/>
          <w:numId w:val="52"/>
        </w:numPr>
        <w:adjustRightInd w:val="0"/>
        <w:snapToGrid w:val="0"/>
        <w:spacing w:before="203" w:beforeLines="50" w:after="203" w:afterLines="50"/>
        <w:rPr>
          <w:rFonts w:ascii="宋体" w:hAnsi="宋体" w:cs="楷体"/>
        </w:rPr>
      </w:pPr>
      <w:r>
        <w:rPr>
          <w:rFonts w:hint="eastAsia" w:ascii="宋体" w:hAnsi="宋体" w:cs="楷体"/>
        </w:rPr>
        <w:t>技术要求</w:t>
      </w:r>
    </w:p>
    <w:p>
      <w:pPr>
        <w:pStyle w:val="20"/>
        <w:numPr>
          <w:ilvl w:val="0"/>
          <w:numId w:val="53"/>
        </w:numPr>
        <w:snapToGrid w:val="0"/>
        <w:spacing w:before="120" w:after="120" w:line="240" w:lineRule="auto"/>
        <w:ind w:left="991" w:leftChars="171" w:hanging="564" w:hangingChars="226"/>
        <w:rPr>
          <w:rFonts w:ascii="宋体" w:hAnsi="宋体" w:cs="楷体"/>
          <w:sz w:val="24"/>
          <w:szCs w:val="24"/>
        </w:rPr>
      </w:pPr>
      <w:r>
        <w:rPr>
          <w:rFonts w:hint="eastAsia" w:ascii="宋体" w:hAnsi="宋体" w:cs="楷体"/>
          <w:sz w:val="24"/>
          <w:szCs w:val="24"/>
        </w:rPr>
        <w:t>公称压力1.0MPa。</w:t>
      </w:r>
    </w:p>
    <w:p>
      <w:pPr>
        <w:pStyle w:val="20"/>
        <w:numPr>
          <w:ilvl w:val="0"/>
          <w:numId w:val="53"/>
        </w:numPr>
        <w:snapToGrid w:val="0"/>
        <w:spacing w:before="120" w:after="120" w:line="240" w:lineRule="auto"/>
        <w:ind w:left="991" w:leftChars="171" w:hanging="564" w:hangingChars="226"/>
        <w:rPr>
          <w:rFonts w:ascii="宋体" w:hAnsi="宋体" w:cs="楷体"/>
          <w:sz w:val="24"/>
          <w:szCs w:val="24"/>
        </w:rPr>
      </w:pPr>
      <w:r>
        <w:rPr>
          <w:rFonts w:hint="eastAsia" w:ascii="宋体" w:hAnsi="宋体" w:cs="楷体"/>
          <w:sz w:val="24"/>
          <w:szCs w:val="24"/>
        </w:rPr>
        <w:t>强度试验：1.5MPa。</w:t>
      </w:r>
    </w:p>
    <w:p>
      <w:pPr>
        <w:pStyle w:val="20"/>
        <w:numPr>
          <w:ilvl w:val="0"/>
          <w:numId w:val="53"/>
        </w:numPr>
        <w:snapToGrid w:val="0"/>
        <w:spacing w:before="120" w:after="120" w:line="240" w:lineRule="auto"/>
        <w:ind w:left="991" w:leftChars="171" w:hanging="564" w:hangingChars="226"/>
        <w:rPr>
          <w:rFonts w:ascii="宋体" w:hAnsi="宋体" w:cs="楷体"/>
          <w:sz w:val="24"/>
          <w:szCs w:val="24"/>
        </w:rPr>
      </w:pPr>
      <w:r>
        <w:rPr>
          <w:rFonts w:hint="eastAsia" w:ascii="宋体" w:hAnsi="宋体" w:cs="楷体"/>
          <w:sz w:val="24"/>
          <w:szCs w:val="24"/>
        </w:rPr>
        <w:t>密封试验：1.76MPa。</w:t>
      </w:r>
    </w:p>
    <w:p>
      <w:pPr>
        <w:pStyle w:val="20"/>
        <w:numPr>
          <w:ilvl w:val="0"/>
          <w:numId w:val="53"/>
        </w:numPr>
        <w:snapToGrid w:val="0"/>
        <w:spacing w:before="120" w:after="120" w:line="240" w:lineRule="auto"/>
        <w:ind w:left="991" w:leftChars="171" w:hanging="564" w:hangingChars="226"/>
        <w:rPr>
          <w:rFonts w:ascii="宋体" w:hAnsi="宋体" w:cs="楷体"/>
          <w:sz w:val="24"/>
          <w:szCs w:val="24"/>
        </w:rPr>
      </w:pPr>
      <w:r>
        <w:rPr>
          <w:rFonts w:hint="eastAsia" w:ascii="宋体" w:hAnsi="宋体" w:cs="楷体"/>
          <w:sz w:val="24"/>
          <w:szCs w:val="24"/>
        </w:rPr>
        <w:t xml:space="preserve">漏失率：符合GB/T13927标准。 </w:t>
      </w:r>
    </w:p>
    <w:p>
      <w:pPr>
        <w:pStyle w:val="20"/>
        <w:numPr>
          <w:ilvl w:val="0"/>
          <w:numId w:val="53"/>
        </w:numPr>
        <w:snapToGrid w:val="0"/>
        <w:spacing w:before="120" w:after="120" w:line="240" w:lineRule="auto"/>
        <w:ind w:left="991" w:leftChars="171" w:hanging="564" w:hangingChars="226"/>
        <w:rPr>
          <w:rFonts w:ascii="宋体" w:hAnsi="宋体" w:cs="楷体"/>
          <w:sz w:val="24"/>
          <w:szCs w:val="24"/>
        </w:rPr>
      </w:pPr>
      <w:r>
        <w:rPr>
          <w:rFonts w:hint="eastAsia" w:ascii="宋体" w:hAnsi="宋体" w:cs="楷体"/>
          <w:sz w:val="24"/>
          <w:szCs w:val="24"/>
        </w:rPr>
        <w:t xml:space="preserve">工作环境：安装于室内。 </w:t>
      </w:r>
    </w:p>
    <w:p>
      <w:pPr>
        <w:pStyle w:val="20"/>
        <w:numPr>
          <w:ilvl w:val="0"/>
          <w:numId w:val="53"/>
        </w:numPr>
        <w:snapToGrid w:val="0"/>
        <w:spacing w:before="120" w:after="120" w:line="240" w:lineRule="auto"/>
        <w:ind w:left="991" w:leftChars="171" w:hanging="564" w:hangingChars="226"/>
        <w:rPr>
          <w:rFonts w:ascii="宋体" w:hAnsi="宋体" w:cs="楷体"/>
          <w:sz w:val="24"/>
          <w:szCs w:val="24"/>
        </w:rPr>
      </w:pPr>
      <w:r>
        <w:rPr>
          <w:rFonts w:hint="eastAsia" w:ascii="宋体" w:hAnsi="宋体" w:cs="楷体"/>
          <w:sz w:val="24"/>
          <w:szCs w:val="24"/>
        </w:rPr>
        <w:t xml:space="preserve">适用温度（℃）：0～+80。 </w:t>
      </w:r>
    </w:p>
    <w:p>
      <w:pPr>
        <w:pStyle w:val="20"/>
        <w:numPr>
          <w:ilvl w:val="0"/>
          <w:numId w:val="53"/>
        </w:numPr>
        <w:snapToGrid w:val="0"/>
        <w:spacing w:before="120" w:after="120" w:line="240" w:lineRule="auto"/>
        <w:ind w:left="991" w:leftChars="171" w:hanging="564" w:hangingChars="226"/>
        <w:rPr>
          <w:rFonts w:ascii="宋体" w:hAnsi="宋体" w:cs="楷体"/>
          <w:sz w:val="24"/>
          <w:szCs w:val="24"/>
        </w:rPr>
      </w:pPr>
      <w:r>
        <w:rPr>
          <w:rFonts w:hint="eastAsia" w:ascii="宋体" w:hAnsi="宋体" w:cs="楷体"/>
          <w:sz w:val="24"/>
          <w:szCs w:val="24"/>
        </w:rPr>
        <w:t xml:space="preserve">应用介质：净水、含泥水。 </w:t>
      </w:r>
    </w:p>
    <w:p>
      <w:pPr>
        <w:pStyle w:val="20"/>
        <w:numPr>
          <w:ilvl w:val="0"/>
          <w:numId w:val="53"/>
        </w:numPr>
        <w:snapToGrid w:val="0"/>
        <w:spacing w:before="120" w:after="120" w:line="240" w:lineRule="auto"/>
        <w:ind w:left="991" w:leftChars="171" w:hanging="564" w:hangingChars="226"/>
        <w:rPr>
          <w:rFonts w:ascii="宋体" w:hAnsi="宋体" w:cs="楷体"/>
          <w:sz w:val="24"/>
          <w:szCs w:val="24"/>
        </w:rPr>
      </w:pPr>
      <w:r>
        <w:rPr>
          <w:rFonts w:hint="eastAsia" w:ascii="宋体" w:hAnsi="宋体" w:cs="楷体"/>
          <w:sz w:val="24"/>
          <w:szCs w:val="24"/>
        </w:rPr>
        <w:t>驱动方式：手动和电动。</w:t>
      </w:r>
    </w:p>
    <w:p>
      <w:pPr>
        <w:pStyle w:val="1156"/>
        <w:keepNext/>
        <w:numPr>
          <w:ilvl w:val="0"/>
          <w:numId w:val="53"/>
        </w:numPr>
        <w:adjustRightInd w:val="0"/>
        <w:snapToGrid w:val="0"/>
        <w:spacing w:before="120" w:after="120"/>
        <w:ind w:left="991" w:leftChars="171" w:hanging="564" w:hangingChars="226"/>
        <w:rPr>
          <w:rFonts w:ascii="宋体" w:hAnsi="宋体" w:cs="楷体"/>
        </w:rPr>
      </w:pPr>
      <w:r>
        <w:rPr>
          <w:rFonts w:hint="eastAsia" w:ascii="宋体" w:hAnsi="宋体" w:cs="楷体"/>
          <w:szCs w:val="24"/>
        </w:rPr>
        <w:t>连接方式：法兰</w:t>
      </w:r>
      <w:r>
        <w:rPr>
          <w:rFonts w:hint="eastAsia" w:ascii="宋体" w:hAnsi="宋体" w:cs="楷体"/>
        </w:rPr>
        <w:t>。</w:t>
      </w:r>
    </w:p>
    <w:p>
      <w:pPr>
        <w:keepNext/>
        <w:numPr>
          <w:ilvl w:val="0"/>
          <w:numId w:val="52"/>
        </w:numPr>
        <w:adjustRightInd w:val="0"/>
        <w:snapToGrid w:val="0"/>
        <w:spacing w:before="203" w:beforeLines="50" w:after="203" w:afterLines="50"/>
        <w:rPr>
          <w:rFonts w:ascii="宋体" w:hAnsi="宋体" w:cs="楷体"/>
        </w:rPr>
      </w:pPr>
      <w:r>
        <w:rPr>
          <w:rFonts w:hint="eastAsia" w:ascii="宋体" w:hAnsi="宋体" w:cs="楷体"/>
        </w:rPr>
        <w:t>构造及材质</w:t>
      </w:r>
    </w:p>
    <w:p>
      <w:pPr>
        <w:adjustRightInd w:val="0"/>
        <w:snapToGrid w:val="0"/>
        <w:spacing w:before="50" w:after="50"/>
        <w:rPr>
          <w:rFonts w:ascii="宋体" w:hAnsi="宋体" w:cs="楷体"/>
          <w:bCs/>
        </w:rPr>
      </w:pPr>
      <w:r>
        <w:rPr>
          <w:rFonts w:hint="eastAsia" w:ascii="宋体" w:hAnsi="宋体" w:cs="楷体"/>
          <w:bCs/>
        </w:rPr>
        <w:t>（1）技术要求</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阀体、闸板具有导轨或导轨槽，阀体内腔密封面两侧阀板导槽平整光洁与阀板紧密配合，以防止闸阀未全关时闸板密封面被磨损或损伤。</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阀体与阀盖间用碳钢螺栓连接时，采用螺栓沉孔，并用蜡腔封口等结构，避免暴露在水和空气中锈蚀。</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闸阀处于全开状态时，顺阀门流道方向，闸板和阀杆的投影没有与阀门流道的投影相重影的部分。</w:t>
      </w:r>
    </w:p>
    <w:p>
      <w:pPr>
        <w:adjustRightInd w:val="0"/>
        <w:snapToGrid w:val="0"/>
        <w:spacing w:before="50" w:after="50"/>
        <w:rPr>
          <w:rFonts w:ascii="宋体" w:hAnsi="宋体" w:cs="楷体"/>
          <w:bCs/>
        </w:rPr>
      </w:pPr>
      <w:r>
        <w:rPr>
          <w:rFonts w:hint="eastAsia" w:ascii="宋体" w:hAnsi="宋体" w:cs="楷体"/>
          <w:bCs/>
        </w:rPr>
        <w:t>（2）阀体</w:t>
      </w:r>
    </w:p>
    <w:p>
      <w:pPr>
        <w:adjustRightInd w:val="0"/>
        <w:snapToGrid w:val="0"/>
        <w:spacing w:before="120" w:after="120"/>
        <w:ind w:firstLine="500" w:firstLineChars="200"/>
        <w:rPr>
          <w:rFonts w:ascii="宋体" w:hAnsi="宋体" w:cs="楷体"/>
          <w:bCs/>
          <w:lang w:bidi="zh-CN"/>
        </w:rPr>
      </w:pPr>
      <w:r>
        <w:rPr>
          <w:rFonts w:hint="eastAsia" w:ascii="宋体" w:hAnsi="宋体" w:cs="楷体"/>
          <w:bCs/>
          <w:lang w:bidi="zh-CN"/>
        </w:rPr>
        <w:t>阀体、阀盖最小壁厚满足CJ/T 216要求。</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法兰安装尺寸（孔中心圆直径、螺栓孔径、孔数）和密封面形状、尺寸依据GB/T17241.6 标准制造。</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阀门在全开时，阀体内橡胶阀板高于阀门内腔通道。</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阀体采用树脂砂精密铸造，采用直通式，即平底式阀座，内腔底部无凹槽；密封面平整光洁,铸件在涂覆前表面必须光滑、无裂纹伤痕、夹砂等缺陷。</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阀体内腔密封面两侧有阀板导槽使阀板上下平稳移动；阀板导槽平整光洁与阀板紧密配合, 阀板处于任何位置振动较小。</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阀盖与阀体连接处为内藏式，螺栓拧紧处灌腊或塑料盖封闭。</w:t>
      </w:r>
    </w:p>
    <w:p>
      <w:pPr>
        <w:adjustRightInd w:val="0"/>
        <w:snapToGrid w:val="0"/>
        <w:spacing w:before="120" w:after="120"/>
        <w:ind w:firstLine="420"/>
        <w:rPr>
          <w:rFonts w:ascii="宋体" w:hAnsi="宋体" w:cs="楷体"/>
          <w:bCs/>
        </w:rPr>
      </w:pPr>
      <w:r>
        <w:rPr>
          <w:rFonts w:hint="eastAsia" w:ascii="宋体" w:hAnsi="宋体" w:cs="楷体"/>
          <w:bCs/>
        </w:rPr>
        <w:t>阀座与阀体整体铸造，法兰与阀体整体铸造。</w:t>
      </w:r>
    </w:p>
    <w:p>
      <w:pPr>
        <w:adjustRightInd w:val="0"/>
        <w:snapToGrid w:val="0"/>
        <w:spacing w:before="120" w:after="120"/>
        <w:ind w:firstLine="420"/>
        <w:rPr>
          <w:rFonts w:ascii="宋体" w:hAnsi="宋体" w:cs="楷体"/>
          <w:bCs/>
        </w:rPr>
      </w:pPr>
      <w:r>
        <w:rPr>
          <w:rFonts w:hint="eastAsia" w:ascii="宋体" w:hAnsi="宋体" w:cs="楷体"/>
          <w:bCs/>
        </w:rPr>
        <w:t>公称通径DN200及以上的阀门，在阀盖顶部设排气孔。排气孔设置凸台并加工出内螺纹，以便在试验完毕后用金属管堵封实。</w:t>
      </w:r>
    </w:p>
    <w:p>
      <w:pPr>
        <w:adjustRightInd w:val="0"/>
        <w:snapToGrid w:val="0"/>
        <w:spacing w:before="120" w:after="120"/>
        <w:ind w:firstLine="420"/>
        <w:rPr>
          <w:rFonts w:ascii="宋体" w:hAnsi="宋体" w:cs="楷体"/>
        </w:rPr>
      </w:pPr>
      <w:r>
        <w:rPr>
          <w:rFonts w:hint="eastAsia" w:ascii="宋体" w:hAnsi="宋体" w:cs="楷体"/>
        </w:rPr>
        <w:t>公称通径DN200以上的阀门，在阀盖上安装吊环，吊环能够承受整台阀门的重量。</w:t>
      </w:r>
    </w:p>
    <w:p>
      <w:pPr>
        <w:adjustRightInd w:val="0"/>
        <w:snapToGrid w:val="0"/>
        <w:spacing w:before="50" w:after="50"/>
        <w:rPr>
          <w:rFonts w:ascii="宋体" w:hAnsi="宋体" w:cs="楷体"/>
          <w:bCs/>
          <w:lang w:bidi="zh-CN"/>
        </w:rPr>
      </w:pPr>
      <w:r>
        <w:rPr>
          <w:rFonts w:hint="eastAsia" w:ascii="宋体" w:hAnsi="宋体" w:cs="楷体"/>
          <w:bCs/>
        </w:rPr>
        <w:t>（3）</w:t>
      </w:r>
      <w:r>
        <w:rPr>
          <w:rFonts w:hint="eastAsia" w:ascii="宋体" w:hAnsi="宋体" w:cs="楷体"/>
          <w:bCs/>
          <w:lang w:bidi="zh-CN"/>
        </w:rPr>
        <w:t>闸板</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闸板的球墨铸铁本体及</w:t>
      </w:r>
      <w:r>
        <w:rPr>
          <w:rFonts w:hint="eastAsia" w:ascii="宋体" w:hAnsi="宋体" w:cs="楷体"/>
          <w:lang w:bidi="zh-CN"/>
        </w:rPr>
        <w:t>内外表面均完全包覆三元乙丙橡胶（</w:t>
      </w:r>
      <w:r>
        <w:rPr>
          <w:rFonts w:hint="eastAsia" w:ascii="宋体" w:hAnsi="宋体" w:cs="楷体"/>
        </w:rPr>
        <w:t>EPDM</w:t>
      </w:r>
      <w:r>
        <w:rPr>
          <w:rFonts w:hint="eastAsia" w:ascii="宋体" w:hAnsi="宋体" w:cs="楷体"/>
          <w:lang w:bidi="zh-CN"/>
        </w:rPr>
        <w:t>）</w:t>
      </w:r>
      <w:r>
        <w:rPr>
          <w:rFonts w:hint="eastAsia" w:ascii="宋体" w:hAnsi="宋体" w:cs="楷体"/>
          <w:bCs/>
          <w:lang w:bidi="zh-CN"/>
        </w:rPr>
        <w:t>,采用模压硫化成型工艺,完全避免流体（水）与闸板铸铁表面直接接触。</w:t>
      </w:r>
    </w:p>
    <w:p>
      <w:pPr>
        <w:adjustRightInd w:val="0"/>
        <w:snapToGrid w:val="0"/>
        <w:spacing w:before="120" w:after="120"/>
        <w:ind w:firstLine="420"/>
        <w:rPr>
          <w:rFonts w:ascii="宋体" w:hAnsi="宋体" w:cs="楷体"/>
          <w:bCs/>
          <w:lang w:bidi="zh-CN"/>
        </w:rPr>
      </w:pPr>
      <w:r>
        <w:rPr>
          <w:rFonts w:hint="eastAsia" w:ascii="宋体" w:hAnsi="宋体" w:cs="楷体"/>
          <w:lang w:bidi="zh-CN"/>
        </w:rPr>
        <w:t>闸板橡胶与铸铁间粘接牢固，按GB/T 11211测定时其粘合强度不小于1.75MPa，或按GB/T 15254测定时与金属粘接180</w:t>
      </w:r>
      <w:r>
        <w:rPr>
          <w:rFonts w:hint="eastAsia" w:ascii="宋体" w:hAnsi="宋体" w:cs="楷体"/>
          <w:vertAlign w:val="superscript"/>
          <w:lang w:bidi="zh-CN"/>
        </w:rPr>
        <w:t>0</w:t>
      </w:r>
      <w:r>
        <w:rPr>
          <w:rFonts w:hint="eastAsia" w:ascii="宋体" w:hAnsi="宋体" w:cs="楷体"/>
          <w:lang w:bidi="zh-CN"/>
        </w:rPr>
        <w:t>剥离强度不应小于9.3kN/m，闸板胶口形成致密封闭，不允许串水。</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橡胶符合GB/T 21873的规定，硬度等级达到标准中70及以上等级。</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橡胶材质卫生性能按GB/T 17219标准。</w:t>
      </w:r>
    </w:p>
    <w:p>
      <w:pPr>
        <w:adjustRightInd w:val="0"/>
        <w:snapToGrid w:val="0"/>
        <w:spacing w:before="120" w:after="120"/>
        <w:ind w:firstLine="420"/>
        <w:rPr>
          <w:rFonts w:ascii="宋体" w:hAnsi="宋体" w:cs="楷体"/>
          <w:bCs/>
        </w:rPr>
      </w:pPr>
      <w:r>
        <w:rPr>
          <w:rFonts w:hint="eastAsia" w:ascii="宋体" w:hAnsi="宋体" w:cs="楷体"/>
          <w:bCs/>
        </w:rPr>
        <w:t>闸板包敷橡胶的</w:t>
      </w:r>
      <w:r>
        <w:rPr>
          <w:rFonts w:hint="eastAsia" w:ascii="宋体" w:hAnsi="宋体" w:cs="楷体"/>
        </w:rPr>
        <w:t>设计厚度不小于2.5mm，</w:t>
      </w:r>
      <w:r>
        <w:rPr>
          <w:rFonts w:hint="eastAsia" w:ascii="宋体" w:hAnsi="宋体" w:cs="楷体"/>
          <w:bCs/>
        </w:rPr>
        <w:t>同一通径，同一压力等级的闸阀，在同一结构型式和不同结构型式之间，闸板可互换。</w:t>
      </w:r>
    </w:p>
    <w:p>
      <w:pPr>
        <w:adjustRightInd w:val="0"/>
        <w:snapToGrid w:val="0"/>
        <w:spacing w:before="50" w:after="50"/>
        <w:rPr>
          <w:rFonts w:ascii="宋体" w:hAnsi="宋体" w:cs="楷体"/>
          <w:bCs/>
          <w:lang w:bidi="zh-CN"/>
        </w:rPr>
      </w:pPr>
      <w:r>
        <w:rPr>
          <w:rFonts w:hint="eastAsia" w:ascii="宋体" w:hAnsi="宋体" w:cs="楷体"/>
          <w:bCs/>
        </w:rPr>
        <w:t>（4）</w:t>
      </w:r>
      <w:r>
        <w:rPr>
          <w:rFonts w:hint="eastAsia" w:ascii="宋体" w:hAnsi="宋体" w:cs="楷体"/>
          <w:bCs/>
          <w:lang w:bidi="zh-CN"/>
        </w:rPr>
        <w:t>闸板螺母</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闸板螺母与闸板的连接结构，符合下列要求：</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阀板的铜螺母与金属骨架整体铸造为一体，确保在长期操作和水流冲击下也不会松脱，避免造成阀门的控制失效。</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保证阀杆与闸板连接牢固，在试验和工作条件下阀板不会脱落。</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保证闸板螺母与闸板的连接部位，不会由于包覆的橡胶磨损而出现球墨铸铁外漏锈蚀现象。</w:t>
      </w:r>
    </w:p>
    <w:p>
      <w:pPr>
        <w:adjustRightInd w:val="0"/>
        <w:snapToGrid w:val="0"/>
        <w:spacing w:before="50" w:after="50"/>
        <w:rPr>
          <w:rFonts w:ascii="宋体" w:hAnsi="宋体" w:cs="楷体"/>
          <w:bCs/>
          <w:lang w:bidi="zh-CN"/>
        </w:rPr>
      </w:pPr>
      <w:r>
        <w:rPr>
          <w:rFonts w:hint="eastAsia" w:ascii="宋体" w:hAnsi="宋体" w:cs="楷体"/>
          <w:bCs/>
        </w:rPr>
        <w:t>（5）</w:t>
      </w:r>
      <w:r>
        <w:rPr>
          <w:rFonts w:hint="eastAsia" w:ascii="宋体" w:hAnsi="宋体" w:cs="楷体"/>
          <w:bCs/>
          <w:lang w:bidi="zh-CN"/>
        </w:rPr>
        <w:t>阀杆</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阀杆材质采用不锈钢304或更高，该材料符合GB /T1220的规定。</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阀杆螺纹采用抛光梯形螺纹（GB/T 5796），阀杆最小直径满足GB/T 12232和CJ/T 216中的规定。</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阀杆与阀杆螺母的旋合长度不得小于阀杆直径的1.4倍的值。</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软密封闸阀为暗杆式，即阀杆在开启或关闭的过程中不升降。</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阀杆采用止推轴承，材料为铜合金。止推轴承要有可靠的安装结构和加工精度，保证在开关操作中不产生脱落和抱死。</w:t>
      </w:r>
    </w:p>
    <w:p>
      <w:pPr>
        <w:adjustRightInd w:val="0"/>
        <w:snapToGrid w:val="0"/>
        <w:spacing w:before="50" w:after="50"/>
        <w:rPr>
          <w:rFonts w:ascii="宋体" w:hAnsi="宋体" w:cs="楷体"/>
          <w:bCs/>
          <w:lang w:bidi="zh-CN"/>
        </w:rPr>
      </w:pPr>
      <w:r>
        <w:rPr>
          <w:rFonts w:hint="eastAsia" w:ascii="宋体" w:hAnsi="宋体" w:cs="楷体"/>
          <w:bCs/>
        </w:rPr>
        <w:t>（6）</w:t>
      </w:r>
      <w:r>
        <w:rPr>
          <w:rFonts w:hint="eastAsia" w:ascii="宋体" w:hAnsi="宋体" w:cs="楷体"/>
          <w:bCs/>
          <w:lang w:bidi="zh-CN"/>
        </w:rPr>
        <w:t>密封</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阀体与阀盖的密封：采用丁腈橡胶密封圈密封。</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阀杆与阀盖的密封：上密封采取至少三道“O”型密封圈，一道防尘密封圈；O形密封圈符合GB/T3452.1的规定。</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阀体与闸板、阀体与阀盖、阀杆与阀盖的密封试验符合GB/T 13927的规定。</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O形密封圈橡胶材料采用无毒、环保的食品级橡胶。</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轴封部分密封圈在闸阀全开有水压时允许更换，更换时允许有不影响更换操作的渗漏。</w:t>
      </w:r>
    </w:p>
    <w:p>
      <w:pPr>
        <w:spacing w:line="360" w:lineRule="auto"/>
        <w:rPr>
          <w:rFonts w:ascii="宋体" w:hAnsi="宋体" w:cs="楷体"/>
          <w:bCs/>
        </w:rPr>
      </w:pPr>
      <w:r>
        <w:rPr>
          <w:rFonts w:hint="eastAsia" w:ascii="宋体" w:hAnsi="宋体" w:cs="楷体"/>
          <w:bCs/>
        </w:rPr>
        <w:t>（7）紧固件</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螺栓、螺钉和螺母等紧固件，符合GB/T 196和GB/T 197 的规定。如有特殊要求，经供需方协商在订货合同中注明。</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进行操作强度试验时，闸阀各零部件不产生任何结构损伤。</w:t>
      </w:r>
    </w:p>
    <w:p>
      <w:pPr>
        <w:spacing w:line="360" w:lineRule="auto"/>
        <w:rPr>
          <w:rFonts w:ascii="宋体" w:hAnsi="宋体" w:cs="楷体"/>
          <w:bCs/>
          <w:lang w:bidi="zh-CN"/>
        </w:rPr>
      </w:pPr>
      <w:r>
        <w:rPr>
          <w:rFonts w:hint="eastAsia" w:ascii="宋体" w:hAnsi="宋体" w:cs="楷体"/>
          <w:bCs/>
        </w:rPr>
        <w:t>（8）</w:t>
      </w:r>
      <w:r>
        <w:rPr>
          <w:rFonts w:hint="eastAsia" w:ascii="宋体" w:hAnsi="宋体" w:cs="楷体"/>
          <w:bCs/>
          <w:lang w:bidi="zh-CN"/>
        </w:rPr>
        <w:t>操作装置</w:t>
      </w:r>
    </w:p>
    <w:p>
      <w:pPr>
        <w:pStyle w:val="1156"/>
        <w:numPr>
          <w:ilvl w:val="0"/>
          <w:numId w:val="54"/>
        </w:numPr>
        <w:adjustRightInd w:val="0"/>
        <w:snapToGrid w:val="0"/>
        <w:spacing w:before="120" w:after="120"/>
        <w:ind w:firstLineChars="0"/>
        <w:rPr>
          <w:rFonts w:ascii="宋体" w:hAnsi="宋体" w:cs="楷体"/>
          <w:bCs/>
          <w:lang w:bidi="zh-CN"/>
        </w:rPr>
      </w:pPr>
      <w:r>
        <w:rPr>
          <w:rFonts w:hint="eastAsia" w:ascii="宋体" w:hAnsi="宋体" w:cs="楷体"/>
          <w:bCs/>
          <w:lang w:bidi="zh-CN"/>
        </w:rPr>
        <w:t>施加于手轮的操作力，不宜超过240N。</w:t>
      </w:r>
    </w:p>
    <w:p>
      <w:pPr>
        <w:pStyle w:val="1156"/>
        <w:numPr>
          <w:ilvl w:val="0"/>
          <w:numId w:val="54"/>
        </w:numPr>
        <w:adjustRightInd w:val="0"/>
        <w:snapToGrid w:val="0"/>
        <w:spacing w:before="120" w:after="120"/>
        <w:ind w:firstLineChars="0"/>
        <w:rPr>
          <w:rFonts w:ascii="宋体" w:hAnsi="宋体" w:cs="楷体"/>
          <w:bCs/>
          <w:lang w:bidi="zh-CN"/>
        </w:rPr>
      </w:pPr>
      <w:r>
        <w:rPr>
          <w:rFonts w:hint="eastAsia" w:ascii="宋体" w:hAnsi="宋体" w:cs="楷体"/>
          <w:bCs/>
          <w:lang w:bidi="zh-CN"/>
        </w:rPr>
        <w:t>当公称通径≥300mm时，如一个人无法完成启闭操作时可另加装减速装置，其中减速装置须置于阀体内，不允许与外界接触。</w:t>
      </w:r>
    </w:p>
    <w:p>
      <w:pPr>
        <w:pStyle w:val="1156"/>
        <w:numPr>
          <w:ilvl w:val="0"/>
          <w:numId w:val="54"/>
        </w:numPr>
        <w:adjustRightInd w:val="0"/>
        <w:snapToGrid w:val="0"/>
        <w:spacing w:before="120" w:after="120"/>
        <w:ind w:firstLineChars="0"/>
        <w:rPr>
          <w:rFonts w:ascii="宋体" w:hAnsi="宋体" w:cs="楷体"/>
          <w:bCs/>
          <w:lang w:bidi="zh-CN"/>
        </w:rPr>
      </w:pPr>
      <w:r>
        <w:rPr>
          <w:rFonts w:hint="eastAsia" w:ascii="宋体" w:hAnsi="宋体" w:cs="楷体"/>
          <w:bCs/>
          <w:lang w:bidi="zh-CN"/>
        </w:rPr>
        <w:t>所有传动机构的受力部件能承受2倍的额定力矩而无任何损伤。</w:t>
      </w:r>
    </w:p>
    <w:p>
      <w:pPr>
        <w:pStyle w:val="1156"/>
        <w:numPr>
          <w:ilvl w:val="0"/>
          <w:numId w:val="54"/>
        </w:numPr>
        <w:adjustRightInd w:val="0"/>
        <w:snapToGrid w:val="0"/>
        <w:spacing w:before="120" w:after="120"/>
        <w:ind w:firstLineChars="0"/>
        <w:rPr>
          <w:rFonts w:ascii="宋体" w:hAnsi="宋体" w:cs="楷体"/>
          <w:bCs/>
          <w:lang w:bidi="zh-CN"/>
        </w:rPr>
      </w:pPr>
      <w:r>
        <w:rPr>
          <w:rFonts w:hint="eastAsia" w:ascii="宋体" w:hAnsi="宋体" w:cs="楷体"/>
          <w:bCs/>
          <w:lang w:bidi="zh-CN"/>
        </w:rPr>
        <w:t>启闭方向：手动操做的闸阀，当面向手轮或扳手顺时针方向转动时，闸阀关闭；当面向手轮或扳手逆时针方向转动时，闸阀开启。</w:t>
      </w:r>
    </w:p>
    <w:p>
      <w:pPr>
        <w:pStyle w:val="1156"/>
        <w:numPr>
          <w:ilvl w:val="0"/>
          <w:numId w:val="54"/>
        </w:numPr>
        <w:adjustRightInd w:val="0"/>
        <w:snapToGrid w:val="0"/>
        <w:spacing w:before="120" w:after="120"/>
        <w:ind w:firstLineChars="0"/>
        <w:rPr>
          <w:rFonts w:ascii="宋体" w:hAnsi="宋体" w:cs="楷体"/>
          <w:bCs/>
          <w:lang w:bidi="zh-CN"/>
        </w:rPr>
      </w:pPr>
      <w:r>
        <w:rPr>
          <w:rFonts w:hint="eastAsia" w:ascii="宋体" w:hAnsi="宋体" w:cs="楷体"/>
          <w:bCs/>
          <w:lang w:bidi="zh-CN"/>
        </w:rPr>
        <w:t>手轮标志：用手轮操作的闸阀，在手轮（包括驱动装置的手轮）轮缘上，铸造出明显的指示闸板启闭方向的箭头和“开”、“关”字样。</w:t>
      </w:r>
    </w:p>
    <w:p>
      <w:pPr>
        <w:pStyle w:val="1156"/>
        <w:numPr>
          <w:ilvl w:val="0"/>
          <w:numId w:val="54"/>
        </w:numPr>
        <w:adjustRightInd w:val="0"/>
        <w:snapToGrid w:val="0"/>
        <w:spacing w:before="120" w:after="120"/>
        <w:ind w:firstLineChars="0"/>
        <w:rPr>
          <w:rFonts w:ascii="宋体" w:hAnsi="宋体" w:cs="楷体"/>
          <w:bCs/>
          <w:lang w:bidi="zh-CN"/>
        </w:rPr>
      </w:pPr>
      <w:r>
        <w:rPr>
          <w:rFonts w:hint="eastAsia" w:ascii="宋体" w:hAnsi="宋体" w:cs="楷体"/>
          <w:bCs/>
          <w:lang w:bidi="zh-CN"/>
        </w:rPr>
        <w:t>连接方式</w:t>
      </w:r>
    </w:p>
    <w:p>
      <w:pPr>
        <w:pStyle w:val="1156"/>
        <w:numPr>
          <w:ilvl w:val="0"/>
          <w:numId w:val="55"/>
        </w:numPr>
        <w:tabs>
          <w:tab w:val="left" w:pos="1418"/>
        </w:tabs>
        <w:adjustRightInd w:val="0"/>
        <w:snapToGrid w:val="0"/>
        <w:spacing w:before="120" w:after="120"/>
        <w:ind w:left="1416" w:leftChars="341" w:hanging="564" w:hangingChars="226"/>
        <w:rPr>
          <w:rFonts w:ascii="宋体" w:hAnsi="宋体" w:cs="楷体"/>
          <w:bCs/>
          <w:lang w:bidi="zh-CN"/>
        </w:rPr>
      </w:pPr>
      <w:r>
        <w:rPr>
          <w:rFonts w:hint="eastAsia" w:ascii="宋体" w:hAnsi="宋体" w:cs="楷体"/>
          <w:bCs/>
          <w:lang w:bidi="zh-CN"/>
        </w:rPr>
        <w:t>手轮采用机械方式固定在阀杆或支架螺母上，并符合下列要求：</w:t>
      </w:r>
    </w:p>
    <w:p>
      <w:pPr>
        <w:pStyle w:val="1156"/>
        <w:numPr>
          <w:ilvl w:val="0"/>
          <w:numId w:val="55"/>
        </w:numPr>
        <w:tabs>
          <w:tab w:val="left" w:pos="1418"/>
        </w:tabs>
        <w:adjustRightInd w:val="0"/>
        <w:snapToGrid w:val="0"/>
        <w:spacing w:before="120" w:after="120"/>
        <w:ind w:left="1416" w:leftChars="341" w:hanging="564" w:hangingChars="226"/>
        <w:rPr>
          <w:rFonts w:ascii="宋体" w:hAnsi="宋体" w:cs="楷体"/>
          <w:bCs/>
          <w:lang w:bidi="zh-CN"/>
        </w:rPr>
      </w:pPr>
      <w:r>
        <w:rPr>
          <w:rFonts w:hint="eastAsia" w:ascii="宋体" w:hAnsi="宋体" w:cs="楷体"/>
          <w:bCs/>
          <w:lang w:bidi="zh-CN"/>
        </w:rPr>
        <w:t>操作者紧握手轮时有足够的空间，避免挤伤操作者的手。</w:t>
      </w:r>
    </w:p>
    <w:p>
      <w:pPr>
        <w:pStyle w:val="1156"/>
        <w:numPr>
          <w:ilvl w:val="0"/>
          <w:numId w:val="55"/>
        </w:numPr>
        <w:tabs>
          <w:tab w:val="left" w:pos="1418"/>
        </w:tabs>
        <w:adjustRightInd w:val="0"/>
        <w:snapToGrid w:val="0"/>
        <w:spacing w:before="120" w:after="120"/>
        <w:ind w:left="1416" w:leftChars="341" w:hanging="564" w:hangingChars="226"/>
        <w:rPr>
          <w:rFonts w:ascii="宋体" w:hAnsi="宋体" w:cs="楷体"/>
          <w:bCs/>
          <w:lang w:bidi="zh-CN"/>
        </w:rPr>
      </w:pPr>
      <w:r>
        <w:rPr>
          <w:rFonts w:hint="eastAsia" w:ascii="宋体" w:hAnsi="宋体" w:cs="楷体"/>
          <w:bCs/>
          <w:lang w:bidi="zh-CN"/>
        </w:rPr>
        <w:t>保证手轮与阀杆或手轮与支架螺母间隙紧密，在操作时无松动。</w:t>
      </w:r>
    </w:p>
    <w:p>
      <w:pPr>
        <w:pStyle w:val="1156"/>
        <w:numPr>
          <w:ilvl w:val="0"/>
          <w:numId w:val="55"/>
        </w:numPr>
        <w:tabs>
          <w:tab w:val="left" w:pos="1418"/>
        </w:tabs>
        <w:adjustRightInd w:val="0"/>
        <w:snapToGrid w:val="0"/>
        <w:spacing w:before="120" w:after="120"/>
        <w:ind w:left="1416" w:leftChars="341" w:hanging="564" w:hangingChars="226"/>
        <w:rPr>
          <w:rFonts w:ascii="宋体" w:hAnsi="宋体" w:cs="楷体"/>
          <w:bCs/>
          <w:lang w:bidi="zh-CN"/>
        </w:rPr>
      </w:pPr>
      <w:r>
        <w:rPr>
          <w:rFonts w:hint="eastAsia" w:ascii="宋体" w:hAnsi="宋体" w:cs="楷体"/>
          <w:bCs/>
          <w:lang w:bidi="zh-CN"/>
        </w:rPr>
        <w:t>暗杆型闸阀的手轮允许拆卸和更换，并可与传动帽互换。</w:t>
      </w:r>
    </w:p>
    <w:p>
      <w:pPr>
        <w:pStyle w:val="1156"/>
        <w:numPr>
          <w:ilvl w:val="0"/>
          <w:numId w:val="55"/>
        </w:numPr>
        <w:tabs>
          <w:tab w:val="left" w:pos="1418"/>
        </w:tabs>
        <w:adjustRightInd w:val="0"/>
        <w:snapToGrid w:val="0"/>
        <w:spacing w:before="120" w:after="120"/>
        <w:ind w:left="1416" w:leftChars="341" w:hanging="564" w:hangingChars="226"/>
        <w:rPr>
          <w:rFonts w:ascii="宋体" w:hAnsi="宋体" w:cs="楷体"/>
        </w:rPr>
      </w:pPr>
      <w:r>
        <w:rPr>
          <w:rFonts w:hint="eastAsia" w:ascii="宋体" w:hAnsi="宋体" w:cs="楷体"/>
          <w:bCs/>
          <w:lang w:bidi="zh-CN"/>
        </w:rPr>
        <w:t>保证阀门能够不从管线上拆卸下来，即可在管线上打开阀盖进行维修</w:t>
      </w:r>
      <w:r>
        <w:rPr>
          <w:rFonts w:hint="eastAsia" w:ascii="宋体" w:hAnsi="宋体" w:cs="楷体"/>
        </w:rPr>
        <w:t>。</w:t>
      </w:r>
    </w:p>
    <w:p>
      <w:pPr>
        <w:spacing w:line="360" w:lineRule="auto"/>
        <w:rPr>
          <w:rFonts w:ascii="宋体" w:hAnsi="宋体" w:cs="楷体"/>
          <w:bCs/>
          <w:lang w:bidi="zh-CN"/>
        </w:rPr>
      </w:pPr>
      <w:r>
        <w:rPr>
          <w:rFonts w:hint="eastAsia" w:ascii="宋体" w:hAnsi="宋体" w:cs="楷体"/>
          <w:bCs/>
        </w:rPr>
        <w:t>（9）</w:t>
      </w:r>
      <w:r>
        <w:rPr>
          <w:rFonts w:hint="eastAsia" w:ascii="宋体" w:hAnsi="宋体" w:cs="楷体"/>
          <w:bCs/>
          <w:lang w:bidi="zh-CN"/>
        </w:rPr>
        <w:t>防腐</w:t>
      </w:r>
    </w:p>
    <w:p>
      <w:pPr>
        <w:pStyle w:val="1156"/>
        <w:numPr>
          <w:ilvl w:val="1"/>
          <w:numId w:val="56"/>
        </w:numPr>
        <w:adjustRightInd w:val="0"/>
        <w:snapToGrid w:val="0"/>
        <w:spacing w:before="120" w:after="120"/>
        <w:ind w:left="851" w:hanging="425" w:firstLineChars="0"/>
        <w:rPr>
          <w:rFonts w:ascii="宋体" w:hAnsi="宋体" w:cs="楷体"/>
          <w:bCs/>
          <w:lang w:bidi="zh-CN"/>
        </w:rPr>
      </w:pPr>
      <w:r>
        <w:rPr>
          <w:rFonts w:hint="eastAsia" w:ascii="宋体" w:hAnsi="宋体" w:cs="楷体"/>
          <w:bCs/>
          <w:lang w:bidi="zh-CN"/>
        </w:rPr>
        <w:t>铸件采用喷砂除锈，达到GB/T 8923中规定的Sa2.5级表面处理等级。</w:t>
      </w:r>
    </w:p>
    <w:p>
      <w:pPr>
        <w:pStyle w:val="1156"/>
        <w:numPr>
          <w:ilvl w:val="1"/>
          <w:numId w:val="56"/>
        </w:numPr>
        <w:adjustRightInd w:val="0"/>
        <w:snapToGrid w:val="0"/>
        <w:spacing w:before="120" w:after="120"/>
        <w:ind w:left="851" w:hanging="425" w:firstLineChars="0"/>
        <w:rPr>
          <w:rFonts w:ascii="宋体" w:hAnsi="宋体" w:cs="楷体"/>
          <w:bCs/>
          <w:lang w:bidi="zh-CN"/>
        </w:rPr>
      </w:pPr>
      <w:r>
        <w:rPr>
          <w:rFonts w:hint="eastAsia" w:ascii="宋体" w:hAnsi="宋体" w:cs="楷体"/>
          <w:bCs/>
          <w:lang w:bidi="zh-CN"/>
        </w:rPr>
        <w:t>除橡胶、铜及不锈钢外，阀体等铸件在完全除锈、除水及气体之后内外表面均须以卫生级环氧树脂粉末涂敷（静电喷涂烧结法）。</w:t>
      </w:r>
    </w:p>
    <w:p>
      <w:pPr>
        <w:pStyle w:val="1156"/>
        <w:numPr>
          <w:ilvl w:val="1"/>
          <w:numId w:val="56"/>
        </w:numPr>
        <w:adjustRightInd w:val="0"/>
        <w:snapToGrid w:val="0"/>
        <w:spacing w:before="120" w:after="120"/>
        <w:ind w:left="851" w:hanging="425" w:firstLineChars="0"/>
        <w:rPr>
          <w:rFonts w:ascii="宋体" w:hAnsi="宋体" w:cs="楷体"/>
          <w:bCs/>
          <w:lang w:bidi="zh-CN"/>
        </w:rPr>
      </w:pPr>
      <w:r>
        <w:rPr>
          <w:rFonts w:hint="eastAsia" w:ascii="宋体" w:hAnsi="宋体" w:cs="楷体"/>
          <w:bCs/>
          <w:lang w:bidi="zh-CN"/>
        </w:rPr>
        <w:t>涂层光滑均匀无缺陷，涂料干后不溶解于水，不影响水质，并不因空气温度变化而分解。</w:t>
      </w:r>
    </w:p>
    <w:p>
      <w:pPr>
        <w:pStyle w:val="1156"/>
        <w:numPr>
          <w:ilvl w:val="1"/>
          <w:numId w:val="56"/>
        </w:numPr>
        <w:adjustRightInd w:val="0"/>
        <w:snapToGrid w:val="0"/>
        <w:spacing w:before="120" w:after="120"/>
        <w:ind w:left="851" w:hanging="425" w:firstLineChars="0"/>
        <w:rPr>
          <w:rFonts w:ascii="宋体" w:hAnsi="宋体" w:cs="楷体"/>
          <w:bCs/>
          <w:lang w:bidi="zh-CN"/>
        </w:rPr>
      </w:pPr>
      <w:r>
        <w:rPr>
          <w:rFonts w:hint="eastAsia" w:ascii="宋体" w:hAnsi="宋体" w:cs="楷体"/>
          <w:bCs/>
          <w:lang w:bidi="zh-CN"/>
        </w:rPr>
        <w:t>涂层厚度达300μm以上。涂层硬度达到GB/T 6739规定的铅笔硬度2H，涂层附着力达到GB/T 9286规定的划格法1mm2不脱落。</w:t>
      </w:r>
    </w:p>
    <w:p>
      <w:pPr>
        <w:pStyle w:val="1156"/>
        <w:numPr>
          <w:ilvl w:val="1"/>
          <w:numId w:val="56"/>
        </w:numPr>
        <w:adjustRightInd w:val="0"/>
        <w:snapToGrid w:val="0"/>
        <w:spacing w:before="120" w:after="120"/>
        <w:ind w:left="851" w:hanging="425" w:firstLineChars="0"/>
        <w:rPr>
          <w:rFonts w:ascii="宋体" w:hAnsi="宋体" w:cs="楷体"/>
          <w:bCs/>
          <w:lang w:bidi="zh-CN"/>
        </w:rPr>
      </w:pPr>
      <w:r>
        <w:rPr>
          <w:rFonts w:hint="eastAsia" w:ascii="宋体" w:hAnsi="宋体" w:cs="楷体"/>
          <w:bCs/>
          <w:lang w:bidi="zh-CN"/>
        </w:rPr>
        <w:t>粉末涂料经过检测，符合饮用水卫生要求。</w:t>
      </w:r>
    </w:p>
    <w:p>
      <w:pPr>
        <w:keepNext/>
        <w:adjustRightInd w:val="0"/>
        <w:snapToGrid w:val="0"/>
        <w:spacing w:before="203" w:beforeLines="50" w:after="203" w:afterLines="50"/>
        <w:outlineLvl w:val="1"/>
        <w:rPr>
          <w:rFonts w:ascii="宋体" w:hAnsi="宋体" w:cs="楷体"/>
          <w:b/>
        </w:rPr>
      </w:pPr>
      <w:bookmarkStart w:id="6362" w:name="_Toc106883613"/>
      <w:r>
        <w:rPr>
          <w:rFonts w:hint="eastAsia" w:ascii="宋体" w:hAnsi="宋体" w:cs="楷体"/>
          <w:b/>
        </w:rPr>
        <w:t>8.3止回阀</w:t>
      </w:r>
      <w:bookmarkEnd w:id="6362"/>
    </w:p>
    <w:p>
      <w:pPr>
        <w:keepNext/>
        <w:adjustRightInd w:val="0"/>
        <w:snapToGrid w:val="0"/>
        <w:spacing w:before="203" w:beforeLines="50" w:after="203" w:afterLines="50"/>
        <w:outlineLvl w:val="2"/>
        <w:rPr>
          <w:rFonts w:ascii="宋体" w:hAnsi="宋体" w:cs="楷体"/>
          <w:b/>
        </w:rPr>
      </w:pPr>
      <w:bookmarkStart w:id="6363" w:name="_Toc106883614"/>
      <w:r>
        <w:rPr>
          <w:rFonts w:hint="eastAsia" w:ascii="宋体" w:hAnsi="宋体" w:cs="楷体"/>
          <w:b/>
        </w:rPr>
        <w:t>8.3.1概述</w:t>
      </w:r>
      <w:bookmarkEnd w:id="6363"/>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本工程使用的阀门有橡胶瓣止回阀、微阻缓闭消声蝶式止回阀等，安装位置详见供货范围及图纸。</w:t>
      </w:r>
    </w:p>
    <w:p>
      <w:pPr>
        <w:keepNext/>
        <w:adjustRightInd w:val="0"/>
        <w:snapToGrid w:val="0"/>
        <w:spacing w:before="203" w:beforeLines="50" w:after="203" w:afterLines="50"/>
        <w:outlineLvl w:val="0"/>
        <w:rPr>
          <w:rFonts w:ascii="宋体" w:hAnsi="宋体" w:cs="楷体"/>
          <w:b/>
        </w:rPr>
      </w:pPr>
      <w:bookmarkStart w:id="6364" w:name="_Toc106883615"/>
      <w:r>
        <w:rPr>
          <w:rFonts w:hint="eastAsia" w:ascii="宋体" w:hAnsi="宋体" w:cs="楷体"/>
          <w:b/>
        </w:rPr>
        <w:t>8.3.2供货范围</w:t>
      </w:r>
      <w:bookmarkEnd w:id="6364"/>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工程量清单表中列出的各项设备成套、整体供货，即只需要在设备两端使用螺栓等即可与外部设备（外部设备指非本采购清单列出的设备）或管道连接。清单如下：</w:t>
      </w:r>
    </w:p>
    <w:tbl>
      <w:tblPr>
        <w:tblStyle w:val="77"/>
        <w:tblW w:w="5225" w:type="pct"/>
        <w:jc w:val="center"/>
        <w:tblLayout w:type="fixed"/>
        <w:tblCellMar>
          <w:top w:w="0" w:type="dxa"/>
          <w:left w:w="108" w:type="dxa"/>
          <w:bottom w:w="0" w:type="dxa"/>
          <w:right w:w="108" w:type="dxa"/>
        </w:tblCellMar>
      </w:tblPr>
      <w:tblGrid>
        <w:gridCol w:w="810"/>
        <w:gridCol w:w="1279"/>
        <w:gridCol w:w="1465"/>
        <w:gridCol w:w="1161"/>
        <w:gridCol w:w="869"/>
        <w:gridCol w:w="807"/>
        <w:gridCol w:w="1380"/>
        <w:gridCol w:w="1341"/>
      </w:tblGrid>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规格参数</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材质</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安装位置</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w:t>
            </w:r>
          </w:p>
        </w:tc>
        <w:tc>
          <w:tcPr>
            <w:tcW w:w="70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橡胶瓣止回阀</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rPr>
              <w:t>DN200</w:t>
            </w:r>
            <w:r>
              <w:rPr>
                <w:rFonts w:hint="eastAsia" w:ascii="宋体" w:hAnsi="宋体" w:cs="楷体"/>
              </w:rPr>
              <w:t>，</w:t>
            </w:r>
            <w:r>
              <w:rPr>
                <w:rFonts w:ascii="宋体" w:hAnsi="宋体" w:cs="楷体"/>
              </w:rPr>
              <w:t xml:space="preserve"> L=495</w:t>
            </w:r>
            <w:r>
              <w:rPr>
                <w:rFonts w:hint="eastAsia" w:ascii="宋体" w:hAnsi="宋体" w:cs="楷体"/>
              </w:rPr>
              <w:t>，</w:t>
            </w:r>
            <w:r>
              <w:rPr>
                <w:rFonts w:ascii="宋体" w:hAnsi="宋体" w:cs="楷体"/>
              </w:rPr>
              <w:t xml:space="preserve"> PN=1.0Mpa</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jc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2</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r>
              <w:rPr>
                <w:rFonts w:hint="eastAsia" w:ascii="宋体" w:hAnsi="宋体" w:cs="楷体"/>
              </w:rPr>
              <w:t>污水池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2</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止回阀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铸铁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反冲泵房集水坑</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3</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止回阀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DN250， 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4</w:t>
            </w:r>
          </w:p>
        </w:tc>
        <w:tc>
          <w:tcPr>
            <w:tcW w:w="75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cs="楷体"/>
              </w:rPr>
              <w:t>送水泵房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附支墩</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ascii="宋体" w:hAnsi="宋体" w:cs="楷体"/>
                <w:kern w:val="0"/>
              </w:rPr>
              <w:t>4</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止回阀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铸铁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75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cs="楷体"/>
              </w:rPr>
              <w:t>送水泵房集水坑</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ascii="宋体" w:hAnsi="宋体" w:cs="楷体"/>
                <w:kern w:val="0"/>
              </w:rPr>
              <w:t>5</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微阻缓闭消声蝶式止回阀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8</w:t>
            </w:r>
          </w:p>
        </w:tc>
        <w:tc>
          <w:tcPr>
            <w:tcW w:w="75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cs="楷体"/>
              </w:rPr>
              <w:t>回收水池及排泥池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　</w:t>
            </w:r>
          </w:p>
        </w:tc>
      </w:tr>
    </w:tbl>
    <w:p>
      <w:pPr>
        <w:keepNext/>
        <w:adjustRightInd w:val="0"/>
        <w:snapToGrid w:val="0"/>
        <w:spacing w:before="203" w:beforeLines="50" w:after="203" w:afterLines="50"/>
        <w:outlineLvl w:val="2"/>
        <w:rPr>
          <w:rFonts w:ascii="宋体" w:hAnsi="宋体" w:cs="楷体"/>
          <w:b/>
        </w:rPr>
      </w:pPr>
      <w:bookmarkStart w:id="6365" w:name="_Toc106883616"/>
      <w:r>
        <w:rPr>
          <w:rFonts w:hint="eastAsia" w:ascii="宋体" w:hAnsi="宋体" w:cs="楷体"/>
          <w:b/>
        </w:rPr>
        <w:t>8.3.3基本要求</w:t>
      </w:r>
      <w:bookmarkEnd w:id="6365"/>
    </w:p>
    <w:p>
      <w:pPr>
        <w:pStyle w:val="20"/>
        <w:snapToGrid w:val="0"/>
        <w:spacing w:before="120" w:after="120" w:line="240" w:lineRule="auto"/>
        <w:ind w:left="0" w:right="159" w:firstLine="0"/>
        <w:rPr>
          <w:rFonts w:ascii="宋体" w:hAnsi="宋体" w:cs="楷体"/>
          <w:b/>
          <w:bCs/>
          <w:sz w:val="24"/>
          <w:szCs w:val="18"/>
        </w:rPr>
      </w:pPr>
      <w:r>
        <w:rPr>
          <w:rFonts w:hint="eastAsia" w:ascii="宋体" w:hAnsi="宋体" w:cs="楷体"/>
          <w:b/>
          <w:bCs/>
          <w:sz w:val="24"/>
          <w:szCs w:val="18"/>
        </w:rPr>
        <w:t>8.</w:t>
      </w:r>
      <w:r>
        <w:rPr>
          <w:rFonts w:ascii="宋体" w:hAnsi="宋体" w:cs="楷体"/>
          <w:b/>
          <w:bCs/>
          <w:sz w:val="24"/>
          <w:szCs w:val="18"/>
        </w:rPr>
        <w:t>3</w:t>
      </w:r>
      <w:r>
        <w:rPr>
          <w:rFonts w:hint="eastAsia" w:ascii="宋体" w:hAnsi="宋体" w:cs="楷体"/>
          <w:b/>
          <w:bCs/>
          <w:sz w:val="24"/>
          <w:szCs w:val="18"/>
        </w:rPr>
        <w:t>.3.1标准和规范</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阀门的生产制造、技术标准等应符合ISO、IEC、ANSI、DIN、GB12220标准和等效的标准。阀门的法兰及其钻孔尺寸应符合ISO、GB标准。法兰的厚度由给定的工作压力确定，并符合国际标准，或者由制造商决定厚度并提交设计计算资料。上述所 列标准，并不是本文件所要求的全部，所有设备必须依照的标准即使本文件中未说明，也应遵照。</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如选用标准和规范与标书所列标准和规范有不同之处，承包商、制造商必须以 书面形式进行全面说明并提供该标准和规范。</w:t>
      </w:r>
    </w:p>
    <w:p>
      <w:pPr>
        <w:pStyle w:val="20"/>
        <w:snapToGrid w:val="0"/>
        <w:spacing w:before="120" w:after="120" w:line="240" w:lineRule="auto"/>
        <w:ind w:left="0" w:right="159" w:firstLine="0"/>
        <w:outlineLvl w:val="0"/>
        <w:rPr>
          <w:rFonts w:ascii="宋体" w:hAnsi="宋体" w:cs="楷体"/>
          <w:b/>
          <w:bCs/>
          <w:sz w:val="24"/>
          <w:szCs w:val="18"/>
        </w:rPr>
      </w:pPr>
      <w:bookmarkStart w:id="6366" w:name="_Toc106050367"/>
      <w:bookmarkStart w:id="6367" w:name="_Toc106883617"/>
      <w:r>
        <w:rPr>
          <w:rFonts w:hint="eastAsia" w:ascii="宋体" w:hAnsi="宋体" w:cs="楷体"/>
          <w:b/>
          <w:bCs/>
          <w:sz w:val="24"/>
          <w:szCs w:val="18"/>
        </w:rPr>
        <w:t>8.</w:t>
      </w:r>
      <w:r>
        <w:rPr>
          <w:rFonts w:ascii="宋体" w:hAnsi="宋体" w:cs="楷体"/>
          <w:b/>
          <w:bCs/>
          <w:sz w:val="24"/>
          <w:szCs w:val="18"/>
        </w:rPr>
        <w:t>3</w:t>
      </w:r>
      <w:r>
        <w:rPr>
          <w:rFonts w:hint="eastAsia" w:ascii="宋体" w:hAnsi="宋体" w:cs="楷体"/>
          <w:b/>
          <w:bCs/>
          <w:sz w:val="24"/>
          <w:szCs w:val="18"/>
        </w:rPr>
        <w:t>.3.2产品要求</w:t>
      </w:r>
      <w:bookmarkEnd w:id="6366"/>
      <w:bookmarkEnd w:id="6367"/>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卖方提供上述的阀门类产品，要满足技术标书的要求，严禁贴牌生产供货。并在设备阀体上的适当地方应浇铸有阀门口径，工作压力，阀体型号和生产厂家。阀门铭牌上应注明阀门代号、系列号，生产日期，阀门口径，工作压力和材料等。上述信息必须与投标书信息吻合。</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所有阀门类产品在出厂前应按ISO、DIN、GB、JB及等同国际行业标准进行性 能、泄漏、静压及其它必要的试验。制造商应提供出厂产品检验的一切证书及产品合 格证，随带产品说明书及装箱单，包括附件、备品备件清单和专用工具。</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所有阀门的启闭件要处于关闭位置，所有阀门类产品两端用盲板保护法兰密封 面及阀门内腔。盲板应用木材、木质纤维板、塑料或金属制成，并用螺栓夹或锁紧装 置固定，且易于装卸。</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所有阀门类产品自运行之日起的12个月内，在产品说明书规定的正常操作条件下，因材料缺陷、制造质量、设计等原因造成的损坏，由卖方负责免费保修或更换保 修项目范围内的零件或整台产品。</w:t>
      </w:r>
    </w:p>
    <w:p>
      <w:pPr>
        <w:pStyle w:val="20"/>
        <w:snapToGrid w:val="0"/>
        <w:spacing w:before="120" w:after="120" w:line="240" w:lineRule="auto"/>
        <w:ind w:left="0" w:right="159" w:firstLine="0"/>
        <w:outlineLvl w:val="0"/>
        <w:rPr>
          <w:rFonts w:ascii="宋体" w:hAnsi="宋体" w:cs="楷体"/>
          <w:b/>
          <w:bCs/>
          <w:sz w:val="24"/>
          <w:szCs w:val="18"/>
        </w:rPr>
      </w:pPr>
      <w:bookmarkStart w:id="6368" w:name="_Toc106883618"/>
      <w:bookmarkStart w:id="6369" w:name="_Toc106050368"/>
      <w:r>
        <w:rPr>
          <w:rFonts w:hint="eastAsia" w:ascii="宋体" w:hAnsi="宋体" w:cs="楷体"/>
          <w:b/>
          <w:bCs/>
          <w:sz w:val="24"/>
          <w:szCs w:val="18"/>
        </w:rPr>
        <w:t>8.</w:t>
      </w:r>
      <w:r>
        <w:rPr>
          <w:rFonts w:ascii="宋体" w:hAnsi="宋体" w:cs="楷体"/>
          <w:b/>
          <w:bCs/>
          <w:sz w:val="24"/>
          <w:szCs w:val="18"/>
        </w:rPr>
        <w:t>3</w:t>
      </w:r>
      <w:r>
        <w:rPr>
          <w:rFonts w:hint="eastAsia" w:ascii="宋体" w:hAnsi="宋体" w:cs="楷体"/>
          <w:b/>
          <w:bCs/>
          <w:sz w:val="24"/>
          <w:szCs w:val="18"/>
        </w:rPr>
        <w:t>.3.3运行寿命</w:t>
      </w:r>
      <w:bookmarkEnd w:id="6368"/>
      <w:bookmarkEnd w:id="6369"/>
    </w:p>
    <w:p>
      <w:pPr>
        <w:pStyle w:val="20"/>
        <w:snapToGrid w:val="0"/>
        <w:spacing w:before="120" w:after="120" w:line="240" w:lineRule="auto"/>
        <w:ind w:left="142" w:right="159" w:firstLine="476"/>
        <w:rPr>
          <w:rFonts w:ascii="宋体" w:hAnsi="宋体" w:cs="楷体"/>
        </w:rPr>
      </w:pPr>
      <w:r>
        <w:rPr>
          <w:rFonts w:hint="eastAsia" w:ascii="宋体" w:hAnsi="宋体" w:cs="楷体"/>
          <w:sz w:val="24"/>
          <w:szCs w:val="24"/>
        </w:rPr>
        <w:t>阀门类设备正常使用寿命至少为二十年。如发生质量及渗漏问题，承包商应免费维修或更换。</w:t>
      </w:r>
    </w:p>
    <w:p>
      <w:pPr>
        <w:pStyle w:val="20"/>
        <w:snapToGrid w:val="0"/>
        <w:spacing w:before="120" w:after="120" w:line="240" w:lineRule="auto"/>
        <w:ind w:left="142" w:right="159" w:firstLine="476"/>
        <w:rPr>
          <w:rFonts w:ascii="宋体" w:hAnsi="宋体" w:cs="楷体"/>
          <w:sz w:val="24"/>
          <w:szCs w:val="24"/>
        </w:rPr>
      </w:pPr>
      <w:r>
        <w:rPr>
          <w:rFonts w:hint="eastAsia" w:ascii="宋体" w:hAnsi="宋体" w:cs="楷体"/>
          <w:sz w:val="24"/>
          <w:szCs w:val="24"/>
        </w:rPr>
        <w:t>承包商必须保证阀门在经正确安装、正常操作和保养条件下，在寿命期内运行良好 。</w:t>
      </w:r>
    </w:p>
    <w:p>
      <w:pPr>
        <w:pStyle w:val="20"/>
        <w:snapToGrid w:val="0"/>
        <w:spacing w:before="203" w:beforeLines="50" w:after="203" w:afterLines="50" w:line="240" w:lineRule="auto"/>
        <w:ind w:left="142" w:right="159" w:firstLine="476"/>
        <w:rPr>
          <w:rFonts w:ascii="宋体" w:hAnsi="宋体" w:cs="楷体"/>
          <w:sz w:val="24"/>
          <w:szCs w:val="24"/>
        </w:rPr>
      </w:pPr>
      <w:r>
        <w:rPr>
          <w:rFonts w:hint="eastAsia" w:ascii="宋体" w:hAnsi="宋体" w:cs="楷体"/>
          <w:sz w:val="24"/>
          <w:szCs w:val="24"/>
        </w:rPr>
        <w:t>在保质期内，承包商免费修理并负责更换有缺陷零件或整机。承包商必须按合同条款规定，及时提供设备的安装调试指导及技术培训等技术服务。</w:t>
      </w:r>
    </w:p>
    <w:p>
      <w:pPr>
        <w:pStyle w:val="20"/>
        <w:snapToGrid w:val="0"/>
        <w:spacing w:before="120" w:after="120" w:line="240" w:lineRule="auto"/>
        <w:ind w:left="0" w:right="159" w:firstLine="0"/>
        <w:outlineLvl w:val="0"/>
        <w:rPr>
          <w:rFonts w:ascii="宋体" w:hAnsi="宋体" w:cs="楷体"/>
          <w:b/>
          <w:bCs/>
          <w:sz w:val="24"/>
          <w:szCs w:val="18"/>
        </w:rPr>
      </w:pPr>
      <w:bookmarkStart w:id="6370" w:name="_Toc106050369"/>
      <w:bookmarkStart w:id="6371" w:name="_Toc106883619"/>
      <w:r>
        <w:rPr>
          <w:rFonts w:hint="eastAsia" w:ascii="宋体" w:hAnsi="宋体" w:cs="楷体"/>
          <w:b/>
          <w:bCs/>
          <w:sz w:val="24"/>
          <w:szCs w:val="18"/>
        </w:rPr>
        <w:t>8.</w:t>
      </w:r>
      <w:r>
        <w:rPr>
          <w:rFonts w:ascii="宋体" w:hAnsi="宋体" w:cs="楷体"/>
          <w:b/>
          <w:bCs/>
          <w:sz w:val="24"/>
          <w:szCs w:val="18"/>
        </w:rPr>
        <w:t>3</w:t>
      </w:r>
      <w:r>
        <w:rPr>
          <w:rFonts w:hint="eastAsia" w:ascii="宋体" w:hAnsi="宋体" w:cs="楷体"/>
          <w:b/>
          <w:bCs/>
          <w:sz w:val="24"/>
          <w:szCs w:val="18"/>
        </w:rPr>
        <w:t>.3.4备品备件及所需附件</w:t>
      </w:r>
      <w:bookmarkEnd w:id="6370"/>
      <w:bookmarkEnd w:id="6371"/>
    </w:p>
    <w:p>
      <w:pPr>
        <w:adjustRightInd w:val="0"/>
        <w:snapToGrid w:val="0"/>
        <w:spacing w:before="203" w:beforeLines="50" w:after="203" w:afterLines="50"/>
        <w:ind w:left="621" w:right="2198" w:hanging="480"/>
        <w:jc w:val="left"/>
        <w:rPr>
          <w:rFonts w:ascii="宋体" w:hAnsi="宋体" w:cs="楷体"/>
          <w:b/>
          <w:bCs/>
        </w:rPr>
      </w:pPr>
      <w:r>
        <w:rPr>
          <w:rFonts w:hint="eastAsia" w:ascii="宋体" w:hAnsi="宋体" w:cs="楷体"/>
          <w:b/>
          <w:bCs/>
        </w:rPr>
        <w:t xml:space="preserve">1、备品备件 </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投标商应提供满足1年运行要求的备品备件。详细要求如下：</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提供备品备件的数量应保证上述使用时间的要求。应包括正常更换及需要维护的 部件。备品备件应符合技术要求，应是全新的、与需更换的部件完全可互换的。</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所有备品备件的包装及防护应符合标准，避免腐蚀及损坏，能适合高温及潮湿环境下长期存贮要求。在包装外面注明备品、备件名称和编号，以方便辨认。</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备品备件清单应列明名称、数量，应由制造商根据工程当地条件及指定的时间要求制定。</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备品备件的单价应包括供货、包装、运输等所有费用。每套伸缩接头提供止水胶圈1套。 对于每套阀门，提供阀板密封圈1套，阀轴密封圈1套。</w:t>
      </w:r>
    </w:p>
    <w:p>
      <w:pPr>
        <w:adjustRightInd w:val="0"/>
        <w:snapToGrid w:val="0"/>
        <w:spacing w:before="203" w:beforeLines="50" w:after="203" w:afterLines="50"/>
        <w:ind w:left="621" w:right="2198" w:hanging="480"/>
        <w:jc w:val="left"/>
        <w:rPr>
          <w:rFonts w:ascii="宋体" w:hAnsi="宋体" w:cs="楷体"/>
          <w:b/>
          <w:bCs/>
        </w:rPr>
      </w:pPr>
      <w:bookmarkStart w:id="6372" w:name="_Toc106050370"/>
      <w:bookmarkStart w:id="6373" w:name="_Toc106883620"/>
      <w:r>
        <w:rPr>
          <w:rFonts w:hint="eastAsia" w:ascii="宋体" w:hAnsi="宋体" w:cs="楷体"/>
          <w:b/>
          <w:bCs/>
        </w:rPr>
        <w:t>2、所需附件</w:t>
      </w:r>
      <w:bookmarkEnd w:id="6372"/>
      <w:bookmarkEnd w:id="6373"/>
      <w:r>
        <w:rPr>
          <w:rFonts w:hint="eastAsia" w:ascii="宋体" w:hAnsi="宋体" w:cs="楷体"/>
          <w:b/>
          <w:bCs/>
        </w:rPr>
        <w:t xml:space="preserve"> </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所需附件应包括设备专用工具及组装所需件，要求如下：</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投标商应提供保证供货设备及系统安装、试验及有效运行所需的机械、电气及控制系统附件。</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除非另外指明，应提供所有必须附件及两套维修、试验、检查专用工具，在报价 表中应详细列明。</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专用工具应整齐放置在专用的工具箱中，箱外标明所有工具名称，并附带所有工 具的使用说明书。</w:t>
      </w:r>
    </w:p>
    <w:p>
      <w:pPr>
        <w:pStyle w:val="20"/>
        <w:snapToGrid w:val="0"/>
        <w:spacing w:before="120" w:after="120" w:line="240" w:lineRule="auto"/>
        <w:ind w:left="0" w:right="159" w:firstLine="0"/>
        <w:outlineLvl w:val="0"/>
        <w:rPr>
          <w:rFonts w:ascii="宋体" w:hAnsi="宋体" w:cs="楷体"/>
          <w:b/>
          <w:bCs/>
          <w:sz w:val="24"/>
          <w:szCs w:val="18"/>
        </w:rPr>
      </w:pPr>
      <w:bookmarkStart w:id="6374" w:name="_Toc106050371"/>
      <w:bookmarkStart w:id="6375" w:name="_Toc106883621"/>
      <w:r>
        <w:rPr>
          <w:rFonts w:hint="eastAsia" w:ascii="宋体" w:hAnsi="宋体" w:cs="楷体"/>
          <w:b/>
          <w:bCs/>
          <w:sz w:val="24"/>
          <w:szCs w:val="18"/>
        </w:rPr>
        <w:t>8.</w:t>
      </w:r>
      <w:r>
        <w:rPr>
          <w:rFonts w:ascii="宋体" w:hAnsi="宋体" w:cs="楷体"/>
          <w:b/>
          <w:bCs/>
          <w:sz w:val="24"/>
          <w:szCs w:val="18"/>
        </w:rPr>
        <w:t>3</w:t>
      </w:r>
      <w:r>
        <w:rPr>
          <w:rFonts w:hint="eastAsia" w:ascii="宋体" w:hAnsi="宋体" w:cs="楷体"/>
          <w:b/>
          <w:bCs/>
          <w:sz w:val="24"/>
          <w:szCs w:val="18"/>
        </w:rPr>
        <w:t>.3.5产品制造及生产</w:t>
      </w:r>
      <w:bookmarkEnd w:id="6374"/>
      <w:bookmarkEnd w:id="6375"/>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1、提供合格的生产厂商生产的标准设备。各种设备应根据AWWA标准设计制造或 GB标准制造，各种设备的法兰及其钻孔尺寸应符合GB标准。</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2、提供用于本工程所需的相同或相似的产品应尽可能是同一生产厂出产的成 品，以便实现产品外形、操作及维修、备件及替换、生产厂商服务的全部标准化。</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3、设备、部件的设计和生产应考虑对人身健康、安全操作维护、可接近性以及 零部件的耐久性。</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4、设备内外表面必须平滑完整，不得有裂纹、夹渣等缺陷，对于凹凸不平之处 必须进行修补。</w:t>
      </w:r>
    </w:p>
    <w:p>
      <w:pPr>
        <w:pStyle w:val="20"/>
        <w:snapToGrid w:val="0"/>
        <w:spacing w:before="203" w:beforeLines="50" w:after="203" w:afterLines="50" w:line="240" w:lineRule="auto"/>
        <w:ind w:left="141" w:right="159" w:firstLine="479"/>
        <w:rPr>
          <w:rFonts w:ascii="宋体" w:hAnsi="宋体" w:cs="楷体"/>
          <w:sz w:val="24"/>
          <w:szCs w:val="24"/>
        </w:rPr>
      </w:pPr>
      <w:r>
        <w:rPr>
          <w:rFonts w:hint="eastAsia" w:ascii="宋体" w:hAnsi="宋体" w:cs="楷体"/>
          <w:sz w:val="24"/>
          <w:szCs w:val="24"/>
        </w:rPr>
        <w:t>5、对设备需要防腐金属内外表面必须采取有效的内喷与外涂的涂漆保护措施， 涂漆工艺和材料应按规定要求确定。</w:t>
      </w:r>
    </w:p>
    <w:p>
      <w:pPr>
        <w:pStyle w:val="20"/>
        <w:snapToGrid w:val="0"/>
        <w:spacing w:before="203" w:beforeLines="50" w:after="203" w:afterLines="50" w:line="240" w:lineRule="auto"/>
        <w:ind w:left="141" w:right="159" w:firstLine="479"/>
        <w:rPr>
          <w:rFonts w:ascii="宋体" w:hAnsi="宋体" w:cs="楷体"/>
        </w:rPr>
      </w:pPr>
      <w:r>
        <w:rPr>
          <w:rFonts w:hint="eastAsia" w:ascii="宋体" w:hAnsi="宋体" w:cs="楷体"/>
          <w:sz w:val="24"/>
          <w:szCs w:val="24"/>
        </w:rPr>
        <w:t>供应的设备成品应符合技术规定认定的、最新的中国国家标准（GB标准）以及国际标准化组织标准（ISO标准），并取得相应的认证。</w:t>
      </w:r>
    </w:p>
    <w:p>
      <w:pPr>
        <w:keepNext/>
        <w:adjustRightInd w:val="0"/>
        <w:snapToGrid w:val="0"/>
        <w:spacing w:before="203" w:beforeLines="50" w:after="203" w:afterLines="50"/>
        <w:outlineLvl w:val="0"/>
        <w:rPr>
          <w:rFonts w:ascii="宋体" w:hAnsi="宋体" w:cs="楷体"/>
          <w:b/>
        </w:rPr>
      </w:pPr>
      <w:bookmarkStart w:id="6376" w:name="_Toc106883622"/>
      <w:r>
        <w:rPr>
          <w:rFonts w:hint="eastAsia" w:ascii="宋体" w:hAnsi="宋体" w:cs="楷体"/>
          <w:b/>
        </w:rPr>
        <w:t>8.3.4详细说明</w:t>
      </w:r>
      <w:bookmarkEnd w:id="6376"/>
    </w:p>
    <w:p>
      <w:pPr>
        <w:adjustRightInd w:val="0"/>
        <w:snapToGrid w:val="0"/>
        <w:spacing w:before="120" w:after="120"/>
        <w:ind w:firstLine="420"/>
        <w:rPr>
          <w:rFonts w:ascii="宋体" w:hAnsi="宋体" w:cs="楷体"/>
          <w:bCs/>
          <w:lang w:bidi="zh-CN"/>
        </w:rPr>
      </w:pPr>
      <w:r>
        <w:rPr>
          <w:rFonts w:hint="eastAsia" w:ascii="宋体" w:hAnsi="宋体" w:cs="楷体"/>
          <w:bCs/>
          <w:lang w:bidi="zh-CN"/>
        </w:rPr>
        <w:t>执行标准</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设计、制造标准：GB/T13932-2016《通用阀门 铁制旋启式止回阀》</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法兰连接尺寸标准: GB/T17241.6-2008《整体铸铁法兰》</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结构长度标准：GB/T12221-2005《金属阀门结构长度》</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压力试验标准：GB/T 13927-2008《工业阀门 压力试验》；</w:t>
      </w:r>
    </w:p>
    <w:p>
      <w:pPr>
        <w:keepNext/>
        <w:numPr>
          <w:ilvl w:val="0"/>
          <w:numId w:val="57"/>
        </w:numPr>
        <w:adjustRightInd w:val="0"/>
        <w:snapToGrid w:val="0"/>
        <w:spacing w:before="203" w:beforeLines="50" w:after="203" w:afterLines="50"/>
        <w:rPr>
          <w:rFonts w:ascii="宋体" w:hAnsi="宋体" w:cs="楷体"/>
        </w:rPr>
      </w:pPr>
      <w:r>
        <w:rPr>
          <w:rFonts w:hint="eastAsia" w:ascii="宋体" w:hAnsi="宋体" w:cs="楷体"/>
        </w:rPr>
        <w:t>技术要求</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公称压力：1.0～2.5MPa</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公称通径：50～600mm</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适用介质：水及弱腐蚀性流体</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适用温度：0～80℃</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连接方式：法兰。</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止回阀采用全流面积式设计，水头损失小，不易堆积杂物，维修简便。</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橡胶瓣由钢板做承压件，外覆强化尼龙布，最外层采用热硫化整体包胶技术制成。在橡胶瓣中加入的尼龙纤维可使钢板与钢棒间形成弹性强化部位，使阀门能经常启闭而不断裂。</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止回阀的阀座采用陶瓷喷涂工艺，使阀门的使用寿命更长。</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止回阀的关闭行程小，行程角仅 35°即可达到全开启，并且在反向水流作用下关闭速度快，减少水锤发生。</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止回阀阀体上有标明水流方向的箭头指示。</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卫生指标:投标人投标设备及所有零部件、密封件、防腐涂料均不得采用可能对饮用水造成污染的材料。</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阀瓣整体包覆NBR，阀瓣开关寿命可达100万次以上，流阻小。</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上述未规定的止回阀技术条件，按GB/T13932-1992《通用阀门 铁制旋启式止回阀》的规定执行</w:t>
      </w:r>
    </w:p>
    <w:p>
      <w:pPr>
        <w:keepNext/>
        <w:numPr>
          <w:ilvl w:val="0"/>
          <w:numId w:val="57"/>
        </w:numPr>
        <w:adjustRightInd w:val="0"/>
        <w:snapToGrid w:val="0"/>
        <w:spacing w:before="203" w:beforeLines="50" w:after="203" w:afterLines="50"/>
        <w:rPr>
          <w:rFonts w:ascii="宋体" w:hAnsi="宋体" w:cs="楷体"/>
        </w:rPr>
      </w:pPr>
      <w:r>
        <w:rPr>
          <w:rFonts w:hint="eastAsia" w:ascii="宋体" w:hAnsi="宋体" w:cs="楷体"/>
        </w:rPr>
        <w:t>构造及材质</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阀体：QT450-10</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阀盖：QT450-10</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阀瓣：钢板+强化尼龙+NBR橡胶</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紧固件：304</w:t>
      </w:r>
    </w:p>
    <w:p>
      <w:pPr>
        <w:adjustRightInd w:val="0"/>
        <w:snapToGrid w:val="0"/>
        <w:spacing w:before="120" w:after="120"/>
        <w:ind w:firstLine="420"/>
        <w:rPr>
          <w:rFonts w:ascii="宋体" w:hAnsi="宋体" w:cs="楷体"/>
          <w:bCs/>
          <w:lang w:bidi="zh-CN"/>
        </w:rPr>
      </w:pPr>
      <w:r>
        <w:rPr>
          <w:rFonts w:hint="eastAsia" w:ascii="宋体" w:hAnsi="宋体" w:cs="楷体"/>
          <w:bCs/>
          <w:lang w:bidi="zh-CN"/>
        </w:rPr>
        <w:t>密封材料：NBR</w:t>
      </w:r>
    </w:p>
    <w:p>
      <w:pPr>
        <w:keepNext/>
        <w:adjustRightInd w:val="0"/>
        <w:snapToGrid w:val="0"/>
        <w:spacing w:before="203" w:beforeLines="50" w:after="203" w:afterLines="50"/>
        <w:outlineLvl w:val="1"/>
        <w:rPr>
          <w:rFonts w:ascii="宋体" w:hAnsi="宋体" w:cs="楷体"/>
          <w:b/>
        </w:rPr>
      </w:pPr>
      <w:bookmarkStart w:id="6377" w:name="_Toc106883623"/>
      <w:r>
        <w:rPr>
          <w:rFonts w:hint="eastAsia" w:ascii="宋体" w:hAnsi="宋体" w:cs="楷体"/>
          <w:b/>
        </w:rPr>
        <w:t>8.4角型隔膜排泥阀</w:t>
      </w:r>
      <w:bookmarkEnd w:id="6377"/>
    </w:p>
    <w:p>
      <w:pPr>
        <w:keepNext/>
        <w:adjustRightInd w:val="0"/>
        <w:snapToGrid w:val="0"/>
        <w:spacing w:before="203" w:beforeLines="50" w:after="203" w:afterLines="50"/>
        <w:outlineLvl w:val="2"/>
        <w:rPr>
          <w:rFonts w:ascii="宋体" w:hAnsi="宋体" w:cs="楷体"/>
          <w:b/>
        </w:rPr>
      </w:pPr>
      <w:bookmarkStart w:id="6378" w:name="_Toc106883624"/>
      <w:r>
        <w:rPr>
          <w:rFonts w:hint="eastAsia" w:ascii="宋体" w:hAnsi="宋体" w:cs="楷体"/>
          <w:b/>
        </w:rPr>
        <w:t>8.4.1概述</w:t>
      </w:r>
      <w:bookmarkEnd w:id="6378"/>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本工程使用的阀门有角型隔膜排泥阀，安装位置详见供货范围及图纸。</w:t>
      </w:r>
    </w:p>
    <w:p>
      <w:pPr>
        <w:keepNext/>
        <w:adjustRightInd w:val="0"/>
        <w:snapToGrid w:val="0"/>
        <w:spacing w:before="203" w:beforeLines="50" w:after="203" w:afterLines="50"/>
        <w:outlineLvl w:val="0"/>
        <w:rPr>
          <w:rFonts w:ascii="宋体" w:hAnsi="宋体" w:cs="楷体"/>
          <w:b/>
        </w:rPr>
      </w:pPr>
      <w:bookmarkStart w:id="6379" w:name="_Toc106883625"/>
      <w:r>
        <w:rPr>
          <w:rFonts w:hint="eastAsia" w:ascii="宋体" w:hAnsi="宋体" w:cs="楷体"/>
          <w:b/>
        </w:rPr>
        <w:t>8.4.2供货范围</w:t>
      </w:r>
      <w:bookmarkEnd w:id="6379"/>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工程量清单表中列出的各项设备成套、整体供货，即只需要在设备两端使用螺栓等即可与外部设备（外部设备指非本采购清单列出的设备）或管道连接。清单如下：</w:t>
      </w:r>
    </w:p>
    <w:tbl>
      <w:tblPr>
        <w:tblStyle w:val="77"/>
        <w:tblW w:w="5225" w:type="pct"/>
        <w:jc w:val="center"/>
        <w:tblLayout w:type="fixed"/>
        <w:tblCellMar>
          <w:top w:w="0" w:type="dxa"/>
          <w:left w:w="108" w:type="dxa"/>
          <w:bottom w:w="0" w:type="dxa"/>
          <w:right w:w="108" w:type="dxa"/>
        </w:tblCellMar>
      </w:tblPr>
      <w:tblGrid>
        <w:gridCol w:w="810"/>
        <w:gridCol w:w="1279"/>
        <w:gridCol w:w="1465"/>
        <w:gridCol w:w="1161"/>
        <w:gridCol w:w="869"/>
        <w:gridCol w:w="807"/>
        <w:gridCol w:w="1380"/>
        <w:gridCol w:w="1341"/>
      </w:tblGrid>
      <w:tr>
        <w:tblPrEx>
          <w:tblCellMar>
            <w:top w:w="0" w:type="dxa"/>
            <w:left w:w="108" w:type="dxa"/>
            <w:bottom w:w="0" w:type="dxa"/>
            <w:right w:w="108" w:type="dxa"/>
          </w:tblCellMar>
        </w:tblPrEx>
        <w:trPr>
          <w:cantSplit/>
          <w:trHeight w:val="227" w:hRule="atLeast"/>
          <w:tblHeader/>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规格参数</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材质</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安装位置</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cantSplit/>
          <w:trHeight w:val="227" w:hRule="atLeast"/>
          <w:tblHeader/>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w:t>
            </w:r>
          </w:p>
        </w:tc>
        <w:tc>
          <w:tcPr>
            <w:tcW w:w="70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角型隔膜排泥阀</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rPr>
              <w:t>DN200</w:t>
            </w:r>
            <w:r>
              <w:rPr>
                <w:rFonts w:hint="eastAsia" w:ascii="宋体" w:hAnsi="宋体" w:cs="楷体"/>
              </w:rPr>
              <w:t>，</w:t>
            </w:r>
            <w:r>
              <w:rPr>
                <w:rFonts w:ascii="宋体" w:hAnsi="宋体" w:cs="楷体"/>
              </w:rPr>
              <w:t xml:space="preserve">  P=1.0Mpa</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jc w:val="center"/>
              <w:rPr>
                <w:rFonts w:ascii="宋体" w:hAnsi="宋体" w:cs="楷体"/>
              </w:rPr>
            </w:pPr>
            <w:r>
              <w:rPr>
                <w:rFonts w:hint="eastAsia" w:ascii="宋体" w:hAnsi="宋体" w:cs="楷体"/>
              </w:rPr>
              <w:t>　</w:t>
            </w:r>
          </w:p>
        </w:tc>
        <w:tc>
          <w:tcPr>
            <w:tcW w:w="47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kern w:val="0"/>
              </w:rPr>
              <w:t>15</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r>
              <w:rPr>
                <w:rFonts w:hint="eastAsia" w:ascii="宋体" w:hAnsi="宋体" w:cs="楷体"/>
                <w:kern w:val="0"/>
              </w:rPr>
              <w:t>配电磁阀</w:t>
            </w:r>
          </w:p>
        </w:tc>
      </w:tr>
    </w:tbl>
    <w:p>
      <w:pPr>
        <w:keepNext/>
        <w:adjustRightInd w:val="0"/>
        <w:snapToGrid w:val="0"/>
        <w:spacing w:before="203" w:beforeLines="50" w:after="203" w:afterLines="50"/>
        <w:outlineLvl w:val="2"/>
        <w:rPr>
          <w:rFonts w:ascii="宋体" w:hAnsi="宋体" w:cs="楷体"/>
          <w:b/>
        </w:rPr>
      </w:pPr>
      <w:bookmarkStart w:id="6380" w:name="_Toc106883626"/>
      <w:r>
        <w:rPr>
          <w:rFonts w:hint="eastAsia" w:ascii="宋体" w:hAnsi="宋体" w:cs="楷体"/>
          <w:b/>
        </w:rPr>
        <w:t>8.4.3基本</w:t>
      </w:r>
      <w:r>
        <w:rPr>
          <w:rFonts w:ascii="宋体" w:hAnsi="宋体" w:cs="楷体"/>
          <w:b/>
        </w:rPr>
        <w:t>要求</w:t>
      </w:r>
      <w:bookmarkEnd w:id="6380"/>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需要的角型隔膜排泥阀，是一种角型截断类阀门，要求由液压源作执行机构。成排安装在反应池、沉淀池底部外侧壁，用以排除池底沉淀的泥砂和污物。该阀由尼龙强化橡胶隔膜将阀门分为两个腔室，接通液压源，采用电动二位四通换向阀和手动球阀（配套供货）控制，实现快速排泥。</w:t>
      </w:r>
    </w:p>
    <w:p>
      <w:pPr>
        <w:snapToGrid w:val="0"/>
        <w:spacing w:before="81" w:beforeLines="20" w:after="81" w:afterLines="20" w:line="400" w:lineRule="exact"/>
        <w:ind w:firstLine="561"/>
        <w:rPr>
          <w:rFonts w:ascii="宋体" w:hAnsi="宋体"/>
          <w:szCs w:val="22"/>
        </w:rPr>
      </w:pPr>
      <w:bookmarkStart w:id="6381" w:name="_Toc106050377"/>
      <w:bookmarkStart w:id="6382" w:name="_Toc106883627"/>
      <w:r>
        <w:rPr>
          <w:rFonts w:hint="eastAsia" w:ascii="宋体" w:hAnsi="宋体"/>
          <w:szCs w:val="22"/>
        </w:rPr>
        <w:t>1、</w:t>
      </w:r>
      <w:r>
        <w:rPr>
          <w:rFonts w:ascii="宋体" w:hAnsi="宋体"/>
          <w:szCs w:val="22"/>
        </w:rPr>
        <w:t>执行标准</w:t>
      </w:r>
      <w:bookmarkEnd w:id="6381"/>
      <w:bookmarkEnd w:id="6382"/>
    </w:p>
    <w:p>
      <w:pPr>
        <w:snapToGrid w:val="0"/>
        <w:spacing w:before="81" w:beforeLines="20" w:after="81" w:afterLines="20" w:line="400" w:lineRule="exact"/>
        <w:ind w:firstLine="561"/>
        <w:rPr>
          <w:rFonts w:ascii="宋体" w:hAnsi="宋体"/>
          <w:szCs w:val="22"/>
        </w:rPr>
      </w:pPr>
      <w:r>
        <w:rPr>
          <w:rFonts w:hint="eastAsia" w:ascii="宋体" w:hAnsi="宋体"/>
          <w:szCs w:val="22"/>
        </w:rPr>
        <w:t>碳素钢铸件技术条件                  GB/T 12229</w:t>
      </w:r>
    </w:p>
    <w:p>
      <w:pPr>
        <w:snapToGrid w:val="0"/>
        <w:spacing w:before="81" w:beforeLines="20" w:after="81" w:afterLines="20" w:line="400" w:lineRule="exact"/>
        <w:ind w:firstLine="561"/>
        <w:rPr>
          <w:rFonts w:ascii="宋体" w:hAnsi="宋体"/>
          <w:szCs w:val="22"/>
        </w:rPr>
      </w:pPr>
      <w:r>
        <w:rPr>
          <w:rFonts w:hint="eastAsia" w:ascii="宋体" w:hAnsi="宋体"/>
          <w:szCs w:val="22"/>
        </w:rPr>
        <w:t>通用阀门 压力试验                   GB/T 13927</w:t>
      </w:r>
    </w:p>
    <w:p>
      <w:pPr>
        <w:snapToGrid w:val="0"/>
        <w:spacing w:before="81" w:beforeLines="20" w:after="81" w:afterLines="20" w:line="400" w:lineRule="exact"/>
        <w:ind w:firstLine="561"/>
        <w:rPr>
          <w:rFonts w:ascii="宋体" w:hAnsi="宋体"/>
          <w:szCs w:val="22"/>
        </w:rPr>
      </w:pPr>
      <w:r>
        <w:rPr>
          <w:rFonts w:hint="eastAsia" w:ascii="宋体" w:hAnsi="宋体"/>
          <w:szCs w:val="22"/>
        </w:rPr>
        <w:t>优质碳素结构钢、技术条件            GB699-88</w:t>
      </w:r>
    </w:p>
    <w:p>
      <w:pPr>
        <w:snapToGrid w:val="0"/>
        <w:spacing w:before="81" w:beforeLines="20" w:after="81" w:afterLines="20" w:line="400" w:lineRule="exact"/>
        <w:ind w:firstLine="561"/>
        <w:rPr>
          <w:rFonts w:ascii="宋体" w:hAnsi="宋体"/>
          <w:szCs w:val="22"/>
        </w:rPr>
      </w:pPr>
      <w:r>
        <w:rPr>
          <w:rFonts w:hint="eastAsia" w:ascii="宋体" w:hAnsi="宋体"/>
          <w:szCs w:val="22"/>
        </w:rPr>
        <w:t xml:space="preserve">碳素结构钢                          GB200-88 </w:t>
      </w:r>
    </w:p>
    <w:p>
      <w:pPr>
        <w:snapToGrid w:val="0"/>
        <w:spacing w:before="81" w:beforeLines="20" w:after="81" w:afterLines="20" w:line="400" w:lineRule="exact"/>
        <w:ind w:firstLine="561"/>
        <w:rPr>
          <w:rFonts w:ascii="宋体" w:hAnsi="宋体"/>
          <w:szCs w:val="22"/>
        </w:rPr>
      </w:pPr>
      <w:r>
        <w:rPr>
          <w:rFonts w:hint="eastAsia" w:ascii="宋体" w:hAnsi="宋体"/>
          <w:szCs w:val="22"/>
        </w:rPr>
        <w:t xml:space="preserve">道元件的名称通径                    GB/T1047-85 </w:t>
      </w:r>
    </w:p>
    <w:p>
      <w:pPr>
        <w:snapToGrid w:val="0"/>
        <w:spacing w:before="81" w:beforeLines="20" w:after="81" w:afterLines="20" w:line="400" w:lineRule="exact"/>
        <w:ind w:firstLine="561"/>
        <w:rPr>
          <w:rFonts w:ascii="宋体" w:hAnsi="宋体"/>
          <w:szCs w:val="22"/>
        </w:rPr>
      </w:pPr>
      <w:r>
        <w:rPr>
          <w:rFonts w:hint="eastAsia" w:ascii="宋体" w:hAnsi="宋体"/>
          <w:szCs w:val="22"/>
        </w:rPr>
        <w:t>管道元件公称压力                    GB/T1184-90</w:t>
      </w:r>
    </w:p>
    <w:p>
      <w:pPr>
        <w:snapToGrid w:val="0"/>
        <w:spacing w:before="81" w:beforeLines="20" w:after="81" w:afterLines="20" w:line="400" w:lineRule="exact"/>
        <w:ind w:firstLine="561"/>
        <w:rPr>
          <w:rFonts w:ascii="宋体" w:hAnsi="宋体"/>
          <w:szCs w:val="22"/>
        </w:rPr>
      </w:pPr>
      <w:r>
        <w:rPr>
          <w:rFonts w:hint="eastAsia" w:ascii="宋体" w:hAnsi="宋体"/>
          <w:szCs w:val="22"/>
        </w:rPr>
        <w:t xml:space="preserve">钢制管法兰 压力—温度等级           GB131-88 </w:t>
      </w:r>
    </w:p>
    <w:p>
      <w:pPr>
        <w:snapToGrid w:val="0"/>
        <w:spacing w:before="81" w:beforeLines="20" w:after="81" w:afterLines="20" w:line="400" w:lineRule="exact"/>
        <w:ind w:firstLine="561"/>
        <w:rPr>
          <w:rFonts w:ascii="宋体" w:hAnsi="宋体"/>
          <w:szCs w:val="22"/>
        </w:rPr>
      </w:pPr>
      <w:r>
        <w:rPr>
          <w:rFonts w:hint="eastAsia" w:ascii="宋体" w:hAnsi="宋体"/>
          <w:szCs w:val="22"/>
        </w:rPr>
        <w:t>通用阀门  标志                      GB/T12220</w:t>
      </w:r>
    </w:p>
    <w:p>
      <w:pPr>
        <w:snapToGrid w:val="0"/>
        <w:spacing w:before="81" w:beforeLines="20" w:after="81" w:afterLines="20" w:line="400" w:lineRule="exact"/>
        <w:ind w:firstLine="561"/>
        <w:rPr>
          <w:rFonts w:ascii="宋体" w:hAnsi="宋体"/>
          <w:szCs w:val="22"/>
        </w:rPr>
      </w:pPr>
      <w:r>
        <w:rPr>
          <w:rFonts w:hint="eastAsia" w:ascii="宋体" w:hAnsi="宋体"/>
          <w:szCs w:val="22"/>
        </w:rPr>
        <w:t>通用阀门  铜合金铸造技术条件        GB/T12225</w:t>
      </w:r>
    </w:p>
    <w:p>
      <w:pPr>
        <w:snapToGrid w:val="0"/>
        <w:spacing w:before="81" w:beforeLines="20" w:after="81" w:afterLines="20" w:line="400" w:lineRule="exact"/>
        <w:ind w:firstLine="561"/>
        <w:rPr>
          <w:rFonts w:ascii="宋体" w:hAnsi="宋体"/>
          <w:szCs w:val="22"/>
        </w:rPr>
      </w:pPr>
      <w:r>
        <w:rPr>
          <w:rFonts w:hint="eastAsia" w:ascii="宋体" w:hAnsi="宋体"/>
          <w:szCs w:val="22"/>
        </w:rPr>
        <w:t>通用阀门  球墨铸铁件技术条件        GB/T12227</w:t>
      </w:r>
    </w:p>
    <w:p>
      <w:pPr>
        <w:snapToGrid w:val="0"/>
        <w:spacing w:before="81" w:beforeLines="20" w:after="81" w:afterLines="20" w:line="400" w:lineRule="exact"/>
        <w:ind w:firstLine="561"/>
        <w:rPr>
          <w:rFonts w:ascii="宋体" w:hAnsi="宋体"/>
          <w:szCs w:val="22"/>
        </w:rPr>
      </w:pPr>
      <w:r>
        <w:rPr>
          <w:rFonts w:hint="eastAsia" w:ascii="宋体" w:hAnsi="宋体"/>
          <w:szCs w:val="22"/>
        </w:rPr>
        <w:t>阀门标志和识别涂漆                  JB106</w:t>
      </w:r>
    </w:p>
    <w:p>
      <w:pPr>
        <w:snapToGrid w:val="0"/>
        <w:spacing w:before="81" w:beforeLines="20" w:after="81" w:afterLines="20" w:line="400" w:lineRule="exact"/>
        <w:ind w:firstLine="561"/>
        <w:rPr>
          <w:rFonts w:ascii="宋体" w:hAnsi="宋体"/>
          <w:szCs w:val="22"/>
        </w:rPr>
      </w:pPr>
      <w:r>
        <w:rPr>
          <w:rFonts w:hint="eastAsia" w:ascii="宋体" w:hAnsi="宋体"/>
          <w:szCs w:val="22"/>
        </w:rPr>
        <w:t>通用阀门  供货要求                  GB/T12252</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2、</w:t>
      </w:r>
      <w:r>
        <w:rPr>
          <w:rFonts w:ascii="宋体" w:hAnsi="宋体" w:cs="楷体"/>
        </w:rPr>
        <w:t>设计制造</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阀板采用橡胶密封，要求密封性能好，经久耐用。</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采用1个二位四通电磁阀控制+1个球阀，既可电动也可手动，可实现现场、远程、自动和集中控制。</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驱动介质直接采用自来水，操作控制灵敏、安全、可靠；</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主阀阀口采用斜面阀口设计，不积泥沙，不会因异物陈积而损坏橡胶密封面。</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阀体内腔采用球型设计（过流面积远大于公称通径）。</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采用膜片式驱动：</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平稳地止水关闭，而不产生压力波动；</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可实现快速灵敏的动作反应；</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无运动磨损；</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不会因杂质而产生漏水、卡死或动作失灵等现象；</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对泥砂淤积不敏感；</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不需要需定期更换的密封件；</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不需要润滑。</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采用膜室与密封分开结构：</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膜室与密封分开结构，避免因膜室故障而需将整池水放掉，造成不必要浪费和给维护带来不便。</w:t>
      </w:r>
    </w:p>
    <w:p>
      <w:pPr>
        <w:pStyle w:val="1156"/>
        <w:numPr>
          <w:ilvl w:val="0"/>
          <w:numId w:val="59"/>
        </w:numPr>
        <w:snapToGrid w:val="0"/>
        <w:spacing w:before="81" w:beforeLines="20" w:after="81" w:afterLines="20" w:line="400" w:lineRule="exact"/>
        <w:ind w:firstLineChars="0"/>
        <w:rPr>
          <w:rFonts w:ascii="宋体" w:hAnsi="宋体"/>
          <w:szCs w:val="22"/>
        </w:rPr>
      </w:pPr>
      <w:r>
        <w:rPr>
          <w:rFonts w:hint="eastAsia" w:ascii="宋体" w:hAnsi="宋体"/>
          <w:szCs w:val="22"/>
        </w:rPr>
        <w:t>阀板开度高，过流面积远大于公称通径。</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膜片所选用材料性能符合GB/T17219  HG/T3090规定。</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阀门开启迅速（小于10秒）。</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膜室与阀体内腔严密分隔，排放泥沙和各种污物不进入膜室。</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采取膜室下腔进水阀门打开，下腔停水阀门关闭（上腔不进水）的控制形式。外控水自动冲刷膜室下腔淤积泥沙，阀门基本无须维护。</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阀杆要求具有良好定心导向性能。</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关闭时动作平缓，无冲击力。</w:t>
      </w:r>
    </w:p>
    <w:p>
      <w:pPr>
        <w:pStyle w:val="1156"/>
        <w:numPr>
          <w:ilvl w:val="1"/>
          <w:numId w:val="58"/>
        </w:numPr>
        <w:snapToGrid w:val="0"/>
        <w:spacing w:before="81" w:beforeLines="20" w:after="81" w:afterLines="20" w:line="400" w:lineRule="exact"/>
        <w:ind w:left="993" w:firstLineChars="0"/>
        <w:rPr>
          <w:rFonts w:ascii="宋体" w:hAnsi="宋体"/>
          <w:szCs w:val="22"/>
        </w:rPr>
      </w:pPr>
      <w:r>
        <w:rPr>
          <w:rFonts w:hint="eastAsia" w:ascii="宋体" w:hAnsi="宋体"/>
          <w:szCs w:val="22"/>
        </w:rPr>
        <w:t>阀门内外表面喷涂高分子防腐涂料，提高防腐性能。涂层厚度大于300μm，油漆喷涂前铸件表面进行喷丸处理（表面粗糙度为2.5），确保油漆附着牢固。</w:t>
      </w:r>
    </w:p>
    <w:p>
      <w:pPr>
        <w:adjustRightInd w:val="0"/>
        <w:snapToGrid w:val="0"/>
        <w:spacing w:before="203" w:beforeLines="50" w:after="203" w:afterLines="50"/>
        <w:ind w:firstLine="500" w:firstLineChars="200"/>
        <w:rPr>
          <w:rFonts w:ascii="宋体" w:hAnsi="宋体" w:cs="楷体"/>
        </w:rPr>
      </w:pPr>
      <w:r>
        <w:rPr>
          <w:rFonts w:ascii="宋体" w:hAnsi="宋体" w:cs="楷体"/>
        </w:rPr>
        <w:t>3</w:t>
      </w:r>
      <w:r>
        <w:rPr>
          <w:rFonts w:hint="eastAsia" w:ascii="宋体" w:hAnsi="宋体" w:cs="楷体"/>
        </w:rPr>
        <w:t>、</w:t>
      </w:r>
      <w:r>
        <w:rPr>
          <w:rFonts w:ascii="宋体" w:hAnsi="宋体" w:cs="楷体"/>
        </w:rPr>
        <w:t>检验</w:t>
      </w:r>
    </w:p>
    <w:p>
      <w:pPr>
        <w:pStyle w:val="1156"/>
        <w:numPr>
          <w:ilvl w:val="0"/>
          <w:numId w:val="60"/>
        </w:numPr>
        <w:snapToGrid w:val="0"/>
        <w:spacing w:before="81" w:beforeLines="20" w:after="81" w:afterLines="20" w:line="400" w:lineRule="exact"/>
        <w:ind w:left="993" w:firstLineChars="0"/>
        <w:rPr>
          <w:rFonts w:ascii="宋体" w:hAnsi="宋体"/>
          <w:szCs w:val="22"/>
        </w:rPr>
      </w:pPr>
      <w:r>
        <w:rPr>
          <w:rFonts w:hint="eastAsia" w:ascii="宋体" w:hAnsi="宋体"/>
          <w:szCs w:val="22"/>
        </w:rPr>
        <w:t>产品须达到CJ/T 196-2004标准要求。</w:t>
      </w:r>
    </w:p>
    <w:p>
      <w:pPr>
        <w:pStyle w:val="1156"/>
        <w:numPr>
          <w:ilvl w:val="0"/>
          <w:numId w:val="60"/>
        </w:numPr>
        <w:snapToGrid w:val="0"/>
        <w:spacing w:before="81" w:beforeLines="20" w:after="81" w:afterLines="20" w:line="400" w:lineRule="exact"/>
        <w:ind w:left="993" w:firstLineChars="0"/>
        <w:rPr>
          <w:rFonts w:ascii="宋体" w:hAnsi="宋体"/>
          <w:szCs w:val="22"/>
        </w:rPr>
      </w:pPr>
      <w:r>
        <w:rPr>
          <w:rFonts w:hint="eastAsia" w:ascii="宋体" w:hAnsi="宋体"/>
          <w:szCs w:val="22"/>
        </w:rPr>
        <w:t>每台阀门必须经过试验合格并附有产品合格证和使用说明书，方可出厂。</w:t>
      </w:r>
    </w:p>
    <w:p>
      <w:pPr>
        <w:pStyle w:val="1156"/>
        <w:numPr>
          <w:ilvl w:val="0"/>
          <w:numId w:val="60"/>
        </w:numPr>
        <w:snapToGrid w:val="0"/>
        <w:spacing w:before="81" w:beforeLines="20" w:after="81" w:afterLines="20" w:line="400" w:lineRule="exact"/>
        <w:ind w:left="993" w:firstLineChars="0"/>
        <w:rPr>
          <w:rFonts w:ascii="宋体" w:hAnsi="宋体"/>
          <w:szCs w:val="22"/>
        </w:rPr>
      </w:pPr>
      <w:r>
        <w:rPr>
          <w:rFonts w:hint="eastAsia" w:ascii="宋体" w:hAnsi="宋体"/>
          <w:szCs w:val="22"/>
        </w:rPr>
        <w:t>阀门应进行操作试验，要求阀门启闭灵活。</w:t>
      </w:r>
    </w:p>
    <w:p>
      <w:pPr>
        <w:pStyle w:val="1156"/>
        <w:numPr>
          <w:ilvl w:val="0"/>
          <w:numId w:val="60"/>
        </w:numPr>
        <w:snapToGrid w:val="0"/>
        <w:spacing w:before="81" w:beforeLines="20" w:after="81" w:afterLines="20" w:line="400" w:lineRule="exact"/>
        <w:ind w:left="993" w:firstLineChars="0"/>
        <w:rPr>
          <w:rFonts w:ascii="宋体" w:hAnsi="宋体"/>
          <w:szCs w:val="22"/>
        </w:rPr>
      </w:pPr>
      <w:r>
        <w:rPr>
          <w:rFonts w:hint="eastAsia" w:ascii="宋体" w:hAnsi="宋体"/>
          <w:szCs w:val="22"/>
        </w:rPr>
        <w:t>阀门的壳体试验按GB/T 13927的规定，密封实验按GB/T 13927的规定。</w:t>
      </w:r>
    </w:p>
    <w:p>
      <w:pPr>
        <w:pStyle w:val="1156"/>
        <w:numPr>
          <w:ilvl w:val="0"/>
          <w:numId w:val="60"/>
        </w:numPr>
        <w:snapToGrid w:val="0"/>
        <w:spacing w:before="81" w:beforeLines="20" w:after="81" w:afterLines="20" w:line="400" w:lineRule="exact"/>
        <w:ind w:left="993" w:firstLineChars="0"/>
        <w:rPr>
          <w:rFonts w:ascii="宋体" w:hAnsi="宋体"/>
          <w:szCs w:val="22"/>
        </w:rPr>
      </w:pPr>
      <w:r>
        <w:rPr>
          <w:rFonts w:hint="eastAsia" w:ascii="宋体" w:hAnsi="宋体"/>
          <w:szCs w:val="22"/>
        </w:rPr>
        <w:t>买方有权参与卖方的设备的出厂前试验，卖方提供出厂试验报告。</w:t>
      </w:r>
    </w:p>
    <w:p>
      <w:pPr>
        <w:pStyle w:val="1156"/>
        <w:numPr>
          <w:ilvl w:val="0"/>
          <w:numId w:val="60"/>
        </w:numPr>
        <w:snapToGrid w:val="0"/>
        <w:spacing w:before="81" w:beforeLines="20" w:after="81" w:afterLines="20" w:line="400" w:lineRule="exact"/>
        <w:ind w:left="993" w:firstLineChars="0"/>
        <w:rPr>
          <w:rFonts w:ascii="宋体" w:hAnsi="宋体"/>
          <w:szCs w:val="22"/>
        </w:rPr>
      </w:pPr>
      <w:r>
        <w:rPr>
          <w:rFonts w:hint="eastAsia" w:ascii="宋体" w:hAnsi="宋体"/>
          <w:szCs w:val="22"/>
        </w:rPr>
        <w:t>阀门的启闭试验不少于3次。阀门的密封实验试压压力为1.1倍公称压力，阀门的壳体试验压力为1.5倍公称压力。历时不少于5分钟。</w:t>
      </w:r>
    </w:p>
    <w:p>
      <w:pPr>
        <w:keepNext/>
        <w:adjustRightInd w:val="0"/>
        <w:snapToGrid w:val="0"/>
        <w:spacing w:before="203" w:beforeLines="50" w:after="203" w:afterLines="50"/>
        <w:outlineLvl w:val="2"/>
        <w:rPr>
          <w:rFonts w:ascii="宋体" w:hAnsi="宋体" w:cs="楷体"/>
          <w:b/>
        </w:rPr>
      </w:pPr>
      <w:bookmarkStart w:id="6383" w:name="_Toc106883628"/>
      <w:r>
        <w:rPr>
          <w:rFonts w:hint="eastAsia" w:ascii="宋体" w:hAnsi="宋体" w:cs="楷体"/>
          <w:b/>
        </w:rPr>
        <w:t>8.4.4详细说明</w:t>
      </w:r>
      <w:bookmarkEnd w:id="6383"/>
    </w:p>
    <w:p>
      <w:pPr>
        <w:snapToGrid w:val="0"/>
        <w:spacing w:before="81" w:beforeLines="20" w:after="81" w:afterLines="20" w:line="400" w:lineRule="exact"/>
        <w:ind w:firstLine="561"/>
        <w:rPr>
          <w:rFonts w:ascii="宋体" w:hAnsi="宋体"/>
        </w:rPr>
      </w:pPr>
      <w:r>
        <w:rPr>
          <w:rFonts w:hint="eastAsia" w:ascii="宋体" w:hAnsi="宋体"/>
        </w:rPr>
        <w:t>（1）参数要求</w:t>
      </w:r>
    </w:p>
    <w:p>
      <w:pPr>
        <w:snapToGrid w:val="0"/>
        <w:spacing w:before="81" w:beforeLines="20" w:after="81" w:afterLines="20" w:line="400" w:lineRule="exact"/>
        <w:ind w:firstLine="561"/>
        <w:rPr>
          <w:rFonts w:ascii="宋体" w:hAnsi="宋体"/>
        </w:rPr>
      </w:pPr>
      <w:r>
        <w:rPr>
          <w:rFonts w:hint="eastAsia" w:ascii="宋体" w:hAnsi="宋体"/>
        </w:rPr>
        <w:t>公称直径(mm)</w:t>
      </w:r>
      <w:r>
        <w:rPr>
          <w:rFonts w:hint="eastAsia" w:ascii="宋体" w:hAnsi="宋体"/>
        </w:rPr>
        <w:tab/>
      </w:r>
      <w:r>
        <w:rPr>
          <w:rFonts w:hint="eastAsia" w:ascii="宋体" w:hAnsi="宋体"/>
        </w:rPr>
        <w:tab/>
      </w:r>
      <w:r>
        <w:rPr>
          <w:rFonts w:hint="eastAsia" w:ascii="宋体" w:hAnsi="宋体"/>
        </w:rPr>
        <w:t>DN200</w:t>
      </w:r>
    </w:p>
    <w:p>
      <w:pPr>
        <w:snapToGrid w:val="0"/>
        <w:spacing w:before="81" w:beforeLines="20" w:after="81" w:afterLines="20" w:line="400" w:lineRule="exact"/>
        <w:ind w:firstLine="561"/>
        <w:rPr>
          <w:rFonts w:ascii="宋体" w:hAnsi="宋体"/>
        </w:rPr>
      </w:pPr>
      <w:r>
        <w:rPr>
          <w:rFonts w:hint="eastAsia" w:ascii="宋体" w:hAnsi="宋体"/>
        </w:rPr>
        <w:t>公称压力：</w:t>
      </w:r>
      <w:r>
        <w:rPr>
          <w:rFonts w:hint="eastAsia" w:ascii="宋体" w:hAnsi="宋体"/>
        </w:rPr>
        <w:tab/>
      </w:r>
      <w:r>
        <w:rPr>
          <w:rFonts w:hint="eastAsia" w:ascii="宋体" w:hAnsi="宋体"/>
        </w:rPr>
        <w:tab/>
      </w:r>
      <w:r>
        <w:rPr>
          <w:rFonts w:hint="eastAsia" w:ascii="宋体" w:hAnsi="宋体"/>
        </w:rPr>
        <w:t>1.0MPa</w:t>
      </w:r>
    </w:p>
    <w:p>
      <w:pPr>
        <w:snapToGrid w:val="0"/>
        <w:spacing w:before="81" w:beforeLines="20" w:after="81" w:afterLines="20" w:line="400" w:lineRule="exact"/>
        <w:ind w:firstLine="561"/>
        <w:rPr>
          <w:rFonts w:ascii="宋体" w:hAnsi="宋体"/>
        </w:rPr>
      </w:pPr>
      <w:r>
        <w:rPr>
          <w:rFonts w:hint="eastAsia" w:ascii="宋体" w:hAnsi="宋体"/>
        </w:rPr>
        <w:t>启闭动作压力：</w:t>
      </w:r>
      <w:r>
        <w:rPr>
          <w:rFonts w:hint="eastAsia" w:ascii="宋体" w:hAnsi="宋体"/>
        </w:rPr>
        <w:tab/>
      </w:r>
      <w:r>
        <w:rPr>
          <w:rFonts w:hint="eastAsia" w:ascii="宋体" w:hAnsi="宋体"/>
        </w:rPr>
        <w:t>0.10MPa</w:t>
      </w:r>
    </w:p>
    <w:p>
      <w:pPr>
        <w:snapToGrid w:val="0"/>
        <w:spacing w:before="81" w:beforeLines="20" w:after="81" w:afterLines="20" w:line="400" w:lineRule="exact"/>
        <w:ind w:firstLine="561"/>
        <w:rPr>
          <w:rFonts w:ascii="宋体" w:hAnsi="宋体"/>
        </w:rPr>
      </w:pPr>
      <w:r>
        <w:rPr>
          <w:rFonts w:hint="eastAsia" w:ascii="宋体" w:hAnsi="宋体"/>
        </w:rPr>
        <w:t>连接方式：</w:t>
      </w:r>
      <w:r>
        <w:rPr>
          <w:rFonts w:hint="eastAsia" w:ascii="宋体" w:hAnsi="宋体"/>
        </w:rPr>
        <w:tab/>
      </w:r>
      <w:r>
        <w:rPr>
          <w:rFonts w:hint="eastAsia" w:ascii="宋体" w:hAnsi="宋体"/>
        </w:rPr>
        <w:tab/>
      </w:r>
      <w:r>
        <w:rPr>
          <w:rFonts w:hint="eastAsia" w:ascii="宋体" w:hAnsi="宋体"/>
        </w:rPr>
        <w:t>法兰连接</w:t>
      </w:r>
    </w:p>
    <w:p>
      <w:pPr>
        <w:snapToGrid w:val="0"/>
        <w:spacing w:before="81" w:beforeLines="20" w:after="81" w:afterLines="20" w:line="400" w:lineRule="exact"/>
        <w:ind w:firstLine="561"/>
        <w:rPr>
          <w:rFonts w:ascii="宋体" w:hAnsi="宋体"/>
        </w:rPr>
      </w:pPr>
      <w:r>
        <w:rPr>
          <w:rFonts w:hint="eastAsia" w:ascii="宋体" w:hAnsi="宋体"/>
        </w:rPr>
        <w:t>适用介质：水、含泥水  工作温度≤40℃  pH=6~9</w:t>
      </w:r>
    </w:p>
    <w:p>
      <w:pPr>
        <w:snapToGrid w:val="0"/>
        <w:spacing w:before="81" w:beforeLines="20" w:after="81" w:afterLines="20" w:line="400" w:lineRule="exact"/>
        <w:ind w:firstLine="561"/>
        <w:rPr>
          <w:rFonts w:ascii="宋体" w:hAnsi="宋体"/>
        </w:rPr>
      </w:pPr>
      <w:r>
        <w:rPr>
          <w:rFonts w:hint="eastAsia" w:ascii="宋体" w:hAnsi="宋体"/>
        </w:rPr>
        <w:t>膜片性能：疲劳弯曲120万次无破损。</w:t>
      </w:r>
    </w:p>
    <w:p>
      <w:pPr>
        <w:snapToGrid w:val="0"/>
        <w:spacing w:before="81" w:beforeLines="20" w:after="81" w:afterLines="20" w:line="400" w:lineRule="exact"/>
        <w:ind w:firstLine="561"/>
        <w:rPr>
          <w:rFonts w:ascii="宋体" w:hAnsi="宋体"/>
        </w:rPr>
      </w:pPr>
      <w:r>
        <w:rPr>
          <w:rFonts w:hint="eastAsia" w:ascii="宋体" w:hAnsi="宋体"/>
        </w:rPr>
        <w:t>（2）电磁阀（常闭）</w:t>
      </w:r>
    </w:p>
    <w:p>
      <w:pPr>
        <w:snapToGrid w:val="0"/>
        <w:spacing w:before="81" w:beforeLines="20" w:after="81" w:afterLines="20" w:line="400" w:lineRule="exact"/>
        <w:ind w:firstLine="561"/>
        <w:rPr>
          <w:rFonts w:ascii="宋体" w:hAnsi="宋体"/>
        </w:rPr>
      </w:pPr>
      <w:r>
        <w:rPr>
          <w:rFonts w:hint="eastAsia" w:ascii="宋体" w:hAnsi="宋体"/>
        </w:rPr>
        <w:t>电源：AC220V、DC24V   功率14W</w:t>
      </w:r>
    </w:p>
    <w:p>
      <w:pPr>
        <w:snapToGrid w:val="0"/>
        <w:spacing w:before="81" w:beforeLines="20" w:after="81" w:afterLines="20" w:line="400" w:lineRule="exact"/>
        <w:ind w:firstLine="561"/>
        <w:rPr>
          <w:rFonts w:ascii="宋体" w:hAnsi="宋体"/>
        </w:rPr>
      </w:pPr>
      <w:r>
        <w:rPr>
          <w:rFonts w:hint="eastAsia" w:ascii="宋体" w:hAnsi="宋体"/>
        </w:rPr>
        <w:t>防护等级：不低于IP67  绝缘等级：不低于F级</w:t>
      </w:r>
    </w:p>
    <w:p>
      <w:pPr>
        <w:snapToGrid w:val="0"/>
        <w:spacing w:before="81" w:beforeLines="20" w:after="81" w:afterLines="20" w:line="400" w:lineRule="exact"/>
        <w:ind w:firstLine="561"/>
        <w:rPr>
          <w:rFonts w:ascii="宋体" w:hAnsi="宋体"/>
        </w:rPr>
      </w:pPr>
      <w:r>
        <w:rPr>
          <w:rFonts w:ascii="宋体" w:hAnsi="宋体"/>
        </w:rPr>
        <w:t>主要部件材质</w:t>
      </w:r>
    </w:p>
    <w:tbl>
      <w:tblPr>
        <w:tblStyle w:val="77"/>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340"/>
        <w:gridCol w:w="5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0" w:type="dxa"/>
            <w:tcBorders>
              <w:bottom w:val="single" w:color="auto" w:sz="4" w:space="0"/>
            </w:tcBorders>
            <w:vAlign w:val="center"/>
          </w:tcPr>
          <w:p>
            <w:pPr>
              <w:snapToGrid w:val="0"/>
              <w:spacing w:before="20" w:beforeLines="5" w:after="20" w:afterLines="5" w:line="360" w:lineRule="exact"/>
              <w:jc w:val="center"/>
              <w:rPr>
                <w:rFonts w:ascii="宋体" w:hAnsi="宋体"/>
              </w:rPr>
            </w:pPr>
            <w:r>
              <w:rPr>
                <w:rFonts w:ascii="宋体" w:hAnsi="宋体"/>
              </w:rPr>
              <w:t>序 号</w:t>
            </w:r>
          </w:p>
        </w:tc>
        <w:tc>
          <w:tcPr>
            <w:tcW w:w="2340" w:type="dxa"/>
            <w:tcBorders>
              <w:bottom w:val="single" w:color="auto" w:sz="4" w:space="0"/>
            </w:tcBorders>
            <w:vAlign w:val="center"/>
          </w:tcPr>
          <w:p>
            <w:pPr>
              <w:snapToGrid w:val="0"/>
              <w:spacing w:before="20" w:beforeLines="5" w:after="20" w:afterLines="5" w:line="360" w:lineRule="exact"/>
              <w:rPr>
                <w:rFonts w:ascii="宋体" w:hAnsi="宋体"/>
              </w:rPr>
            </w:pPr>
            <w:r>
              <w:rPr>
                <w:rFonts w:ascii="宋体" w:hAnsi="宋体"/>
              </w:rPr>
              <w:t>名 称</w:t>
            </w:r>
          </w:p>
        </w:tc>
        <w:tc>
          <w:tcPr>
            <w:tcW w:w="5526" w:type="dxa"/>
            <w:tcBorders>
              <w:bottom w:val="single" w:color="auto" w:sz="4" w:space="0"/>
            </w:tcBorders>
            <w:vAlign w:val="center"/>
          </w:tcPr>
          <w:p>
            <w:pPr>
              <w:snapToGrid w:val="0"/>
              <w:spacing w:before="20" w:beforeLines="5" w:after="20" w:afterLines="5" w:line="360" w:lineRule="exact"/>
              <w:rPr>
                <w:rFonts w:ascii="宋体" w:hAnsi="宋体"/>
              </w:rPr>
            </w:pPr>
            <w:r>
              <w:rPr>
                <w:rFonts w:ascii="宋体" w:hAnsi="宋体"/>
              </w:rPr>
              <w:t>材  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0" w:type="dxa"/>
            <w:vAlign w:val="center"/>
          </w:tcPr>
          <w:p>
            <w:pPr>
              <w:snapToGrid w:val="0"/>
              <w:spacing w:before="20" w:beforeLines="5" w:after="20" w:afterLines="5" w:line="360" w:lineRule="exact"/>
              <w:jc w:val="center"/>
              <w:rPr>
                <w:rFonts w:ascii="宋体" w:hAnsi="宋体"/>
              </w:rPr>
            </w:pPr>
            <w:r>
              <w:rPr>
                <w:rFonts w:ascii="宋体" w:hAnsi="宋体"/>
              </w:rPr>
              <w:t>1</w:t>
            </w:r>
          </w:p>
        </w:tc>
        <w:tc>
          <w:tcPr>
            <w:tcW w:w="2340" w:type="dxa"/>
            <w:vAlign w:val="center"/>
          </w:tcPr>
          <w:p>
            <w:pPr>
              <w:snapToGrid w:val="0"/>
              <w:spacing w:before="20" w:beforeLines="5" w:after="20" w:afterLines="5" w:line="360" w:lineRule="exact"/>
              <w:rPr>
                <w:rFonts w:ascii="宋体" w:hAnsi="宋体"/>
              </w:rPr>
            </w:pPr>
            <w:r>
              <w:rPr>
                <w:rFonts w:ascii="宋体" w:hAnsi="宋体"/>
              </w:rPr>
              <w:t>阀    体</w:t>
            </w:r>
          </w:p>
        </w:tc>
        <w:tc>
          <w:tcPr>
            <w:tcW w:w="5526" w:type="dxa"/>
            <w:vAlign w:val="center"/>
          </w:tcPr>
          <w:p>
            <w:pPr>
              <w:snapToGrid w:val="0"/>
              <w:spacing w:before="20" w:beforeLines="5" w:after="20" w:afterLines="5" w:line="360" w:lineRule="exact"/>
              <w:rPr>
                <w:rFonts w:ascii="宋体" w:hAnsi="宋体"/>
              </w:rPr>
            </w:pPr>
            <w:r>
              <w:rPr>
                <w:rFonts w:ascii="宋体" w:hAnsi="宋体"/>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0" w:type="dxa"/>
            <w:vAlign w:val="center"/>
          </w:tcPr>
          <w:p>
            <w:pPr>
              <w:snapToGrid w:val="0"/>
              <w:spacing w:before="20" w:beforeLines="5" w:after="20" w:afterLines="5" w:line="360" w:lineRule="exact"/>
              <w:jc w:val="center"/>
              <w:rPr>
                <w:rFonts w:ascii="宋体" w:hAnsi="宋体"/>
              </w:rPr>
            </w:pPr>
            <w:r>
              <w:rPr>
                <w:rFonts w:ascii="宋体" w:hAnsi="宋体"/>
              </w:rPr>
              <w:t>2</w:t>
            </w:r>
          </w:p>
        </w:tc>
        <w:tc>
          <w:tcPr>
            <w:tcW w:w="2340" w:type="dxa"/>
            <w:vAlign w:val="center"/>
          </w:tcPr>
          <w:p>
            <w:pPr>
              <w:snapToGrid w:val="0"/>
              <w:spacing w:before="20" w:beforeLines="5" w:after="20" w:afterLines="5" w:line="360" w:lineRule="exact"/>
              <w:rPr>
                <w:rFonts w:ascii="宋体" w:hAnsi="宋体"/>
              </w:rPr>
            </w:pPr>
            <w:r>
              <w:rPr>
                <w:rFonts w:ascii="宋体" w:hAnsi="宋体"/>
              </w:rPr>
              <w:t>阀    盖</w:t>
            </w:r>
          </w:p>
        </w:tc>
        <w:tc>
          <w:tcPr>
            <w:tcW w:w="5526" w:type="dxa"/>
            <w:vAlign w:val="center"/>
          </w:tcPr>
          <w:p>
            <w:pPr>
              <w:snapToGrid w:val="0"/>
              <w:spacing w:before="20" w:beforeLines="5" w:after="20" w:afterLines="5" w:line="360" w:lineRule="exact"/>
              <w:rPr>
                <w:rFonts w:ascii="宋体" w:hAnsi="宋体"/>
              </w:rPr>
            </w:pPr>
            <w:r>
              <w:rPr>
                <w:rFonts w:ascii="宋体" w:hAnsi="宋体"/>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0" w:type="dxa"/>
            <w:vAlign w:val="center"/>
          </w:tcPr>
          <w:p>
            <w:pPr>
              <w:snapToGrid w:val="0"/>
              <w:spacing w:before="20" w:beforeLines="5" w:after="20" w:afterLines="5" w:line="360" w:lineRule="exact"/>
              <w:jc w:val="center"/>
              <w:rPr>
                <w:rFonts w:ascii="宋体" w:hAnsi="宋体"/>
              </w:rPr>
            </w:pPr>
            <w:r>
              <w:rPr>
                <w:rFonts w:ascii="宋体" w:hAnsi="宋体"/>
              </w:rPr>
              <w:t>3</w:t>
            </w:r>
          </w:p>
        </w:tc>
        <w:tc>
          <w:tcPr>
            <w:tcW w:w="2340" w:type="dxa"/>
            <w:vAlign w:val="center"/>
          </w:tcPr>
          <w:p>
            <w:pPr>
              <w:snapToGrid w:val="0"/>
              <w:spacing w:before="20" w:beforeLines="5" w:after="20" w:afterLines="5" w:line="360" w:lineRule="exact"/>
              <w:rPr>
                <w:rFonts w:ascii="宋体" w:hAnsi="宋体"/>
              </w:rPr>
            </w:pPr>
            <w:r>
              <w:rPr>
                <w:rFonts w:ascii="宋体" w:hAnsi="宋体"/>
              </w:rPr>
              <w:t>阀    杆</w:t>
            </w:r>
          </w:p>
        </w:tc>
        <w:tc>
          <w:tcPr>
            <w:tcW w:w="5526" w:type="dxa"/>
            <w:vAlign w:val="center"/>
          </w:tcPr>
          <w:p>
            <w:pPr>
              <w:snapToGrid w:val="0"/>
              <w:spacing w:before="20" w:beforeLines="5" w:after="20" w:afterLines="5" w:line="360" w:lineRule="exact"/>
              <w:rPr>
                <w:rFonts w:ascii="宋体" w:hAnsi="宋体"/>
              </w:rPr>
            </w:pPr>
            <w:r>
              <w:rPr>
                <w:rFonts w:ascii="宋体" w:hAnsi="宋体"/>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0" w:type="dxa"/>
            <w:vAlign w:val="center"/>
          </w:tcPr>
          <w:p>
            <w:pPr>
              <w:snapToGrid w:val="0"/>
              <w:spacing w:before="20" w:beforeLines="5" w:after="20" w:afterLines="5" w:line="360" w:lineRule="exact"/>
              <w:jc w:val="center"/>
              <w:rPr>
                <w:rFonts w:ascii="宋体" w:hAnsi="宋体"/>
              </w:rPr>
            </w:pPr>
            <w:r>
              <w:rPr>
                <w:rFonts w:ascii="宋体" w:hAnsi="宋体"/>
              </w:rPr>
              <w:t>4</w:t>
            </w:r>
          </w:p>
        </w:tc>
        <w:tc>
          <w:tcPr>
            <w:tcW w:w="2340" w:type="dxa"/>
            <w:vAlign w:val="center"/>
          </w:tcPr>
          <w:p>
            <w:pPr>
              <w:snapToGrid w:val="0"/>
              <w:spacing w:before="20" w:beforeLines="5" w:after="20" w:afterLines="5" w:line="360" w:lineRule="exact"/>
              <w:rPr>
                <w:rFonts w:ascii="宋体" w:hAnsi="宋体"/>
              </w:rPr>
            </w:pPr>
            <w:r>
              <w:rPr>
                <w:rFonts w:ascii="宋体" w:hAnsi="宋体"/>
              </w:rPr>
              <w:t>膜    片</w:t>
            </w:r>
          </w:p>
        </w:tc>
        <w:tc>
          <w:tcPr>
            <w:tcW w:w="5526" w:type="dxa"/>
            <w:vAlign w:val="center"/>
          </w:tcPr>
          <w:p>
            <w:pPr>
              <w:snapToGrid w:val="0"/>
              <w:spacing w:before="20" w:beforeLines="5" w:after="20" w:afterLines="5" w:line="360" w:lineRule="exact"/>
              <w:rPr>
                <w:rFonts w:ascii="宋体" w:hAnsi="宋体"/>
              </w:rPr>
            </w:pPr>
            <w:r>
              <w:rPr>
                <w:rFonts w:ascii="宋体" w:hAnsi="宋体"/>
              </w:rPr>
              <w:t>尼龙强化橡胶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0" w:type="dxa"/>
            <w:vAlign w:val="center"/>
          </w:tcPr>
          <w:p>
            <w:pPr>
              <w:snapToGrid w:val="0"/>
              <w:spacing w:before="20" w:beforeLines="5" w:after="20" w:afterLines="5" w:line="360" w:lineRule="exact"/>
              <w:jc w:val="center"/>
              <w:rPr>
                <w:rFonts w:ascii="宋体" w:hAnsi="宋体"/>
              </w:rPr>
            </w:pPr>
            <w:r>
              <w:rPr>
                <w:rFonts w:ascii="宋体" w:hAnsi="宋体"/>
              </w:rPr>
              <w:t>5</w:t>
            </w:r>
          </w:p>
        </w:tc>
        <w:tc>
          <w:tcPr>
            <w:tcW w:w="2340" w:type="dxa"/>
            <w:vAlign w:val="center"/>
          </w:tcPr>
          <w:p>
            <w:pPr>
              <w:snapToGrid w:val="0"/>
              <w:spacing w:before="20" w:beforeLines="5" w:after="20" w:afterLines="5" w:line="360" w:lineRule="exact"/>
              <w:rPr>
                <w:rFonts w:ascii="宋体" w:hAnsi="宋体"/>
              </w:rPr>
            </w:pPr>
            <w:r>
              <w:rPr>
                <w:rFonts w:ascii="宋体" w:hAnsi="宋体"/>
              </w:rPr>
              <w:t>膜片压板、阀盘</w:t>
            </w:r>
          </w:p>
        </w:tc>
        <w:tc>
          <w:tcPr>
            <w:tcW w:w="5526" w:type="dxa"/>
            <w:vAlign w:val="center"/>
          </w:tcPr>
          <w:p>
            <w:pPr>
              <w:snapToGrid w:val="0"/>
              <w:spacing w:before="20" w:beforeLines="5" w:after="20" w:afterLines="5" w:line="360" w:lineRule="exact"/>
              <w:rPr>
                <w:rFonts w:ascii="宋体" w:hAnsi="宋体"/>
              </w:rPr>
            </w:pPr>
            <w:r>
              <w:rPr>
                <w:rFonts w:ascii="宋体" w:hAnsi="宋体"/>
              </w:rPr>
              <w:t>青铜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0" w:type="dxa"/>
            <w:vAlign w:val="center"/>
          </w:tcPr>
          <w:p>
            <w:pPr>
              <w:snapToGrid w:val="0"/>
              <w:spacing w:before="20" w:beforeLines="5" w:after="20" w:afterLines="5" w:line="360" w:lineRule="exact"/>
              <w:jc w:val="center"/>
              <w:rPr>
                <w:rFonts w:ascii="宋体" w:hAnsi="宋体"/>
              </w:rPr>
            </w:pPr>
            <w:r>
              <w:rPr>
                <w:rFonts w:ascii="宋体" w:hAnsi="宋体"/>
              </w:rPr>
              <w:t>6</w:t>
            </w:r>
          </w:p>
        </w:tc>
        <w:tc>
          <w:tcPr>
            <w:tcW w:w="2340" w:type="dxa"/>
            <w:vAlign w:val="center"/>
          </w:tcPr>
          <w:p>
            <w:pPr>
              <w:snapToGrid w:val="0"/>
              <w:spacing w:before="20" w:beforeLines="5" w:after="20" w:afterLines="5" w:line="360" w:lineRule="exact"/>
              <w:rPr>
                <w:rFonts w:ascii="宋体" w:hAnsi="宋体"/>
              </w:rPr>
            </w:pPr>
            <w:r>
              <w:rPr>
                <w:rFonts w:ascii="宋体" w:hAnsi="宋体"/>
              </w:rPr>
              <w:t>弹    簧</w:t>
            </w:r>
          </w:p>
        </w:tc>
        <w:tc>
          <w:tcPr>
            <w:tcW w:w="5526" w:type="dxa"/>
            <w:vAlign w:val="center"/>
          </w:tcPr>
          <w:p>
            <w:pPr>
              <w:snapToGrid w:val="0"/>
              <w:spacing w:before="20" w:beforeLines="5" w:after="20" w:afterLines="5" w:line="360" w:lineRule="exact"/>
              <w:rPr>
                <w:rFonts w:ascii="宋体" w:hAnsi="宋体"/>
              </w:rPr>
            </w:pPr>
            <w:r>
              <w:rPr>
                <w:rFonts w:ascii="宋体" w:hAnsi="宋体"/>
              </w:rPr>
              <w:t>不锈钢</w:t>
            </w:r>
          </w:p>
        </w:tc>
      </w:tr>
    </w:tbl>
    <w:p>
      <w:pPr>
        <w:keepNext/>
        <w:adjustRightInd w:val="0"/>
        <w:snapToGrid w:val="0"/>
        <w:spacing w:before="203" w:beforeLines="50" w:after="203" w:afterLines="50"/>
        <w:outlineLvl w:val="1"/>
        <w:rPr>
          <w:rFonts w:ascii="宋体" w:hAnsi="宋体" w:cs="楷体"/>
          <w:b/>
        </w:rPr>
      </w:pPr>
      <w:bookmarkStart w:id="6384" w:name="_Toc106883629"/>
      <w:r>
        <w:rPr>
          <w:rFonts w:hint="eastAsia" w:ascii="宋体" w:hAnsi="宋体" w:cs="楷体"/>
          <w:b/>
        </w:rPr>
        <w:t>8.5多功能阀</w:t>
      </w:r>
      <w:bookmarkEnd w:id="6384"/>
    </w:p>
    <w:p>
      <w:pPr>
        <w:keepNext/>
        <w:adjustRightInd w:val="0"/>
        <w:snapToGrid w:val="0"/>
        <w:spacing w:before="203" w:beforeLines="50" w:after="203" w:afterLines="50"/>
        <w:outlineLvl w:val="2"/>
        <w:rPr>
          <w:rFonts w:ascii="宋体" w:hAnsi="宋体" w:cs="楷体"/>
          <w:b/>
        </w:rPr>
      </w:pPr>
      <w:bookmarkStart w:id="6385" w:name="_Toc106883630"/>
      <w:r>
        <w:rPr>
          <w:rFonts w:hint="eastAsia" w:ascii="宋体" w:hAnsi="宋体" w:cs="楷体"/>
          <w:b/>
        </w:rPr>
        <w:t>8.5.1概述</w:t>
      </w:r>
      <w:bookmarkEnd w:id="6385"/>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本工程使用的阀门有多功能阀，安装位置详见供货范围及图纸。</w:t>
      </w:r>
    </w:p>
    <w:p>
      <w:pPr>
        <w:keepNext/>
        <w:adjustRightInd w:val="0"/>
        <w:snapToGrid w:val="0"/>
        <w:spacing w:before="203" w:beforeLines="50" w:after="203" w:afterLines="50"/>
        <w:outlineLvl w:val="0"/>
        <w:rPr>
          <w:rFonts w:ascii="宋体" w:hAnsi="宋体" w:cs="楷体"/>
          <w:b/>
        </w:rPr>
      </w:pPr>
      <w:bookmarkStart w:id="6386" w:name="_Toc106883631"/>
      <w:r>
        <w:rPr>
          <w:rFonts w:hint="eastAsia" w:ascii="宋体" w:hAnsi="宋体" w:cs="楷体"/>
          <w:b/>
        </w:rPr>
        <w:t>8.5.2供货范围</w:t>
      </w:r>
      <w:bookmarkEnd w:id="6386"/>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工程量清单表中列出的各项设备成套、整体供货，即只需要在设备两端使用螺栓等即可与外部设备（外部设备指非本采购清单列出的设备）或管道连接。清单如下：</w:t>
      </w:r>
    </w:p>
    <w:tbl>
      <w:tblPr>
        <w:tblStyle w:val="77"/>
        <w:tblW w:w="5225" w:type="pct"/>
        <w:jc w:val="center"/>
        <w:tblLayout w:type="fixed"/>
        <w:tblCellMar>
          <w:top w:w="0" w:type="dxa"/>
          <w:left w:w="108" w:type="dxa"/>
          <w:bottom w:w="0" w:type="dxa"/>
          <w:right w:w="108" w:type="dxa"/>
        </w:tblCellMar>
      </w:tblPr>
      <w:tblGrid>
        <w:gridCol w:w="810"/>
        <w:gridCol w:w="1279"/>
        <w:gridCol w:w="1465"/>
        <w:gridCol w:w="1161"/>
        <w:gridCol w:w="869"/>
        <w:gridCol w:w="807"/>
        <w:gridCol w:w="1380"/>
        <w:gridCol w:w="1341"/>
      </w:tblGrid>
      <w:tr>
        <w:tblPrEx>
          <w:tblCellMar>
            <w:top w:w="0" w:type="dxa"/>
            <w:left w:w="108" w:type="dxa"/>
            <w:bottom w:w="0" w:type="dxa"/>
            <w:right w:w="108" w:type="dxa"/>
          </w:tblCellMar>
        </w:tblPrEx>
        <w:trPr>
          <w:cantSplit/>
          <w:trHeight w:val="227" w:hRule="atLeast"/>
          <w:tblHeader/>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规格参数</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材质</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安装位置</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cantSplit/>
          <w:trHeight w:val="227" w:hRule="atLeast"/>
          <w:tblHeader/>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1</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多功能阀</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反冲泵房</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水泵出水</w:t>
            </w:r>
          </w:p>
        </w:tc>
      </w:tr>
    </w:tbl>
    <w:p>
      <w:pPr>
        <w:keepNext/>
        <w:adjustRightInd w:val="0"/>
        <w:snapToGrid w:val="0"/>
        <w:spacing w:before="203" w:beforeLines="50" w:after="203" w:afterLines="50"/>
        <w:outlineLvl w:val="2"/>
        <w:rPr>
          <w:rFonts w:ascii="宋体" w:hAnsi="宋体" w:cs="楷体"/>
          <w:b/>
        </w:rPr>
      </w:pPr>
      <w:bookmarkStart w:id="6387" w:name="_Toc106883632"/>
      <w:r>
        <w:rPr>
          <w:rFonts w:hint="eastAsia" w:ascii="宋体" w:hAnsi="宋体" w:cs="楷体"/>
          <w:b/>
        </w:rPr>
        <w:t>8.5.3基本要求</w:t>
      </w:r>
      <w:bookmarkEnd w:id="6387"/>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多功能水泵控制阀安装在水泵出水管上，与水泵联锁自动控制，具有电动阀、止回阀和水锤消除器三种设备的功能。内设主阀板与缓闭阀板双阀板，有效消除水锤，将速闭、缓闭和吸纳三种消除水锤的方式结合在一起。膜片性能要求疲劳弯曲120万次无破损。</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1、速闭过程:停泵时主阀板在正向水流逐渐降为零之前迅速关闭。减少大量返流水的产生，主阀板上设泄流孔，允许一小部份水流通过主阀板返回。</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2、缓闭过程：停泵时在主阀板的前后形成压力差，出口端的压力高于进口端的压力，出口端的压力水通过旁通管进入控制室的上腔，推动膜片压板的阀杆、缓闭阀板一起向下移动，缓慢地将主阀板上的泄流孔关闭。</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3、吸纳过程：压力水推动膜片压板向下移动的过程中，膜片控制室上腔的容积在不断增加，可以吸纳一部份返回流水。</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三种有效消除水锤的方式有机的结合在一起，无论水泵正常停机还是事故停机时，水泵控制阀在水泵停机时3秒内快速关闭约90%开度，剩余的10%的开度可在120秒内（可调节）缓慢关闭，使消除水锤的效果达到最佳状态。</w:t>
      </w:r>
    </w:p>
    <w:p>
      <w:pPr>
        <w:keepNext/>
        <w:adjustRightInd w:val="0"/>
        <w:snapToGrid w:val="0"/>
        <w:spacing w:before="203" w:beforeLines="50" w:after="203" w:afterLines="50"/>
        <w:outlineLvl w:val="0"/>
        <w:rPr>
          <w:rFonts w:ascii="宋体" w:hAnsi="宋体" w:cs="楷体"/>
          <w:b/>
        </w:rPr>
      </w:pPr>
      <w:bookmarkStart w:id="6388" w:name="_Toc106883633"/>
      <w:r>
        <w:rPr>
          <w:rFonts w:hint="eastAsia" w:ascii="宋体" w:hAnsi="宋体" w:cs="楷体"/>
          <w:b/>
        </w:rPr>
        <w:t>8.5.4详细说明</w:t>
      </w:r>
      <w:bookmarkEnd w:id="6388"/>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（1）</w:t>
      </w:r>
      <w:r>
        <w:rPr>
          <w:rFonts w:ascii="宋体" w:hAnsi="宋体" w:cs="楷体"/>
        </w:rPr>
        <w:t>技术要求</w:t>
      </w:r>
    </w:p>
    <w:p>
      <w:pPr>
        <w:pStyle w:val="1156"/>
        <w:numPr>
          <w:ilvl w:val="1"/>
          <w:numId w:val="61"/>
        </w:numPr>
        <w:snapToGrid w:val="0"/>
        <w:spacing w:before="81" w:beforeLines="20" w:after="81" w:afterLines="20" w:line="400" w:lineRule="exact"/>
        <w:ind w:firstLineChars="0"/>
        <w:rPr>
          <w:rFonts w:ascii="宋体" w:hAnsi="宋体"/>
          <w:szCs w:val="22"/>
        </w:rPr>
      </w:pPr>
      <w:r>
        <w:rPr>
          <w:rFonts w:hint="eastAsia" w:ascii="宋体" w:hAnsi="宋体"/>
          <w:szCs w:val="22"/>
        </w:rPr>
        <w:t>启、闭运行应能与水泵联锁。</w:t>
      </w:r>
    </w:p>
    <w:p>
      <w:pPr>
        <w:pStyle w:val="1156"/>
        <w:numPr>
          <w:ilvl w:val="1"/>
          <w:numId w:val="61"/>
        </w:numPr>
        <w:snapToGrid w:val="0"/>
        <w:spacing w:before="81" w:beforeLines="20" w:after="81" w:afterLines="20" w:line="400" w:lineRule="exact"/>
        <w:ind w:firstLineChars="0"/>
        <w:rPr>
          <w:rFonts w:ascii="宋体" w:hAnsi="宋体"/>
          <w:szCs w:val="22"/>
        </w:rPr>
      </w:pPr>
      <w:r>
        <w:rPr>
          <w:rFonts w:hint="eastAsia" w:ascii="宋体" w:hAnsi="宋体"/>
          <w:szCs w:val="22"/>
        </w:rPr>
        <w:t>应具有水力自动控制，启泵时缓开、停泵时自动实现先快闭后缓闭的二阶段关闭功能，有效消除水锤。</w:t>
      </w:r>
    </w:p>
    <w:p>
      <w:pPr>
        <w:pStyle w:val="1156"/>
        <w:numPr>
          <w:ilvl w:val="1"/>
          <w:numId w:val="61"/>
        </w:numPr>
        <w:snapToGrid w:val="0"/>
        <w:spacing w:before="81" w:beforeLines="20" w:after="81" w:afterLines="20" w:line="400" w:lineRule="exact"/>
        <w:ind w:firstLineChars="0"/>
        <w:rPr>
          <w:rFonts w:ascii="宋体" w:hAnsi="宋体"/>
          <w:szCs w:val="22"/>
        </w:rPr>
      </w:pPr>
      <w:r>
        <w:rPr>
          <w:rFonts w:hint="eastAsia" w:ascii="宋体" w:hAnsi="宋体"/>
          <w:szCs w:val="22"/>
        </w:rPr>
        <w:t>启、闭运行最低动作压力：0.05MPa。</w:t>
      </w:r>
    </w:p>
    <w:p>
      <w:pPr>
        <w:pStyle w:val="1156"/>
        <w:numPr>
          <w:ilvl w:val="1"/>
          <w:numId w:val="61"/>
        </w:numPr>
        <w:snapToGrid w:val="0"/>
        <w:spacing w:before="81" w:beforeLines="20" w:after="81" w:afterLines="20" w:line="400" w:lineRule="exact"/>
        <w:ind w:firstLineChars="0"/>
        <w:rPr>
          <w:rFonts w:ascii="宋体" w:hAnsi="宋体"/>
          <w:szCs w:val="22"/>
        </w:rPr>
      </w:pPr>
      <w:r>
        <w:rPr>
          <w:rFonts w:hint="eastAsia" w:ascii="宋体" w:hAnsi="宋体"/>
          <w:szCs w:val="22"/>
        </w:rPr>
        <w:t>缓开时间3s～120s（可调），缓闭时间3s～120s（可调）。</w:t>
      </w:r>
    </w:p>
    <w:p>
      <w:pPr>
        <w:pStyle w:val="1156"/>
        <w:numPr>
          <w:ilvl w:val="1"/>
          <w:numId w:val="61"/>
        </w:numPr>
        <w:snapToGrid w:val="0"/>
        <w:spacing w:before="81" w:beforeLines="20" w:after="81" w:afterLines="20" w:line="400" w:lineRule="exact"/>
        <w:ind w:firstLineChars="0"/>
        <w:rPr>
          <w:rFonts w:ascii="宋体" w:hAnsi="宋体"/>
          <w:szCs w:val="22"/>
        </w:rPr>
      </w:pPr>
      <w:r>
        <w:rPr>
          <w:rFonts w:hint="eastAsia" w:ascii="宋体" w:hAnsi="宋体"/>
          <w:szCs w:val="22"/>
        </w:rPr>
        <w:t>水锤峰值：≤1.3倍水泵出口额定压力。</w:t>
      </w:r>
    </w:p>
    <w:p>
      <w:pPr>
        <w:pStyle w:val="1156"/>
        <w:numPr>
          <w:ilvl w:val="1"/>
          <w:numId w:val="61"/>
        </w:numPr>
        <w:snapToGrid w:val="0"/>
        <w:spacing w:before="81" w:beforeLines="20" w:after="81" w:afterLines="20" w:line="400" w:lineRule="exact"/>
        <w:ind w:firstLineChars="0"/>
        <w:rPr>
          <w:rFonts w:ascii="宋体" w:hAnsi="宋体"/>
          <w:szCs w:val="22"/>
        </w:rPr>
      </w:pPr>
      <w:r>
        <w:rPr>
          <w:rFonts w:hint="eastAsia" w:ascii="宋体" w:hAnsi="宋体"/>
          <w:szCs w:val="22"/>
        </w:rPr>
        <w:t>水泵最高反转速度：≤1.2倍水泵额定转速。</w:t>
      </w:r>
    </w:p>
    <w:p>
      <w:pPr>
        <w:pStyle w:val="1156"/>
        <w:numPr>
          <w:ilvl w:val="1"/>
          <w:numId w:val="61"/>
        </w:numPr>
        <w:snapToGrid w:val="0"/>
        <w:spacing w:before="81" w:beforeLines="20" w:after="81" w:afterLines="20" w:line="400" w:lineRule="exact"/>
        <w:ind w:firstLineChars="0"/>
        <w:rPr>
          <w:rFonts w:ascii="宋体" w:hAnsi="宋体"/>
          <w:szCs w:val="22"/>
        </w:rPr>
      </w:pPr>
      <w:r>
        <w:rPr>
          <w:rFonts w:hint="eastAsia" w:ascii="宋体" w:hAnsi="宋体"/>
          <w:szCs w:val="22"/>
        </w:rPr>
        <w:t>过阀水流阻力小，阻力损失比旋启式止回阀减少30％。</w:t>
      </w:r>
    </w:p>
    <w:p>
      <w:pPr>
        <w:pStyle w:val="1156"/>
        <w:numPr>
          <w:ilvl w:val="1"/>
          <w:numId w:val="61"/>
        </w:numPr>
        <w:snapToGrid w:val="0"/>
        <w:spacing w:before="81" w:beforeLines="20" w:after="81" w:afterLines="20" w:line="400" w:lineRule="exact"/>
        <w:ind w:firstLineChars="0"/>
        <w:rPr>
          <w:rFonts w:ascii="宋体" w:hAnsi="宋体"/>
          <w:szCs w:val="22"/>
        </w:rPr>
      </w:pPr>
      <w:r>
        <w:rPr>
          <w:rFonts w:hint="eastAsia" w:ascii="宋体" w:hAnsi="宋体"/>
          <w:szCs w:val="22"/>
        </w:rPr>
        <w:t>较大流速(2.5m</w:t>
      </w:r>
      <w:r>
        <w:rPr>
          <w:rFonts w:hint="eastAsia" w:ascii="宋体" w:hAnsi="宋体"/>
          <w:szCs w:val="22"/>
          <w:vertAlign w:val="superscript"/>
        </w:rPr>
        <w:t>3</w:t>
      </w:r>
      <w:r>
        <w:rPr>
          <w:rFonts w:hint="eastAsia" w:ascii="宋体" w:hAnsi="宋体"/>
          <w:szCs w:val="22"/>
        </w:rPr>
        <w:t>/s)时，阀门不产生震动现象。</w:t>
      </w:r>
    </w:p>
    <w:p>
      <w:pPr>
        <w:adjustRightInd w:val="0"/>
        <w:snapToGrid w:val="0"/>
        <w:spacing w:before="203" w:beforeLines="50" w:after="203" w:afterLines="50"/>
        <w:ind w:firstLine="500" w:firstLineChars="200"/>
        <w:rPr>
          <w:rFonts w:ascii="宋体" w:hAnsi="宋体" w:cs="楷体"/>
        </w:rPr>
      </w:pPr>
      <w:r>
        <w:rPr>
          <w:rFonts w:ascii="宋体" w:hAnsi="宋体" w:cs="楷体"/>
        </w:rPr>
        <w:t>2</w:t>
      </w:r>
      <w:r>
        <w:rPr>
          <w:rFonts w:hint="eastAsia" w:ascii="宋体" w:hAnsi="宋体" w:cs="楷体"/>
        </w:rPr>
        <w:t>、</w:t>
      </w:r>
      <w:r>
        <w:rPr>
          <w:rFonts w:ascii="宋体" w:hAnsi="宋体" w:cs="楷体"/>
        </w:rPr>
        <w:t>构造和材质</w:t>
      </w:r>
    </w:p>
    <w:p>
      <w:pPr>
        <w:snapToGrid w:val="0"/>
        <w:spacing w:before="81" w:beforeLines="20" w:after="81" w:afterLines="20" w:line="400" w:lineRule="exact"/>
        <w:ind w:firstLine="561"/>
        <w:rPr>
          <w:rFonts w:ascii="宋体" w:hAnsi="宋体"/>
          <w:szCs w:val="22"/>
        </w:rPr>
      </w:pPr>
      <w:r>
        <w:rPr>
          <w:rFonts w:hint="eastAsia" w:ascii="宋体" w:hAnsi="宋体"/>
          <w:szCs w:val="22"/>
        </w:rPr>
        <w:t>多功能水泵控制阀一般由阀体、膜片座、膜片、主阀体、缓闭阀板、衬套、阀杆、主阀板、缓闭阀板和控制管路系统等零部件组成。阀板由主阀板和缓闭阀板组成，缓闭阀板与主阀板的密封形式应采用金属密封，主阀板与阀板座的密封采用软硬组合式密封。</w:t>
      </w:r>
    </w:p>
    <w:p>
      <w:pPr>
        <w:snapToGrid w:val="0"/>
        <w:spacing w:before="81" w:beforeLines="20" w:after="81" w:afterLines="20" w:line="400" w:lineRule="exact"/>
        <w:ind w:firstLine="561"/>
        <w:rPr>
          <w:rFonts w:ascii="宋体" w:hAnsi="宋体"/>
          <w:szCs w:val="22"/>
        </w:rPr>
      </w:pPr>
      <w:r>
        <w:rPr>
          <w:rFonts w:hint="eastAsia" w:ascii="宋体" w:hAnsi="宋体"/>
          <w:szCs w:val="22"/>
        </w:rPr>
        <w:t>各部件材质如下：</w:t>
      </w:r>
    </w:p>
    <w:tbl>
      <w:tblPr>
        <w:tblStyle w:val="77"/>
        <w:tblW w:w="9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198"/>
        <w:gridCol w:w="5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trPr>
        <w:tc>
          <w:tcPr>
            <w:tcW w:w="828" w:type="dxa"/>
            <w:vAlign w:val="center"/>
          </w:tcPr>
          <w:p>
            <w:pPr>
              <w:snapToGrid w:val="0"/>
              <w:spacing w:before="20" w:beforeLines="5" w:after="20" w:afterLines="5" w:line="360" w:lineRule="atLeast"/>
              <w:jc w:val="center"/>
              <w:rPr>
                <w:rFonts w:ascii="宋体" w:hAnsi="宋体"/>
                <w:b/>
              </w:rPr>
            </w:pPr>
            <w:r>
              <w:rPr>
                <w:rFonts w:ascii="宋体" w:hAnsi="宋体"/>
                <w:b/>
              </w:rPr>
              <w:t>序号</w:t>
            </w:r>
          </w:p>
        </w:tc>
        <w:tc>
          <w:tcPr>
            <w:tcW w:w="3198" w:type="dxa"/>
            <w:vAlign w:val="center"/>
          </w:tcPr>
          <w:p>
            <w:pPr>
              <w:snapToGrid w:val="0"/>
              <w:spacing w:before="20" w:beforeLines="5" w:after="20" w:afterLines="5" w:line="360" w:lineRule="atLeast"/>
              <w:jc w:val="center"/>
              <w:rPr>
                <w:rFonts w:ascii="宋体" w:hAnsi="宋体"/>
                <w:b/>
              </w:rPr>
            </w:pPr>
            <w:r>
              <w:rPr>
                <w:rFonts w:ascii="宋体" w:hAnsi="宋体"/>
                <w:b/>
              </w:rPr>
              <w:t>名  称</w:t>
            </w:r>
          </w:p>
        </w:tc>
        <w:tc>
          <w:tcPr>
            <w:tcW w:w="5091" w:type="dxa"/>
            <w:vAlign w:val="center"/>
          </w:tcPr>
          <w:p>
            <w:pPr>
              <w:snapToGrid w:val="0"/>
              <w:spacing w:before="20" w:beforeLines="5" w:after="20" w:afterLines="5" w:line="360" w:lineRule="atLeast"/>
              <w:jc w:val="center"/>
              <w:rPr>
                <w:rFonts w:ascii="宋体" w:hAnsi="宋体"/>
                <w:b/>
              </w:rPr>
            </w:pPr>
            <w:r>
              <w:rPr>
                <w:rFonts w:ascii="宋体" w:hAnsi="宋体"/>
                <w:b/>
              </w:rPr>
              <w:t>材  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1</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阀   体</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铸钢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2</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阀   盖</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铸钢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3</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主阀板座</w:t>
            </w:r>
          </w:p>
        </w:tc>
        <w:tc>
          <w:tcPr>
            <w:tcW w:w="5091" w:type="dxa"/>
            <w:vAlign w:val="center"/>
          </w:tcPr>
          <w:p>
            <w:pPr>
              <w:snapToGrid w:val="0"/>
              <w:spacing w:before="20" w:beforeLines="5" w:after="20" w:afterLines="5" w:line="360" w:lineRule="atLeast"/>
              <w:jc w:val="center"/>
              <w:rPr>
                <w:rFonts w:ascii="宋体" w:hAnsi="宋体"/>
                <w:b/>
              </w:rPr>
            </w:pPr>
            <w:r>
              <w:rPr>
                <w:rFonts w:ascii="宋体" w:hAnsi="宋体"/>
              </w:rPr>
              <w:t>铜合金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4</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膜片座</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铸钢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5</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膜片压板</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铸钢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6</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主阀板</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铸钢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7</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膜片</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尼龙网+天然橡胶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8</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阀杆</w:t>
            </w:r>
          </w:p>
        </w:tc>
        <w:tc>
          <w:tcPr>
            <w:tcW w:w="5091" w:type="dxa"/>
            <w:vAlign w:val="center"/>
          </w:tcPr>
          <w:p>
            <w:pPr>
              <w:snapToGrid w:val="0"/>
              <w:spacing w:before="20" w:beforeLines="5" w:after="20" w:afterLines="5" w:line="360" w:lineRule="atLeast"/>
              <w:jc w:val="center"/>
              <w:rPr>
                <w:rFonts w:ascii="宋体" w:hAnsi="宋体"/>
                <w:b/>
              </w:rPr>
            </w:pPr>
            <w:r>
              <w:rPr>
                <w:rFonts w:ascii="宋体" w:hAnsi="宋体"/>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9</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衬套</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铜合金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10</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缓闭阀板</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11</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铜   套</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铜合金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12</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密封圈</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丁腈橡胶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28" w:type="dxa"/>
            <w:vAlign w:val="center"/>
          </w:tcPr>
          <w:p>
            <w:pPr>
              <w:snapToGrid w:val="0"/>
              <w:spacing w:before="20" w:beforeLines="5" w:after="20" w:afterLines="5" w:line="360" w:lineRule="atLeast"/>
              <w:jc w:val="center"/>
              <w:rPr>
                <w:rFonts w:ascii="宋体" w:hAnsi="宋体"/>
              </w:rPr>
            </w:pPr>
            <w:r>
              <w:rPr>
                <w:rFonts w:ascii="宋体" w:hAnsi="宋体"/>
              </w:rPr>
              <w:t>13</w:t>
            </w:r>
          </w:p>
        </w:tc>
        <w:tc>
          <w:tcPr>
            <w:tcW w:w="3198" w:type="dxa"/>
            <w:vAlign w:val="center"/>
          </w:tcPr>
          <w:p>
            <w:pPr>
              <w:snapToGrid w:val="0"/>
              <w:spacing w:before="20" w:beforeLines="5" w:after="20" w:afterLines="5" w:line="360" w:lineRule="atLeast"/>
              <w:jc w:val="center"/>
              <w:rPr>
                <w:rFonts w:ascii="宋体" w:hAnsi="宋体"/>
              </w:rPr>
            </w:pPr>
            <w:r>
              <w:rPr>
                <w:rFonts w:ascii="宋体" w:hAnsi="宋体"/>
              </w:rPr>
              <w:t>过滤器</w:t>
            </w:r>
          </w:p>
        </w:tc>
        <w:tc>
          <w:tcPr>
            <w:tcW w:w="5091" w:type="dxa"/>
            <w:vAlign w:val="center"/>
          </w:tcPr>
          <w:p>
            <w:pPr>
              <w:snapToGrid w:val="0"/>
              <w:spacing w:before="20" w:beforeLines="5" w:after="20" w:afterLines="5" w:line="360" w:lineRule="atLeast"/>
              <w:jc w:val="center"/>
              <w:rPr>
                <w:rFonts w:ascii="宋体" w:hAnsi="宋体"/>
              </w:rPr>
            </w:pPr>
            <w:r>
              <w:rPr>
                <w:rFonts w:ascii="宋体" w:hAnsi="宋体"/>
              </w:rPr>
              <w:t>铜合金</w:t>
            </w:r>
          </w:p>
        </w:tc>
      </w:tr>
    </w:tbl>
    <w:p>
      <w:pPr>
        <w:keepNext/>
        <w:adjustRightInd w:val="0"/>
        <w:snapToGrid w:val="0"/>
        <w:spacing w:before="203" w:beforeLines="50" w:after="203" w:afterLines="50"/>
        <w:outlineLvl w:val="1"/>
        <w:rPr>
          <w:rFonts w:ascii="宋体" w:hAnsi="宋体" w:cs="楷体"/>
          <w:b/>
        </w:rPr>
      </w:pPr>
      <w:bookmarkStart w:id="6389" w:name="_Toc106883634"/>
      <w:bookmarkStart w:id="6390" w:name="_Hlk100219258"/>
      <w:r>
        <w:rPr>
          <w:rFonts w:hint="eastAsia" w:ascii="宋体" w:hAnsi="宋体" w:cs="楷体"/>
          <w:b/>
        </w:rPr>
        <w:t>8.6调流调压阀</w:t>
      </w:r>
      <w:bookmarkEnd w:id="6389"/>
    </w:p>
    <w:p>
      <w:pPr>
        <w:keepNext/>
        <w:adjustRightInd w:val="0"/>
        <w:snapToGrid w:val="0"/>
        <w:spacing w:before="203" w:beforeLines="50" w:after="203" w:afterLines="50"/>
        <w:outlineLvl w:val="2"/>
        <w:rPr>
          <w:rFonts w:ascii="宋体" w:hAnsi="宋体" w:cs="楷体"/>
          <w:b/>
        </w:rPr>
      </w:pPr>
      <w:bookmarkStart w:id="6391" w:name="_Toc106883635"/>
      <w:r>
        <w:rPr>
          <w:rFonts w:hint="eastAsia" w:ascii="宋体" w:hAnsi="宋体" w:cs="楷体"/>
          <w:b/>
        </w:rPr>
        <w:t>8.6.1概述</w:t>
      </w:r>
      <w:bookmarkEnd w:id="6391"/>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本工程水源通过重力有压输送管路进水，受水库运行水位变化的影响在进入配水井前设置电动调流调压阀对进水水压进行调节。安装位置详见供货范围及图纸。</w:t>
      </w:r>
    </w:p>
    <w:p>
      <w:pPr>
        <w:keepNext/>
        <w:adjustRightInd w:val="0"/>
        <w:snapToGrid w:val="0"/>
        <w:spacing w:before="203" w:beforeLines="50" w:after="203" w:afterLines="50"/>
        <w:outlineLvl w:val="0"/>
        <w:rPr>
          <w:rFonts w:ascii="宋体" w:hAnsi="宋体" w:cs="楷体"/>
          <w:b/>
        </w:rPr>
      </w:pPr>
      <w:bookmarkStart w:id="6392" w:name="_Toc106883636"/>
      <w:r>
        <w:rPr>
          <w:rFonts w:hint="eastAsia" w:ascii="宋体" w:hAnsi="宋体" w:cs="楷体"/>
          <w:b/>
        </w:rPr>
        <w:t>8.6.2供货范围</w:t>
      </w:r>
      <w:bookmarkEnd w:id="6392"/>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工程量清单表中列出的各项设备成套、整体供货，即只需要在设备两端使用螺栓等即可与外部设备（外部设备指非本采购清单列出的设备）或管道连接。清单如下：</w:t>
      </w:r>
    </w:p>
    <w:tbl>
      <w:tblPr>
        <w:tblStyle w:val="77"/>
        <w:tblW w:w="5225" w:type="pct"/>
        <w:jc w:val="center"/>
        <w:tblLayout w:type="fixed"/>
        <w:tblCellMar>
          <w:top w:w="0" w:type="dxa"/>
          <w:left w:w="108" w:type="dxa"/>
          <w:bottom w:w="0" w:type="dxa"/>
          <w:right w:w="108" w:type="dxa"/>
        </w:tblCellMar>
      </w:tblPr>
      <w:tblGrid>
        <w:gridCol w:w="810"/>
        <w:gridCol w:w="1279"/>
        <w:gridCol w:w="1465"/>
        <w:gridCol w:w="1161"/>
        <w:gridCol w:w="869"/>
        <w:gridCol w:w="807"/>
        <w:gridCol w:w="1380"/>
        <w:gridCol w:w="1341"/>
      </w:tblGrid>
      <w:tr>
        <w:trPr>
          <w:cantSplit/>
          <w:trHeight w:val="227" w:hRule="atLeast"/>
          <w:tblHeader/>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规格参数</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材质</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安装位置</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cantSplit/>
          <w:trHeight w:val="227" w:hRule="atLeast"/>
          <w:tblHeader/>
          <w:jc w:val="center"/>
        </w:trPr>
        <w:tc>
          <w:tcPr>
            <w:tcW w:w="444"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rPr>
              <w:t>1</w:t>
            </w:r>
          </w:p>
        </w:tc>
        <w:tc>
          <w:tcPr>
            <w:tcW w:w="702"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rPr>
              <w:t>电动调流调压阀</w:t>
            </w:r>
          </w:p>
        </w:tc>
        <w:tc>
          <w:tcPr>
            <w:tcW w:w="804"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rPr>
              <w:t>DN600，1.0MPa</w:t>
            </w:r>
          </w:p>
        </w:tc>
        <w:tc>
          <w:tcPr>
            <w:tcW w:w="63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rPr>
              <w:t>成品</w:t>
            </w:r>
          </w:p>
        </w:tc>
        <w:tc>
          <w:tcPr>
            <w:tcW w:w="47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rPr>
              <w:t>个</w:t>
            </w:r>
          </w:p>
        </w:tc>
        <w:tc>
          <w:tcPr>
            <w:tcW w:w="443"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rPr>
              <w:t>1</w:t>
            </w:r>
          </w:p>
        </w:tc>
        <w:tc>
          <w:tcPr>
            <w:tcW w:w="75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rPr>
              <w:t>原水管线</w:t>
            </w:r>
          </w:p>
        </w:tc>
        <w:tc>
          <w:tcPr>
            <w:tcW w:w="736"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p>
        </w:tc>
      </w:tr>
    </w:tbl>
    <w:p>
      <w:pPr>
        <w:keepNext/>
        <w:adjustRightInd w:val="0"/>
        <w:snapToGrid w:val="0"/>
        <w:spacing w:before="203" w:beforeLines="50" w:after="203" w:afterLines="50"/>
        <w:outlineLvl w:val="2"/>
        <w:rPr>
          <w:rFonts w:ascii="宋体" w:hAnsi="宋体" w:cs="楷体"/>
          <w:b/>
        </w:rPr>
      </w:pPr>
      <w:bookmarkStart w:id="6393" w:name="_Toc106883637"/>
      <w:r>
        <w:rPr>
          <w:rFonts w:hint="eastAsia" w:ascii="宋体" w:hAnsi="宋体" w:cs="楷体"/>
          <w:b/>
        </w:rPr>
        <w:t>8.6.3技术要求</w:t>
      </w:r>
      <w:bookmarkEnd w:id="6393"/>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流量调节阀应适用于下列设计工况和技术要求：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突然失电情况下，流量调节阀应能够自锁保证阀门处于失电前的调节状态。</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阀体应为铸件，不得采取焊接的方法制造，以使整个阀体为流线型阀体和轴对称流道，流体在阀体内能被很好地无紊流引导，能显著地降低阀门的噪声和振动。从入口到出口截面应为连续递减的环状流道，从而使流体的流速渐升，避免产生气蚀；</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为了使阀门有较小的操作扭矩，阀门的关闭件应为压力平衡式活塞，通过内置的曲柄滑块机构驱动并由阀体内部导轨引导，从而将曲柄滑块机构稳定的旋转运动转换为先快后慢的轴向运动，以递减方式改变出口环状节流面的大小，并保持活塞运动的平稳性和灵活性，关闭时不得产生任何水锤和冲击，活塞的运动也不得受到沉淀物的影响；</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为了增强结构的坚固性，要求阀体的两边都为曲柄滑块的驱动轴提供平衡支撑；</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阀门为两片式或一片式结构。</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为了减小阀门的操作扭矩，延长O型密封圈的使用寿命，要求O型密封圈只有在关闭位置才受压，在中间的节流位置，要求密封圈完全放松而不受任何压力和摩擦。</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阀座必须采用金属和橡胶双重密封，以使阀门密封可靠，并且密封等级可达到气泡级密封；</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阀门的出口应采用扇叶圈式或其他形式，该结构使因气蚀现象而产生的气泡被限制在流体的中央，防止气泡在阀门及管道的压力恢复区的管壁失稳破裂而使阀门或管道遭到破坏；同时投标商需提供资料论证该结构不具有堵塞性，适合源水水质。</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齿轮箱需提供阀门需要的扭矩，齿轮箱的扭矩特性曲线要和阀门的扭矩特性曲线相匹配，避免不必要的大扭矩输出造成阀门使用寿命的缩短，齿轮箱的防护等级为IP68；投标商需提供该齿轮箱结构图及相关曲线。</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活塞式流量调节阀的导轨至少应为四根长条状导轨，导轨的布置应符合力学受力原理，确保能够长期平稳可靠地引导活塞，可最大程度延长导轨的使用寿命。导轨表面采用特殊青铜高温烧结或堆焊，厚度需不小于3mm。</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从全开到全关，阀门的开度应与流量呈良好的线性关系，并必须提供相关曲线图；阀门应具有较小的流阻，以使阀门全开时压力损失为最小。</w:t>
      </w:r>
    </w:p>
    <w:p>
      <w:pPr>
        <w:keepNext/>
        <w:adjustRightInd w:val="0"/>
        <w:snapToGrid w:val="0"/>
        <w:spacing w:before="203" w:beforeLines="50" w:after="203" w:afterLines="50"/>
        <w:outlineLvl w:val="0"/>
        <w:rPr>
          <w:rFonts w:ascii="宋体" w:hAnsi="宋体" w:cs="楷体"/>
          <w:b/>
        </w:rPr>
      </w:pPr>
      <w:bookmarkStart w:id="6394" w:name="_Toc106883638"/>
      <w:r>
        <w:rPr>
          <w:rFonts w:hint="eastAsia" w:ascii="宋体" w:hAnsi="宋体" w:cs="楷体"/>
          <w:b/>
        </w:rPr>
        <w:t>8.6.4</w:t>
      </w:r>
      <w:bookmarkEnd w:id="6394"/>
      <w:r>
        <w:rPr>
          <w:rFonts w:hint="eastAsia" w:ascii="宋体" w:hAnsi="宋体"/>
          <w:b/>
          <w:bCs/>
          <w:kern w:val="0"/>
        </w:rPr>
        <w:t>电动执行器技术要求</w:t>
      </w:r>
    </w:p>
    <w:p>
      <w:pPr>
        <w:snapToGrid w:val="0"/>
        <w:spacing w:before="81" w:beforeLines="20" w:after="81" w:afterLines="20" w:line="400" w:lineRule="exact"/>
        <w:ind w:firstLine="561"/>
        <w:rPr>
          <w:rFonts w:ascii="宋体" w:hAnsi="宋体"/>
          <w:kern w:val="0"/>
        </w:rPr>
      </w:pPr>
      <w:r>
        <w:rPr>
          <w:rFonts w:hint="eastAsia" w:ascii="宋体" w:hAnsi="宋体"/>
          <w:kern w:val="0"/>
        </w:rPr>
        <w:t>（1）一般性能要求</w:t>
      </w:r>
    </w:p>
    <w:p>
      <w:pPr>
        <w:snapToGrid w:val="0"/>
        <w:spacing w:before="81" w:beforeLines="20" w:after="81" w:afterLines="20" w:line="400" w:lineRule="exact"/>
        <w:ind w:firstLine="561"/>
        <w:rPr>
          <w:rFonts w:ascii="宋体" w:hAnsi="宋体"/>
          <w:kern w:val="0"/>
        </w:rPr>
      </w:pPr>
      <w:r>
        <w:rPr>
          <w:rFonts w:hint="eastAsia" w:ascii="宋体" w:hAnsi="宋体"/>
          <w:kern w:val="0"/>
        </w:rPr>
        <w:t>防护等级：IP67</w:t>
      </w:r>
    </w:p>
    <w:p>
      <w:pPr>
        <w:snapToGrid w:val="0"/>
        <w:spacing w:before="81" w:beforeLines="20" w:after="81" w:afterLines="20" w:line="400" w:lineRule="exact"/>
        <w:ind w:firstLine="561"/>
        <w:rPr>
          <w:rFonts w:ascii="宋体" w:hAnsi="宋体"/>
          <w:kern w:val="0"/>
        </w:rPr>
      </w:pPr>
      <w:r>
        <w:rPr>
          <w:rFonts w:hint="eastAsia" w:ascii="宋体" w:hAnsi="宋体"/>
          <w:kern w:val="0"/>
        </w:rPr>
        <w:t>进出线端子:电动装置的所有进出线均集中在一处，并通过接线端子引入和引出，每个端子均应与电动装置的接线图一致。</w:t>
      </w:r>
    </w:p>
    <w:p>
      <w:pPr>
        <w:snapToGrid w:val="0"/>
        <w:spacing w:before="81" w:beforeLines="20" w:after="81" w:afterLines="20" w:line="400" w:lineRule="exact"/>
        <w:ind w:firstLine="561"/>
        <w:rPr>
          <w:rFonts w:ascii="宋体" w:hAnsi="宋体"/>
          <w:kern w:val="0"/>
        </w:rPr>
      </w:pPr>
      <w:r>
        <w:rPr>
          <w:rFonts w:hint="eastAsia" w:ascii="宋体" w:hAnsi="宋体"/>
          <w:kern w:val="0"/>
        </w:rPr>
        <w:t>应具有自动调节式防潮加热器，能全时间加热使用，以防止由温差产生的水气凝结，并能够适用于温度为-25℃~+70℃的环境。</w:t>
      </w:r>
    </w:p>
    <w:p>
      <w:pPr>
        <w:snapToGrid w:val="0"/>
        <w:spacing w:before="81" w:beforeLines="20" w:after="81" w:afterLines="20" w:line="400" w:lineRule="exact"/>
        <w:ind w:firstLine="561"/>
        <w:rPr>
          <w:rFonts w:ascii="宋体" w:hAnsi="宋体"/>
          <w:kern w:val="0"/>
        </w:rPr>
      </w:pPr>
      <w:r>
        <w:rPr>
          <w:rFonts w:hint="eastAsia" w:ascii="宋体" w:hAnsi="宋体"/>
          <w:kern w:val="0"/>
        </w:rPr>
        <w:t>电动装置与阀门操作齿轮箱的连接标准应符合ISO5210标准。</w:t>
      </w:r>
    </w:p>
    <w:p>
      <w:pPr>
        <w:snapToGrid w:val="0"/>
        <w:spacing w:before="81" w:beforeLines="20" w:after="81" w:afterLines="20" w:line="400" w:lineRule="exact"/>
        <w:ind w:firstLine="561"/>
        <w:rPr>
          <w:rFonts w:ascii="宋体" w:hAnsi="宋体"/>
          <w:kern w:val="0"/>
        </w:rPr>
      </w:pPr>
      <w:r>
        <w:rPr>
          <w:rFonts w:hint="eastAsia" w:ascii="宋体" w:hAnsi="宋体"/>
          <w:kern w:val="0"/>
        </w:rPr>
        <w:t>（2）电动机技术要求</w:t>
      </w:r>
    </w:p>
    <w:p>
      <w:pPr>
        <w:snapToGrid w:val="0"/>
        <w:spacing w:before="81" w:beforeLines="20" w:after="81" w:afterLines="20" w:line="400" w:lineRule="exact"/>
        <w:ind w:firstLine="561"/>
        <w:rPr>
          <w:rFonts w:ascii="宋体" w:hAnsi="宋体"/>
          <w:kern w:val="0"/>
        </w:rPr>
      </w:pPr>
      <w:r>
        <w:rPr>
          <w:rFonts w:hint="eastAsia" w:ascii="宋体" w:hAnsi="宋体"/>
          <w:kern w:val="0"/>
        </w:rPr>
        <w:t>工作电源电压及频率:AC 380/50Hz，3相</w:t>
      </w:r>
    </w:p>
    <w:p>
      <w:pPr>
        <w:snapToGrid w:val="0"/>
        <w:spacing w:before="81" w:beforeLines="20" w:after="81" w:afterLines="20" w:line="400" w:lineRule="exact"/>
        <w:ind w:firstLine="561"/>
        <w:rPr>
          <w:rFonts w:ascii="宋体" w:hAnsi="宋体"/>
          <w:kern w:val="0"/>
        </w:rPr>
      </w:pPr>
      <w:r>
        <w:rPr>
          <w:rFonts w:hint="eastAsia" w:ascii="宋体" w:hAnsi="宋体"/>
          <w:kern w:val="0"/>
        </w:rPr>
        <w:t>绝缘等级:F</w:t>
      </w:r>
    </w:p>
    <w:p>
      <w:pPr>
        <w:snapToGrid w:val="0"/>
        <w:spacing w:before="81" w:beforeLines="20" w:after="81" w:afterLines="20" w:line="400" w:lineRule="exact"/>
        <w:ind w:firstLine="561"/>
        <w:rPr>
          <w:rFonts w:ascii="宋体" w:hAnsi="宋体"/>
          <w:kern w:val="0"/>
        </w:rPr>
      </w:pPr>
      <w:r>
        <w:rPr>
          <w:rFonts w:hint="eastAsia" w:ascii="宋体" w:hAnsi="宋体"/>
          <w:kern w:val="0"/>
        </w:rPr>
        <w:t>电动机须带有温控开关，当温度超过140℃时，能够自动切断回路以保护电机。</w:t>
      </w:r>
    </w:p>
    <w:p>
      <w:pPr>
        <w:snapToGrid w:val="0"/>
        <w:spacing w:before="81" w:beforeLines="20" w:after="81" w:afterLines="20" w:line="400" w:lineRule="exact"/>
        <w:ind w:firstLine="561"/>
        <w:rPr>
          <w:rFonts w:ascii="宋体" w:hAnsi="宋体"/>
          <w:kern w:val="0"/>
        </w:rPr>
      </w:pPr>
      <w:r>
        <w:rPr>
          <w:rFonts w:hint="eastAsia" w:ascii="宋体" w:hAnsi="宋体"/>
          <w:kern w:val="0"/>
        </w:rPr>
        <w:t>电动机出线应在电动机法兰端面并延伸入箱体至接线端子，电机和执行器间连接采用插槽式连接环，电动装置配套的电动机起动转矩不低于其额定转矩的5倍。</w:t>
      </w:r>
    </w:p>
    <w:p>
      <w:pPr>
        <w:snapToGrid w:val="0"/>
        <w:spacing w:before="81" w:beforeLines="20" w:after="81" w:afterLines="20" w:line="400" w:lineRule="exact"/>
        <w:ind w:firstLine="561"/>
        <w:rPr>
          <w:rFonts w:ascii="宋体" w:hAnsi="宋体"/>
          <w:kern w:val="0"/>
        </w:rPr>
      </w:pPr>
      <w:r>
        <w:rPr>
          <w:rFonts w:hint="eastAsia" w:ascii="宋体" w:hAnsi="宋体"/>
          <w:kern w:val="0"/>
        </w:rPr>
        <w:t>电动机可频繁启动，每小时可启动达600次以上，并符合VDE 0530/IEC34标准，电动机负载特性为S4-25%。</w:t>
      </w:r>
    </w:p>
    <w:p>
      <w:pPr>
        <w:snapToGrid w:val="0"/>
        <w:spacing w:before="81" w:beforeLines="20" w:after="81" w:afterLines="20" w:line="400" w:lineRule="exact"/>
        <w:ind w:firstLine="561"/>
        <w:rPr>
          <w:rFonts w:ascii="宋体" w:hAnsi="宋体"/>
          <w:kern w:val="0"/>
        </w:rPr>
      </w:pPr>
      <w:r>
        <w:rPr>
          <w:rFonts w:hint="eastAsia" w:ascii="宋体" w:hAnsi="宋体"/>
          <w:kern w:val="0"/>
        </w:rPr>
        <w:t>电动机应具有较长的使用寿命，在每次操作间隔为0.75秒的情况下，连续服务次数不低于350万次。</w:t>
      </w:r>
    </w:p>
    <w:p>
      <w:pPr>
        <w:snapToGrid w:val="0"/>
        <w:spacing w:before="81" w:beforeLines="20" w:after="81" w:afterLines="20" w:line="400" w:lineRule="exact"/>
        <w:ind w:firstLine="561"/>
        <w:rPr>
          <w:rFonts w:ascii="宋体" w:hAnsi="宋体"/>
          <w:kern w:val="0"/>
        </w:rPr>
      </w:pPr>
      <w:r>
        <w:rPr>
          <w:rFonts w:hint="eastAsia" w:ascii="宋体" w:hAnsi="宋体"/>
          <w:kern w:val="0"/>
        </w:rPr>
        <w:t>（3）减速器技术要求</w:t>
      </w:r>
    </w:p>
    <w:p>
      <w:pPr>
        <w:snapToGrid w:val="0"/>
        <w:spacing w:before="81" w:beforeLines="20" w:after="81" w:afterLines="20" w:line="400" w:lineRule="exact"/>
        <w:ind w:firstLine="561"/>
        <w:rPr>
          <w:rFonts w:ascii="宋体" w:hAnsi="宋体"/>
          <w:kern w:val="0"/>
        </w:rPr>
      </w:pPr>
      <w:r>
        <w:rPr>
          <w:rFonts w:hint="eastAsia" w:ascii="宋体" w:hAnsi="宋体"/>
          <w:kern w:val="0"/>
        </w:rPr>
        <w:t>减速器箱体材料：球墨铸铁</w:t>
      </w:r>
    </w:p>
    <w:p>
      <w:pPr>
        <w:snapToGrid w:val="0"/>
        <w:spacing w:before="81" w:beforeLines="20" w:after="81" w:afterLines="20" w:line="400" w:lineRule="exact"/>
        <w:ind w:firstLine="561"/>
        <w:rPr>
          <w:rFonts w:ascii="宋体" w:hAnsi="宋体"/>
          <w:kern w:val="0"/>
        </w:rPr>
      </w:pPr>
      <w:r>
        <w:rPr>
          <w:rFonts w:hint="eastAsia" w:ascii="宋体" w:hAnsi="宋体"/>
          <w:kern w:val="0"/>
        </w:rPr>
        <w:t>蜗轮材料：青铜</w:t>
      </w:r>
    </w:p>
    <w:p>
      <w:pPr>
        <w:snapToGrid w:val="0"/>
        <w:spacing w:before="81" w:beforeLines="20" w:after="81" w:afterLines="20" w:line="400" w:lineRule="exact"/>
        <w:ind w:firstLine="561"/>
        <w:rPr>
          <w:rFonts w:ascii="宋体" w:hAnsi="宋体"/>
          <w:kern w:val="0"/>
        </w:rPr>
      </w:pPr>
      <w:r>
        <w:rPr>
          <w:rFonts w:hint="eastAsia" w:ascii="宋体" w:hAnsi="宋体"/>
          <w:kern w:val="0"/>
        </w:rPr>
        <w:t>故障时蜗轮和蜗杆应能够自锁</w:t>
      </w:r>
    </w:p>
    <w:p>
      <w:pPr>
        <w:snapToGrid w:val="0"/>
        <w:spacing w:before="81" w:beforeLines="20" w:after="81" w:afterLines="20" w:line="400" w:lineRule="exact"/>
        <w:ind w:firstLine="561"/>
        <w:rPr>
          <w:rFonts w:ascii="宋体" w:hAnsi="宋体"/>
          <w:kern w:val="0"/>
        </w:rPr>
      </w:pPr>
      <w:r>
        <w:rPr>
          <w:rFonts w:hint="eastAsia" w:ascii="宋体" w:hAnsi="宋体"/>
          <w:kern w:val="0"/>
        </w:rPr>
        <w:t>为提高传动件的表面硬度，增强其耐磨性能，蜗杆及传动齿轮表面应进行真空渗碳淬火热处理。</w:t>
      </w:r>
    </w:p>
    <w:p>
      <w:pPr>
        <w:snapToGrid w:val="0"/>
        <w:spacing w:before="81" w:beforeLines="20" w:after="81" w:afterLines="20" w:line="400" w:lineRule="exact"/>
        <w:ind w:firstLine="561"/>
        <w:rPr>
          <w:rFonts w:ascii="宋体" w:hAnsi="宋体"/>
          <w:kern w:val="0"/>
        </w:rPr>
      </w:pPr>
      <w:r>
        <w:rPr>
          <w:rFonts w:hint="eastAsia" w:ascii="宋体" w:hAnsi="宋体"/>
          <w:kern w:val="0"/>
        </w:rPr>
        <w:t>（4）转矩限制机构和行程限位机构技术要求</w:t>
      </w:r>
    </w:p>
    <w:p>
      <w:pPr>
        <w:snapToGrid w:val="0"/>
        <w:spacing w:before="81" w:beforeLines="20" w:after="81" w:afterLines="20" w:line="400" w:lineRule="exact"/>
        <w:ind w:firstLine="561"/>
        <w:rPr>
          <w:rFonts w:ascii="宋体" w:hAnsi="宋体"/>
          <w:kern w:val="0"/>
        </w:rPr>
      </w:pPr>
      <w:r>
        <w:rPr>
          <w:rFonts w:hint="eastAsia" w:ascii="宋体" w:hAnsi="宋体"/>
          <w:kern w:val="0"/>
        </w:rPr>
        <w:t>电动装置在开和关的方向均应配扭矩开关以防过载。</w:t>
      </w:r>
    </w:p>
    <w:p>
      <w:pPr>
        <w:snapToGrid w:val="0"/>
        <w:spacing w:before="81" w:beforeLines="20" w:after="81" w:afterLines="20" w:line="400" w:lineRule="exact"/>
        <w:ind w:firstLine="561"/>
        <w:rPr>
          <w:rFonts w:ascii="宋体" w:hAnsi="宋体"/>
          <w:kern w:val="0"/>
        </w:rPr>
      </w:pPr>
      <w:r>
        <w:rPr>
          <w:rFonts w:hint="eastAsia" w:ascii="宋体" w:hAnsi="宋体"/>
          <w:kern w:val="0"/>
        </w:rPr>
        <w:t>电动装置在开和关的极限位置均应配置机械式限位开关，当阀门开度到达极限位置时，限位开关自动跳脱，关闭执行机构电动机</w:t>
      </w:r>
    </w:p>
    <w:p>
      <w:pPr>
        <w:snapToGrid w:val="0"/>
        <w:spacing w:before="81" w:beforeLines="20" w:after="81" w:afterLines="20" w:line="400" w:lineRule="exact"/>
        <w:ind w:firstLine="561"/>
        <w:rPr>
          <w:rFonts w:ascii="宋体" w:hAnsi="宋体"/>
          <w:kern w:val="0"/>
        </w:rPr>
      </w:pPr>
      <w:r>
        <w:rPr>
          <w:rFonts w:hint="eastAsia" w:ascii="宋体" w:hAnsi="宋体"/>
          <w:kern w:val="0"/>
        </w:rPr>
        <w:t>扭矩开关和限位开关应采用双向高额定容量(220V/AC/5A)纯银制作的触点，其机械寿命应达1，000，000次以上。</w:t>
      </w:r>
    </w:p>
    <w:p>
      <w:pPr>
        <w:snapToGrid w:val="0"/>
        <w:spacing w:before="81" w:beforeLines="20" w:after="81" w:afterLines="20" w:line="400" w:lineRule="exact"/>
        <w:ind w:firstLine="561"/>
        <w:rPr>
          <w:rFonts w:ascii="宋体" w:hAnsi="宋体"/>
          <w:kern w:val="0"/>
        </w:rPr>
      </w:pPr>
      <w:r>
        <w:rPr>
          <w:rFonts w:hint="eastAsia" w:ascii="宋体" w:hAnsi="宋体"/>
          <w:kern w:val="0"/>
        </w:rPr>
        <w:t>（5）位置指示机构技术要求</w:t>
      </w:r>
    </w:p>
    <w:p>
      <w:pPr>
        <w:snapToGrid w:val="0"/>
        <w:spacing w:before="81" w:beforeLines="20" w:after="81" w:afterLines="20" w:line="400" w:lineRule="exact"/>
        <w:ind w:firstLine="561"/>
        <w:rPr>
          <w:rFonts w:ascii="宋体" w:hAnsi="宋体"/>
          <w:kern w:val="0"/>
        </w:rPr>
      </w:pPr>
      <w:r>
        <w:rPr>
          <w:rFonts w:hint="eastAsia" w:ascii="宋体" w:hAnsi="宋体"/>
          <w:kern w:val="0"/>
        </w:rPr>
        <w:t>电动装置须带机械式现场开度指示机构，阀门的正确位置能直接观察到。</w:t>
      </w:r>
    </w:p>
    <w:p>
      <w:pPr>
        <w:snapToGrid w:val="0"/>
        <w:spacing w:before="81" w:beforeLines="20" w:after="81" w:afterLines="20" w:line="400" w:lineRule="exact"/>
        <w:ind w:firstLine="561"/>
        <w:rPr>
          <w:rFonts w:ascii="宋体" w:hAnsi="宋体"/>
          <w:kern w:val="0"/>
        </w:rPr>
      </w:pPr>
      <w:r>
        <w:rPr>
          <w:rFonts w:hint="eastAsia" w:ascii="宋体" w:hAnsi="宋体"/>
          <w:kern w:val="0"/>
        </w:rPr>
        <w:t>阀门位置指示机构应能够保证阀门全行程精确指示。</w:t>
      </w:r>
    </w:p>
    <w:p>
      <w:pPr>
        <w:snapToGrid w:val="0"/>
        <w:spacing w:before="81" w:beforeLines="20" w:after="81" w:afterLines="20" w:line="400" w:lineRule="exact"/>
        <w:ind w:firstLine="561"/>
        <w:rPr>
          <w:rFonts w:ascii="宋体" w:hAnsi="宋体"/>
          <w:kern w:val="0"/>
        </w:rPr>
      </w:pPr>
      <w:r>
        <w:rPr>
          <w:rFonts w:hint="eastAsia" w:ascii="宋体" w:hAnsi="宋体"/>
          <w:kern w:val="0"/>
        </w:rPr>
        <w:t>（6）手动、电动切换机构技术要求</w:t>
      </w:r>
    </w:p>
    <w:p>
      <w:pPr>
        <w:snapToGrid w:val="0"/>
        <w:spacing w:before="81" w:beforeLines="20" w:after="81" w:afterLines="20" w:line="400" w:lineRule="exact"/>
        <w:ind w:firstLine="561"/>
        <w:rPr>
          <w:rFonts w:ascii="宋体" w:hAnsi="宋体"/>
          <w:kern w:val="0"/>
        </w:rPr>
      </w:pPr>
      <w:r>
        <w:rPr>
          <w:rFonts w:hint="eastAsia" w:ascii="宋体" w:hAnsi="宋体"/>
          <w:kern w:val="0"/>
        </w:rPr>
        <w:t>电动装置应具有手动、电动切换机构，可有远程和手动两种控制方式进行选择，并可锁定其中任一种控制方式。</w:t>
      </w:r>
    </w:p>
    <w:p>
      <w:pPr>
        <w:snapToGrid w:val="0"/>
        <w:spacing w:before="81" w:beforeLines="20" w:after="81" w:afterLines="20" w:line="400" w:lineRule="exact"/>
        <w:ind w:firstLine="561"/>
        <w:rPr>
          <w:rFonts w:ascii="宋体" w:hAnsi="宋体"/>
          <w:kern w:val="0"/>
        </w:rPr>
      </w:pPr>
      <w:r>
        <w:rPr>
          <w:rFonts w:hint="eastAsia" w:ascii="宋体" w:hAnsi="宋体"/>
          <w:kern w:val="0"/>
        </w:rPr>
        <w:t>电动装置应配离合式紧急手轮，以供现场单人手动操作。</w:t>
      </w:r>
    </w:p>
    <w:p>
      <w:pPr>
        <w:snapToGrid w:val="0"/>
        <w:spacing w:before="81" w:beforeLines="20" w:after="81" w:afterLines="20" w:line="400" w:lineRule="exact"/>
        <w:ind w:firstLine="561"/>
        <w:rPr>
          <w:rFonts w:ascii="宋体" w:hAnsi="宋体"/>
          <w:kern w:val="0"/>
        </w:rPr>
      </w:pPr>
      <w:r>
        <w:rPr>
          <w:rFonts w:hint="eastAsia" w:ascii="宋体" w:hAnsi="宋体"/>
          <w:kern w:val="0"/>
        </w:rPr>
        <w:t>手动、电动切换应以电动优先，当电机启动后，手动机构能自动跳脱。</w:t>
      </w:r>
    </w:p>
    <w:p>
      <w:pPr>
        <w:snapToGrid w:val="0"/>
        <w:spacing w:before="81" w:beforeLines="20" w:after="81" w:afterLines="20" w:line="400" w:lineRule="exact"/>
        <w:ind w:firstLine="561"/>
        <w:rPr>
          <w:rFonts w:ascii="宋体" w:hAnsi="宋体"/>
          <w:kern w:val="0"/>
        </w:rPr>
      </w:pPr>
      <w:r>
        <w:rPr>
          <w:rFonts w:hint="eastAsia" w:ascii="宋体" w:hAnsi="宋体"/>
          <w:kern w:val="0"/>
        </w:rPr>
        <w:t>电动装置即使在最大控制转矩情况下，也能可靠地进行切换。</w:t>
      </w:r>
    </w:p>
    <w:p>
      <w:pPr>
        <w:snapToGrid w:val="0"/>
        <w:spacing w:before="81" w:beforeLines="20" w:after="81" w:afterLines="20" w:line="400" w:lineRule="exact"/>
        <w:ind w:firstLine="561"/>
        <w:rPr>
          <w:rFonts w:ascii="宋体" w:hAnsi="宋体"/>
          <w:kern w:val="0"/>
        </w:rPr>
      </w:pPr>
      <w:r>
        <w:rPr>
          <w:rFonts w:hint="eastAsia" w:ascii="宋体" w:hAnsi="宋体"/>
          <w:kern w:val="0"/>
        </w:rPr>
        <w:t>电动装置经切换后，其电动控制和手动控制是排斥的，即电动时手轮不能转动，手动时电机无法转动。</w:t>
      </w:r>
    </w:p>
    <w:p>
      <w:pPr>
        <w:snapToGrid w:val="0"/>
        <w:spacing w:before="81" w:beforeLines="20" w:after="81" w:afterLines="20" w:line="400" w:lineRule="exact"/>
        <w:ind w:firstLine="561"/>
        <w:rPr>
          <w:rFonts w:ascii="宋体" w:hAnsi="宋体"/>
          <w:kern w:val="0"/>
        </w:rPr>
      </w:pPr>
      <w:r>
        <w:rPr>
          <w:rFonts w:hint="eastAsia" w:ascii="宋体" w:hAnsi="宋体"/>
          <w:kern w:val="0"/>
        </w:rPr>
        <w:t>（7）电动执行器控制要求</w:t>
      </w:r>
    </w:p>
    <w:p>
      <w:pPr>
        <w:snapToGrid w:val="0"/>
        <w:spacing w:before="81" w:beforeLines="20" w:after="81" w:afterLines="20" w:line="400" w:lineRule="exact"/>
        <w:ind w:firstLine="561"/>
        <w:rPr>
          <w:rFonts w:ascii="宋体" w:hAnsi="宋体"/>
          <w:kern w:val="0"/>
        </w:rPr>
      </w:pPr>
      <w:r>
        <w:rPr>
          <w:rFonts w:hint="eastAsia" w:ascii="宋体" w:hAnsi="宋体"/>
          <w:kern w:val="0"/>
        </w:rPr>
        <w:t>电动执行器应能输出全开、全关、开度和事故状态。</w:t>
      </w:r>
    </w:p>
    <w:p>
      <w:pPr>
        <w:snapToGrid w:val="0"/>
        <w:spacing w:before="81" w:beforeLines="20" w:after="81" w:afterLines="20" w:line="400" w:lineRule="exact"/>
        <w:ind w:firstLine="561"/>
        <w:rPr>
          <w:rFonts w:ascii="宋体" w:hAnsi="宋体"/>
          <w:kern w:val="0"/>
        </w:rPr>
      </w:pPr>
      <w:r>
        <w:rPr>
          <w:rFonts w:hint="eastAsia" w:ascii="宋体" w:hAnsi="宋体"/>
          <w:kern w:val="0"/>
        </w:rPr>
        <w:t>电动执行器应配置定位器，能接收输入信号DC 4~20mA，定位器应定位精确，灵敏度ΔE为0.5%~2.5%。</w:t>
      </w:r>
    </w:p>
    <w:p>
      <w:pPr>
        <w:snapToGrid w:val="0"/>
        <w:spacing w:before="81" w:beforeLines="20" w:after="81" w:afterLines="20" w:line="400" w:lineRule="exact"/>
        <w:ind w:firstLine="561"/>
        <w:rPr>
          <w:rFonts w:ascii="宋体" w:hAnsi="宋体"/>
          <w:kern w:val="0"/>
        </w:rPr>
      </w:pPr>
      <w:r>
        <w:rPr>
          <w:rFonts w:hint="eastAsia" w:ascii="宋体" w:hAnsi="宋体"/>
          <w:kern w:val="0"/>
        </w:rPr>
        <w:t>电动执行器应带阀位反馈传感器，输出DC 4~20mA的阀位信号，供远程阀位指示。</w:t>
      </w:r>
    </w:p>
    <w:p>
      <w:pPr>
        <w:snapToGrid w:val="0"/>
        <w:spacing w:before="81" w:beforeLines="20" w:after="81" w:afterLines="20" w:line="400" w:lineRule="exact"/>
        <w:ind w:firstLine="561"/>
        <w:rPr>
          <w:rFonts w:ascii="宋体" w:hAnsi="宋体"/>
          <w:szCs w:val="22"/>
        </w:rPr>
      </w:pPr>
      <w:r>
        <w:rPr>
          <w:rFonts w:hint="eastAsia" w:ascii="宋体" w:hAnsi="宋体"/>
          <w:kern w:val="0"/>
        </w:rPr>
        <w:t>电动执行器应带一体化现场控制，供现场操作。一体化现场控制应带有阀门开、关、停控制按钮，现场手动和远程控制转换开关等。</w:t>
      </w:r>
    </w:p>
    <w:p>
      <w:pPr>
        <w:keepNext/>
        <w:adjustRightInd w:val="0"/>
        <w:snapToGrid w:val="0"/>
        <w:spacing w:before="203" w:beforeLines="50" w:after="203" w:afterLines="50"/>
        <w:outlineLvl w:val="1"/>
        <w:rPr>
          <w:rFonts w:ascii="宋体" w:hAnsi="宋体" w:cs="楷体"/>
          <w:b/>
        </w:rPr>
      </w:pPr>
      <w:bookmarkStart w:id="6395" w:name="_Toc106883642"/>
      <w:r>
        <w:rPr>
          <w:rFonts w:hint="eastAsia" w:ascii="宋体" w:hAnsi="宋体" w:cs="楷体"/>
          <w:b/>
        </w:rPr>
        <w:t>8.7伸缩节</w:t>
      </w:r>
      <w:bookmarkEnd w:id="6395"/>
    </w:p>
    <w:p>
      <w:pPr>
        <w:keepNext/>
        <w:adjustRightInd w:val="0"/>
        <w:snapToGrid w:val="0"/>
        <w:spacing w:before="203" w:beforeLines="50" w:after="203" w:afterLines="50"/>
        <w:outlineLvl w:val="2"/>
        <w:rPr>
          <w:rFonts w:ascii="宋体" w:hAnsi="宋体" w:cs="楷体"/>
          <w:b/>
        </w:rPr>
      </w:pPr>
      <w:bookmarkStart w:id="6396" w:name="_Toc106883643"/>
      <w:r>
        <w:rPr>
          <w:rFonts w:hint="eastAsia" w:ascii="宋体" w:hAnsi="宋体" w:cs="楷体"/>
          <w:b/>
        </w:rPr>
        <w:t>8.7.1概述</w:t>
      </w:r>
      <w:bookmarkEnd w:id="6396"/>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本工程使用的伸缩节、双法兰限位伸缩器、伸缩接头等，安装位置详见供货范围及图纸。</w:t>
      </w:r>
    </w:p>
    <w:p>
      <w:pPr>
        <w:keepNext/>
        <w:adjustRightInd w:val="0"/>
        <w:snapToGrid w:val="0"/>
        <w:spacing w:before="203" w:beforeLines="50" w:after="203" w:afterLines="50"/>
        <w:outlineLvl w:val="0"/>
        <w:rPr>
          <w:rFonts w:ascii="宋体" w:hAnsi="宋体" w:cs="楷体"/>
          <w:b/>
        </w:rPr>
      </w:pPr>
      <w:bookmarkStart w:id="6397" w:name="_Toc106883644"/>
      <w:r>
        <w:rPr>
          <w:rFonts w:hint="eastAsia" w:ascii="宋体" w:hAnsi="宋体" w:cs="楷体"/>
          <w:b/>
        </w:rPr>
        <w:t>8.7.2供货范围</w:t>
      </w:r>
      <w:bookmarkEnd w:id="6397"/>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工程量清单表中列出的各项设备成套、整体供货，即只需要在设备两端使用螺栓等即可与外部设备（外部设备指非本采购清单列出的设备）或管道连接。清单如下：</w:t>
      </w:r>
    </w:p>
    <w:tbl>
      <w:tblPr>
        <w:tblStyle w:val="77"/>
        <w:tblW w:w="5225" w:type="pct"/>
        <w:jc w:val="center"/>
        <w:tblLayout w:type="fixed"/>
        <w:tblCellMar>
          <w:top w:w="0" w:type="dxa"/>
          <w:left w:w="108" w:type="dxa"/>
          <w:bottom w:w="0" w:type="dxa"/>
          <w:right w:w="108" w:type="dxa"/>
        </w:tblCellMar>
      </w:tblPr>
      <w:tblGrid>
        <w:gridCol w:w="810"/>
        <w:gridCol w:w="1279"/>
        <w:gridCol w:w="1465"/>
        <w:gridCol w:w="1161"/>
        <w:gridCol w:w="869"/>
        <w:gridCol w:w="807"/>
        <w:gridCol w:w="1380"/>
        <w:gridCol w:w="1341"/>
      </w:tblGrid>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规格参数</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材质</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安装位置</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1</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双法兰限位伸缩器</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DN600，1.0MPa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原水管线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2</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DN600，0.6MPa</w:t>
            </w:r>
          </w:p>
        </w:tc>
        <w:tc>
          <w:tcPr>
            <w:tcW w:w="637"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钢</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1</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工艺进、出水管线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VSSJA</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3</w:t>
            </w:r>
          </w:p>
        </w:tc>
        <w:tc>
          <w:tcPr>
            <w:tcW w:w="70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DN100，1.0MPa</w:t>
            </w:r>
          </w:p>
        </w:tc>
        <w:tc>
          <w:tcPr>
            <w:tcW w:w="637" w:type="pct"/>
            <w:tcBorders>
              <w:top w:val="single" w:color="000000" w:sz="4" w:space="0"/>
              <w:left w:val="single" w:color="000000" w:sz="4" w:space="0"/>
              <w:bottom w:val="single" w:color="000000" w:sz="4" w:space="0"/>
              <w:right w:val="single" w:color="000000" w:sz="4" w:space="0"/>
            </w:tcBorders>
            <w:noWrap/>
            <w:vAlign w:val="center"/>
          </w:tcPr>
          <w:p>
            <w:pPr>
              <w:adjustRightInd w:val="0"/>
              <w:snapToGrid w:val="0"/>
              <w:jc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6</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r>
              <w:rPr>
                <w:rFonts w:hint="eastAsia" w:ascii="宋体" w:hAnsi="宋体" w:cs="楷体"/>
              </w:rPr>
              <w:t>给水及消防管线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4</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双法兰限位伸缩器</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DN200， L=340， PN=1.0Mpa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污水池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5</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法兰式限位伸缩接头</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　</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1</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p>
        </w:tc>
      </w:tr>
      <w:tr>
        <w:tblPrEx>
          <w:tblCellMar>
            <w:top w:w="0" w:type="dxa"/>
            <w:left w:w="108" w:type="dxa"/>
            <w:bottom w:w="0" w:type="dxa"/>
            <w:right w:w="108" w:type="dxa"/>
          </w:tblCellMar>
        </w:tblPrEx>
        <w:trPr>
          <w:cantSplit/>
          <w:trHeight w:val="904"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6</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法兰式限位伸缩接头</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　</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1</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7</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伸缩接头</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DN500， P=1.0Mpa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8</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伸缩接头</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DN600， P=1.0Mpa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絮凝池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9</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8</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VSSJA,滤池出水阀、滤池水冲阀</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10</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12</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VSSJA,滤池气冲阀,滤池放空管</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11</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V型滤池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VSSJA</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12</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DN300，1.0MPa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3</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反冲洗泵房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VSSJA</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13</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3</w:t>
            </w:r>
          </w:p>
        </w:tc>
        <w:tc>
          <w:tcPr>
            <w:tcW w:w="75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kern w:val="0"/>
              </w:rPr>
            </w:pPr>
            <w:r>
              <w:rPr>
                <w:rFonts w:hint="eastAsia" w:ascii="宋体" w:hAnsi="宋体" w:cs="楷体"/>
                <w:kern w:val="0"/>
              </w:rPr>
              <w:t>反冲洗泵房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VSSJA</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14</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757"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cs="楷体"/>
                <w:kern w:val="0"/>
              </w:rPr>
              <w:t>反冲洗泵房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VSSJA</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15</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双法兰限位伸缩器</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DN300，1.0MPa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送水泵房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附支墩</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16</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双法兰限位伸缩器</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DN250，1.0MPa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4</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送水泵房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附支墩</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17</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双法兰限位式伸缩接头</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8</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回收水池及排泥池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18</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伸缩接头</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DN150，  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钢</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8</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浓缩池</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r>
      <w:tr>
        <w:tblPrEx>
          <w:tblCellMar>
            <w:top w:w="0" w:type="dxa"/>
            <w:left w:w="108" w:type="dxa"/>
            <w:bottom w:w="0" w:type="dxa"/>
            <w:right w:w="108" w:type="dxa"/>
          </w:tblCellMar>
        </w:tblPrEx>
        <w:trPr>
          <w:cantSplit/>
          <w:trHeight w:val="227" w:hRule="atLeast"/>
          <w:jc w:val="center"/>
        </w:trPr>
        <w:tc>
          <w:tcPr>
            <w:tcW w:w="44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19</w:t>
            </w:r>
          </w:p>
        </w:tc>
        <w:tc>
          <w:tcPr>
            <w:tcW w:w="70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伸缩节</w:t>
            </w:r>
          </w:p>
        </w:tc>
        <w:tc>
          <w:tcPr>
            <w:tcW w:w="8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DN100，1.0MPa</w:t>
            </w:r>
          </w:p>
        </w:tc>
        <w:tc>
          <w:tcPr>
            <w:tcW w:w="63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个</w:t>
            </w:r>
          </w:p>
        </w:tc>
        <w:tc>
          <w:tcPr>
            <w:tcW w:w="44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1</w:t>
            </w:r>
          </w:p>
        </w:tc>
        <w:tc>
          <w:tcPr>
            <w:tcW w:w="75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污泥脱水机房</w:t>
            </w:r>
          </w:p>
        </w:tc>
        <w:tc>
          <w:tcPr>
            <w:tcW w:w="73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VSSJA</w:t>
            </w:r>
          </w:p>
        </w:tc>
      </w:tr>
    </w:tbl>
    <w:p>
      <w:pPr>
        <w:keepNext/>
        <w:adjustRightInd w:val="0"/>
        <w:snapToGrid w:val="0"/>
        <w:spacing w:before="203" w:beforeLines="50" w:after="203" w:afterLines="50"/>
        <w:outlineLvl w:val="2"/>
        <w:rPr>
          <w:rFonts w:ascii="宋体" w:hAnsi="宋体" w:cs="楷体"/>
          <w:b/>
        </w:rPr>
      </w:pPr>
      <w:bookmarkStart w:id="6398" w:name="_Toc106883645"/>
      <w:r>
        <w:rPr>
          <w:rFonts w:hint="eastAsia" w:ascii="宋体" w:hAnsi="宋体" w:cs="楷体"/>
          <w:b/>
        </w:rPr>
        <w:t>8.7.3基本要求</w:t>
      </w:r>
      <w:bookmarkEnd w:id="6398"/>
    </w:p>
    <w:p>
      <w:pPr>
        <w:pStyle w:val="20"/>
        <w:snapToGrid w:val="0"/>
        <w:spacing w:before="120" w:after="120" w:line="240" w:lineRule="auto"/>
        <w:ind w:left="0" w:right="159" w:firstLine="0"/>
        <w:rPr>
          <w:rFonts w:ascii="宋体" w:hAnsi="宋体" w:cs="楷体"/>
          <w:b/>
          <w:bCs/>
          <w:sz w:val="24"/>
          <w:szCs w:val="18"/>
        </w:rPr>
      </w:pPr>
      <w:r>
        <w:rPr>
          <w:rFonts w:hint="eastAsia" w:ascii="宋体" w:hAnsi="宋体" w:cs="楷体"/>
          <w:b/>
          <w:bCs/>
          <w:sz w:val="24"/>
          <w:szCs w:val="18"/>
        </w:rPr>
        <w:t>8.7.3.1标准和规范</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当管道中指定要用伸缩节或柔性接口的地方，这二种附件必须设计成在下表所列的管轴线偏离角度范围内而不渗漏。</w:t>
      </w:r>
    </w:p>
    <w:tbl>
      <w:tblPr>
        <w:tblStyle w:val="7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543"/>
        <w:gridCol w:w="464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tcPr>
          <w:p>
            <w:pPr>
              <w:snapToGrid w:val="0"/>
              <w:jc w:val="center"/>
              <w:rPr>
                <w:rFonts w:ascii="宋体" w:hAnsi="宋体"/>
              </w:rPr>
            </w:pPr>
            <w:r>
              <w:rPr>
                <w:rFonts w:hint="eastAsia" w:ascii="宋体" w:hAnsi="宋体"/>
              </w:rPr>
              <w:t>管道直径（毫米）</w:t>
            </w:r>
          </w:p>
        </w:tc>
        <w:tc>
          <w:tcPr>
            <w:tcW w:w="4644" w:type="dxa"/>
          </w:tcPr>
          <w:p>
            <w:pPr>
              <w:snapToGrid w:val="0"/>
              <w:jc w:val="center"/>
              <w:rPr>
                <w:rFonts w:ascii="宋体" w:hAnsi="宋体"/>
              </w:rPr>
            </w:pPr>
            <w:r>
              <w:rPr>
                <w:rFonts w:hint="eastAsia" w:ascii="宋体" w:hAnsi="宋体"/>
              </w:rPr>
              <w:t>适用可挠量（度）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tcPr>
          <w:p>
            <w:pPr>
              <w:snapToGrid w:val="0"/>
              <w:jc w:val="center"/>
              <w:rPr>
                <w:rFonts w:ascii="宋体" w:hAnsi="宋体"/>
              </w:rPr>
            </w:pPr>
            <w:r>
              <w:rPr>
                <w:rFonts w:ascii="宋体" w:hAnsi="宋体"/>
              </w:rPr>
              <w:t>65</w:t>
            </w:r>
            <w:r>
              <w:rPr>
                <w:rFonts w:hint="eastAsia" w:ascii="宋体" w:hAnsi="宋体"/>
              </w:rPr>
              <w:t>～</w:t>
            </w:r>
            <w:r>
              <w:rPr>
                <w:rFonts w:ascii="宋体" w:hAnsi="宋体"/>
              </w:rPr>
              <w:t>1600</w:t>
            </w:r>
          </w:p>
        </w:tc>
        <w:tc>
          <w:tcPr>
            <w:tcW w:w="4644" w:type="dxa"/>
          </w:tcPr>
          <w:p>
            <w:pPr>
              <w:snapToGrid w:val="0"/>
              <w:jc w:val="center"/>
              <w:rPr>
                <w:rFonts w:ascii="宋体" w:hAnsi="宋体"/>
              </w:rPr>
            </w:pPr>
            <w:r>
              <w:rPr>
                <w:rFonts w:ascii="宋体" w:hAnsi="宋体"/>
              </w:rPr>
              <w:t>3</w:t>
            </w:r>
          </w:p>
        </w:tc>
      </w:tr>
    </w:tbl>
    <w:p>
      <w:pPr>
        <w:rPr>
          <w:rFonts w:ascii="宋体" w:hAnsi="宋体"/>
        </w:rPr>
      </w:pP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用在各种尺寸管道中的伸缩接头，应能承受由二侧同直径4米长的管道充满水时产生的剪力。</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承包人应使用由伸缩节生产厂家提供的允许用于食用水中的橡皮密封圈润滑剂，在最大试验压力与环境温度下，接头不应该漏水。</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接头上的垫圈的材料在环境温度45℃时要能适应于自来水管的伸缩密封，并能抵抗机械、化学、细菌的破坏，这三者会导致伸缩密封性能的恶化。</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伸缩接头安装在室内、室外地下式阀门井内和室外直埋，伸缩接头应能在潮湿的环境中操作和运行。</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伸缩接头的主要参考标准为：</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GB12465-1996  管路松套伸缩接头</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GB12227-89    通用阀门球黑铸件技术条件</w:t>
      </w:r>
    </w:p>
    <w:p>
      <w:pPr>
        <w:adjustRightInd w:val="0"/>
        <w:snapToGrid w:val="0"/>
        <w:spacing w:before="203" w:beforeLines="50" w:after="203" w:afterLines="50"/>
        <w:ind w:firstLine="500" w:firstLineChars="200"/>
        <w:rPr>
          <w:rFonts w:ascii="宋体" w:hAnsi="宋体" w:cs="楷体"/>
        </w:rPr>
      </w:pPr>
      <w:r>
        <w:rPr>
          <w:rFonts w:ascii="宋体" w:hAnsi="宋体" w:cs="楷体"/>
        </w:rPr>
        <w:t xml:space="preserve">GB12238-89    </w:t>
      </w:r>
      <w:r>
        <w:rPr>
          <w:rFonts w:hint="eastAsia" w:ascii="宋体" w:hAnsi="宋体" w:cs="楷体"/>
        </w:rPr>
        <w:t>通用阀门法兰和对夹连接蝶阀</w:t>
      </w:r>
    </w:p>
    <w:p>
      <w:pPr>
        <w:keepNext/>
        <w:adjustRightInd w:val="0"/>
        <w:snapToGrid w:val="0"/>
        <w:spacing w:before="203" w:beforeLines="50" w:after="203" w:afterLines="50"/>
        <w:outlineLvl w:val="2"/>
        <w:rPr>
          <w:rFonts w:ascii="宋体" w:hAnsi="宋体" w:cs="楷体"/>
          <w:b/>
          <w:bCs/>
          <w:szCs w:val="18"/>
        </w:rPr>
      </w:pPr>
      <w:bookmarkStart w:id="6399" w:name="_Toc106883646"/>
      <w:r>
        <w:rPr>
          <w:rFonts w:hint="eastAsia" w:ascii="宋体" w:hAnsi="宋体" w:cs="楷体"/>
          <w:b/>
          <w:bCs/>
          <w:szCs w:val="18"/>
        </w:rPr>
        <w:t>8.7.4详细要求</w:t>
      </w:r>
      <w:bookmarkEnd w:id="6399"/>
    </w:p>
    <w:p>
      <w:pPr>
        <w:pStyle w:val="20"/>
        <w:snapToGrid w:val="0"/>
        <w:spacing w:before="120" w:after="120" w:line="240" w:lineRule="auto"/>
        <w:ind w:left="0" w:right="159" w:firstLine="0"/>
        <w:rPr>
          <w:rFonts w:ascii="宋体" w:hAnsi="宋体" w:cs="楷体"/>
          <w:b/>
          <w:bCs/>
          <w:sz w:val="24"/>
          <w:szCs w:val="18"/>
        </w:rPr>
      </w:pPr>
      <w:r>
        <w:rPr>
          <w:rFonts w:hint="eastAsia" w:ascii="宋体" w:hAnsi="宋体" w:cs="楷体"/>
          <w:b/>
          <w:bCs/>
          <w:sz w:val="24"/>
          <w:szCs w:val="18"/>
        </w:rPr>
        <w:t>8.7.</w:t>
      </w:r>
      <w:r>
        <w:rPr>
          <w:rFonts w:ascii="宋体" w:hAnsi="宋体" w:cs="楷体"/>
          <w:b/>
          <w:bCs/>
          <w:sz w:val="24"/>
          <w:szCs w:val="18"/>
        </w:rPr>
        <w:t>4</w:t>
      </w:r>
      <w:r>
        <w:rPr>
          <w:rFonts w:hint="eastAsia" w:ascii="宋体" w:hAnsi="宋体" w:cs="楷体"/>
          <w:b/>
          <w:bCs/>
          <w:sz w:val="24"/>
          <w:szCs w:val="18"/>
        </w:rPr>
        <w:t>.</w:t>
      </w:r>
      <w:r>
        <w:rPr>
          <w:rFonts w:ascii="宋体" w:hAnsi="宋体" w:cs="楷体"/>
          <w:b/>
          <w:bCs/>
          <w:sz w:val="24"/>
          <w:szCs w:val="18"/>
        </w:rPr>
        <w:t>1</w:t>
      </w:r>
      <w:r>
        <w:rPr>
          <w:rFonts w:hint="eastAsia" w:ascii="宋体" w:hAnsi="宋体" w:cs="楷体"/>
          <w:b/>
          <w:bCs/>
          <w:sz w:val="24"/>
          <w:szCs w:val="18"/>
        </w:rPr>
        <w:t>产品要求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伸缩接头应根据图纸中指定及设置位置分别采用单法兰限位型、双法兰限位型、传力型和压盖型。</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伸缩接头的法兰尺寸应能与相同公称直径的阀门直接连接，并提供足够数量的螺栓螺母（包括垫圈、垫片）</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在管道、阀门安装有偏差时，伸缩接头与其它设备的连接部位不泄漏、不变形。</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除特殊注明外伸缩接头额定工作压力为1.0 Mpa。</w:t>
      </w:r>
    </w:p>
    <w:p>
      <w:pPr>
        <w:pStyle w:val="20"/>
        <w:snapToGrid w:val="0"/>
        <w:spacing w:before="120" w:after="120" w:line="240" w:lineRule="auto"/>
        <w:ind w:left="0" w:right="159" w:firstLine="0"/>
        <w:outlineLvl w:val="0"/>
        <w:rPr>
          <w:rFonts w:ascii="宋体" w:hAnsi="宋体" w:cs="楷体"/>
          <w:b/>
          <w:bCs/>
          <w:sz w:val="24"/>
          <w:szCs w:val="18"/>
        </w:rPr>
      </w:pPr>
      <w:bookmarkStart w:id="6400" w:name="_Toc106050389"/>
      <w:bookmarkStart w:id="6401" w:name="_Toc106883647"/>
      <w:r>
        <w:rPr>
          <w:rFonts w:hint="eastAsia" w:ascii="宋体" w:hAnsi="宋体" w:cs="楷体"/>
          <w:b/>
          <w:bCs/>
          <w:sz w:val="24"/>
          <w:szCs w:val="18"/>
        </w:rPr>
        <w:t>8.7.</w:t>
      </w:r>
      <w:r>
        <w:rPr>
          <w:rFonts w:ascii="宋体" w:hAnsi="宋体" w:cs="楷体"/>
          <w:b/>
          <w:bCs/>
          <w:sz w:val="24"/>
          <w:szCs w:val="18"/>
        </w:rPr>
        <w:t>4</w:t>
      </w:r>
      <w:r>
        <w:rPr>
          <w:rFonts w:hint="eastAsia" w:ascii="宋体" w:hAnsi="宋体" w:cs="楷体"/>
          <w:b/>
          <w:bCs/>
          <w:sz w:val="24"/>
          <w:szCs w:val="18"/>
        </w:rPr>
        <w:t>.</w:t>
      </w:r>
      <w:r>
        <w:rPr>
          <w:rFonts w:ascii="宋体" w:hAnsi="宋体" w:cs="楷体"/>
          <w:b/>
          <w:bCs/>
          <w:sz w:val="24"/>
          <w:szCs w:val="18"/>
        </w:rPr>
        <w:t>2</w:t>
      </w:r>
      <w:r>
        <w:rPr>
          <w:rFonts w:hint="eastAsia" w:ascii="宋体" w:hAnsi="宋体" w:cs="楷体"/>
          <w:b/>
          <w:bCs/>
          <w:sz w:val="24"/>
          <w:szCs w:val="18"/>
        </w:rPr>
        <w:t>伸缩接头的结构和材质</w:t>
      </w:r>
      <w:bookmarkEnd w:id="6400"/>
      <w:bookmarkEnd w:id="6401"/>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伸缩接头由接头本体、密封圈、压盖、法兰体、连接短管、螺栓螺母等组成。伸缩接头的两端采用法兰与阀门连接或采用焊接与管道相连。</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伸缩接头的材质要求如下：</w:t>
      </w:r>
    </w:p>
    <w:p>
      <w:pPr>
        <w:pStyle w:val="1156"/>
        <w:numPr>
          <w:ilvl w:val="3"/>
          <w:numId w:val="62"/>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密封圈：丁晴橡胶</w:t>
      </w:r>
    </w:p>
    <w:p>
      <w:pPr>
        <w:pStyle w:val="1156"/>
        <w:numPr>
          <w:ilvl w:val="3"/>
          <w:numId w:val="62"/>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压盖：球墨铸铁或铸钢</w:t>
      </w:r>
    </w:p>
    <w:p>
      <w:pPr>
        <w:pStyle w:val="1156"/>
        <w:numPr>
          <w:ilvl w:val="3"/>
          <w:numId w:val="62"/>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法兰：铸钢</w:t>
      </w:r>
    </w:p>
    <w:p>
      <w:pPr>
        <w:pStyle w:val="1156"/>
        <w:numPr>
          <w:ilvl w:val="3"/>
          <w:numId w:val="62"/>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连接短管：</w:t>
      </w:r>
      <w:r>
        <w:rPr>
          <w:rFonts w:ascii="宋体" w:hAnsi="宋体" w:cs="楷体"/>
        </w:rPr>
        <w:t>Q235A</w:t>
      </w:r>
    </w:p>
    <w:p>
      <w:pPr>
        <w:pStyle w:val="1156"/>
        <w:numPr>
          <w:ilvl w:val="3"/>
          <w:numId w:val="62"/>
        </w:numPr>
        <w:adjustRightInd w:val="0"/>
        <w:snapToGrid w:val="0"/>
        <w:spacing w:before="203" w:beforeLines="50" w:after="203" w:afterLines="50" w:line="240" w:lineRule="auto"/>
        <w:ind w:firstLineChars="0"/>
        <w:rPr>
          <w:rFonts w:ascii="宋体" w:hAnsi="宋体" w:cs="楷体"/>
        </w:rPr>
      </w:pPr>
      <w:r>
        <w:rPr>
          <w:rFonts w:hint="eastAsia" w:ascii="宋体" w:hAnsi="宋体" w:cs="楷体"/>
          <w:szCs w:val="24"/>
        </w:rPr>
        <w:t>螺栓螺母：Q235A，全部热浸镀锌（直埋的采用不锈钢螺栓）。</w:t>
      </w:r>
    </w:p>
    <w:bookmarkEnd w:id="6390"/>
    <w:p>
      <w:pPr>
        <w:keepNext/>
        <w:adjustRightInd w:val="0"/>
        <w:snapToGrid w:val="0"/>
        <w:spacing w:before="203" w:beforeLines="50" w:after="203" w:afterLines="50"/>
        <w:outlineLvl w:val="1"/>
        <w:rPr>
          <w:rFonts w:ascii="宋体" w:hAnsi="宋体" w:cs="楷体"/>
          <w:b/>
        </w:rPr>
      </w:pPr>
      <w:bookmarkStart w:id="6402" w:name="_Toc106883648"/>
      <w:r>
        <w:rPr>
          <w:rFonts w:hint="eastAsia" w:ascii="宋体" w:hAnsi="宋体" w:cs="楷体"/>
          <w:b/>
        </w:rPr>
        <w:t>8.8潜水泵</w:t>
      </w:r>
      <w:bookmarkEnd w:id="6344"/>
      <w:bookmarkEnd w:id="6402"/>
    </w:p>
    <w:p>
      <w:pPr>
        <w:keepNext/>
        <w:adjustRightInd w:val="0"/>
        <w:snapToGrid w:val="0"/>
        <w:spacing w:before="120" w:after="120"/>
        <w:outlineLvl w:val="2"/>
        <w:rPr>
          <w:rFonts w:ascii="宋体" w:hAnsi="宋体" w:cs="楷体"/>
          <w:b/>
        </w:rPr>
      </w:pPr>
      <w:bookmarkStart w:id="6403" w:name="_Toc153868789"/>
      <w:bookmarkStart w:id="6404" w:name="_Toc153867454"/>
      <w:bookmarkStart w:id="6405" w:name="_Toc402208028"/>
      <w:bookmarkStart w:id="6406" w:name="_Toc153868594"/>
      <w:bookmarkStart w:id="6407" w:name="_Toc153707757"/>
      <w:bookmarkStart w:id="6408" w:name="_Toc448248686"/>
      <w:bookmarkStart w:id="6409" w:name="_Toc456691916"/>
      <w:bookmarkStart w:id="6410" w:name="_Toc155165557"/>
      <w:bookmarkStart w:id="6411" w:name="_Toc154309987"/>
      <w:bookmarkStart w:id="6412" w:name="_Toc343178175"/>
      <w:bookmarkStart w:id="6413" w:name="_Toc153867628"/>
      <w:bookmarkStart w:id="6414" w:name="_Toc106883649"/>
      <w:bookmarkStart w:id="6415" w:name="_Toc448248699"/>
      <w:bookmarkStart w:id="6416" w:name="_Toc86356710"/>
      <w:bookmarkStart w:id="6417" w:name="_Toc456691923"/>
      <w:r>
        <w:rPr>
          <w:rFonts w:hint="eastAsia" w:ascii="宋体" w:hAnsi="宋体" w:cs="楷体"/>
          <w:b/>
        </w:rPr>
        <w:t>8.8.1概述</w:t>
      </w:r>
      <w:bookmarkEnd w:id="6403"/>
      <w:bookmarkEnd w:id="6404"/>
      <w:bookmarkEnd w:id="6405"/>
      <w:bookmarkEnd w:id="6406"/>
      <w:bookmarkEnd w:id="6407"/>
      <w:bookmarkEnd w:id="6408"/>
      <w:bookmarkEnd w:id="6409"/>
      <w:bookmarkEnd w:id="6410"/>
      <w:bookmarkEnd w:id="6411"/>
      <w:bookmarkEnd w:id="6412"/>
      <w:bookmarkEnd w:id="6413"/>
      <w:bookmarkEnd w:id="6414"/>
    </w:p>
    <w:p>
      <w:pPr>
        <w:adjustRightInd w:val="0"/>
        <w:snapToGrid w:val="0"/>
        <w:spacing w:before="50" w:after="50"/>
        <w:ind w:firstLine="500" w:firstLineChars="200"/>
        <w:rPr>
          <w:rFonts w:ascii="宋体" w:hAnsi="宋体" w:cs="楷体"/>
        </w:rPr>
      </w:pPr>
      <w:r>
        <w:rPr>
          <w:rFonts w:hint="eastAsia" w:ascii="宋体" w:hAnsi="宋体" w:cs="楷体"/>
        </w:rPr>
        <w:t>本工程回收水池及排泥池等，内有潜污泵、排水泵等，安装位置详见供货范围及图纸。</w:t>
      </w:r>
    </w:p>
    <w:p>
      <w:pPr>
        <w:keepNext/>
        <w:adjustRightInd w:val="0"/>
        <w:snapToGrid w:val="0"/>
        <w:spacing w:before="120" w:after="120"/>
        <w:outlineLvl w:val="0"/>
        <w:rPr>
          <w:rFonts w:ascii="宋体" w:hAnsi="宋体" w:cs="楷体"/>
          <w:b/>
        </w:rPr>
      </w:pPr>
      <w:bookmarkStart w:id="6418" w:name="_Toc479408103"/>
      <w:bookmarkStart w:id="6419" w:name="_Toc456691917"/>
      <w:bookmarkStart w:id="6420" w:name="_Toc153707758"/>
      <w:bookmarkStart w:id="6421" w:name="_Toc153868595"/>
      <w:bookmarkStart w:id="6422" w:name="_Toc155165558"/>
      <w:bookmarkStart w:id="6423" w:name="_Toc153867455"/>
      <w:bookmarkStart w:id="6424" w:name="_Toc154309988"/>
      <w:bookmarkStart w:id="6425" w:name="_Toc402208029"/>
      <w:bookmarkStart w:id="6426" w:name="_Toc153867629"/>
      <w:bookmarkStart w:id="6427" w:name="_Toc153868790"/>
      <w:bookmarkStart w:id="6428" w:name="_Toc343178176"/>
      <w:bookmarkStart w:id="6429" w:name="_Toc448248687"/>
      <w:bookmarkStart w:id="6430" w:name="_Toc106883650"/>
      <w:r>
        <w:rPr>
          <w:rFonts w:hint="eastAsia" w:ascii="宋体" w:hAnsi="宋体" w:cs="楷体"/>
          <w:b/>
        </w:rPr>
        <w:t>8.8.2设备清单</w:t>
      </w:r>
      <w:bookmarkEnd w:id="6418"/>
      <w:bookmarkEnd w:id="6419"/>
      <w:bookmarkEnd w:id="6420"/>
      <w:bookmarkEnd w:id="6421"/>
      <w:bookmarkEnd w:id="6422"/>
      <w:bookmarkEnd w:id="6423"/>
      <w:bookmarkEnd w:id="6424"/>
      <w:bookmarkEnd w:id="6425"/>
      <w:bookmarkEnd w:id="6426"/>
      <w:bookmarkEnd w:id="6427"/>
      <w:bookmarkEnd w:id="6428"/>
      <w:bookmarkEnd w:id="6429"/>
      <w:bookmarkEnd w:id="6430"/>
    </w:p>
    <w:p>
      <w:pPr>
        <w:adjustRightInd w:val="0"/>
        <w:snapToGrid w:val="0"/>
        <w:spacing w:before="50" w:after="50"/>
        <w:jc w:val="center"/>
        <w:rPr>
          <w:rFonts w:ascii="宋体" w:hAnsi="宋体" w:cs="楷体"/>
        </w:rPr>
      </w:pPr>
      <w:bookmarkStart w:id="6431" w:name="_Toc343178185"/>
      <w:bookmarkStart w:id="6432" w:name="_Toc456691921"/>
      <w:bookmarkStart w:id="6433" w:name="_Toc402208038"/>
      <w:bookmarkStart w:id="6434" w:name="_Toc154309994"/>
      <w:bookmarkStart w:id="6435" w:name="_Toc448248693"/>
      <w:bookmarkStart w:id="6436" w:name="_Toc155165567"/>
      <w:r>
        <w:rPr>
          <w:rFonts w:hint="eastAsia" w:ascii="宋体" w:hAnsi="宋体" w:cs="楷体"/>
          <w:b/>
        </w:rPr>
        <w:t>设备清单及技术参数表</w:t>
      </w:r>
    </w:p>
    <w:tbl>
      <w:tblPr>
        <w:tblStyle w:val="77"/>
        <w:tblW w:w="4997" w:type="pct"/>
        <w:tblInd w:w="0" w:type="dxa"/>
        <w:tblLayout w:type="fixed"/>
        <w:tblCellMar>
          <w:top w:w="0" w:type="dxa"/>
          <w:left w:w="108" w:type="dxa"/>
          <w:bottom w:w="0" w:type="dxa"/>
          <w:right w:w="108" w:type="dxa"/>
        </w:tblCellMar>
      </w:tblPr>
      <w:tblGrid>
        <w:gridCol w:w="534"/>
        <w:gridCol w:w="1062"/>
        <w:gridCol w:w="1910"/>
        <w:gridCol w:w="749"/>
        <w:gridCol w:w="817"/>
        <w:gridCol w:w="605"/>
        <w:gridCol w:w="1265"/>
        <w:gridCol w:w="1773"/>
      </w:tblGrid>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安装位置</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潜污泵</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Q=100m</w:t>
            </w:r>
            <w:r>
              <w:rPr>
                <w:rFonts w:hint="eastAsia" w:ascii="宋体" w:hAnsi="宋体" w:cs="楷体"/>
                <w:vertAlign w:val="superscript"/>
              </w:rPr>
              <w:t>3</w:t>
            </w:r>
            <w:r>
              <w:rPr>
                <w:rFonts w:hint="eastAsia" w:ascii="宋体" w:hAnsi="宋体" w:cs="楷体"/>
              </w:rPr>
              <w:t>/h， H=10m，N=7.5kW</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台</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污水池</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1用1备，污水泵，耐腐蚀</w:t>
            </w:r>
          </w:p>
        </w:tc>
      </w:tr>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2</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排水泵</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Q=10m</w:t>
            </w:r>
            <w:r>
              <w:rPr>
                <w:rFonts w:hint="eastAsia" w:ascii="宋体" w:hAnsi="宋体" w:cs="楷体"/>
                <w:vertAlign w:val="superscript"/>
              </w:rPr>
              <w:t>3</w:t>
            </w:r>
            <w:r>
              <w:rPr>
                <w:rFonts w:hint="eastAsia" w:ascii="宋体" w:hAnsi="宋体" w:cs="楷体"/>
              </w:rPr>
              <w:t>/h,H=7m,N=1.5kw</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反冲洗泵房排水坑</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一用一备</w:t>
            </w:r>
          </w:p>
        </w:tc>
      </w:tr>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3</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潜水泵</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Q=10m</w:t>
            </w:r>
            <w:r>
              <w:rPr>
                <w:rFonts w:hint="eastAsia" w:ascii="宋体" w:hAnsi="宋体" w:cs="楷体"/>
                <w:vertAlign w:val="superscript"/>
              </w:rPr>
              <w:t>3</w:t>
            </w:r>
            <w:r>
              <w:rPr>
                <w:rFonts w:hint="eastAsia" w:ascii="宋体" w:hAnsi="宋体" w:cs="楷体"/>
              </w:rPr>
              <w:t xml:space="preserve"> /h  H=9m  N=1.5KW</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台</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送水泵房</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配套管线</w:t>
            </w:r>
          </w:p>
        </w:tc>
      </w:tr>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4</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潜水泵（回收泵）</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Q=15m</w:t>
            </w:r>
            <w:r>
              <w:rPr>
                <w:rFonts w:hint="eastAsia" w:ascii="宋体" w:hAnsi="宋体" w:cs="楷体"/>
                <w:vertAlign w:val="superscript"/>
              </w:rPr>
              <w:t>3</w:t>
            </w:r>
            <w:r>
              <w:rPr>
                <w:rFonts w:hint="eastAsia" w:ascii="宋体" w:hAnsi="宋体" w:cs="楷体"/>
              </w:rPr>
              <w:t>/h H＝15m P＝4kw</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回收水池及排泥池</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变频泵，两用两备，含导轨等相关配件</w:t>
            </w:r>
          </w:p>
        </w:tc>
      </w:tr>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5</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潜水泵（污泥泵）</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Q=14m</w:t>
            </w:r>
            <w:r>
              <w:rPr>
                <w:rFonts w:hint="eastAsia" w:ascii="宋体" w:hAnsi="宋体" w:cs="楷体"/>
                <w:vertAlign w:val="superscript"/>
              </w:rPr>
              <w:t>3</w:t>
            </w:r>
            <w:r>
              <w:rPr>
                <w:rFonts w:hint="eastAsia" w:ascii="宋体" w:hAnsi="宋体" w:cs="楷体"/>
              </w:rPr>
              <w:t>/h H＝15m P＝4kw</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回收水池及排泥池</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两用两备，含导轨等相关配件</w:t>
            </w:r>
          </w:p>
        </w:tc>
      </w:tr>
    </w:tbl>
    <w:p>
      <w:pPr>
        <w:adjustRightInd w:val="0"/>
        <w:snapToGrid w:val="0"/>
        <w:spacing w:before="50" w:after="50"/>
        <w:rPr>
          <w:rFonts w:ascii="宋体" w:hAnsi="宋体" w:cs="楷体"/>
          <w:i/>
          <w:iCs/>
        </w:rPr>
      </w:pPr>
      <w:r>
        <w:rPr>
          <w:rFonts w:hint="eastAsia" w:ascii="宋体" w:hAnsi="宋体" w:cs="楷体"/>
          <w:i/>
          <w:iCs/>
        </w:rPr>
        <w:t>注：（1）承包商须标明各水泵的额定工况点的轴功率及水力效率。（2）本“采购设备清单”不得被认为是详尽无遗的，无论规定与否，承包商应提供所有业主未提及的必要的元件、器件、附件、配套设备和相应材料，并在投标文件报价中一一列明。</w:t>
      </w:r>
    </w:p>
    <w:p>
      <w:pPr>
        <w:keepNext/>
        <w:adjustRightInd w:val="0"/>
        <w:snapToGrid w:val="0"/>
        <w:spacing w:before="120" w:after="120"/>
        <w:outlineLvl w:val="0"/>
        <w:rPr>
          <w:rFonts w:ascii="宋体" w:hAnsi="宋体" w:cs="楷体"/>
          <w:b/>
        </w:rPr>
      </w:pPr>
      <w:bookmarkStart w:id="6437" w:name="_Toc402208030"/>
      <w:bookmarkStart w:id="6438" w:name="_Toc479408104"/>
      <w:bookmarkStart w:id="6439" w:name="_Toc448248688"/>
      <w:bookmarkStart w:id="6440" w:name="_Toc456691918"/>
      <w:bookmarkStart w:id="6441" w:name="_Toc155165559"/>
      <w:bookmarkStart w:id="6442" w:name="_Toc343178177"/>
      <w:bookmarkStart w:id="6443" w:name="_Toc154309989"/>
      <w:bookmarkStart w:id="6444" w:name="_Toc106883651"/>
      <w:r>
        <w:rPr>
          <w:rFonts w:hint="eastAsia" w:ascii="宋体" w:hAnsi="宋体" w:cs="楷体"/>
          <w:b/>
        </w:rPr>
        <w:t>8.8.3供货范围</w:t>
      </w:r>
      <w:bookmarkEnd w:id="6437"/>
      <w:bookmarkEnd w:id="6438"/>
      <w:bookmarkEnd w:id="6439"/>
      <w:bookmarkEnd w:id="6440"/>
      <w:bookmarkEnd w:id="6441"/>
      <w:bookmarkEnd w:id="6442"/>
      <w:bookmarkEnd w:id="6443"/>
      <w:bookmarkEnd w:id="6444"/>
    </w:p>
    <w:p>
      <w:pPr>
        <w:adjustRightInd w:val="0"/>
        <w:snapToGrid w:val="0"/>
        <w:spacing w:before="120" w:after="120"/>
        <w:ind w:firstLine="500" w:firstLineChars="200"/>
        <w:rPr>
          <w:rFonts w:ascii="宋体" w:hAnsi="宋体" w:cs="楷体"/>
        </w:rPr>
      </w:pPr>
      <w:r>
        <w:rPr>
          <w:rFonts w:hint="eastAsia" w:ascii="宋体" w:hAnsi="宋体" w:cs="楷体"/>
        </w:rPr>
        <w:t>供货范围: 设备清单表中列出的各项设备成套、整体供货。</w:t>
      </w:r>
    </w:p>
    <w:p>
      <w:pPr>
        <w:adjustRightInd w:val="0"/>
        <w:snapToGrid w:val="0"/>
        <w:spacing w:before="120" w:after="120"/>
        <w:ind w:firstLine="500" w:firstLineChars="200"/>
        <w:rPr>
          <w:rFonts w:ascii="宋体" w:hAnsi="宋体" w:cs="楷体"/>
        </w:rPr>
      </w:pPr>
      <w:r>
        <w:rPr>
          <w:rFonts w:hint="eastAsia" w:ascii="宋体" w:hAnsi="宋体" w:cs="楷体"/>
        </w:rPr>
        <w:t>潜水泵供货界面包括：水泵设备、水下设备保护装置、水泵导杆（绳）（包括固定支座、螺栓、螺母）、起吊链、水泵底座固定螺栓、螺母、配套起吊架、设备正常运行必要的监控装置、配套电控柜（箱）、电控柜（箱）至设备、仪表的潜水专用电缆（大于10m，满足设计图纸需求）、电缆护套、电缆固定绳及固定卡子、随机备品备件、专用工具等。</w:t>
      </w:r>
    </w:p>
    <w:p>
      <w:pPr>
        <w:adjustRightInd w:val="0"/>
        <w:snapToGrid w:val="0"/>
        <w:spacing w:before="120" w:after="120"/>
        <w:ind w:firstLine="500" w:firstLineChars="200"/>
        <w:rPr>
          <w:rFonts w:ascii="宋体" w:hAnsi="宋体" w:cs="楷体"/>
        </w:rPr>
      </w:pPr>
      <w:r>
        <w:rPr>
          <w:rFonts w:hint="eastAsia" w:ascii="宋体" w:hAnsi="宋体" w:cs="楷体"/>
        </w:rPr>
        <w:t>承包商提供的设备和电机应成套供货，每台设备应按设备清单中要求提供配套设备、电控柜（箱）、电控柜（箱）至设备、仪表的电缆、电缆保护管等有效和安全安装、运行所必需的附件。</w:t>
      </w:r>
    </w:p>
    <w:p>
      <w:pPr>
        <w:keepNext/>
        <w:adjustRightInd w:val="0"/>
        <w:snapToGrid w:val="0"/>
        <w:spacing w:before="120" w:after="120"/>
        <w:outlineLvl w:val="2"/>
        <w:rPr>
          <w:rFonts w:ascii="宋体" w:hAnsi="宋体" w:cs="楷体"/>
          <w:b/>
        </w:rPr>
      </w:pPr>
      <w:bookmarkStart w:id="6445" w:name="_Toc402208034"/>
      <w:bookmarkStart w:id="6446" w:name="_Toc448248689"/>
      <w:bookmarkStart w:id="6447" w:name="_Toc343178181"/>
      <w:bookmarkStart w:id="6448" w:name="_Toc456691919"/>
      <w:bookmarkStart w:id="6449" w:name="_Toc479408105"/>
      <w:bookmarkStart w:id="6450" w:name="_Toc155165563"/>
      <w:bookmarkStart w:id="6451" w:name="_Toc106883652"/>
      <w:r>
        <w:rPr>
          <w:rFonts w:hint="eastAsia" w:ascii="宋体" w:hAnsi="宋体" w:cs="楷体"/>
          <w:b/>
        </w:rPr>
        <w:t>8.8.4运行条件及使用环境</w:t>
      </w:r>
      <w:bookmarkEnd w:id="6445"/>
      <w:bookmarkEnd w:id="6446"/>
      <w:bookmarkEnd w:id="6447"/>
      <w:bookmarkEnd w:id="6448"/>
      <w:bookmarkEnd w:id="6449"/>
      <w:bookmarkEnd w:id="6450"/>
      <w:bookmarkEnd w:id="6451"/>
    </w:p>
    <w:p>
      <w:pPr>
        <w:pStyle w:val="20"/>
        <w:snapToGrid w:val="0"/>
        <w:spacing w:before="120" w:after="120" w:line="240" w:lineRule="auto"/>
        <w:ind w:left="0" w:right="159" w:firstLine="0"/>
        <w:rPr>
          <w:rFonts w:ascii="宋体" w:hAnsi="宋体" w:cs="楷体"/>
          <w:b/>
          <w:bCs/>
          <w:sz w:val="24"/>
          <w:szCs w:val="18"/>
        </w:rPr>
      </w:pPr>
      <w:bookmarkStart w:id="6452" w:name="_Toc154309991"/>
      <w:bookmarkStart w:id="6453" w:name="_Toc343178182"/>
      <w:bookmarkStart w:id="6454" w:name="_Toc155165564"/>
      <w:bookmarkStart w:id="6455" w:name="_Toc402208035"/>
      <w:bookmarkStart w:id="6456" w:name="_Toc448248690"/>
      <w:bookmarkStart w:id="6457" w:name="_Toc153375903"/>
      <w:bookmarkStart w:id="6458" w:name="_Toc153376950"/>
      <w:bookmarkStart w:id="6459" w:name="_Toc153357530"/>
      <w:bookmarkStart w:id="6460" w:name="_Toc153347438"/>
      <w:bookmarkStart w:id="6461" w:name="_Toc150895170"/>
      <w:bookmarkStart w:id="6462" w:name="_Toc153360083"/>
      <w:bookmarkStart w:id="6463" w:name="_Toc153357050"/>
      <w:bookmarkStart w:id="6464" w:name="_Toc153867535"/>
      <w:bookmarkStart w:id="6465" w:name="_Toc153359890"/>
      <w:bookmarkStart w:id="6466" w:name="_Toc153707698"/>
      <w:bookmarkStart w:id="6467" w:name="_Toc153867353"/>
      <w:bookmarkStart w:id="6468" w:name="_Toc153868531"/>
      <w:bookmarkStart w:id="6469" w:name="_Toc153357210"/>
      <w:bookmarkStart w:id="6470" w:name="_Toc153376834"/>
      <w:bookmarkStart w:id="6471" w:name="_Toc153356715"/>
      <w:bookmarkStart w:id="6472" w:name="_Toc153357370"/>
      <w:bookmarkStart w:id="6473" w:name="_Toc153868729"/>
      <w:bookmarkStart w:id="6474" w:name="_Toc153377124"/>
      <w:r>
        <w:rPr>
          <w:rFonts w:hint="eastAsia" w:ascii="宋体" w:hAnsi="宋体" w:cs="楷体"/>
          <w:b/>
          <w:bCs/>
          <w:sz w:val="24"/>
          <w:szCs w:val="18"/>
        </w:rPr>
        <w:t>8.8.4.1运行条件</w:t>
      </w:r>
      <w:bookmarkEnd w:id="6452"/>
      <w:bookmarkEnd w:id="6453"/>
      <w:bookmarkEnd w:id="6454"/>
      <w:bookmarkEnd w:id="6455"/>
      <w:bookmarkEnd w:id="6456"/>
    </w:p>
    <w:p>
      <w:pPr>
        <w:autoSpaceDE w:val="0"/>
        <w:autoSpaceDN w:val="0"/>
        <w:adjustRightInd w:val="0"/>
        <w:snapToGrid w:val="0"/>
        <w:spacing w:before="120" w:after="120"/>
        <w:ind w:firstLine="500" w:firstLineChars="200"/>
        <w:rPr>
          <w:rFonts w:ascii="宋体" w:hAnsi="宋体" w:cs="楷体"/>
        </w:rPr>
      </w:pPr>
      <w:r>
        <w:rPr>
          <w:rFonts w:hint="eastAsia" w:ascii="宋体" w:hAnsi="宋体" w:cs="楷体"/>
        </w:rPr>
        <w:t>1）</w:t>
      </w:r>
      <w:r>
        <w:rPr>
          <w:rFonts w:hint="eastAsia" w:ascii="宋体" w:hAnsi="宋体" w:cs="楷体"/>
          <w:lang w:eastAsia="zh-TW"/>
        </w:rPr>
        <w:t>介质条件：介质温度</w:t>
      </w:r>
      <w:r>
        <w:rPr>
          <w:rFonts w:hint="eastAsia" w:ascii="宋体" w:hAnsi="宋体" w:cs="楷体"/>
        </w:rPr>
        <w:t>:0</w:t>
      </w:r>
      <w:r>
        <w:rPr>
          <w:rFonts w:hint="eastAsia" w:ascii="宋体" w:hAnsi="宋体" w:cs="楷体"/>
          <w:lang w:eastAsia="zh-TW"/>
        </w:rPr>
        <w:t>℃</w:t>
      </w:r>
      <w:r>
        <w:rPr>
          <w:rFonts w:hint="eastAsia" w:ascii="宋体" w:hAnsi="宋体" w:cs="楷体"/>
        </w:rPr>
        <w:t>-40</w:t>
      </w:r>
      <w:r>
        <w:rPr>
          <w:rFonts w:hint="eastAsia" w:ascii="宋体" w:hAnsi="宋体" w:cs="楷体"/>
          <w:lang w:eastAsia="zh-TW"/>
        </w:rPr>
        <w:t>℃；</w:t>
      </w:r>
      <w:r>
        <w:rPr>
          <w:rFonts w:hint="eastAsia" w:ascii="宋体" w:hAnsi="宋体" w:cs="楷体"/>
        </w:rPr>
        <w:t>pH:6-9</w:t>
      </w:r>
    </w:p>
    <w:p>
      <w:pPr>
        <w:autoSpaceDE w:val="0"/>
        <w:autoSpaceDN w:val="0"/>
        <w:adjustRightInd w:val="0"/>
        <w:snapToGrid w:val="0"/>
        <w:spacing w:before="120" w:after="120"/>
        <w:ind w:firstLine="500" w:firstLineChars="200"/>
        <w:rPr>
          <w:rFonts w:ascii="宋体" w:hAnsi="宋体" w:cs="楷体"/>
          <w:lang w:eastAsia="zh-TW"/>
        </w:rPr>
      </w:pPr>
      <w:r>
        <w:rPr>
          <w:rFonts w:hint="eastAsia" w:ascii="宋体" w:hAnsi="宋体" w:cs="楷体"/>
        </w:rPr>
        <w:t>2）</w:t>
      </w:r>
      <w:r>
        <w:rPr>
          <w:rFonts w:hint="eastAsia" w:ascii="宋体" w:hAnsi="宋体" w:cs="楷体"/>
          <w:lang w:eastAsia="zh-TW"/>
        </w:rPr>
        <w:t>环境条件：环境温度</w:t>
      </w:r>
      <w:r>
        <w:rPr>
          <w:rFonts w:hint="eastAsia" w:ascii="宋体" w:hAnsi="宋体" w:cs="楷体"/>
        </w:rPr>
        <w:t>:-1</w:t>
      </w:r>
      <w:r>
        <w:rPr>
          <w:rFonts w:ascii="宋体" w:hAnsi="宋体" w:cs="楷体"/>
        </w:rPr>
        <w:t>0</w:t>
      </w:r>
      <w:r>
        <w:rPr>
          <w:rFonts w:hint="eastAsia" w:ascii="宋体" w:hAnsi="宋体" w:cs="楷体"/>
          <w:lang w:eastAsia="zh-TW"/>
        </w:rPr>
        <w:t>℃</w:t>
      </w:r>
      <w:r>
        <w:rPr>
          <w:rFonts w:hint="eastAsia" w:ascii="宋体" w:hAnsi="宋体" w:cs="楷体"/>
        </w:rPr>
        <w:t>～40</w:t>
      </w:r>
      <w:r>
        <w:rPr>
          <w:rFonts w:hint="eastAsia" w:ascii="宋体" w:hAnsi="宋体" w:cs="楷体"/>
          <w:lang w:eastAsia="zh-TW"/>
        </w:rPr>
        <w:t>℃</w:t>
      </w:r>
    </w:p>
    <w:p>
      <w:pPr>
        <w:numPr>
          <w:ilvl w:val="0"/>
          <w:numId w:val="63"/>
        </w:numPr>
        <w:autoSpaceDE w:val="0"/>
        <w:autoSpaceDN w:val="0"/>
        <w:adjustRightInd w:val="0"/>
        <w:snapToGrid w:val="0"/>
        <w:spacing w:before="120" w:after="120"/>
        <w:ind w:firstLine="480"/>
        <w:rPr>
          <w:rFonts w:ascii="宋体" w:hAnsi="宋体" w:cs="楷体"/>
          <w:lang w:eastAsia="zh-TW"/>
        </w:rPr>
      </w:pPr>
      <w:r>
        <w:rPr>
          <w:rFonts w:hint="eastAsia" w:ascii="宋体" w:hAnsi="宋体" w:cs="楷体"/>
        </w:rPr>
        <w:t>启动方式：</w:t>
      </w:r>
      <w:r>
        <w:rPr>
          <w:rFonts w:hint="eastAsia" w:ascii="宋体" w:hAnsi="宋体" w:cs="楷体"/>
          <w:lang w:eastAsia="zh-TW"/>
        </w:rPr>
        <w:t>直接启动</w:t>
      </w:r>
    </w:p>
    <w:p>
      <w:pPr>
        <w:adjustRightInd w:val="0"/>
        <w:snapToGrid w:val="0"/>
        <w:spacing w:before="120" w:after="120"/>
        <w:ind w:firstLine="500" w:firstLineChars="200"/>
        <w:rPr>
          <w:rFonts w:ascii="宋体" w:hAnsi="宋体" w:cs="楷体"/>
          <w:lang w:eastAsia="zh-TW"/>
        </w:rPr>
      </w:pPr>
      <w:r>
        <w:rPr>
          <w:rFonts w:hint="eastAsia" w:ascii="宋体" w:hAnsi="宋体" w:cs="楷体"/>
        </w:rPr>
        <w:t>4）工作方式：间歇运转或连续运行。</w:t>
      </w:r>
    </w:p>
    <w:p>
      <w:pPr>
        <w:adjustRightInd w:val="0"/>
        <w:snapToGrid w:val="0"/>
        <w:spacing w:before="120" w:after="120"/>
        <w:outlineLvl w:val="0"/>
        <w:rPr>
          <w:rFonts w:ascii="宋体" w:hAnsi="宋体" w:cs="楷体"/>
          <w:b/>
        </w:rPr>
      </w:pPr>
      <w:bookmarkStart w:id="6475" w:name="_Toc343178183"/>
      <w:bookmarkStart w:id="6476" w:name="_Toc448248691"/>
      <w:bookmarkStart w:id="6477" w:name="_Toc479408110"/>
      <w:bookmarkStart w:id="6478" w:name="_Toc155165565"/>
      <w:bookmarkStart w:id="6479" w:name="_Toc402208036"/>
      <w:bookmarkStart w:id="6480" w:name="_Toc154309992"/>
      <w:bookmarkStart w:id="6481" w:name="_Toc106050395"/>
      <w:bookmarkStart w:id="6482" w:name="_Toc106883653"/>
      <w:r>
        <w:rPr>
          <w:rFonts w:hint="eastAsia" w:ascii="宋体" w:hAnsi="宋体" w:cs="楷体"/>
          <w:b/>
        </w:rPr>
        <w:t>8.8.4.2使用环境</w:t>
      </w:r>
      <w:bookmarkEnd w:id="6475"/>
      <w:bookmarkEnd w:id="6476"/>
      <w:bookmarkEnd w:id="6477"/>
      <w:bookmarkEnd w:id="6478"/>
      <w:bookmarkEnd w:id="6479"/>
      <w:bookmarkEnd w:id="6480"/>
      <w:bookmarkEnd w:id="6481"/>
      <w:bookmarkEnd w:id="6482"/>
      <w:r>
        <w:rPr>
          <w:rFonts w:hint="eastAsia" w:ascii="宋体" w:hAnsi="宋体" w:cs="楷体"/>
          <w:b/>
        </w:rPr>
        <w:tab/>
      </w:r>
    </w:p>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Pr>
        <w:adjustRightInd w:val="0"/>
        <w:snapToGrid w:val="0"/>
        <w:spacing w:before="120" w:after="120"/>
        <w:ind w:firstLine="500" w:firstLineChars="200"/>
        <w:rPr>
          <w:rFonts w:ascii="宋体" w:hAnsi="宋体" w:cs="楷体"/>
        </w:rPr>
      </w:pPr>
      <w:r>
        <w:rPr>
          <w:rFonts w:hint="eastAsia" w:ascii="宋体" w:hAnsi="宋体" w:cs="楷体"/>
        </w:rPr>
        <w:t>潜污泵设备均位于水下，供水成套机组设于室内。</w:t>
      </w:r>
    </w:p>
    <w:p>
      <w:pPr>
        <w:keepNext/>
        <w:adjustRightInd w:val="0"/>
        <w:snapToGrid w:val="0"/>
        <w:spacing w:before="120" w:after="120"/>
        <w:outlineLvl w:val="0"/>
        <w:rPr>
          <w:rFonts w:ascii="宋体" w:hAnsi="宋体" w:cs="楷体"/>
          <w:b/>
        </w:rPr>
      </w:pPr>
      <w:bookmarkStart w:id="6483" w:name="_Toc106883654"/>
      <w:r>
        <w:rPr>
          <w:rFonts w:hint="eastAsia" w:ascii="宋体" w:hAnsi="宋体" w:cs="楷体"/>
          <w:b/>
        </w:rPr>
        <w:t>8.8.5特别说明</w:t>
      </w:r>
      <w:bookmarkEnd w:id="6431"/>
      <w:bookmarkEnd w:id="6432"/>
      <w:bookmarkEnd w:id="6433"/>
      <w:bookmarkEnd w:id="6434"/>
      <w:bookmarkEnd w:id="6435"/>
      <w:bookmarkEnd w:id="6436"/>
      <w:bookmarkEnd w:id="6483"/>
    </w:p>
    <w:p>
      <w:pPr>
        <w:adjustRightInd w:val="0"/>
        <w:snapToGrid w:val="0"/>
        <w:spacing w:before="120" w:after="120"/>
        <w:ind w:firstLine="500" w:firstLineChars="200"/>
        <w:rPr>
          <w:rFonts w:ascii="宋体" w:hAnsi="宋体" w:cs="楷体"/>
        </w:rPr>
      </w:pPr>
      <w:r>
        <w:rPr>
          <w:rFonts w:hint="eastAsia" w:ascii="宋体" w:hAnsi="宋体" w:cs="楷体"/>
        </w:rPr>
        <w:t>设备所配电动机应满足GB18613-2012《中小型三相异步电动机能效限定值及节能评价值》要求。</w:t>
      </w:r>
    </w:p>
    <w:p>
      <w:pPr>
        <w:adjustRightInd w:val="0"/>
        <w:snapToGrid w:val="0"/>
        <w:spacing w:before="120" w:after="120"/>
        <w:ind w:firstLine="500" w:firstLineChars="200"/>
        <w:rPr>
          <w:rFonts w:ascii="宋体" w:hAnsi="宋体" w:cs="楷体"/>
        </w:rPr>
      </w:pPr>
      <w:r>
        <w:rPr>
          <w:rFonts w:hint="eastAsia" w:ascii="宋体" w:hAnsi="宋体" w:cs="楷体"/>
        </w:rPr>
        <w:t>提供水泵安装图。</w:t>
      </w:r>
    </w:p>
    <w:p>
      <w:pPr>
        <w:adjustRightInd w:val="0"/>
        <w:snapToGrid w:val="0"/>
        <w:spacing w:before="120" w:after="120"/>
        <w:ind w:firstLine="500" w:firstLineChars="200"/>
        <w:rPr>
          <w:rFonts w:ascii="宋体" w:hAnsi="宋体" w:cs="楷体"/>
        </w:rPr>
      </w:pPr>
      <w:r>
        <w:rPr>
          <w:rFonts w:hint="eastAsia" w:ascii="宋体" w:hAnsi="宋体" w:cs="楷体"/>
        </w:rPr>
        <w:t>提供配套电控柜（箱）、端子接线箱外形尺寸、安装方式及电控柜（箱）原理图、端子接线图等。</w:t>
      </w:r>
    </w:p>
    <w:p>
      <w:pPr>
        <w:adjustRightInd w:val="0"/>
        <w:snapToGrid w:val="0"/>
        <w:spacing w:before="120" w:after="120"/>
        <w:ind w:firstLine="500" w:firstLineChars="200"/>
        <w:rPr>
          <w:rFonts w:ascii="宋体" w:hAnsi="宋体" w:cs="楷体"/>
        </w:rPr>
      </w:pPr>
      <w:r>
        <w:rPr>
          <w:rFonts w:hint="eastAsia" w:ascii="宋体" w:hAnsi="宋体" w:cs="楷体"/>
        </w:rPr>
        <w:t>提供配套监控装置外形尺寸、端子接线图及满足要求的界面接口参数等。</w:t>
      </w:r>
    </w:p>
    <w:p>
      <w:pPr>
        <w:keepNext/>
        <w:adjustRightInd w:val="0"/>
        <w:snapToGrid w:val="0"/>
        <w:spacing w:before="120" w:after="120"/>
        <w:outlineLvl w:val="0"/>
        <w:rPr>
          <w:rFonts w:ascii="宋体" w:hAnsi="宋体" w:cs="楷体"/>
          <w:b/>
        </w:rPr>
      </w:pPr>
      <w:bookmarkStart w:id="6484" w:name="_Toc153868596"/>
      <w:bookmarkStart w:id="6485" w:name="_Toc153707759"/>
      <w:bookmarkStart w:id="6486" w:name="_Toc153868791"/>
      <w:bookmarkStart w:id="6487" w:name="_Toc153867630"/>
      <w:bookmarkStart w:id="6488" w:name="_Toc155165568"/>
      <w:bookmarkStart w:id="6489" w:name="_Toc154309995"/>
      <w:bookmarkStart w:id="6490" w:name="_Toc343178186"/>
      <w:bookmarkStart w:id="6491" w:name="_Toc402208039"/>
      <w:bookmarkStart w:id="6492" w:name="_Toc153867456"/>
      <w:bookmarkStart w:id="6493" w:name="_Toc448248694"/>
      <w:bookmarkStart w:id="6494" w:name="_Toc456691922"/>
      <w:bookmarkStart w:id="6495" w:name="_Toc106883655"/>
      <w:r>
        <w:rPr>
          <w:rFonts w:hint="eastAsia" w:ascii="宋体" w:hAnsi="宋体" w:cs="楷体"/>
          <w:b/>
        </w:rPr>
        <w:t>8.8.6技术要求</w:t>
      </w:r>
      <w:bookmarkEnd w:id="6484"/>
      <w:bookmarkEnd w:id="6485"/>
      <w:bookmarkEnd w:id="6486"/>
      <w:bookmarkEnd w:id="6487"/>
      <w:bookmarkEnd w:id="6488"/>
      <w:bookmarkEnd w:id="6489"/>
      <w:bookmarkEnd w:id="6490"/>
      <w:bookmarkEnd w:id="6491"/>
      <w:bookmarkEnd w:id="6492"/>
      <w:bookmarkEnd w:id="6493"/>
      <w:bookmarkEnd w:id="6494"/>
      <w:bookmarkEnd w:id="6495"/>
    </w:p>
    <w:p>
      <w:pPr>
        <w:pStyle w:val="20"/>
        <w:snapToGrid w:val="0"/>
        <w:spacing w:before="120" w:after="120" w:line="240" w:lineRule="auto"/>
        <w:ind w:left="0" w:right="159" w:firstLine="0"/>
        <w:rPr>
          <w:rFonts w:ascii="宋体" w:hAnsi="宋体" w:cs="楷体"/>
          <w:b/>
          <w:bCs/>
          <w:sz w:val="24"/>
          <w:szCs w:val="18"/>
        </w:rPr>
      </w:pPr>
      <w:bookmarkStart w:id="6496" w:name="_Toc153707762"/>
      <w:bookmarkStart w:id="6497" w:name="_Toc153867633"/>
      <w:bookmarkStart w:id="6498" w:name="_Toc153867459"/>
      <w:bookmarkStart w:id="6499" w:name="_Toc143151702"/>
      <w:bookmarkStart w:id="6500" w:name="_Toc13159814"/>
      <w:bookmarkStart w:id="6501" w:name="_Toc153868794"/>
      <w:bookmarkStart w:id="6502" w:name="_Toc153868599"/>
      <w:r>
        <w:rPr>
          <w:rFonts w:hint="eastAsia" w:ascii="宋体" w:hAnsi="宋体" w:cs="楷体"/>
          <w:b/>
          <w:bCs/>
          <w:sz w:val="24"/>
          <w:szCs w:val="18"/>
        </w:rPr>
        <w:t>8.8.6.1  使用要求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1）离心式潜污泵的设计制造及供货应符合ISO、IEC、GB、ZBJ标准或一般技术规定相应条款所列的其它等效标准，同时不得低于中国国家标准。</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2）潜污泵必须是立式，叶轮为离心式叶轮，采用水力平衡的、无阻塞流道设计。能够输送原生的和未经处理的污水，固定湿式安装，采用自动耦合系统，靠泵机自重沿导杆下滑到达底座，与出水口自动连接并密封。维修时可随时起吊机组，无需维修人员进入泵坑。必须能够输送原生和未经过滤的污水或污泥，并应能通过粘性材料、破布、废纸和塑料等而不堵塞。</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3）潜污泵应能连续和间歇运行，满足每小时至少能启动20次。采用380V电机，绝缘等级为H级，防护等级IP68，须提供制造商盖章声明材料。</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4）潜污泵应能根据泵房内水位自动启停。每台泵都能与净水厂自控系统相连，能在现场手动控制或自动控制状态下运行。</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5）每台泵需配备耦合接口、耦合底座、不锈钢导轨和吊链及其他必要的附件，在移动和自动就位时起联结作用。耦合装置能沿着导轨在提升链牵引下从泵坑口到耦合底座间自由滑动，泵单元与出水连接座之间的密封完全是通过加工过的金属对金属的紧密接触来完成，泵/电机的全部重量由泵的排水弯管承担，泵/电机的任何部分不直接与泵坑底板接触或放在泵坑底板的支座上。</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6）在整个泵的设计工作范围内，泵装置的运行必须无振动、无气蚀、平衡、稳定。</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7）泵装置的旋转部件必须经过水下静平衡和动平衡试验，并于供货前提供相关专门检测部门的检测报告。</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8）整个装置必须适合于安装设计所留出的空间，并顾及吸入条件。</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9）泵应能承受各种正常和异常操作情况下产生的受力，如：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（Ⅰ）由于污水倒流而引起的叶轮倒转。</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（Ⅱ）由于断电及紧急停车而引起的水力瞬变。</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（Ⅲ）固体物撞击时的力。</w:t>
      </w:r>
    </w:p>
    <w:p>
      <w:pPr>
        <w:pStyle w:val="20"/>
        <w:snapToGrid w:val="0"/>
        <w:spacing w:before="120" w:after="120" w:line="240" w:lineRule="auto"/>
        <w:ind w:left="0" w:right="159" w:firstLine="0"/>
        <w:rPr>
          <w:rFonts w:ascii="宋体" w:hAnsi="宋体" w:cs="楷体"/>
          <w:b/>
          <w:bCs/>
          <w:sz w:val="24"/>
          <w:szCs w:val="18"/>
        </w:rPr>
      </w:pPr>
      <w:r>
        <w:rPr>
          <w:rFonts w:hint="eastAsia" w:ascii="宋体" w:hAnsi="宋体" w:cs="楷体"/>
          <w:b/>
          <w:bCs/>
          <w:sz w:val="24"/>
          <w:szCs w:val="18"/>
        </w:rPr>
        <w:t>8.8.6.2  构造</w:t>
      </w:r>
      <w:bookmarkEnd w:id="6496"/>
      <w:bookmarkEnd w:id="6497"/>
      <w:bookmarkEnd w:id="6498"/>
      <w:bookmarkEnd w:id="6499"/>
      <w:bookmarkEnd w:id="6500"/>
      <w:bookmarkEnd w:id="6501"/>
      <w:bookmarkEnd w:id="6502"/>
    </w:p>
    <w:p>
      <w:pPr>
        <w:adjustRightInd w:val="0"/>
        <w:snapToGrid w:val="0"/>
        <w:spacing w:before="203" w:beforeLines="50" w:after="203" w:afterLines="50"/>
        <w:ind w:firstLine="500" w:firstLineChars="200"/>
        <w:rPr>
          <w:rFonts w:ascii="宋体" w:hAnsi="宋体" w:cs="楷体"/>
          <w:bCs/>
        </w:rPr>
      </w:pPr>
      <w:bookmarkStart w:id="6503" w:name="_Toc106050398"/>
      <w:r>
        <w:rPr>
          <w:rFonts w:hint="eastAsia" w:ascii="宋体" w:hAnsi="宋体" w:cs="楷体"/>
          <w:bCs/>
        </w:rPr>
        <w:t>1．水泵</w:t>
      </w:r>
      <w:bookmarkEnd w:id="6503"/>
    </w:p>
    <w:p>
      <w:pPr>
        <w:adjustRightInd w:val="0"/>
        <w:snapToGrid w:val="0"/>
        <w:spacing w:before="203" w:beforeLines="50" w:after="203" w:afterLines="50"/>
        <w:ind w:firstLine="500" w:firstLineChars="200"/>
        <w:rPr>
          <w:rFonts w:ascii="宋体" w:hAnsi="宋体" w:cs="楷体"/>
          <w:bCs/>
        </w:rPr>
      </w:pPr>
      <w:bookmarkStart w:id="6504" w:name="_Toc153707763"/>
      <w:bookmarkStart w:id="6505" w:name="_Toc153867460"/>
      <w:bookmarkStart w:id="6506" w:name="_Toc13159815"/>
      <w:bookmarkStart w:id="6507" w:name="_Toc143151703"/>
      <w:bookmarkStart w:id="6508" w:name="_Toc153868600"/>
      <w:bookmarkStart w:id="6509" w:name="_Toc153867634"/>
      <w:bookmarkStart w:id="6510" w:name="_Toc153868795"/>
      <w:r>
        <w:rPr>
          <w:rFonts w:hint="eastAsia" w:ascii="宋体" w:hAnsi="宋体" w:cs="楷体"/>
          <w:bCs/>
        </w:rPr>
        <w:t>（1）潜水排污泵由电机、泵体组成。水泵壳体的出水口为径向出水口，出水口中心线与水泵中心线在同一平面内。水泵壳体是整件的灰口铸铁，偏心设计，足够大的平滑流道以通过进入叶轮的颗粒。表面平滑、无砂眼或其他铸造缺陷。为了确保流量稳定且没有过多漩涡，泵体设计和制造成没有锐利的棱角。</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2）叶轮为离心式叶轮。叶轮是35B等级（DIN1691，GG25）的灰口铸铁材质的，导叶部分进行硬化处理，至少达到RC45。采用半开式多叶片、后扫式、无堵塞设计。当叶轮旋转时能够通过泵室（或插入环）上的释放凹槽对叶轮进行清洁，使叶片上不积累杂质，从而维持水泵能自清洁无堵塞运行。</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（3）叶轮进行精密动平衡，动平衡精度达到G6.3级，振动裂变小于0.45mm/S,叶轮涂有镀醇酸聚酯树脂涂层。</w:t>
      </w:r>
    </w:p>
    <w:p>
      <w:pPr>
        <w:adjustRightInd w:val="0"/>
        <w:snapToGrid w:val="0"/>
        <w:spacing w:before="203" w:beforeLines="50" w:after="203" w:afterLines="50"/>
        <w:ind w:firstLine="500" w:firstLineChars="200"/>
        <w:rPr>
          <w:rFonts w:ascii="宋体" w:hAnsi="宋体" w:cs="楷体"/>
          <w:bCs/>
        </w:rPr>
      </w:pPr>
      <w:bookmarkStart w:id="6511" w:name="_Toc106050399"/>
      <w:r>
        <w:rPr>
          <w:rFonts w:hint="eastAsia" w:ascii="宋体" w:hAnsi="宋体" w:cs="楷体"/>
          <w:bCs/>
        </w:rPr>
        <w:t>2．电机</w:t>
      </w:r>
      <w:bookmarkEnd w:id="6511"/>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（1）泵的电机是三相鼠笼式感应电机，装在充气的防水的壳内。定子绕阻和定子进线的绝缘等级为H级，温升可至180℃，每小时可起动20 次。</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（2）电机的允许电压波动为±10％，电机设计应达到在环境温度为40～80℃的情况下运行，电机按IP68保护使其可长期淹没水下。</w:t>
      </w:r>
    </w:p>
    <w:p>
      <w:pPr>
        <w:adjustRightInd w:val="0"/>
        <w:snapToGrid w:val="0"/>
        <w:spacing w:before="203" w:beforeLines="50" w:after="203" w:afterLines="50"/>
        <w:ind w:firstLine="500" w:firstLineChars="200"/>
        <w:rPr>
          <w:rFonts w:ascii="宋体" w:hAnsi="宋体" w:cs="楷体"/>
          <w:bCs/>
        </w:rPr>
      </w:pPr>
      <w:bookmarkStart w:id="6512" w:name="_Toc106050400"/>
      <w:r>
        <w:rPr>
          <w:rFonts w:hint="eastAsia" w:ascii="宋体" w:hAnsi="宋体" w:cs="楷体"/>
          <w:bCs/>
        </w:rPr>
        <w:t>3．机械密封</w:t>
      </w:r>
      <w:bookmarkEnd w:id="6512"/>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每台潜污泵必须配备有双道机械密封系统。机械密封设计为免维护型，全不锈钢外壳。机械密封材质为碳化硅或碳化钨，具有良好的机械强度和抵抗热冲击特点，介质酸碱度范围应在4-10之间。机械密封的其弹簧系统等零件全部保护在不锈钢外壳内用油冷却和润滑，不与泵送液体接触，它在设计上保证可以顺时针或逆时针转动，且不影响密封功能。机械密封浸没在油室中运行。密封油可以有效的冷却和润滑机械密封。油室能够防止过满以及留有油膨胀的空间。带有防漏密封的注油孔能够很容易从外部检查维修。机械密封的设计使用寿命不低于50,000小时。</w:t>
      </w:r>
    </w:p>
    <w:p>
      <w:pPr>
        <w:adjustRightInd w:val="0"/>
        <w:snapToGrid w:val="0"/>
        <w:spacing w:before="203" w:beforeLines="50" w:after="203" w:afterLines="50"/>
        <w:ind w:firstLine="500" w:firstLineChars="200"/>
        <w:rPr>
          <w:rFonts w:ascii="宋体" w:hAnsi="宋体" w:cs="楷体"/>
          <w:bCs/>
        </w:rPr>
      </w:pPr>
      <w:bookmarkStart w:id="6513" w:name="_Toc106050401"/>
      <w:r>
        <w:rPr>
          <w:rFonts w:hint="eastAsia" w:ascii="宋体" w:hAnsi="宋体" w:cs="楷体"/>
          <w:bCs/>
        </w:rPr>
        <w:t>4．轴与轴承</w:t>
      </w:r>
      <w:bookmarkEnd w:id="6513"/>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（1）泵和电机的轴是连续无间断的轴，泵轴是电机轴的延伸。泵轴是优质不锈钢ASTM431制造，并完全与泵送液体隔离。</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（2）采用高质量</w:t>
      </w:r>
      <w:r>
        <w:rPr>
          <w:rFonts w:hint="eastAsia" w:ascii="宋体" w:hAnsi="宋体" w:cs="楷体"/>
          <w:bCs/>
          <w:spacing w:val="8"/>
        </w:rPr>
        <w:t>SKF、FAG、SNK等国际知名品牌</w:t>
      </w:r>
      <w:r>
        <w:rPr>
          <w:rFonts w:hint="eastAsia" w:ascii="宋体" w:hAnsi="宋体" w:cs="楷体"/>
          <w:bCs/>
        </w:rPr>
        <w:t>终身润滑轴承，设计使用寿命不小于100,000小时。</w:t>
      </w:r>
    </w:p>
    <w:p>
      <w:pPr>
        <w:adjustRightInd w:val="0"/>
        <w:snapToGrid w:val="0"/>
        <w:spacing w:before="203" w:beforeLines="50" w:after="203" w:afterLines="50"/>
        <w:ind w:firstLine="500" w:firstLineChars="200"/>
        <w:rPr>
          <w:rFonts w:ascii="宋体" w:hAnsi="宋体" w:cs="楷体"/>
          <w:bCs/>
        </w:rPr>
      </w:pPr>
      <w:bookmarkStart w:id="6514" w:name="_Toc106050402"/>
      <w:r>
        <w:rPr>
          <w:rFonts w:hint="eastAsia" w:ascii="宋体" w:hAnsi="宋体" w:cs="楷体"/>
          <w:bCs/>
        </w:rPr>
        <w:t>5．内循环闭式冷却夹套（7.5kW及以上泵需配置）</w:t>
      </w:r>
      <w:bookmarkEnd w:id="6514"/>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 xml:space="preserve">此冷却系统应包围定子室，消除电机产生的热量。叶轮中的插入式机械密封使得冷却液在冷却夹套中冷却液的循环。 </w:t>
      </w:r>
    </w:p>
    <w:p>
      <w:pPr>
        <w:adjustRightInd w:val="0"/>
        <w:snapToGrid w:val="0"/>
        <w:spacing w:before="203" w:beforeLines="50" w:after="203" w:afterLines="50"/>
        <w:ind w:firstLine="500" w:firstLineChars="200"/>
        <w:rPr>
          <w:rFonts w:ascii="宋体" w:hAnsi="宋体" w:cs="楷体"/>
          <w:bCs/>
        </w:rPr>
      </w:pPr>
      <w:bookmarkStart w:id="6515" w:name="_Toc106050403"/>
      <w:r>
        <w:rPr>
          <w:rFonts w:hint="eastAsia" w:ascii="宋体" w:hAnsi="宋体" w:cs="楷体"/>
          <w:bCs/>
        </w:rPr>
        <w:t>6．电缆和电缆密封</w:t>
      </w:r>
      <w:bookmarkEnd w:id="6515"/>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电机配有潜水电缆，包括动力电缆和控制电缆。电缆的尺寸符合IEC标准并提供足够的长度以接入接线盒或就地控制柜且不需拼接，电缆外护套为氯丁橡胶，并且机械柔性能承受电缆进线处的压力。动力电缆和控制电缆有单独的电缆进口，并设固定装置以防应力负荷。电缆进口处由可重复使用的压缩橡胶套密封，防止水从电缆外部进入电机。电机和电缆能在最大20米淹深下连续使用而不失去其防水性能。</w:t>
      </w:r>
    </w:p>
    <w:p>
      <w:pPr>
        <w:adjustRightInd w:val="0"/>
        <w:snapToGrid w:val="0"/>
        <w:spacing w:before="203" w:beforeLines="50" w:after="203" w:afterLines="50"/>
        <w:ind w:firstLine="500" w:firstLineChars="200"/>
        <w:rPr>
          <w:rFonts w:ascii="宋体" w:hAnsi="宋体" w:cs="楷体"/>
          <w:bCs/>
        </w:rPr>
      </w:pPr>
      <w:bookmarkStart w:id="6516" w:name="_Toc106050404"/>
      <w:r>
        <w:rPr>
          <w:rFonts w:hint="eastAsia" w:ascii="宋体" w:hAnsi="宋体" w:cs="楷体"/>
          <w:bCs/>
        </w:rPr>
        <w:t>7．保护</w:t>
      </w:r>
      <w:bookmarkEnd w:id="6516"/>
    </w:p>
    <w:p>
      <w:pPr>
        <w:adjustRightInd w:val="0"/>
        <w:snapToGrid w:val="0"/>
        <w:spacing w:before="203" w:beforeLines="50" w:after="203" w:afterLines="50"/>
        <w:ind w:firstLine="500" w:firstLineChars="200"/>
        <w:rPr>
          <w:rFonts w:ascii="宋体" w:hAnsi="宋体" w:cs="楷体"/>
        </w:rPr>
      </w:pPr>
      <w:r>
        <w:rPr>
          <w:rFonts w:hint="eastAsia" w:ascii="宋体" w:hAnsi="宋体" w:cs="楷体"/>
          <w:bCs/>
        </w:rPr>
        <w:t>电机內设保护装置并监测控制。包括埋置在定子线圈中热敏开关、电机内机</w:t>
      </w:r>
      <w:r>
        <w:rPr>
          <w:rFonts w:hint="eastAsia" w:ascii="宋体" w:hAnsi="宋体" w:cs="楷体"/>
        </w:rPr>
        <w:t>械式触动的湿度微动开关、油室内水泄漏探头。</w:t>
      </w:r>
    </w:p>
    <w:p>
      <w:pPr>
        <w:adjustRightInd w:val="0"/>
        <w:snapToGrid w:val="0"/>
        <w:spacing w:before="203" w:beforeLines="50" w:after="203" w:afterLines="50"/>
        <w:ind w:firstLine="500" w:firstLineChars="200"/>
        <w:rPr>
          <w:rFonts w:ascii="宋体" w:hAnsi="宋体" w:cs="楷体"/>
          <w:bCs/>
        </w:rPr>
      </w:pPr>
      <w:bookmarkStart w:id="6517" w:name="_Toc106050405"/>
      <w:r>
        <w:rPr>
          <w:rFonts w:hint="eastAsia" w:ascii="宋体" w:hAnsi="宋体" w:cs="楷体"/>
          <w:bCs/>
        </w:rPr>
        <w:t>（1）热敏开关</w:t>
      </w:r>
      <w:bookmarkEnd w:id="6517"/>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电机定子的每一相均由常闭型双金属片式热敏开关保护，热敏开关埋置于定子内，三只串联于同一回路中。在150</w:t>
      </w:r>
      <w:r>
        <w:rPr>
          <w:rFonts w:hint="eastAsia" w:ascii="宋体" w:hAnsi="宋体" w:cs="楷体"/>
        </w:rPr>
        <w:sym w:font="Symbol" w:char="F0B0"/>
      </w:r>
      <w:r>
        <w:rPr>
          <w:rFonts w:hint="eastAsia" w:ascii="宋体" w:hAnsi="宋体" w:cs="楷体"/>
        </w:rPr>
        <w:t>C时动作断开，以防线圈过载、过热，保护电机。当温度过高时，热敏开关打开，报警并停止电机。</w:t>
      </w:r>
    </w:p>
    <w:p>
      <w:pPr>
        <w:adjustRightInd w:val="0"/>
        <w:snapToGrid w:val="0"/>
        <w:spacing w:before="203" w:beforeLines="50" w:after="203" w:afterLines="50"/>
        <w:ind w:firstLine="500" w:firstLineChars="200"/>
        <w:rPr>
          <w:rFonts w:ascii="宋体" w:hAnsi="宋体" w:cs="楷体"/>
          <w:bCs/>
        </w:rPr>
      </w:pPr>
      <w:bookmarkStart w:id="6518" w:name="_Toc106050406"/>
      <w:r>
        <w:rPr>
          <w:rFonts w:hint="eastAsia" w:ascii="宋体" w:hAnsi="宋体" w:cs="楷体"/>
          <w:bCs/>
        </w:rPr>
        <w:t>（2）泄漏传感器</w:t>
      </w:r>
      <w:bookmarkEnd w:id="6518"/>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在接线室和定子室内设置湿度传感器，在接线室和定子室内进水时提前预警以防损坏电机。泄漏传感器在电机内水份去除后才能手动更换，而不能自动复位，以防止电机内还有水份时电机启动。</w:t>
      </w:r>
    </w:p>
    <w:p>
      <w:pPr>
        <w:adjustRightInd w:val="0"/>
        <w:snapToGrid w:val="0"/>
        <w:spacing w:before="203" w:beforeLines="50" w:after="203" w:afterLines="50"/>
        <w:ind w:firstLine="500" w:firstLineChars="200"/>
        <w:rPr>
          <w:rFonts w:ascii="宋体" w:hAnsi="宋体" w:cs="楷体"/>
          <w:bCs/>
        </w:rPr>
      </w:pPr>
      <w:bookmarkStart w:id="6519" w:name="_Toc106050407"/>
      <w:r>
        <w:rPr>
          <w:rFonts w:hint="eastAsia" w:ascii="宋体" w:hAnsi="宋体" w:cs="楷体"/>
          <w:bCs/>
        </w:rPr>
        <w:t>（3）油室漏水保护</w:t>
      </w:r>
      <w:bookmarkEnd w:id="6519"/>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在油室中设漏水保护传感器，实时测量油室中水的含量，可以精确油中含水量。检测范围为0-20%的含水量，确保在水进入电机室前提前预警，以便及时采取维修保养措施，在液体进入电机室前换油，保护电机不进水。</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叶轮进口间隙调节系统：叶轮间隙调节系统能够有效保证叶轮与蜗壳之间的密封性并维持较高的水力效率。可以通过调节轴向设置的叶轮间隙，在不需要拆卸泵头的情况下，快速方便的调节叶轮间隙。提供制造商的彩色样本为证。</w:t>
      </w:r>
    </w:p>
    <w:p>
      <w:pPr>
        <w:adjustRightInd w:val="0"/>
        <w:snapToGrid w:val="0"/>
        <w:spacing w:before="203" w:beforeLines="50" w:after="203" w:afterLines="50"/>
        <w:ind w:firstLine="500" w:firstLineChars="200"/>
        <w:rPr>
          <w:rFonts w:ascii="宋体" w:hAnsi="宋体" w:cs="楷体"/>
          <w:bCs/>
        </w:rPr>
      </w:pPr>
      <w:bookmarkStart w:id="6520" w:name="_Toc106050408"/>
      <w:r>
        <w:rPr>
          <w:rFonts w:hint="eastAsia" w:ascii="宋体" w:hAnsi="宋体" w:cs="楷体"/>
          <w:bCs/>
        </w:rPr>
        <w:t>9. 带切割功能潜污泵的特殊要求</w:t>
      </w:r>
      <w:bookmarkEnd w:id="6520"/>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叶轮的材料必须为高铬铸铁（含25%铬的高强度合金），配有高铬切割环（含25%铬的高强度合金），能够处理固体、纤维、厚重污泥等污水中常见物质。</w:t>
      </w:r>
    </w:p>
    <w:p>
      <w:pPr>
        <w:adjustRightInd w:val="0"/>
        <w:snapToGrid w:val="0"/>
        <w:spacing w:before="203" w:beforeLines="50" w:after="203" w:afterLines="50"/>
        <w:ind w:firstLine="500" w:firstLineChars="200"/>
        <w:rPr>
          <w:rFonts w:ascii="宋体" w:hAnsi="宋体" w:cs="楷体"/>
          <w:bCs/>
        </w:rPr>
      </w:pPr>
      <w:bookmarkStart w:id="6521" w:name="_Toc106050409"/>
      <w:r>
        <w:rPr>
          <w:rFonts w:hint="eastAsia" w:ascii="宋体" w:hAnsi="宋体" w:cs="楷体"/>
          <w:bCs/>
        </w:rPr>
        <w:t>10.监控装置</w:t>
      </w:r>
      <w:bookmarkEnd w:id="6521"/>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电机必须具有下述监控装置（设备运行所必需，且不仅限于此）：应设置有渗漏传感器来测定漏油及渗水、过热等的综合故障无源触点信号触点（220V，5A）。</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此外还应包括投标商保证设备安全运行所配套的其它必要的整套保护装置（含传感器、检测控制部件、电缆等）。</w:t>
      </w:r>
    </w:p>
    <w:p>
      <w:pPr>
        <w:adjustRightInd w:val="0"/>
        <w:snapToGrid w:val="0"/>
        <w:spacing w:before="203" w:beforeLines="50" w:after="203" w:afterLines="50"/>
        <w:ind w:firstLine="500" w:firstLineChars="200"/>
        <w:rPr>
          <w:rFonts w:ascii="宋体" w:hAnsi="宋体" w:cs="楷体"/>
          <w:bCs/>
        </w:rPr>
      </w:pPr>
      <w:bookmarkStart w:id="6522" w:name="_Toc106050410"/>
      <w:r>
        <w:rPr>
          <w:rFonts w:hint="eastAsia" w:ascii="宋体" w:hAnsi="宋体" w:cs="楷体"/>
          <w:bCs/>
        </w:rPr>
        <w:t>3、材料</w:t>
      </w:r>
      <w:bookmarkEnd w:id="6504"/>
      <w:bookmarkEnd w:id="6505"/>
      <w:bookmarkEnd w:id="6506"/>
      <w:bookmarkEnd w:id="6507"/>
      <w:bookmarkEnd w:id="6508"/>
      <w:bookmarkEnd w:id="6509"/>
      <w:bookmarkEnd w:id="6510"/>
      <w:bookmarkEnd w:id="6522"/>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所有潜水排污泵的材料都应适合于原污水的腐蚀耐磨环境。</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主要部件材料如下：</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·泵壳                          不低于铸铁ASTM A-48、35B级</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·叶轮                          不低于铸铁ASTM A-48、35B级</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·轴                            不锈钢</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·机械密封                      耐腐蚀烧结碳化硅</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·静密封材料                    丁腈橡胶</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·导杆、支架、吊链              不低于不锈钢304</w:t>
      </w:r>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bCs/>
        </w:rPr>
        <w:t>·所有连接附件、地脚螺栓        不低于不锈钢304</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提升链应能适应泵井的设计，满足分段提升的要求，配有足够的提升链，在提升链上每隔1.0m配有一个提升吊环。</w:t>
      </w:r>
    </w:p>
    <w:p>
      <w:pPr>
        <w:adjustRightInd w:val="0"/>
        <w:snapToGrid w:val="0"/>
        <w:spacing w:before="203" w:beforeLines="50" w:after="203" w:afterLines="50"/>
        <w:ind w:firstLine="500" w:firstLineChars="200"/>
        <w:rPr>
          <w:rFonts w:ascii="宋体" w:hAnsi="宋体" w:cs="楷体"/>
          <w:bCs/>
        </w:rPr>
      </w:pPr>
      <w:bookmarkStart w:id="6523" w:name="_Toc106050411"/>
      <w:r>
        <w:rPr>
          <w:rFonts w:hint="eastAsia" w:ascii="宋体" w:hAnsi="宋体" w:cs="楷体"/>
          <w:bCs/>
        </w:rPr>
        <w:t>4、配套电控箱（根据设计图纸提供）</w:t>
      </w:r>
      <w:bookmarkEnd w:id="6523"/>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潜污泵配套电控箱的总体要求：</w:t>
      </w:r>
      <w:r>
        <w:rPr>
          <w:rFonts w:hint="eastAsia" w:ascii="宋体" w:hAnsi="宋体" w:cs="楷体"/>
        </w:rPr>
        <w:t>满足工艺设备所需的控制要求。</w:t>
      </w:r>
      <w:r>
        <w:rPr>
          <w:rFonts w:hint="eastAsia" w:ascii="宋体" w:hAnsi="宋体" w:cs="楷体"/>
          <w:kern w:val="0"/>
        </w:rPr>
        <w:t>电控箱内应设有断路器、接触器、电机综合保护器、变频器（</w:t>
      </w:r>
      <w:r>
        <w:rPr>
          <w:rFonts w:hint="eastAsia" w:ascii="宋体" w:hAnsi="宋体" w:cs="楷体"/>
        </w:rPr>
        <w:t>仅变频调速有，且</w:t>
      </w:r>
      <w:r>
        <w:rPr>
          <w:rFonts w:hint="eastAsia" w:ascii="宋体" w:hAnsi="宋体" w:cs="楷体"/>
          <w:kern w:val="0"/>
        </w:rPr>
        <w:t>含电抗器、滤波器）、手/自动转换开关、开/停按钮、开/停/故障指示灯（LED光源）、渗漏及过热保护装置、电涌保护器等。</w:t>
      </w:r>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电控箱为304（厚2mm） 、磨砂面不锈钢外壳。电控箱、柜应能满足以下技术要求（不仅限于此）：</w:t>
      </w:r>
    </w:p>
    <w:p>
      <w:pPr>
        <w:adjustRightInd w:val="0"/>
        <w:snapToGrid w:val="0"/>
        <w:spacing w:before="203" w:beforeLines="50" w:after="203" w:afterLines="50"/>
        <w:ind w:firstLine="500" w:firstLineChars="200"/>
        <w:rPr>
          <w:rFonts w:ascii="宋体" w:hAnsi="宋体" w:cs="楷体"/>
          <w:bCs/>
        </w:rPr>
      </w:pPr>
      <w:bookmarkStart w:id="6524" w:name="_Toc106050412"/>
      <w:r>
        <w:rPr>
          <w:rFonts w:hint="eastAsia" w:ascii="宋体" w:hAnsi="宋体" w:cs="楷体"/>
          <w:bCs/>
        </w:rPr>
        <w:t>1） 在电控箱、柜上实现就地开、停控制功能；</w:t>
      </w:r>
      <w:bookmarkEnd w:id="6524"/>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2） 开/停状态及综合故障状态信号输出（无源触点）；</w:t>
      </w:r>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3） 电控箱内除要有实现漏电（30mA）、开/停及短路、过载、断相、泄漏、过热保护及设备配套的各种特殊保护功能的有关一、二次电气元件外，在箱面上应设有开/停按钮、开/停及故障指示灯等（LED光源）。箱内塑料元件应无卤素，CFC，阻燃，自熄；</w:t>
      </w:r>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4） 每台电控箱进线电源为一路380V/220V三相五线制电源。电控箱内部所需的控制电源在箱内自行解决，控制电源为交流220V。若需其它标准的控制电源应在箱内自行变换取得；</w:t>
      </w:r>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5） 电控箱电源进线处按具体设计要求装设Ⅰ级试验的电涌保护器（Iimp≥12.5kA（10/350us）；Up≤2.5kV）；</w:t>
      </w:r>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6） 所有要求引出至电控箱之外的信号均应通过箱内端子或通信接口引出；</w:t>
      </w:r>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7） 电控箱除外壳满足防护等级要求外，还应充分考虑防晒散热、防冷凝的要求，并采取相应措施，使电控箱在太阳直晒或潮湿及二者皆存在的工作环境下也能长期正常工作；</w:t>
      </w:r>
    </w:p>
    <w:p>
      <w:pPr>
        <w:adjustRightInd w:val="0"/>
        <w:snapToGrid w:val="0"/>
        <w:spacing w:before="203" w:beforeLines="50" w:after="203" w:afterLines="50"/>
        <w:ind w:firstLine="500" w:firstLineChars="200"/>
        <w:rPr>
          <w:rFonts w:ascii="宋体" w:hAnsi="宋体" w:cs="楷体"/>
          <w:kern w:val="0"/>
        </w:rPr>
      </w:pPr>
      <w:r>
        <w:rPr>
          <w:rFonts w:hint="eastAsia" w:ascii="宋体" w:hAnsi="宋体" w:cs="楷体"/>
          <w:kern w:val="0"/>
        </w:rPr>
        <w:t>8） 电控箱按具体要求需有如下信号接口：</w:t>
      </w:r>
    </w:p>
    <w:p>
      <w:pPr>
        <w:pStyle w:val="1156"/>
        <w:numPr>
          <w:ilvl w:val="0"/>
          <w:numId w:val="64"/>
        </w:numPr>
        <w:adjustRightInd w:val="0"/>
        <w:snapToGrid w:val="0"/>
        <w:spacing w:before="203" w:beforeLines="50" w:after="203" w:afterLines="50" w:line="240" w:lineRule="auto"/>
        <w:ind w:left="919" w:firstLineChars="0"/>
        <w:rPr>
          <w:rFonts w:ascii="宋体" w:hAnsi="宋体" w:cs="楷体"/>
        </w:rPr>
      </w:pPr>
      <w:r>
        <w:rPr>
          <w:rFonts w:hint="eastAsia" w:ascii="宋体" w:hAnsi="宋体" w:cs="楷体"/>
        </w:rPr>
        <w:t>输入信号（无源触点）：启/停控制信号；</w:t>
      </w:r>
    </w:p>
    <w:p>
      <w:pPr>
        <w:pStyle w:val="1156"/>
        <w:numPr>
          <w:ilvl w:val="0"/>
          <w:numId w:val="64"/>
        </w:numPr>
        <w:adjustRightInd w:val="0"/>
        <w:snapToGrid w:val="0"/>
        <w:spacing w:before="203" w:beforeLines="50" w:after="203" w:afterLines="50" w:line="240" w:lineRule="auto"/>
        <w:ind w:left="919" w:firstLineChars="0"/>
        <w:rPr>
          <w:rFonts w:ascii="宋体" w:hAnsi="宋体" w:cs="楷体"/>
          <w:kern w:val="0"/>
        </w:rPr>
      </w:pPr>
      <w:r>
        <w:rPr>
          <w:rFonts w:hint="eastAsia" w:ascii="宋体" w:hAnsi="宋体" w:cs="楷体"/>
        </w:rPr>
        <w:t>输入信号（模拟量，仅变频调速有）：频率设定（4～20mA）</w:t>
      </w:r>
    </w:p>
    <w:p>
      <w:pPr>
        <w:pStyle w:val="1156"/>
        <w:numPr>
          <w:ilvl w:val="0"/>
          <w:numId w:val="64"/>
        </w:numPr>
        <w:adjustRightInd w:val="0"/>
        <w:snapToGrid w:val="0"/>
        <w:spacing w:before="203" w:beforeLines="50" w:after="203" w:afterLines="50" w:line="240" w:lineRule="auto"/>
        <w:ind w:left="919" w:firstLineChars="0"/>
        <w:rPr>
          <w:rFonts w:ascii="宋体" w:hAnsi="宋体" w:cs="楷体"/>
          <w:kern w:val="0"/>
        </w:rPr>
      </w:pPr>
      <w:r>
        <w:rPr>
          <w:rFonts w:hint="eastAsia" w:ascii="宋体" w:hAnsi="宋体" w:cs="楷体"/>
          <w:kern w:val="0"/>
        </w:rPr>
        <w:t>输出信号（无源触点）：</w:t>
      </w:r>
      <w:r>
        <w:rPr>
          <w:rFonts w:hint="eastAsia" w:ascii="宋体" w:hAnsi="宋体" w:cs="楷体"/>
        </w:rPr>
        <w:t>就地/远程选择开关远程位置；</w:t>
      </w:r>
    </w:p>
    <w:p>
      <w:pPr>
        <w:pStyle w:val="1156"/>
        <w:numPr>
          <w:ilvl w:val="0"/>
          <w:numId w:val="64"/>
        </w:numPr>
        <w:adjustRightInd w:val="0"/>
        <w:snapToGrid w:val="0"/>
        <w:spacing w:before="203" w:beforeLines="50" w:after="203" w:afterLines="50" w:line="240" w:lineRule="auto"/>
        <w:ind w:left="919" w:firstLineChars="0"/>
        <w:rPr>
          <w:rFonts w:ascii="宋体" w:hAnsi="宋体" w:cs="楷体"/>
          <w:kern w:val="0"/>
        </w:rPr>
      </w:pPr>
      <w:r>
        <w:rPr>
          <w:rFonts w:hint="eastAsia" w:ascii="宋体" w:hAnsi="宋体" w:cs="楷体"/>
          <w:kern w:val="0"/>
        </w:rPr>
        <w:t>运行信号；综合故障信号</w:t>
      </w:r>
    </w:p>
    <w:p>
      <w:pPr>
        <w:pStyle w:val="1156"/>
        <w:numPr>
          <w:ilvl w:val="0"/>
          <w:numId w:val="64"/>
        </w:numPr>
        <w:adjustRightInd w:val="0"/>
        <w:snapToGrid w:val="0"/>
        <w:spacing w:before="203" w:beforeLines="50" w:after="203" w:afterLines="50" w:line="240" w:lineRule="auto"/>
        <w:ind w:left="919" w:firstLineChars="0"/>
        <w:rPr>
          <w:rFonts w:ascii="宋体" w:hAnsi="宋体" w:cs="楷体"/>
          <w:kern w:val="0"/>
        </w:rPr>
      </w:pPr>
      <w:r>
        <w:rPr>
          <w:rFonts w:hint="eastAsia" w:ascii="宋体" w:hAnsi="宋体" w:cs="楷体"/>
        </w:rPr>
        <w:t>输出信号（模拟量，仅变频调速有）：频率（4～20mA）</w:t>
      </w:r>
    </w:p>
    <w:p>
      <w:pPr>
        <w:pStyle w:val="1156"/>
        <w:numPr>
          <w:ilvl w:val="0"/>
          <w:numId w:val="64"/>
        </w:numPr>
        <w:adjustRightInd w:val="0"/>
        <w:snapToGrid w:val="0"/>
        <w:spacing w:before="203" w:beforeLines="50" w:after="203" w:afterLines="50" w:line="240" w:lineRule="auto"/>
        <w:ind w:left="919" w:firstLineChars="0"/>
        <w:rPr>
          <w:rFonts w:ascii="宋体" w:hAnsi="宋体" w:cs="楷体"/>
          <w:kern w:val="0"/>
        </w:rPr>
      </w:pPr>
      <w:r>
        <w:rPr>
          <w:rFonts w:hint="eastAsia" w:ascii="宋体" w:hAnsi="宋体" w:cs="楷体"/>
          <w:kern w:val="0"/>
        </w:rPr>
        <w:t>无源触点信号</w:t>
      </w:r>
      <w:r>
        <w:rPr>
          <w:rFonts w:hint="eastAsia" w:ascii="宋体" w:hAnsi="宋体" w:cs="楷体"/>
        </w:rPr>
        <w:t>逻辑</w:t>
      </w:r>
      <w:r>
        <w:rPr>
          <w:rFonts w:hint="eastAsia" w:ascii="宋体" w:hAnsi="宋体" w:cs="楷体"/>
          <w:kern w:val="0"/>
        </w:rPr>
        <w:t>：所有信号为正逻辑信号；</w:t>
      </w:r>
    </w:p>
    <w:p>
      <w:pPr>
        <w:pStyle w:val="1156"/>
        <w:numPr>
          <w:ilvl w:val="0"/>
          <w:numId w:val="64"/>
        </w:numPr>
        <w:adjustRightInd w:val="0"/>
        <w:snapToGrid w:val="0"/>
        <w:spacing w:before="203" w:beforeLines="50" w:after="203" w:afterLines="50" w:line="240" w:lineRule="auto"/>
        <w:ind w:left="919" w:firstLineChars="0"/>
        <w:rPr>
          <w:rFonts w:ascii="宋体" w:hAnsi="宋体" w:cs="楷体"/>
          <w:kern w:val="0"/>
        </w:rPr>
      </w:pPr>
      <w:r>
        <w:rPr>
          <w:rFonts w:hint="eastAsia" w:ascii="宋体" w:hAnsi="宋体" w:cs="楷体"/>
          <w:kern w:val="0"/>
        </w:rPr>
        <w:t>信号触点容量：220V、5A；</w:t>
      </w:r>
    </w:p>
    <w:p>
      <w:pPr>
        <w:keepNext/>
        <w:adjustRightInd w:val="0"/>
        <w:snapToGrid w:val="0"/>
        <w:spacing w:before="203" w:beforeLines="50" w:after="203" w:afterLines="50"/>
        <w:outlineLvl w:val="1"/>
        <w:rPr>
          <w:rFonts w:ascii="宋体" w:hAnsi="宋体" w:cs="楷体"/>
          <w:b/>
        </w:rPr>
      </w:pPr>
      <w:bookmarkStart w:id="6525" w:name="_Toc106883656"/>
      <w:r>
        <w:rPr>
          <w:rFonts w:hint="eastAsia" w:ascii="宋体" w:hAnsi="宋体" w:cs="楷体"/>
          <w:b/>
        </w:rPr>
        <w:t>8.9离心泵</w:t>
      </w:r>
      <w:bookmarkEnd w:id="6525"/>
    </w:p>
    <w:p>
      <w:pPr>
        <w:keepNext/>
        <w:adjustRightInd w:val="0"/>
        <w:snapToGrid w:val="0"/>
        <w:spacing w:before="120" w:after="120"/>
        <w:outlineLvl w:val="2"/>
        <w:rPr>
          <w:rFonts w:ascii="宋体" w:hAnsi="宋体" w:cs="楷体"/>
          <w:b/>
        </w:rPr>
      </w:pPr>
      <w:bookmarkStart w:id="6526" w:name="_Toc106883657"/>
      <w:r>
        <w:rPr>
          <w:rFonts w:hint="eastAsia" w:ascii="宋体" w:hAnsi="宋体" w:cs="楷体"/>
          <w:b/>
        </w:rPr>
        <w:t>8.9.1概述</w:t>
      </w:r>
      <w:bookmarkEnd w:id="6526"/>
    </w:p>
    <w:p>
      <w:pPr>
        <w:adjustRightInd w:val="0"/>
        <w:snapToGrid w:val="0"/>
        <w:spacing w:before="50" w:after="50"/>
        <w:ind w:firstLine="500" w:firstLineChars="200"/>
        <w:rPr>
          <w:rFonts w:ascii="宋体" w:hAnsi="宋体" w:cs="楷体"/>
        </w:rPr>
      </w:pPr>
      <w:r>
        <w:rPr>
          <w:rFonts w:hint="eastAsia" w:ascii="宋体" w:hAnsi="宋体" w:cs="楷体"/>
        </w:rPr>
        <w:t>本工程送水泵房、</w:t>
      </w:r>
      <w:r>
        <w:rPr>
          <w:rFonts w:ascii="宋体" w:hAnsi="宋体" w:cs="楷体"/>
        </w:rPr>
        <w:t>反冲洗泵房</w:t>
      </w:r>
      <w:r>
        <w:rPr>
          <w:rFonts w:hint="eastAsia" w:ascii="宋体" w:hAnsi="宋体" w:cs="楷体"/>
        </w:rPr>
        <w:t>等，内有卧式</w:t>
      </w:r>
      <w:r>
        <w:rPr>
          <w:rFonts w:ascii="宋体" w:hAnsi="宋体" w:cs="楷体"/>
        </w:rPr>
        <w:t>离心泵</w:t>
      </w:r>
      <w:r>
        <w:rPr>
          <w:rFonts w:hint="eastAsia" w:ascii="宋体" w:hAnsi="宋体" w:cs="楷体"/>
        </w:rPr>
        <w:t>，安装位置详见供货范围及图纸。</w:t>
      </w:r>
    </w:p>
    <w:p>
      <w:pPr>
        <w:keepNext/>
        <w:adjustRightInd w:val="0"/>
        <w:snapToGrid w:val="0"/>
        <w:spacing w:before="120" w:after="120"/>
        <w:outlineLvl w:val="0"/>
        <w:rPr>
          <w:rFonts w:ascii="宋体" w:hAnsi="宋体" w:cs="楷体"/>
          <w:b/>
        </w:rPr>
      </w:pPr>
      <w:bookmarkStart w:id="6527" w:name="_Toc106883658"/>
      <w:r>
        <w:rPr>
          <w:rFonts w:hint="eastAsia" w:ascii="宋体" w:hAnsi="宋体" w:cs="楷体"/>
          <w:b/>
        </w:rPr>
        <w:t>8.9.2设备清单</w:t>
      </w:r>
      <w:bookmarkEnd w:id="6527"/>
    </w:p>
    <w:p>
      <w:pPr>
        <w:adjustRightInd w:val="0"/>
        <w:snapToGrid w:val="0"/>
        <w:spacing w:before="50" w:after="50"/>
        <w:jc w:val="center"/>
        <w:rPr>
          <w:rFonts w:ascii="宋体" w:hAnsi="宋体" w:cs="楷体"/>
        </w:rPr>
      </w:pPr>
      <w:r>
        <w:rPr>
          <w:rFonts w:hint="eastAsia" w:ascii="宋体" w:hAnsi="宋体" w:cs="楷体"/>
          <w:b/>
          <w:bCs/>
        </w:rPr>
        <w:t>表</w:t>
      </w:r>
      <w:r>
        <w:rPr>
          <w:rFonts w:ascii="宋体" w:hAnsi="宋体" w:cs="楷体"/>
          <w:b/>
          <w:bCs/>
        </w:rPr>
        <w:t>5</w:t>
      </w:r>
      <w:r>
        <w:rPr>
          <w:rFonts w:hint="eastAsia" w:ascii="宋体" w:hAnsi="宋体" w:cs="楷体"/>
          <w:b/>
          <w:bCs/>
        </w:rPr>
        <w:t xml:space="preserve">.2-1  </w:t>
      </w:r>
      <w:r>
        <w:rPr>
          <w:rFonts w:hint="eastAsia" w:ascii="宋体" w:hAnsi="宋体" w:cs="楷体"/>
          <w:b/>
        </w:rPr>
        <w:t>设备清单及技术参数表</w:t>
      </w:r>
    </w:p>
    <w:tbl>
      <w:tblPr>
        <w:tblStyle w:val="77"/>
        <w:tblW w:w="4997" w:type="pct"/>
        <w:tblInd w:w="0" w:type="dxa"/>
        <w:tblLayout w:type="fixed"/>
        <w:tblCellMar>
          <w:top w:w="0" w:type="dxa"/>
          <w:left w:w="108" w:type="dxa"/>
          <w:bottom w:w="0" w:type="dxa"/>
          <w:right w:w="108" w:type="dxa"/>
        </w:tblCellMar>
      </w:tblPr>
      <w:tblGrid>
        <w:gridCol w:w="534"/>
        <w:gridCol w:w="1062"/>
        <w:gridCol w:w="1910"/>
        <w:gridCol w:w="749"/>
        <w:gridCol w:w="817"/>
        <w:gridCol w:w="605"/>
        <w:gridCol w:w="1265"/>
        <w:gridCol w:w="1773"/>
      </w:tblGrid>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安装位置</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离心泵</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Q=171m</w:t>
            </w:r>
            <w:r>
              <w:rPr>
                <w:rFonts w:hint="eastAsia" w:ascii="宋体" w:hAnsi="宋体" w:cs="楷体"/>
                <w:vertAlign w:val="superscript"/>
              </w:rPr>
              <w:t>3</w:t>
            </w:r>
            <w:r>
              <w:rPr>
                <w:rFonts w:hint="eastAsia" w:ascii="宋体" w:hAnsi="宋体" w:cs="楷体"/>
              </w:rPr>
              <w:t>/h,H=12m,N=22kw</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反冲洗泵房</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两用一备,配变频</w:t>
            </w:r>
          </w:p>
        </w:tc>
      </w:tr>
      <w:tr>
        <w:tblPrEx>
          <w:tblCellMar>
            <w:top w:w="0" w:type="dxa"/>
            <w:left w:w="108" w:type="dxa"/>
            <w:bottom w:w="0" w:type="dxa"/>
            <w:right w:w="108" w:type="dxa"/>
          </w:tblCellMar>
        </w:tblPrEx>
        <w:trPr>
          <w:trHeight w:val="283" w:hRule="atLeast"/>
        </w:trPr>
        <w:tc>
          <w:tcPr>
            <w:tcW w:w="30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rPr>
              <w:t>2</w:t>
            </w:r>
          </w:p>
        </w:tc>
        <w:tc>
          <w:tcPr>
            <w:tcW w:w="60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中开式单级双吸离心泵</w:t>
            </w:r>
          </w:p>
        </w:tc>
        <w:tc>
          <w:tcPr>
            <w:tcW w:w="109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Q=334m</w:t>
            </w:r>
            <w:r>
              <w:rPr>
                <w:rFonts w:hint="eastAsia" w:ascii="宋体" w:hAnsi="宋体" w:cs="楷体"/>
                <w:vertAlign w:val="superscript"/>
              </w:rPr>
              <w:t>3</w:t>
            </w:r>
            <w:r>
              <w:rPr>
                <w:rFonts w:hint="eastAsia" w:ascii="宋体" w:hAnsi="宋体" w:cs="楷体"/>
              </w:rPr>
              <w:t>/h H=35m W=438kg</w:t>
            </w:r>
          </w:p>
        </w:tc>
        <w:tc>
          <w:tcPr>
            <w:tcW w:w="4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6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台</w:t>
            </w:r>
          </w:p>
        </w:tc>
        <w:tc>
          <w:tcPr>
            <w:tcW w:w="34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72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送水泵房</w:t>
            </w:r>
          </w:p>
        </w:tc>
        <w:tc>
          <w:tcPr>
            <w:tcW w:w="101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3用1备</w:t>
            </w:r>
          </w:p>
        </w:tc>
      </w:tr>
    </w:tbl>
    <w:p>
      <w:pPr>
        <w:adjustRightInd w:val="0"/>
        <w:snapToGrid w:val="0"/>
        <w:spacing w:before="50" w:after="50"/>
        <w:rPr>
          <w:rFonts w:ascii="宋体" w:hAnsi="宋体" w:cs="楷体"/>
          <w:i/>
          <w:iCs/>
        </w:rPr>
      </w:pPr>
      <w:r>
        <w:rPr>
          <w:rFonts w:hint="eastAsia" w:ascii="宋体" w:hAnsi="宋体" w:cs="楷体"/>
          <w:i/>
          <w:iCs/>
        </w:rPr>
        <w:t>注：（1）承包商须标明各水泵的额定工况点的轴功率及水力效率。（2）本“采购设备清单”不得被认为是详尽无遗的，无论规定与否，承包商应提供所有业主未提及的必要的元件、器件、附件、配套设备和相应材料，并在投标文件报价中一一列明。</w:t>
      </w:r>
    </w:p>
    <w:p>
      <w:pPr>
        <w:keepNext/>
        <w:adjustRightInd w:val="0"/>
        <w:snapToGrid w:val="0"/>
        <w:spacing w:before="120" w:after="120"/>
        <w:outlineLvl w:val="0"/>
        <w:rPr>
          <w:rFonts w:ascii="宋体" w:hAnsi="宋体" w:cs="楷体"/>
          <w:b/>
        </w:rPr>
      </w:pPr>
      <w:bookmarkStart w:id="6528" w:name="_Toc106883659"/>
      <w:r>
        <w:rPr>
          <w:rFonts w:hint="eastAsia" w:ascii="宋体" w:hAnsi="宋体" w:cs="楷体"/>
          <w:b/>
        </w:rPr>
        <w:t>8.9.3供货范围</w:t>
      </w:r>
      <w:bookmarkEnd w:id="6528"/>
    </w:p>
    <w:p>
      <w:pPr>
        <w:snapToGrid w:val="0"/>
        <w:spacing w:before="203" w:beforeLines="50" w:after="203" w:afterLines="50"/>
        <w:rPr>
          <w:rFonts w:ascii="宋体" w:hAnsi="宋体"/>
          <w:b/>
        </w:rPr>
      </w:pPr>
      <w:r>
        <w:rPr>
          <w:rFonts w:hint="eastAsia" w:ascii="宋体" w:hAnsi="宋体" w:cs="楷体"/>
        </w:rPr>
        <w:t>供货范围: 设备清单表中列出的各项设备成套、整体供货。</w:t>
      </w:r>
    </w:p>
    <w:p>
      <w:pPr>
        <w:keepNext/>
        <w:adjustRightInd w:val="0"/>
        <w:snapToGrid w:val="0"/>
        <w:spacing w:before="120" w:after="120"/>
        <w:outlineLvl w:val="0"/>
        <w:rPr>
          <w:rFonts w:ascii="宋体" w:hAnsi="宋体" w:cs="楷体"/>
          <w:b/>
        </w:rPr>
      </w:pPr>
      <w:bookmarkStart w:id="6529" w:name="_Toc106883660"/>
      <w:r>
        <w:rPr>
          <w:rFonts w:hint="eastAsia" w:ascii="宋体" w:hAnsi="宋体" w:cs="楷体"/>
          <w:b/>
        </w:rPr>
        <w:t>8.9.4执行标准</w:t>
      </w:r>
      <w:bookmarkEnd w:id="6529"/>
    </w:p>
    <w:p>
      <w:pPr>
        <w:pStyle w:val="1199"/>
        <w:tabs>
          <w:tab w:val="left" w:pos="993"/>
        </w:tabs>
        <w:adjustRightInd w:val="0"/>
        <w:snapToGrid w:val="0"/>
        <w:spacing w:before="203" w:beforeLines="50" w:after="203" w:afterLines="50"/>
        <w:ind w:firstLine="500"/>
        <w:rPr>
          <w:rFonts w:ascii="宋体" w:hAnsi="宋体"/>
          <w:sz w:val="24"/>
          <w:szCs w:val="24"/>
        </w:rPr>
      </w:pPr>
      <w:r>
        <w:rPr>
          <w:rFonts w:hint="eastAsia" w:ascii="宋体" w:hAnsi="宋体"/>
          <w:sz w:val="24"/>
          <w:szCs w:val="24"/>
        </w:rPr>
        <w:t>设备及其附件应按有关的质量标准、试验程序和规范进行设计、制造、测试和验收。这些标准、程序和规范称为参考标准，应是得到国际上和中国公认的标准，并应是投标文件提交截止日之前6个月的最新版本。</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ISO9906/2《泵验收试验规程》</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ISO1940/1-73G6.3《对刚性旋转机械的机械振动平衡要求》</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GB/T29529-2013《泵的噪声测量与评价方法》</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GB/T4942.1-2006《旋转电机外壳防护分级》</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GB/T 13384《机电产品包装通用技术条件》</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GBJ232《电气装置安装工程施工及验收规范》</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GB/T14285－2006《继电保护和安全自动装置技术规程》</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GB50171－2012《电气装置安装工程盘柜及二次回路接线施工及验收规范》</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GB50150《电气装置安装工程电气设备交接试验标准》</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GB 18613-2012《中小型三相异步电动机能效限定值及能效等级》</w:t>
      </w:r>
    </w:p>
    <w:p>
      <w:pPr>
        <w:pStyle w:val="1199"/>
        <w:numPr>
          <w:ilvl w:val="0"/>
          <w:numId w:val="65"/>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IEC60034-30《单速、三相笼型感应电动机的能效分级IE代码》</w:t>
      </w:r>
    </w:p>
    <w:p>
      <w:pPr>
        <w:keepNext/>
        <w:adjustRightInd w:val="0"/>
        <w:snapToGrid w:val="0"/>
        <w:spacing w:before="120" w:after="120"/>
        <w:outlineLvl w:val="2"/>
        <w:rPr>
          <w:rFonts w:ascii="宋体" w:hAnsi="宋体" w:cs="楷体"/>
          <w:b/>
        </w:rPr>
      </w:pPr>
      <w:bookmarkStart w:id="6530" w:name="_Toc106883661"/>
      <w:r>
        <w:rPr>
          <w:rFonts w:hint="eastAsia" w:ascii="宋体" w:hAnsi="宋体" w:cs="楷体"/>
          <w:b/>
        </w:rPr>
        <w:t>8.9.5设备参数</w:t>
      </w:r>
      <w:bookmarkEnd w:id="6530"/>
    </w:p>
    <w:p>
      <w:pPr>
        <w:pStyle w:val="1199"/>
        <w:numPr>
          <w:ilvl w:val="0"/>
          <w:numId w:val="66"/>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所提供的水泵必须是技术先进、经济合理、成熟可靠的产品，并具有较高的灵活性，能够满足机组正常运行方式的需要。</w:t>
      </w:r>
    </w:p>
    <w:p>
      <w:pPr>
        <w:pStyle w:val="1199"/>
        <w:numPr>
          <w:ilvl w:val="0"/>
          <w:numId w:val="66"/>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水泵在保证点的水量、扬程及效率不低于保证值。</w:t>
      </w:r>
    </w:p>
    <w:p>
      <w:pPr>
        <w:pStyle w:val="1199"/>
        <w:numPr>
          <w:ilvl w:val="0"/>
          <w:numId w:val="66"/>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水泵在额定工况点附近，性能变化曲线应平缓，保证泵在额定工况点附近均有较高的效率。</w:t>
      </w:r>
    </w:p>
    <w:p>
      <w:pPr>
        <w:pStyle w:val="1199"/>
        <w:numPr>
          <w:ilvl w:val="0"/>
          <w:numId w:val="66"/>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水泵不可在超过扬程和流量的全范围内超载运行。</w:t>
      </w:r>
    </w:p>
    <w:p>
      <w:pPr>
        <w:pStyle w:val="1199"/>
        <w:numPr>
          <w:ilvl w:val="0"/>
          <w:numId w:val="66"/>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水泵和管路及其他设备联合作用下不得形成超载，水泵机组在规定的流量、扬程工况点附近均能长时间的工作。</w:t>
      </w:r>
    </w:p>
    <w:p>
      <w:pPr>
        <w:pStyle w:val="1199"/>
        <w:numPr>
          <w:ilvl w:val="0"/>
          <w:numId w:val="66"/>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相同水泵可调换部件应具有互换性。</w:t>
      </w:r>
    </w:p>
    <w:p>
      <w:pPr>
        <w:pStyle w:val="1199"/>
        <w:tabs>
          <w:tab w:val="left" w:pos="426"/>
        </w:tabs>
        <w:adjustRightInd w:val="0"/>
        <w:snapToGrid w:val="0"/>
        <w:spacing w:before="203" w:beforeLines="50" w:after="203" w:afterLines="50"/>
        <w:ind w:firstLineChars="0"/>
        <w:rPr>
          <w:rFonts w:ascii="宋体" w:hAnsi="宋体"/>
          <w:b/>
          <w:sz w:val="24"/>
          <w:szCs w:val="24"/>
        </w:rPr>
      </w:pPr>
      <w:r>
        <w:rPr>
          <w:rFonts w:hint="eastAsia" w:ascii="宋体" w:hAnsi="宋体"/>
          <w:b/>
          <w:sz w:val="24"/>
          <w:szCs w:val="24"/>
        </w:rPr>
        <w:t>5</w:t>
      </w:r>
      <w:r>
        <w:rPr>
          <w:rFonts w:ascii="宋体" w:hAnsi="宋体"/>
          <w:b/>
          <w:sz w:val="24"/>
          <w:szCs w:val="24"/>
        </w:rPr>
        <w:t>.8.5.1</w:t>
      </w:r>
      <w:r>
        <w:rPr>
          <w:rFonts w:hint="eastAsia" w:ascii="宋体" w:hAnsi="宋体"/>
          <w:b/>
          <w:sz w:val="24"/>
          <w:szCs w:val="24"/>
        </w:rPr>
        <w:t>性能参数：</w:t>
      </w:r>
    </w:p>
    <w:tbl>
      <w:tblPr>
        <w:tblStyle w:val="77"/>
        <w:tblW w:w="5000" w:type="pct"/>
        <w:jc w:val="center"/>
        <w:tblLayout w:type="autofit"/>
        <w:tblCellMar>
          <w:top w:w="0" w:type="dxa"/>
          <w:left w:w="108" w:type="dxa"/>
          <w:bottom w:w="0" w:type="dxa"/>
          <w:right w:w="108" w:type="dxa"/>
        </w:tblCellMar>
      </w:tblPr>
      <w:tblGrid>
        <w:gridCol w:w="3339"/>
        <w:gridCol w:w="1793"/>
        <w:gridCol w:w="1793"/>
        <w:gridCol w:w="1795"/>
      </w:tblGrid>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1201"/>
              <w:adjustRightInd w:val="0"/>
              <w:snapToGrid w:val="0"/>
              <w:spacing w:beforeLines="0" w:line="240" w:lineRule="auto"/>
              <w:rPr>
                <w:rFonts w:ascii="宋体" w:hAnsi="宋体" w:cs="Arial"/>
                <w:szCs w:val="24"/>
                <w:lang w:val="zh-CN"/>
              </w:rPr>
            </w:pPr>
            <w:r>
              <w:rPr>
                <w:rFonts w:ascii="宋体" w:hAnsi="宋体" w:cs="Arial"/>
                <w:szCs w:val="24"/>
                <w:lang w:val="zh-CN"/>
              </w:rPr>
              <w:t>项    目</w:t>
            </w:r>
          </w:p>
        </w:tc>
        <w:tc>
          <w:tcPr>
            <w:tcW w:w="3085" w:type="pct"/>
            <w:gridSpan w:val="3"/>
            <w:tcBorders>
              <w:top w:val="single" w:color="auto" w:sz="6" w:space="0"/>
              <w:left w:val="single" w:color="auto" w:sz="6" w:space="0"/>
              <w:bottom w:val="single" w:color="auto" w:sz="6" w:space="0"/>
              <w:right w:val="single" w:color="auto" w:sz="6" w:space="0"/>
            </w:tcBorders>
            <w:vAlign w:val="center"/>
          </w:tcPr>
          <w:p>
            <w:pPr>
              <w:pStyle w:val="1201"/>
              <w:adjustRightInd w:val="0"/>
              <w:snapToGrid w:val="0"/>
              <w:spacing w:beforeLines="0" w:line="240" w:lineRule="auto"/>
              <w:rPr>
                <w:rFonts w:ascii="宋体" w:hAnsi="宋体" w:cs="Arial"/>
                <w:szCs w:val="24"/>
              </w:rPr>
            </w:pPr>
            <w:r>
              <w:rPr>
                <w:rFonts w:ascii="宋体" w:hAnsi="宋体" w:cs="Arial"/>
                <w:szCs w:val="24"/>
              </w:rPr>
              <w:t>规    格</w:t>
            </w:r>
          </w:p>
        </w:tc>
      </w:tr>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rPr>
            </w:pPr>
            <w:r>
              <w:rPr>
                <w:rFonts w:ascii="宋体" w:hAnsi="宋体" w:cs="Arial"/>
                <w:sz w:val="24"/>
                <w:szCs w:val="24"/>
                <w:lang w:val="zh-CN"/>
              </w:rPr>
              <w:t>水泵形式</w:t>
            </w:r>
          </w:p>
        </w:tc>
        <w:tc>
          <w:tcPr>
            <w:tcW w:w="3085" w:type="pct"/>
            <w:gridSpan w:val="3"/>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lang w:val="zh-CN"/>
              </w:rPr>
            </w:pPr>
            <w:r>
              <w:rPr>
                <w:rFonts w:ascii="宋体" w:hAnsi="宋体" w:cs="Arial"/>
                <w:sz w:val="24"/>
                <w:szCs w:val="24"/>
              </w:rPr>
              <w:t>单级双吸中开式卧式离心泵</w:t>
            </w:r>
          </w:p>
        </w:tc>
      </w:tr>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lang w:val="zh-CN"/>
              </w:rPr>
            </w:pPr>
            <w:r>
              <w:rPr>
                <w:rFonts w:ascii="宋体" w:hAnsi="宋体" w:cs="Arial"/>
                <w:sz w:val="24"/>
                <w:szCs w:val="24"/>
                <w:lang w:val="zh-CN"/>
              </w:rPr>
              <w:t>介质</w:t>
            </w:r>
          </w:p>
        </w:tc>
        <w:tc>
          <w:tcPr>
            <w:tcW w:w="3085" w:type="pct"/>
            <w:gridSpan w:val="3"/>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lang w:val="zh-CN"/>
              </w:rPr>
            </w:pPr>
            <w:r>
              <w:rPr>
                <w:rFonts w:ascii="宋体" w:hAnsi="宋体" w:cs="Arial"/>
                <w:sz w:val="24"/>
                <w:szCs w:val="24"/>
                <w:lang w:val="zh-CN"/>
              </w:rPr>
              <w:t>净水</w:t>
            </w:r>
          </w:p>
        </w:tc>
      </w:tr>
      <w:tr>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lang w:val="zh-CN"/>
              </w:rPr>
            </w:pPr>
            <w:r>
              <w:rPr>
                <w:rFonts w:ascii="宋体" w:hAnsi="宋体" w:cs="Arial"/>
                <w:sz w:val="24"/>
                <w:szCs w:val="24"/>
                <w:lang w:val="zh-CN"/>
              </w:rPr>
              <w:t>工况参数</w:t>
            </w:r>
          </w:p>
        </w:tc>
        <w:tc>
          <w:tcPr>
            <w:tcW w:w="1028" w:type="pct"/>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lang w:val="zh-CN"/>
              </w:rPr>
            </w:pPr>
            <w:r>
              <w:rPr>
                <w:rFonts w:ascii="宋体" w:hAnsi="宋体" w:cs="Arial"/>
                <w:sz w:val="24"/>
                <w:szCs w:val="24"/>
                <w:lang w:val="zh-CN"/>
              </w:rPr>
              <w:t>工况1</w:t>
            </w:r>
          </w:p>
        </w:tc>
        <w:tc>
          <w:tcPr>
            <w:tcW w:w="1028" w:type="pct"/>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lang w:val="zh-CN"/>
              </w:rPr>
            </w:pPr>
            <w:r>
              <w:rPr>
                <w:rFonts w:ascii="宋体" w:hAnsi="宋体" w:cs="Arial"/>
                <w:sz w:val="24"/>
                <w:szCs w:val="24"/>
                <w:lang w:val="zh-CN"/>
              </w:rPr>
              <w:t>工况2</w:t>
            </w:r>
          </w:p>
        </w:tc>
        <w:tc>
          <w:tcPr>
            <w:tcW w:w="1029" w:type="pct"/>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lang w:val="zh-CN"/>
              </w:rPr>
            </w:pPr>
            <w:r>
              <w:rPr>
                <w:rFonts w:ascii="宋体" w:hAnsi="宋体" w:cs="Arial"/>
                <w:sz w:val="24"/>
                <w:szCs w:val="24"/>
                <w:lang w:val="zh-CN"/>
              </w:rPr>
              <w:t>工况3</w:t>
            </w:r>
          </w:p>
        </w:tc>
      </w:tr>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lang w:val="zh-CN"/>
              </w:rPr>
            </w:pPr>
            <w:r>
              <w:rPr>
                <w:rFonts w:ascii="宋体" w:hAnsi="宋体" w:cs="Arial"/>
                <w:sz w:val="24"/>
                <w:szCs w:val="24"/>
                <w:lang w:val="zh-CN"/>
              </w:rPr>
              <w:t>流量Q（m</w:t>
            </w:r>
            <w:r>
              <w:rPr>
                <w:rFonts w:ascii="宋体" w:hAnsi="宋体" w:cs="Arial"/>
                <w:sz w:val="24"/>
                <w:szCs w:val="24"/>
                <w:vertAlign w:val="superscript"/>
                <w:lang w:val="zh-CN"/>
              </w:rPr>
              <w:t>3</w:t>
            </w:r>
            <w:r>
              <w:rPr>
                <w:rFonts w:ascii="宋体" w:hAnsi="宋体" w:cs="Arial"/>
                <w:sz w:val="24"/>
                <w:szCs w:val="24"/>
                <w:lang w:val="zh-CN"/>
              </w:rPr>
              <w:t>/h）</w:t>
            </w:r>
          </w:p>
        </w:tc>
        <w:tc>
          <w:tcPr>
            <w:tcW w:w="1028"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hint="eastAsia" w:ascii="宋体" w:hAnsi="宋体" w:cs="Arial"/>
              </w:rPr>
              <w:t>360</w:t>
            </w:r>
          </w:p>
        </w:tc>
        <w:tc>
          <w:tcPr>
            <w:tcW w:w="1028"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hint="eastAsia" w:ascii="宋体" w:hAnsi="宋体" w:cs="Arial"/>
              </w:rPr>
              <w:t>46</w:t>
            </w:r>
            <w:r>
              <w:rPr>
                <w:rFonts w:ascii="宋体" w:hAnsi="宋体" w:cs="Arial"/>
              </w:rPr>
              <w:t>0</w:t>
            </w:r>
          </w:p>
        </w:tc>
        <w:tc>
          <w:tcPr>
            <w:tcW w:w="1029"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hint="eastAsia" w:ascii="宋体" w:hAnsi="宋体" w:cs="Arial"/>
              </w:rPr>
              <w:t>576</w:t>
            </w:r>
          </w:p>
        </w:tc>
      </w:tr>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lang w:val="zh-CN"/>
              </w:rPr>
            </w:pPr>
            <w:r>
              <w:rPr>
                <w:rFonts w:ascii="宋体" w:hAnsi="宋体" w:cs="Arial"/>
                <w:sz w:val="24"/>
                <w:szCs w:val="24"/>
                <w:lang w:val="zh-CN"/>
              </w:rPr>
              <w:t>扬程H（m）</w:t>
            </w:r>
          </w:p>
        </w:tc>
        <w:tc>
          <w:tcPr>
            <w:tcW w:w="1028"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hint="eastAsia" w:ascii="宋体" w:hAnsi="宋体" w:cs="Arial"/>
              </w:rPr>
              <w:t>27</w:t>
            </w:r>
          </w:p>
        </w:tc>
        <w:tc>
          <w:tcPr>
            <w:tcW w:w="1028"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hint="eastAsia" w:ascii="宋体" w:hAnsi="宋体" w:cs="Arial"/>
              </w:rPr>
              <w:t>24</w:t>
            </w:r>
          </w:p>
        </w:tc>
        <w:tc>
          <w:tcPr>
            <w:tcW w:w="1029"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hint="eastAsia" w:ascii="宋体" w:hAnsi="宋体" w:cs="Arial"/>
              </w:rPr>
              <w:t>19.5</w:t>
            </w:r>
          </w:p>
        </w:tc>
      </w:tr>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lang w:val="zh-CN"/>
              </w:rPr>
            </w:pPr>
            <w:r>
              <w:rPr>
                <w:rFonts w:ascii="宋体" w:hAnsi="宋体" w:cs="Arial"/>
                <w:sz w:val="24"/>
                <w:szCs w:val="24"/>
                <w:lang w:val="zh-CN"/>
              </w:rPr>
              <w:t>保证效率η（%）</w:t>
            </w:r>
          </w:p>
        </w:tc>
        <w:tc>
          <w:tcPr>
            <w:tcW w:w="1028"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ascii="宋体" w:hAnsi="宋体" w:cs="Arial"/>
              </w:rPr>
              <w:t>≥8</w:t>
            </w:r>
            <w:r>
              <w:rPr>
                <w:rFonts w:hint="eastAsia" w:ascii="宋体" w:hAnsi="宋体" w:cs="Arial"/>
              </w:rPr>
              <w:t>3</w:t>
            </w:r>
          </w:p>
        </w:tc>
        <w:tc>
          <w:tcPr>
            <w:tcW w:w="1028"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ascii="宋体" w:hAnsi="宋体" w:cs="Arial"/>
              </w:rPr>
              <w:t>≥8</w:t>
            </w:r>
            <w:r>
              <w:rPr>
                <w:rFonts w:hint="eastAsia" w:ascii="宋体" w:hAnsi="宋体" w:cs="Arial"/>
              </w:rPr>
              <w:t>4</w:t>
            </w:r>
          </w:p>
        </w:tc>
        <w:tc>
          <w:tcPr>
            <w:tcW w:w="1029"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ascii="宋体" w:hAnsi="宋体" w:cs="Arial"/>
              </w:rPr>
              <w:t>≥</w:t>
            </w:r>
            <w:r>
              <w:rPr>
                <w:rFonts w:hint="eastAsia" w:ascii="宋体" w:hAnsi="宋体" w:cs="Arial"/>
              </w:rPr>
              <w:t>79</w:t>
            </w:r>
          </w:p>
        </w:tc>
      </w:tr>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lang w:val="zh-CN"/>
              </w:rPr>
            </w:pPr>
            <w:r>
              <w:rPr>
                <w:rFonts w:ascii="宋体" w:hAnsi="宋体" w:cs="Arial"/>
                <w:sz w:val="24"/>
                <w:szCs w:val="24"/>
                <w:lang w:val="zh-CN"/>
              </w:rPr>
              <w:t>泵轴功率P（Kw）</w:t>
            </w:r>
          </w:p>
        </w:tc>
        <w:tc>
          <w:tcPr>
            <w:tcW w:w="1028"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ascii="宋体" w:hAnsi="宋体" w:cs="Arial"/>
              </w:rPr>
              <w:t>≤3</w:t>
            </w:r>
            <w:r>
              <w:rPr>
                <w:rFonts w:hint="eastAsia" w:ascii="宋体" w:hAnsi="宋体" w:cs="Arial"/>
              </w:rPr>
              <w:t>2</w:t>
            </w:r>
          </w:p>
        </w:tc>
        <w:tc>
          <w:tcPr>
            <w:tcW w:w="1028"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ascii="宋体" w:hAnsi="宋体" w:cs="Arial"/>
              </w:rPr>
              <w:t>≤</w:t>
            </w:r>
            <w:r>
              <w:rPr>
                <w:rFonts w:hint="eastAsia" w:ascii="宋体" w:hAnsi="宋体" w:cs="Arial"/>
              </w:rPr>
              <w:t>36</w:t>
            </w:r>
          </w:p>
        </w:tc>
        <w:tc>
          <w:tcPr>
            <w:tcW w:w="1029" w:type="pct"/>
            <w:tcBorders>
              <w:top w:val="single" w:color="auto" w:sz="6" w:space="0"/>
              <w:left w:val="single" w:color="auto" w:sz="6" w:space="0"/>
              <w:bottom w:val="single" w:color="auto" w:sz="6" w:space="0"/>
              <w:right w:val="single" w:color="auto" w:sz="6" w:space="0"/>
            </w:tcBorders>
            <w:vAlign w:val="center"/>
          </w:tcPr>
          <w:p>
            <w:pPr>
              <w:snapToGrid w:val="0"/>
              <w:jc w:val="center"/>
              <w:rPr>
                <w:rFonts w:ascii="宋体" w:hAnsi="宋体" w:cs="Arial"/>
              </w:rPr>
            </w:pPr>
            <w:r>
              <w:rPr>
                <w:rFonts w:ascii="宋体" w:hAnsi="宋体" w:cs="Arial"/>
              </w:rPr>
              <w:t>≤3</w:t>
            </w:r>
            <w:r>
              <w:rPr>
                <w:rFonts w:hint="eastAsia" w:ascii="宋体" w:hAnsi="宋体" w:cs="Arial"/>
              </w:rPr>
              <w:t>9</w:t>
            </w:r>
          </w:p>
        </w:tc>
      </w:tr>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lang w:val="zh-CN"/>
              </w:rPr>
            </w:pPr>
            <w:r>
              <w:rPr>
                <w:rFonts w:ascii="宋体" w:hAnsi="宋体" w:cs="Arial"/>
                <w:sz w:val="24"/>
                <w:szCs w:val="24"/>
                <w:lang w:val="zh-CN"/>
              </w:rPr>
              <w:t>转数n（rpm）</w:t>
            </w:r>
          </w:p>
        </w:tc>
        <w:tc>
          <w:tcPr>
            <w:tcW w:w="3085" w:type="pct"/>
            <w:gridSpan w:val="3"/>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rPr>
            </w:pPr>
            <w:r>
              <w:rPr>
                <w:rFonts w:ascii="宋体" w:hAnsi="宋体" w:cs="Arial"/>
                <w:sz w:val="24"/>
                <w:szCs w:val="24"/>
              </w:rPr>
              <w:t>≤1480</w:t>
            </w:r>
          </w:p>
        </w:tc>
      </w:tr>
      <w:tr>
        <w:tblPrEx>
          <w:tblCellMar>
            <w:top w:w="0" w:type="dxa"/>
            <w:left w:w="108" w:type="dxa"/>
            <w:bottom w:w="0" w:type="dxa"/>
            <w:right w:w="108" w:type="dxa"/>
          </w:tblCellMar>
        </w:tblPrEx>
        <w:trPr>
          <w:jc w:val="center"/>
        </w:trPr>
        <w:tc>
          <w:tcPr>
            <w:tcW w:w="1915" w:type="pct"/>
            <w:tcBorders>
              <w:top w:val="single" w:color="auto" w:sz="6" w:space="0"/>
              <w:left w:val="single" w:color="auto" w:sz="6" w:space="0"/>
              <w:bottom w:val="single" w:color="auto" w:sz="6" w:space="0"/>
              <w:right w:val="single" w:color="auto" w:sz="6" w:space="0"/>
            </w:tcBorders>
          </w:tcPr>
          <w:p>
            <w:pPr>
              <w:pStyle w:val="740"/>
              <w:snapToGrid w:val="0"/>
              <w:spacing w:before="0" w:after="0"/>
              <w:ind w:left="-94"/>
              <w:rPr>
                <w:rFonts w:ascii="宋体" w:hAnsi="宋体" w:cs="Arial"/>
                <w:sz w:val="24"/>
                <w:szCs w:val="24"/>
              </w:rPr>
            </w:pPr>
            <w:r>
              <w:rPr>
                <w:rFonts w:ascii="宋体" w:hAnsi="宋体" w:cs="Arial"/>
                <w:sz w:val="24"/>
                <w:szCs w:val="24"/>
              </w:rPr>
              <w:t>NPSH（m）</w:t>
            </w:r>
          </w:p>
        </w:tc>
        <w:tc>
          <w:tcPr>
            <w:tcW w:w="1028" w:type="pct"/>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lang w:val="zh-CN"/>
              </w:rPr>
            </w:pPr>
            <w:r>
              <w:rPr>
                <w:rFonts w:ascii="宋体" w:hAnsi="宋体" w:cs="Arial"/>
                <w:sz w:val="24"/>
                <w:szCs w:val="24"/>
              </w:rPr>
              <w:t>&lt;</w:t>
            </w:r>
            <w:r>
              <w:rPr>
                <w:rFonts w:hint="eastAsia" w:ascii="宋体" w:hAnsi="宋体" w:cs="Arial"/>
                <w:sz w:val="24"/>
                <w:szCs w:val="24"/>
              </w:rPr>
              <w:t>3</w:t>
            </w:r>
          </w:p>
        </w:tc>
        <w:tc>
          <w:tcPr>
            <w:tcW w:w="1028" w:type="pct"/>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lang w:val="zh-CN"/>
              </w:rPr>
            </w:pPr>
            <w:r>
              <w:rPr>
                <w:rFonts w:ascii="宋体" w:hAnsi="宋体" w:cs="Arial"/>
                <w:sz w:val="24"/>
                <w:szCs w:val="24"/>
              </w:rPr>
              <w:t>&lt;</w:t>
            </w:r>
            <w:r>
              <w:rPr>
                <w:rFonts w:hint="eastAsia" w:ascii="宋体" w:hAnsi="宋体" w:cs="Arial"/>
                <w:sz w:val="24"/>
                <w:szCs w:val="24"/>
              </w:rPr>
              <w:t>3</w:t>
            </w:r>
          </w:p>
        </w:tc>
        <w:tc>
          <w:tcPr>
            <w:tcW w:w="1029" w:type="pct"/>
            <w:tcBorders>
              <w:top w:val="single" w:color="auto" w:sz="6" w:space="0"/>
              <w:left w:val="single" w:color="auto" w:sz="6" w:space="0"/>
              <w:bottom w:val="single" w:color="auto" w:sz="6" w:space="0"/>
              <w:right w:val="single" w:color="auto" w:sz="6" w:space="0"/>
            </w:tcBorders>
            <w:vAlign w:val="center"/>
          </w:tcPr>
          <w:p>
            <w:pPr>
              <w:pStyle w:val="740"/>
              <w:snapToGrid w:val="0"/>
              <w:spacing w:before="0" w:after="0"/>
              <w:rPr>
                <w:rFonts w:ascii="宋体" w:hAnsi="宋体" w:cs="Arial"/>
                <w:sz w:val="24"/>
                <w:szCs w:val="24"/>
                <w:lang w:val="zh-CN"/>
              </w:rPr>
            </w:pPr>
            <w:r>
              <w:rPr>
                <w:rFonts w:ascii="宋体" w:hAnsi="宋体" w:cs="Arial"/>
                <w:sz w:val="24"/>
                <w:szCs w:val="24"/>
              </w:rPr>
              <w:t>&lt;</w:t>
            </w:r>
            <w:r>
              <w:rPr>
                <w:rFonts w:hint="eastAsia" w:ascii="宋体" w:hAnsi="宋体" w:cs="Arial"/>
                <w:sz w:val="24"/>
                <w:szCs w:val="24"/>
              </w:rPr>
              <w:t>3</w:t>
            </w:r>
          </w:p>
        </w:tc>
      </w:tr>
    </w:tbl>
    <w:p>
      <w:pPr>
        <w:pStyle w:val="1199"/>
        <w:tabs>
          <w:tab w:val="left" w:pos="567"/>
        </w:tabs>
        <w:adjustRightInd w:val="0"/>
        <w:snapToGrid w:val="0"/>
        <w:spacing w:before="203" w:beforeLines="50" w:after="203" w:afterLines="50"/>
        <w:ind w:left="567" w:firstLine="0" w:firstLineChars="0"/>
        <w:rPr>
          <w:rFonts w:ascii="宋体" w:hAnsi="宋体"/>
          <w:b/>
          <w:sz w:val="24"/>
          <w:szCs w:val="24"/>
        </w:rPr>
      </w:pPr>
      <w:r>
        <w:rPr>
          <w:rFonts w:hint="eastAsia" w:ascii="宋体" w:hAnsi="宋体"/>
          <w:b/>
          <w:sz w:val="24"/>
          <w:szCs w:val="24"/>
        </w:rPr>
        <w:t>5</w:t>
      </w:r>
      <w:r>
        <w:rPr>
          <w:rFonts w:ascii="宋体" w:hAnsi="宋体"/>
          <w:b/>
          <w:sz w:val="24"/>
          <w:szCs w:val="24"/>
        </w:rPr>
        <w:t>.8.5.2</w:t>
      </w:r>
      <w:r>
        <w:rPr>
          <w:rFonts w:hint="eastAsia" w:ascii="宋体" w:hAnsi="宋体"/>
          <w:b/>
          <w:sz w:val="24"/>
          <w:szCs w:val="24"/>
        </w:rPr>
        <w:t>性能要求：</w:t>
      </w:r>
    </w:p>
    <w:p>
      <w:pPr>
        <w:pStyle w:val="1199"/>
        <w:numPr>
          <w:ilvl w:val="1"/>
          <w:numId w:val="67"/>
        </w:numPr>
        <w:tabs>
          <w:tab w:val="left" w:pos="709"/>
        </w:tabs>
        <w:adjustRightInd w:val="0"/>
        <w:spacing w:before="203" w:beforeLines="50" w:after="203" w:afterLines="50"/>
        <w:ind w:left="709" w:hanging="709" w:firstLineChars="0"/>
        <w:rPr>
          <w:rFonts w:ascii="宋体" w:hAnsi="宋体"/>
          <w:sz w:val="24"/>
          <w:szCs w:val="24"/>
        </w:rPr>
      </w:pPr>
      <w:r>
        <w:rPr>
          <w:rFonts w:hint="eastAsia" w:ascii="宋体" w:hAnsi="宋体"/>
          <w:sz w:val="24"/>
          <w:szCs w:val="24"/>
        </w:rPr>
        <w:t>泵的扬程—流量特性:</w:t>
      </w:r>
    </w:p>
    <w:p>
      <w:pPr>
        <w:pStyle w:val="1199"/>
        <w:numPr>
          <w:ilvl w:val="0"/>
          <w:numId w:val="68"/>
        </w:numPr>
        <w:tabs>
          <w:tab w:val="left" w:pos="993"/>
        </w:tabs>
        <w:adjustRightInd w:val="0"/>
        <w:snapToGrid w:val="0"/>
        <w:spacing w:before="203" w:beforeLines="50" w:after="203" w:afterLines="50"/>
        <w:ind w:left="993" w:hanging="426" w:firstLineChars="0"/>
        <w:rPr>
          <w:rFonts w:ascii="宋体" w:hAnsi="宋体"/>
          <w:sz w:val="24"/>
          <w:szCs w:val="24"/>
        </w:rPr>
      </w:pPr>
      <w:r>
        <w:rPr>
          <w:rFonts w:hint="eastAsia" w:ascii="宋体" w:hAnsi="宋体"/>
          <w:sz w:val="24"/>
          <w:szCs w:val="24"/>
        </w:rPr>
        <w:t>投标人必须提供从零流量起至最大工作流量以上的水泵Q-H曲线，曲线上必须标出扬程、NPSH、轴功率、效率与流量的对应关系。泵从关闭到最大流量运行时的“H-Q”特性曲线上的任何一点作切线，其切线方向应沿着流量增大的方向而下降。</w:t>
      </w:r>
    </w:p>
    <w:p>
      <w:pPr>
        <w:pStyle w:val="1199"/>
        <w:numPr>
          <w:ilvl w:val="0"/>
          <w:numId w:val="68"/>
        </w:numPr>
        <w:tabs>
          <w:tab w:val="left" w:pos="993"/>
        </w:tabs>
        <w:adjustRightInd w:val="0"/>
        <w:snapToGrid w:val="0"/>
        <w:spacing w:before="203" w:beforeLines="50" w:after="203" w:afterLines="50"/>
        <w:ind w:left="993" w:hanging="426" w:firstLineChars="0"/>
        <w:rPr>
          <w:rFonts w:ascii="宋体" w:hAnsi="宋体"/>
          <w:sz w:val="24"/>
          <w:szCs w:val="24"/>
        </w:rPr>
      </w:pPr>
      <w:r>
        <w:rPr>
          <w:rFonts w:hint="eastAsia" w:ascii="宋体" w:hAnsi="宋体"/>
          <w:sz w:val="24"/>
          <w:szCs w:val="24"/>
        </w:rPr>
        <w:t>以上水泵出厂性能测试按照GB/T3216-2016《回转动力泵水力性能验收试验》1B级及以上标准的规定测试。投标时水泵保证效率需提供水泵测试报告。</w:t>
      </w:r>
    </w:p>
    <w:p>
      <w:pPr>
        <w:pStyle w:val="1199"/>
        <w:numPr>
          <w:ilvl w:val="1"/>
          <w:numId w:val="67"/>
        </w:numPr>
        <w:tabs>
          <w:tab w:val="left" w:pos="709"/>
        </w:tabs>
        <w:adjustRightInd w:val="0"/>
        <w:spacing w:before="203" w:beforeLines="50" w:after="203" w:afterLines="50"/>
        <w:ind w:left="709" w:hanging="709" w:firstLineChars="0"/>
        <w:rPr>
          <w:rFonts w:ascii="宋体" w:hAnsi="宋体"/>
          <w:sz w:val="24"/>
          <w:szCs w:val="24"/>
        </w:rPr>
      </w:pPr>
      <w:r>
        <w:rPr>
          <w:rFonts w:hint="eastAsia" w:ascii="宋体" w:hAnsi="宋体"/>
          <w:sz w:val="24"/>
          <w:szCs w:val="24"/>
        </w:rPr>
        <w:t>泵的轴功率及配套电机功率</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泵的轴功率特性曲线，在全部范围内应是平稳的，配套电机应在泵运行中不会出现过载现象。</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泵的倒转能力</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泵可以承受的反转速度为正向最大转速的120%以上。</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水泵在整个运行工况条件下，必须运行平稳、无振动，其在满负荷条件下运行的噪音等级为在离其1米远处小于或等于80dBA。</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泵在连续满负荷运行条件下，电机及各轴承与密封结构等的温升不应大于40℃。</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水泵的密封性能应良好，不得超过有关标准规定的漏滴现象。</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水泵轴封的更换，润滑油的加注应方便。</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电机设计必须考虑到能够连续运行，电机冷态允许连续起动2次，热态允许连续起动1次，并不会因此而带来任何有害影响。</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泵应能承受各种正常和异常操作情况下产生的力，如：阀关闭时的正常起动和停机；由于清水倒流而引起的倒转；由于断电及紧急停车而引起的水力瞬变。</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泵的铸件表面应光滑平整、无毛刺、无锐角、无气孔。</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用于泵本体和部件组装的所用螺栓、螺母和其他外露紧固件为符合国家标准的标准件，地脚螺栓为碳钢。</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泵旋转总成的设计应使泵、电动机、联轴器作为一个系统运转时，不能产生共振，水泵与电动机通过联轴器直联。</w:t>
      </w:r>
    </w:p>
    <w:p>
      <w:pPr>
        <w:pStyle w:val="1199"/>
        <w:numPr>
          <w:ilvl w:val="1"/>
          <w:numId w:val="67"/>
        </w:numPr>
        <w:tabs>
          <w:tab w:val="left" w:pos="851"/>
        </w:tabs>
        <w:adjustRightInd w:val="0"/>
        <w:spacing w:before="203" w:beforeLines="50" w:after="203" w:afterLines="50"/>
        <w:ind w:left="851" w:hanging="851" w:firstLineChars="0"/>
        <w:rPr>
          <w:rFonts w:ascii="宋体" w:hAnsi="宋体"/>
          <w:sz w:val="24"/>
          <w:szCs w:val="24"/>
        </w:rPr>
      </w:pPr>
      <w:r>
        <w:rPr>
          <w:rFonts w:hint="eastAsia" w:ascii="宋体" w:hAnsi="宋体"/>
          <w:sz w:val="24"/>
          <w:szCs w:val="24"/>
        </w:rPr>
        <w:t>泵体铸件的壁厚，除满足强度要求外，还需适当增加厚度，以补偿清水的腐蚀和磨损。</w:t>
      </w:r>
    </w:p>
    <w:p>
      <w:pPr>
        <w:pStyle w:val="1199"/>
        <w:tabs>
          <w:tab w:val="left" w:pos="567"/>
        </w:tabs>
        <w:adjustRightInd w:val="0"/>
        <w:snapToGrid w:val="0"/>
        <w:spacing w:before="203" w:beforeLines="50" w:after="203" w:afterLines="50"/>
        <w:ind w:left="567" w:firstLine="0" w:firstLineChars="0"/>
        <w:rPr>
          <w:rFonts w:ascii="宋体" w:hAnsi="宋体"/>
          <w:b/>
          <w:sz w:val="24"/>
          <w:szCs w:val="24"/>
        </w:rPr>
      </w:pPr>
      <w:r>
        <w:rPr>
          <w:rFonts w:hint="eastAsia" w:ascii="宋体" w:hAnsi="宋体"/>
          <w:b/>
          <w:sz w:val="24"/>
          <w:szCs w:val="24"/>
        </w:rPr>
        <w:t>5</w:t>
      </w:r>
      <w:r>
        <w:rPr>
          <w:rFonts w:ascii="宋体" w:hAnsi="宋体"/>
          <w:b/>
          <w:sz w:val="24"/>
          <w:szCs w:val="24"/>
        </w:rPr>
        <w:t>.8.5.3</w:t>
      </w:r>
      <w:r>
        <w:rPr>
          <w:rFonts w:hint="eastAsia" w:ascii="宋体" w:hAnsi="宋体"/>
          <w:b/>
          <w:sz w:val="24"/>
          <w:szCs w:val="24"/>
        </w:rPr>
        <w:t>结构要求：</w:t>
      </w:r>
    </w:p>
    <w:p>
      <w:pPr>
        <w:pStyle w:val="1199"/>
        <w:tabs>
          <w:tab w:val="left" w:pos="993"/>
        </w:tabs>
        <w:adjustRightInd w:val="0"/>
        <w:snapToGrid w:val="0"/>
        <w:spacing w:before="203" w:beforeLines="50" w:after="203" w:afterLines="50"/>
        <w:ind w:firstLine="500"/>
        <w:rPr>
          <w:rFonts w:ascii="宋体" w:hAnsi="宋体"/>
          <w:sz w:val="24"/>
          <w:szCs w:val="24"/>
        </w:rPr>
      </w:pPr>
      <w:r>
        <w:rPr>
          <w:rFonts w:hint="eastAsia" w:ascii="宋体" w:hAnsi="宋体"/>
          <w:sz w:val="24"/>
          <w:szCs w:val="24"/>
        </w:rPr>
        <w:t>水泵由泵体、泵盖、叶轮、主轴、轴套、轴承体部件、密封环、机械密封等部分以及水封管、密封圈，多种紧固件等组成。</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b/>
          <w:sz w:val="24"/>
          <w:szCs w:val="24"/>
        </w:rPr>
      </w:pPr>
      <w:r>
        <w:rPr>
          <w:rFonts w:hint="eastAsia" w:ascii="宋体" w:hAnsi="宋体"/>
          <w:b/>
          <w:sz w:val="24"/>
          <w:szCs w:val="24"/>
        </w:rPr>
        <w:t>水泵主要部件的设计要求：</w:t>
      </w:r>
    </w:p>
    <w:p>
      <w:pPr>
        <w:pStyle w:val="1199"/>
        <w:numPr>
          <w:ilvl w:val="0"/>
          <w:numId w:val="70"/>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水泵结构及材料应符合GB/T5656-2008《离心泵技术条件</w:t>
      </w:r>
      <w:r>
        <w:rPr>
          <w:rFonts w:hint="eastAsia" w:ascii="宋体" w:hAnsi="宋体"/>
          <w:sz w:val="24"/>
          <w:szCs w:val="24"/>
        </w:rPr>
        <w:fldChar w:fldCharType="begin"/>
      </w:r>
      <w:r>
        <w:rPr>
          <w:rFonts w:hint="eastAsia" w:ascii="宋体" w:hAnsi="宋体"/>
          <w:sz w:val="24"/>
          <w:szCs w:val="24"/>
        </w:rPr>
        <w:instrText xml:space="preserve"> = 2 \* ROMAN </w:instrText>
      </w:r>
      <w:r>
        <w:rPr>
          <w:rFonts w:hint="eastAsia" w:ascii="宋体" w:hAnsi="宋体"/>
          <w:sz w:val="24"/>
          <w:szCs w:val="24"/>
        </w:rPr>
        <w:fldChar w:fldCharType="separate"/>
      </w:r>
      <w:r>
        <w:rPr>
          <w:rFonts w:hint="eastAsia" w:ascii="宋体" w:hAnsi="宋体"/>
          <w:sz w:val="24"/>
          <w:szCs w:val="24"/>
        </w:rPr>
        <w:t>II</w:t>
      </w:r>
      <w:r>
        <w:rPr>
          <w:rFonts w:hint="eastAsia" w:ascii="宋体" w:hAnsi="宋体"/>
          <w:sz w:val="24"/>
          <w:szCs w:val="24"/>
        </w:rPr>
        <w:fldChar w:fldCharType="end"/>
      </w:r>
      <w:r>
        <w:rPr>
          <w:rFonts w:hint="eastAsia" w:ascii="宋体" w:hAnsi="宋体"/>
          <w:sz w:val="24"/>
          <w:szCs w:val="24"/>
        </w:rPr>
        <w:t>级》中的有关规定，水泵应当是单级、双吸、中开式离心泵，底脚式安装，适宜于连续的满负荷运转。水泵的内部结构应满足当水泵倒转时，不会带来对水泵电机和控制机构的损坏。</w:t>
      </w:r>
    </w:p>
    <w:p>
      <w:pPr>
        <w:pStyle w:val="1199"/>
        <w:numPr>
          <w:ilvl w:val="0"/>
          <w:numId w:val="70"/>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水泵主要零部件的材料机械性能和化学成分符合相应标准。</w:t>
      </w:r>
    </w:p>
    <w:p>
      <w:pPr>
        <w:pStyle w:val="1199"/>
        <w:numPr>
          <w:ilvl w:val="0"/>
          <w:numId w:val="70"/>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水泵主要部件的结构必须便于装拆。</w:t>
      </w:r>
    </w:p>
    <w:p>
      <w:pPr>
        <w:pStyle w:val="1199"/>
        <w:numPr>
          <w:ilvl w:val="0"/>
          <w:numId w:val="70"/>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水泵主要部件的结构尺寸必须符合运输条件。</w:t>
      </w:r>
    </w:p>
    <w:p>
      <w:pPr>
        <w:pStyle w:val="1199"/>
        <w:numPr>
          <w:ilvl w:val="0"/>
          <w:numId w:val="70"/>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水泵的铸、焊件均需进行时效处理并进行无损检查。</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b/>
          <w:sz w:val="24"/>
          <w:szCs w:val="24"/>
        </w:rPr>
      </w:pPr>
      <w:r>
        <w:rPr>
          <w:rFonts w:hint="eastAsia" w:ascii="宋体" w:hAnsi="宋体"/>
          <w:b/>
          <w:sz w:val="24"/>
          <w:szCs w:val="24"/>
        </w:rPr>
        <w:t>水泵壳体</w:t>
      </w:r>
    </w:p>
    <w:p>
      <w:pPr>
        <w:pStyle w:val="1199"/>
        <w:numPr>
          <w:ilvl w:val="0"/>
          <w:numId w:val="7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水泵的壳体应设计成可在水泵轴中心线处水平分开，一分为二， 其吸入口和吐出口应当与壳体的下半部分一次浇成。只要提起上半部分的壳体和轴承的托架以及退去联轴器上的螺栓以后就可以拆卸全部的转动部件。</w:t>
      </w:r>
    </w:p>
    <w:p>
      <w:pPr>
        <w:pStyle w:val="1199"/>
        <w:numPr>
          <w:ilvl w:val="0"/>
          <w:numId w:val="7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泵联接法兰尺寸及密封面型式应符合GB4216 PN1.0MPa的要求，法兰孔应与垂直线对称分布。泵体上在泵的重心或对称位置处应设置吊环、螺钉或吊耳等，以便泵的装卸。壳体至少有两个管道接口，一只在下半壳体的底部，作为放水管连接口，一只在上半部壳体的顶部，作放气之用。</w:t>
      </w:r>
    </w:p>
    <w:p>
      <w:pPr>
        <w:pStyle w:val="1199"/>
        <w:numPr>
          <w:ilvl w:val="0"/>
          <w:numId w:val="71"/>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水泵的壳体材质采用球墨铸铁QT500-7 或优于此号牌的材质整体铸造而成。</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叶轮</w:t>
      </w:r>
    </w:p>
    <w:p>
      <w:pPr>
        <w:pStyle w:val="1199"/>
        <w:numPr>
          <w:ilvl w:val="0"/>
          <w:numId w:val="72"/>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叶轮的设计制造应保证有足够的强度，能承受任何可能产生的作用在叶轮上的最大水压力和离心力。在水泵工作年限内不得产生任何裂纹和断裂或有害变形。</w:t>
      </w:r>
    </w:p>
    <w:p>
      <w:pPr>
        <w:pStyle w:val="1199"/>
        <w:numPr>
          <w:ilvl w:val="0"/>
          <w:numId w:val="72"/>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叶轮应当是双吸封闭式，加工平滑，且经过动静平衡试验。并提供试验报告书。叶轮与轴可采用键或更优的连接方式紧固安装。叶轮应可靠地固定在泵轴上，确实保证不会由于振动和运行中的其他原因而出现松动，以防止产生轴向和径向移动。不论叶轮沿着顺时针旋转或反向都不会松动。</w:t>
      </w:r>
    </w:p>
    <w:p>
      <w:pPr>
        <w:pStyle w:val="1199"/>
        <w:numPr>
          <w:ilvl w:val="0"/>
          <w:numId w:val="72"/>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叶轮材质选用双相不锈钢DIN1.4474或优于此号牌的材质整体铸造，以保证水泵的高效率及良好的气蚀性能。</w:t>
      </w:r>
    </w:p>
    <w:p>
      <w:pPr>
        <w:pStyle w:val="1199"/>
        <w:numPr>
          <w:ilvl w:val="0"/>
          <w:numId w:val="72"/>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lang w:val="zh-CN"/>
        </w:rPr>
        <w:t>同型号水泵应保证泵的</w:t>
      </w:r>
      <w:r>
        <w:rPr>
          <w:rFonts w:hint="eastAsia" w:ascii="宋体" w:hAnsi="宋体"/>
          <w:sz w:val="24"/>
          <w:szCs w:val="24"/>
        </w:rPr>
        <w:t>叶轮可完全互换。</w:t>
      </w:r>
      <w:r>
        <w:rPr>
          <w:rFonts w:hint="eastAsia" w:ascii="宋体" w:hAnsi="宋体"/>
          <w:sz w:val="24"/>
          <w:szCs w:val="24"/>
          <w:lang w:val="zh-CN"/>
        </w:rPr>
        <w:t>叶轮为水泵的核心部件，制造商原厂必须有自行铸造能力，并在投标时提供相关ISO证书。</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b/>
          <w:sz w:val="24"/>
          <w:szCs w:val="24"/>
        </w:rPr>
      </w:pPr>
      <w:r>
        <w:rPr>
          <w:rFonts w:hint="eastAsia" w:ascii="宋体" w:hAnsi="宋体"/>
          <w:b/>
          <w:sz w:val="24"/>
          <w:szCs w:val="24"/>
        </w:rPr>
        <w:t>密封环</w:t>
      </w:r>
    </w:p>
    <w:p>
      <w:pPr>
        <w:pStyle w:val="1199"/>
        <w:numPr>
          <w:ilvl w:val="0"/>
          <w:numId w:val="73"/>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水泵</w:t>
      </w:r>
      <w:r>
        <w:rPr>
          <w:rFonts w:hint="eastAsia" w:ascii="宋体" w:hAnsi="宋体"/>
          <w:sz w:val="24"/>
          <w:szCs w:val="24"/>
          <w:lang w:val="zh-CN"/>
        </w:rPr>
        <w:t>壳体部位</w:t>
      </w:r>
      <w:r>
        <w:rPr>
          <w:rFonts w:hint="eastAsia" w:ascii="宋体" w:hAnsi="宋体"/>
          <w:sz w:val="24"/>
          <w:szCs w:val="24"/>
        </w:rPr>
        <w:t>应设有可拆换的密封环，叶轮室内表面与叶片外圆的间隙应均匀。</w:t>
      </w:r>
    </w:p>
    <w:p>
      <w:pPr>
        <w:pStyle w:val="1199"/>
        <w:numPr>
          <w:ilvl w:val="0"/>
          <w:numId w:val="73"/>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密封环材料为采用双相不锈钢DIN1.4474或优于此号牌的材料制作。</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b/>
          <w:sz w:val="24"/>
          <w:szCs w:val="24"/>
        </w:rPr>
      </w:pPr>
      <w:r>
        <w:rPr>
          <w:rFonts w:hint="eastAsia" w:ascii="宋体" w:hAnsi="宋体"/>
          <w:b/>
          <w:sz w:val="24"/>
          <w:szCs w:val="24"/>
        </w:rPr>
        <w:t>泵轴和轴套</w:t>
      </w:r>
    </w:p>
    <w:p>
      <w:pPr>
        <w:pStyle w:val="1199"/>
        <w:numPr>
          <w:ilvl w:val="0"/>
          <w:numId w:val="74"/>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泵轴采用双相不锈钢DIN1.4462或优于此号牌的材料制作。泵轴应有足够的尺寸和刚性承受各种运转条件下的应力，泵轴设计应保证在泵反转时轴上各紧固件不松动。</w:t>
      </w:r>
    </w:p>
    <w:p>
      <w:pPr>
        <w:pStyle w:val="1199"/>
        <w:numPr>
          <w:ilvl w:val="0"/>
          <w:numId w:val="74"/>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泵轴若设有轴套，选用优质不锈钢DIN 1.4408及以上。</w:t>
      </w:r>
    </w:p>
    <w:p>
      <w:pPr>
        <w:pStyle w:val="1199"/>
        <w:numPr>
          <w:ilvl w:val="0"/>
          <w:numId w:val="74"/>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在可能发生的飞逸转速时不会出现有害的振动和摆动。</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b/>
          <w:sz w:val="24"/>
          <w:szCs w:val="24"/>
        </w:rPr>
      </w:pPr>
      <w:r>
        <w:rPr>
          <w:rFonts w:hint="eastAsia" w:ascii="宋体" w:hAnsi="宋体"/>
          <w:b/>
          <w:sz w:val="24"/>
          <w:szCs w:val="24"/>
        </w:rPr>
        <w:t>轴承</w:t>
      </w:r>
    </w:p>
    <w:p>
      <w:pPr>
        <w:pStyle w:val="1199"/>
        <w:numPr>
          <w:ilvl w:val="0"/>
          <w:numId w:val="75"/>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在泵体进出口中心线两侧布置有二个轴承，轴承采用滚动轴承，滚珠应使用重负荷型的防磨球珠，使用寿命不得低于50000h。水泵供货时需提供轴承的检验合格证书。</w:t>
      </w:r>
    </w:p>
    <w:p>
      <w:pPr>
        <w:pStyle w:val="1199"/>
        <w:numPr>
          <w:ilvl w:val="0"/>
          <w:numId w:val="75"/>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轴承体和轴承压盖材质为灰铸铁HT250或更优材质，在轴承体上钻有加脂口和排放口。</w:t>
      </w:r>
    </w:p>
    <w:p>
      <w:pPr>
        <w:pStyle w:val="1199"/>
        <w:numPr>
          <w:ilvl w:val="0"/>
          <w:numId w:val="75"/>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根据各自特点，轴承采用润滑脂润滑，保证轴承工作时的最高温度不超过75℃。每一处轴承都要有PT100测温热电阻。</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泵轴密封</w:t>
      </w:r>
    </w:p>
    <w:p>
      <w:pPr>
        <w:pStyle w:val="1199"/>
        <w:numPr>
          <w:ilvl w:val="0"/>
          <w:numId w:val="76"/>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泵主轴密封采用机械密封，安全可靠，严密、耐磨、结构简单且便于维修更换。</w:t>
      </w:r>
    </w:p>
    <w:p>
      <w:pPr>
        <w:pStyle w:val="1199"/>
        <w:numPr>
          <w:ilvl w:val="0"/>
          <w:numId w:val="76"/>
        </w:numPr>
        <w:tabs>
          <w:tab w:val="left" w:pos="993"/>
        </w:tabs>
        <w:adjustRightInd w:val="0"/>
        <w:snapToGrid w:val="0"/>
        <w:spacing w:before="203" w:beforeLines="50" w:after="203" w:afterLines="50"/>
        <w:ind w:firstLineChars="0"/>
        <w:rPr>
          <w:rFonts w:ascii="宋体" w:hAnsi="宋体"/>
          <w:sz w:val="24"/>
          <w:szCs w:val="24"/>
        </w:rPr>
      </w:pPr>
      <w:r>
        <w:rPr>
          <w:rFonts w:hint="eastAsia" w:ascii="宋体" w:hAnsi="宋体"/>
          <w:sz w:val="24"/>
          <w:szCs w:val="24"/>
        </w:rPr>
        <w:t>机封压盖为整体式，材质为不锈钢DIN1.4408或更优材质铸造而成。</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螺栓：泵体上所有螺栓材质：304或优于号牌的不锈钢。</w:t>
      </w:r>
    </w:p>
    <w:p>
      <w:pPr>
        <w:pStyle w:val="1199"/>
        <w:numPr>
          <w:ilvl w:val="0"/>
          <w:numId w:val="69"/>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联轴器：泵与电机采用弹性膜片式联轴器传动。在所有载荷工况下，水泵与电机的联轴器应满足电机最大扭矩的要求，联轴器需配有保护罩。</w:t>
      </w:r>
    </w:p>
    <w:p>
      <w:pPr>
        <w:pStyle w:val="1199"/>
        <w:numPr>
          <w:ilvl w:val="0"/>
          <w:numId w:val="69"/>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水泵附件：每台泵提供吸口压力真空表和出口压力表，精确度等级1.5，表盘直径10cm，制造商应按照泵运行范围内工作压力确定每台泵吸口压力真空表和出口压力表的合适量程，并应取得业主的认可。压力表采用铜管旋塞阀门与引压点进行连接。</w:t>
      </w:r>
    </w:p>
    <w:p>
      <w:pPr>
        <w:pStyle w:val="1199"/>
        <w:numPr>
          <w:ilvl w:val="0"/>
          <w:numId w:val="69"/>
        </w:numPr>
        <w:tabs>
          <w:tab w:val="left" w:pos="851"/>
        </w:tabs>
        <w:adjustRightInd w:val="0"/>
        <w:snapToGrid w:val="0"/>
        <w:spacing w:before="203" w:beforeLines="50" w:after="203" w:afterLines="50"/>
        <w:ind w:left="851" w:hanging="851" w:firstLineChars="0"/>
        <w:rPr>
          <w:rFonts w:ascii="宋体" w:hAnsi="宋体"/>
          <w:sz w:val="24"/>
          <w:szCs w:val="24"/>
        </w:rPr>
      </w:pPr>
      <w:r>
        <w:rPr>
          <w:rFonts w:hint="eastAsia" w:ascii="宋体" w:hAnsi="宋体"/>
          <w:sz w:val="24"/>
          <w:szCs w:val="24"/>
        </w:rPr>
        <w:t>颜色：水泵表面按SIS055900 Sa2.5进行喷砂、抛丸处理。底漆：富环氧树脂底漆，厚0.06mm，面漆：丙烯酸磁漆，厚0.06mm。色漆颜色为蓝色或经招标人认可的其他颜色。</w:t>
      </w:r>
    </w:p>
    <w:p>
      <w:pPr>
        <w:pStyle w:val="1199"/>
        <w:tabs>
          <w:tab w:val="left" w:pos="567"/>
        </w:tabs>
        <w:adjustRightInd w:val="0"/>
        <w:snapToGrid w:val="0"/>
        <w:spacing w:before="203" w:beforeLines="50"/>
        <w:ind w:left="567" w:firstLine="0" w:firstLineChars="0"/>
        <w:rPr>
          <w:rFonts w:ascii="宋体" w:hAnsi="宋体"/>
          <w:b/>
          <w:sz w:val="24"/>
          <w:szCs w:val="24"/>
        </w:rPr>
      </w:pPr>
      <w:r>
        <w:rPr>
          <w:rFonts w:hint="eastAsia" w:ascii="宋体" w:hAnsi="宋体"/>
          <w:b/>
          <w:sz w:val="24"/>
          <w:szCs w:val="24"/>
        </w:rPr>
        <w:t>5</w:t>
      </w:r>
      <w:r>
        <w:rPr>
          <w:rFonts w:ascii="宋体" w:hAnsi="宋体"/>
          <w:b/>
          <w:sz w:val="24"/>
          <w:szCs w:val="24"/>
        </w:rPr>
        <w:t>.8.5.4</w:t>
      </w:r>
      <w:r>
        <w:rPr>
          <w:rFonts w:hint="eastAsia" w:ascii="宋体" w:hAnsi="宋体"/>
          <w:b/>
          <w:sz w:val="24"/>
          <w:szCs w:val="24"/>
        </w:rPr>
        <w:t>材质要求：</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1"/>
        <w:gridCol w:w="2491"/>
        <w:gridCol w:w="3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b/>
              </w:rPr>
            </w:pPr>
            <w:r>
              <w:rPr>
                <w:rFonts w:hint="eastAsia" w:ascii="宋体" w:hAnsi="宋体" w:cs="楷体"/>
                <w:b/>
              </w:rPr>
              <w:t>部 件</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b/>
              </w:rPr>
            </w:pPr>
            <w:r>
              <w:rPr>
                <w:rFonts w:hint="eastAsia" w:ascii="宋体" w:hAnsi="宋体" w:cs="楷体"/>
                <w:b/>
              </w:rPr>
              <w:t>材 质</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b/>
              </w:rPr>
            </w:pPr>
            <w:r>
              <w:rPr>
                <w:rFonts w:hint="eastAsia" w:ascii="宋体" w:hAnsi="宋体" w:cs="楷体"/>
                <w:b/>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b/>
              </w:rPr>
            </w:pPr>
            <w:r>
              <w:rPr>
                <w:rFonts w:hint="eastAsia" w:ascii="宋体" w:hAnsi="宋体" w:cs="楷体"/>
              </w:rPr>
              <w:t>泵体</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球墨铸铁</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rPr>
            </w:pPr>
            <w:r>
              <w:rPr>
                <w:rFonts w:hint="eastAsia" w:ascii="宋体" w:hAnsi="宋体" w:cs="楷体"/>
              </w:rPr>
              <w:t>QT500-7及以上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b/>
              </w:rPr>
            </w:pPr>
            <w:r>
              <w:rPr>
                <w:rFonts w:hint="eastAsia" w:ascii="宋体" w:hAnsi="宋体" w:cs="楷体"/>
              </w:rPr>
              <w:t>叶轮</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双相钢</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bCs/>
              </w:rPr>
            </w:pPr>
            <w:r>
              <w:rPr>
                <w:rFonts w:hint="eastAsia" w:ascii="宋体" w:hAnsi="宋体" w:cs="楷体"/>
                <w:bCs/>
              </w:rPr>
              <w:t>双相不锈钢DIN1.4474及以上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密封环</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双相钢</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bCs/>
              </w:rPr>
            </w:pPr>
            <w:r>
              <w:rPr>
                <w:rFonts w:hint="eastAsia" w:ascii="宋体" w:hAnsi="宋体" w:cs="楷体"/>
                <w:bCs/>
              </w:rPr>
              <w:t>双相不锈钢DIN1.4474及以上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泵轴</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双相钢</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bCs/>
              </w:rPr>
            </w:pPr>
            <w:r>
              <w:rPr>
                <w:rFonts w:hint="eastAsia" w:ascii="宋体" w:hAnsi="宋体" w:cs="楷体"/>
                <w:bCs/>
              </w:rPr>
              <w:t>双相不锈钢DIN1.4462及以上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轴承体和轴承压盖</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灰铸铁</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rPr>
            </w:pPr>
            <w:r>
              <w:rPr>
                <w:rFonts w:hint="eastAsia" w:ascii="宋体" w:hAnsi="宋体" w:cs="楷体"/>
              </w:rPr>
              <w:t>HT250或更优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轴套</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不锈钢</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rPr>
            </w:pPr>
            <w:r>
              <w:rPr>
                <w:rFonts w:hint="eastAsia" w:ascii="宋体" w:hAnsi="宋体" w:cs="楷体"/>
              </w:rPr>
              <w:t>不锈钢DIN 1.4408及以上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水泵本体连接螺栓</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304不锈钢</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rPr>
            </w:pPr>
            <w:r>
              <w:rPr>
                <w:rFonts w:hint="eastAsia" w:ascii="宋体" w:hAnsi="宋体" w:cs="楷体"/>
              </w:rPr>
              <w:t>06Cr19Ni10及以上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联轴器</w:t>
            </w:r>
          </w:p>
        </w:tc>
        <w:tc>
          <w:tcPr>
            <w:tcW w:w="1428" w:type="pct"/>
            <w:tcBorders>
              <w:top w:val="single" w:color="auto" w:sz="4" w:space="0"/>
              <w:left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弹性式联轴器</w:t>
            </w:r>
          </w:p>
        </w:tc>
        <w:tc>
          <w:tcPr>
            <w:tcW w:w="2143" w:type="pct"/>
            <w:tcBorders>
              <w:top w:val="single" w:color="auto" w:sz="4" w:space="0"/>
              <w:left w:val="single" w:color="auto" w:sz="4" w:space="0"/>
              <w:right w:val="single" w:color="auto" w:sz="4" w:space="0"/>
            </w:tcBorders>
            <w:vAlign w:val="center"/>
          </w:tcPr>
          <w:p>
            <w:pPr>
              <w:snapToGrid w:val="0"/>
              <w:jc w:val="left"/>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轴承</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滚动轴承</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机械密封</w:t>
            </w:r>
          </w:p>
        </w:tc>
        <w:tc>
          <w:tcPr>
            <w:tcW w:w="1428"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楷体"/>
              </w:rPr>
            </w:pPr>
            <w:r>
              <w:rPr>
                <w:rFonts w:hint="eastAsia" w:ascii="宋体" w:hAnsi="宋体" w:cs="楷体"/>
              </w:rPr>
              <w:t>碳化硅</w:t>
            </w:r>
          </w:p>
        </w:tc>
        <w:tc>
          <w:tcPr>
            <w:tcW w:w="2143" w:type="pct"/>
            <w:tcBorders>
              <w:top w:val="single" w:color="auto" w:sz="4" w:space="0"/>
              <w:left w:val="single" w:color="auto" w:sz="4" w:space="0"/>
              <w:bottom w:val="single" w:color="auto" w:sz="4" w:space="0"/>
              <w:right w:val="single" w:color="auto" w:sz="4" w:space="0"/>
            </w:tcBorders>
            <w:vAlign w:val="center"/>
          </w:tcPr>
          <w:p>
            <w:pPr>
              <w:snapToGrid w:val="0"/>
              <w:jc w:val="left"/>
              <w:rPr>
                <w:rFonts w:ascii="宋体" w:hAnsi="宋体" w:cs="楷体"/>
              </w:rPr>
            </w:pPr>
          </w:p>
        </w:tc>
      </w:tr>
    </w:tbl>
    <w:p>
      <w:pPr>
        <w:pStyle w:val="1199"/>
        <w:tabs>
          <w:tab w:val="left" w:pos="567"/>
        </w:tabs>
        <w:adjustRightInd w:val="0"/>
        <w:snapToGrid w:val="0"/>
        <w:spacing w:before="203" w:beforeLines="50" w:after="203" w:afterLines="50"/>
        <w:ind w:left="567" w:firstLine="0" w:firstLineChars="0"/>
        <w:rPr>
          <w:rFonts w:ascii="宋体" w:hAnsi="宋体"/>
          <w:b/>
          <w:sz w:val="24"/>
          <w:szCs w:val="24"/>
        </w:rPr>
      </w:pPr>
      <w:r>
        <w:rPr>
          <w:rFonts w:hint="eastAsia" w:ascii="宋体" w:hAnsi="宋体"/>
          <w:b/>
          <w:sz w:val="24"/>
          <w:szCs w:val="24"/>
        </w:rPr>
        <w:t>5</w:t>
      </w:r>
      <w:r>
        <w:rPr>
          <w:rFonts w:ascii="宋体" w:hAnsi="宋体"/>
          <w:b/>
          <w:sz w:val="24"/>
          <w:szCs w:val="24"/>
        </w:rPr>
        <w:t>.8.5.5</w:t>
      </w:r>
      <w:r>
        <w:rPr>
          <w:rFonts w:hint="eastAsia" w:ascii="宋体" w:hAnsi="宋体"/>
          <w:b/>
          <w:sz w:val="24"/>
          <w:szCs w:val="24"/>
        </w:rPr>
        <w:t>电机：</w:t>
      </w:r>
    </w:p>
    <w:p>
      <w:pPr>
        <w:pStyle w:val="1199"/>
        <w:numPr>
          <w:ilvl w:val="0"/>
          <w:numId w:val="77"/>
        </w:numPr>
        <w:tabs>
          <w:tab w:val="left" w:pos="709"/>
        </w:tabs>
        <w:adjustRightInd w:val="0"/>
        <w:snapToGrid w:val="0"/>
        <w:spacing w:before="50" w:after="203" w:afterLines="50"/>
        <w:ind w:left="709" w:hanging="709" w:firstLineChars="0"/>
        <w:rPr>
          <w:rFonts w:ascii="宋体" w:hAnsi="宋体"/>
          <w:sz w:val="24"/>
          <w:szCs w:val="24"/>
        </w:rPr>
      </w:pPr>
      <w:r>
        <w:rPr>
          <w:rFonts w:hint="eastAsia" w:ascii="宋体" w:hAnsi="宋体"/>
          <w:sz w:val="24"/>
          <w:szCs w:val="24"/>
        </w:rPr>
        <w:t>电机材质：电机采用铸铁机壳及端盖。</w:t>
      </w:r>
    </w:p>
    <w:p>
      <w:pPr>
        <w:pStyle w:val="1199"/>
        <w:numPr>
          <w:ilvl w:val="0"/>
          <w:numId w:val="77"/>
        </w:numPr>
        <w:tabs>
          <w:tab w:val="left" w:pos="709"/>
        </w:tabs>
        <w:adjustRightInd w:val="0"/>
        <w:snapToGrid w:val="0"/>
        <w:spacing w:before="50" w:after="203" w:afterLines="50"/>
        <w:ind w:left="709" w:hanging="709" w:firstLineChars="0"/>
        <w:rPr>
          <w:rFonts w:ascii="宋体" w:hAnsi="宋体"/>
          <w:sz w:val="24"/>
          <w:szCs w:val="24"/>
        </w:rPr>
      </w:pPr>
      <w:r>
        <w:rPr>
          <w:rFonts w:hint="eastAsia" w:ascii="宋体" w:hAnsi="宋体"/>
          <w:sz w:val="24"/>
          <w:szCs w:val="24"/>
        </w:rPr>
        <w:t>电机采用铸铝转子或铜转子，不接受铝条或焊接转子。</w:t>
      </w:r>
    </w:p>
    <w:p>
      <w:pPr>
        <w:pStyle w:val="1199"/>
        <w:numPr>
          <w:ilvl w:val="0"/>
          <w:numId w:val="77"/>
        </w:numPr>
        <w:tabs>
          <w:tab w:val="left" w:pos="709"/>
        </w:tabs>
        <w:adjustRightInd w:val="0"/>
        <w:snapToGrid w:val="0"/>
        <w:spacing w:before="50" w:after="203" w:afterLines="50"/>
        <w:ind w:left="709" w:hanging="709" w:firstLineChars="0"/>
        <w:rPr>
          <w:rFonts w:ascii="宋体" w:hAnsi="宋体"/>
          <w:sz w:val="24"/>
          <w:szCs w:val="24"/>
        </w:rPr>
      </w:pPr>
      <w:r>
        <w:rPr>
          <w:rFonts w:hint="eastAsia" w:ascii="宋体" w:hAnsi="宋体"/>
          <w:sz w:val="24"/>
          <w:szCs w:val="24"/>
        </w:rPr>
        <w:t>防护等级：防护等级不低于IP55</w:t>
      </w:r>
    </w:p>
    <w:p>
      <w:pPr>
        <w:pStyle w:val="1199"/>
        <w:numPr>
          <w:ilvl w:val="0"/>
          <w:numId w:val="77"/>
        </w:numPr>
        <w:tabs>
          <w:tab w:val="left" w:pos="709"/>
        </w:tabs>
        <w:adjustRightInd w:val="0"/>
        <w:snapToGrid w:val="0"/>
        <w:spacing w:before="50" w:after="203" w:afterLines="50"/>
        <w:ind w:left="709" w:hanging="709" w:firstLineChars="0"/>
        <w:rPr>
          <w:rFonts w:ascii="宋体" w:hAnsi="宋体"/>
          <w:sz w:val="24"/>
          <w:szCs w:val="24"/>
        </w:rPr>
      </w:pPr>
      <w:r>
        <w:rPr>
          <w:rFonts w:hint="eastAsia" w:ascii="宋体" w:hAnsi="宋体"/>
          <w:sz w:val="24"/>
          <w:szCs w:val="24"/>
        </w:rPr>
        <w:t>浸漆工艺：真空压力浸漆MICALASTIC®和Durignit IR 2000®绝缘系统</w:t>
      </w:r>
    </w:p>
    <w:p>
      <w:pPr>
        <w:pStyle w:val="1199"/>
        <w:numPr>
          <w:ilvl w:val="0"/>
          <w:numId w:val="77"/>
        </w:numPr>
        <w:tabs>
          <w:tab w:val="left" w:pos="709"/>
        </w:tabs>
        <w:adjustRightInd w:val="0"/>
        <w:snapToGrid w:val="0"/>
        <w:spacing w:before="50" w:after="203" w:afterLines="50"/>
        <w:ind w:left="709" w:hanging="709" w:firstLineChars="0"/>
        <w:rPr>
          <w:rFonts w:ascii="宋体" w:hAnsi="宋体"/>
          <w:sz w:val="24"/>
          <w:szCs w:val="24"/>
        </w:rPr>
      </w:pPr>
      <w:r>
        <w:rPr>
          <w:rFonts w:hint="eastAsia" w:ascii="宋体" w:hAnsi="宋体"/>
          <w:sz w:val="24"/>
          <w:szCs w:val="24"/>
        </w:rPr>
        <w:t>能效等级不低于国标3级能效</w:t>
      </w:r>
    </w:p>
    <w:p>
      <w:pPr>
        <w:pStyle w:val="1199"/>
        <w:numPr>
          <w:ilvl w:val="0"/>
          <w:numId w:val="77"/>
        </w:numPr>
        <w:tabs>
          <w:tab w:val="left" w:pos="709"/>
        </w:tabs>
        <w:adjustRightInd w:val="0"/>
        <w:snapToGrid w:val="0"/>
        <w:spacing w:before="50" w:after="203" w:afterLines="50"/>
        <w:ind w:left="709" w:hanging="709" w:firstLineChars="0"/>
        <w:rPr>
          <w:rFonts w:ascii="宋体" w:hAnsi="宋体"/>
          <w:sz w:val="24"/>
          <w:szCs w:val="24"/>
        </w:rPr>
      </w:pPr>
      <w:r>
        <w:rPr>
          <w:rFonts w:hint="eastAsia" w:ascii="宋体" w:hAnsi="宋体"/>
          <w:sz w:val="24"/>
          <w:szCs w:val="24"/>
        </w:rPr>
        <w:t>环境温度：-20℃ - +40℃</w:t>
      </w:r>
    </w:p>
    <w:p>
      <w:pPr>
        <w:pStyle w:val="1199"/>
        <w:numPr>
          <w:ilvl w:val="0"/>
          <w:numId w:val="77"/>
        </w:numPr>
        <w:tabs>
          <w:tab w:val="left" w:pos="709"/>
        </w:tabs>
        <w:adjustRightInd w:val="0"/>
        <w:snapToGrid w:val="0"/>
        <w:spacing w:before="50" w:after="203" w:afterLines="50"/>
        <w:ind w:left="709" w:hanging="709" w:firstLineChars="0"/>
        <w:rPr>
          <w:rFonts w:ascii="宋体" w:hAnsi="宋体"/>
          <w:sz w:val="24"/>
          <w:szCs w:val="24"/>
        </w:rPr>
      </w:pPr>
      <w:r>
        <w:rPr>
          <w:rFonts w:hint="eastAsia" w:ascii="宋体" w:hAnsi="宋体"/>
          <w:sz w:val="24"/>
          <w:szCs w:val="24"/>
        </w:rPr>
        <w:t>电机应采用全封闭自扇冷却式三项异步电动机，设计和生产符合ISO、IEC、GB等相关标准的要求。电动机适用于连续工作制（S1）、恒转速或一定速度范围内的变频调速应用。电机采用优化的紧凑结构，绝缘系统按115（F）温度等级设计，在额定输出和直接供电时按130（B）温度等级使用。电压偏差±10%，频率偏差±5%时电机可以正常使用。</w:t>
      </w:r>
    </w:p>
    <w:p>
      <w:pPr>
        <w:pStyle w:val="1199"/>
        <w:numPr>
          <w:ilvl w:val="0"/>
          <w:numId w:val="77"/>
        </w:numPr>
        <w:tabs>
          <w:tab w:val="left" w:pos="709"/>
        </w:tabs>
        <w:adjustRightInd w:val="0"/>
        <w:snapToGrid w:val="0"/>
        <w:spacing w:before="50" w:after="203" w:afterLines="50"/>
        <w:ind w:left="709" w:hanging="709" w:firstLineChars="0"/>
        <w:rPr>
          <w:rFonts w:ascii="宋体" w:hAnsi="宋体"/>
          <w:sz w:val="24"/>
          <w:szCs w:val="24"/>
        </w:rPr>
      </w:pPr>
      <w:r>
        <w:rPr>
          <w:rFonts w:hint="eastAsia" w:ascii="宋体" w:hAnsi="宋体"/>
          <w:sz w:val="24"/>
          <w:szCs w:val="24"/>
        </w:rPr>
        <w:t>电机采用全封闭型木箱包装，适用于长途运输。</w:t>
      </w:r>
    </w:p>
    <w:p>
      <w:pPr>
        <w:pStyle w:val="1199"/>
        <w:tabs>
          <w:tab w:val="left" w:pos="993"/>
        </w:tabs>
        <w:adjustRightInd w:val="0"/>
        <w:snapToGrid w:val="0"/>
        <w:spacing w:before="120"/>
        <w:ind w:firstLine="437" w:firstLineChars="175"/>
        <w:rPr>
          <w:rFonts w:ascii="宋体" w:hAnsi="宋体"/>
          <w:sz w:val="24"/>
          <w:szCs w:val="24"/>
        </w:rPr>
      </w:pPr>
      <w:r>
        <w:rPr>
          <w:rFonts w:hint="eastAsia" w:ascii="宋体" w:hAnsi="宋体"/>
          <w:sz w:val="24"/>
          <w:szCs w:val="24"/>
        </w:rPr>
        <w:t>基本参数：</w:t>
      </w:r>
    </w:p>
    <w:tbl>
      <w:tblPr>
        <w:tblStyle w:val="77"/>
        <w:tblW w:w="48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9"/>
        <w:gridCol w:w="4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额定功率（kw）</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额定电压（V）/频率（Hz）</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380/50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机座号</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280S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额定电流（A）</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额定转速（1/min）</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985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安装方式</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IMB3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额定转矩（Nm）</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578.8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效率4/4</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92.7%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效率3/4</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93.3%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功率因素</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转动惯量（kg/m</w:t>
            </w:r>
            <w:r>
              <w:rPr>
                <w:rFonts w:hint="eastAsia" w:ascii="宋体" w:hAnsi="宋体"/>
                <w:sz w:val="24"/>
                <w:szCs w:val="24"/>
                <w:vertAlign w:val="superscript"/>
              </w:rPr>
              <w:t>2</w:t>
            </w:r>
            <w:r>
              <w:rPr>
                <w:rFonts w:hint="eastAsia" w:ascii="宋体" w:hAnsi="宋体"/>
                <w:sz w:val="24"/>
                <w:szCs w:val="24"/>
              </w:rPr>
              <w:t>）</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安装位置</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综合泵房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0" w:type="pct"/>
          </w:tcPr>
          <w:p>
            <w:pPr>
              <w:pStyle w:val="1199"/>
              <w:tabs>
                <w:tab w:val="left" w:pos="993"/>
              </w:tabs>
              <w:adjustRightInd w:val="0"/>
              <w:snapToGrid w:val="0"/>
              <w:ind w:firstLine="500"/>
              <w:rPr>
                <w:rFonts w:ascii="宋体" w:hAnsi="宋体"/>
                <w:sz w:val="24"/>
                <w:szCs w:val="24"/>
              </w:rPr>
            </w:pPr>
            <w:r>
              <w:rPr>
                <w:rFonts w:hint="eastAsia" w:ascii="宋体" w:hAnsi="宋体"/>
                <w:sz w:val="24"/>
                <w:szCs w:val="24"/>
              </w:rPr>
              <w:t>数量（台）</w:t>
            </w:r>
          </w:p>
        </w:tc>
        <w:tc>
          <w:tcPr>
            <w:tcW w:w="1500" w:type="pct"/>
          </w:tcPr>
          <w:p>
            <w:pPr>
              <w:pStyle w:val="1199"/>
              <w:tabs>
                <w:tab w:val="left" w:pos="993"/>
              </w:tabs>
              <w:adjustRightInd w:val="0"/>
              <w:snapToGrid w:val="0"/>
              <w:ind w:firstLine="0" w:firstLineChars="0"/>
              <w:jc w:val="center"/>
              <w:rPr>
                <w:rFonts w:ascii="宋体" w:hAnsi="宋体"/>
                <w:sz w:val="24"/>
                <w:szCs w:val="24"/>
              </w:rPr>
            </w:pPr>
            <w:r>
              <w:rPr>
                <w:rFonts w:hint="eastAsia" w:ascii="宋体" w:hAnsi="宋体"/>
                <w:sz w:val="24"/>
                <w:szCs w:val="24"/>
              </w:rPr>
              <w:t>2</w:t>
            </w:r>
          </w:p>
        </w:tc>
      </w:tr>
    </w:tbl>
    <w:p>
      <w:pPr>
        <w:keepNext/>
        <w:adjustRightInd w:val="0"/>
        <w:snapToGrid w:val="0"/>
        <w:spacing w:before="120" w:after="120"/>
        <w:outlineLvl w:val="2"/>
        <w:rPr>
          <w:rFonts w:ascii="宋体" w:hAnsi="宋体" w:cs="楷体"/>
          <w:b/>
        </w:rPr>
      </w:pPr>
      <w:bookmarkStart w:id="6531" w:name="_Toc106883662"/>
      <w:r>
        <w:rPr>
          <w:rFonts w:hint="eastAsia" w:ascii="宋体" w:hAnsi="宋体" w:cs="楷体"/>
          <w:b/>
        </w:rPr>
        <w:t>8.9.6检验与试验</w:t>
      </w:r>
      <w:bookmarkEnd w:id="6531"/>
    </w:p>
    <w:p>
      <w:pPr>
        <w:pStyle w:val="1199"/>
        <w:adjustRightInd w:val="0"/>
        <w:snapToGrid w:val="0"/>
        <w:spacing w:before="203" w:beforeLines="50" w:after="203" w:afterLines="50"/>
        <w:ind w:left="567" w:firstLine="0" w:firstLineChars="0"/>
        <w:rPr>
          <w:rFonts w:ascii="宋体" w:hAnsi="宋体"/>
          <w:b/>
          <w:sz w:val="24"/>
          <w:szCs w:val="24"/>
        </w:rPr>
      </w:pPr>
      <w:r>
        <w:rPr>
          <w:rFonts w:hint="eastAsia" w:ascii="宋体" w:hAnsi="宋体"/>
          <w:b/>
          <w:sz w:val="24"/>
          <w:szCs w:val="24"/>
        </w:rPr>
        <w:t>8.9</w:t>
      </w:r>
      <w:r>
        <w:rPr>
          <w:rFonts w:ascii="宋体" w:hAnsi="宋体"/>
          <w:b/>
          <w:sz w:val="24"/>
          <w:szCs w:val="24"/>
        </w:rPr>
        <w:t>.6.1</w:t>
      </w:r>
      <w:r>
        <w:rPr>
          <w:rFonts w:hint="eastAsia" w:ascii="宋体" w:hAnsi="宋体"/>
          <w:b/>
          <w:sz w:val="24"/>
          <w:szCs w:val="24"/>
        </w:rPr>
        <w:t>水泵工厂检查</w:t>
      </w:r>
    </w:p>
    <w:p>
      <w:pPr>
        <w:pStyle w:val="1199"/>
        <w:tabs>
          <w:tab w:val="left" w:pos="993"/>
        </w:tabs>
        <w:adjustRightInd w:val="0"/>
        <w:snapToGrid w:val="0"/>
        <w:spacing w:before="203" w:beforeLines="50" w:after="203" w:afterLines="50"/>
        <w:ind w:firstLine="500"/>
        <w:rPr>
          <w:rFonts w:ascii="宋体" w:hAnsi="宋体"/>
          <w:sz w:val="24"/>
          <w:szCs w:val="24"/>
        </w:rPr>
      </w:pPr>
      <w:r>
        <w:rPr>
          <w:rFonts w:hint="eastAsia" w:ascii="宋体" w:hAnsi="宋体"/>
          <w:sz w:val="24"/>
          <w:szCs w:val="24"/>
        </w:rPr>
        <w:t>制造厂应在零部件粗加工或精加工后、组装前以及工厂试验等各阶段对零部件，如泵壳、轴、叶轮、联轴器、机组、成品电机、成品设备（但不限于）进行包括外观、结构尺寸和联结安装尺寸等与所确认的图纸的一致性检查。</w:t>
      </w:r>
    </w:p>
    <w:p>
      <w:pPr>
        <w:pStyle w:val="1199"/>
        <w:adjustRightInd w:val="0"/>
        <w:snapToGrid w:val="0"/>
        <w:spacing w:before="203" w:beforeLines="50" w:after="203" w:afterLines="50"/>
        <w:ind w:left="567" w:firstLine="0" w:firstLineChars="0"/>
        <w:rPr>
          <w:rFonts w:ascii="宋体" w:hAnsi="宋体"/>
          <w:b/>
          <w:sz w:val="24"/>
          <w:szCs w:val="24"/>
        </w:rPr>
      </w:pPr>
      <w:r>
        <w:rPr>
          <w:rFonts w:hint="eastAsia" w:ascii="宋体" w:hAnsi="宋体"/>
          <w:b/>
          <w:sz w:val="24"/>
          <w:szCs w:val="24"/>
        </w:rPr>
        <w:t>8.9</w:t>
      </w:r>
      <w:r>
        <w:rPr>
          <w:rFonts w:ascii="宋体" w:hAnsi="宋体"/>
          <w:b/>
          <w:sz w:val="24"/>
          <w:szCs w:val="24"/>
        </w:rPr>
        <w:t>.6.2</w:t>
      </w:r>
      <w:r>
        <w:rPr>
          <w:rFonts w:hint="eastAsia" w:ascii="宋体" w:hAnsi="宋体"/>
          <w:b/>
          <w:sz w:val="24"/>
          <w:szCs w:val="24"/>
        </w:rPr>
        <w:t>水泵工厂试验</w:t>
      </w:r>
    </w:p>
    <w:p>
      <w:pPr>
        <w:pStyle w:val="1199"/>
        <w:numPr>
          <w:ilvl w:val="1"/>
          <w:numId w:val="78"/>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水压试验：取水泵受内压的壳体，包括轴封压盖等应进行水压试验。试验压力为关闭点压力的1.5倍，保持压力时间至少为30min，应无可见的泄漏。</w:t>
      </w:r>
    </w:p>
    <w:p>
      <w:pPr>
        <w:pStyle w:val="1199"/>
        <w:numPr>
          <w:ilvl w:val="1"/>
          <w:numId w:val="78"/>
        </w:numPr>
        <w:tabs>
          <w:tab w:val="left" w:pos="709"/>
        </w:tabs>
        <w:adjustRightInd w:val="0"/>
        <w:snapToGrid w:val="0"/>
        <w:spacing w:before="203" w:beforeLines="50" w:after="203" w:afterLines="50"/>
        <w:ind w:left="709" w:hanging="709" w:firstLineChars="0"/>
        <w:rPr>
          <w:rFonts w:ascii="宋体" w:hAnsi="宋体"/>
          <w:sz w:val="24"/>
          <w:szCs w:val="24"/>
        </w:rPr>
      </w:pPr>
      <w:r>
        <w:rPr>
          <w:rFonts w:hint="eastAsia" w:ascii="宋体" w:hAnsi="宋体"/>
          <w:sz w:val="24"/>
          <w:szCs w:val="24"/>
        </w:rPr>
        <w:t>平衡试验：泵的旋转零部件应进行平衡试验，精度应不低于G6.3级。</w:t>
      </w:r>
    </w:p>
    <w:p>
      <w:pPr>
        <w:adjustRightInd w:val="0"/>
        <w:snapToGrid w:val="0"/>
        <w:spacing w:before="120" w:after="120"/>
        <w:ind w:firstLine="500" w:firstLineChars="200"/>
        <w:rPr>
          <w:rFonts w:ascii="宋体" w:hAnsi="宋体" w:cs="楷体"/>
        </w:rPr>
      </w:pPr>
      <w:r>
        <w:rPr>
          <w:rFonts w:hint="eastAsia" w:ascii="宋体" w:hAnsi="宋体"/>
        </w:rPr>
        <w:t>性能试验：每台水泵与实际配套电机配套进行出厂性能试验。性能参数应符合本技术条件的规定，性能偏差应按照GB／T 3216-2016 1B级的规定。性能试验包括：水力性能试验，包括额定流量点及上下界限点（0.8倍、1.2倍流量点）的扬程、效率、轴功率等参数，在确定的泵的允许工作范围内，绘制性能曲线。性能试验时还应检查：泵的噪声、振动和轴承温度、密封处泄漏等。泵噪声的测量方法及水平按JB-T 8098-1999的规定，泵振动的测量方法及振动烈度按JB-T 8097-1999的规定，或ISO标准的规定。应根据试验结果绘制扬程/流量（H/Q）、水泵效率/流量（η/Q）、轴功率/流量曲线（P/Q），绘制曲线的测量点至少应为10点。所选测量点保证能够精确绘制出各条曲线。（注明水泵效率）水泵机组的振动符合国家中规定和泵业标准的规定进</w:t>
      </w:r>
    </w:p>
    <w:p>
      <w:pPr>
        <w:keepNext/>
        <w:adjustRightInd w:val="0"/>
        <w:snapToGrid w:val="0"/>
        <w:spacing w:before="203" w:beforeLines="50" w:after="203" w:afterLines="50"/>
        <w:outlineLvl w:val="1"/>
        <w:rPr>
          <w:rFonts w:ascii="宋体" w:hAnsi="宋体" w:cs="楷体"/>
          <w:b/>
        </w:rPr>
      </w:pPr>
      <w:bookmarkStart w:id="6532" w:name="_Toc106883663"/>
      <w:r>
        <w:rPr>
          <w:rFonts w:hint="eastAsia" w:ascii="宋体" w:hAnsi="宋体" w:cs="楷体"/>
          <w:b/>
        </w:rPr>
        <w:t>8.10排泥机</w:t>
      </w:r>
      <w:bookmarkEnd w:id="6415"/>
      <w:bookmarkEnd w:id="6416"/>
      <w:bookmarkEnd w:id="6417"/>
      <w:bookmarkEnd w:id="6532"/>
    </w:p>
    <w:p>
      <w:pPr>
        <w:keepNext/>
        <w:adjustRightInd w:val="0"/>
        <w:snapToGrid w:val="0"/>
        <w:spacing w:before="203" w:beforeLines="50" w:after="203" w:afterLines="50"/>
        <w:outlineLvl w:val="2"/>
        <w:rPr>
          <w:rFonts w:ascii="宋体" w:hAnsi="宋体" w:cs="楷体"/>
          <w:b/>
        </w:rPr>
      </w:pPr>
      <w:bookmarkStart w:id="6533" w:name="_Toc456691924"/>
      <w:bookmarkStart w:id="6534" w:name="_Toc156784720"/>
      <w:bookmarkStart w:id="6535" w:name="_Toc448248700"/>
      <w:bookmarkStart w:id="6536" w:name="_Toc153795329"/>
      <w:bookmarkStart w:id="6537" w:name="_Toc402131123"/>
      <w:bookmarkStart w:id="6538" w:name="_Toc106883664"/>
      <w:bookmarkStart w:id="6539" w:name="_Toc448248702"/>
      <w:bookmarkStart w:id="6540" w:name="_Toc456691926"/>
      <w:bookmarkStart w:id="6541" w:name="_Toc150895777"/>
      <w:bookmarkStart w:id="6542" w:name="_Toc155166230"/>
      <w:r>
        <w:rPr>
          <w:rFonts w:hint="eastAsia" w:ascii="宋体" w:hAnsi="宋体" w:cs="楷体"/>
          <w:b/>
        </w:rPr>
        <w:t>8.10.1概述</w:t>
      </w:r>
      <w:bookmarkEnd w:id="6533"/>
      <w:bookmarkEnd w:id="6534"/>
      <w:bookmarkEnd w:id="6535"/>
      <w:bookmarkEnd w:id="6536"/>
      <w:bookmarkEnd w:id="6537"/>
      <w:bookmarkEnd w:id="6538"/>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本工程设机械混合池1座，竖向折板絮凝池1座，平流沉淀池1座，叠合清水池1座，安装有排泥机，安装位置详见供货范围及图纸。</w:t>
      </w:r>
    </w:p>
    <w:p>
      <w:pPr>
        <w:keepNext/>
        <w:adjustRightInd w:val="0"/>
        <w:snapToGrid w:val="0"/>
        <w:spacing w:before="203" w:beforeLines="50" w:after="203" w:afterLines="50"/>
        <w:outlineLvl w:val="2"/>
        <w:rPr>
          <w:rFonts w:ascii="宋体" w:hAnsi="宋体" w:cs="楷体"/>
          <w:b/>
        </w:rPr>
      </w:pPr>
      <w:bookmarkStart w:id="6543" w:name="_Toc402131124"/>
      <w:bookmarkStart w:id="6544" w:name="_Toc153795330"/>
      <w:bookmarkStart w:id="6545" w:name="_Toc456691925"/>
      <w:bookmarkStart w:id="6546" w:name="_Toc156784721"/>
      <w:bookmarkStart w:id="6547" w:name="_Toc106883665"/>
      <w:bookmarkStart w:id="6548" w:name="_Toc448248701"/>
      <w:r>
        <w:rPr>
          <w:rFonts w:hint="eastAsia" w:ascii="宋体" w:hAnsi="宋体" w:cs="楷体"/>
          <w:b/>
        </w:rPr>
        <w:t>8.10.2设备清单</w:t>
      </w:r>
      <w:bookmarkEnd w:id="6543"/>
      <w:bookmarkEnd w:id="6544"/>
      <w:bookmarkEnd w:id="6545"/>
      <w:bookmarkEnd w:id="6546"/>
      <w:bookmarkEnd w:id="6547"/>
      <w:bookmarkEnd w:id="6548"/>
    </w:p>
    <w:p>
      <w:pPr>
        <w:keepNext/>
        <w:adjustRightInd w:val="0"/>
        <w:snapToGrid w:val="0"/>
        <w:jc w:val="center"/>
        <w:rPr>
          <w:rFonts w:ascii="宋体" w:hAnsi="宋体" w:cs="楷体"/>
          <w:b/>
        </w:rPr>
      </w:pPr>
      <w:r>
        <w:rPr>
          <w:rFonts w:hint="eastAsia" w:ascii="宋体" w:hAnsi="宋体" w:cs="楷体"/>
          <w:b/>
        </w:rPr>
        <w:t>设备清单及技术参数表</w:t>
      </w:r>
    </w:p>
    <w:tbl>
      <w:tblPr>
        <w:tblStyle w:val="77"/>
        <w:tblW w:w="5000" w:type="pct"/>
        <w:tblInd w:w="0" w:type="dxa"/>
        <w:tblLayout w:type="fixed"/>
        <w:tblCellMar>
          <w:top w:w="0" w:type="dxa"/>
          <w:left w:w="108" w:type="dxa"/>
          <w:bottom w:w="0" w:type="dxa"/>
          <w:right w:w="108" w:type="dxa"/>
        </w:tblCellMar>
      </w:tblPr>
      <w:tblGrid>
        <w:gridCol w:w="524"/>
        <w:gridCol w:w="1863"/>
        <w:gridCol w:w="2164"/>
        <w:gridCol w:w="984"/>
        <w:gridCol w:w="841"/>
        <w:gridCol w:w="741"/>
        <w:gridCol w:w="1603"/>
      </w:tblGrid>
      <w:tr>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106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56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42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91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1</w:t>
            </w:r>
          </w:p>
        </w:tc>
        <w:tc>
          <w:tcPr>
            <w:tcW w:w="106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泵虹吸排泥机</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跨度7.15m  N=3.0kw</w:t>
            </w:r>
          </w:p>
        </w:tc>
        <w:tc>
          <w:tcPr>
            <w:tcW w:w="56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套</w:t>
            </w:r>
          </w:p>
        </w:tc>
        <w:tc>
          <w:tcPr>
            <w:tcW w:w="42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1</w:t>
            </w:r>
          </w:p>
        </w:tc>
        <w:tc>
          <w:tcPr>
            <w:tcW w:w="91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行走速度&lt;1m/min，扁嘴吸口</w:t>
            </w:r>
          </w:p>
        </w:tc>
      </w:tr>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2</w:t>
            </w:r>
          </w:p>
        </w:tc>
        <w:tc>
          <w:tcPr>
            <w:tcW w:w="1068"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吸泥机轻轨</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L=80000</w:t>
            </w:r>
          </w:p>
        </w:tc>
        <w:tc>
          <w:tcPr>
            <w:tcW w:w="56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钢</w:t>
            </w:r>
          </w:p>
        </w:tc>
        <w:tc>
          <w:tcPr>
            <w:tcW w:w="48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根</w:t>
            </w:r>
          </w:p>
        </w:tc>
        <w:tc>
          <w:tcPr>
            <w:tcW w:w="425"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9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rPr>
              <w:t>吸泥机厂家配套提供</w:t>
            </w:r>
          </w:p>
        </w:tc>
      </w:tr>
    </w:tbl>
    <w:p>
      <w:pPr>
        <w:adjustRightInd w:val="0"/>
        <w:snapToGrid w:val="0"/>
        <w:spacing w:after="203" w:afterLines="50"/>
        <w:ind w:firstLine="500" w:firstLineChars="200"/>
        <w:rPr>
          <w:rFonts w:ascii="宋体" w:hAnsi="宋体" w:cs="楷体"/>
          <w:i/>
          <w:iCs/>
        </w:rPr>
      </w:pPr>
      <w:r>
        <w:rPr>
          <w:rFonts w:hint="eastAsia" w:ascii="宋体" w:hAnsi="宋体" w:cs="楷体"/>
          <w:i/>
          <w:iCs/>
        </w:rPr>
        <w:t>注：本“采购设备清单”不得被认为是详尽无遗的，无论规定与否，承包商应提供所有业主未提及的但系统必要的元件、器件、附件、配套设备和相应材料，并包含在合同文件中。</w:t>
      </w:r>
    </w:p>
    <w:p>
      <w:pPr>
        <w:keepNext/>
        <w:adjustRightInd w:val="0"/>
        <w:snapToGrid w:val="0"/>
        <w:spacing w:before="203" w:beforeLines="50" w:after="203" w:afterLines="50"/>
        <w:outlineLvl w:val="2"/>
        <w:rPr>
          <w:rFonts w:ascii="宋体" w:hAnsi="宋体" w:cs="楷体"/>
          <w:b/>
        </w:rPr>
      </w:pPr>
      <w:bookmarkStart w:id="6549" w:name="_Toc106883666"/>
      <w:r>
        <w:rPr>
          <w:rFonts w:hint="eastAsia" w:ascii="宋体" w:hAnsi="宋体" w:cs="楷体"/>
          <w:b/>
        </w:rPr>
        <w:t>8.10.3泵虹吸排泥机</w:t>
      </w:r>
      <w:bookmarkEnd w:id="6549"/>
    </w:p>
    <w:p>
      <w:pPr>
        <w:keepNext/>
        <w:adjustRightInd w:val="0"/>
        <w:snapToGrid w:val="0"/>
        <w:spacing w:before="203" w:beforeLines="50" w:after="203" w:afterLines="50"/>
        <w:outlineLvl w:val="3"/>
        <w:rPr>
          <w:rFonts w:ascii="宋体" w:hAnsi="宋体" w:cs="楷体"/>
          <w:b/>
        </w:rPr>
      </w:pPr>
      <w:r>
        <w:rPr>
          <w:rFonts w:hint="eastAsia" w:ascii="宋体" w:hAnsi="宋体" w:cs="楷体"/>
          <w:b/>
        </w:rPr>
        <w:t>8.10.3.1供货范围</w:t>
      </w:r>
    </w:p>
    <w:p>
      <w:pPr>
        <w:adjustRightInd w:val="0"/>
        <w:snapToGrid w:val="0"/>
        <w:spacing w:before="203" w:beforeLines="50" w:after="203" w:afterLines="50"/>
        <w:ind w:firstLine="500" w:firstLineChars="200"/>
        <w:rPr>
          <w:rFonts w:ascii="宋体" w:hAnsi="宋体"/>
        </w:rPr>
      </w:pPr>
      <w:r>
        <w:rPr>
          <w:rFonts w:ascii="宋体" w:hAnsi="宋体"/>
        </w:rPr>
        <w:t>承包商提供的</w:t>
      </w:r>
      <w:r>
        <w:rPr>
          <w:rFonts w:hint="eastAsia" w:ascii="宋体" w:hAnsi="宋体"/>
        </w:rPr>
        <w:t>泵虹吸排泥机</w:t>
      </w:r>
      <w:r>
        <w:rPr>
          <w:rFonts w:ascii="宋体" w:hAnsi="宋体"/>
        </w:rPr>
        <w:t>应为成套装置，供货内容为</w:t>
      </w:r>
      <w:r>
        <w:rPr>
          <w:rFonts w:hint="eastAsia" w:ascii="宋体" w:hAnsi="宋体"/>
        </w:rPr>
        <w:t>包括驱动装置、栏杆、吸泥管系统、工作桥、刮泥板、吸泥系统等</w:t>
      </w:r>
      <w:r>
        <w:rPr>
          <w:rFonts w:ascii="宋体" w:hAnsi="宋体"/>
        </w:rPr>
        <w:t>所需的附件。</w:t>
      </w:r>
    </w:p>
    <w:p>
      <w:pPr>
        <w:adjustRightInd w:val="0"/>
        <w:snapToGrid w:val="0"/>
        <w:spacing w:before="203" w:beforeLines="50" w:after="203" w:afterLines="50"/>
        <w:ind w:firstLine="500" w:firstLineChars="200"/>
        <w:rPr>
          <w:rFonts w:ascii="宋体" w:hAnsi="宋体"/>
        </w:rPr>
      </w:pPr>
      <w:r>
        <w:rPr>
          <w:rFonts w:ascii="宋体" w:hAnsi="宋体"/>
        </w:rPr>
        <w:t>确保设备正常运行一年的备品备件，提供设备正常运行12个月所需的润滑油（脂），专用工具等。</w:t>
      </w:r>
    </w:p>
    <w:p>
      <w:pPr>
        <w:adjustRightInd w:val="0"/>
        <w:snapToGrid w:val="0"/>
        <w:spacing w:before="203" w:beforeLines="50" w:after="203" w:afterLines="50"/>
        <w:ind w:firstLine="500" w:firstLineChars="200"/>
        <w:rPr>
          <w:rFonts w:ascii="宋体" w:hAnsi="宋体"/>
        </w:rPr>
      </w:pPr>
      <w:r>
        <w:rPr>
          <w:rFonts w:ascii="宋体" w:hAnsi="宋体"/>
        </w:rPr>
        <w:t>电控箱至各设备的所有电缆及保护管由安装方负责。</w:t>
      </w:r>
    </w:p>
    <w:p>
      <w:pPr>
        <w:adjustRightInd w:val="0"/>
        <w:snapToGrid w:val="0"/>
        <w:spacing w:before="203" w:beforeLines="50" w:after="203" w:afterLines="50"/>
        <w:ind w:firstLine="500" w:firstLineChars="200"/>
        <w:rPr>
          <w:rFonts w:ascii="宋体" w:hAnsi="宋体"/>
        </w:rPr>
      </w:pPr>
      <w:r>
        <w:rPr>
          <w:rFonts w:ascii="宋体" w:hAnsi="宋体"/>
        </w:rPr>
        <w:t>减速机应采用进口品牌设备或等同品质的设备。</w:t>
      </w:r>
    </w:p>
    <w:p>
      <w:pPr>
        <w:keepNext/>
        <w:adjustRightInd w:val="0"/>
        <w:snapToGrid w:val="0"/>
        <w:spacing w:before="203" w:beforeLines="50" w:after="203" w:afterLines="50"/>
        <w:outlineLvl w:val="3"/>
        <w:rPr>
          <w:rFonts w:ascii="宋体" w:hAnsi="宋体" w:cs="楷体"/>
          <w:b/>
        </w:rPr>
      </w:pPr>
      <w:r>
        <w:rPr>
          <w:rFonts w:hint="eastAsia" w:ascii="宋体" w:hAnsi="宋体" w:cs="楷体"/>
          <w:b/>
        </w:rPr>
        <w:t>8.10.3.2基本要求</w:t>
      </w:r>
    </w:p>
    <w:p>
      <w:pPr>
        <w:numPr>
          <w:ilvl w:val="0"/>
          <w:numId w:val="79"/>
        </w:numPr>
        <w:rPr>
          <w:rFonts w:ascii="宋体" w:hAnsi="宋体" w:cs="楷体"/>
          <w:snapToGrid w:val="0"/>
        </w:rPr>
      </w:pPr>
      <w:r>
        <w:rPr>
          <w:rFonts w:hint="eastAsia" w:ascii="宋体" w:hAnsi="宋体" w:cs="楷体"/>
          <w:snapToGrid w:val="0"/>
        </w:rPr>
        <w:t>运行条件及使用环境</w:t>
      </w:r>
    </w:p>
    <w:p>
      <w:pPr>
        <w:adjustRightInd w:val="0"/>
        <w:snapToGrid w:val="0"/>
        <w:spacing w:before="203" w:beforeLines="50" w:after="203" w:afterLines="50"/>
        <w:ind w:firstLine="500" w:firstLineChars="200"/>
        <w:rPr>
          <w:rFonts w:ascii="宋体" w:hAnsi="宋体"/>
        </w:rPr>
      </w:pPr>
      <w:r>
        <w:rPr>
          <w:rFonts w:hint="eastAsia" w:ascii="宋体" w:hAnsi="宋体"/>
        </w:rPr>
        <w:t>（1）</w:t>
      </w:r>
      <w:r>
        <w:rPr>
          <w:rFonts w:ascii="宋体" w:hAnsi="宋体"/>
        </w:rPr>
        <w:t>设计参数</w:t>
      </w:r>
    </w:p>
    <w:p>
      <w:pPr>
        <w:adjustRightInd w:val="0"/>
        <w:snapToGrid w:val="0"/>
        <w:spacing w:before="203" w:beforeLines="50" w:after="203" w:afterLines="50"/>
        <w:ind w:firstLine="500" w:firstLineChars="200"/>
        <w:rPr>
          <w:rFonts w:ascii="宋体" w:hAnsi="宋体"/>
        </w:rPr>
      </w:pPr>
      <w:r>
        <w:rPr>
          <w:rFonts w:hint="eastAsia" w:ascii="宋体" w:hAnsi="宋体"/>
        </w:rPr>
        <w:t>1</w:t>
      </w:r>
      <w:r>
        <w:rPr>
          <w:rFonts w:ascii="宋体" w:hAnsi="宋体"/>
        </w:rPr>
        <w:t>）</w:t>
      </w:r>
      <w:r>
        <w:rPr>
          <w:rFonts w:hint="eastAsia" w:ascii="宋体" w:hAnsi="宋体"/>
        </w:rPr>
        <w:t>沉淀</w:t>
      </w:r>
      <w:r>
        <w:rPr>
          <w:rFonts w:ascii="宋体" w:hAnsi="宋体"/>
        </w:rPr>
        <w:t>池宽：             7.0m</w:t>
      </w:r>
    </w:p>
    <w:p>
      <w:pPr>
        <w:adjustRightInd w:val="0"/>
        <w:snapToGrid w:val="0"/>
        <w:spacing w:before="203" w:beforeLines="50" w:after="203" w:afterLines="50"/>
        <w:ind w:firstLine="500" w:firstLineChars="200"/>
        <w:rPr>
          <w:rFonts w:ascii="宋体" w:hAnsi="宋体"/>
        </w:rPr>
      </w:pPr>
      <w:r>
        <w:rPr>
          <w:rFonts w:hint="eastAsia" w:ascii="宋体" w:hAnsi="宋体"/>
        </w:rPr>
        <w:t>2</w:t>
      </w:r>
      <w:r>
        <w:rPr>
          <w:rFonts w:ascii="宋体" w:hAnsi="宋体"/>
        </w:rPr>
        <w:t>）</w:t>
      </w:r>
      <w:r>
        <w:rPr>
          <w:rFonts w:hint="eastAsia" w:ascii="宋体" w:hAnsi="宋体"/>
        </w:rPr>
        <w:t>沉淀池</w:t>
      </w:r>
      <w:r>
        <w:rPr>
          <w:rFonts w:ascii="宋体" w:hAnsi="宋体"/>
        </w:rPr>
        <w:t xml:space="preserve">深：             4.25m </w:t>
      </w:r>
    </w:p>
    <w:p>
      <w:pPr>
        <w:adjustRightInd w:val="0"/>
        <w:snapToGrid w:val="0"/>
        <w:spacing w:before="203" w:beforeLines="50" w:after="203" w:afterLines="50"/>
        <w:ind w:firstLine="500" w:firstLineChars="200"/>
        <w:rPr>
          <w:rFonts w:ascii="宋体" w:hAnsi="宋体"/>
        </w:rPr>
      </w:pPr>
      <w:r>
        <w:rPr>
          <w:rFonts w:ascii="宋体" w:hAnsi="宋体"/>
        </w:rPr>
        <w:t>3）工作方式：         间歇运转或连续运行。</w:t>
      </w:r>
    </w:p>
    <w:p>
      <w:pPr>
        <w:adjustRightInd w:val="0"/>
        <w:snapToGrid w:val="0"/>
        <w:spacing w:before="203" w:beforeLines="50" w:after="203" w:afterLines="50"/>
        <w:ind w:firstLine="500" w:firstLineChars="200"/>
        <w:rPr>
          <w:rFonts w:ascii="宋体" w:hAnsi="宋体"/>
        </w:rPr>
      </w:pPr>
      <w:r>
        <w:rPr>
          <w:rFonts w:ascii="宋体" w:hAnsi="宋体"/>
        </w:rPr>
        <w:t>（2）安装及运行环境</w:t>
      </w:r>
      <w:r>
        <w:rPr>
          <w:rFonts w:hint="eastAsia" w:ascii="宋体" w:hAnsi="宋体"/>
        </w:rPr>
        <w:t>：</w:t>
      </w:r>
      <w:r>
        <w:rPr>
          <w:rFonts w:ascii="宋体" w:hAnsi="宋体"/>
        </w:rPr>
        <w:t>安装于</w:t>
      </w:r>
      <w:r>
        <w:rPr>
          <w:rFonts w:hint="eastAsia" w:ascii="宋体" w:hAnsi="宋体"/>
        </w:rPr>
        <w:t>沉淀池</w:t>
      </w:r>
      <w:r>
        <w:rPr>
          <w:rFonts w:ascii="宋体" w:hAnsi="宋体"/>
        </w:rPr>
        <w:t>，工作环境及介质：环境温度0</w:t>
      </w:r>
      <w:r>
        <w:rPr>
          <w:rFonts w:hint="eastAsia" w:ascii="宋体" w:hAnsi="宋体"/>
        </w:rPr>
        <w:t>～</w:t>
      </w:r>
      <w:r>
        <w:rPr>
          <w:rFonts w:ascii="宋体" w:hAnsi="宋体"/>
        </w:rPr>
        <w:t>40</w:t>
      </w:r>
      <w:r>
        <w:rPr>
          <w:rFonts w:ascii="宋体" w:hAnsi="宋体"/>
        </w:rPr>
        <w:sym w:font="Symbol" w:char="F0B0"/>
      </w:r>
      <w:r>
        <w:rPr>
          <w:rFonts w:ascii="宋体" w:hAnsi="宋体"/>
        </w:rPr>
        <w:t>C，介质为生活</w:t>
      </w:r>
      <w:r>
        <w:rPr>
          <w:rFonts w:hint="eastAsia" w:ascii="宋体" w:hAnsi="宋体"/>
        </w:rPr>
        <w:t>原</w:t>
      </w:r>
      <w:r>
        <w:rPr>
          <w:rFonts w:ascii="宋体" w:hAnsi="宋体"/>
        </w:rPr>
        <w:t>水。</w:t>
      </w:r>
    </w:p>
    <w:p>
      <w:pPr>
        <w:keepNext/>
        <w:adjustRightInd w:val="0"/>
        <w:snapToGrid w:val="0"/>
        <w:spacing w:before="203" w:beforeLines="50" w:after="203" w:afterLines="50"/>
        <w:outlineLvl w:val="3"/>
        <w:rPr>
          <w:rFonts w:ascii="宋体" w:hAnsi="宋体" w:cs="楷体"/>
          <w:b/>
        </w:rPr>
      </w:pPr>
      <w:r>
        <w:rPr>
          <w:rFonts w:hint="eastAsia" w:ascii="宋体" w:hAnsi="宋体" w:cs="楷体"/>
          <w:b/>
        </w:rPr>
        <w:t>8.10.3.3技术要求</w:t>
      </w:r>
    </w:p>
    <w:p>
      <w:pPr>
        <w:numPr>
          <w:ilvl w:val="0"/>
          <w:numId w:val="80"/>
        </w:numPr>
        <w:ind w:left="480"/>
        <w:rPr>
          <w:rFonts w:ascii="宋体" w:hAnsi="宋体" w:cs="楷体"/>
        </w:rPr>
      </w:pPr>
      <w:r>
        <w:rPr>
          <w:rFonts w:hint="eastAsia" w:ascii="宋体" w:hAnsi="宋体" w:cs="楷体"/>
        </w:rPr>
        <w:t>技术要求</w:t>
      </w:r>
    </w:p>
    <w:p>
      <w:pPr>
        <w:adjustRightInd w:val="0"/>
        <w:snapToGrid w:val="0"/>
        <w:spacing w:before="203" w:beforeLines="50" w:after="203" w:afterLines="50"/>
        <w:ind w:firstLine="500" w:firstLineChars="200"/>
        <w:rPr>
          <w:rFonts w:ascii="宋体" w:hAnsi="宋体"/>
        </w:rPr>
      </w:pPr>
      <w:r>
        <w:rPr>
          <w:rFonts w:hint="eastAsia" w:ascii="宋体" w:hAnsi="宋体"/>
        </w:rPr>
        <w:t>吸泥机符合平流式沉淀池结构，每根吸泥管自吸口到排泥口自成系统,互不干扰，排泥口设有水封箱。</w:t>
      </w:r>
    </w:p>
    <w:p>
      <w:pPr>
        <w:adjustRightInd w:val="0"/>
        <w:snapToGrid w:val="0"/>
        <w:spacing w:before="203" w:beforeLines="50" w:after="203" w:afterLines="50"/>
        <w:ind w:firstLine="500" w:firstLineChars="200"/>
        <w:rPr>
          <w:rFonts w:ascii="宋体" w:hAnsi="宋体"/>
        </w:rPr>
      </w:pPr>
      <w:r>
        <w:rPr>
          <w:rFonts w:hint="eastAsia" w:ascii="宋体" w:hAnsi="宋体"/>
        </w:rPr>
        <w:t>吸泥管采用单管泵吸和虹吸外排，每根排泥管含一只球阀，每根排泥管旁路放空为一只手动阀和电磁阀，单管泵吸和虹吸自动切换采用止回阀。</w:t>
      </w:r>
    </w:p>
    <w:p>
      <w:pPr>
        <w:adjustRightInd w:val="0"/>
        <w:snapToGrid w:val="0"/>
        <w:spacing w:before="203" w:beforeLines="50" w:after="203" w:afterLines="50"/>
        <w:ind w:firstLine="500" w:firstLineChars="200"/>
        <w:rPr>
          <w:rFonts w:ascii="宋体" w:hAnsi="宋体"/>
        </w:rPr>
      </w:pPr>
      <w:r>
        <w:rPr>
          <w:rFonts w:hint="eastAsia" w:ascii="宋体" w:hAnsi="宋体"/>
        </w:rPr>
        <w:t>适合24小时连续不间断运行，可实行双向刮泥。</w:t>
      </w:r>
    </w:p>
    <w:p>
      <w:pPr>
        <w:adjustRightInd w:val="0"/>
        <w:snapToGrid w:val="0"/>
        <w:spacing w:before="203" w:beforeLines="50" w:after="203" w:afterLines="50"/>
        <w:ind w:firstLine="500" w:firstLineChars="200"/>
        <w:rPr>
          <w:rFonts w:ascii="宋体" w:hAnsi="宋体"/>
        </w:rPr>
      </w:pPr>
      <w:r>
        <w:rPr>
          <w:rFonts w:hint="eastAsia" w:ascii="宋体" w:hAnsi="宋体"/>
        </w:rPr>
        <w:t>吸泥机在22kg/m的轻轨上，四轮同时着轨，不产生啃轨，运行平稳。</w:t>
      </w:r>
    </w:p>
    <w:p>
      <w:pPr>
        <w:adjustRightInd w:val="0"/>
        <w:snapToGrid w:val="0"/>
        <w:spacing w:before="203" w:beforeLines="50" w:after="203" w:afterLines="50"/>
        <w:ind w:firstLine="500" w:firstLineChars="200"/>
        <w:rPr>
          <w:rFonts w:ascii="宋体" w:hAnsi="宋体"/>
        </w:rPr>
      </w:pPr>
      <w:r>
        <w:rPr>
          <w:rFonts w:hint="eastAsia" w:ascii="宋体" w:hAnsi="宋体"/>
        </w:rPr>
        <w:t>驱动电机功率有足够的额定值，保证在工况条件范围内连续工作时不过载。</w:t>
      </w:r>
    </w:p>
    <w:p>
      <w:pPr>
        <w:numPr>
          <w:ilvl w:val="0"/>
          <w:numId w:val="80"/>
        </w:numPr>
        <w:ind w:left="480"/>
        <w:rPr>
          <w:rFonts w:ascii="宋体" w:hAnsi="宋体" w:cs="楷体"/>
        </w:rPr>
      </w:pPr>
      <w:r>
        <w:rPr>
          <w:rFonts w:hint="eastAsia" w:ascii="宋体" w:hAnsi="宋体" w:cs="楷体"/>
        </w:rPr>
        <w:t>主要结构</w:t>
      </w:r>
    </w:p>
    <w:p>
      <w:pPr>
        <w:pStyle w:val="1156"/>
        <w:numPr>
          <w:ilvl w:val="1"/>
          <w:numId w:val="81"/>
        </w:numPr>
        <w:adjustRightInd w:val="0"/>
        <w:snapToGrid w:val="0"/>
        <w:spacing w:before="203" w:beforeLines="50" w:after="203" w:afterLines="50"/>
        <w:ind w:firstLineChars="0"/>
        <w:rPr>
          <w:rFonts w:ascii="宋体" w:hAnsi="宋体"/>
        </w:rPr>
      </w:pPr>
      <w:r>
        <w:rPr>
          <w:rFonts w:hint="eastAsia" w:ascii="宋体" w:hAnsi="宋体"/>
        </w:rPr>
        <w:t>主梁</w:t>
      </w:r>
    </w:p>
    <w:p>
      <w:pPr>
        <w:adjustRightInd w:val="0"/>
        <w:snapToGrid w:val="0"/>
        <w:spacing w:before="203" w:beforeLines="50" w:after="203" w:afterLines="50"/>
        <w:ind w:firstLine="500" w:firstLineChars="200"/>
        <w:rPr>
          <w:rFonts w:ascii="宋体" w:hAnsi="宋体"/>
        </w:rPr>
      </w:pPr>
      <w:r>
        <w:rPr>
          <w:rFonts w:hint="eastAsia" w:ascii="宋体" w:hAnsi="宋体"/>
        </w:rPr>
        <w:t>a、</w:t>
      </w:r>
      <w:r>
        <w:rPr>
          <w:rFonts w:hint="eastAsia" w:ascii="宋体" w:hAnsi="宋体"/>
        </w:rPr>
        <w:tab/>
      </w:r>
      <w:r>
        <w:rPr>
          <w:rFonts w:hint="eastAsia" w:ascii="宋体" w:hAnsi="宋体"/>
        </w:rPr>
        <w:t>主梁为桁架结构，采用方管组焊而成，具有足够的强度，能承受自重及其上设备的重量、刮泥产生的最大弯矩和由于池底积泥不均而产生的侧向水平推力，主梁挠度不大于主梁跨度的1/800。</w:t>
      </w:r>
    </w:p>
    <w:p>
      <w:pPr>
        <w:adjustRightInd w:val="0"/>
        <w:snapToGrid w:val="0"/>
        <w:spacing w:before="203" w:beforeLines="50" w:after="203" w:afterLines="50"/>
        <w:ind w:firstLine="500" w:firstLineChars="200"/>
        <w:rPr>
          <w:rFonts w:ascii="宋体" w:hAnsi="宋体"/>
        </w:rPr>
      </w:pPr>
      <w:r>
        <w:rPr>
          <w:rFonts w:hint="eastAsia" w:ascii="宋体" w:hAnsi="宋体"/>
        </w:rPr>
        <w:t>b、</w:t>
      </w:r>
      <w:r>
        <w:rPr>
          <w:rFonts w:hint="eastAsia" w:ascii="宋体" w:hAnsi="宋体"/>
        </w:rPr>
        <w:tab/>
      </w:r>
      <w:r>
        <w:rPr>
          <w:rFonts w:hint="eastAsia" w:ascii="宋体" w:hAnsi="宋体"/>
        </w:rPr>
        <w:t>桁架结构保证整体强度、刚度和稳定性、车轮轮距合理适当，既满足抗倾覆的要求，又能保证减小排泥死区。</w:t>
      </w:r>
    </w:p>
    <w:p>
      <w:pPr>
        <w:adjustRightInd w:val="0"/>
        <w:snapToGrid w:val="0"/>
        <w:spacing w:before="203" w:beforeLines="50" w:after="203" w:afterLines="50"/>
        <w:ind w:firstLine="500" w:firstLineChars="200"/>
        <w:rPr>
          <w:rFonts w:ascii="宋体" w:hAnsi="宋体"/>
        </w:rPr>
      </w:pPr>
      <w:r>
        <w:rPr>
          <w:rFonts w:hint="eastAsia" w:ascii="宋体" w:hAnsi="宋体"/>
        </w:rPr>
        <w:t>c、</w:t>
      </w:r>
      <w:r>
        <w:rPr>
          <w:rFonts w:hint="eastAsia" w:ascii="宋体" w:hAnsi="宋体"/>
        </w:rPr>
        <w:tab/>
      </w:r>
      <w:r>
        <w:rPr>
          <w:rFonts w:hint="eastAsia" w:ascii="宋体" w:hAnsi="宋体"/>
        </w:rPr>
        <w:t>主梁上走道板采用花纹钢板，厚度4mm，能承受常规操作下的重量，端梁与水池走道间设有钢制踏步，踏步级差约为200mm。</w:t>
      </w:r>
    </w:p>
    <w:p>
      <w:pPr>
        <w:pStyle w:val="1156"/>
        <w:numPr>
          <w:ilvl w:val="1"/>
          <w:numId w:val="81"/>
        </w:numPr>
        <w:adjustRightInd w:val="0"/>
        <w:snapToGrid w:val="0"/>
        <w:spacing w:before="203" w:beforeLines="50" w:after="203" w:afterLines="50"/>
        <w:ind w:firstLineChars="0"/>
        <w:rPr>
          <w:rFonts w:ascii="宋体" w:hAnsi="宋体"/>
        </w:rPr>
      </w:pPr>
      <w:r>
        <w:rPr>
          <w:rFonts w:hint="eastAsia" w:ascii="宋体" w:hAnsi="宋体"/>
        </w:rPr>
        <w:t>驱动装置：</w:t>
      </w:r>
    </w:p>
    <w:p>
      <w:pPr>
        <w:adjustRightInd w:val="0"/>
        <w:snapToGrid w:val="0"/>
        <w:spacing w:before="203" w:beforeLines="50" w:after="203" w:afterLines="50"/>
        <w:ind w:firstLine="500" w:firstLineChars="200"/>
        <w:rPr>
          <w:rFonts w:ascii="宋体" w:hAnsi="宋体"/>
        </w:rPr>
      </w:pPr>
      <w:r>
        <w:rPr>
          <w:rFonts w:hint="eastAsia" w:ascii="宋体" w:hAnsi="宋体"/>
        </w:rPr>
        <w:t>a、行车驱动方式为双边同时同步驱动，电动机采用户外型，防护等级为IP55，绝缘等级F级，电机功率为2×0.75 kW，可以正、反向驱动，连续工作，整机行走同步、平稳，不会出现车轮凸缘啃轨现象。</w:t>
      </w:r>
    </w:p>
    <w:p>
      <w:pPr>
        <w:adjustRightInd w:val="0"/>
        <w:snapToGrid w:val="0"/>
        <w:spacing w:before="203" w:beforeLines="50" w:after="203" w:afterLines="50"/>
        <w:ind w:firstLine="500" w:firstLineChars="200"/>
        <w:rPr>
          <w:rFonts w:ascii="宋体" w:hAnsi="宋体"/>
        </w:rPr>
      </w:pPr>
      <w:r>
        <w:rPr>
          <w:rFonts w:hint="eastAsia" w:ascii="宋体" w:hAnsi="宋体"/>
        </w:rPr>
        <w:t>b、二台电机具有同步的额定转速，二台减速机具有同等的制造精度和速比，以确保吸泥机的两端驱动装置以相同速度行走，减速齿轮箱具有充分的润滑和油位显示，其设计使用寿命不少于10万小时，并配套有防雨罩。</w:t>
      </w:r>
    </w:p>
    <w:p>
      <w:pPr>
        <w:adjustRightInd w:val="0"/>
        <w:snapToGrid w:val="0"/>
        <w:spacing w:before="203" w:beforeLines="50" w:after="203" w:afterLines="50"/>
        <w:ind w:firstLine="500" w:firstLineChars="200"/>
        <w:rPr>
          <w:rFonts w:ascii="宋体" w:hAnsi="宋体"/>
        </w:rPr>
      </w:pPr>
      <w:r>
        <w:rPr>
          <w:rFonts w:hint="eastAsia" w:ascii="宋体" w:hAnsi="宋体"/>
        </w:rPr>
        <w:t>c、主、从动车轮材质为ZG340～640，其踏面及轮缘内侧面都进行热处理，表面硬度达HB310～370。硬度层深度为10mm～15mm。</w:t>
      </w:r>
    </w:p>
    <w:p>
      <w:pPr>
        <w:adjustRightInd w:val="0"/>
        <w:snapToGrid w:val="0"/>
        <w:spacing w:before="203" w:beforeLines="50" w:after="203" w:afterLines="50"/>
        <w:ind w:firstLine="500" w:firstLineChars="200"/>
        <w:rPr>
          <w:rFonts w:ascii="宋体" w:hAnsi="宋体"/>
        </w:rPr>
      </w:pPr>
      <w:r>
        <w:rPr>
          <w:rFonts w:hint="eastAsia" w:ascii="宋体" w:hAnsi="宋体"/>
        </w:rPr>
        <w:t>d、</w:t>
      </w:r>
      <w:r>
        <w:rPr>
          <w:rFonts w:hint="eastAsia" w:ascii="宋体" w:hAnsi="宋体"/>
        </w:rPr>
        <w:tab/>
      </w:r>
      <w:r>
        <w:rPr>
          <w:rFonts w:hint="eastAsia" w:ascii="宋体" w:hAnsi="宋体"/>
        </w:rPr>
        <w:t>☆为了防止两侧行走电机不同步时出现卡阻和脱轨现象，将主动轮做成1：10锥形踏面，内侧轮径较大，外侧轮径较小，该结构具有自定心功能，可达到自动纠偏目的。</w:t>
      </w:r>
    </w:p>
    <w:p>
      <w:pPr>
        <w:adjustRightInd w:val="0"/>
        <w:snapToGrid w:val="0"/>
        <w:spacing w:before="203" w:beforeLines="50" w:after="203" w:afterLines="50"/>
        <w:ind w:firstLine="500" w:firstLineChars="200"/>
        <w:rPr>
          <w:rFonts w:ascii="宋体" w:hAnsi="宋体"/>
        </w:rPr>
      </w:pPr>
      <w:r>
        <w:rPr>
          <w:rFonts w:hint="eastAsia" w:ascii="宋体" w:hAnsi="宋体"/>
        </w:rPr>
        <w:t>e、</w:t>
      </w:r>
      <w:r>
        <w:rPr>
          <w:rFonts w:hint="eastAsia" w:ascii="宋体" w:hAnsi="宋体"/>
        </w:rPr>
        <w:tab/>
      </w:r>
      <w:r>
        <w:rPr>
          <w:rFonts w:hint="eastAsia" w:ascii="宋体" w:hAnsi="宋体"/>
        </w:rPr>
        <w:t>减速机具有足够的输出扭矩，适用于正转及反转运行。</w:t>
      </w:r>
    </w:p>
    <w:p>
      <w:pPr>
        <w:adjustRightInd w:val="0"/>
        <w:snapToGrid w:val="0"/>
        <w:spacing w:before="203" w:beforeLines="50" w:after="203" w:afterLines="50"/>
        <w:ind w:firstLine="500" w:firstLineChars="200"/>
        <w:rPr>
          <w:rFonts w:ascii="宋体" w:hAnsi="宋体"/>
        </w:rPr>
      </w:pPr>
      <w:r>
        <w:rPr>
          <w:rFonts w:hint="eastAsia" w:ascii="宋体" w:hAnsi="宋体"/>
        </w:rPr>
        <w:t>f、</w:t>
      </w:r>
      <w:r>
        <w:rPr>
          <w:rFonts w:hint="eastAsia" w:ascii="宋体" w:hAnsi="宋体"/>
        </w:rPr>
        <w:tab/>
      </w:r>
      <w:r>
        <w:rPr>
          <w:rFonts w:hint="eastAsia" w:ascii="宋体" w:hAnsi="宋体"/>
        </w:rPr>
        <w:t>运转平稳，无导常噪声，轴承及所有转动部位的润滑均设有加油装置且无渗漏现象，传动部件都在良好的润滑条件下工作。</w:t>
      </w:r>
    </w:p>
    <w:p>
      <w:pPr>
        <w:adjustRightInd w:val="0"/>
        <w:snapToGrid w:val="0"/>
        <w:spacing w:before="203" w:beforeLines="50" w:after="203" w:afterLines="50"/>
        <w:ind w:firstLine="500" w:firstLineChars="200"/>
        <w:rPr>
          <w:rFonts w:ascii="宋体" w:hAnsi="宋体"/>
        </w:rPr>
      </w:pPr>
      <w:r>
        <w:rPr>
          <w:rFonts w:hint="eastAsia" w:ascii="宋体" w:hAnsi="宋体"/>
        </w:rPr>
        <w:t>g、</w:t>
      </w:r>
      <w:r>
        <w:rPr>
          <w:rFonts w:hint="eastAsia" w:ascii="宋体" w:hAnsi="宋体"/>
        </w:rPr>
        <w:tab/>
      </w:r>
      <w:r>
        <w:rPr>
          <w:rFonts w:hint="eastAsia" w:ascii="宋体" w:hAnsi="宋体"/>
        </w:rPr>
        <w:t>在钢轨两端设有安全限位器和自动停止装置，在钢轨的两端设有机械限位开关作为后备保护，用接近开关作为主控开关。</w:t>
      </w:r>
    </w:p>
    <w:p>
      <w:pPr>
        <w:adjustRightInd w:val="0"/>
        <w:snapToGrid w:val="0"/>
        <w:spacing w:before="203" w:beforeLines="50" w:after="203" w:afterLines="50"/>
        <w:ind w:firstLine="500" w:firstLineChars="200"/>
        <w:rPr>
          <w:rFonts w:ascii="宋体" w:hAnsi="宋体"/>
        </w:rPr>
      </w:pPr>
      <w:r>
        <w:rPr>
          <w:rFonts w:hint="eastAsia" w:ascii="宋体" w:hAnsi="宋体"/>
        </w:rPr>
        <w:t>h、</w:t>
      </w:r>
      <w:r>
        <w:rPr>
          <w:rFonts w:hint="eastAsia" w:ascii="宋体" w:hAnsi="宋体"/>
        </w:rPr>
        <w:tab/>
      </w:r>
      <w:r>
        <w:rPr>
          <w:rFonts w:hint="eastAsia" w:ascii="宋体" w:hAnsi="宋体"/>
        </w:rPr>
        <w:t>驱动系统设有操作方便的润滑剂添加装置。</w:t>
      </w:r>
    </w:p>
    <w:p>
      <w:pPr>
        <w:pStyle w:val="1156"/>
        <w:numPr>
          <w:ilvl w:val="1"/>
          <w:numId w:val="81"/>
        </w:numPr>
        <w:adjustRightInd w:val="0"/>
        <w:snapToGrid w:val="0"/>
        <w:spacing w:before="203" w:beforeLines="50" w:after="203" w:afterLines="50"/>
        <w:ind w:firstLineChars="0"/>
        <w:rPr>
          <w:rFonts w:ascii="宋体" w:hAnsi="宋体"/>
        </w:rPr>
      </w:pPr>
      <w:r>
        <w:rPr>
          <w:rFonts w:hint="eastAsia" w:ascii="宋体" w:hAnsi="宋体"/>
        </w:rPr>
        <w:t>吸泥管路系统</w:t>
      </w:r>
    </w:p>
    <w:p>
      <w:pPr>
        <w:adjustRightInd w:val="0"/>
        <w:snapToGrid w:val="0"/>
        <w:spacing w:before="203" w:beforeLines="50" w:after="203" w:afterLines="50"/>
        <w:ind w:firstLine="500" w:firstLineChars="200"/>
        <w:rPr>
          <w:rFonts w:ascii="宋体" w:hAnsi="宋体"/>
        </w:rPr>
      </w:pPr>
      <w:r>
        <w:rPr>
          <w:rFonts w:hint="eastAsia" w:ascii="宋体" w:hAnsi="宋体"/>
        </w:rPr>
        <w:t>a、</w:t>
      </w:r>
      <w:r>
        <w:rPr>
          <w:rFonts w:hint="eastAsia" w:ascii="宋体" w:hAnsi="宋体"/>
        </w:rPr>
        <w:tab/>
      </w:r>
      <w:r>
        <w:rPr>
          <w:rFonts w:hint="eastAsia" w:ascii="宋体" w:hAnsi="宋体"/>
        </w:rPr>
        <w:t>吸泥管路由吸泥泵、刮泥板、集泥器、吸泥管组成，吸泥装置的设置保证吸泥时池底不出现死角，并保证池底污泥均衡吸出，不致产生吸不干净而影响水质。吸口有足够的强度以防止变形而发生吸口堵塞。</w:t>
      </w:r>
    </w:p>
    <w:p>
      <w:pPr>
        <w:adjustRightInd w:val="0"/>
        <w:snapToGrid w:val="0"/>
        <w:spacing w:before="203" w:beforeLines="50" w:after="203" w:afterLines="50"/>
        <w:ind w:firstLine="500" w:firstLineChars="200"/>
        <w:rPr>
          <w:rFonts w:ascii="宋体" w:hAnsi="宋体"/>
        </w:rPr>
      </w:pPr>
      <w:r>
        <w:rPr>
          <w:rFonts w:hint="eastAsia" w:ascii="宋体" w:hAnsi="宋体"/>
        </w:rPr>
        <w:t>b、</w:t>
      </w:r>
      <w:r>
        <w:rPr>
          <w:rFonts w:hint="eastAsia" w:ascii="宋体" w:hAnsi="宋体"/>
        </w:rPr>
        <w:tab/>
      </w:r>
      <w:r>
        <w:rPr>
          <w:rFonts w:hint="eastAsia" w:ascii="宋体" w:hAnsi="宋体"/>
        </w:rPr>
        <w:t>吸泥管采用单管泵吸和虹吸外排，每根排泥管含一只球阀，每根排泥管旁路放空为一只手动阀和电磁阀（不合用放空电磁阀），单管泵吸和虹吸自动切换采用止回阀。</w:t>
      </w:r>
    </w:p>
    <w:p>
      <w:pPr>
        <w:adjustRightInd w:val="0"/>
        <w:snapToGrid w:val="0"/>
        <w:spacing w:before="203" w:beforeLines="50" w:after="203" w:afterLines="50"/>
        <w:ind w:firstLine="500" w:firstLineChars="200"/>
        <w:rPr>
          <w:rFonts w:ascii="宋体" w:hAnsi="宋体"/>
        </w:rPr>
      </w:pPr>
      <w:r>
        <w:rPr>
          <w:rFonts w:hint="eastAsia" w:ascii="宋体" w:hAnsi="宋体"/>
        </w:rPr>
        <w:t>c、</w:t>
      </w:r>
      <w:r>
        <w:rPr>
          <w:rFonts w:hint="eastAsia" w:ascii="宋体" w:hAnsi="宋体"/>
        </w:rPr>
        <w:tab/>
      </w:r>
      <w:r>
        <w:rPr>
          <w:rFonts w:hint="eastAsia" w:ascii="宋体" w:hAnsi="宋体"/>
        </w:rPr>
        <w:t>吸泥管的吸泥端采用扁吸口，扁吸口离池底最高点不大于50mm，设置双向集泥斗，出口设水封装置。</w:t>
      </w:r>
    </w:p>
    <w:p>
      <w:pPr>
        <w:adjustRightInd w:val="0"/>
        <w:snapToGrid w:val="0"/>
        <w:spacing w:before="203" w:beforeLines="50" w:after="203" w:afterLines="50"/>
        <w:ind w:firstLine="500" w:firstLineChars="200"/>
        <w:rPr>
          <w:rFonts w:ascii="宋体" w:hAnsi="宋体"/>
        </w:rPr>
      </w:pPr>
      <w:r>
        <w:rPr>
          <w:rFonts w:hint="eastAsia" w:ascii="宋体" w:hAnsi="宋体"/>
        </w:rPr>
        <w:t>d、</w:t>
      </w:r>
      <w:r>
        <w:rPr>
          <w:rFonts w:hint="eastAsia" w:ascii="宋体" w:hAnsi="宋体"/>
        </w:rPr>
        <w:tab/>
      </w:r>
      <w:r>
        <w:rPr>
          <w:rFonts w:hint="eastAsia" w:ascii="宋体" w:hAnsi="宋体"/>
        </w:rPr>
        <w:t>垂直吸泥管的固定钢支架绝对牢固，并能避开沉淀池出水支渠。底部不锈钢刮泥板之间及与墙体之间用橡胶板，并把橡胶板固定在底部的刮泥板上。</w:t>
      </w:r>
    </w:p>
    <w:p>
      <w:pPr>
        <w:pStyle w:val="1156"/>
        <w:numPr>
          <w:ilvl w:val="1"/>
          <w:numId w:val="81"/>
        </w:numPr>
        <w:adjustRightInd w:val="0"/>
        <w:snapToGrid w:val="0"/>
        <w:spacing w:before="203" w:beforeLines="50" w:after="203" w:afterLines="50"/>
        <w:ind w:firstLineChars="0"/>
        <w:rPr>
          <w:rFonts w:ascii="宋体" w:hAnsi="宋体"/>
        </w:rPr>
      </w:pPr>
      <w:r>
        <w:rPr>
          <w:rFonts w:hint="eastAsia" w:ascii="宋体" w:hAnsi="宋体"/>
        </w:rPr>
        <w:t>吸泥机配套的钢轨（22kg/m）</w:t>
      </w:r>
    </w:p>
    <w:p>
      <w:pPr>
        <w:adjustRightInd w:val="0"/>
        <w:snapToGrid w:val="0"/>
        <w:spacing w:before="203" w:beforeLines="50" w:after="203" w:afterLines="50"/>
        <w:ind w:firstLine="500" w:firstLineChars="200"/>
        <w:rPr>
          <w:rFonts w:ascii="宋体" w:hAnsi="宋体"/>
        </w:rPr>
      </w:pPr>
      <w:r>
        <w:rPr>
          <w:rFonts w:hint="eastAsia" w:ascii="宋体" w:hAnsi="宋体"/>
        </w:rPr>
        <w:t xml:space="preserve">  吸泥机的4个车轮同时在钢轨上行走，车轮与钢轨啮合紧凑，不会发生啃轨、爬轨现象。行走限位装置（行程开关）安装在行走钢轨两端，共4只，中间两只起到行走换向作用，另外两只起到极限位保护功能。</w:t>
      </w:r>
    </w:p>
    <w:p>
      <w:pPr>
        <w:pStyle w:val="1156"/>
        <w:numPr>
          <w:ilvl w:val="1"/>
          <w:numId w:val="81"/>
        </w:numPr>
        <w:adjustRightInd w:val="0"/>
        <w:snapToGrid w:val="0"/>
        <w:spacing w:before="203" w:beforeLines="50" w:after="203" w:afterLines="50"/>
        <w:ind w:firstLineChars="0"/>
        <w:rPr>
          <w:rFonts w:ascii="宋体" w:hAnsi="宋体"/>
        </w:rPr>
      </w:pPr>
      <w:r>
        <w:rPr>
          <w:rFonts w:hint="eastAsia" w:ascii="宋体" w:hAnsi="宋体"/>
        </w:rPr>
        <w:t>控制要求：</w:t>
      </w:r>
    </w:p>
    <w:p>
      <w:pPr>
        <w:adjustRightInd w:val="0"/>
        <w:snapToGrid w:val="0"/>
        <w:spacing w:before="203" w:beforeLines="50" w:after="203" w:afterLines="50"/>
        <w:ind w:firstLine="500" w:firstLineChars="200"/>
        <w:rPr>
          <w:rFonts w:ascii="宋体" w:hAnsi="宋体"/>
        </w:rPr>
      </w:pPr>
      <w:r>
        <w:rPr>
          <w:rFonts w:hint="eastAsia" w:ascii="宋体" w:hAnsi="宋体"/>
        </w:rPr>
        <w:t>吸泥机采用PLC控制，并与控制中心连接，控制箱内留有PLC接口，设有手动控制及远方控制。可根据需要设置吸泥机的全程、半程运行方式。吸泥周期采用时间控制。吸泥机对真空形成、吸泥及真空破坏等吸泥全过程具有自动控制功能。</w:t>
      </w:r>
    </w:p>
    <w:p>
      <w:pPr>
        <w:numPr>
          <w:ilvl w:val="0"/>
          <w:numId w:val="80"/>
        </w:numPr>
        <w:ind w:left="480"/>
        <w:rPr>
          <w:rFonts w:ascii="宋体" w:hAnsi="宋体" w:cs="楷体"/>
        </w:rPr>
      </w:pPr>
      <w:r>
        <w:rPr>
          <w:rFonts w:hint="eastAsia" w:ascii="宋体" w:hAnsi="宋体" w:cs="楷体"/>
        </w:rPr>
        <w:t>材质要求</w:t>
      </w:r>
    </w:p>
    <w:p>
      <w:pPr>
        <w:adjustRightInd w:val="0"/>
        <w:snapToGrid w:val="0"/>
        <w:spacing w:before="203" w:beforeLines="50" w:after="203" w:afterLines="50"/>
        <w:ind w:firstLine="500" w:firstLineChars="200"/>
        <w:rPr>
          <w:rFonts w:ascii="宋体" w:hAnsi="宋体"/>
        </w:rPr>
      </w:pPr>
      <w:r>
        <w:rPr>
          <w:rFonts w:hint="eastAsia" w:ascii="宋体" w:hAnsi="宋体"/>
        </w:rPr>
        <w:t>主梁：碳钢防腐</w:t>
      </w:r>
    </w:p>
    <w:p>
      <w:pPr>
        <w:adjustRightInd w:val="0"/>
        <w:snapToGrid w:val="0"/>
        <w:spacing w:before="203" w:beforeLines="50" w:after="203" w:afterLines="50"/>
        <w:ind w:firstLine="500" w:firstLineChars="200"/>
        <w:rPr>
          <w:rFonts w:ascii="宋体" w:hAnsi="宋体"/>
        </w:rPr>
      </w:pPr>
      <w:r>
        <w:rPr>
          <w:rFonts w:hint="eastAsia" w:ascii="宋体" w:hAnsi="宋体"/>
        </w:rPr>
        <w:t>走道板</w:t>
      </w:r>
      <w:r>
        <w:rPr>
          <w:rFonts w:hint="eastAsia" w:ascii="宋体" w:hAnsi="宋体"/>
        </w:rPr>
        <w:tab/>
      </w:r>
      <w:r>
        <w:rPr>
          <w:rFonts w:hint="eastAsia" w:ascii="宋体" w:hAnsi="宋体"/>
        </w:rPr>
        <w:t>：花纹板</w:t>
      </w:r>
    </w:p>
    <w:p>
      <w:pPr>
        <w:adjustRightInd w:val="0"/>
        <w:snapToGrid w:val="0"/>
        <w:spacing w:before="203" w:beforeLines="50" w:after="203" w:afterLines="50"/>
        <w:ind w:firstLine="500" w:firstLineChars="200"/>
        <w:rPr>
          <w:rFonts w:ascii="宋体" w:hAnsi="宋体"/>
        </w:rPr>
      </w:pPr>
      <w:r>
        <w:rPr>
          <w:rFonts w:hint="eastAsia" w:ascii="宋体" w:hAnsi="宋体"/>
        </w:rPr>
        <w:t>车轮：ZG340～640</w:t>
      </w:r>
    </w:p>
    <w:p>
      <w:pPr>
        <w:adjustRightInd w:val="0"/>
        <w:snapToGrid w:val="0"/>
        <w:spacing w:before="203" w:beforeLines="50" w:after="203" w:afterLines="50"/>
        <w:ind w:firstLine="500" w:firstLineChars="200"/>
        <w:rPr>
          <w:rFonts w:ascii="宋体" w:hAnsi="宋体"/>
        </w:rPr>
      </w:pPr>
      <w:r>
        <w:rPr>
          <w:rFonts w:hint="eastAsia" w:ascii="宋体" w:hAnsi="宋体"/>
        </w:rPr>
        <w:t>吸泥管路：不锈钢304</w:t>
      </w:r>
    </w:p>
    <w:p>
      <w:pPr>
        <w:adjustRightInd w:val="0"/>
        <w:snapToGrid w:val="0"/>
        <w:spacing w:before="203" w:beforeLines="50" w:after="203" w:afterLines="50"/>
        <w:ind w:firstLine="500" w:firstLineChars="200"/>
        <w:rPr>
          <w:rFonts w:ascii="宋体" w:hAnsi="宋体"/>
        </w:rPr>
      </w:pPr>
      <w:r>
        <w:rPr>
          <w:rFonts w:hint="eastAsia" w:ascii="宋体" w:hAnsi="宋体"/>
        </w:rPr>
        <w:t>集泥刮板：不锈钢304</w:t>
      </w:r>
    </w:p>
    <w:p>
      <w:pPr>
        <w:adjustRightInd w:val="0"/>
        <w:snapToGrid w:val="0"/>
        <w:spacing w:before="203" w:beforeLines="50" w:after="203" w:afterLines="50"/>
        <w:ind w:firstLine="500" w:firstLineChars="200"/>
        <w:rPr>
          <w:rFonts w:ascii="宋体" w:hAnsi="宋体"/>
        </w:rPr>
      </w:pPr>
      <w:r>
        <w:rPr>
          <w:rFonts w:hint="eastAsia" w:ascii="宋体" w:hAnsi="宋体"/>
        </w:rPr>
        <w:t>吊架：不锈钢304</w:t>
      </w:r>
    </w:p>
    <w:p>
      <w:pPr>
        <w:adjustRightInd w:val="0"/>
        <w:snapToGrid w:val="0"/>
        <w:spacing w:before="203" w:beforeLines="50" w:after="203" w:afterLines="50"/>
        <w:ind w:firstLine="500" w:firstLineChars="200"/>
        <w:rPr>
          <w:rFonts w:ascii="宋体" w:hAnsi="宋体"/>
        </w:rPr>
      </w:pPr>
      <w:r>
        <w:rPr>
          <w:rFonts w:hint="eastAsia" w:ascii="宋体" w:hAnsi="宋体"/>
        </w:rPr>
        <w:t>水封：不锈钢304</w:t>
      </w:r>
    </w:p>
    <w:p>
      <w:pPr>
        <w:adjustRightInd w:val="0"/>
        <w:snapToGrid w:val="0"/>
        <w:spacing w:before="203" w:beforeLines="50" w:after="203" w:afterLines="50"/>
        <w:ind w:firstLine="500" w:firstLineChars="200"/>
        <w:rPr>
          <w:rFonts w:ascii="宋体" w:hAnsi="宋体"/>
        </w:rPr>
      </w:pPr>
      <w:r>
        <w:rPr>
          <w:rFonts w:hint="eastAsia" w:ascii="宋体" w:hAnsi="宋体"/>
        </w:rPr>
        <w:t>紧固件：水上碳钢，水下不锈钢</w:t>
      </w:r>
    </w:p>
    <w:p>
      <w:pPr>
        <w:numPr>
          <w:ilvl w:val="0"/>
          <w:numId w:val="80"/>
        </w:numPr>
        <w:adjustRightInd w:val="0"/>
        <w:snapToGrid w:val="0"/>
        <w:spacing w:before="203" w:beforeLines="50" w:after="203" w:afterLines="50"/>
        <w:ind w:left="480"/>
        <w:rPr>
          <w:rFonts w:ascii="宋体" w:hAnsi="宋体"/>
        </w:rPr>
      </w:pPr>
      <w:r>
        <w:rPr>
          <w:rFonts w:ascii="宋体" w:hAnsi="宋体"/>
        </w:rPr>
        <w:t>电器控制系统</w:t>
      </w:r>
    </w:p>
    <w:p>
      <w:pPr>
        <w:adjustRightInd w:val="0"/>
        <w:snapToGrid w:val="0"/>
        <w:spacing w:before="203" w:beforeLines="50" w:after="203" w:afterLines="50"/>
        <w:ind w:firstLine="500" w:firstLineChars="200"/>
        <w:rPr>
          <w:rFonts w:ascii="宋体" w:hAnsi="宋体"/>
        </w:rPr>
      </w:pPr>
      <w:r>
        <w:rPr>
          <w:rFonts w:ascii="宋体" w:hAnsi="宋体"/>
        </w:rPr>
        <w:t>（1）电控箱</w:t>
      </w:r>
    </w:p>
    <w:p>
      <w:pPr>
        <w:adjustRightInd w:val="0"/>
        <w:snapToGrid w:val="0"/>
        <w:spacing w:before="203" w:beforeLines="50" w:after="203" w:afterLines="50"/>
        <w:ind w:firstLine="500" w:firstLineChars="200"/>
        <w:rPr>
          <w:rFonts w:ascii="宋体" w:hAnsi="宋体"/>
        </w:rPr>
      </w:pPr>
      <w:r>
        <w:rPr>
          <w:rFonts w:hint="eastAsia" w:ascii="宋体" w:hAnsi="宋体"/>
        </w:rPr>
        <w:t>吸泥机</w:t>
      </w:r>
      <w:r>
        <w:rPr>
          <w:rFonts w:ascii="宋体" w:hAnsi="宋体"/>
        </w:rPr>
        <w:t>配套一个机旁就地电控箱，电控箱中配置控制用的完整的一、二次电气元件及相仪器仪表。电控箱将置于</w:t>
      </w:r>
      <w:r>
        <w:rPr>
          <w:rFonts w:hint="eastAsia" w:ascii="宋体" w:hAnsi="宋体"/>
        </w:rPr>
        <w:t>吸泥机主梁</w:t>
      </w:r>
      <w:r>
        <w:rPr>
          <w:rFonts w:ascii="宋体" w:hAnsi="宋体"/>
        </w:rPr>
        <w:t>位置。</w:t>
      </w:r>
    </w:p>
    <w:p>
      <w:pPr>
        <w:adjustRightInd w:val="0"/>
        <w:snapToGrid w:val="0"/>
        <w:spacing w:before="203" w:beforeLines="50" w:after="203" w:afterLines="50"/>
        <w:ind w:firstLine="500" w:firstLineChars="200"/>
        <w:rPr>
          <w:rFonts w:ascii="宋体" w:hAnsi="宋体"/>
        </w:rPr>
      </w:pPr>
      <w:r>
        <w:rPr>
          <w:rFonts w:ascii="宋体" w:hAnsi="宋体"/>
        </w:rPr>
        <w:t>A、电控箱结构</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电控箱室外安装（带观察窗）</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电控箱要求前检修，前开门</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电缆进出线为下进，下出线方式</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箱内有防凝露的电加热单元</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箱内塑料元件无卤素，CFC，阻燃，自熄</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箱体材质：304不锈钢</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防护等级：IP55</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工作电源：AC380V  50Hz三相五线制</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控制电源：AC220V  50Hz</w:t>
      </w:r>
    </w:p>
    <w:p>
      <w:pPr>
        <w:adjustRightInd w:val="0"/>
        <w:snapToGrid w:val="0"/>
        <w:spacing w:before="203" w:beforeLines="50" w:after="203" w:afterLines="50"/>
        <w:ind w:firstLine="500" w:firstLineChars="200"/>
        <w:rPr>
          <w:rFonts w:ascii="宋体" w:hAnsi="宋体"/>
        </w:rPr>
      </w:pPr>
      <w:r>
        <w:rPr>
          <w:rFonts w:ascii="宋体" w:hAnsi="宋体"/>
        </w:rPr>
        <w:t>B、电控箱上的附属设备</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控制方式位置选择开关（自动控制（时间控制）、远程控制、断开、手动控制四个位置）</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信号灯（工作、停止、事故（包括机械过载、短路、缺相、高液位差等故障））</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hint="eastAsia" w:ascii="宋体" w:hAnsi="宋体"/>
        </w:rPr>
        <w:t>吸泥</w:t>
      </w:r>
      <w:r>
        <w:rPr>
          <w:rFonts w:ascii="宋体" w:hAnsi="宋体"/>
        </w:rPr>
        <w:t>机的启动及停止按钮</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紧急停机按钮</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空气断路器、接触器、热继电器、中间继电器、PLC、显示器等保护控制元件，为国际知名品牌。</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电控箱提供如下无源接点信号（250V，5A）</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远控开、停机的输入信号</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选择开关远控位置的输出信号</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格栅机运行的输出信号</w:t>
      </w:r>
    </w:p>
    <w:p>
      <w:pPr>
        <w:pStyle w:val="1156"/>
        <w:numPr>
          <w:ilvl w:val="0"/>
          <w:numId w:val="82"/>
        </w:numPr>
        <w:adjustRightInd w:val="0"/>
        <w:snapToGrid w:val="0"/>
        <w:spacing w:before="203" w:beforeLines="50" w:after="203" w:afterLines="50" w:line="240" w:lineRule="auto"/>
        <w:ind w:firstLineChars="0"/>
        <w:rPr>
          <w:rFonts w:ascii="宋体" w:hAnsi="宋体"/>
        </w:rPr>
      </w:pPr>
      <w:r>
        <w:rPr>
          <w:rFonts w:ascii="宋体" w:hAnsi="宋体"/>
        </w:rPr>
        <w:t>各种故障报警的输出信号</w:t>
      </w:r>
    </w:p>
    <w:bookmarkEnd w:id="6539"/>
    <w:bookmarkEnd w:id="6540"/>
    <w:bookmarkEnd w:id="6541"/>
    <w:bookmarkEnd w:id="6542"/>
    <w:p>
      <w:pPr>
        <w:keepNext/>
        <w:adjustRightInd w:val="0"/>
        <w:snapToGrid w:val="0"/>
        <w:spacing w:before="203" w:beforeLines="50" w:after="203" w:afterLines="50"/>
        <w:outlineLvl w:val="1"/>
        <w:rPr>
          <w:rFonts w:ascii="宋体" w:hAnsi="宋体" w:cs="楷体"/>
          <w:b/>
        </w:rPr>
      </w:pPr>
      <w:bookmarkStart w:id="6550" w:name="_Toc106883667"/>
      <w:bookmarkStart w:id="6551" w:name="_Toc86356711"/>
      <w:r>
        <w:rPr>
          <w:rFonts w:hint="eastAsia" w:ascii="宋体" w:hAnsi="宋体" w:cs="楷体"/>
          <w:b/>
        </w:rPr>
        <w:t>8.11不锈钢折板</w:t>
      </w:r>
      <w:bookmarkEnd w:id="6550"/>
    </w:p>
    <w:p>
      <w:pPr>
        <w:keepNext/>
        <w:adjustRightInd w:val="0"/>
        <w:snapToGrid w:val="0"/>
        <w:spacing w:before="203" w:beforeLines="50" w:after="203" w:afterLines="50"/>
        <w:outlineLvl w:val="2"/>
        <w:rPr>
          <w:rFonts w:ascii="宋体" w:hAnsi="宋体" w:cs="楷体"/>
          <w:b/>
        </w:rPr>
      </w:pPr>
      <w:bookmarkStart w:id="6552" w:name="_Toc106883668"/>
      <w:r>
        <w:rPr>
          <w:rFonts w:hint="eastAsia" w:ascii="宋体" w:hAnsi="宋体" w:cs="楷体"/>
          <w:b/>
        </w:rPr>
        <w:t>8.11.1概述</w:t>
      </w:r>
      <w:bookmarkEnd w:id="6552"/>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本工程设机械混合池1座，竖向折板絮凝池1座，平流沉淀池1座，叠合清水池1座，内设不锈钢折板及直板，安装位置详见供货范围及图纸。</w:t>
      </w:r>
    </w:p>
    <w:p>
      <w:pPr>
        <w:keepNext/>
        <w:adjustRightInd w:val="0"/>
        <w:snapToGrid w:val="0"/>
        <w:spacing w:before="203" w:beforeLines="50" w:after="203" w:afterLines="50"/>
        <w:outlineLvl w:val="0"/>
        <w:rPr>
          <w:rFonts w:ascii="宋体" w:hAnsi="宋体" w:cs="楷体"/>
          <w:b/>
        </w:rPr>
      </w:pPr>
      <w:bookmarkStart w:id="6553" w:name="_Toc106883669"/>
      <w:r>
        <w:rPr>
          <w:rFonts w:hint="eastAsia" w:ascii="宋体" w:hAnsi="宋体" w:cs="楷体"/>
          <w:b/>
        </w:rPr>
        <w:t>8.11.2设备清单</w:t>
      </w:r>
      <w:bookmarkEnd w:id="6553"/>
    </w:p>
    <w:p>
      <w:pPr>
        <w:keepNext/>
        <w:adjustRightInd w:val="0"/>
        <w:snapToGrid w:val="0"/>
        <w:jc w:val="center"/>
        <w:rPr>
          <w:rFonts w:ascii="宋体" w:hAnsi="宋体" w:cs="楷体"/>
          <w:b/>
        </w:rPr>
      </w:pPr>
      <w:r>
        <w:rPr>
          <w:rFonts w:hint="eastAsia" w:ascii="宋体" w:hAnsi="宋体" w:cs="楷体"/>
          <w:b/>
        </w:rPr>
        <w:t>设备清单及技术参数表</w:t>
      </w:r>
    </w:p>
    <w:tbl>
      <w:tblPr>
        <w:tblStyle w:val="77"/>
        <w:tblW w:w="5000" w:type="pct"/>
        <w:tblInd w:w="0" w:type="dxa"/>
        <w:tblLayout w:type="fixed"/>
        <w:tblCellMar>
          <w:top w:w="0" w:type="dxa"/>
          <w:left w:w="108" w:type="dxa"/>
          <w:bottom w:w="0" w:type="dxa"/>
          <w:right w:w="108" w:type="dxa"/>
        </w:tblCellMar>
      </w:tblPr>
      <w:tblGrid>
        <w:gridCol w:w="524"/>
        <w:gridCol w:w="1863"/>
        <w:gridCol w:w="2164"/>
        <w:gridCol w:w="984"/>
        <w:gridCol w:w="841"/>
        <w:gridCol w:w="741"/>
        <w:gridCol w:w="1603"/>
      </w:tblGrid>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106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56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42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91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1</w:t>
            </w:r>
          </w:p>
        </w:tc>
        <w:tc>
          <w:tcPr>
            <w:tcW w:w="1068"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不锈钢折板</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B×L×δ=3300X500X3</w:t>
            </w:r>
          </w:p>
        </w:tc>
        <w:tc>
          <w:tcPr>
            <w:tcW w:w="56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SS316L不锈钢</w:t>
            </w:r>
          </w:p>
        </w:tc>
        <w:tc>
          <w:tcPr>
            <w:tcW w:w="48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块</w:t>
            </w:r>
          </w:p>
        </w:tc>
        <w:tc>
          <w:tcPr>
            <w:tcW w:w="425"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400</w:t>
            </w:r>
          </w:p>
        </w:tc>
        <w:tc>
          <w:tcPr>
            <w:tcW w:w="9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rPr>
              <w:t>见详图</w:t>
            </w:r>
          </w:p>
        </w:tc>
      </w:tr>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ascii="宋体" w:hAnsi="宋体" w:cs="楷体"/>
                <w:kern w:val="0"/>
              </w:rPr>
              <w:t>2</w:t>
            </w:r>
          </w:p>
        </w:tc>
        <w:tc>
          <w:tcPr>
            <w:tcW w:w="106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不锈钢直板</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B×L×δ=3300X439X3</w:t>
            </w:r>
          </w:p>
        </w:tc>
        <w:tc>
          <w:tcPr>
            <w:tcW w:w="56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SS316L不锈钢</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块</w:t>
            </w:r>
          </w:p>
        </w:tc>
        <w:tc>
          <w:tcPr>
            <w:tcW w:w="42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rPr>
              <w:t>58</w:t>
            </w:r>
          </w:p>
        </w:tc>
        <w:tc>
          <w:tcPr>
            <w:tcW w:w="91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kern w:val="0"/>
              </w:rPr>
            </w:pPr>
            <w:r>
              <w:rPr>
                <w:rFonts w:hint="eastAsia" w:ascii="宋体" w:hAnsi="宋体"/>
              </w:rPr>
              <w:t>见详图</w:t>
            </w:r>
          </w:p>
        </w:tc>
      </w:tr>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ascii="宋体" w:hAnsi="宋体" w:cs="楷体"/>
                <w:kern w:val="0"/>
              </w:rPr>
              <w:t>3</w:t>
            </w:r>
          </w:p>
        </w:tc>
        <w:tc>
          <w:tcPr>
            <w:tcW w:w="106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不锈钢直板</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B×L×δ=3300X433X3</w:t>
            </w:r>
          </w:p>
        </w:tc>
        <w:tc>
          <w:tcPr>
            <w:tcW w:w="56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SS316L不锈钢</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块</w:t>
            </w:r>
          </w:p>
        </w:tc>
        <w:tc>
          <w:tcPr>
            <w:tcW w:w="42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54</w:t>
            </w:r>
          </w:p>
        </w:tc>
        <w:tc>
          <w:tcPr>
            <w:tcW w:w="91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见详图</w:t>
            </w:r>
          </w:p>
        </w:tc>
      </w:tr>
    </w:tbl>
    <w:p>
      <w:pPr>
        <w:adjustRightInd w:val="0"/>
        <w:snapToGrid w:val="0"/>
        <w:spacing w:after="203" w:afterLines="50"/>
        <w:ind w:firstLine="500" w:firstLineChars="200"/>
        <w:rPr>
          <w:rFonts w:ascii="宋体" w:hAnsi="宋体" w:cs="楷体"/>
          <w:i/>
          <w:iCs/>
        </w:rPr>
      </w:pPr>
      <w:r>
        <w:rPr>
          <w:rFonts w:hint="eastAsia" w:ascii="宋体" w:hAnsi="宋体" w:cs="楷体"/>
          <w:i/>
          <w:iCs/>
        </w:rPr>
        <w:t>注：本“采购设备清单”不得被认为是详尽无遗的，无论规定与否，承包商应提供所有业主未提及的但系统必要的元件、器件、附件、配套设备和相应材料，并包含在合同文件中。</w:t>
      </w:r>
    </w:p>
    <w:p>
      <w:pPr>
        <w:keepNext/>
        <w:adjustRightInd w:val="0"/>
        <w:snapToGrid w:val="0"/>
        <w:spacing w:before="203" w:beforeLines="50" w:after="203" w:afterLines="50"/>
        <w:outlineLvl w:val="2"/>
        <w:rPr>
          <w:rFonts w:ascii="宋体" w:hAnsi="宋体" w:cs="楷体"/>
          <w:b/>
        </w:rPr>
      </w:pPr>
      <w:bookmarkStart w:id="6554" w:name="_Toc106883670"/>
      <w:r>
        <w:rPr>
          <w:rFonts w:hint="eastAsia" w:ascii="宋体" w:hAnsi="宋体" w:cs="楷体"/>
          <w:b/>
        </w:rPr>
        <w:t>8.11.3不锈钢折板</w:t>
      </w:r>
      <w:bookmarkEnd w:id="6554"/>
    </w:p>
    <w:p>
      <w:pPr>
        <w:keepNext/>
        <w:adjustRightInd w:val="0"/>
        <w:snapToGrid w:val="0"/>
        <w:spacing w:before="203" w:beforeLines="50" w:after="203" w:afterLines="50"/>
        <w:outlineLvl w:val="3"/>
        <w:rPr>
          <w:rFonts w:ascii="宋体" w:hAnsi="宋体" w:cs="楷体"/>
        </w:rPr>
      </w:pPr>
      <w:r>
        <w:rPr>
          <w:rFonts w:hint="eastAsia" w:ascii="宋体" w:hAnsi="宋体" w:cs="楷体"/>
          <w:b/>
        </w:rPr>
        <w:t>8.11</w:t>
      </w:r>
      <w:r>
        <w:rPr>
          <w:rFonts w:ascii="宋体" w:hAnsi="宋体" w:cs="楷体"/>
          <w:b/>
        </w:rPr>
        <w:t>.</w:t>
      </w:r>
      <w:r>
        <w:rPr>
          <w:rFonts w:hint="eastAsia" w:ascii="宋体" w:hAnsi="宋体" w:cs="楷体"/>
          <w:b/>
        </w:rPr>
        <w:t>3.1构造和材质</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组成折板箱体的全部材料均为不锈钢</w:t>
      </w:r>
      <w:r>
        <w:rPr>
          <w:rFonts w:ascii="宋体" w:hAnsi="宋体" w:cs="楷体"/>
        </w:rPr>
        <w:t>304</w:t>
      </w:r>
      <w:r>
        <w:rPr>
          <w:rFonts w:hint="eastAsia" w:ascii="宋体" w:hAnsi="宋体" w:cs="楷体"/>
        </w:rPr>
        <w:t>，该不锈钢材料具有耐腐蚀性强、强度高、刚性好、加工焊接性能好，使用安全卫生，对水体无污染等优点。</w:t>
      </w:r>
    </w:p>
    <w:p>
      <w:pPr>
        <w:keepNext/>
        <w:adjustRightInd w:val="0"/>
        <w:snapToGrid w:val="0"/>
        <w:spacing w:before="203" w:beforeLines="50" w:after="203" w:afterLines="50"/>
        <w:outlineLvl w:val="0"/>
        <w:rPr>
          <w:rFonts w:ascii="宋体" w:hAnsi="宋体" w:cs="楷体"/>
          <w:b/>
        </w:rPr>
      </w:pPr>
      <w:bookmarkStart w:id="6555" w:name="_Toc106050428"/>
      <w:bookmarkStart w:id="6556" w:name="_Toc106883671"/>
      <w:r>
        <w:rPr>
          <w:rFonts w:hint="eastAsia" w:ascii="宋体" w:hAnsi="宋体" w:cs="楷体"/>
          <w:b/>
        </w:rPr>
        <w:t>8.11</w:t>
      </w:r>
      <w:r>
        <w:rPr>
          <w:rFonts w:ascii="宋体" w:hAnsi="宋体" w:cs="楷体"/>
          <w:b/>
        </w:rPr>
        <w:t>.</w:t>
      </w:r>
      <w:r>
        <w:rPr>
          <w:rFonts w:hint="eastAsia" w:ascii="宋体" w:hAnsi="宋体" w:cs="楷体"/>
          <w:b/>
        </w:rPr>
        <w:t>3.</w:t>
      </w:r>
      <w:r>
        <w:rPr>
          <w:rFonts w:ascii="宋体" w:hAnsi="宋体" w:cs="楷体"/>
          <w:b/>
        </w:rPr>
        <w:t>2</w:t>
      </w:r>
      <w:r>
        <w:rPr>
          <w:rFonts w:hint="eastAsia" w:ascii="宋体" w:hAnsi="宋体" w:cs="楷体"/>
          <w:b/>
        </w:rPr>
        <w:t>技术要求</w:t>
      </w:r>
      <w:bookmarkEnd w:id="6555"/>
      <w:bookmarkEnd w:id="6556"/>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介质温度</w:t>
      </w:r>
      <w:r>
        <w:rPr>
          <w:rFonts w:ascii="宋体" w:hAnsi="宋体" w:cs="楷体"/>
        </w:rPr>
        <w:t>(</w:t>
      </w:r>
      <w:r>
        <w:rPr>
          <w:rFonts w:hint="eastAsia" w:ascii="宋体" w:hAnsi="宋体" w:cs="楷体"/>
        </w:rPr>
        <w:t>℃</w:t>
      </w:r>
      <w:r>
        <w:rPr>
          <w:rFonts w:ascii="宋体" w:hAnsi="宋体" w:cs="楷体"/>
        </w:rPr>
        <w:t>)</w:t>
      </w:r>
      <w:r>
        <w:rPr>
          <w:rFonts w:hint="eastAsia" w:ascii="宋体" w:hAnsi="宋体" w:cs="楷体"/>
        </w:rPr>
        <w:t>：</w:t>
      </w:r>
      <w:r>
        <w:rPr>
          <w:rFonts w:ascii="宋体" w:hAnsi="宋体" w:cs="楷体"/>
        </w:rPr>
        <w:t>0-40</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适用介质：水</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执行标准：</w:t>
      </w:r>
      <w:r>
        <w:rPr>
          <w:rFonts w:ascii="宋体" w:hAnsi="宋体" w:cs="楷体"/>
        </w:rPr>
        <w:t>GB</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★外观：单一板材一次折弯成型，表面光滑平整，不得有裂纹</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★规格：按设计图纸要求的尺寸</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★折板厚度：</w:t>
      </w:r>
      <w:r>
        <w:rPr>
          <w:rFonts w:ascii="宋体" w:hAnsi="宋体" w:cs="楷体"/>
        </w:rPr>
        <w:t>3.0±0.08mm</w:t>
      </w:r>
      <w:r>
        <w:rPr>
          <w:rFonts w:hint="eastAsia" w:ascii="宋体" w:hAnsi="宋体" w:cs="楷体"/>
        </w:rPr>
        <w:t>（厚度满足工作强度要求）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★外形尺寸公差：</w:t>
      </w:r>
      <w:r>
        <w:rPr>
          <w:rFonts w:ascii="宋体" w:hAnsi="宋体" w:cs="楷体"/>
        </w:rPr>
        <w:tab/>
      </w:r>
      <w:r>
        <w:rPr>
          <w:rFonts w:ascii="宋体" w:hAnsi="宋体" w:cs="楷体"/>
        </w:rPr>
        <w:t>±4mm</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★折板间距公差：</w:t>
      </w:r>
      <w:r>
        <w:rPr>
          <w:rFonts w:ascii="宋体" w:hAnsi="宋体" w:cs="楷体"/>
        </w:rPr>
        <w:tab/>
      </w:r>
      <w:r>
        <w:rPr>
          <w:rFonts w:ascii="宋体" w:hAnsi="宋体" w:cs="楷体"/>
        </w:rPr>
        <w:t>±2mm</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★折板角度公差：</w:t>
      </w:r>
      <w:r>
        <w:rPr>
          <w:rFonts w:ascii="宋体" w:hAnsi="宋体" w:cs="楷体"/>
        </w:rPr>
        <w:tab/>
      </w:r>
      <w:r>
        <w:rPr>
          <w:rFonts w:ascii="宋体" w:hAnsi="宋体" w:cs="楷体"/>
        </w:rPr>
        <w:t>±2°</w:t>
      </w:r>
    </w:p>
    <w:p>
      <w:pPr>
        <w:keepNext/>
        <w:adjustRightInd w:val="0"/>
        <w:snapToGrid w:val="0"/>
        <w:spacing w:before="203" w:beforeLines="50" w:after="203" w:afterLines="50"/>
        <w:outlineLvl w:val="0"/>
        <w:rPr>
          <w:rFonts w:ascii="宋体" w:hAnsi="宋体" w:cs="楷体"/>
          <w:b/>
        </w:rPr>
      </w:pPr>
      <w:bookmarkStart w:id="6557" w:name="_Toc106050429"/>
      <w:bookmarkStart w:id="6558" w:name="_Toc106883672"/>
      <w:r>
        <w:rPr>
          <w:rFonts w:hint="eastAsia" w:ascii="宋体" w:hAnsi="宋体" w:cs="楷体"/>
          <w:b/>
        </w:rPr>
        <w:t>8.11</w:t>
      </w:r>
      <w:r>
        <w:rPr>
          <w:rFonts w:ascii="宋体" w:hAnsi="宋体" w:cs="楷体"/>
          <w:b/>
        </w:rPr>
        <w:t>.</w:t>
      </w:r>
      <w:r>
        <w:rPr>
          <w:rFonts w:hint="eastAsia" w:ascii="宋体" w:hAnsi="宋体" w:cs="楷体"/>
          <w:b/>
        </w:rPr>
        <w:t>3.3制作要求</w:t>
      </w:r>
      <w:bookmarkEnd w:id="6557"/>
      <w:bookmarkEnd w:id="6558"/>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按图纸要求制作折板和折板边框。</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折板箱组装：将不同规格的折板与之对应的箱体框架组装焊接必须牢固，焊接采用自动氩弧焊接，不得有虚焊、脱焊、变形等缺陷，焊缝平整。折板制作尺寸误差应小于</w:t>
      </w:r>
      <w:r>
        <w:rPr>
          <w:rFonts w:ascii="宋体" w:hAnsi="宋体" w:cs="楷体"/>
        </w:rPr>
        <w:t>2mm</w:t>
      </w:r>
      <w:r>
        <w:rPr>
          <w:rFonts w:hint="eastAsia" w:ascii="宋体" w:hAnsi="宋体" w:cs="楷体"/>
        </w:rPr>
        <w:t>，安装尺寸误差应小于</w:t>
      </w:r>
      <w:r>
        <w:rPr>
          <w:rFonts w:ascii="宋体" w:hAnsi="宋体" w:cs="楷体"/>
        </w:rPr>
        <w:t>3mm</w:t>
      </w:r>
      <w:r>
        <w:rPr>
          <w:rFonts w:hint="eastAsia" w:ascii="宋体" w:hAnsi="宋体" w:cs="楷体"/>
        </w:rPr>
        <w:t>。折板波峰与波峰，波谷与波谷应处于同一平面上，不允许有拱起翘曲现象。</w:t>
      </w:r>
    </w:p>
    <w:p>
      <w:pPr>
        <w:keepNext/>
        <w:adjustRightInd w:val="0"/>
        <w:snapToGrid w:val="0"/>
        <w:spacing w:before="203" w:beforeLines="50" w:after="203" w:afterLines="50"/>
        <w:outlineLvl w:val="1"/>
        <w:rPr>
          <w:rFonts w:ascii="宋体" w:hAnsi="宋体" w:cs="楷体"/>
          <w:b/>
        </w:rPr>
      </w:pPr>
      <w:bookmarkStart w:id="6559" w:name="_Toc106883673"/>
      <w:r>
        <w:rPr>
          <w:rFonts w:hint="eastAsia" w:ascii="宋体" w:hAnsi="宋体" w:cs="楷体"/>
          <w:b/>
        </w:rPr>
        <w:t>8.12不锈钢集水槽</w:t>
      </w:r>
      <w:bookmarkEnd w:id="6559"/>
    </w:p>
    <w:p>
      <w:pPr>
        <w:keepNext/>
        <w:adjustRightInd w:val="0"/>
        <w:snapToGrid w:val="0"/>
        <w:spacing w:before="203" w:beforeLines="50" w:after="203" w:afterLines="50"/>
        <w:outlineLvl w:val="2"/>
        <w:rPr>
          <w:rFonts w:ascii="宋体" w:hAnsi="宋体" w:cs="楷体"/>
          <w:b/>
        </w:rPr>
      </w:pPr>
      <w:bookmarkStart w:id="6560" w:name="_Toc106883674"/>
      <w:r>
        <w:rPr>
          <w:rFonts w:hint="eastAsia" w:ascii="宋体" w:hAnsi="宋体" w:cs="楷体"/>
          <w:b/>
        </w:rPr>
        <w:t>8.12.1概述</w:t>
      </w:r>
      <w:bookmarkEnd w:id="6560"/>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本工程设机械混合池1座，竖向折板絮凝池1座，平流沉淀池1座，叠合清水池1座，内设不锈钢集水槽，安装位置详见供货范围及图纸，。</w:t>
      </w:r>
    </w:p>
    <w:p>
      <w:pPr>
        <w:keepNext/>
        <w:adjustRightInd w:val="0"/>
        <w:snapToGrid w:val="0"/>
        <w:spacing w:before="203" w:beforeLines="50" w:after="203" w:afterLines="50"/>
        <w:outlineLvl w:val="0"/>
        <w:rPr>
          <w:rFonts w:ascii="宋体" w:hAnsi="宋体" w:cs="楷体"/>
          <w:b/>
        </w:rPr>
      </w:pPr>
      <w:bookmarkStart w:id="6561" w:name="_Toc106883675"/>
      <w:r>
        <w:rPr>
          <w:rFonts w:hint="eastAsia" w:ascii="宋体" w:hAnsi="宋体" w:cs="楷体"/>
          <w:b/>
        </w:rPr>
        <w:t>8.12.2设备清单</w:t>
      </w:r>
      <w:bookmarkEnd w:id="6561"/>
    </w:p>
    <w:p>
      <w:pPr>
        <w:keepNext/>
        <w:adjustRightInd w:val="0"/>
        <w:snapToGrid w:val="0"/>
        <w:jc w:val="center"/>
        <w:rPr>
          <w:rFonts w:ascii="宋体" w:hAnsi="宋体" w:cs="楷体"/>
          <w:b/>
        </w:rPr>
      </w:pPr>
      <w:r>
        <w:rPr>
          <w:rFonts w:hint="eastAsia" w:ascii="宋体" w:hAnsi="宋体" w:cs="楷体"/>
          <w:b/>
        </w:rPr>
        <w:t>设备清单及技术参数表</w:t>
      </w:r>
    </w:p>
    <w:tbl>
      <w:tblPr>
        <w:tblStyle w:val="77"/>
        <w:tblW w:w="5000" w:type="pct"/>
        <w:tblInd w:w="0" w:type="dxa"/>
        <w:tblLayout w:type="fixed"/>
        <w:tblCellMar>
          <w:top w:w="0" w:type="dxa"/>
          <w:left w:w="108" w:type="dxa"/>
          <w:bottom w:w="0" w:type="dxa"/>
          <w:right w:w="108" w:type="dxa"/>
        </w:tblCellMar>
      </w:tblPr>
      <w:tblGrid>
        <w:gridCol w:w="524"/>
        <w:gridCol w:w="1863"/>
        <w:gridCol w:w="2164"/>
        <w:gridCol w:w="984"/>
        <w:gridCol w:w="841"/>
        <w:gridCol w:w="741"/>
        <w:gridCol w:w="1603"/>
      </w:tblGrid>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106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56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42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91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ascii="宋体" w:hAnsi="宋体" w:cs="楷体"/>
                <w:kern w:val="0"/>
              </w:rPr>
              <w:t>1</w:t>
            </w:r>
          </w:p>
        </w:tc>
        <w:tc>
          <w:tcPr>
            <w:tcW w:w="106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不锈钢集水槽</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BXHXL=500X800X18000</w:t>
            </w:r>
          </w:p>
        </w:tc>
        <w:tc>
          <w:tcPr>
            <w:tcW w:w="56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SS304L不锈钢</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条</w:t>
            </w:r>
          </w:p>
        </w:tc>
        <w:tc>
          <w:tcPr>
            <w:tcW w:w="42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91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见详图，厚度δ=4mm</w:t>
            </w:r>
          </w:p>
        </w:tc>
      </w:tr>
      <w:tr>
        <w:tblPrEx>
          <w:tblCellMar>
            <w:top w:w="0" w:type="dxa"/>
            <w:left w:w="108" w:type="dxa"/>
            <w:bottom w:w="0" w:type="dxa"/>
            <w:right w:w="108" w:type="dxa"/>
          </w:tblCellMar>
        </w:tblPrEx>
        <w:trPr>
          <w:trHeight w:val="227" w:hRule="atLeast"/>
        </w:trPr>
        <w:tc>
          <w:tcPr>
            <w:tcW w:w="30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ascii="宋体" w:hAnsi="宋体" w:cs="楷体"/>
                <w:kern w:val="0"/>
              </w:rPr>
              <w:t>2</w:t>
            </w:r>
          </w:p>
        </w:tc>
        <w:tc>
          <w:tcPr>
            <w:tcW w:w="106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不锈钢集水槽</w:t>
            </w:r>
          </w:p>
        </w:tc>
        <w:tc>
          <w:tcPr>
            <w:tcW w:w="124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BXHXL=250X800X18000</w:t>
            </w:r>
          </w:p>
        </w:tc>
        <w:tc>
          <w:tcPr>
            <w:tcW w:w="56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SS304L不锈钢</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条</w:t>
            </w:r>
          </w:p>
        </w:tc>
        <w:tc>
          <w:tcPr>
            <w:tcW w:w="42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4</w:t>
            </w:r>
          </w:p>
        </w:tc>
        <w:tc>
          <w:tcPr>
            <w:tcW w:w="91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见详图，厚度δ=4mm</w:t>
            </w:r>
          </w:p>
        </w:tc>
      </w:tr>
    </w:tbl>
    <w:p>
      <w:pPr>
        <w:adjustRightInd w:val="0"/>
        <w:snapToGrid w:val="0"/>
        <w:spacing w:after="203" w:afterLines="50"/>
        <w:ind w:firstLine="500" w:firstLineChars="200"/>
        <w:rPr>
          <w:rFonts w:ascii="宋体" w:hAnsi="宋体" w:cs="楷体"/>
          <w:i/>
          <w:iCs/>
        </w:rPr>
      </w:pPr>
      <w:r>
        <w:rPr>
          <w:rFonts w:hint="eastAsia" w:ascii="宋体" w:hAnsi="宋体" w:cs="楷体"/>
          <w:i/>
          <w:iCs/>
        </w:rPr>
        <w:t>注：本“采购设备清单”不得被认为是详尽无遗的，无论规定与否，承包商应提供所有业主未提及的但系统必要的元件、器件、附件、配套设备和相应材料，并包含在合同文件中。</w:t>
      </w:r>
    </w:p>
    <w:p>
      <w:pPr>
        <w:keepNext/>
        <w:adjustRightInd w:val="0"/>
        <w:snapToGrid w:val="0"/>
        <w:spacing w:before="203" w:beforeLines="50" w:after="203" w:afterLines="50"/>
        <w:outlineLvl w:val="2"/>
        <w:rPr>
          <w:rFonts w:ascii="宋体" w:hAnsi="宋体" w:cs="楷体"/>
          <w:b/>
        </w:rPr>
      </w:pPr>
      <w:bookmarkStart w:id="6562" w:name="_Toc106883676"/>
      <w:r>
        <w:rPr>
          <w:rFonts w:hint="eastAsia" w:ascii="宋体" w:hAnsi="宋体" w:cs="楷体"/>
          <w:b/>
        </w:rPr>
        <w:t>8.12.3集水槽</w:t>
      </w:r>
      <w:bookmarkEnd w:id="6562"/>
    </w:p>
    <w:p>
      <w:pPr>
        <w:keepNext/>
        <w:adjustRightInd w:val="0"/>
        <w:snapToGrid w:val="0"/>
        <w:spacing w:before="203" w:beforeLines="50" w:after="203" w:afterLines="50"/>
        <w:outlineLvl w:val="3"/>
        <w:rPr>
          <w:rFonts w:ascii="宋体" w:hAnsi="宋体" w:cs="楷体"/>
        </w:rPr>
      </w:pPr>
      <w:r>
        <w:rPr>
          <w:rFonts w:hint="eastAsia" w:ascii="宋体" w:hAnsi="宋体" w:cs="楷体"/>
          <w:b/>
        </w:rPr>
        <w:t>8.12</w:t>
      </w:r>
      <w:r>
        <w:rPr>
          <w:rFonts w:ascii="宋体" w:hAnsi="宋体" w:cs="楷体"/>
          <w:b/>
        </w:rPr>
        <w:t>.</w:t>
      </w:r>
      <w:r>
        <w:rPr>
          <w:rFonts w:hint="eastAsia" w:ascii="宋体" w:hAnsi="宋体" w:cs="楷体"/>
          <w:b/>
        </w:rPr>
        <w:t>3.1</w:t>
      </w:r>
      <w:r>
        <w:rPr>
          <w:rFonts w:hint="eastAsia" w:ascii="宋体" w:hAnsi="宋体" w:cs="楷体"/>
        </w:rPr>
        <w:t>性能要求：</w:t>
      </w:r>
    </w:p>
    <w:p>
      <w:pPr>
        <w:adjustRightInd w:val="0"/>
        <w:spacing w:before="203" w:beforeLines="50" w:after="203" w:afterLines="50"/>
        <w:ind w:firstLine="420"/>
        <w:rPr>
          <w:rFonts w:ascii="宋体" w:hAnsi="宋体" w:cs="楷体"/>
        </w:rPr>
      </w:pPr>
      <w:r>
        <w:rPr>
          <w:rFonts w:hint="eastAsia" w:ascii="宋体" w:hAnsi="宋体" w:cs="楷体"/>
        </w:rPr>
        <w:t>（1）</w:t>
      </w:r>
      <w:r>
        <w:rPr>
          <w:rFonts w:hint="eastAsia" w:ascii="宋体" w:hAnsi="宋体" w:cs="楷体"/>
        </w:rPr>
        <w:tab/>
      </w:r>
      <w:r>
        <w:rPr>
          <w:rFonts w:hint="eastAsia" w:ascii="宋体" w:hAnsi="宋体" w:cs="楷体"/>
        </w:rPr>
        <w:t>要求集水槽表面光滑、美观、色彩统一。介质温度为3～30℃。</w:t>
      </w:r>
    </w:p>
    <w:p>
      <w:pPr>
        <w:adjustRightInd w:val="0"/>
        <w:spacing w:before="203" w:beforeLines="50" w:after="203" w:afterLines="50"/>
        <w:ind w:firstLine="420"/>
        <w:rPr>
          <w:rFonts w:ascii="宋体" w:hAnsi="宋体" w:cs="楷体"/>
        </w:rPr>
      </w:pPr>
      <w:r>
        <w:rPr>
          <w:rFonts w:hint="eastAsia" w:ascii="宋体" w:hAnsi="宋体" w:cs="楷体"/>
        </w:rPr>
        <w:t>（2）</w:t>
      </w:r>
      <w:r>
        <w:rPr>
          <w:rFonts w:hint="eastAsia" w:ascii="宋体" w:hAnsi="宋体" w:cs="楷体"/>
        </w:rPr>
        <w:tab/>
      </w:r>
      <w:r>
        <w:rPr>
          <w:rFonts w:hint="eastAsia" w:ascii="宋体" w:hAnsi="宋体" w:cs="楷体"/>
        </w:rPr>
        <w:t>集水槽刚性：在自重情况下，变形量应小于0.02%，在均布荷载（集水槽装满水）情况下，变形量应小于0.04%。</w:t>
      </w:r>
    </w:p>
    <w:p>
      <w:pPr>
        <w:adjustRightInd w:val="0"/>
        <w:spacing w:before="203" w:beforeLines="50" w:after="203" w:afterLines="50"/>
        <w:ind w:firstLine="420"/>
        <w:rPr>
          <w:rFonts w:ascii="宋体" w:hAnsi="宋体" w:cs="楷体"/>
        </w:rPr>
      </w:pPr>
      <w:r>
        <w:rPr>
          <w:rFonts w:hint="eastAsia" w:ascii="宋体" w:hAnsi="宋体" w:cs="楷体"/>
        </w:rPr>
        <w:t>（3）</w:t>
      </w:r>
      <w:r>
        <w:rPr>
          <w:rFonts w:hint="eastAsia" w:ascii="宋体" w:hAnsi="宋体" w:cs="楷体"/>
        </w:rPr>
        <w:tab/>
      </w:r>
      <w:r>
        <w:rPr>
          <w:rFonts w:hint="eastAsia" w:ascii="宋体" w:hAnsi="宋体" w:cs="楷体"/>
        </w:rPr>
        <w:t>集水槽垂直度：±0.5°。</w:t>
      </w:r>
    </w:p>
    <w:p>
      <w:pPr>
        <w:adjustRightInd w:val="0"/>
        <w:spacing w:before="203" w:beforeLines="50" w:after="203" w:afterLines="50"/>
        <w:rPr>
          <w:rFonts w:ascii="宋体" w:hAnsi="宋体" w:cs="楷体"/>
        </w:rPr>
      </w:pPr>
      <w:r>
        <w:rPr>
          <w:rFonts w:hint="eastAsia" w:ascii="宋体" w:hAnsi="宋体" w:cs="楷体"/>
          <w:b/>
        </w:rPr>
        <w:t>8.12</w:t>
      </w:r>
      <w:r>
        <w:rPr>
          <w:rFonts w:ascii="宋体" w:hAnsi="宋体" w:cs="楷体"/>
          <w:b/>
        </w:rPr>
        <w:t>.</w:t>
      </w:r>
      <w:r>
        <w:rPr>
          <w:rFonts w:hint="eastAsia" w:ascii="宋体" w:hAnsi="宋体" w:cs="楷体"/>
          <w:b/>
        </w:rPr>
        <w:t>3.2</w:t>
      </w:r>
      <w:r>
        <w:rPr>
          <w:rFonts w:hint="eastAsia" w:ascii="宋体" w:hAnsi="宋体" w:cs="楷体"/>
        </w:rPr>
        <w:t>技术参数：</w:t>
      </w:r>
    </w:p>
    <w:p>
      <w:pPr>
        <w:adjustRightInd w:val="0"/>
        <w:spacing w:before="203" w:beforeLines="50" w:after="203" w:afterLines="50"/>
        <w:ind w:firstLine="420"/>
        <w:rPr>
          <w:rFonts w:ascii="宋体" w:hAnsi="宋体" w:cs="楷体"/>
        </w:rPr>
      </w:pPr>
      <w:r>
        <w:rPr>
          <w:rFonts w:hint="eastAsia" w:ascii="宋体" w:hAnsi="宋体" w:cs="楷体"/>
        </w:rPr>
        <w:t>（1）</w:t>
      </w:r>
      <w:r>
        <w:rPr>
          <w:rFonts w:hint="eastAsia" w:ascii="宋体" w:hAnsi="宋体" w:cs="楷体"/>
        </w:rPr>
        <w:tab/>
      </w:r>
      <w:r>
        <w:rPr>
          <w:rFonts w:hint="eastAsia" w:ascii="宋体" w:hAnsi="宋体" w:cs="楷体"/>
        </w:rPr>
        <w:t>集水槽尺寸：B×H=</w:t>
      </w:r>
      <w:r>
        <w:rPr>
          <w:rFonts w:ascii="宋体" w:hAnsi="宋体" w:cs="楷体"/>
        </w:rPr>
        <w:t>500X800</w:t>
      </w:r>
      <w:r>
        <w:rPr>
          <w:rFonts w:hint="eastAsia" w:ascii="宋体" w:hAnsi="宋体" w:cs="楷体"/>
        </w:rPr>
        <w:t>（包括三角堰高度）mm。</w:t>
      </w:r>
    </w:p>
    <w:p>
      <w:pPr>
        <w:adjustRightInd w:val="0"/>
        <w:spacing w:before="203" w:beforeLines="50" w:after="203" w:afterLines="50"/>
        <w:ind w:firstLine="420"/>
        <w:rPr>
          <w:rFonts w:ascii="宋体" w:hAnsi="宋体" w:cs="楷体"/>
        </w:rPr>
      </w:pPr>
      <w:r>
        <w:rPr>
          <w:rFonts w:hint="eastAsia" w:ascii="宋体" w:hAnsi="宋体" w:cs="楷体"/>
        </w:rPr>
        <w:t>（2）</w:t>
      </w:r>
      <w:r>
        <w:rPr>
          <w:rFonts w:hint="eastAsia" w:ascii="宋体" w:hAnsi="宋体" w:cs="楷体"/>
        </w:rPr>
        <w:tab/>
      </w:r>
      <w:r>
        <w:rPr>
          <w:rFonts w:hint="eastAsia" w:ascii="宋体" w:hAnsi="宋体" w:cs="楷体"/>
        </w:rPr>
        <w:t>详细布置参见相关设计图纸。</w:t>
      </w:r>
    </w:p>
    <w:p>
      <w:pPr>
        <w:adjustRightInd w:val="0"/>
        <w:spacing w:before="203" w:beforeLines="50" w:after="203" w:afterLines="50"/>
        <w:ind w:firstLine="420"/>
        <w:rPr>
          <w:rFonts w:ascii="宋体" w:hAnsi="宋体" w:cs="楷体"/>
        </w:rPr>
      </w:pPr>
      <w:r>
        <w:rPr>
          <w:rFonts w:hint="eastAsia" w:ascii="宋体" w:hAnsi="宋体" w:cs="楷体"/>
        </w:rPr>
        <w:t>（3）</w:t>
      </w:r>
      <w:r>
        <w:rPr>
          <w:rFonts w:hint="eastAsia" w:ascii="宋体" w:hAnsi="宋体" w:cs="楷体"/>
        </w:rPr>
        <w:tab/>
      </w:r>
      <w:r>
        <w:rPr>
          <w:rFonts w:hint="eastAsia" w:ascii="宋体" w:hAnsi="宋体" w:cs="楷体"/>
        </w:rPr>
        <w:t>承包商供货范围除不锈钢集水槽本身外，还包括集水槽内部的结构支撑部分，如加强钢筋；安装不锈钢集水槽所需的全部不锈钢螺栓、螺母等均由供货商配套提供。</w:t>
      </w:r>
    </w:p>
    <w:p>
      <w:pPr>
        <w:adjustRightInd w:val="0"/>
        <w:spacing w:before="203" w:beforeLines="50" w:after="203" w:afterLines="50"/>
        <w:ind w:firstLine="420"/>
        <w:rPr>
          <w:rFonts w:ascii="宋体" w:hAnsi="宋体" w:cs="楷体"/>
        </w:rPr>
      </w:pPr>
      <w:r>
        <w:rPr>
          <w:rFonts w:hint="eastAsia" w:ascii="宋体" w:hAnsi="宋体" w:cs="楷体"/>
        </w:rPr>
        <w:t>（4）</w:t>
      </w:r>
      <w:r>
        <w:rPr>
          <w:rFonts w:hint="eastAsia" w:ascii="宋体" w:hAnsi="宋体" w:cs="楷体"/>
        </w:rPr>
        <w:tab/>
      </w:r>
      <w:r>
        <w:rPr>
          <w:rFonts w:hint="eastAsia" w:ascii="宋体" w:hAnsi="宋体" w:cs="楷体"/>
        </w:rPr>
        <w:t>集水槽厚度：4mm，不允许负差。</w:t>
      </w:r>
    </w:p>
    <w:p>
      <w:pPr>
        <w:adjustRightInd w:val="0"/>
        <w:spacing w:before="203" w:beforeLines="50" w:after="203" w:afterLines="50"/>
        <w:ind w:firstLine="420"/>
        <w:rPr>
          <w:rFonts w:ascii="宋体" w:hAnsi="宋体" w:cs="楷体"/>
        </w:rPr>
      </w:pPr>
      <w:r>
        <w:rPr>
          <w:rFonts w:hint="eastAsia" w:ascii="宋体" w:hAnsi="宋体" w:cs="楷体"/>
        </w:rPr>
        <w:t>（5）</w:t>
      </w:r>
      <w:r>
        <w:rPr>
          <w:rFonts w:hint="eastAsia" w:ascii="宋体" w:hAnsi="宋体" w:cs="楷体"/>
        </w:rPr>
        <w:tab/>
      </w:r>
      <w:r>
        <w:rPr>
          <w:rFonts w:hint="eastAsia" w:ascii="宋体" w:hAnsi="宋体" w:cs="楷体"/>
        </w:rPr>
        <w:t>集水槽材质为SUS304不锈钢，且应符合卫生级要求。</w:t>
      </w:r>
    </w:p>
    <w:p>
      <w:pPr>
        <w:adjustRightInd w:val="0"/>
        <w:spacing w:before="203" w:beforeLines="50" w:after="203" w:afterLines="50"/>
        <w:ind w:firstLine="420"/>
        <w:rPr>
          <w:rFonts w:ascii="宋体" w:hAnsi="宋体" w:cs="楷体"/>
        </w:rPr>
      </w:pPr>
      <w:r>
        <w:rPr>
          <w:rFonts w:hint="eastAsia" w:ascii="宋体" w:hAnsi="宋体" w:cs="楷体"/>
        </w:rPr>
        <w:t>（6）</w:t>
      </w:r>
      <w:r>
        <w:rPr>
          <w:rFonts w:hint="eastAsia" w:ascii="宋体" w:hAnsi="宋体" w:cs="楷体"/>
        </w:rPr>
        <w:tab/>
      </w:r>
      <w:r>
        <w:rPr>
          <w:rFonts w:hint="eastAsia" w:ascii="宋体" w:hAnsi="宋体" w:cs="楷体"/>
        </w:rPr>
        <w:t>槽体与出水口之间的膨胀螺栓规格为M16×100，材质为SUS304。</w:t>
      </w:r>
    </w:p>
    <w:p>
      <w:pPr>
        <w:adjustRightInd w:val="0"/>
        <w:spacing w:before="203" w:beforeLines="50" w:after="203" w:afterLines="50"/>
        <w:ind w:firstLine="420"/>
        <w:rPr>
          <w:rFonts w:ascii="宋体" w:hAnsi="宋体" w:cs="楷体"/>
        </w:rPr>
      </w:pPr>
      <w:r>
        <w:rPr>
          <w:rFonts w:hint="eastAsia" w:ascii="宋体" w:hAnsi="宋体" w:cs="楷体"/>
        </w:rPr>
        <w:t>（7）</w:t>
      </w:r>
      <w:r>
        <w:rPr>
          <w:rFonts w:hint="eastAsia" w:ascii="宋体" w:hAnsi="宋体" w:cs="楷体"/>
        </w:rPr>
        <w:tab/>
      </w:r>
      <w:r>
        <w:rPr>
          <w:rFonts w:hint="eastAsia" w:ascii="宋体" w:hAnsi="宋体" w:cs="楷体"/>
        </w:rPr>
        <w:t>槽体与墙体之间的同样采用膨胀螺栓规格为M16×100，材质为SUS304。</w:t>
      </w:r>
    </w:p>
    <w:p>
      <w:pPr>
        <w:adjustRightInd w:val="0"/>
        <w:spacing w:before="203" w:beforeLines="50" w:after="203" w:afterLines="50"/>
        <w:ind w:firstLine="420"/>
        <w:rPr>
          <w:rFonts w:ascii="宋体" w:hAnsi="宋体" w:cs="楷体"/>
        </w:rPr>
      </w:pPr>
      <w:r>
        <w:rPr>
          <w:rFonts w:hint="eastAsia" w:ascii="宋体" w:hAnsi="宋体" w:cs="楷体"/>
        </w:rPr>
        <w:t>（8）</w:t>
      </w:r>
      <w:r>
        <w:rPr>
          <w:rFonts w:hint="eastAsia" w:ascii="宋体" w:hAnsi="宋体" w:cs="楷体"/>
        </w:rPr>
        <w:tab/>
      </w:r>
      <w:r>
        <w:rPr>
          <w:rFonts w:hint="eastAsia" w:ascii="宋体" w:hAnsi="宋体" w:cs="楷体"/>
        </w:rPr>
        <w:t>安装集水槽时，调整集水槽水平度，使集水槽堰口上端处于同一水平线上，单槽水平误差不大于±2mm，整体系统误差不大于±3mm。</w:t>
      </w:r>
    </w:p>
    <w:p>
      <w:pPr>
        <w:keepNext/>
        <w:adjustRightInd w:val="0"/>
        <w:snapToGrid w:val="0"/>
        <w:spacing w:before="203" w:beforeLines="50" w:after="203" w:afterLines="50"/>
        <w:outlineLvl w:val="1"/>
        <w:rPr>
          <w:rFonts w:ascii="宋体" w:hAnsi="宋体" w:cs="楷体"/>
          <w:b/>
        </w:rPr>
      </w:pPr>
      <w:bookmarkStart w:id="6563" w:name="_Toc106883677"/>
      <w:r>
        <w:rPr>
          <w:rFonts w:hint="eastAsia" w:ascii="宋体" w:hAnsi="宋体" w:cs="楷体"/>
          <w:b/>
        </w:rPr>
        <w:t>8.13滤板、</w:t>
      </w:r>
      <w:r>
        <w:rPr>
          <w:rFonts w:ascii="宋体" w:hAnsi="宋体" w:cs="楷体"/>
          <w:b/>
        </w:rPr>
        <w:t>滤头</w:t>
      </w:r>
      <w:r>
        <w:rPr>
          <w:rFonts w:hint="eastAsia" w:ascii="宋体" w:hAnsi="宋体" w:cs="楷体"/>
          <w:b/>
        </w:rPr>
        <w:t>及石英砂</w:t>
      </w:r>
      <w:bookmarkEnd w:id="6551"/>
      <w:bookmarkEnd w:id="6563"/>
    </w:p>
    <w:p>
      <w:pPr>
        <w:keepNext/>
        <w:adjustRightInd w:val="0"/>
        <w:snapToGrid w:val="0"/>
        <w:spacing w:before="120" w:after="120"/>
        <w:outlineLvl w:val="2"/>
        <w:rPr>
          <w:rFonts w:ascii="宋体" w:hAnsi="宋体" w:cs="楷体"/>
          <w:b/>
        </w:rPr>
      </w:pPr>
      <w:bookmarkStart w:id="6564" w:name="_Toc343180092"/>
      <w:bookmarkStart w:id="6565" w:name="_Toc456691940"/>
      <w:bookmarkStart w:id="6566" w:name="_Toc448248730"/>
      <w:bookmarkStart w:id="6567" w:name="_Toc402136780"/>
      <w:bookmarkStart w:id="6568" w:name="_Toc318132461"/>
      <w:bookmarkStart w:id="6569" w:name="_Toc106883678"/>
      <w:bookmarkStart w:id="6570" w:name="_Toc44692632"/>
      <w:bookmarkStart w:id="6571" w:name="_Toc143151516"/>
      <w:bookmarkStart w:id="6572" w:name="_Toc86356712"/>
      <w:r>
        <w:rPr>
          <w:rFonts w:hint="eastAsia" w:ascii="宋体" w:hAnsi="宋体" w:cs="楷体"/>
          <w:b/>
        </w:rPr>
        <w:t>8.13.1概述</w:t>
      </w:r>
      <w:bookmarkEnd w:id="6564"/>
      <w:bookmarkEnd w:id="6565"/>
      <w:bookmarkEnd w:id="6566"/>
      <w:bookmarkEnd w:id="6567"/>
      <w:bookmarkEnd w:id="6568"/>
      <w:bookmarkEnd w:id="6569"/>
    </w:p>
    <w:p>
      <w:pPr>
        <w:tabs>
          <w:tab w:val="left" w:pos="420"/>
        </w:tabs>
        <w:adjustRightInd w:val="0"/>
        <w:snapToGrid w:val="0"/>
        <w:spacing w:before="120" w:after="120"/>
        <w:ind w:firstLine="500" w:firstLineChars="200"/>
        <w:rPr>
          <w:rFonts w:ascii="宋体" w:hAnsi="宋体" w:cs="楷体"/>
        </w:rPr>
      </w:pPr>
      <w:r>
        <w:rPr>
          <w:rFonts w:hint="eastAsia" w:ascii="宋体" w:hAnsi="宋体" w:cs="楷体"/>
        </w:rPr>
        <w:t>本工程设V型滤池1座，内部设有长柄滤头、</w:t>
      </w:r>
      <w:r>
        <w:rPr>
          <w:rFonts w:hint="eastAsia" w:ascii="宋体" w:hAnsi="宋体" w:cs="楷体"/>
          <w:kern w:val="0"/>
        </w:rPr>
        <w:t>均质滤料、砾石、V型槽、滤板等</w:t>
      </w:r>
      <w:r>
        <w:rPr>
          <w:rFonts w:hint="eastAsia" w:ascii="宋体" w:hAnsi="宋体" w:cs="楷体"/>
        </w:rPr>
        <w:t>，安装位置详见供货范围及图纸。</w:t>
      </w:r>
    </w:p>
    <w:p>
      <w:pPr>
        <w:keepNext/>
        <w:adjustRightInd w:val="0"/>
        <w:snapToGrid w:val="0"/>
        <w:spacing w:before="120" w:after="120"/>
        <w:outlineLvl w:val="0"/>
        <w:rPr>
          <w:rFonts w:ascii="宋体" w:hAnsi="宋体" w:cs="楷体"/>
          <w:b/>
        </w:rPr>
      </w:pPr>
      <w:bookmarkStart w:id="6573" w:name="_Toc456691941"/>
      <w:bookmarkStart w:id="6574" w:name="_Toc402136781"/>
      <w:bookmarkStart w:id="6575" w:name="_Toc448248731"/>
      <w:bookmarkStart w:id="6576" w:name="_Toc318132462"/>
      <w:bookmarkStart w:id="6577" w:name="_Toc343180093"/>
      <w:bookmarkStart w:id="6578" w:name="_Toc106883679"/>
      <w:r>
        <w:rPr>
          <w:rFonts w:hint="eastAsia" w:ascii="宋体" w:hAnsi="宋体" w:cs="楷体"/>
          <w:b/>
        </w:rPr>
        <w:t>8.13.2设备清单</w:t>
      </w:r>
      <w:bookmarkEnd w:id="6573"/>
      <w:bookmarkEnd w:id="6574"/>
      <w:bookmarkEnd w:id="6575"/>
      <w:bookmarkEnd w:id="6576"/>
      <w:bookmarkEnd w:id="6577"/>
      <w:bookmarkEnd w:id="6578"/>
    </w:p>
    <w:p>
      <w:pPr>
        <w:keepNext/>
        <w:adjustRightInd w:val="0"/>
        <w:snapToGrid w:val="0"/>
        <w:spacing w:before="50" w:after="50"/>
        <w:jc w:val="center"/>
        <w:rPr>
          <w:rFonts w:ascii="宋体" w:hAnsi="宋体" w:cs="楷体"/>
        </w:rPr>
      </w:pPr>
      <w:r>
        <w:rPr>
          <w:rFonts w:hint="eastAsia" w:ascii="宋体" w:hAnsi="宋体" w:cs="楷体"/>
        </w:rPr>
        <w:t>设备清单及技术参数表</w:t>
      </w:r>
    </w:p>
    <w:tbl>
      <w:tblPr>
        <w:tblStyle w:val="77"/>
        <w:tblW w:w="5000" w:type="pct"/>
        <w:tblInd w:w="0" w:type="dxa"/>
        <w:tblLayout w:type="fixed"/>
        <w:tblCellMar>
          <w:top w:w="0" w:type="dxa"/>
          <w:left w:w="108" w:type="dxa"/>
          <w:bottom w:w="0" w:type="dxa"/>
          <w:right w:w="108" w:type="dxa"/>
        </w:tblCellMar>
      </w:tblPr>
      <w:tblGrid>
        <w:gridCol w:w="529"/>
        <w:gridCol w:w="1371"/>
        <w:gridCol w:w="1859"/>
        <w:gridCol w:w="841"/>
        <w:gridCol w:w="576"/>
        <w:gridCol w:w="841"/>
        <w:gridCol w:w="1135"/>
        <w:gridCol w:w="1568"/>
      </w:tblGrid>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bookmarkStart w:id="6579" w:name="_Toc318132463"/>
            <w:r>
              <w:rPr>
                <w:rFonts w:hint="eastAsia" w:ascii="宋体" w:hAnsi="宋体" w:cs="楷体"/>
                <w:kern w:val="0"/>
              </w:rPr>
              <w:t>序号</w:t>
            </w:r>
          </w:p>
        </w:tc>
        <w:tc>
          <w:tcPr>
            <w:tcW w:w="78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06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3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65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安装位置</w:t>
            </w:r>
          </w:p>
        </w:tc>
        <w:tc>
          <w:tcPr>
            <w:tcW w:w="89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1</w:t>
            </w:r>
          </w:p>
        </w:tc>
        <w:tc>
          <w:tcPr>
            <w:tcW w:w="78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长柄滤头</w:t>
            </w:r>
          </w:p>
        </w:tc>
        <w:tc>
          <w:tcPr>
            <w:tcW w:w="106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A&gt;2.5cm</w:t>
            </w:r>
            <w:r>
              <w:rPr>
                <w:rFonts w:hint="eastAsia" w:ascii="宋体" w:hAnsi="宋体" w:cs="楷体"/>
                <w:kern w:val="0"/>
                <w:vertAlign w:val="superscript"/>
              </w:rPr>
              <w:t>2</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成品</w:t>
            </w:r>
          </w:p>
        </w:tc>
        <w:tc>
          <w:tcPr>
            <w:tcW w:w="3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只</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4480</w:t>
            </w:r>
          </w:p>
        </w:tc>
        <w:tc>
          <w:tcPr>
            <w:tcW w:w="65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kern w:val="0"/>
              </w:rPr>
            </w:pPr>
            <w:r>
              <w:rPr>
                <w:rFonts w:hint="eastAsia" w:ascii="宋体" w:hAnsi="宋体" w:cs="楷体"/>
                <w:kern w:val="0"/>
              </w:rPr>
              <w:t>V型滤池</w:t>
            </w:r>
          </w:p>
        </w:tc>
        <w:tc>
          <w:tcPr>
            <w:tcW w:w="89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Pn=0.6MPa</w:t>
            </w:r>
          </w:p>
        </w:tc>
      </w:tr>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2</w:t>
            </w:r>
          </w:p>
        </w:tc>
        <w:tc>
          <w:tcPr>
            <w:tcW w:w="78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均质滤料</w:t>
            </w:r>
          </w:p>
        </w:tc>
        <w:tc>
          <w:tcPr>
            <w:tcW w:w="106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d=0.95～1.35mm</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c>
          <w:tcPr>
            <w:tcW w:w="3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m</w:t>
            </w:r>
            <w:r>
              <w:rPr>
                <w:rFonts w:hint="eastAsia" w:ascii="宋体" w:hAnsi="宋体" w:cs="楷体"/>
                <w:kern w:val="0"/>
                <w:vertAlign w:val="superscript"/>
              </w:rPr>
              <w:t>3</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143.2</w:t>
            </w:r>
          </w:p>
        </w:tc>
        <w:tc>
          <w:tcPr>
            <w:tcW w:w="65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kern w:val="0"/>
              </w:rPr>
            </w:pPr>
            <w:r>
              <w:rPr>
                <w:rFonts w:hint="eastAsia" w:ascii="宋体" w:hAnsi="宋体" w:cs="楷体"/>
                <w:kern w:val="0"/>
              </w:rPr>
              <w:t>V型滤池</w:t>
            </w:r>
          </w:p>
        </w:tc>
        <w:tc>
          <w:tcPr>
            <w:tcW w:w="89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Pn=0.6MPa</w:t>
            </w:r>
          </w:p>
        </w:tc>
      </w:tr>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3</w:t>
            </w:r>
          </w:p>
        </w:tc>
        <w:tc>
          <w:tcPr>
            <w:tcW w:w="78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砾  石</w:t>
            </w:r>
          </w:p>
        </w:tc>
        <w:tc>
          <w:tcPr>
            <w:tcW w:w="106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2～4mm</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c>
          <w:tcPr>
            <w:tcW w:w="3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m</w:t>
            </w:r>
            <w:r>
              <w:rPr>
                <w:rFonts w:hint="eastAsia" w:ascii="宋体" w:hAnsi="宋体" w:cs="楷体"/>
                <w:kern w:val="0"/>
                <w:vertAlign w:val="superscript"/>
              </w:rPr>
              <w:t>3</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9.6</w:t>
            </w:r>
          </w:p>
        </w:tc>
        <w:tc>
          <w:tcPr>
            <w:tcW w:w="65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kern w:val="0"/>
              </w:rPr>
            </w:pPr>
            <w:r>
              <w:rPr>
                <w:rFonts w:hint="eastAsia" w:ascii="宋体" w:hAnsi="宋体" w:cs="楷体"/>
                <w:kern w:val="0"/>
              </w:rPr>
              <w:t>V型滤池</w:t>
            </w:r>
          </w:p>
        </w:tc>
        <w:tc>
          <w:tcPr>
            <w:tcW w:w="89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Pn=0.6MPa</w:t>
            </w:r>
          </w:p>
        </w:tc>
      </w:tr>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4</w:t>
            </w:r>
          </w:p>
        </w:tc>
        <w:tc>
          <w:tcPr>
            <w:tcW w:w="78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V型槽</w:t>
            </w:r>
          </w:p>
        </w:tc>
        <w:tc>
          <w:tcPr>
            <w:tcW w:w="106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L=5600mm</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钢</w:t>
            </w:r>
          </w:p>
        </w:tc>
        <w:tc>
          <w:tcPr>
            <w:tcW w:w="3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套</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8</w:t>
            </w:r>
          </w:p>
        </w:tc>
        <w:tc>
          <w:tcPr>
            <w:tcW w:w="65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kern w:val="0"/>
              </w:rPr>
            </w:pPr>
            <w:r>
              <w:rPr>
                <w:rFonts w:hint="eastAsia" w:ascii="宋体" w:hAnsi="宋体" w:cs="楷体"/>
                <w:kern w:val="0"/>
              </w:rPr>
              <w:t>V型滤池</w:t>
            </w:r>
          </w:p>
        </w:tc>
        <w:tc>
          <w:tcPr>
            <w:tcW w:w="89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参见详图</w:t>
            </w:r>
          </w:p>
        </w:tc>
      </w:tr>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5</w:t>
            </w:r>
          </w:p>
        </w:tc>
        <w:tc>
          <w:tcPr>
            <w:tcW w:w="78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滤板</w:t>
            </w:r>
          </w:p>
        </w:tc>
        <w:tc>
          <w:tcPr>
            <w:tcW w:w="106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　</w:t>
            </w:r>
          </w:p>
        </w:tc>
        <w:tc>
          <w:tcPr>
            <w:tcW w:w="482"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kern w:val="0"/>
              </w:rPr>
            </w:pPr>
            <w:r>
              <w:rPr>
                <w:rFonts w:hint="eastAsia" w:ascii="宋体" w:hAnsi="宋体" w:cs="楷体"/>
                <w:kern w:val="0"/>
              </w:rPr>
              <w:t>钢筋砼</w:t>
            </w:r>
          </w:p>
        </w:tc>
        <w:tc>
          <w:tcPr>
            <w:tcW w:w="3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m</w:t>
            </w:r>
            <w:r>
              <w:rPr>
                <w:rFonts w:hint="eastAsia" w:ascii="宋体" w:hAnsi="宋体" w:cs="楷体"/>
                <w:kern w:val="0"/>
                <w:vertAlign w:val="superscript"/>
              </w:rPr>
              <w:t>2</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96</w:t>
            </w:r>
          </w:p>
        </w:tc>
        <w:tc>
          <w:tcPr>
            <w:tcW w:w="65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V型滤池</w:t>
            </w:r>
          </w:p>
        </w:tc>
        <w:tc>
          <w:tcPr>
            <w:tcW w:w="89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整体滤板，采用钢模板</w:t>
            </w:r>
          </w:p>
        </w:tc>
      </w:tr>
      <w:bookmarkEnd w:id="6579"/>
    </w:tbl>
    <w:p>
      <w:pPr>
        <w:keepNext/>
        <w:adjustRightInd w:val="0"/>
        <w:snapToGrid w:val="0"/>
        <w:spacing w:before="120" w:after="120"/>
        <w:outlineLvl w:val="2"/>
        <w:rPr>
          <w:rFonts w:ascii="宋体" w:hAnsi="宋体" w:cs="楷体"/>
          <w:b/>
        </w:rPr>
      </w:pPr>
      <w:bookmarkStart w:id="6580" w:name="_Toc106883680"/>
      <w:bookmarkStart w:id="6581" w:name="_Toc456691942"/>
      <w:bookmarkStart w:id="6582" w:name="_Toc448248732"/>
      <w:r>
        <w:rPr>
          <w:rFonts w:hint="eastAsia" w:ascii="宋体" w:hAnsi="宋体" w:cs="楷体"/>
          <w:b/>
        </w:rPr>
        <w:t>8.13.3滤板、滤头</w:t>
      </w:r>
      <w:bookmarkEnd w:id="6580"/>
      <w:bookmarkEnd w:id="6581"/>
      <w:bookmarkEnd w:id="6582"/>
    </w:p>
    <w:bookmarkEnd w:id="6570"/>
    <w:bookmarkEnd w:id="6571"/>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本节规定了砂滤池整体现浇滤板的滤梁精调找平；滤板模板深化设计、制作、安装与拆除（含滤板下配水室清理）；滤头套管预埋；滤板的钢筋深化设计、制作与安装以及混凝土浇筑、养护；各类型钢预埋件制作与安装；指导甲方进行水密性试验及滤头安装、布气均匀性试验。</w:t>
      </w:r>
    </w:p>
    <w:p>
      <w:pPr>
        <w:adjustRightInd w:val="0"/>
        <w:snapToGrid w:val="0"/>
        <w:spacing w:before="203" w:beforeLines="50" w:after="203" w:afterLines="50"/>
        <w:outlineLvl w:val="0"/>
        <w:rPr>
          <w:rFonts w:ascii="宋体" w:hAnsi="宋体" w:cs="楷体"/>
          <w:b/>
          <w:bCs/>
        </w:rPr>
      </w:pPr>
      <w:bookmarkStart w:id="6583" w:name="_Toc106883681"/>
      <w:bookmarkStart w:id="6584" w:name="_Toc106050438"/>
      <w:r>
        <w:rPr>
          <w:rFonts w:hint="eastAsia" w:ascii="宋体" w:hAnsi="宋体" w:cs="楷体"/>
          <w:b/>
          <w:bCs/>
        </w:rPr>
        <w:t>8.13.3.1供货范围</w:t>
      </w:r>
      <w:bookmarkEnd w:id="6583"/>
      <w:bookmarkEnd w:id="6584"/>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承包商提供滤板、</w:t>
      </w:r>
      <w:r>
        <w:rPr>
          <w:rFonts w:ascii="宋体" w:hAnsi="宋体" w:cs="楷体"/>
        </w:rPr>
        <w:t>滤头</w:t>
      </w:r>
      <w:r>
        <w:rPr>
          <w:rFonts w:hint="eastAsia" w:ascii="宋体" w:hAnsi="宋体" w:cs="楷体"/>
        </w:rPr>
        <w:t>应为成套设备。</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所有设备及安装材料应由一家制造商提供，承包商对整个系统负责。</w:t>
      </w:r>
    </w:p>
    <w:p>
      <w:pPr>
        <w:adjustRightInd w:val="0"/>
        <w:snapToGrid w:val="0"/>
        <w:spacing w:before="203" w:beforeLines="50" w:after="203" w:afterLines="50"/>
        <w:outlineLvl w:val="0"/>
        <w:rPr>
          <w:rFonts w:ascii="宋体" w:hAnsi="宋体" w:cs="楷体"/>
          <w:b/>
          <w:bCs/>
        </w:rPr>
      </w:pPr>
      <w:bookmarkStart w:id="6585" w:name="_Toc106050439"/>
      <w:bookmarkStart w:id="6586" w:name="_Toc106883682"/>
      <w:r>
        <w:rPr>
          <w:rFonts w:hint="eastAsia" w:ascii="宋体" w:hAnsi="宋体" w:cs="楷体"/>
          <w:b/>
          <w:bCs/>
        </w:rPr>
        <w:t>8.13.3.2工艺要求</w:t>
      </w:r>
      <w:bookmarkEnd w:id="6585"/>
      <w:bookmarkEnd w:id="6586"/>
    </w:p>
    <w:p>
      <w:pPr>
        <w:pStyle w:val="1156"/>
        <w:numPr>
          <w:ilvl w:val="0"/>
          <w:numId w:val="83"/>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每块滤板的平面尺寸详见相关图纸厚度为100mm，平整度为0.1%。滤板大样图和配筋图详见相关图纸。</w:t>
      </w:r>
    </w:p>
    <w:p>
      <w:pPr>
        <w:pStyle w:val="1156"/>
        <w:numPr>
          <w:ilvl w:val="0"/>
          <w:numId w:val="83"/>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制做好的滤板应两面平整，不应有露筋翘曲和震裂现象，表面不得有气泡。滤板四周应无缺损破裂现象，不允许有蜂窝麻面。</w:t>
      </w:r>
    </w:p>
    <w:p>
      <w:pPr>
        <w:pStyle w:val="1156"/>
        <w:numPr>
          <w:ilvl w:val="0"/>
          <w:numId w:val="83"/>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滤头套管需预埋准确，无倒错、歪斜和遗漏现象。套管内无堵塞，保证滤头拧紧。</w:t>
      </w:r>
    </w:p>
    <w:p>
      <w:pPr>
        <w:adjustRightInd w:val="0"/>
        <w:snapToGrid w:val="0"/>
        <w:spacing w:before="203" w:beforeLines="50" w:after="203" w:afterLines="50"/>
        <w:rPr>
          <w:rFonts w:ascii="宋体" w:hAnsi="宋体" w:cs="楷体"/>
          <w:b/>
          <w:bCs/>
        </w:rPr>
      </w:pPr>
      <w:r>
        <w:rPr>
          <w:rFonts w:hint="eastAsia" w:ascii="宋体" w:hAnsi="宋体" w:cs="楷体"/>
          <w:b/>
          <w:bCs/>
        </w:rPr>
        <w:t>8.13.3.3一般要求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所提供设备及设备的制造必须符合ISO、IEC标准或其他等效标准，这些等效标准必须取得业主代表同意。</w:t>
      </w:r>
    </w:p>
    <w:p>
      <w:pPr>
        <w:pStyle w:val="4"/>
        <w:ind w:firstLine="0" w:firstLineChars="0"/>
        <w:rPr>
          <w:rFonts w:ascii="宋体" w:hAnsi="宋体" w:cs="楷体"/>
          <w:b/>
          <w:bCs/>
        </w:rPr>
      </w:pPr>
      <w:r>
        <w:rPr>
          <w:rFonts w:hint="eastAsia" w:ascii="宋体" w:hAnsi="宋体" w:cs="楷体"/>
          <w:b/>
          <w:bCs/>
        </w:rPr>
        <w:t>8.13.3.4性能结构</w:t>
      </w:r>
    </w:p>
    <w:p>
      <w:pPr>
        <w:pStyle w:val="1156"/>
        <w:numPr>
          <w:ilvl w:val="0"/>
          <w:numId w:val="84"/>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滤板材料</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制作滤板用的混凝土强度等级应为C30，砼中采用的砂应为中砂，含泥量不得大于3%，无有害物质，颗粒级配符合GB50204的要求。采用碎石的公称粒径5-25mm，针片含量不大于15%，含泥量不大于1%，无有害物质碎石，颗粒级配要求符合GB50204的要求。钢筋采用φ12、φ10、φ8钢筋(</w:t>
      </w:r>
      <w:r>
        <w:rPr>
          <w:rFonts w:ascii="宋体" w:hAnsi="宋体" w:cs="楷体"/>
        </w:rPr>
        <w:fldChar w:fldCharType="begin"/>
      </w:r>
      <w:r>
        <w:rPr>
          <w:rFonts w:ascii="宋体" w:hAnsi="宋体" w:cs="楷体"/>
        </w:rPr>
        <w:instrText xml:space="preserve"> = 1 \* ROMAN </w:instrText>
      </w:r>
      <w:r>
        <w:rPr>
          <w:rFonts w:ascii="宋体" w:hAnsi="宋体" w:cs="楷体"/>
        </w:rPr>
        <w:fldChar w:fldCharType="separate"/>
      </w:r>
      <w:r>
        <w:rPr>
          <w:rFonts w:ascii="宋体" w:hAnsi="宋体" w:cs="楷体"/>
        </w:rPr>
        <w:t>I</w:t>
      </w:r>
      <w:r>
        <w:rPr>
          <w:rFonts w:ascii="宋体" w:hAnsi="宋体" w:cs="楷体"/>
        </w:rPr>
        <w:fldChar w:fldCharType="end"/>
      </w:r>
      <w:r>
        <w:rPr>
          <w:rFonts w:hint="eastAsia" w:ascii="宋体" w:hAnsi="宋体" w:cs="楷体"/>
        </w:rPr>
        <w:t>级)。</w:t>
      </w:r>
    </w:p>
    <w:p>
      <w:pPr>
        <w:pStyle w:val="1156"/>
        <w:numPr>
          <w:ilvl w:val="0"/>
          <w:numId w:val="84"/>
        </w:numPr>
        <w:adjustRightInd w:val="0"/>
        <w:snapToGrid w:val="0"/>
        <w:spacing w:before="203" w:beforeLines="50" w:after="203" w:afterLines="50" w:line="240" w:lineRule="auto"/>
        <w:ind w:firstLineChars="0"/>
        <w:rPr>
          <w:rFonts w:ascii="宋体" w:hAnsi="宋体" w:cs="楷体"/>
        </w:rPr>
      </w:pPr>
      <w:r>
        <w:rPr>
          <w:rFonts w:hint="eastAsia" w:ascii="宋体" w:hAnsi="宋体" w:cs="楷体"/>
        </w:rPr>
        <w:t>滤头形式</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应为伞形长柄滤头，采用ABS或PP塑料制成，应适用于滤池的水和空气冲洗。滤头应具有良好的布气均匀性，通过形成气垫层使空气均匀分布，且在滤头和滤板间无死水区。</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整个滤头系统由带有窄缝的滤帽、连接滤头的长柄、以及预埋在滤板内装配滤头用的预埋套管三部分组成。上述滤头的技术数据见下表：</w:t>
      </w:r>
    </w:p>
    <w:p>
      <w:pPr>
        <w:pStyle w:val="4"/>
        <w:ind w:firstLine="500"/>
        <w:jc w:val="center"/>
        <w:rPr>
          <w:rFonts w:ascii="宋体" w:hAnsi="宋体" w:cs="楷体"/>
        </w:rPr>
      </w:pPr>
      <w:r>
        <w:rPr>
          <w:rFonts w:hint="eastAsia" w:ascii="宋体" w:hAnsi="宋体" w:cs="楷体"/>
        </w:rPr>
        <w:t>滤头技术数据表</w:t>
      </w:r>
    </w:p>
    <w:tbl>
      <w:tblPr>
        <w:tblStyle w:val="77"/>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850"/>
        <w:gridCol w:w="942"/>
        <w:gridCol w:w="742"/>
        <w:gridCol w:w="1134"/>
        <w:gridCol w:w="1435"/>
        <w:gridCol w:w="966"/>
        <w:gridCol w:w="797"/>
        <w:gridCol w:w="1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46" w:type="dxa"/>
          </w:tcPr>
          <w:p>
            <w:pPr>
              <w:pStyle w:val="4"/>
              <w:ind w:firstLine="0" w:firstLineChars="0"/>
              <w:jc w:val="center"/>
              <w:rPr>
                <w:rFonts w:ascii="宋体" w:hAnsi="宋体" w:cs="楷体"/>
              </w:rPr>
            </w:pPr>
            <w:r>
              <w:rPr>
                <w:rFonts w:hint="eastAsia" w:ascii="宋体" w:hAnsi="宋体" w:cs="楷体"/>
              </w:rPr>
              <w:t>滤帽形状</w:t>
            </w:r>
          </w:p>
        </w:tc>
        <w:tc>
          <w:tcPr>
            <w:tcW w:w="850" w:type="dxa"/>
          </w:tcPr>
          <w:p>
            <w:pPr>
              <w:pStyle w:val="4"/>
              <w:ind w:firstLine="0" w:firstLineChars="0"/>
              <w:jc w:val="center"/>
              <w:rPr>
                <w:rFonts w:ascii="宋体" w:hAnsi="宋体" w:cs="楷体"/>
              </w:rPr>
            </w:pPr>
            <w:r>
              <w:rPr>
                <w:rFonts w:hint="eastAsia" w:ascii="宋体" w:hAnsi="宋体" w:cs="楷体"/>
              </w:rPr>
              <w:t>总长度</w:t>
            </w:r>
            <w:r>
              <w:rPr>
                <w:rFonts w:ascii="宋体" w:hAnsi="宋体" w:cs="楷体"/>
              </w:rPr>
              <w:t>mm</w:t>
            </w:r>
          </w:p>
        </w:tc>
        <w:tc>
          <w:tcPr>
            <w:tcW w:w="942" w:type="dxa"/>
          </w:tcPr>
          <w:p>
            <w:pPr>
              <w:pStyle w:val="4"/>
              <w:ind w:firstLine="0" w:firstLineChars="0"/>
              <w:jc w:val="center"/>
              <w:rPr>
                <w:rFonts w:ascii="宋体" w:hAnsi="宋体" w:cs="楷体"/>
              </w:rPr>
            </w:pPr>
            <w:r>
              <w:rPr>
                <w:rFonts w:hint="eastAsia" w:ascii="宋体" w:hAnsi="宋体" w:cs="楷体"/>
              </w:rPr>
              <w:t>预埋套管长度</w:t>
            </w:r>
          </w:p>
          <w:p>
            <w:pPr>
              <w:pStyle w:val="4"/>
              <w:ind w:firstLine="0" w:firstLineChars="0"/>
              <w:jc w:val="center"/>
              <w:rPr>
                <w:rFonts w:ascii="宋体" w:hAnsi="宋体" w:cs="楷体"/>
              </w:rPr>
            </w:pPr>
            <w:r>
              <w:rPr>
                <w:rFonts w:ascii="宋体" w:hAnsi="宋体" w:cs="楷体"/>
              </w:rPr>
              <w:t>mm</w:t>
            </w:r>
          </w:p>
        </w:tc>
        <w:tc>
          <w:tcPr>
            <w:tcW w:w="742" w:type="dxa"/>
          </w:tcPr>
          <w:p>
            <w:pPr>
              <w:pStyle w:val="4"/>
              <w:ind w:firstLine="0" w:firstLineChars="0"/>
              <w:jc w:val="center"/>
              <w:rPr>
                <w:rFonts w:ascii="宋体" w:hAnsi="宋体" w:cs="楷体"/>
              </w:rPr>
            </w:pPr>
            <w:r>
              <w:rPr>
                <w:rFonts w:hint="eastAsia" w:ascii="宋体" w:hAnsi="宋体" w:cs="楷体"/>
              </w:rPr>
              <w:t>缝隙</w:t>
            </w:r>
          </w:p>
          <w:p>
            <w:pPr>
              <w:pStyle w:val="4"/>
              <w:ind w:firstLine="0" w:firstLineChars="0"/>
              <w:jc w:val="center"/>
              <w:rPr>
                <w:rFonts w:ascii="宋体" w:hAnsi="宋体" w:cs="楷体"/>
              </w:rPr>
            </w:pPr>
            <w:r>
              <w:rPr>
                <w:rFonts w:hint="eastAsia" w:ascii="宋体" w:hAnsi="宋体" w:cs="楷体"/>
              </w:rPr>
              <w:t>条数</w:t>
            </w:r>
          </w:p>
        </w:tc>
        <w:tc>
          <w:tcPr>
            <w:tcW w:w="1134" w:type="dxa"/>
          </w:tcPr>
          <w:p>
            <w:pPr>
              <w:pStyle w:val="4"/>
              <w:ind w:firstLine="0" w:firstLineChars="0"/>
              <w:jc w:val="center"/>
              <w:rPr>
                <w:rFonts w:ascii="宋体" w:hAnsi="宋体" w:cs="楷体"/>
              </w:rPr>
            </w:pPr>
            <w:r>
              <w:rPr>
                <w:rFonts w:hint="eastAsia" w:ascii="宋体" w:hAnsi="宋体" w:cs="楷体"/>
              </w:rPr>
              <w:t>缝隙</w:t>
            </w:r>
          </w:p>
          <w:p>
            <w:pPr>
              <w:pStyle w:val="4"/>
              <w:ind w:firstLine="0" w:firstLineChars="0"/>
              <w:jc w:val="center"/>
              <w:rPr>
                <w:rFonts w:ascii="宋体" w:hAnsi="宋体" w:cs="楷体"/>
              </w:rPr>
            </w:pPr>
            <w:r>
              <w:rPr>
                <w:rFonts w:hint="eastAsia" w:ascii="宋体" w:hAnsi="宋体" w:cs="楷体"/>
              </w:rPr>
              <w:t>高度</w:t>
            </w:r>
          </w:p>
          <w:p>
            <w:pPr>
              <w:pStyle w:val="4"/>
              <w:ind w:firstLine="0" w:firstLineChars="0"/>
              <w:jc w:val="center"/>
              <w:rPr>
                <w:rFonts w:ascii="宋体" w:hAnsi="宋体" w:cs="楷体"/>
              </w:rPr>
            </w:pPr>
            <w:r>
              <w:rPr>
                <w:rFonts w:ascii="宋体" w:hAnsi="宋体" w:cs="楷体"/>
              </w:rPr>
              <w:t>mm</w:t>
            </w:r>
          </w:p>
        </w:tc>
        <w:tc>
          <w:tcPr>
            <w:tcW w:w="1435" w:type="dxa"/>
          </w:tcPr>
          <w:p>
            <w:pPr>
              <w:pStyle w:val="4"/>
              <w:ind w:firstLine="0" w:firstLineChars="0"/>
              <w:jc w:val="center"/>
              <w:rPr>
                <w:rFonts w:ascii="宋体" w:hAnsi="宋体" w:cs="楷体"/>
              </w:rPr>
            </w:pPr>
            <w:r>
              <w:rPr>
                <w:rFonts w:hint="eastAsia" w:ascii="宋体" w:hAnsi="宋体" w:cs="楷体"/>
              </w:rPr>
              <w:t>平均缝</w:t>
            </w:r>
          </w:p>
          <w:p>
            <w:pPr>
              <w:pStyle w:val="4"/>
              <w:ind w:firstLine="0" w:firstLineChars="0"/>
              <w:jc w:val="center"/>
              <w:rPr>
                <w:rFonts w:ascii="宋体" w:hAnsi="宋体" w:cs="楷体"/>
              </w:rPr>
            </w:pPr>
            <w:r>
              <w:rPr>
                <w:rFonts w:hint="eastAsia" w:ascii="宋体" w:hAnsi="宋体" w:cs="楷体"/>
              </w:rPr>
              <w:t>隙宽度</w:t>
            </w:r>
          </w:p>
          <w:p>
            <w:pPr>
              <w:pStyle w:val="4"/>
              <w:ind w:firstLine="0" w:firstLineChars="0"/>
              <w:jc w:val="center"/>
              <w:rPr>
                <w:rFonts w:ascii="宋体" w:hAnsi="宋体" w:cs="楷体"/>
              </w:rPr>
            </w:pPr>
            <w:r>
              <w:rPr>
                <w:rFonts w:ascii="宋体" w:hAnsi="宋体" w:cs="楷体"/>
              </w:rPr>
              <w:t>mm</w:t>
            </w:r>
          </w:p>
        </w:tc>
        <w:tc>
          <w:tcPr>
            <w:tcW w:w="966" w:type="dxa"/>
          </w:tcPr>
          <w:p>
            <w:pPr>
              <w:pStyle w:val="4"/>
              <w:ind w:firstLine="0" w:firstLineChars="0"/>
              <w:jc w:val="center"/>
              <w:rPr>
                <w:rFonts w:ascii="宋体" w:hAnsi="宋体" w:cs="楷体"/>
              </w:rPr>
            </w:pPr>
            <w:r>
              <w:rPr>
                <w:rFonts w:hint="eastAsia" w:ascii="宋体" w:hAnsi="宋体" w:cs="楷体"/>
              </w:rPr>
              <w:t>滤帽缝隙面积</w:t>
            </w:r>
          </w:p>
          <w:p>
            <w:pPr>
              <w:pStyle w:val="4"/>
              <w:ind w:firstLine="0" w:firstLineChars="0"/>
              <w:jc w:val="center"/>
              <w:rPr>
                <w:rFonts w:ascii="宋体" w:hAnsi="宋体" w:cs="楷体"/>
              </w:rPr>
            </w:pPr>
            <w:r>
              <w:rPr>
                <w:rFonts w:ascii="宋体" w:hAnsi="宋体" w:cs="楷体"/>
              </w:rPr>
              <w:t>cm</w:t>
            </w:r>
            <w:r>
              <w:rPr>
                <w:rFonts w:ascii="宋体" w:hAnsi="宋体" w:cs="楷体"/>
                <w:vertAlign w:val="superscript"/>
              </w:rPr>
              <w:t>2</w:t>
            </w:r>
          </w:p>
        </w:tc>
        <w:tc>
          <w:tcPr>
            <w:tcW w:w="797" w:type="dxa"/>
          </w:tcPr>
          <w:p>
            <w:pPr>
              <w:pStyle w:val="4"/>
              <w:ind w:firstLine="0" w:firstLineChars="0"/>
              <w:jc w:val="center"/>
              <w:rPr>
                <w:rFonts w:ascii="宋体" w:hAnsi="宋体" w:cs="楷体"/>
              </w:rPr>
            </w:pPr>
            <w:r>
              <w:rPr>
                <w:rFonts w:hint="eastAsia" w:ascii="宋体" w:hAnsi="宋体" w:cs="楷体"/>
              </w:rPr>
              <w:t>滤柄</w:t>
            </w:r>
          </w:p>
          <w:p>
            <w:pPr>
              <w:pStyle w:val="4"/>
              <w:ind w:firstLine="0" w:firstLineChars="0"/>
              <w:jc w:val="center"/>
              <w:rPr>
                <w:rFonts w:ascii="宋体" w:hAnsi="宋体" w:cs="楷体"/>
              </w:rPr>
            </w:pPr>
            <w:r>
              <w:rPr>
                <w:rFonts w:hint="eastAsia" w:ascii="宋体" w:hAnsi="宋体" w:cs="楷体"/>
              </w:rPr>
              <w:t>内径</w:t>
            </w:r>
          </w:p>
          <w:p>
            <w:pPr>
              <w:pStyle w:val="4"/>
              <w:ind w:firstLine="0" w:firstLineChars="0"/>
              <w:jc w:val="center"/>
              <w:rPr>
                <w:rFonts w:ascii="宋体" w:hAnsi="宋体" w:cs="楷体"/>
              </w:rPr>
            </w:pPr>
            <w:r>
              <w:rPr>
                <w:rFonts w:ascii="宋体" w:hAnsi="宋体" w:cs="楷体"/>
              </w:rPr>
              <w:t>mm</w:t>
            </w:r>
          </w:p>
        </w:tc>
        <w:tc>
          <w:tcPr>
            <w:tcW w:w="1072" w:type="dxa"/>
          </w:tcPr>
          <w:p>
            <w:pPr>
              <w:pStyle w:val="4"/>
              <w:ind w:firstLine="0" w:firstLineChars="0"/>
              <w:jc w:val="center"/>
              <w:rPr>
                <w:rFonts w:ascii="宋体" w:hAnsi="宋体" w:cs="楷体"/>
              </w:rPr>
            </w:pPr>
            <w:r>
              <w:rPr>
                <w:rFonts w:hint="eastAsia" w:ascii="宋体" w:hAnsi="宋体" w:cs="楷体"/>
              </w:rPr>
              <w:t>滤柄截面  积</w:t>
            </w:r>
          </w:p>
          <w:p>
            <w:pPr>
              <w:pStyle w:val="4"/>
              <w:ind w:firstLine="0" w:firstLineChars="0"/>
              <w:jc w:val="center"/>
              <w:rPr>
                <w:rFonts w:ascii="宋体" w:hAnsi="宋体" w:cs="楷体"/>
              </w:rPr>
            </w:pPr>
            <w:r>
              <w:rPr>
                <w:rFonts w:ascii="宋体" w:hAnsi="宋体" w:cs="楷体"/>
              </w:rPr>
              <w:t>cm</w:t>
            </w:r>
            <w:r>
              <w:rPr>
                <w:rFonts w:ascii="宋体" w:hAnsi="宋体" w:cs="楷体"/>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4"/>
              <w:ind w:firstLine="0" w:firstLineChars="0"/>
              <w:jc w:val="center"/>
              <w:rPr>
                <w:rFonts w:ascii="宋体" w:hAnsi="宋体" w:cs="楷体"/>
              </w:rPr>
            </w:pPr>
            <w:r>
              <w:rPr>
                <w:rFonts w:hint="eastAsia" w:ascii="宋体" w:hAnsi="宋体" w:cs="楷体"/>
              </w:rPr>
              <w:t>伞形</w:t>
            </w:r>
          </w:p>
        </w:tc>
        <w:tc>
          <w:tcPr>
            <w:tcW w:w="850" w:type="dxa"/>
            <w:vAlign w:val="center"/>
          </w:tcPr>
          <w:p>
            <w:pPr>
              <w:pStyle w:val="4"/>
              <w:ind w:firstLine="0" w:firstLineChars="0"/>
              <w:jc w:val="center"/>
              <w:rPr>
                <w:rFonts w:ascii="宋体" w:hAnsi="宋体" w:cs="楷体"/>
              </w:rPr>
            </w:pPr>
            <w:r>
              <w:rPr>
                <w:rFonts w:hint="eastAsia" w:ascii="宋体" w:hAnsi="宋体" w:cs="楷体"/>
              </w:rPr>
              <w:t>292</w:t>
            </w:r>
          </w:p>
        </w:tc>
        <w:tc>
          <w:tcPr>
            <w:tcW w:w="942" w:type="dxa"/>
            <w:vAlign w:val="center"/>
          </w:tcPr>
          <w:p>
            <w:pPr>
              <w:pStyle w:val="4"/>
              <w:ind w:firstLine="0" w:firstLineChars="0"/>
              <w:jc w:val="center"/>
              <w:rPr>
                <w:rFonts w:ascii="宋体" w:hAnsi="宋体" w:cs="楷体"/>
              </w:rPr>
            </w:pPr>
            <w:r>
              <w:rPr>
                <w:rFonts w:hint="eastAsia" w:ascii="宋体" w:hAnsi="宋体" w:cs="楷体"/>
              </w:rPr>
              <w:t>100</w:t>
            </w:r>
          </w:p>
        </w:tc>
        <w:tc>
          <w:tcPr>
            <w:tcW w:w="742" w:type="dxa"/>
            <w:vAlign w:val="center"/>
          </w:tcPr>
          <w:p>
            <w:pPr>
              <w:pStyle w:val="4"/>
              <w:ind w:firstLine="0" w:firstLineChars="0"/>
              <w:jc w:val="center"/>
              <w:rPr>
                <w:rFonts w:ascii="宋体" w:hAnsi="宋体" w:cs="楷体"/>
              </w:rPr>
            </w:pPr>
            <w:r>
              <w:rPr>
                <w:rFonts w:hint="eastAsia" w:ascii="宋体" w:hAnsi="宋体" w:cs="楷体"/>
              </w:rPr>
              <w:t>36</w:t>
            </w:r>
          </w:p>
        </w:tc>
        <w:tc>
          <w:tcPr>
            <w:tcW w:w="1134" w:type="dxa"/>
            <w:vAlign w:val="center"/>
          </w:tcPr>
          <w:p>
            <w:pPr>
              <w:pStyle w:val="4"/>
              <w:ind w:firstLine="0" w:firstLineChars="0"/>
              <w:jc w:val="center"/>
              <w:rPr>
                <w:rFonts w:ascii="宋体" w:hAnsi="宋体" w:cs="楷体"/>
              </w:rPr>
            </w:pPr>
            <w:r>
              <w:rPr>
                <w:rFonts w:hint="eastAsia" w:ascii="宋体" w:hAnsi="宋体" w:cs="楷体"/>
              </w:rPr>
              <w:t>2×</w:t>
            </w:r>
            <w:r>
              <w:rPr>
                <w:rFonts w:ascii="宋体" w:hAnsi="宋体" w:cs="楷体"/>
              </w:rPr>
              <w:t>12.5</w:t>
            </w:r>
          </w:p>
        </w:tc>
        <w:tc>
          <w:tcPr>
            <w:tcW w:w="1435" w:type="dxa"/>
            <w:vAlign w:val="center"/>
          </w:tcPr>
          <w:p>
            <w:pPr>
              <w:pStyle w:val="4"/>
              <w:ind w:firstLine="0" w:firstLineChars="0"/>
              <w:jc w:val="center"/>
              <w:rPr>
                <w:rFonts w:ascii="宋体" w:hAnsi="宋体" w:cs="楷体"/>
              </w:rPr>
            </w:pPr>
            <w:r>
              <w:rPr>
                <w:rFonts w:ascii="宋体" w:hAnsi="宋体" w:cs="楷体"/>
              </w:rPr>
              <w:t>0.4</w:t>
            </w:r>
            <w:r>
              <w:rPr>
                <w:rFonts w:hint="eastAsia" w:ascii="宋体" w:hAnsi="宋体" w:cs="楷体"/>
              </w:rPr>
              <w:t>±</w:t>
            </w:r>
            <w:r>
              <w:rPr>
                <w:rFonts w:ascii="宋体" w:hAnsi="宋体" w:cs="楷体"/>
              </w:rPr>
              <w:t>0.03</w:t>
            </w:r>
          </w:p>
        </w:tc>
        <w:tc>
          <w:tcPr>
            <w:tcW w:w="966" w:type="dxa"/>
            <w:vAlign w:val="center"/>
          </w:tcPr>
          <w:p>
            <w:pPr>
              <w:pStyle w:val="4"/>
              <w:ind w:firstLine="0" w:firstLineChars="0"/>
              <w:jc w:val="center"/>
              <w:rPr>
                <w:rFonts w:ascii="宋体" w:hAnsi="宋体" w:cs="楷体"/>
              </w:rPr>
            </w:pPr>
            <w:r>
              <w:rPr>
                <w:rFonts w:hint="eastAsia" w:ascii="宋体" w:hAnsi="宋体" w:cs="楷体"/>
              </w:rPr>
              <w:t>3.3</w:t>
            </w:r>
          </w:p>
        </w:tc>
        <w:tc>
          <w:tcPr>
            <w:tcW w:w="797" w:type="dxa"/>
            <w:vAlign w:val="center"/>
          </w:tcPr>
          <w:p>
            <w:pPr>
              <w:pStyle w:val="4"/>
              <w:ind w:firstLine="0" w:firstLineChars="0"/>
              <w:jc w:val="center"/>
              <w:rPr>
                <w:rFonts w:ascii="宋体" w:hAnsi="宋体" w:cs="楷体"/>
              </w:rPr>
            </w:pPr>
            <w:r>
              <w:rPr>
                <w:rFonts w:hint="eastAsia" w:ascii="宋体" w:hAnsi="宋体" w:cs="楷体"/>
              </w:rPr>
              <w:t>17</w:t>
            </w:r>
          </w:p>
        </w:tc>
        <w:tc>
          <w:tcPr>
            <w:tcW w:w="1072" w:type="dxa"/>
            <w:vAlign w:val="center"/>
          </w:tcPr>
          <w:p>
            <w:pPr>
              <w:pStyle w:val="4"/>
              <w:ind w:firstLine="0" w:firstLineChars="0"/>
              <w:jc w:val="center"/>
              <w:rPr>
                <w:rFonts w:ascii="宋体" w:hAnsi="宋体" w:cs="楷体"/>
              </w:rPr>
            </w:pPr>
            <w:r>
              <w:rPr>
                <w:rFonts w:hint="eastAsia" w:ascii="宋体" w:hAnsi="宋体" w:cs="楷体"/>
              </w:rPr>
              <w:t>2.28</w:t>
            </w:r>
          </w:p>
        </w:tc>
      </w:tr>
    </w:tbl>
    <w:p>
      <w:pPr>
        <w:pStyle w:val="4"/>
        <w:ind w:firstLine="500"/>
        <w:rPr>
          <w:rFonts w:ascii="宋体" w:hAnsi="宋体"/>
        </w:rPr>
      </w:pP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滤头由滤帽壳体和实心的顶帽组成，壳体上所开的狭长孔宽度的精确值应不超过±</w:t>
      </w:r>
      <w:r>
        <w:rPr>
          <w:rFonts w:ascii="宋体" w:hAnsi="宋体" w:cs="楷体"/>
        </w:rPr>
        <w:t>0.05mm</w:t>
      </w:r>
      <w:r>
        <w:rPr>
          <w:rFonts w:hint="eastAsia" w:ascii="宋体" w:hAnsi="宋体" w:cs="楷体"/>
        </w:rPr>
        <w:t>，狭长孔的宽度应从滤料侧到滤头内部逐渐扩大。承包人所提供的滤帽上的缝隙规格应符合滤头技术数据表中的要求。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从滤头内部的凸起测起，滤头的内径不小于滤柄的内径。滤柄和滤头应牢固地连接在一起，并能伸到滤板以下。</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滤头和滤柄的设计应保证便于从预埋在滤板中的套管中安装或拆卸，还应保证无论水是从滤板上方往下流，还是由滤板下方往上流，都只能从滤头狭长缝中经过，而不能从预埋套管或滤头的其它部位渗透。</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滤头及预埋套管应确保安装牢固，且滤头构造要防止安装过程中混凝土进入套管内部</w:t>
      </w:r>
    </w:p>
    <w:p>
      <w:pPr>
        <w:adjustRightInd w:val="0"/>
        <w:snapToGrid w:val="0"/>
        <w:spacing w:before="203" w:beforeLines="50" w:after="203" w:afterLines="50"/>
        <w:rPr>
          <w:rFonts w:ascii="宋体" w:hAnsi="宋体" w:cs="楷体"/>
          <w:b/>
          <w:bCs/>
        </w:rPr>
      </w:pPr>
      <w:r>
        <w:rPr>
          <w:rFonts w:hint="eastAsia" w:ascii="宋体" w:hAnsi="宋体" w:cs="楷体"/>
          <w:b/>
        </w:rPr>
        <w:t>8.13.3.</w:t>
      </w:r>
      <w:r>
        <w:rPr>
          <w:rFonts w:hint="eastAsia" w:ascii="宋体" w:hAnsi="宋体" w:cs="楷体"/>
          <w:b/>
          <w:bCs/>
        </w:rPr>
        <w:t>5资料提交</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承包商提供的资料应符合本技术规定条款要求，所提供的资料应不限于如下内容。</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1）承包商必须提供权威机构对该滤头器的测试报告。</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2）滤板的平面布置图、剖面图及系统组成、安装示意图。</w:t>
      </w:r>
    </w:p>
    <w:p>
      <w:pPr>
        <w:adjustRightInd w:val="0"/>
        <w:snapToGrid w:val="0"/>
        <w:spacing w:before="203" w:beforeLines="50" w:after="203" w:afterLines="50"/>
        <w:rPr>
          <w:rFonts w:ascii="宋体" w:hAnsi="宋体" w:cs="楷体"/>
          <w:b/>
          <w:bCs/>
        </w:rPr>
      </w:pPr>
      <w:r>
        <w:rPr>
          <w:rFonts w:hint="eastAsia" w:ascii="宋体" w:hAnsi="宋体" w:cs="楷体"/>
          <w:b/>
        </w:rPr>
        <w:t>8.13.3.</w:t>
      </w:r>
      <w:r>
        <w:rPr>
          <w:rFonts w:ascii="宋体" w:hAnsi="宋体" w:cs="楷体"/>
          <w:b/>
        </w:rPr>
        <w:t>6</w:t>
      </w:r>
      <w:r>
        <w:rPr>
          <w:rFonts w:hint="eastAsia" w:ascii="宋体" w:hAnsi="宋体" w:cs="楷体"/>
          <w:b/>
          <w:bCs/>
        </w:rPr>
        <w:t>备品备件和专用工具</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制造商提供两年以上正常运转所需要的足够的备件和易损件，还应提供必要的特殊工具。</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滤池正常运行和维护保养所需的备品备件和专用工具，应符合第2章有关条款的规定。</w:t>
      </w:r>
    </w:p>
    <w:p>
      <w:pPr>
        <w:keepNext/>
        <w:adjustRightInd w:val="0"/>
        <w:snapToGrid w:val="0"/>
        <w:spacing w:before="120" w:after="120"/>
        <w:outlineLvl w:val="2"/>
        <w:rPr>
          <w:rFonts w:ascii="宋体" w:hAnsi="宋体" w:cs="楷体"/>
          <w:b/>
        </w:rPr>
      </w:pPr>
      <w:bookmarkStart w:id="6587" w:name="_Toc106883683"/>
      <w:r>
        <w:rPr>
          <w:rFonts w:hint="eastAsia" w:ascii="宋体" w:hAnsi="宋体" w:cs="楷体"/>
          <w:b/>
        </w:rPr>
        <w:t>8.13.4石英砂滤料</w:t>
      </w:r>
      <w:bookmarkEnd w:id="6587"/>
    </w:p>
    <w:p>
      <w:pPr>
        <w:adjustRightInd w:val="0"/>
        <w:snapToGrid w:val="0"/>
        <w:spacing w:before="120" w:after="120"/>
        <w:outlineLvl w:val="3"/>
        <w:rPr>
          <w:rFonts w:ascii="宋体" w:hAnsi="宋体" w:cs="楷体"/>
          <w:b/>
          <w:bCs/>
        </w:rPr>
      </w:pPr>
      <w:r>
        <w:rPr>
          <w:rFonts w:hint="eastAsia" w:ascii="宋体" w:hAnsi="宋体" w:cs="楷体"/>
          <w:b/>
          <w:bCs/>
        </w:rPr>
        <w:t>8.13.4.1、概述</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承包人应提供符合标书规定的石英砂滤料，并进行滤料铺设工作。</w:t>
      </w:r>
    </w:p>
    <w:p>
      <w:pPr>
        <w:adjustRightInd w:val="0"/>
        <w:snapToGrid w:val="0"/>
        <w:spacing w:before="120" w:after="120"/>
        <w:outlineLvl w:val="3"/>
        <w:rPr>
          <w:rFonts w:ascii="宋体" w:hAnsi="宋体" w:cs="楷体"/>
          <w:b/>
        </w:rPr>
      </w:pPr>
      <w:r>
        <w:rPr>
          <w:rFonts w:hint="eastAsia" w:ascii="宋体" w:hAnsi="宋体" w:cs="楷体"/>
          <w:b/>
        </w:rPr>
        <w:t>8.13.4.2、供货范围</w:t>
      </w:r>
    </w:p>
    <w:p>
      <w:pPr>
        <w:adjustRightInd w:val="0"/>
        <w:snapToGrid w:val="0"/>
        <w:spacing w:before="203" w:beforeLines="50" w:after="203" w:afterLines="50"/>
        <w:ind w:firstLine="500" w:firstLineChars="200"/>
        <w:rPr>
          <w:rFonts w:ascii="宋体" w:hAnsi="宋体" w:cs="楷体"/>
        </w:rPr>
      </w:pPr>
      <w:bookmarkStart w:id="6588" w:name="_Hlk89262939"/>
      <w:r>
        <w:rPr>
          <w:rFonts w:hint="eastAsia" w:ascii="宋体" w:hAnsi="宋体" w:cs="楷体"/>
        </w:rPr>
        <w:t>系统均应由同一制造商设计、制造、供货并负责系统的整体集成。</w:t>
      </w:r>
    </w:p>
    <w:bookmarkEnd w:id="6588"/>
    <w:p>
      <w:pPr>
        <w:adjustRightInd w:val="0"/>
        <w:snapToGrid w:val="0"/>
        <w:spacing w:before="203" w:beforeLines="50" w:after="203" w:afterLines="50"/>
        <w:outlineLvl w:val="3"/>
        <w:rPr>
          <w:rFonts w:ascii="宋体" w:hAnsi="宋体" w:cs="楷体"/>
          <w:b/>
          <w:bCs/>
        </w:rPr>
      </w:pPr>
      <w:r>
        <w:rPr>
          <w:rFonts w:hint="eastAsia" w:ascii="宋体" w:hAnsi="宋体" w:cs="楷体"/>
          <w:b/>
          <w:bCs/>
        </w:rPr>
        <w:t>8.13.4.</w:t>
      </w:r>
      <w:r>
        <w:rPr>
          <w:rFonts w:ascii="宋体" w:hAnsi="宋体" w:cs="楷体"/>
          <w:b/>
          <w:bCs/>
        </w:rPr>
        <w:t>3</w:t>
      </w:r>
      <w:r>
        <w:rPr>
          <w:rFonts w:hint="eastAsia" w:ascii="宋体" w:hAnsi="宋体" w:cs="楷体"/>
          <w:b/>
          <w:bCs/>
        </w:rPr>
        <w:t>、技术要求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所提供的石英砂滤料应是天然海砂，滤料的水浸出液应不含有毒物质，并应符合以下要求：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有效粒径：0.9</w:t>
      </w:r>
      <w:r>
        <w:rPr>
          <w:rFonts w:ascii="宋体" w:hAnsi="宋体" w:cs="楷体"/>
        </w:rPr>
        <w:t>5</w:t>
      </w:r>
      <w:r>
        <w:rPr>
          <w:rFonts w:hint="eastAsia" w:ascii="宋体" w:hAnsi="宋体" w:cs="楷体"/>
        </w:rPr>
        <w:t>&lt;TE&lt;1.</w:t>
      </w:r>
      <w:r>
        <w:rPr>
          <w:rFonts w:ascii="宋体" w:hAnsi="宋体" w:cs="楷体"/>
        </w:rPr>
        <w:t>35</w:t>
      </w:r>
      <w:r>
        <w:rPr>
          <w:rFonts w:hint="eastAsia" w:ascii="宋体" w:hAnsi="宋体" w:cs="楷体"/>
        </w:rPr>
        <w:t>(毫米)</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压实后的表面密度：1.5&lt;dapp&lt;1.7</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直观实际密度：2.4&lt;dr&lt;2.7</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脆性：</w:t>
      </w:r>
      <w:r>
        <w:rPr>
          <w:rFonts w:hint="eastAsia" w:ascii="宋体" w:hAnsi="宋体" w:cs="楷体"/>
        </w:rPr>
        <w:tab/>
      </w:r>
      <w:r>
        <w:rPr>
          <w:rFonts w:hint="eastAsia" w:ascii="宋体" w:hAnsi="宋体" w:cs="楷体"/>
        </w:rPr>
        <w:t>击750(下)</w:t>
      </w:r>
      <w:r>
        <w:rPr>
          <w:rFonts w:hint="eastAsia" w:ascii="宋体" w:hAnsi="宋体" w:cs="楷体"/>
        </w:rPr>
        <w:tab/>
      </w:r>
      <w:r>
        <w:rPr>
          <w:rFonts w:hint="eastAsia" w:ascii="宋体" w:hAnsi="宋体" w:cs="楷体"/>
        </w:rPr>
        <w:t>F&lt;8% ；   击1500(下)</w:t>
      </w:r>
      <w:r>
        <w:rPr>
          <w:rFonts w:hint="eastAsia" w:ascii="宋体" w:hAnsi="宋体" w:cs="楷体"/>
        </w:rPr>
        <w:tab/>
      </w:r>
      <w:r>
        <w:rPr>
          <w:rFonts w:hint="eastAsia" w:ascii="宋体" w:hAnsi="宋体" w:cs="楷体"/>
        </w:rPr>
        <w:tab/>
      </w:r>
      <w:r>
        <w:rPr>
          <w:rFonts w:hint="eastAsia" w:ascii="宋体" w:hAnsi="宋体" w:cs="楷体"/>
        </w:rPr>
        <w:t>F&lt;10%</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抗药性：</w:t>
      </w:r>
      <w:r>
        <w:rPr>
          <w:rFonts w:hint="eastAsia" w:ascii="宋体" w:hAnsi="宋体" w:cs="楷体"/>
        </w:rPr>
        <w:tab/>
      </w:r>
      <w:r>
        <w:rPr>
          <w:rFonts w:hint="eastAsia" w:ascii="宋体" w:hAnsi="宋体" w:cs="楷体"/>
        </w:rPr>
        <w:t>Rc&lt;2%</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粒径小于0.8毫米的颗粒百分比含量应低于3%。</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粒径小于0.63毫米的颗粒百分比含量应低于1%。</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硅含量大于或等于96%。</w:t>
      </w:r>
    </w:p>
    <w:p>
      <w:pPr>
        <w:keepNext/>
        <w:adjustRightInd w:val="0"/>
        <w:snapToGrid w:val="0"/>
        <w:spacing w:before="203" w:beforeLines="50" w:after="203" w:afterLines="50"/>
        <w:outlineLvl w:val="1"/>
        <w:rPr>
          <w:rFonts w:ascii="宋体" w:hAnsi="宋体" w:cs="楷体"/>
          <w:b/>
        </w:rPr>
      </w:pPr>
      <w:bookmarkStart w:id="6589" w:name="_Toc106883684"/>
      <w:r>
        <w:rPr>
          <w:rFonts w:hint="eastAsia" w:ascii="宋体" w:hAnsi="宋体" w:cs="楷体"/>
          <w:b/>
        </w:rPr>
        <w:t>8.14罗茨风机</w:t>
      </w:r>
      <w:bookmarkEnd w:id="6589"/>
    </w:p>
    <w:p>
      <w:pPr>
        <w:keepNext/>
        <w:adjustRightInd w:val="0"/>
        <w:snapToGrid w:val="0"/>
        <w:spacing w:before="120" w:after="120"/>
        <w:outlineLvl w:val="2"/>
        <w:rPr>
          <w:rFonts w:ascii="宋体" w:hAnsi="宋体" w:cs="楷体"/>
          <w:b/>
        </w:rPr>
      </w:pPr>
      <w:bookmarkStart w:id="6590" w:name="_Toc106883685"/>
      <w:r>
        <w:rPr>
          <w:rFonts w:hint="eastAsia" w:ascii="宋体" w:hAnsi="宋体" w:cs="楷体"/>
          <w:b/>
        </w:rPr>
        <w:t>8.14.1概述</w:t>
      </w:r>
      <w:bookmarkEnd w:id="6590"/>
    </w:p>
    <w:p>
      <w:pPr>
        <w:tabs>
          <w:tab w:val="left" w:pos="420"/>
        </w:tabs>
        <w:adjustRightInd w:val="0"/>
        <w:snapToGrid w:val="0"/>
        <w:spacing w:before="120" w:after="120"/>
        <w:ind w:firstLine="500" w:firstLineChars="200"/>
        <w:rPr>
          <w:rFonts w:ascii="宋体" w:hAnsi="宋体" w:cs="楷体"/>
        </w:rPr>
      </w:pPr>
      <w:r>
        <w:rPr>
          <w:rFonts w:hint="eastAsia" w:ascii="宋体" w:hAnsi="宋体" w:cs="楷体"/>
        </w:rPr>
        <w:t>本工程设反冲洗泵房1座，内设罗茨风机，安装位置详见供货范围及图纸。</w:t>
      </w:r>
    </w:p>
    <w:p>
      <w:pPr>
        <w:keepNext/>
        <w:adjustRightInd w:val="0"/>
        <w:snapToGrid w:val="0"/>
        <w:spacing w:before="120" w:after="120"/>
        <w:outlineLvl w:val="0"/>
        <w:rPr>
          <w:rFonts w:ascii="宋体" w:hAnsi="宋体" w:cs="楷体"/>
          <w:b/>
        </w:rPr>
      </w:pPr>
      <w:bookmarkStart w:id="6591" w:name="_Toc106883686"/>
      <w:r>
        <w:rPr>
          <w:rFonts w:hint="eastAsia" w:ascii="宋体" w:hAnsi="宋体" w:cs="楷体"/>
          <w:b/>
        </w:rPr>
        <w:t>8.14.2设备清单</w:t>
      </w:r>
      <w:bookmarkEnd w:id="6591"/>
    </w:p>
    <w:p>
      <w:pPr>
        <w:keepNext/>
        <w:adjustRightInd w:val="0"/>
        <w:snapToGrid w:val="0"/>
        <w:spacing w:before="50" w:after="50"/>
        <w:jc w:val="center"/>
        <w:rPr>
          <w:rFonts w:ascii="宋体" w:hAnsi="宋体" w:cs="楷体"/>
        </w:rPr>
      </w:pPr>
      <w:r>
        <w:rPr>
          <w:rFonts w:hint="eastAsia" w:ascii="宋体" w:hAnsi="宋体" w:cs="楷体"/>
        </w:rPr>
        <w:t>设备清单及技术参数表</w:t>
      </w:r>
    </w:p>
    <w:tbl>
      <w:tblPr>
        <w:tblStyle w:val="77"/>
        <w:tblW w:w="5000" w:type="pct"/>
        <w:tblInd w:w="0" w:type="dxa"/>
        <w:tblLayout w:type="fixed"/>
        <w:tblCellMar>
          <w:top w:w="0" w:type="dxa"/>
          <w:left w:w="108" w:type="dxa"/>
          <w:bottom w:w="0" w:type="dxa"/>
          <w:right w:w="108" w:type="dxa"/>
        </w:tblCellMar>
      </w:tblPr>
      <w:tblGrid>
        <w:gridCol w:w="529"/>
        <w:gridCol w:w="1371"/>
        <w:gridCol w:w="1859"/>
        <w:gridCol w:w="841"/>
        <w:gridCol w:w="576"/>
        <w:gridCol w:w="841"/>
        <w:gridCol w:w="1135"/>
        <w:gridCol w:w="1568"/>
      </w:tblGrid>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78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06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3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65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安装位置</w:t>
            </w:r>
          </w:p>
        </w:tc>
        <w:tc>
          <w:tcPr>
            <w:tcW w:w="89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786"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bottom"/>
              <w:rPr>
                <w:rFonts w:ascii="宋体" w:hAnsi="宋体" w:cs="楷体"/>
                <w:kern w:val="0"/>
              </w:rPr>
            </w:pPr>
            <w:r>
              <w:rPr>
                <w:rFonts w:hint="eastAsia" w:ascii="宋体" w:hAnsi="宋体" w:cs="楷体"/>
                <w:kern w:val="0"/>
              </w:rPr>
              <w:t>罗茨风机</w:t>
            </w:r>
          </w:p>
        </w:tc>
        <w:tc>
          <w:tcPr>
            <w:tcW w:w="1066"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Q=23m</w:t>
            </w:r>
            <w:r>
              <w:rPr>
                <w:rFonts w:hint="eastAsia" w:ascii="宋体" w:hAnsi="宋体" w:cs="楷体"/>
                <w:kern w:val="0"/>
                <w:vertAlign w:val="superscript"/>
              </w:rPr>
              <w:t>3</w:t>
            </w:r>
            <w:r>
              <w:rPr>
                <w:rFonts w:hint="eastAsia" w:ascii="宋体" w:hAnsi="宋体" w:cs="楷体"/>
                <w:kern w:val="0"/>
              </w:rPr>
              <w:t>/min，H=50kpa，N=45kw</w:t>
            </w:r>
          </w:p>
        </w:tc>
        <w:tc>
          <w:tcPr>
            <w:tcW w:w="482"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成品</w:t>
            </w:r>
          </w:p>
        </w:tc>
        <w:tc>
          <w:tcPr>
            <w:tcW w:w="330"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套</w:t>
            </w:r>
          </w:p>
        </w:tc>
        <w:tc>
          <w:tcPr>
            <w:tcW w:w="482"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2</w:t>
            </w:r>
          </w:p>
        </w:tc>
        <w:tc>
          <w:tcPr>
            <w:tcW w:w="651" w:type="pct"/>
            <w:tcBorders>
              <w:top w:val="nil"/>
              <w:left w:val="nil"/>
              <w:bottom w:val="nil"/>
              <w:right w:val="nil"/>
            </w:tcBorders>
            <w:vAlign w:val="center"/>
          </w:tcPr>
          <w:p>
            <w:pPr>
              <w:widowControl/>
              <w:adjustRightInd w:val="0"/>
              <w:snapToGrid w:val="0"/>
              <w:jc w:val="center"/>
              <w:textAlignment w:val="bottom"/>
              <w:rPr>
                <w:rFonts w:ascii="宋体" w:hAnsi="宋体" w:cs="楷体"/>
                <w:kern w:val="0"/>
              </w:rPr>
            </w:pPr>
            <w:r>
              <w:rPr>
                <w:rFonts w:hint="eastAsia" w:ascii="宋体" w:hAnsi="宋体" w:cs="楷体"/>
                <w:kern w:val="0"/>
              </w:rPr>
              <w:t>反冲洗泵房</w:t>
            </w:r>
          </w:p>
        </w:tc>
        <w:tc>
          <w:tcPr>
            <w:tcW w:w="899"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一用一备，变频控制,内置放空阀等附件</w:t>
            </w:r>
          </w:p>
        </w:tc>
      </w:tr>
    </w:tbl>
    <w:p>
      <w:pPr>
        <w:keepNext/>
        <w:adjustRightInd w:val="0"/>
        <w:snapToGrid w:val="0"/>
        <w:spacing w:before="120" w:after="120"/>
        <w:outlineLvl w:val="0"/>
        <w:rPr>
          <w:rFonts w:ascii="宋体" w:hAnsi="宋体" w:cs="楷体"/>
          <w:b/>
        </w:rPr>
      </w:pPr>
      <w:bookmarkStart w:id="6592" w:name="_Toc106883687"/>
      <w:r>
        <w:rPr>
          <w:rFonts w:hint="eastAsia" w:ascii="宋体" w:hAnsi="宋体" w:cs="楷体"/>
          <w:b/>
        </w:rPr>
        <w:t>8.14.3基本要求</w:t>
      </w:r>
      <w:bookmarkEnd w:id="6592"/>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要求主机原装进口，国内成套，整机应由主机制造商一体成套，合格检测出厂后整体供货。配套电机的品牌为WEG/ABB/SIEMENS进口品牌。 制造商和代理商必须共同签署售后服务承诺函，保证售后服务代理商无法履行时，由其所在中国的子公司继续履行售后和质保条款。</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投标人提供的滤池冲洗风机应为成套装置，主要包括(但不限于)：鼓风机、电机、吸气口消声器（含空气滤清器）、整体底座、自动泄荷启动阀、出气口消音器、单向阀、安全阀、出气橡胶挠性接头、皮带传动系统及自张紧系统、三角带、隔音罩及散热风扇、滤清器阻塞显示器、真空开关、出口压力表、出口温度表、出口压力开关、减震垫、连接件、地脚螺栓及其余配套附件、本招标文件规定的其他备品、备件和专用工具。</w:t>
      </w:r>
    </w:p>
    <w:p>
      <w:pPr>
        <w:keepNext/>
        <w:adjustRightInd w:val="0"/>
        <w:snapToGrid w:val="0"/>
        <w:spacing w:before="120" w:after="120"/>
        <w:outlineLvl w:val="0"/>
        <w:rPr>
          <w:rFonts w:ascii="宋体" w:hAnsi="宋体" w:cs="楷体"/>
          <w:b/>
        </w:rPr>
      </w:pPr>
      <w:bookmarkStart w:id="6593" w:name="_Toc106883688"/>
      <w:r>
        <w:rPr>
          <w:rFonts w:hint="eastAsia" w:ascii="宋体" w:hAnsi="宋体" w:cs="楷体"/>
          <w:b/>
        </w:rPr>
        <w:t>8.14.4产品要求</w:t>
      </w:r>
      <w:bookmarkEnd w:id="6593"/>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（1）设计条件</w:t>
      </w:r>
    </w:p>
    <w:p>
      <w:pPr>
        <w:pStyle w:val="1156"/>
        <w:numPr>
          <w:ilvl w:val="0"/>
          <w:numId w:val="85"/>
        </w:numPr>
        <w:adjustRightInd w:val="0"/>
        <w:snapToGrid w:val="0"/>
        <w:spacing w:before="203" w:beforeLines="50" w:after="203" w:afterLines="50" w:line="240" w:lineRule="auto"/>
        <w:ind w:firstLineChars="0"/>
        <w:rPr>
          <w:rFonts w:ascii="宋体" w:hAnsi="宋体" w:cs="楷体"/>
          <w:bCs/>
          <w:szCs w:val="24"/>
        </w:rPr>
      </w:pPr>
      <w:bookmarkStart w:id="6594" w:name="_Toc106050446"/>
      <w:r>
        <w:rPr>
          <w:rFonts w:hint="eastAsia" w:ascii="宋体" w:hAnsi="宋体" w:cs="楷体"/>
          <w:bCs/>
          <w:szCs w:val="24"/>
        </w:rPr>
        <w:t>进口空气温度                  -10～41</w:t>
      </w:r>
      <w:r>
        <w:rPr>
          <w:rFonts w:hint="eastAsia" w:ascii="宋体" w:hAnsi="宋体" w:cs="楷体"/>
          <w:bCs/>
          <w:szCs w:val="24"/>
        </w:rPr>
        <w:sym w:font="Symbol" w:char="F0B0"/>
      </w:r>
      <w:r>
        <w:rPr>
          <w:rFonts w:hint="eastAsia" w:ascii="宋体" w:hAnsi="宋体" w:cs="楷体"/>
          <w:bCs/>
          <w:szCs w:val="24"/>
        </w:rPr>
        <w:t>C</w:t>
      </w:r>
      <w:bookmarkEnd w:id="6594"/>
    </w:p>
    <w:p>
      <w:pPr>
        <w:pStyle w:val="1156"/>
        <w:numPr>
          <w:ilvl w:val="0"/>
          <w:numId w:val="85"/>
        </w:numPr>
        <w:adjustRightInd w:val="0"/>
        <w:snapToGrid w:val="0"/>
        <w:spacing w:before="203" w:beforeLines="50" w:after="203" w:afterLines="50" w:line="240" w:lineRule="auto"/>
        <w:ind w:firstLineChars="0"/>
        <w:rPr>
          <w:rFonts w:ascii="宋体" w:hAnsi="宋体" w:cs="楷体"/>
          <w:szCs w:val="24"/>
        </w:rPr>
      </w:pPr>
      <w:r>
        <w:rPr>
          <w:rFonts w:hint="eastAsia" w:ascii="宋体" w:hAnsi="宋体" w:cs="楷体"/>
          <w:bCs/>
          <w:szCs w:val="24"/>
        </w:rPr>
        <w:t>进口空气相对湿度～</w:t>
      </w:r>
      <w:r>
        <w:rPr>
          <w:rFonts w:hint="eastAsia" w:ascii="宋体" w:hAnsi="宋体" w:cs="楷体"/>
          <w:szCs w:val="24"/>
        </w:rPr>
        <w:t xml:space="preserve">80%   </w:t>
      </w:r>
    </w:p>
    <w:p>
      <w:pPr>
        <w:pStyle w:val="1156"/>
        <w:numPr>
          <w:ilvl w:val="0"/>
          <w:numId w:val="85"/>
        </w:numPr>
        <w:adjustRightInd w:val="0"/>
        <w:snapToGrid w:val="0"/>
        <w:spacing w:before="203" w:beforeLines="50" w:after="203" w:afterLines="50" w:line="240" w:lineRule="auto"/>
        <w:ind w:firstLineChars="0"/>
        <w:rPr>
          <w:rFonts w:ascii="宋体" w:hAnsi="宋体" w:cs="楷体"/>
          <w:szCs w:val="24"/>
        </w:rPr>
      </w:pPr>
      <w:r>
        <w:rPr>
          <w:rFonts w:hint="eastAsia" w:ascii="宋体" w:hAnsi="宋体" w:cs="楷体"/>
          <w:bCs/>
          <w:szCs w:val="24"/>
        </w:rPr>
        <w:t>室内环境温度</w:t>
      </w:r>
      <w:r>
        <w:rPr>
          <w:rFonts w:hint="eastAsia" w:ascii="宋体" w:hAnsi="宋体" w:cs="楷体"/>
          <w:szCs w:val="24"/>
        </w:rPr>
        <w:t xml:space="preserve">                  0～40</w:t>
      </w:r>
      <w:r>
        <w:rPr>
          <w:rFonts w:hint="eastAsia" w:ascii="宋体" w:hAnsi="宋体" w:cs="楷体"/>
          <w:szCs w:val="24"/>
        </w:rPr>
        <w:sym w:font="Symbol" w:char="F0B0"/>
      </w:r>
      <w:r>
        <w:rPr>
          <w:rFonts w:hint="eastAsia" w:ascii="宋体" w:hAnsi="宋体" w:cs="楷体"/>
          <w:szCs w:val="24"/>
        </w:rPr>
        <w:t>C</w:t>
      </w:r>
    </w:p>
    <w:p>
      <w:pPr>
        <w:pStyle w:val="1156"/>
        <w:numPr>
          <w:ilvl w:val="0"/>
          <w:numId w:val="85"/>
        </w:numPr>
        <w:adjustRightInd w:val="0"/>
        <w:snapToGrid w:val="0"/>
        <w:spacing w:before="203" w:beforeLines="50" w:after="203" w:afterLines="50" w:line="240" w:lineRule="auto"/>
        <w:ind w:firstLineChars="0"/>
        <w:rPr>
          <w:rFonts w:ascii="宋体" w:hAnsi="宋体" w:cs="楷体"/>
          <w:szCs w:val="24"/>
        </w:rPr>
      </w:pPr>
      <w:r>
        <w:rPr>
          <w:rFonts w:hint="eastAsia" w:ascii="宋体" w:hAnsi="宋体" w:cs="楷体"/>
          <w:szCs w:val="24"/>
        </w:rPr>
        <w:t>风机电机</w:t>
      </w:r>
      <w:r>
        <w:rPr>
          <w:rFonts w:hint="eastAsia" w:ascii="宋体" w:hAnsi="宋体" w:cs="楷体"/>
          <w:bCs/>
          <w:szCs w:val="24"/>
        </w:rPr>
        <w:t>额定电压</w:t>
      </w:r>
      <w:r>
        <w:rPr>
          <w:rFonts w:hint="eastAsia" w:ascii="宋体" w:hAnsi="宋体" w:cs="楷体"/>
          <w:szCs w:val="24"/>
        </w:rPr>
        <w:t xml:space="preserve">              380V</w:t>
      </w:r>
    </w:p>
    <w:p>
      <w:pPr>
        <w:pStyle w:val="20"/>
        <w:numPr>
          <w:ilvl w:val="0"/>
          <w:numId w:val="85"/>
        </w:numPr>
        <w:snapToGrid w:val="0"/>
        <w:spacing w:before="203" w:beforeLines="50" w:after="203" w:afterLines="50" w:line="240" w:lineRule="auto"/>
        <w:rPr>
          <w:rFonts w:ascii="宋体" w:hAnsi="宋体" w:cs="楷体"/>
          <w:sz w:val="24"/>
          <w:szCs w:val="24"/>
        </w:rPr>
      </w:pPr>
      <w:r>
        <w:rPr>
          <w:rFonts w:hint="eastAsia" w:ascii="宋体" w:hAnsi="宋体" w:cs="楷体"/>
          <w:sz w:val="24"/>
          <w:szCs w:val="24"/>
        </w:rPr>
        <w:t>工作时间                      连续或间断</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（2）风机型式为罗茨鼓风机。</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（3）在运行条件下，鼓风机机组应运行平稳，无异常噪音，无振动、无过热现象。</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（4）在额定工况流量点下，压力允许误差±3%。</w:t>
      </w:r>
    </w:p>
    <w:p>
      <w:pPr>
        <w:keepNext/>
        <w:adjustRightInd w:val="0"/>
        <w:snapToGrid w:val="0"/>
        <w:spacing w:before="120" w:after="120"/>
        <w:outlineLvl w:val="0"/>
        <w:rPr>
          <w:rFonts w:ascii="宋体" w:hAnsi="宋体" w:cs="楷体"/>
          <w:b/>
        </w:rPr>
      </w:pPr>
      <w:bookmarkStart w:id="6595" w:name="_Toc106883689"/>
      <w:r>
        <w:rPr>
          <w:rFonts w:hint="eastAsia" w:ascii="宋体" w:hAnsi="宋体" w:cs="楷体"/>
          <w:b/>
        </w:rPr>
        <w:t>8.14.5技术要求</w:t>
      </w:r>
      <w:bookmarkEnd w:id="6595"/>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（1）电动机绝缘等级应在F级以上。防护等级：IP55； IEC标准， B3设计。电机在额定工况下运行的平均寿命不小于20年。</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（2）风机应满足所在环境要求以及装置工艺操作要求，且运行可靠，技术先进。整机（包括辅助设备），其设计和制造应满足使用寿命至少为20年。</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（3）罗茨风机入口装设高效率的空气滤清器和消声器，并保证空气通过过滤器的最大流速不大于1.0～1.3m/s，压力损失为：100～250Pa；罗茨风机出口装设消声器。过滤器保证空气过滤效果，其结构设计应便于拆换。</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（4）罗茨风机易损件使用寿命符合相关标准规定，轴承使用寿命不小于40000小时，整机使用寿命不少于15年。第一次大修前安全运行不少于15000小时。同步齿轮使用寿命不少于50000小时。</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（5）风机配电动机的防护等级为IP54，绝缘等级为F级（温升按B级考核）</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（6）罗茨风机加隔音罩后，能够保证离隔音罩设备外壳1米处的噪声不超过85分贝。</w:t>
      </w:r>
    </w:p>
    <w:p>
      <w:pPr>
        <w:adjustRightInd w:val="0"/>
        <w:snapToGrid w:val="0"/>
        <w:spacing w:line="440" w:lineRule="exact"/>
        <w:ind w:firstLine="561"/>
        <w:rPr>
          <w:rFonts w:ascii="宋体" w:hAnsi="宋体" w:cs="楷体"/>
          <w:kern w:val="0"/>
        </w:rPr>
      </w:pPr>
      <w:r>
        <w:rPr>
          <w:rFonts w:hint="eastAsia" w:ascii="宋体" w:hAnsi="宋体" w:cs="楷体"/>
        </w:rPr>
        <w:t>（7）</w:t>
      </w:r>
      <w:r>
        <w:rPr>
          <w:rFonts w:hint="eastAsia" w:ascii="宋体" w:hAnsi="宋体" w:cs="楷体"/>
          <w:kern w:val="0"/>
        </w:rPr>
        <w:t>鼓风机采用铸铁材质整体机壳，进出口均采用圆型接口改善气流特性降低噪音；铸铁材质端板配备通气帽隔断过程空气和润滑油箱间的压力差；油箱采用铸铝，利于散热并减轻重量；高等级球墨铸铁材质转子与轴一体铸造加工，经过严格动平衡测试，转子间无接触摩擦且无需液封或润滑；</w:t>
      </w:r>
      <w:r>
        <w:rPr>
          <w:rFonts w:ascii="宋体" w:hAnsi="宋体" w:cs="楷体"/>
          <w:kern w:val="0"/>
        </w:rPr>
        <w:t>轴承</w:t>
      </w:r>
      <w:r>
        <w:rPr>
          <w:rFonts w:hint="eastAsia" w:ascii="宋体" w:hAnsi="宋体" w:cs="楷体"/>
          <w:kern w:val="0"/>
        </w:rPr>
        <w:t>采用SKF轴承</w:t>
      </w:r>
      <w:r>
        <w:rPr>
          <w:rFonts w:ascii="宋体" w:hAnsi="宋体" w:cs="楷体"/>
          <w:kern w:val="0"/>
        </w:rPr>
        <w:t>，驱动侧为滚柱轴承，非驱动侧为双列</w:t>
      </w:r>
      <w:r>
        <w:rPr>
          <w:rFonts w:hint="eastAsia" w:ascii="宋体" w:hAnsi="宋体" w:cs="楷体"/>
          <w:kern w:val="0"/>
        </w:rPr>
        <w:t>角</w:t>
      </w:r>
      <w:r>
        <w:rPr>
          <w:rFonts w:ascii="宋体" w:hAnsi="宋体" w:cs="楷体"/>
          <w:kern w:val="0"/>
        </w:rPr>
        <w:t>轴承，使用寿命</w:t>
      </w:r>
      <w:r>
        <w:rPr>
          <w:rFonts w:hint="eastAsia" w:ascii="宋体" w:hAnsi="宋体" w:cs="楷体"/>
          <w:kern w:val="0"/>
        </w:rPr>
        <w:t>不小于4</w:t>
      </w:r>
      <w:r>
        <w:rPr>
          <w:rFonts w:ascii="宋体" w:hAnsi="宋体" w:cs="楷体"/>
          <w:kern w:val="0"/>
        </w:rPr>
        <w:t>0000小时；</w:t>
      </w:r>
      <w:r>
        <w:rPr>
          <w:rFonts w:hint="eastAsia" w:ascii="宋体" w:hAnsi="宋体" w:cs="楷体"/>
          <w:kern w:val="0"/>
        </w:rPr>
        <w:t>风机内部传动</w:t>
      </w:r>
      <w:r>
        <w:rPr>
          <w:rFonts w:ascii="宋体" w:hAnsi="宋体" w:cs="楷体"/>
          <w:kern w:val="0"/>
        </w:rPr>
        <w:t>采用</w:t>
      </w:r>
      <w:r>
        <w:rPr>
          <w:rFonts w:hint="eastAsia" w:ascii="宋体" w:hAnsi="宋体" w:cs="楷体"/>
          <w:kern w:val="0"/>
        </w:rPr>
        <w:t>硬质合金</w:t>
      </w:r>
      <w:r>
        <w:rPr>
          <w:rFonts w:ascii="宋体" w:hAnsi="宋体" w:cs="楷体"/>
          <w:kern w:val="0"/>
        </w:rPr>
        <w:t>高精密同步</w:t>
      </w:r>
      <w:r>
        <w:rPr>
          <w:rFonts w:hint="eastAsia" w:ascii="宋体" w:hAnsi="宋体" w:cs="楷体"/>
          <w:kern w:val="0"/>
        </w:rPr>
        <w:t>斜齿传动；</w:t>
      </w:r>
      <w:r>
        <w:rPr>
          <w:rFonts w:ascii="宋体" w:hAnsi="宋体" w:cs="楷体"/>
          <w:kern w:val="0"/>
        </w:rPr>
        <w:t>为适应连续</w:t>
      </w:r>
      <w:r>
        <w:rPr>
          <w:rFonts w:hint="eastAsia" w:ascii="宋体" w:hAnsi="宋体" w:cs="楷体"/>
          <w:kern w:val="0"/>
        </w:rPr>
        <w:t>长时间</w:t>
      </w:r>
      <w:r>
        <w:rPr>
          <w:rFonts w:ascii="宋体" w:hAnsi="宋体" w:cs="楷体"/>
          <w:kern w:val="0"/>
        </w:rPr>
        <w:t>重负荷运转，主机两端的轴承润滑均为</w:t>
      </w:r>
      <w:r>
        <w:rPr>
          <w:rFonts w:hint="eastAsia" w:ascii="宋体" w:hAnsi="宋体" w:cs="楷体"/>
          <w:kern w:val="0"/>
        </w:rPr>
        <w:t>飞溅式</w:t>
      </w:r>
      <w:r>
        <w:rPr>
          <w:rFonts w:ascii="宋体" w:hAnsi="宋体" w:cs="楷体"/>
          <w:kern w:val="0"/>
        </w:rPr>
        <w:t>油润滑，不采用油脂润滑；</w:t>
      </w:r>
      <w:r>
        <w:rPr>
          <w:rFonts w:hint="eastAsia" w:ascii="宋体" w:hAnsi="宋体" w:cs="楷体"/>
          <w:kern w:val="0"/>
        </w:rPr>
        <w:t>鼓风机采用单级风冷方式，</w:t>
      </w:r>
      <w:r>
        <w:rPr>
          <w:rFonts w:ascii="宋体" w:hAnsi="宋体" w:cs="楷体"/>
          <w:kern w:val="0"/>
        </w:rPr>
        <w:t>不</w:t>
      </w:r>
      <w:r>
        <w:rPr>
          <w:rFonts w:hint="eastAsia" w:ascii="宋体" w:hAnsi="宋体" w:cs="楷体"/>
          <w:kern w:val="0"/>
        </w:rPr>
        <w:t>得采用</w:t>
      </w:r>
      <w:r>
        <w:rPr>
          <w:rFonts w:ascii="宋体" w:hAnsi="宋体" w:cs="楷体"/>
          <w:kern w:val="0"/>
        </w:rPr>
        <w:t>冷却水</w:t>
      </w:r>
      <w:r>
        <w:rPr>
          <w:rFonts w:hint="eastAsia" w:ascii="宋体" w:hAnsi="宋体" w:cs="楷体"/>
          <w:kern w:val="0"/>
        </w:rPr>
        <w:t>冷却形式，或两级增压型式，方便使用维护，节省使用费用。为了保证气源清洁，</w:t>
      </w:r>
      <w:r>
        <w:rPr>
          <w:rFonts w:ascii="宋体" w:hAnsi="宋体" w:cs="楷体"/>
          <w:kern w:val="0"/>
        </w:rPr>
        <w:t>密封</w:t>
      </w:r>
      <w:r>
        <w:rPr>
          <w:rFonts w:hint="eastAsia" w:ascii="宋体" w:hAnsi="宋体" w:cs="楷体"/>
          <w:kern w:val="0"/>
        </w:rPr>
        <w:t>应采用活塞环密型，以</w:t>
      </w:r>
      <w:r>
        <w:rPr>
          <w:rFonts w:ascii="宋体" w:hAnsi="宋体" w:cs="楷体"/>
          <w:kern w:val="0"/>
        </w:rPr>
        <w:t>保证</w:t>
      </w:r>
      <w:r>
        <w:rPr>
          <w:rFonts w:hint="eastAsia" w:ascii="宋体" w:hAnsi="宋体" w:cs="楷体"/>
          <w:kern w:val="0"/>
        </w:rPr>
        <w:t>风机在重负荷下油箱的油100％不会进入到箱体内。</w:t>
      </w:r>
    </w:p>
    <w:p>
      <w:pPr>
        <w:adjustRightInd w:val="0"/>
        <w:snapToGrid w:val="0"/>
        <w:spacing w:line="440" w:lineRule="exact"/>
        <w:ind w:firstLine="561"/>
        <w:rPr>
          <w:rFonts w:ascii="宋体" w:hAnsi="宋体" w:cs="楷体"/>
          <w:kern w:val="0"/>
        </w:rPr>
      </w:pPr>
      <w:r>
        <w:rPr>
          <w:rFonts w:hint="eastAsia" w:ascii="宋体" w:hAnsi="宋体" w:cs="楷体"/>
          <w:kern w:val="0"/>
        </w:rPr>
        <w:t>（8）鼓风机的型式为三叶罗茨鼓风机。要求在运行条件范围内，鼓风机机组应运行平稳，无异常噪音，无振动、无过热现象，应保证在距风机机组隔音罩外侧1</w:t>
      </w:r>
      <w:r>
        <w:rPr>
          <w:rFonts w:ascii="宋体" w:hAnsi="宋体" w:cs="楷体"/>
          <w:kern w:val="0"/>
        </w:rPr>
        <w:t>m</w:t>
      </w:r>
      <w:r>
        <w:rPr>
          <w:rFonts w:hint="eastAsia" w:ascii="宋体" w:hAnsi="宋体" w:cs="楷体"/>
          <w:kern w:val="0"/>
        </w:rPr>
        <w:t>处噪音不大于85</w:t>
      </w:r>
      <w:r>
        <w:rPr>
          <w:rFonts w:ascii="宋体" w:hAnsi="宋体" w:cs="楷体"/>
          <w:kern w:val="0"/>
        </w:rPr>
        <w:t>d</w:t>
      </w:r>
      <w:r>
        <w:rPr>
          <w:rFonts w:hint="eastAsia" w:ascii="宋体" w:hAnsi="宋体" w:cs="楷体"/>
          <w:kern w:val="0"/>
        </w:rPr>
        <w:t>B。</w:t>
      </w:r>
    </w:p>
    <w:p>
      <w:pPr>
        <w:adjustRightInd w:val="0"/>
        <w:snapToGrid w:val="0"/>
        <w:spacing w:line="440" w:lineRule="exact"/>
        <w:ind w:firstLine="561"/>
        <w:rPr>
          <w:rFonts w:ascii="宋体" w:hAnsi="宋体" w:cs="楷体"/>
          <w:kern w:val="0"/>
        </w:rPr>
      </w:pPr>
      <w:r>
        <w:rPr>
          <w:rFonts w:hint="eastAsia" w:ascii="宋体" w:hAnsi="宋体" w:cs="楷体"/>
          <w:kern w:val="0"/>
        </w:rPr>
        <w:t>（9）要求在额定工况压力点下，流量允许误差±4%。</w:t>
      </w:r>
    </w:p>
    <w:p>
      <w:pPr>
        <w:adjustRightInd w:val="0"/>
        <w:snapToGrid w:val="0"/>
        <w:spacing w:line="440" w:lineRule="exact"/>
        <w:ind w:firstLine="561"/>
        <w:rPr>
          <w:rFonts w:ascii="宋体" w:hAnsi="宋体" w:cs="楷体"/>
          <w:kern w:val="0"/>
        </w:rPr>
      </w:pPr>
      <w:r>
        <w:rPr>
          <w:rFonts w:hint="eastAsia" w:ascii="宋体" w:hAnsi="宋体" w:cs="楷体"/>
          <w:kern w:val="0"/>
        </w:rPr>
        <w:t>（1</w:t>
      </w:r>
      <w:r>
        <w:rPr>
          <w:rFonts w:ascii="宋体" w:hAnsi="宋体" w:cs="楷体"/>
          <w:kern w:val="0"/>
        </w:rPr>
        <w:t>0</w:t>
      </w:r>
      <w:r>
        <w:rPr>
          <w:rFonts w:hint="eastAsia" w:ascii="宋体" w:hAnsi="宋体" w:cs="楷体"/>
          <w:kern w:val="0"/>
        </w:rPr>
        <w:t>）风机转子组装前的静平衡和动平衡试验的精度应至少达到6</w:t>
      </w:r>
      <w:r>
        <w:rPr>
          <w:rFonts w:ascii="宋体" w:hAnsi="宋体" w:cs="楷体"/>
          <w:kern w:val="0"/>
        </w:rPr>
        <w:t>.</w:t>
      </w:r>
      <w:r>
        <w:rPr>
          <w:rFonts w:hint="eastAsia" w:ascii="宋体" w:hAnsi="宋体" w:cs="楷体"/>
          <w:kern w:val="0"/>
        </w:rPr>
        <w:t>3级。</w:t>
      </w:r>
    </w:p>
    <w:p>
      <w:pPr>
        <w:adjustRightInd w:val="0"/>
        <w:snapToGrid w:val="0"/>
        <w:spacing w:line="440" w:lineRule="exact"/>
        <w:ind w:firstLine="561"/>
        <w:rPr>
          <w:rFonts w:ascii="宋体" w:hAnsi="宋体" w:cs="楷体"/>
          <w:kern w:val="0"/>
        </w:rPr>
      </w:pPr>
      <w:r>
        <w:rPr>
          <w:rFonts w:hint="eastAsia" w:ascii="宋体" w:hAnsi="宋体" w:cs="楷体"/>
          <w:kern w:val="0"/>
        </w:rPr>
        <w:t>（1</w:t>
      </w:r>
      <w:r>
        <w:rPr>
          <w:rFonts w:ascii="宋体" w:hAnsi="宋体" w:cs="楷体"/>
          <w:kern w:val="0"/>
        </w:rPr>
        <w:t>1</w:t>
      </w:r>
      <w:r>
        <w:rPr>
          <w:rFonts w:hint="eastAsia" w:ascii="宋体" w:hAnsi="宋体" w:cs="楷体"/>
          <w:kern w:val="0"/>
        </w:rPr>
        <w:t>）鼓风机主机结构及材质：</w:t>
      </w:r>
    </w:p>
    <w:p>
      <w:pPr>
        <w:pStyle w:val="1156"/>
        <w:numPr>
          <w:ilvl w:val="3"/>
          <w:numId w:val="86"/>
        </w:numPr>
        <w:adjustRightInd w:val="0"/>
        <w:snapToGrid w:val="0"/>
        <w:spacing w:line="440" w:lineRule="exact"/>
        <w:ind w:left="1276" w:firstLineChars="0"/>
        <w:rPr>
          <w:rFonts w:ascii="宋体" w:hAnsi="宋体"/>
          <w:szCs w:val="21"/>
        </w:rPr>
      </w:pPr>
      <w:r>
        <w:rPr>
          <w:rFonts w:hint="eastAsia" w:ascii="宋体" w:hAnsi="宋体"/>
          <w:szCs w:val="21"/>
        </w:rPr>
        <w:t>鼓风机机壳由灰铸铁HT250制造，油箱为铸铝材质。</w:t>
      </w:r>
    </w:p>
    <w:p>
      <w:pPr>
        <w:pStyle w:val="1156"/>
        <w:numPr>
          <w:ilvl w:val="3"/>
          <w:numId w:val="86"/>
        </w:numPr>
        <w:adjustRightInd w:val="0"/>
        <w:snapToGrid w:val="0"/>
        <w:spacing w:line="440" w:lineRule="exact"/>
        <w:ind w:left="1276" w:firstLineChars="0"/>
        <w:rPr>
          <w:rFonts w:ascii="宋体" w:hAnsi="宋体"/>
          <w:szCs w:val="21"/>
        </w:rPr>
      </w:pPr>
      <w:r>
        <w:rPr>
          <w:rFonts w:hint="eastAsia" w:ascii="宋体" w:hAnsi="宋体"/>
          <w:szCs w:val="21"/>
        </w:rPr>
        <w:t>墙板（箱体和油箱之间）由球墨铸铁QT600-3制造。</w:t>
      </w:r>
    </w:p>
    <w:p>
      <w:pPr>
        <w:pStyle w:val="1156"/>
        <w:numPr>
          <w:ilvl w:val="3"/>
          <w:numId w:val="86"/>
        </w:numPr>
        <w:adjustRightInd w:val="0"/>
        <w:snapToGrid w:val="0"/>
        <w:spacing w:line="440" w:lineRule="exact"/>
        <w:ind w:left="1276" w:firstLineChars="0"/>
        <w:rPr>
          <w:rFonts w:ascii="宋体" w:hAnsi="宋体"/>
          <w:szCs w:val="21"/>
        </w:rPr>
      </w:pPr>
      <w:r>
        <w:rPr>
          <w:rFonts w:hint="eastAsia" w:ascii="宋体" w:hAnsi="宋体"/>
          <w:szCs w:val="21"/>
        </w:rPr>
        <w:t>鼓风机转子及轴由球墨铸铁QT600-3铸造而成，使用寿命能达到50000小时。</w:t>
      </w:r>
    </w:p>
    <w:p>
      <w:pPr>
        <w:pStyle w:val="1156"/>
        <w:numPr>
          <w:ilvl w:val="3"/>
          <w:numId w:val="86"/>
        </w:numPr>
        <w:adjustRightInd w:val="0"/>
        <w:snapToGrid w:val="0"/>
        <w:spacing w:line="440" w:lineRule="exact"/>
        <w:ind w:left="1276" w:firstLineChars="0"/>
        <w:rPr>
          <w:rFonts w:ascii="宋体" w:hAnsi="宋体"/>
          <w:szCs w:val="21"/>
        </w:rPr>
      </w:pPr>
      <w:r>
        <w:rPr>
          <w:rFonts w:ascii="宋体" w:hAnsi="宋体"/>
          <w:szCs w:val="21"/>
        </w:rPr>
        <w:t>高精密同步</w:t>
      </w:r>
      <w:r>
        <w:rPr>
          <w:rFonts w:hint="eastAsia" w:ascii="宋体" w:hAnsi="宋体"/>
          <w:szCs w:val="21"/>
        </w:rPr>
        <w:t>斜齿传动，传动齿轮材质为20GrMo硬质合金，经高频淬火处理，采用磨齿加工制造，使用寿命能达到50000小时。齿轮传动装置的外壳体，由铸铁制造，具有足够的刚度和强度。</w:t>
      </w:r>
    </w:p>
    <w:p>
      <w:pPr>
        <w:pStyle w:val="1156"/>
        <w:numPr>
          <w:ilvl w:val="3"/>
          <w:numId w:val="86"/>
        </w:numPr>
        <w:adjustRightInd w:val="0"/>
        <w:snapToGrid w:val="0"/>
        <w:spacing w:line="440" w:lineRule="exact"/>
        <w:ind w:left="1276" w:firstLineChars="0"/>
        <w:rPr>
          <w:rFonts w:ascii="宋体" w:hAnsi="宋体"/>
          <w:szCs w:val="21"/>
        </w:rPr>
      </w:pPr>
      <w:r>
        <w:rPr>
          <w:rFonts w:hint="eastAsia" w:ascii="宋体" w:hAnsi="宋体"/>
          <w:szCs w:val="21"/>
        </w:rPr>
        <w:t>滚柱轴承，自带飞溅润滑系统，通过固定在两侧转子轴端的甩油盘将润滑油抛至各个部位。</w:t>
      </w:r>
    </w:p>
    <w:p>
      <w:pPr>
        <w:pStyle w:val="1156"/>
        <w:numPr>
          <w:ilvl w:val="3"/>
          <w:numId w:val="86"/>
        </w:numPr>
        <w:adjustRightInd w:val="0"/>
        <w:snapToGrid w:val="0"/>
        <w:spacing w:line="440" w:lineRule="exact"/>
        <w:ind w:left="1276" w:firstLineChars="0"/>
        <w:rPr>
          <w:rFonts w:ascii="宋体" w:hAnsi="宋体"/>
          <w:szCs w:val="21"/>
        </w:rPr>
      </w:pPr>
      <w:r>
        <w:rPr>
          <w:rFonts w:hint="eastAsia" w:ascii="宋体" w:hAnsi="宋体"/>
          <w:szCs w:val="21"/>
        </w:rPr>
        <w:t>整体底座：承载入口消音器滤清器、鼓风机、出口消音器及主电机。底座上配备电机滑轨并带有皮带自张紧系统。每台鼓风机的配套底座作为一个单独部件由型钢制成，具有足够的刚度，使得在起吊底板及安装设备时不会产生变形或对基座底板和机器部件造成损坏。鼓风机制造商应提出正确的安装方法，底座应配备减振器，并提供所需的地脚螺栓。</w:t>
      </w:r>
    </w:p>
    <w:p>
      <w:pPr>
        <w:adjustRightInd w:val="0"/>
        <w:snapToGrid w:val="0"/>
        <w:spacing w:line="440" w:lineRule="exact"/>
        <w:ind w:firstLine="561"/>
        <w:rPr>
          <w:rFonts w:ascii="宋体" w:hAnsi="宋体" w:cs="楷体"/>
          <w:kern w:val="0"/>
        </w:rPr>
      </w:pPr>
      <w:r>
        <w:rPr>
          <w:rFonts w:hint="eastAsia" w:ascii="宋体" w:hAnsi="宋体" w:cs="楷体"/>
          <w:kern w:val="0"/>
        </w:rPr>
        <w:t>（</w:t>
      </w:r>
      <w:r>
        <w:rPr>
          <w:rFonts w:ascii="宋体" w:hAnsi="宋体" w:cs="楷体"/>
          <w:kern w:val="0"/>
        </w:rPr>
        <w:t>12</w:t>
      </w:r>
      <w:r>
        <w:rPr>
          <w:rFonts w:hint="eastAsia" w:ascii="宋体" w:hAnsi="宋体" w:cs="楷体"/>
          <w:kern w:val="0"/>
        </w:rPr>
        <w:t>）</w:t>
      </w:r>
      <w:r>
        <w:rPr>
          <w:rFonts w:ascii="宋体" w:hAnsi="宋体" w:cs="楷体"/>
          <w:kern w:val="0"/>
        </w:rPr>
        <w:t>附属设备结构及材质</w:t>
      </w:r>
    </w:p>
    <w:p>
      <w:pPr>
        <w:pStyle w:val="1156"/>
        <w:numPr>
          <w:ilvl w:val="0"/>
          <w:numId w:val="87"/>
        </w:numPr>
        <w:adjustRightInd w:val="0"/>
        <w:snapToGrid w:val="0"/>
        <w:spacing w:line="440" w:lineRule="exact"/>
        <w:ind w:left="1276" w:firstLineChars="0"/>
        <w:rPr>
          <w:rFonts w:ascii="宋体" w:hAnsi="宋体"/>
          <w:szCs w:val="21"/>
        </w:rPr>
      </w:pPr>
      <w:r>
        <w:rPr>
          <w:rFonts w:hint="eastAsia" w:ascii="宋体" w:hAnsi="宋体"/>
          <w:szCs w:val="21"/>
        </w:rPr>
        <w:t>进气过滤消音器：采用焊接成型的抗式消音器，无任何附加填充材料，材质为普通碳钢加表面喷涂处理。内置纤维折板和海绵复合滤芯，过滤精度为</w:t>
      </w:r>
      <w:r>
        <w:rPr>
          <w:rFonts w:ascii="宋体" w:hAnsi="宋体"/>
          <w:szCs w:val="21"/>
        </w:rPr>
        <w:t>去除</w:t>
      </w:r>
      <w:r>
        <w:rPr>
          <w:rFonts w:hint="eastAsia" w:ascii="宋体" w:hAnsi="宋体"/>
          <w:szCs w:val="21"/>
        </w:rPr>
        <w:t>95%以上10微米以下</w:t>
      </w:r>
      <w:r>
        <w:rPr>
          <w:rFonts w:ascii="宋体" w:hAnsi="宋体"/>
          <w:szCs w:val="21"/>
        </w:rPr>
        <w:t>的灰尘或杂质</w:t>
      </w:r>
      <w:r>
        <w:rPr>
          <w:rFonts w:hint="eastAsia" w:ascii="宋体" w:hAnsi="宋体"/>
          <w:szCs w:val="21"/>
        </w:rPr>
        <w:t>，滤芯可通过壳体的检修口很方便地整体更换。</w:t>
      </w:r>
    </w:p>
    <w:p>
      <w:pPr>
        <w:pStyle w:val="1156"/>
        <w:numPr>
          <w:ilvl w:val="0"/>
          <w:numId w:val="87"/>
        </w:numPr>
        <w:adjustRightInd w:val="0"/>
        <w:snapToGrid w:val="0"/>
        <w:spacing w:line="440" w:lineRule="exact"/>
        <w:ind w:left="1276" w:firstLineChars="0"/>
        <w:rPr>
          <w:rFonts w:ascii="宋体" w:hAnsi="宋体"/>
          <w:szCs w:val="21"/>
        </w:rPr>
      </w:pPr>
      <w:r>
        <w:rPr>
          <w:rFonts w:hint="eastAsia" w:ascii="宋体" w:hAnsi="宋体"/>
          <w:szCs w:val="21"/>
        </w:rPr>
        <w:t>传动系统：采用皮带传动，皮带选用优质品牌产品，并配备防护罩。</w:t>
      </w:r>
    </w:p>
    <w:p>
      <w:pPr>
        <w:pStyle w:val="1156"/>
        <w:numPr>
          <w:ilvl w:val="0"/>
          <w:numId w:val="87"/>
        </w:numPr>
        <w:adjustRightInd w:val="0"/>
        <w:snapToGrid w:val="0"/>
        <w:spacing w:line="440" w:lineRule="exact"/>
        <w:ind w:left="1276" w:firstLineChars="0"/>
        <w:rPr>
          <w:rFonts w:ascii="宋体" w:hAnsi="宋体"/>
          <w:szCs w:val="21"/>
        </w:rPr>
      </w:pPr>
      <w:r>
        <w:rPr>
          <w:rFonts w:hint="eastAsia" w:ascii="宋体" w:hAnsi="宋体"/>
          <w:szCs w:val="21"/>
        </w:rPr>
        <w:t>皮带自张紧系统：皮带自张紧系统配备电机滑轨，承载电机重量，通过自张紧系统自动调节皮带张紧度，保证成套机组在运行中不需要人工调节皮带张紧度。</w:t>
      </w:r>
    </w:p>
    <w:p>
      <w:pPr>
        <w:pStyle w:val="1156"/>
        <w:numPr>
          <w:ilvl w:val="0"/>
          <w:numId w:val="87"/>
        </w:numPr>
        <w:adjustRightInd w:val="0"/>
        <w:snapToGrid w:val="0"/>
        <w:spacing w:line="440" w:lineRule="exact"/>
        <w:ind w:left="1276" w:firstLineChars="0"/>
        <w:rPr>
          <w:rFonts w:ascii="宋体" w:hAnsi="宋体"/>
          <w:szCs w:val="21"/>
        </w:rPr>
      </w:pPr>
      <w:r>
        <w:rPr>
          <w:rFonts w:hint="eastAsia" w:ascii="宋体" w:hAnsi="宋体"/>
          <w:szCs w:val="21"/>
        </w:rPr>
        <w:t>出口消音器：采用焊接成型的整体抗式消音器，不允许附加填充材料，材质为普通碳钢加表面喷涂处理，出口消音器固定于整体底座上，与鼓风机联接，承载鼓风机及入口消音器滤清器。</w:t>
      </w:r>
    </w:p>
    <w:p>
      <w:pPr>
        <w:pStyle w:val="1156"/>
        <w:numPr>
          <w:ilvl w:val="0"/>
          <w:numId w:val="87"/>
        </w:numPr>
        <w:adjustRightInd w:val="0"/>
        <w:snapToGrid w:val="0"/>
        <w:spacing w:line="440" w:lineRule="exact"/>
        <w:ind w:left="1276" w:firstLineChars="0"/>
        <w:rPr>
          <w:rFonts w:ascii="宋体" w:hAnsi="宋体"/>
          <w:szCs w:val="21"/>
        </w:rPr>
      </w:pPr>
      <w:r>
        <w:rPr>
          <w:rFonts w:hint="eastAsia" w:ascii="宋体" w:hAnsi="宋体"/>
          <w:szCs w:val="21"/>
        </w:rPr>
        <w:t>安全阀：是系统上的一个保险装置，当工作状况异常，阻力高于额定值时，安全阀开启，将气体从安全阀排出，防止风机和电动机过载。</w:t>
      </w:r>
    </w:p>
    <w:p>
      <w:pPr>
        <w:pStyle w:val="1156"/>
        <w:numPr>
          <w:ilvl w:val="0"/>
          <w:numId w:val="87"/>
        </w:numPr>
        <w:adjustRightInd w:val="0"/>
        <w:snapToGrid w:val="0"/>
        <w:spacing w:line="440" w:lineRule="exact"/>
        <w:ind w:left="1276" w:firstLineChars="0"/>
        <w:rPr>
          <w:rFonts w:ascii="宋体" w:hAnsi="宋体"/>
          <w:szCs w:val="21"/>
        </w:rPr>
      </w:pPr>
      <w:r>
        <w:rPr>
          <w:rFonts w:hint="eastAsia" w:ascii="宋体" w:hAnsi="宋体"/>
          <w:szCs w:val="21"/>
        </w:rPr>
        <w:t>单向阀：采用单瓣薄型止回阀，对夹于出口消音器和柔性接头短管法兰之间。是用以防止停机时系统高压气体倒流，使鼓风机转子反转，发生故障，同时防止系统灰尘倒流。阀体为铸铁制造。</w:t>
      </w:r>
    </w:p>
    <w:p>
      <w:pPr>
        <w:pStyle w:val="1156"/>
        <w:numPr>
          <w:ilvl w:val="0"/>
          <w:numId w:val="87"/>
        </w:numPr>
        <w:adjustRightInd w:val="0"/>
        <w:snapToGrid w:val="0"/>
        <w:spacing w:line="440" w:lineRule="exact"/>
        <w:ind w:left="1276" w:firstLineChars="0"/>
        <w:rPr>
          <w:rFonts w:ascii="宋体" w:hAnsi="宋体"/>
          <w:szCs w:val="21"/>
        </w:rPr>
      </w:pPr>
      <w:r>
        <w:rPr>
          <w:rFonts w:hint="eastAsia" w:ascii="宋体" w:hAnsi="宋体"/>
          <w:szCs w:val="21"/>
        </w:rPr>
        <w:t>橡胶挠性接头：挠性接头用于鼓风机出口与用户管道的连接，</w:t>
      </w:r>
      <w:r>
        <w:rPr>
          <w:rFonts w:ascii="宋体" w:hAnsi="宋体"/>
          <w:szCs w:val="21"/>
        </w:rPr>
        <w:t>具有良好的减震和隔音效果，能满足设备运行条件下的压力和温度要求。</w:t>
      </w:r>
    </w:p>
    <w:p>
      <w:pPr>
        <w:pStyle w:val="1156"/>
        <w:numPr>
          <w:ilvl w:val="0"/>
          <w:numId w:val="87"/>
        </w:numPr>
        <w:adjustRightInd w:val="0"/>
        <w:snapToGrid w:val="0"/>
        <w:spacing w:line="440" w:lineRule="exact"/>
        <w:ind w:left="1276" w:firstLineChars="0"/>
        <w:rPr>
          <w:rFonts w:ascii="宋体" w:hAnsi="宋体"/>
          <w:szCs w:val="21"/>
        </w:rPr>
      </w:pPr>
      <w:r>
        <w:rPr>
          <w:rFonts w:hint="eastAsia" w:ascii="宋体" w:hAnsi="宋体"/>
          <w:szCs w:val="21"/>
        </w:rPr>
        <w:t>自动泄荷启动阀：应安装自动泄荷启动阀，保证鼓风机和电机启动初期无载或低载，卸荷可自动关闭，无需任何控制。</w:t>
      </w:r>
    </w:p>
    <w:p>
      <w:pPr>
        <w:pStyle w:val="1156"/>
        <w:numPr>
          <w:ilvl w:val="0"/>
          <w:numId w:val="87"/>
        </w:numPr>
        <w:adjustRightInd w:val="0"/>
        <w:snapToGrid w:val="0"/>
        <w:spacing w:line="440" w:lineRule="exact"/>
        <w:ind w:left="1276" w:firstLineChars="0"/>
        <w:rPr>
          <w:rFonts w:ascii="宋体" w:hAnsi="宋体"/>
          <w:szCs w:val="21"/>
        </w:rPr>
      </w:pPr>
      <w:r>
        <w:rPr>
          <w:rFonts w:ascii="宋体" w:hAnsi="宋体"/>
          <w:szCs w:val="21"/>
        </w:rPr>
        <w:t>带通风系统的</w:t>
      </w:r>
      <w:r>
        <w:rPr>
          <w:rFonts w:hint="eastAsia" w:ascii="宋体" w:hAnsi="宋体"/>
          <w:szCs w:val="21"/>
        </w:rPr>
        <w:t>隔音罩：隔音罩是采用轻薄不锈钢（304）钢板压制或采用冷钢板喷塑而成，隔音罩内壁镶衬整体防火泡棉作为隔声材料，不得采用对人体有害的纤维类材料。所有对口结合面均有橡胶泡沫垫密封，</w:t>
      </w:r>
      <w:r>
        <w:rPr>
          <w:rFonts w:ascii="宋体" w:hAnsi="宋体"/>
          <w:szCs w:val="21"/>
        </w:rPr>
        <w:t>具有较好的隔声效果，保证在加隔音罩后距风机机组隔音罩外侧1m处噪音不大于85dB(A)。</w:t>
      </w:r>
      <w:r>
        <w:rPr>
          <w:rFonts w:hint="eastAsia" w:ascii="宋体" w:hAnsi="宋体"/>
          <w:szCs w:val="21"/>
        </w:rPr>
        <w:t>隔音罩外表面采用静电喷塑工艺，</w:t>
      </w:r>
      <w:r>
        <w:rPr>
          <w:rFonts w:ascii="宋体" w:hAnsi="宋体"/>
          <w:szCs w:val="21"/>
        </w:rPr>
        <w:t>隔音罩前后双开门，打开后能方便进行运行巡检和维护维修工作。</w:t>
      </w:r>
      <w:r>
        <w:rPr>
          <w:rFonts w:hint="eastAsia" w:ascii="宋体" w:hAnsi="宋体"/>
          <w:szCs w:val="21"/>
        </w:rPr>
        <w:t>隔音罩能拆卸方便，具有较好的隔声效果。里面装有独立风扇。</w:t>
      </w:r>
    </w:p>
    <w:p>
      <w:pPr>
        <w:pStyle w:val="1156"/>
        <w:numPr>
          <w:ilvl w:val="0"/>
          <w:numId w:val="87"/>
        </w:numPr>
        <w:adjustRightInd w:val="0"/>
        <w:snapToGrid w:val="0"/>
        <w:spacing w:line="440" w:lineRule="exact"/>
        <w:ind w:left="1276" w:firstLineChars="0"/>
        <w:rPr>
          <w:rFonts w:ascii="宋体" w:hAnsi="宋体"/>
          <w:szCs w:val="21"/>
        </w:rPr>
      </w:pPr>
      <w:r>
        <w:rPr>
          <w:rFonts w:ascii="宋体" w:hAnsi="宋体"/>
          <w:szCs w:val="21"/>
        </w:rPr>
        <w:t>滤清器阻塞显示器：设置在滤清器和进气管之间，当滤清器需要清洗时发出警告。</w:t>
      </w:r>
    </w:p>
    <w:p>
      <w:pPr>
        <w:pStyle w:val="1156"/>
        <w:numPr>
          <w:ilvl w:val="0"/>
          <w:numId w:val="87"/>
        </w:numPr>
        <w:adjustRightInd w:val="0"/>
        <w:snapToGrid w:val="0"/>
        <w:spacing w:line="440" w:lineRule="exact"/>
        <w:ind w:left="1276" w:firstLineChars="0"/>
        <w:rPr>
          <w:rFonts w:ascii="宋体" w:hAnsi="宋体"/>
          <w:szCs w:val="21"/>
        </w:rPr>
      </w:pPr>
      <w:r>
        <w:rPr>
          <w:rFonts w:ascii="宋体" w:hAnsi="宋体"/>
          <w:szCs w:val="21"/>
        </w:rPr>
        <w:t>出口气体压力表：每台鼓风机提供一个出口气体压力表，安装在隔音罩上，现场指示气体压力。</w:t>
      </w:r>
    </w:p>
    <w:p>
      <w:pPr>
        <w:pStyle w:val="1156"/>
        <w:numPr>
          <w:ilvl w:val="0"/>
          <w:numId w:val="87"/>
        </w:numPr>
        <w:adjustRightInd w:val="0"/>
        <w:snapToGrid w:val="0"/>
        <w:spacing w:line="440" w:lineRule="exact"/>
        <w:ind w:left="1276" w:firstLineChars="0"/>
        <w:rPr>
          <w:rFonts w:ascii="宋体" w:hAnsi="宋体"/>
          <w:szCs w:val="21"/>
        </w:rPr>
      </w:pPr>
      <w:r>
        <w:rPr>
          <w:rFonts w:ascii="宋体" w:hAnsi="宋体"/>
          <w:szCs w:val="21"/>
        </w:rPr>
        <w:t>出口气体压力开关：是系统上的一个保险装置，当系统工作状况异常，出口气体压力高于设定值时，压力开关提供一个无源触点信号，用于机组紧急停机。</w:t>
      </w:r>
    </w:p>
    <w:p>
      <w:pPr>
        <w:pStyle w:val="1156"/>
        <w:numPr>
          <w:ilvl w:val="0"/>
          <w:numId w:val="87"/>
        </w:numPr>
        <w:adjustRightInd w:val="0"/>
        <w:snapToGrid w:val="0"/>
        <w:spacing w:line="440" w:lineRule="exact"/>
        <w:ind w:left="1276" w:firstLineChars="0"/>
        <w:rPr>
          <w:rFonts w:ascii="宋体" w:hAnsi="宋体"/>
          <w:szCs w:val="21"/>
        </w:rPr>
      </w:pPr>
      <w:r>
        <w:rPr>
          <w:rFonts w:ascii="宋体" w:hAnsi="宋体"/>
          <w:szCs w:val="21"/>
        </w:rPr>
        <w:t>★配套电机：鼓风机电机</w:t>
      </w:r>
      <w:r>
        <w:rPr>
          <w:rFonts w:hint="eastAsia" w:ascii="宋体" w:hAnsi="宋体"/>
          <w:szCs w:val="21"/>
        </w:rPr>
        <w:t>采用优质电机，</w:t>
      </w:r>
      <w:r>
        <w:rPr>
          <w:rFonts w:ascii="宋体" w:hAnsi="宋体"/>
          <w:szCs w:val="21"/>
        </w:rPr>
        <w:t>电源380V/50Hz，防护等级IP5</w:t>
      </w:r>
      <w:r>
        <w:rPr>
          <w:rFonts w:hint="eastAsia" w:ascii="宋体" w:hAnsi="宋体"/>
          <w:szCs w:val="21"/>
        </w:rPr>
        <w:t>4</w:t>
      </w:r>
      <w:r>
        <w:rPr>
          <w:rFonts w:ascii="宋体" w:hAnsi="宋体"/>
          <w:szCs w:val="21"/>
        </w:rPr>
        <w:t>。供电电压在10%范围内波动时，不影响设备正常运行，当设备满负荷运行时，其效率不低于92%。要求电机噪音低，振动小，在任何速度和负荷下轴的最大振幅不超过2密尔（正负峰值）。</w:t>
      </w:r>
    </w:p>
    <w:bookmarkEnd w:id="6572"/>
    <w:p>
      <w:pPr>
        <w:keepNext/>
        <w:adjustRightInd w:val="0"/>
        <w:snapToGrid w:val="0"/>
        <w:spacing w:before="203" w:beforeLines="50" w:after="203" w:afterLines="50"/>
        <w:outlineLvl w:val="1"/>
        <w:rPr>
          <w:rFonts w:ascii="宋体" w:hAnsi="宋体" w:cs="楷体"/>
          <w:b/>
        </w:rPr>
      </w:pPr>
      <w:bookmarkStart w:id="6596" w:name="_Toc106883690"/>
      <w:r>
        <w:rPr>
          <w:rFonts w:hint="eastAsia" w:ascii="宋体" w:hAnsi="宋体" w:cs="楷体"/>
          <w:b/>
        </w:rPr>
        <w:t>8.15空压机</w:t>
      </w:r>
      <w:bookmarkEnd w:id="6596"/>
    </w:p>
    <w:p>
      <w:pPr>
        <w:keepNext/>
        <w:adjustRightInd w:val="0"/>
        <w:snapToGrid w:val="0"/>
        <w:spacing w:before="120" w:after="120"/>
        <w:outlineLvl w:val="2"/>
        <w:rPr>
          <w:rFonts w:ascii="宋体" w:hAnsi="宋体" w:cs="楷体"/>
          <w:b/>
        </w:rPr>
      </w:pPr>
      <w:bookmarkStart w:id="6597" w:name="_Toc106883691"/>
      <w:r>
        <w:rPr>
          <w:rFonts w:hint="eastAsia" w:ascii="宋体" w:hAnsi="宋体" w:cs="楷体"/>
          <w:b/>
        </w:rPr>
        <w:t>8.15.1概述</w:t>
      </w:r>
      <w:bookmarkEnd w:id="6597"/>
    </w:p>
    <w:p>
      <w:pPr>
        <w:tabs>
          <w:tab w:val="left" w:pos="420"/>
        </w:tabs>
        <w:adjustRightInd w:val="0"/>
        <w:snapToGrid w:val="0"/>
        <w:spacing w:before="120" w:after="120"/>
        <w:ind w:firstLine="500" w:firstLineChars="200"/>
        <w:rPr>
          <w:rFonts w:ascii="宋体" w:hAnsi="宋体" w:cs="楷体"/>
        </w:rPr>
      </w:pPr>
      <w:r>
        <w:rPr>
          <w:rFonts w:hint="eastAsia" w:ascii="宋体" w:hAnsi="宋体" w:cs="楷体"/>
        </w:rPr>
        <w:t>本工程设反冲洗泵房1座，内设空压机，安装位置详见供货范围及图纸。</w:t>
      </w:r>
    </w:p>
    <w:p>
      <w:pPr>
        <w:keepNext/>
        <w:adjustRightInd w:val="0"/>
        <w:snapToGrid w:val="0"/>
        <w:spacing w:before="120" w:after="120"/>
        <w:outlineLvl w:val="0"/>
        <w:rPr>
          <w:rFonts w:ascii="宋体" w:hAnsi="宋体" w:cs="楷体"/>
          <w:b/>
        </w:rPr>
      </w:pPr>
      <w:bookmarkStart w:id="6598" w:name="_Toc106883692"/>
      <w:r>
        <w:rPr>
          <w:rFonts w:hint="eastAsia" w:ascii="宋体" w:hAnsi="宋体" w:cs="楷体"/>
          <w:b/>
        </w:rPr>
        <w:t>8.15.2设备清单</w:t>
      </w:r>
      <w:bookmarkEnd w:id="6598"/>
    </w:p>
    <w:p>
      <w:pPr>
        <w:keepNext/>
        <w:adjustRightInd w:val="0"/>
        <w:snapToGrid w:val="0"/>
        <w:spacing w:before="50" w:after="50"/>
        <w:jc w:val="center"/>
        <w:rPr>
          <w:rFonts w:ascii="宋体" w:hAnsi="宋体" w:cs="楷体"/>
        </w:rPr>
      </w:pPr>
      <w:r>
        <w:rPr>
          <w:rFonts w:hint="eastAsia" w:ascii="宋体" w:hAnsi="宋体" w:cs="楷体"/>
        </w:rPr>
        <w:t>设备清单及技术参数表</w:t>
      </w:r>
    </w:p>
    <w:tbl>
      <w:tblPr>
        <w:tblStyle w:val="77"/>
        <w:tblW w:w="5000" w:type="pct"/>
        <w:tblInd w:w="0" w:type="dxa"/>
        <w:tblLayout w:type="fixed"/>
        <w:tblCellMar>
          <w:top w:w="0" w:type="dxa"/>
          <w:left w:w="108" w:type="dxa"/>
          <w:bottom w:w="0" w:type="dxa"/>
          <w:right w:w="108" w:type="dxa"/>
        </w:tblCellMar>
      </w:tblPr>
      <w:tblGrid>
        <w:gridCol w:w="529"/>
        <w:gridCol w:w="1371"/>
        <w:gridCol w:w="1859"/>
        <w:gridCol w:w="841"/>
        <w:gridCol w:w="576"/>
        <w:gridCol w:w="841"/>
        <w:gridCol w:w="1135"/>
        <w:gridCol w:w="1568"/>
      </w:tblGrid>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78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066"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33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482"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651"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安装位置</w:t>
            </w:r>
          </w:p>
        </w:tc>
        <w:tc>
          <w:tcPr>
            <w:tcW w:w="89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27" w:hRule="atLeast"/>
        </w:trPr>
        <w:tc>
          <w:tcPr>
            <w:tcW w:w="304"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786"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空压机</w:t>
            </w:r>
          </w:p>
        </w:tc>
        <w:tc>
          <w:tcPr>
            <w:tcW w:w="1066"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Q=17.5L/s，H=1Mpa，N=7.5kw</w:t>
            </w:r>
          </w:p>
        </w:tc>
        <w:tc>
          <w:tcPr>
            <w:tcW w:w="482"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成品</w:t>
            </w:r>
          </w:p>
        </w:tc>
        <w:tc>
          <w:tcPr>
            <w:tcW w:w="330"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套</w:t>
            </w:r>
          </w:p>
        </w:tc>
        <w:tc>
          <w:tcPr>
            <w:tcW w:w="482"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2</w:t>
            </w:r>
          </w:p>
        </w:tc>
        <w:tc>
          <w:tcPr>
            <w:tcW w:w="651" w:type="pct"/>
            <w:tcBorders>
              <w:top w:val="nil"/>
              <w:left w:val="nil"/>
              <w:bottom w:val="nil"/>
              <w:right w:val="nil"/>
            </w:tcBorders>
            <w:vAlign w:val="center"/>
          </w:tcPr>
          <w:p>
            <w:pPr>
              <w:widowControl/>
              <w:adjustRightInd w:val="0"/>
              <w:snapToGrid w:val="0"/>
              <w:jc w:val="center"/>
              <w:textAlignment w:val="bottom"/>
              <w:rPr>
                <w:rFonts w:ascii="宋体" w:hAnsi="宋体" w:cs="楷体"/>
                <w:kern w:val="0"/>
              </w:rPr>
            </w:pPr>
            <w:r>
              <w:rPr>
                <w:rFonts w:hint="eastAsia" w:ascii="宋体" w:hAnsi="宋体" w:cs="楷体"/>
                <w:kern w:val="0"/>
              </w:rPr>
              <w:t>反冲洗泵房</w:t>
            </w:r>
          </w:p>
        </w:tc>
        <w:tc>
          <w:tcPr>
            <w:tcW w:w="899" w:type="pct"/>
            <w:tcBorders>
              <w:top w:val="single" w:color="000000" w:sz="4" w:space="0"/>
              <w:left w:val="single" w:color="000000" w:sz="4" w:space="0"/>
              <w:bottom w:val="nil"/>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一用一备</w:t>
            </w:r>
          </w:p>
        </w:tc>
      </w:tr>
    </w:tbl>
    <w:p>
      <w:pPr>
        <w:keepNext/>
        <w:adjustRightInd w:val="0"/>
        <w:snapToGrid w:val="0"/>
        <w:spacing w:before="120" w:after="120"/>
        <w:outlineLvl w:val="0"/>
        <w:rPr>
          <w:rFonts w:ascii="宋体" w:hAnsi="宋体" w:cs="楷体"/>
          <w:b/>
        </w:rPr>
      </w:pPr>
      <w:bookmarkStart w:id="6599" w:name="_Toc106883693"/>
      <w:r>
        <w:rPr>
          <w:rFonts w:hint="eastAsia" w:ascii="宋体" w:hAnsi="宋体" w:cs="楷体"/>
          <w:b/>
        </w:rPr>
        <w:t>8.15.3供货范围</w:t>
      </w:r>
      <w:bookmarkEnd w:id="6599"/>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承包人应提供1套完整的、标准化的空气压缩机系统，整套系统包括</w:t>
      </w:r>
      <w:r>
        <w:rPr>
          <w:rFonts w:ascii="宋体" w:hAnsi="宋体" w:cs="楷体"/>
          <w:sz w:val="24"/>
          <w:szCs w:val="24"/>
        </w:rPr>
        <w:t>2</w:t>
      </w:r>
      <w:r>
        <w:rPr>
          <w:rFonts w:hint="eastAsia" w:ascii="宋体" w:hAnsi="宋体" w:cs="楷体"/>
          <w:sz w:val="24"/>
          <w:szCs w:val="24"/>
        </w:rPr>
        <w:t>台空气压缩机及与之配套的电机、带有半自动张紧系统的皮带传动装置、空气进气过滤器、油分离系统、制冷干燥系统、气水分离器、油气分离器等设备。空气压缩机系统还应配有减压阀、压缩空气过滤器、储气罐、空气管路及气源分配器等。</w:t>
      </w:r>
    </w:p>
    <w:p>
      <w:pPr>
        <w:keepNext/>
        <w:adjustRightInd w:val="0"/>
        <w:snapToGrid w:val="0"/>
        <w:spacing w:before="120" w:after="120"/>
        <w:outlineLvl w:val="0"/>
        <w:rPr>
          <w:rFonts w:ascii="宋体" w:hAnsi="宋体" w:cs="楷体"/>
          <w:b/>
        </w:rPr>
      </w:pPr>
      <w:bookmarkStart w:id="6600" w:name="_Toc106883694"/>
      <w:r>
        <w:rPr>
          <w:rFonts w:hint="eastAsia" w:ascii="宋体" w:hAnsi="宋体" w:cs="楷体"/>
          <w:b/>
        </w:rPr>
        <w:t>8.15.4工作条件</w:t>
      </w:r>
      <w:bookmarkEnd w:id="6600"/>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空气压缩机系统用于净水厂气动阀门的动力供应，为室内工作，设计工作环境温度夏季室内温度为35℃，冬季室内温度为10℃。</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电源：380V+10%，50 ±1 Hz</w:t>
      </w:r>
    </w:p>
    <w:p>
      <w:pPr>
        <w:keepNext/>
        <w:adjustRightInd w:val="0"/>
        <w:snapToGrid w:val="0"/>
        <w:spacing w:before="120" w:after="120"/>
        <w:outlineLvl w:val="0"/>
        <w:rPr>
          <w:rFonts w:ascii="宋体" w:hAnsi="宋体" w:cs="楷体"/>
          <w:b/>
        </w:rPr>
      </w:pPr>
      <w:bookmarkStart w:id="6601" w:name="_Toc106883695"/>
      <w:r>
        <w:rPr>
          <w:rFonts w:hint="eastAsia" w:ascii="宋体" w:hAnsi="宋体" w:cs="楷体"/>
          <w:b/>
        </w:rPr>
        <w:t>8.15.5技术要求</w:t>
      </w:r>
      <w:bookmarkEnd w:id="6601"/>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空压机Q=</w:t>
      </w:r>
      <w:r>
        <w:rPr>
          <w:rFonts w:ascii="宋体" w:hAnsi="宋体" w:cs="楷体"/>
          <w:sz w:val="24"/>
          <w:szCs w:val="24"/>
        </w:rPr>
        <w:t>17.5L/s</w:t>
      </w:r>
      <w:r>
        <w:rPr>
          <w:rFonts w:hint="eastAsia" w:ascii="宋体" w:hAnsi="宋体" w:cs="楷体"/>
          <w:sz w:val="24"/>
          <w:szCs w:val="24"/>
        </w:rPr>
        <w:t>，额定工作压力</w:t>
      </w:r>
      <w:r>
        <w:rPr>
          <w:rFonts w:ascii="宋体" w:hAnsi="宋体" w:cs="楷体"/>
          <w:sz w:val="24"/>
          <w:szCs w:val="24"/>
        </w:rPr>
        <w:t>1.0</w:t>
      </w:r>
      <w:r>
        <w:rPr>
          <w:rFonts w:hint="eastAsia" w:ascii="宋体" w:hAnsi="宋体" w:cs="楷体"/>
          <w:sz w:val="24"/>
          <w:szCs w:val="24"/>
        </w:rPr>
        <w:t>MPa （表压），电机功率不超过</w:t>
      </w:r>
      <w:r>
        <w:rPr>
          <w:rFonts w:ascii="宋体" w:hAnsi="宋体" w:cs="楷体"/>
          <w:sz w:val="24"/>
          <w:szCs w:val="24"/>
        </w:rPr>
        <w:t>7.5</w:t>
      </w:r>
      <w:r>
        <w:rPr>
          <w:rFonts w:hint="eastAsia" w:ascii="宋体" w:hAnsi="宋体" w:cs="楷体"/>
          <w:sz w:val="24"/>
          <w:szCs w:val="24"/>
        </w:rPr>
        <w:t>kw。进气口处配有重负荷进气过滤器，以保证在恶劣环境下的高效运行。机组内装有紧凑型冷冻干燥机、热交换器、油气分离器、气水分离器。油气分离器使压缩空气中的含油量小于2.5ppm，气水分离器将使排出的冷凝水自动油水分离，达到环保排放要求。排气温度为环境温度+10～12℃。空压机噪音应小于75dBA。</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经二级压缩空气过滤器过滤后的空气品质应符合ISO8573-1：等级1.4.1。即粉尘颗粒尺寸0.01μm，最大压力露点为3℃，最大含油量0.01ppm。</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压力储气罐共设1个，设计压力1Mpa，每个容量1m3，材料为不锈钢，应包括自动排污阀、安全阀和压力表等。压力罐的生产厂家必须具备压力容器设计及制造许可证。</w:t>
      </w:r>
    </w:p>
    <w:p>
      <w:pPr>
        <w:pStyle w:val="20"/>
        <w:snapToGrid w:val="0"/>
        <w:spacing w:before="203" w:beforeLines="50" w:after="203" w:afterLines="50" w:line="240" w:lineRule="auto"/>
        <w:ind w:left="0" w:firstLine="0"/>
        <w:jc w:val="left"/>
        <w:rPr>
          <w:rFonts w:ascii="宋体" w:hAnsi="宋体" w:cs="楷体"/>
          <w:b/>
          <w:bCs/>
          <w:sz w:val="24"/>
          <w:szCs w:val="24"/>
        </w:rPr>
      </w:pPr>
      <w:bookmarkStart w:id="6602" w:name="_Toc106050454"/>
      <w:r>
        <w:rPr>
          <w:rFonts w:hint="eastAsia" w:ascii="宋体" w:hAnsi="宋体" w:cs="楷体"/>
          <w:b/>
          <w:bCs/>
          <w:sz w:val="24"/>
          <w:szCs w:val="24"/>
        </w:rPr>
        <w:t>（1）结构形式</w:t>
      </w:r>
      <w:bookmarkEnd w:id="6602"/>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空气压缩机结构为整体箱式结构，采用密闭钢制，刚性底盘。冷却方式为风冷式，冷干机与空压机为一体式。</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空压机驱动方式为皮带传动，配套电机为三相异步电机，降压启动，配有Y/△启动器。电机绝缘等级F级，防护等级IP55。空压机的全部组件一起组装在一个箱体内，制造商应在工厂内装配好机组内的全部电子及控制线路。</w:t>
      </w:r>
    </w:p>
    <w:p>
      <w:pPr>
        <w:pStyle w:val="20"/>
        <w:snapToGrid w:val="0"/>
        <w:spacing w:before="203" w:beforeLines="50" w:after="203" w:afterLines="50" w:line="240" w:lineRule="auto"/>
        <w:ind w:left="0" w:firstLine="0"/>
        <w:jc w:val="left"/>
        <w:rPr>
          <w:rFonts w:ascii="宋体" w:hAnsi="宋体" w:cs="楷体"/>
          <w:b/>
          <w:bCs/>
          <w:sz w:val="24"/>
          <w:szCs w:val="24"/>
        </w:rPr>
      </w:pPr>
      <w:bookmarkStart w:id="6603" w:name="_Toc106050455"/>
      <w:r>
        <w:rPr>
          <w:rFonts w:hint="eastAsia" w:ascii="宋体" w:hAnsi="宋体" w:cs="楷体"/>
          <w:b/>
          <w:bCs/>
          <w:sz w:val="24"/>
          <w:szCs w:val="24"/>
        </w:rPr>
        <w:t>（2）控制</w:t>
      </w:r>
      <w:bookmarkEnd w:id="6603"/>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空压机采用PLC控制，并配有就地控制箱。计算机可根据空气量的需求自动调节负荷空载运行时间，每小时的最多开停次数应能够任意设定，并具有自动启动和停机控制功能。</w:t>
      </w:r>
    </w:p>
    <w:p>
      <w:pPr>
        <w:pStyle w:val="20"/>
        <w:snapToGrid w:val="0"/>
        <w:spacing w:before="203" w:beforeLines="50" w:after="203" w:afterLines="50" w:line="240" w:lineRule="auto"/>
        <w:ind w:left="0" w:firstLine="0"/>
        <w:jc w:val="left"/>
        <w:rPr>
          <w:rFonts w:ascii="宋体" w:hAnsi="宋体" w:cs="楷体"/>
          <w:b/>
          <w:bCs/>
          <w:sz w:val="24"/>
          <w:szCs w:val="24"/>
        </w:rPr>
      </w:pPr>
      <w:bookmarkStart w:id="6604" w:name="_Toc106050456"/>
      <w:r>
        <w:rPr>
          <w:rFonts w:hint="eastAsia" w:ascii="宋体" w:hAnsi="宋体" w:cs="楷体"/>
          <w:b/>
          <w:bCs/>
          <w:sz w:val="24"/>
          <w:szCs w:val="24"/>
        </w:rPr>
        <w:t>（3）压缩空气管路及附件</w:t>
      </w:r>
      <w:bookmarkEnd w:id="6604"/>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空压机至各滤池气源分配器的所有空气干管应是高质量不锈钢管，所有的弯头、三通、接头及其它附件材料也应是不锈钢，其型号、尺寸要与装配管路相匹配，螺纹或法兰接头可以使用。管路设计耐压值不小于减压安全阀动作压力的3倍，干管空气流速不超过6m/s。管路安装要横平竖直，但要略向空气流动方向倾斜，以便排出凝结的水份，在管路的最低点应装上自动排水阀，以防止凝结水滴的聚集，通常情况下，管路的坡度为1：80。</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滤池气源分配器至各控制阀之间所有空气管应是高强尼龙管，所有的弯头、三通等连接附件均为快速接头，气源分配器也必须与快速接头相匹配。</w:t>
      </w:r>
    </w:p>
    <w:p>
      <w:pPr>
        <w:pStyle w:val="20"/>
        <w:snapToGrid w:val="0"/>
        <w:spacing w:before="203" w:beforeLines="50" w:after="203" w:afterLines="50" w:line="240" w:lineRule="auto"/>
        <w:ind w:left="0" w:firstLine="0"/>
        <w:jc w:val="left"/>
        <w:rPr>
          <w:rFonts w:ascii="宋体" w:hAnsi="宋体" w:cs="楷体"/>
          <w:b/>
          <w:bCs/>
          <w:sz w:val="24"/>
          <w:szCs w:val="24"/>
        </w:rPr>
      </w:pPr>
      <w:bookmarkStart w:id="6605" w:name="_Toc106050457"/>
      <w:r>
        <w:rPr>
          <w:rFonts w:hint="eastAsia" w:ascii="宋体" w:hAnsi="宋体" w:cs="楷体"/>
          <w:b/>
          <w:bCs/>
          <w:sz w:val="24"/>
          <w:szCs w:val="24"/>
        </w:rPr>
        <w:t>（4）气路阀门</w:t>
      </w:r>
      <w:bookmarkEnd w:id="6605"/>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压缩空气减压阀：减压阀应将压缩空气从9～10bar减至5～6bar，在150%的工作压力下阀门的额定过流量至少应为安装点额定过流量的200%。</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阀门的压力设置值应能通过人工调节，设置好后应使用铜锁锁住。出厂时，该阀应调整到最大安全工作压力，并用铜锁锁住，厂家还要提供检验合格证及备用钥匙，铜锁有时也可用金属线锁及刻有压力设置值的铅封来代替。</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压缩空气排液阀：自动排液阀应是浮子型的，应设计成能够自动连续排放管路中的油、水及其他凝结液体。其大小尺寸应满足在指定的最大工作压力下能连续工作的要求。排液阀上应加装人工排放装置，用于排放其中的凝结水。</w:t>
      </w:r>
    </w:p>
    <w:p>
      <w:pPr>
        <w:keepNext/>
        <w:adjustRightInd w:val="0"/>
        <w:snapToGrid w:val="0"/>
        <w:spacing w:before="203" w:beforeLines="50" w:after="203" w:afterLines="50"/>
        <w:outlineLvl w:val="1"/>
        <w:rPr>
          <w:rFonts w:ascii="宋体" w:hAnsi="宋体" w:cs="楷体"/>
          <w:b/>
        </w:rPr>
      </w:pPr>
      <w:bookmarkStart w:id="6606" w:name="_Toc106883696"/>
      <w:r>
        <w:rPr>
          <w:rFonts w:hint="eastAsia" w:ascii="宋体" w:hAnsi="宋体" w:cs="楷体"/>
          <w:b/>
        </w:rPr>
        <w:t>8.16气水分离装置</w:t>
      </w:r>
      <w:bookmarkEnd w:id="6606"/>
    </w:p>
    <w:p>
      <w:pPr>
        <w:keepNext/>
        <w:adjustRightInd w:val="0"/>
        <w:snapToGrid w:val="0"/>
        <w:spacing w:before="203" w:beforeLines="50" w:after="203" w:afterLines="50"/>
        <w:outlineLvl w:val="2"/>
        <w:rPr>
          <w:rFonts w:ascii="宋体" w:hAnsi="宋体" w:cs="楷体"/>
          <w:b/>
        </w:rPr>
      </w:pPr>
      <w:bookmarkStart w:id="6607" w:name="_Toc106883697"/>
      <w:bookmarkStart w:id="6608" w:name="_Toc86356714"/>
      <w:r>
        <w:rPr>
          <w:rFonts w:hint="eastAsia" w:ascii="宋体" w:hAnsi="宋体" w:cs="楷体"/>
          <w:b/>
        </w:rPr>
        <w:t>8.16.1概述</w:t>
      </w:r>
      <w:bookmarkEnd w:id="6607"/>
    </w:p>
    <w:p>
      <w:pPr>
        <w:tabs>
          <w:tab w:val="left" w:pos="420"/>
        </w:tabs>
        <w:adjustRightInd w:val="0"/>
        <w:snapToGrid w:val="0"/>
        <w:spacing w:before="203" w:beforeLines="50" w:after="203" w:afterLines="50"/>
        <w:ind w:firstLine="500" w:firstLineChars="200"/>
        <w:rPr>
          <w:rFonts w:ascii="宋体" w:hAnsi="宋体" w:cs="楷体"/>
        </w:rPr>
      </w:pPr>
      <w:r>
        <w:rPr>
          <w:rFonts w:hint="eastAsia" w:ascii="宋体" w:hAnsi="宋体" w:cs="楷体"/>
        </w:rPr>
        <w:t>本工程设反冲洗泵房1座，内设气水分离装置，安装位置详见供货范围及图纸。</w:t>
      </w:r>
    </w:p>
    <w:p>
      <w:pPr>
        <w:keepNext/>
        <w:adjustRightInd w:val="0"/>
        <w:snapToGrid w:val="0"/>
        <w:spacing w:before="203" w:beforeLines="50" w:after="203" w:afterLines="50"/>
        <w:outlineLvl w:val="0"/>
        <w:rPr>
          <w:rFonts w:ascii="宋体" w:hAnsi="宋体" w:cs="楷体"/>
          <w:b/>
        </w:rPr>
      </w:pPr>
      <w:bookmarkStart w:id="6609" w:name="_Toc106883698"/>
      <w:r>
        <w:rPr>
          <w:rFonts w:hint="eastAsia" w:ascii="宋体" w:hAnsi="宋体" w:cs="楷体"/>
          <w:b/>
        </w:rPr>
        <w:t>8.16.2设备清单</w:t>
      </w:r>
      <w:bookmarkEnd w:id="6609"/>
    </w:p>
    <w:p>
      <w:pPr>
        <w:keepNext/>
        <w:adjustRightInd w:val="0"/>
        <w:snapToGrid w:val="0"/>
        <w:spacing w:before="203" w:beforeLines="50"/>
        <w:jc w:val="center"/>
        <w:rPr>
          <w:rFonts w:ascii="宋体" w:hAnsi="宋体" w:cs="楷体"/>
          <w:b/>
          <w:bCs/>
        </w:rPr>
      </w:pPr>
      <w:r>
        <w:rPr>
          <w:rFonts w:hint="eastAsia" w:ascii="宋体" w:hAnsi="宋体" w:cs="楷体"/>
          <w:b/>
          <w:bCs/>
        </w:rPr>
        <w:t>设备清单及技术参数表</w:t>
      </w:r>
    </w:p>
    <w:tbl>
      <w:tblPr>
        <w:tblStyle w:val="77"/>
        <w:tblW w:w="5000" w:type="pct"/>
        <w:tblInd w:w="0" w:type="dxa"/>
        <w:tblLayout w:type="fixed"/>
        <w:tblCellMar>
          <w:top w:w="0" w:type="dxa"/>
          <w:left w:w="108" w:type="dxa"/>
          <w:bottom w:w="0" w:type="dxa"/>
          <w:right w:w="108" w:type="dxa"/>
        </w:tblCellMar>
      </w:tblPr>
      <w:tblGrid>
        <w:gridCol w:w="692"/>
        <w:gridCol w:w="1080"/>
        <w:gridCol w:w="2037"/>
        <w:gridCol w:w="739"/>
        <w:gridCol w:w="738"/>
        <w:gridCol w:w="738"/>
        <w:gridCol w:w="1348"/>
        <w:gridCol w:w="1348"/>
      </w:tblGrid>
      <w:tr>
        <w:tblPrEx>
          <w:tblCellMar>
            <w:top w:w="0" w:type="dxa"/>
            <w:left w:w="108" w:type="dxa"/>
            <w:bottom w:w="0" w:type="dxa"/>
            <w:right w:w="108" w:type="dxa"/>
          </w:tblCellMar>
        </w:tblPrEx>
        <w:trPr>
          <w:trHeight w:val="227" w:hRule="atLeast"/>
        </w:trPr>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619"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168"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规格型号</w:t>
            </w:r>
          </w:p>
        </w:tc>
        <w:tc>
          <w:tcPr>
            <w:tcW w:w="42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材质</w:t>
            </w:r>
          </w:p>
        </w:tc>
        <w:tc>
          <w:tcPr>
            <w:tcW w:w="42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42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77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安装位置</w:t>
            </w:r>
          </w:p>
        </w:tc>
        <w:tc>
          <w:tcPr>
            <w:tcW w:w="77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656" w:hRule="atLeast"/>
        </w:trPr>
        <w:tc>
          <w:tcPr>
            <w:tcW w:w="397" w:type="pct"/>
            <w:tcBorders>
              <w:top w:val="single" w:color="000000" w:sz="4" w:space="0"/>
              <w:left w:val="single" w:color="000000" w:sz="4" w:space="0"/>
              <w:bottom w:val="single" w:color="auto"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ascii="宋体" w:hAnsi="宋体" w:cs="楷体"/>
                <w:kern w:val="0"/>
              </w:rPr>
              <w:t>1</w:t>
            </w:r>
          </w:p>
        </w:tc>
        <w:tc>
          <w:tcPr>
            <w:tcW w:w="619" w:type="pct"/>
            <w:tcBorders>
              <w:top w:val="single" w:color="000000" w:sz="4" w:space="0"/>
              <w:left w:val="single" w:color="000000" w:sz="4" w:space="0"/>
              <w:bottom w:val="single" w:color="auto" w:sz="4" w:space="0"/>
              <w:right w:val="single" w:color="000000" w:sz="4" w:space="0"/>
            </w:tcBorders>
            <w:noWrap/>
            <w:vAlign w:val="center"/>
          </w:tcPr>
          <w:p>
            <w:pPr>
              <w:adjustRightInd w:val="0"/>
              <w:snapToGrid w:val="0"/>
              <w:jc w:val="center"/>
              <w:textAlignment w:val="center"/>
              <w:rPr>
                <w:rFonts w:ascii="宋体" w:hAnsi="宋体" w:cs="楷体"/>
              </w:rPr>
            </w:pPr>
            <w:r>
              <w:rPr>
                <w:rFonts w:hint="eastAsia" w:ascii="宋体" w:hAnsi="宋体"/>
              </w:rPr>
              <w:t>水环式真空泵</w:t>
            </w:r>
          </w:p>
        </w:tc>
        <w:tc>
          <w:tcPr>
            <w:tcW w:w="1168" w:type="pct"/>
            <w:tcBorders>
              <w:top w:val="single" w:color="000000" w:sz="4" w:space="0"/>
              <w:left w:val="single" w:color="000000" w:sz="4" w:space="0"/>
              <w:bottom w:val="single" w:color="auto" w:sz="4" w:space="0"/>
              <w:right w:val="single" w:color="000000" w:sz="4" w:space="0"/>
            </w:tcBorders>
            <w:noWrap/>
            <w:vAlign w:val="center"/>
          </w:tcPr>
          <w:p>
            <w:pPr>
              <w:adjustRightInd w:val="0"/>
              <w:snapToGrid w:val="0"/>
              <w:jc w:val="center"/>
              <w:textAlignment w:val="center"/>
              <w:rPr>
                <w:rFonts w:ascii="宋体" w:hAnsi="宋体"/>
              </w:rPr>
            </w:pPr>
            <w:r>
              <w:rPr>
                <w:rFonts w:ascii="宋体" w:hAnsi="宋体"/>
              </w:rPr>
              <w:t>Q=0.6m</w:t>
            </w:r>
            <w:r>
              <w:rPr>
                <w:rFonts w:ascii="宋体" w:hAnsi="宋体"/>
                <w:vertAlign w:val="superscript"/>
              </w:rPr>
              <w:t>3</w:t>
            </w:r>
            <w:r>
              <w:rPr>
                <w:rFonts w:ascii="宋体" w:hAnsi="宋体"/>
              </w:rPr>
              <w:t xml:space="preserve"> /min  P=10.5kpa</w:t>
            </w:r>
          </w:p>
          <w:p>
            <w:pPr>
              <w:widowControl/>
              <w:adjustRightInd w:val="0"/>
              <w:snapToGrid w:val="0"/>
              <w:jc w:val="center"/>
              <w:textAlignment w:val="center"/>
              <w:rPr>
                <w:rFonts w:ascii="宋体" w:hAnsi="宋体" w:cs="楷体"/>
              </w:rPr>
            </w:pPr>
            <w:r>
              <w:rPr>
                <w:rFonts w:ascii="宋体" w:hAnsi="宋体"/>
              </w:rPr>
              <w:t>N=4kw   380V</w:t>
            </w:r>
          </w:p>
        </w:tc>
        <w:tc>
          <w:tcPr>
            <w:tcW w:w="424" w:type="pct"/>
            <w:tcBorders>
              <w:top w:val="single" w:color="000000" w:sz="4" w:space="0"/>
              <w:left w:val="single" w:color="000000" w:sz="4" w:space="0"/>
              <w:bottom w:val="single" w:color="auto"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成品</w:t>
            </w:r>
          </w:p>
        </w:tc>
        <w:tc>
          <w:tcPr>
            <w:tcW w:w="423" w:type="pct"/>
            <w:tcBorders>
              <w:top w:val="single" w:color="000000" w:sz="4" w:space="0"/>
              <w:left w:val="single" w:color="000000" w:sz="4" w:space="0"/>
              <w:bottom w:val="single" w:color="auto"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台</w:t>
            </w:r>
          </w:p>
        </w:tc>
        <w:tc>
          <w:tcPr>
            <w:tcW w:w="423" w:type="pct"/>
            <w:tcBorders>
              <w:top w:val="single" w:color="000000" w:sz="4" w:space="0"/>
              <w:left w:val="single" w:color="000000" w:sz="4" w:space="0"/>
              <w:bottom w:val="single" w:color="auto"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773" w:type="pct"/>
            <w:tcBorders>
              <w:top w:val="single" w:color="000000" w:sz="4" w:space="0"/>
              <w:left w:val="single" w:color="000000" w:sz="4" w:space="0"/>
              <w:bottom w:val="single" w:color="auto"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cs="楷体"/>
              </w:rPr>
              <w:t>送水泵房</w:t>
            </w:r>
          </w:p>
        </w:tc>
        <w:tc>
          <w:tcPr>
            <w:tcW w:w="773" w:type="pct"/>
            <w:tcBorders>
              <w:top w:val="single" w:color="000000" w:sz="4" w:space="0"/>
              <w:left w:val="single" w:color="000000" w:sz="4" w:space="0"/>
              <w:bottom w:val="single" w:color="auto" w:sz="4" w:space="0"/>
              <w:right w:val="single" w:color="000000" w:sz="4" w:space="0"/>
            </w:tcBorders>
            <w:noWrap/>
            <w:vAlign w:val="center"/>
          </w:tcPr>
          <w:p>
            <w:pPr>
              <w:adjustRightInd w:val="0"/>
              <w:snapToGrid w:val="0"/>
              <w:jc w:val="center"/>
              <w:textAlignment w:val="center"/>
              <w:rPr>
                <w:rFonts w:ascii="宋体" w:hAnsi="宋体" w:cs="楷体"/>
              </w:rPr>
            </w:pPr>
            <w:r>
              <w:rPr>
                <w:rFonts w:hint="eastAsia" w:ascii="宋体" w:hAnsi="宋体"/>
              </w:rPr>
              <w:t>一用一备，配套真空罐、气水分离器及管道管配件</w:t>
            </w:r>
          </w:p>
        </w:tc>
      </w:tr>
      <w:tr>
        <w:tblPrEx>
          <w:tblCellMar>
            <w:top w:w="0" w:type="dxa"/>
            <w:left w:w="108" w:type="dxa"/>
            <w:bottom w:w="0" w:type="dxa"/>
            <w:right w:w="108" w:type="dxa"/>
          </w:tblCellMar>
        </w:tblPrEx>
        <w:trPr>
          <w:trHeight w:val="3795" w:hRule="atLeast"/>
        </w:trPr>
        <w:tc>
          <w:tcPr>
            <w:tcW w:w="397"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jc w:val="center"/>
              <w:textAlignment w:val="center"/>
              <w:rPr>
                <w:rFonts w:ascii="宋体" w:hAnsi="宋体" w:cs="楷体"/>
                <w:kern w:val="0"/>
              </w:rPr>
            </w:pPr>
            <w:r>
              <w:rPr>
                <w:rFonts w:hint="eastAsia" w:ascii="宋体" w:hAnsi="宋体" w:cs="楷体"/>
                <w:kern w:val="0"/>
              </w:rPr>
              <w:t>2</w:t>
            </w:r>
          </w:p>
        </w:tc>
        <w:tc>
          <w:tcPr>
            <w:tcW w:w="619"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jc w:val="center"/>
              <w:textAlignment w:val="center"/>
              <w:rPr>
                <w:rFonts w:ascii="宋体" w:hAnsi="宋体"/>
              </w:rPr>
            </w:pPr>
            <w:r>
              <w:rPr>
                <w:rFonts w:hint="eastAsia" w:ascii="宋体" w:hAnsi="宋体"/>
              </w:rPr>
              <w:t>气水分离罐</w:t>
            </w:r>
          </w:p>
        </w:tc>
        <w:tc>
          <w:tcPr>
            <w:tcW w:w="1168"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jc w:val="center"/>
              <w:textAlignment w:val="center"/>
              <w:rPr>
                <w:rFonts w:ascii="宋体" w:hAnsi="宋体"/>
              </w:rPr>
            </w:pPr>
            <w:r>
              <w:rPr>
                <w:rFonts w:hint="eastAsia" w:ascii="宋体" w:hAnsi="宋体"/>
              </w:rPr>
              <w:t>H=1730，Φ500</w:t>
            </w:r>
          </w:p>
        </w:tc>
        <w:tc>
          <w:tcPr>
            <w:tcW w:w="424"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jc w:val="center"/>
              <w:textAlignment w:val="center"/>
              <w:rPr>
                <w:rFonts w:ascii="宋体" w:hAnsi="宋体"/>
              </w:rPr>
            </w:pPr>
            <w:r>
              <w:rPr>
                <w:rFonts w:hint="eastAsia" w:ascii="宋体" w:hAnsi="宋体"/>
              </w:rPr>
              <w:t>钢</w:t>
            </w:r>
          </w:p>
        </w:tc>
        <w:tc>
          <w:tcPr>
            <w:tcW w:w="423"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jc w:val="center"/>
              <w:textAlignment w:val="center"/>
              <w:rPr>
                <w:rFonts w:ascii="宋体" w:hAnsi="宋体"/>
              </w:rPr>
            </w:pPr>
            <w:r>
              <w:rPr>
                <w:rFonts w:hint="eastAsia" w:ascii="宋体" w:hAnsi="宋体"/>
              </w:rPr>
              <w:t>只</w:t>
            </w:r>
          </w:p>
        </w:tc>
        <w:tc>
          <w:tcPr>
            <w:tcW w:w="423"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jc w:val="center"/>
              <w:textAlignment w:val="center"/>
              <w:rPr>
                <w:rFonts w:ascii="宋体" w:hAnsi="宋体"/>
              </w:rPr>
            </w:pPr>
            <w:r>
              <w:rPr>
                <w:rFonts w:hint="eastAsia" w:ascii="宋体" w:hAnsi="宋体"/>
              </w:rPr>
              <w:t>1</w:t>
            </w:r>
          </w:p>
        </w:tc>
        <w:tc>
          <w:tcPr>
            <w:tcW w:w="773" w:type="pct"/>
            <w:tcBorders>
              <w:top w:val="single" w:color="auto" w:sz="4" w:space="0"/>
              <w:left w:val="single" w:color="000000" w:sz="4" w:space="0"/>
              <w:bottom w:val="single" w:color="000000" w:sz="4" w:space="0"/>
              <w:right w:val="single" w:color="000000" w:sz="4" w:space="0"/>
            </w:tcBorders>
            <w:vAlign w:val="center"/>
          </w:tcPr>
          <w:p>
            <w:pPr>
              <w:adjustRightInd w:val="0"/>
              <w:snapToGrid w:val="0"/>
              <w:jc w:val="center"/>
              <w:textAlignment w:val="center"/>
              <w:rPr>
                <w:rFonts w:ascii="宋体" w:hAnsi="宋体" w:cs="楷体"/>
              </w:rPr>
            </w:pPr>
            <w:r>
              <w:rPr>
                <w:rFonts w:hint="eastAsia" w:ascii="宋体" w:hAnsi="宋体" w:cs="楷体"/>
              </w:rPr>
              <w:t>送水泵房</w:t>
            </w:r>
          </w:p>
        </w:tc>
        <w:tc>
          <w:tcPr>
            <w:tcW w:w="773" w:type="pct"/>
            <w:tcBorders>
              <w:top w:val="single" w:color="auto" w:sz="4" w:space="0"/>
              <w:left w:val="single" w:color="000000" w:sz="4" w:space="0"/>
              <w:bottom w:val="single" w:color="000000" w:sz="4" w:space="0"/>
              <w:right w:val="single" w:color="000000" w:sz="4" w:space="0"/>
            </w:tcBorders>
            <w:noWrap/>
            <w:vAlign w:val="center"/>
          </w:tcPr>
          <w:p>
            <w:pPr>
              <w:adjustRightInd w:val="0"/>
              <w:snapToGrid w:val="0"/>
              <w:jc w:val="center"/>
              <w:textAlignment w:val="center"/>
              <w:rPr>
                <w:rFonts w:hint="eastAsia" w:ascii="宋体" w:hAnsi="宋体" w:eastAsia="宋体"/>
                <w:lang w:eastAsia="zh-CN"/>
              </w:rPr>
            </w:pPr>
            <w:r>
              <w:rPr>
                <w:rFonts w:hint="eastAsia" w:ascii="宋体" w:hAnsi="宋体"/>
              </w:rPr>
              <w:t>含汽水分离器、循环补充水箱、真空罐及配套</w:t>
            </w:r>
          </w:p>
          <w:p>
            <w:pPr>
              <w:adjustRightInd w:val="0"/>
              <w:snapToGrid w:val="0"/>
              <w:jc w:val="center"/>
              <w:textAlignment w:val="center"/>
              <w:rPr>
                <w:rFonts w:ascii="宋体" w:hAnsi="宋体"/>
              </w:rPr>
            </w:pPr>
            <w:r>
              <w:rPr>
                <w:rFonts w:hint="eastAsia" w:ascii="宋体" w:hAnsi="宋体"/>
              </w:rPr>
              <w:t>的管路、仪表、阀门及管配件等。</w:t>
            </w:r>
          </w:p>
        </w:tc>
      </w:tr>
    </w:tbl>
    <w:p>
      <w:pPr>
        <w:adjustRightInd w:val="0"/>
        <w:snapToGrid w:val="0"/>
        <w:spacing w:after="203" w:afterLines="50"/>
        <w:ind w:firstLine="500" w:firstLineChars="200"/>
        <w:rPr>
          <w:rFonts w:ascii="宋体" w:hAnsi="宋体" w:cs="楷体"/>
          <w:i/>
          <w:iCs/>
        </w:rPr>
      </w:pPr>
      <w:r>
        <w:rPr>
          <w:rFonts w:hint="eastAsia" w:ascii="宋体" w:hAnsi="宋体" w:cs="楷体"/>
          <w:i/>
          <w:iCs/>
        </w:rPr>
        <w:t>注：本“采购设备清单”不得被认为是详尽无遗的，无论规定与否，承包商应提供所有业主未提及的必要的元件、器件、附件、配套设备和相应材料，并在合同报价中。</w:t>
      </w:r>
    </w:p>
    <w:p>
      <w:pPr>
        <w:keepNext/>
        <w:adjustRightInd w:val="0"/>
        <w:snapToGrid w:val="0"/>
        <w:spacing w:before="203" w:beforeLines="50" w:after="203" w:afterLines="50"/>
        <w:outlineLvl w:val="0"/>
        <w:rPr>
          <w:rFonts w:ascii="宋体" w:hAnsi="宋体" w:cs="楷体"/>
          <w:b/>
        </w:rPr>
      </w:pPr>
      <w:bookmarkStart w:id="6610" w:name="_Toc106883699"/>
      <w:r>
        <w:rPr>
          <w:rFonts w:hint="eastAsia" w:ascii="宋体" w:hAnsi="宋体" w:cs="楷体"/>
          <w:b/>
          <w:bCs/>
        </w:rPr>
        <w:t>8.16.3技术要求</w:t>
      </w:r>
      <w:bookmarkEnd w:id="6610"/>
    </w:p>
    <w:p>
      <w:pPr>
        <w:adjustRightInd w:val="0"/>
        <w:snapToGrid w:val="0"/>
        <w:spacing w:before="120" w:after="120"/>
        <w:outlineLvl w:val="0"/>
        <w:rPr>
          <w:rFonts w:ascii="宋体" w:hAnsi="宋体" w:cs="楷体"/>
          <w:b/>
          <w:bCs/>
          <w:spacing w:val="-4"/>
        </w:rPr>
      </w:pPr>
      <w:bookmarkStart w:id="6611" w:name="_Toc106050462"/>
      <w:bookmarkStart w:id="6612" w:name="_Toc106883700"/>
      <w:r>
        <w:rPr>
          <w:rFonts w:hint="eastAsia" w:ascii="宋体" w:hAnsi="宋体" w:cs="楷体"/>
          <w:b/>
          <w:bCs/>
          <w:spacing w:val="-4"/>
        </w:rPr>
        <w:t>8.16</w:t>
      </w:r>
      <w:r>
        <w:rPr>
          <w:rFonts w:ascii="宋体" w:hAnsi="宋体" w:cs="楷体"/>
          <w:b/>
          <w:bCs/>
          <w:spacing w:val="-4"/>
        </w:rPr>
        <w:t>.3.1</w:t>
      </w:r>
      <w:r>
        <w:rPr>
          <w:rFonts w:hint="eastAsia" w:ascii="宋体" w:hAnsi="宋体" w:cs="楷体"/>
          <w:b/>
          <w:bCs/>
          <w:spacing w:val="-4"/>
        </w:rPr>
        <w:t xml:space="preserve"> 供货范围</w:t>
      </w:r>
      <w:bookmarkEnd w:id="6611"/>
      <w:bookmarkEnd w:id="6612"/>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承包人应提供完整的、标准化的全套真空引水装置，包括真空罐、水环式真空泵、分离罐、真空泵控制箱、液位检测器、电磁阀、手动阀、真空引水装置至每台水泵的连接管道、以及安装用的紧固件和固定件等。</w:t>
      </w:r>
    </w:p>
    <w:p>
      <w:pPr>
        <w:adjustRightInd w:val="0"/>
        <w:snapToGrid w:val="0"/>
        <w:spacing w:before="120" w:after="120"/>
        <w:rPr>
          <w:rFonts w:ascii="宋体" w:hAnsi="宋体" w:cs="楷体"/>
          <w:b/>
          <w:bCs/>
          <w:spacing w:val="-4"/>
        </w:rPr>
      </w:pPr>
      <w:r>
        <w:rPr>
          <w:rFonts w:hint="eastAsia" w:ascii="宋体" w:hAnsi="宋体" w:cs="楷体"/>
          <w:b/>
          <w:bCs/>
          <w:spacing w:val="-4"/>
        </w:rPr>
        <w:t>8.16</w:t>
      </w:r>
      <w:r>
        <w:rPr>
          <w:rFonts w:ascii="宋体" w:hAnsi="宋体" w:cs="楷体"/>
          <w:b/>
          <w:bCs/>
          <w:spacing w:val="-4"/>
        </w:rPr>
        <w:t>.3.2</w:t>
      </w:r>
      <w:r>
        <w:rPr>
          <w:rFonts w:hint="eastAsia" w:ascii="宋体" w:hAnsi="宋体" w:cs="楷体"/>
          <w:b/>
          <w:bCs/>
          <w:spacing w:val="-4"/>
        </w:rPr>
        <w:t xml:space="preserve"> 性能要求</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该真空引水装置应能始终保持真空状态，以保证在送水泵房内的4台离心泵能够随时启动，同时能够随时自动排出运行中的水泵壳内的空气，避免产生气蚀。真空引水装置应具有就地/远程控制功能。</w:t>
      </w:r>
    </w:p>
    <w:p>
      <w:pPr>
        <w:adjustRightInd w:val="0"/>
        <w:snapToGrid w:val="0"/>
        <w:spacing w:before="120" w:after="120"/>
        <w:outlineLvl w:val="0"/>
        <w:rPr>
          <w:rFonts w:ascii="宋体" w:hAnsi="宋体" w:cs="楷体"/>
          <w:b/>
          <w:bCs/>
          <w:spacing w:val="-4"/>
        </w:rPr>
      </w:pPr>
      <w:bookmarkStart w:id="6613" w:name="_Toc106050463"/>
      <w:bookmarkStart w:id="6614" w:name="_Toc106883701"/>
      <w:r>
        <w:rPr>
          <w:rFonts w:hint="eastAsia" w:ascii="宋体" w:hAnsi="宋体" w:cs="楷体"/>
          <w:b/>
          <w:bCs/>
          <w:spacing w:val="-4"/>
        </w:rPr>
        <w:t>8.16</w:t>
      </w:r>
      <w:r>
        <w:rPr>
          <w:rFonts w:ascii="宋体" w:hAnsi="宋体" w:cs="楷体"/>
          <w:b/>
          <w:bCs/>
          <w:spacing w:val="-4"/>
        </w:rPr>
        <w:t>.3.3</w:t>
      </w:r>
      <w:r>
        <w:rPr>
          <w:rFonts w:hint="eastAsia" w:ascii="宋体" w:hAnsi="宋体" w:cs="楷体"/>
          <w:b/>
          <w:bCs/>
          <w:spacing w:val="-4"/>
        </w:rPr>
        <w:t xml:space="preserve"> 系统组成</w:t>
      </w:r>
      <w:bookmarkEnd w:id="6613"/>
      <w:bookmarkEnd w:id="6614"/>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真空引水系统由一个真空罐、两台水环式真空泵、一套液位检测器、一个就地控制箱、共用底座、以及一套真空管道系统组成。每台真空泵应带有气水分离罐、止回阀、手动阀、真空压力表、补充水系统、以及其它必需的设备。</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真空罐的容积由承包人根据水泵的规格及泵房管道布置经计算后确定，但至少不小于1500 L。水环式真空泵的抽气管接在真空罐顶部，真空泵的开启与停止由设在真空罐上的液位检测器控制。真空泵的规格亦由承包人选择。真空泵与真空罐的连接管道上应带有手动阀和止回阀。真空泵的补充水管上应带有一个电磁阀。</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就地控制箱装在真空引水装置上，在控制箱上应设有系统的手动控制按钮和手动/自动转换开关，并具有报警功能。</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上述所有设备设置在一个共用底座上。</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真空管道系统分为总管和支管，自真空引水装置接至每一台离心泵。总管和支管的管径由承包人确定。</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真空管道的支管接在每台水泵的吸水锥管上，同时分出一根较细的管道接在水泵壳的顶部。接在泵壳顶部的真空管道上装有孔板式调流阀，其位置应设在与接在水泵吸水锥管上的真空管合并前。每根真空支管上装有一个水流指示器、一个电磁阀和一个手动阀。</w:t>
      </w:r>
    </w:p>
    <w:p>
      <w:pPr>
        <w:adjustRightInd w:val="0"/>
        <w:snapToGrid w:val="0"/>
        <w:spacing w:before="120" w:after="120"/>
        <w:rPr>
          <w:rFonts w:ascii="宋体" w:hAnsi="宋体" w:cs="楷体"/>
          <w:b/>
          <w:bCs/>
          <w:spacing w:val="-4"/>
        </w:rPr>
      </w:pPr>
      <w:r>
        <w:rPr>
          <w:rFonts w:hint="eastAsia" w:ascii="宋体" w:hAnsi="宋体" w:cs="楷体"/>
          <w:b/>
          <w:bCs/>
          <w:spacing w:val="-4"/>
        </w:rPr>
        <w:t>8.16</w:t>
      </w:r>
      <w:r>
        <w:rPr>
          <w:rFonts w:ascii="宋体" w:hAnsi="宋体" w:cs="楷体"/>
          <w:b/>
          <w:bCs/>
          <w:spacing w:val="-4"/>
        </w:rPr>
        <w:t>.3.4</w:t>
      </w:r>
      <w:r>
        <w:rPr>
          <w:rFonts w:hint="eastAsia" w:ascii="宋体" w:hAnsi="宋体" w:cs="楷体"/>
          <w:b/>
          <w:bCs/>
          <w:spacing w:val="-4"/>
        </w:rPr>
        <w:t xml:space="preserve"> 控制 </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真空引水装置配有就地控制箱，控制箱上应有就地手动/远程自动转换开关。并应在控制系统配远程控制接口，远程控制可以开或关闭真空系统，并能传输故障报警信号。</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在初次启动离心泵时，两台真空泵将同时工作以减少启动时间。其他时候，两台真空泵交替工作，一备一用。在预定时间超过后，真空泵会自动关闭。如有意外，则系统会报警，并启动离心泵空载运行保护，将离心泵关闭。</w:t>
      </w:r>
    </w:p>
    <w:p>
      <w:pPr>
        <w:adjustRightInd w:val="0"/>
        <w:snapToGrid w:val="0"/>
        <w:spacing w:before="120" w:after="120"/>
        <w:outlineLvl w:val="0"/>
        <w:rPr>
          <w:rFonts w:ascii="宋体" w:hAnsi="宋体" w:cs="楷体"/>
          <w:b/>
          <w:bCs/>
          <w:spacing w:val="-4"/>
        </w:rPr>
      </w:pPr>
      <w:bookmarkStart w:id="6615" w:name="_Toc106050464"/>
      <w:bookmarkStart w:id="6616" w:name="_Toc106883702"/>
      <w:r>
        <w:rPr>
          <w:rFonts w:hint="eastAsia" w:ascii="宋体" w:hAnsi="宋体" w:cs="楷体"/>
          <w:b/>
          <w:bCs/>
          <w:spacing w:val="-4"/>
        </w:rPr>
        <w:t>8.16</w:t>
      </w:r>
      <w:r>
        <w:rPr>
          <w:rFonts w:ascii="宋体" w:hAnsi="宋体" w:cs="楷体"/>
          <w:b/>
          <w:bCs/>
          <w:spacing w:val="-4"/>
        </w:rPr>
        <w:t>.3.</w:t>
      </w:r>
      <w:r>
        <w:rPr>
          <w:rFonts w:hint="eastAsia" w:ascii="宋体" w:hAnsi="宋体" w:cs="楷体"/>
          <w:b/>
          <w:bCs/>
          <w:spacing w:val="-4"/>
        </w:rPr>
        <w:t>5 材料</w:t>
      </w:r>
      <w:bookmarkEnd w:id="6615"/>
      <w:bookmarkEnd w:id="6616"/>
      <w:r>
        <w:rPr>
          <w:rFonts w:hint="eastAsia" w:ascii="宋体" w:hAnsi="宋体" w:cs="楷体"/>
          <w:b/>
          <w:bCs/>
          <w:spacing w:val="-4"/>
        </w:rPr>
        <w:t xml:space="preserve"> </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真空罐：     镀锌钢</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真空泵壳：   铸铁GG25</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叶轮：       Gc</w:t>
      </w:r>
      <w:r>
        <w:rPr>
          <w:rFonts w:ascii="宋体" w:hAnsi="宋体" w:cs="楷体"/>
          <w:sz w:val="24"/>
          <w:szCs w:val="24"/>
        </w:rPr>
        <w:t>uSn10</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电磁阀：     铜</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共用底座：   碳钢（外涂防腐涂料）</w:t>
      </w:r>
    </w:p>
    <w:p>
      <w:pPr>
        <w:pStyle w:val="20"/>
        <w:snapToGrid w:val="0"/>
        <w:spacing w:before="203" w:beforeLines="50" w:after="203" w:afterLines="50" w:line="240" w:lineRule="auto"/>
        <w:ind w:left="0" w:firstLine="500" w:firstLineChars="200"/>
        <w:rPr>
          <w:rFonts w:ascii="宋体" w:hAnsi="宋体" w:cs="楷体"/>
          <w:sz w:val="24"/>
          <w:szCs w:val="24"/>
        </w:rPr>
      </w:pPr>
      <w:r>
        <w:rPr>
          <w:rFonts w:hint="eastAsia" w:ascii="宋体" w:hAnsi="宋体" w:cs="楷体"/>
          <w:sz w:val="24"/>
          <w:szCs w:val="24"/>
        </w:rPr>
        <w:t>真空管道：   不锈钢</w:t>
      </w:r>
    </w:p>
    <w:p>
      <w:pPr>
        <w:keepNext/>
        <w:adjustRightInd w:val="0"/>
        <w:snapToGrid w:val="0"/>
        <w:spacing w:before="203" w:beforeLines="50" w:after="203" w:afterLines="50"/>
        <w:outlineLvl w:val="1"/>
        <w:rPr>
          <w:rFonts w:ascii="宋体" w:hAnsi="宋体" w:cs="楷体"/>
          <w:b/>
        </w:rPr>
      </w:pPr>
      <w:bookmarkStart w:id="6617" w:name="_Toc106883703"/>
      <w:r>
        <w:rPr>
          <w:rFonts w:hint="eastAsia" w:ascii="宋体" w:hAnsi="宋体" w:cs="楷体"/>
          <w:b/>
        </w:rPr>
        <w:t>8.17混合搅拌机</w:t>
      </w:r>
      <w:bookmarkEnd w:id="6617"/>
    </w:p>
    <w:p>
      <w:pPr>
        <w:keepNext/>
        <w:adjustRightInd w:val="0"/>
        <w:snapToGrid w:val="0"/>
        <w:spacing w:before="203" w:beforeLines="50" w:after="203" w:afterLines="50"/>
        <w:outlineLvl w:val="2"/>
        <w:rPr>
          <w:rFonts w:ascii="宋体" w:hAnsi="宋体" w:cs="楷体"/>
          <w:b/>
        </w:rPr>
      </w:pPr>
      <w:bookmarkStart w:id="6618" w:name="_Toc294451926"/>
      <w:bookmarkStart w:id="6619" w:name="_Toc106883704"/>
      <w:r>
        <w:rPr>
          <w:rFonts w:hint="eastAsia" w:ascii="宋体" w:hAnsi="宋体" w:cs="楷体"/>
          <w:b/>
        </w:rPr>
        <w:t>8.17.1概述</w:t>
      </w:r>
      <w:bookmarkEnd w:id="6618"/>
      <w:bookmarkEnd w:id="6619"/>
    </w:p>
    <w:p>
      <w:pPr>
        <w:adjustRightInd w:val="0"/>
        <w:snapToGrid w:val="0"/>
        <w:spacing w:before="203" w:beforeLines="50" w:after="203" w:afterLines="50"/>
        <w:ind w:firstLine="420"/>
        <w:jc w:val="left"/>
        <w:rPr>
          <w:rFonts w:ascii="宋体" w:hAnsi="宋体" w:cs="楷体"/>
          <w:bCs/>
        </w:rPr>
      </w:pPr>
      <w:r>
        <w:rPr>
          <w:rFonts w:hint="eastAsia" w:ascii="宋体" w:hAnsi="宋体" w:cs="楷体"/>
          <w:bCs/>
        </w:rPr>
        <w:t>本工程设</w:t>
      </w:r>
      <w:r>
        <w:rPr>
          <w:rFonts w:hint="eastAsia" w:ascii="宋体" w:hAnsi="宋体"/>
        </w:rPr>
        <w:t>混合絮凝、平流沉淀及叠加清水池</w:t>
      </w:r>
      <w:r>
        <w:rPr>
          <w:rFonts w:hint="eastAsia" w:ascii="宋体" w:hAnsi="宋体" w:cs="楷体"/>
          <w:bCs/>
        </w:rPr>
        <w:t>1座，内设混合搅拌机，</w:t>
      </w:r>
      <w:r>
        <w:rPr>
          <w:rFonts w:hint="eastAsia" w:ascii="宋体" w:hAnsi="宋体" w:cs="楷体"/>
        </w:rPr>
        <w:t>安装位置详见供货范围及图纸</w:t>
      </w:r>
      <w:r>
        <w:rPr>
          <w:rFonts w:hint="eastAsia" w:ascii="宋体" w:hAnsi="宋体" w:cs="楷体"/>
          <w:bCs/>
        </w:rPr>
        <w:t>。</w:t>
      </w:r>
    </w:p>
    <w:p>
      <w:pPr>
        <w:keepNext/>
        <w:adjustRightInd w:val="0"/>
        <w:snapToGrid w:val="0"/>
        <w:spacing w:before="203" w:beforeLines="50" w:after="203" w:afterLines="50"/>
        <w:outlineLvl w:val="2"/>
        <w:rPr>
          <w:rFonts w:ascii="宋体" w:hAnsi="宋体" w:cs="楷体"/>
          <w:b/>
        </w:rPr>
      </w:pPr>
      <w:bookmarkStart w:id="6620" w:name="_Toc106883705"/>
      <w:r>
        <w:rPr>
          <w:rFonts w:hint="eastAsia" w:ascii="宋体" w:hAnsi="宋体" w:cs="楷体"/>
          <w:b/>
        </w:rPr>
        <w:t>8.17.2设备清单</w:t>
      </w:r>
      <w:bookmarkEnd w:id="6620"/>
    </w:p>
    <w:p>
      <w:pPr>
        <w:keepNext/>
        <w:adjustRightInd w:val="0"/>
        <w:snapToGrid w:val="0"/>
        <w:spacing w:before="203" w:beforeLines="50"/>
        <w:jc w:val="center"/>
        <w:rPr>
          <w:rFonts w:ascii="宋体" w:hAnsi="宋体" w:cs="楷体"/>
        </w:rPr>
      </w:pPr>
      <w:r>
        <w:rPr>
          <w:rFonts w:hint="eastAsia" w:ascii="宋体" w:hAnsi="宋体" w:cs="楷体"/>
        </w:rPr>
        <w:t>设备清单及技术参数表</w:t>
      </w:r>
    </w:p>
    <w:tbl>
      <w:tblPr>
        <w:tblStyle w:val="77"/>
        <w:tblW w:w="5000" w:type="pct"/>
        <w:tblInd w:w="0" w:type="dxa"/>
        <w:tblLayout w:type="fixed"/>
        <w:tblCellMar>
          <w:top w:w="0" w:type="dxa"/>
          <w:left w:w="108" w:type="dxa"/>
          <w:bottom w:w="0" w:type="dxa"/>
          <w:right w:w="108" w:type="dxa"/>
        </w:tblCellMar>
      </w:tblPr>
      <w:tblGrid>
        <w:gridCol w:w="736"/>
        <w:gridCol w:w="1495"/>
        <w:gridCol w:w="1700"/>
        <w:gridCol w:w="720"/>
        <w:gridCol w:w="635"/>
        <w:gridCol w:w="738"/>
        <w:gridCol w:w="1348"/>
        <w:gridCol w:w="1348"/>
      </w:tblGrid>
      <w:tr>
        <w:tblPrEx>
          <w:tblCellMar>
            <w:top w:w="0" w:type="dxa"/>
            <w:left w:w="108" w:type="dxa"/>
            <w:bottom w:w="0" w:type="dxa"/>
            <w:right w:w="108" w:type="dxa"/>
          </w:tblCellMar>
        </w:tblPrEx>
        <w:trPr>
          <w:trHeight w:val="340" w:hRule="atLeast"/>
        </w:trPr>
        <w:tc>
          <w:tcPr>
            <w:tcW w:w="4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编号</w:t>
            </w:r>
          </w:p>
        </w:tc>
        <w:tc>
          <w:tcPr>
            <w:tcW w:w="85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975"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规格</w:t>
            </w:r>
          </w:p>
        </w:tc>
        <w:tc>
          <w:tcPr>
            <w:tcW w:w="41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材料</w:t>
            </w:r>
          </w:p>
        </w:tc>
        <w:tc>
          <w:tcPr>
            <w:tcW w:w="36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42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77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安装位置</w:t>
            </w:r>
          </w:p>
        </w:tc>
        <w:tc>
          <w:tcPr>
            <w:tcW w:w="77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340" w:hRule="atLeast"/>
        </w:trPr>
        <w:tc>
          <w:tcPr>
            <w:tcW w:w="4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85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混合搅拌机</w:t>
            </w:r>
          </w:p>
        </w:tc>
        <w:tc>
          <w:tcPr>
            <w:tcW w:w="975"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64转/分，N=7.5KW</w:t>
            </w:r>
          </w:p>
        </w:tc>
        <w:tc>
          <w:tcPr>
            <w:tcW w:w="41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　</w:t>
            </w:r>
          </w:p>
        </w:tc>
        <w:tc>
          <w:tcPr>
            <w:tcW w:w="364"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套</w:t>
            </w:r>
          </w:p>
        </w:tc>
        <w:tc>
          <w:tcPr>
            <w:tcW w:w="42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1</w:t>
            </w:r>
          </w:p>
        </w:tc>
        <w:tc>
          <w:tcPr>
            <w:tcW w:w="77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混合絮凝、平流沉淀及叠加清水池</w:t>
            </w:r>
          </w:p>
        </w:tc>
        <w:tc>
          <w:tcPr>
            <w:tcW w:w="773"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转速可调</w:t>
            </w:r>
          </w:p>
        </w:tc>
      </w:tr>
    </w:tbl>
    <w:p>
      <w:pPr>
        <w:keepNext/>
        <w:adjustRightInd w:val="0"/>
        <w:snapToGrid w:val="0"/>
        <w:spacing w:before="203" w:beforeLines="50" w:after="203" w:afterLines="50"/>
        <w:outlineLvl w:val="2"/>
        <w:rPr>
          <w:rFonts w:ascii="宋体" w:hAnsi="宋体" w:cs="楷体"/>
          <w:b/>
        </w:rPr>
      </w:pPr>
      <w:bookmarkStart w:id="6621" w:name="_Toc106883706"/>
      <w:r>
        <w:rPr>
          <w:rFonts w:hint="eastAsia" w:ascii="宋体" w:hAnsi="宋体" w:cs="楷体"/>
          <w:b/>
        </w:rPr>
        <w:t>8.17.3供货范围</w:t>
      </w:r>
      <w:bookmarkEnd w:id="6621"/>
    </w:p>
    <w:p>
      <w:pPr>
        <w:adjustRightInd w:val="0"/>
        <w:snapToGrid w:val="0"/>
        <w:spacing w:before="203" w:beforeLines="50" w:after="203" w:afterLines="50"/>
        <w:ind w:firstLine="500" w:firstLineChars="200"/>
        <w:rPr>
          <w:rFonts w:ascii="宋体" w:hAnsi="宋体"/>
        </w:rPr>
      </w:pPr>
      <w:r>
        <w:rPr>
          <w:rFonts w:ascii="宋体" w:hAnsi="宋体"/>
        </w:rPr>
        <w:t>提供的</w:t>
      </w:r>
      <w:r>
        <w:rPr>
          <w:rFonts w:hint="eastAsia" w:ascii="宋体" w:hAnsi="宋体"/>
        </w:rPr>
        <w:t>搅拌</w:t>
      </w:r>
      <w:r>
        <w:rPr>
          <w:rFonts w:ascii="宋体" w:hAnsi="宋体"/>
        </w:rPr>
        <w:t>机为成套装置，供货内容为</w:t>
      </w:r>
      <w:r>
        <w:rPr>
          <w:rFonts w:hint="eastAsia" w:ascii="宋体" w:hAnsi="宋体"/>
        </w:rPr>
        <w:t>搅拌机主要由减速机、支座、主轴、浆叶等部件组成</w:t>
      </w:r>
      <w:r>
        <w:rPr>
          <w:rFonts w:ascii="宋体" w:hAnsi="宋体"/>
        </w:rPr>
        <w:t>。</w:t>
      </w:r>
    </w:p>
    <w:p>
      <w:pPr>
        <w:adjustRightInd w:val="0"/>
        <w:snapToGrid w:val="0"/>
        <w:spacing w:before="203" w:beforeLines="50" w:after="203" w:afterLines="50"/>
        <w:ind w:firstLine="500" w:firstLineChars="200"/>
        <w:rPr>
          <w:rFonts w:ascii="宋体" w:hAnsi="宋体"/>
        </w:rPr>
      </w:pPr>
      <w:r>
        <w:rPr>
          <w:rFonts w:ascii="宋体" w:hAnsi="宋体"/>
        </w:rPr>
        <w:t>确保设备正常运行一年的备品备件，提供设备正常运行12个月所的润滑油（脂），专用工具等。</w:t>
      </w:r>
    </w:p>
    <w:p>
      <w:pPr>
        <w:adjustRightInd w:val="0"/>
        <w:snapToGrid w:val="0"/>
        <w:spacing w:before="203" w:beforeLines="50" w:after="203" w:afterLines="50"/>
        <w:ind w:firstLine="500" w:firstLineChars="200"/>
        <w:rPr>
          <w:rFonts w:ascii="宋体" w:hAnsi="宋体"/>
        </w:rPr>
      </w:pPr>
      <w:r>
        <w:rPr>
          <w:rFonts w:ascii="宋体" w:hAnsi="宋体"/>
        </w:rPr>
        <w:t>电控箱至各设备的所有电缆及保护管由安装方负责。</w:t>
      </w:r>
    </w:p>
    <w:p>
      <w:pPr>
        <w:adjustRightInd w:val="0"/>
        <w:snapToGrid w:val="0"/>
        <w:spacing w:before="203" w:beforeLines="50" w:after="203" w:afterLines="50"/>
        <w:ind w:firstLine="500" w:firstLineChars="200"/>
        <w:rPr>
          <w:rFonts w:ascii="宋体" w:hAnsi="宋体"/>
        </w:rPr>
      </w:pPr>
      <w:r>
        <w:rPr>
          <w:rFonts w:ascii="宋体" w:hAnsi="宋体"/>
        </w:rPr>
        <w:t>减速机采用进口品牌设备</w:t>
      </w:r>
      <w:r>
        <w:rPr>
          <w:rFonts w:hint="eastAsia" w:ascii="宋体" w:hAnsi="宋体"/>
        </w:rPr>
        <w:t>或等同品质的设备</w:t>
      </w:r>
      <w:r>
        <w:rPr>
          <w:rFonts w:ascii="宋体" w:hAnsi="宋体"/>
        </w:rPr>
        <w:t>。</w:t>
      </w:r>
    </w:p>
    <w:p>
      <w:pPr>
        <w:keepNext/>
        <w:adjustRightInd w:val="0"/>
        <w:snapToGrid w:val="0"/>
        <w:spacing w:before="203" w:beforeLines="50" w:after="203" w:afterLines="50"/>
        <w:outlineLvl w:val="2"/>
        <w:rPr>
          <w:rFonts w:ascii="宋体" w:hAnsi="宋体" w:cs="楷体"/>
          <w:b/>
        </w:rPr>
      </w:pPr>
      <w:bookmarkStart w:id="6622" w:name="_Toc106883707"/>
      <w:r>
        <w:rPr>
          <w:rFonts w:hint="eastAsia" w:ascii="宋体" w:hAnsi="宋体" w:cs="楷体"/>
          <w:b/>
        </w:rPr>
        <w:t>8.17.4基本要求</w:t>
      </w:r>
      <w:bookmarkEnd w:id="6622"/>
    </w:p>
    <w:p>
      <w:pPr>
        <w:adjustRightInd w:val="0"/>
        <w:snapToGrid w:val="0"/>
        <w:spacing w:before="203" w:beforeLines="50" w:after="203" w:afterLines="50"/>
        <w:rPr>
          <w:rFonts w:ascii="宋体" w:hAnsi="宋体" w:cs="楷体"/>
          <w:snapToGrid w:val="0"/>
        </w:rPr>
      </w:pPr>
      <w:r>
        <w:rPr>
          <w:rFonts w:hint="eastAsia" w:ascii="宋体" w:hAnsi="宋体" w:cs="楷体"/>
          <w:snapToGrid w:val="0"/>
        </w:rPr>
        <w:t>运行条件及使用环境</w:t>
      </w:r>
    </w:p>
    <w:p>
      <w:pPr>
        <w:adjustRightInd w:val="0"/>
        <w:snapToGrid w:val="0"/>
        <w:spacing w:before="203" w:beforeLines="50" w:after="203" w:afterLines="50"/>
        <w:ind w:firstLine="480"/>
        <w:rPr>
          <w:rFonts w:ascii="宋体" w:hAnsi="宋体" w:cs="楷体"/>
        </w:rPr>
      </w:pPr>
      <w:r>
        <w:rPr>
          <w:rFonts w:hint="eastAsia" w:ascii="宋体" w:hAnsi="宋体" w:cs="楷体"/>
        </w:rPr>
        <w:t>（1）安装位置：机械搅拌池</w:t>
      </w:r>
    </w:p>
    <w:p>
      <w:pPr>
        <w:adjustRightInd w:val="0"/>
        <w:snapToGrid w:val="0"/>
        <w:spacing w:before="203" w:beforeLines="50" w:after="203" w:afterLines="50"/>
        <w:ind w:firstLine="480"/>
        <w:rPr>
          <w:rFonts w:ascii="宋体" w:hAnsi="宋体" w:cs="楷体"/>
        </w:rPr>
      </w:pPr>
      <w:r>
        <w:rPr>
          <w:rFonts w:hint="eastAsia" w:ascii="宋体" w:hAnsi="宋体" w:cs="楷体"/>
        </w:rPr>
        <w:t>（2）环境温度: 0～40℃</w:t>
      </w:r>
    </w:p>
    <w:p>
      <w:pPr>
        <w:adjustRightInd w:val="0"/>
        <w:snapToGrid w:val="0"/>
        <w:spacing w:before="203" w:beforeLines="50" w:after="203" w:afterLines="50"/>
        <w:ind w:firstLine="480"/>
        <w:rPr>
          <w:rFonts w:ascii="宋体" w:hAnsi="宋体" w:cs="楷体"/>
        </w:rPr>
      </w:pPr>
      <w:r>
        <w:rPr>
          <w:rFonts w:hint="eastAsia" w:ascii="宋体" w:hAnsi="宋体" w:cs="楷体"/>
        </w:rPr>
        <w:t>（3）工作制:允许24h/d连续运行或间歇运行</w:t>
      </w:r>
    </w:p>
    <w:p>
      <w:pPr>
        <w:adjustRightInd w:val="0"/>
        <w:snapToGrid w:val="0"/>
        <w:spacing w:before="203" w:beforeLines="50" w:after="203" w:afterLines="50"/>
        <w:ind w:firstLine="480"/>
        <w:rPr>
          <w:rFonts w:ascii="宋体" w:hAnsi="宋体" w:cs="楷体"/>
        </w:rPr>
      </w:pPr>
      <w:r>
        <w:rPr>
          <w:rFonts w:hint="eastAsia" w:ascii="宋体" w:hAnsi="宋体" w:cs="楷体"/>
        </w:rPr>
        <w:t>（4）电源: 380V、3ph、50Ht</w:t>
      </w:r>
    </w:p>
    <w:p>
      <w:pPr>
        <w:adjustRightInd w:val="0"/>
        <w:snapToGrid w:val="0"/>
        <w:spacing w:before="203" w:beforeLines="50" w:after="203" w:afterLines="50"/>
        <w:ind w:firstLine="480"/>
        <w:rPr>
          <w:rFonts w:ascii="宋体" w:hAnsi="宋体" w:cs="楷体"/>
        </w:rPr>
      </w:pPr>
      <w:r>
        <w:rPr>
          <w:rFonts w:hint="eastAsia" w:ascii="宋体" w:hAnsi="宋体" w:cs="楷体"/>
        </w:rPr>
        <w:t>（5）使用环境：室内。</w:t>
      </w:r>
    </w:p>
    <w:p>
      <w:pPr>
        <w:adjustRightInd w:val="0"/>
        <w:snapToGrid w:val="0"/>
        <w:spacing w:before="203" w:beforeLines="50" w:after="203" w:afterLines="50"/>
        <w:ind w:firstLine="480"/>
        <w:rPr>
          <w:rFonts w:ascii="宋体" w:hAnsi="宋体" w:cs="楷体"/>
        </w:rPr>
      </w:pPr>
      <w:r>
        <w:rPr>
          <w:rFonts w:hint="eastAsia" w:ascii="宋体" w:hAnsi="宋体" w:cs="楷体"/>
        </w:rPr>
        <w:t>（6）使用要求：在原水全部通过的情况下应能24小时连续运行,同时,也应能间断运行或长时间停机后正常启动运行。</w:t>
      </w:r>
    </w:p>
    <w:p>
      <w:pPr>
        <w:keepNext/>
        <w:adjustRightInd w:val="0"/>
        <w:snapToGrid w:val="0"/>
        <w:spacing w:before="203" w:beforeLines="50" w:after="203" w:afterLines="50"/>
        <w:outlineLvl w:val="2"/>
        <w:rPr>
          <w:rFonts w:ascii="宋体" w:hAnsi="宋体" w:cs="楷体"/>
          <w:b/>
        </w:rPr>
      </w:pPr>
      <w:bookmarkStart w:id="6623" w:name="_Toc106883708"/>
      <w:r>
        <w:rPr>
          <w:rFonts w:hint="eastAsia" w:ascii="宋体" w:hAnsi="宋体" w:cs="楷体"/>
          <w:b/>
        </w:rPr>
        <w:t>8.17.5技术要求</w:t>
      </w:r>
      <w:bookmarkEnd w:id="6623"/>
    </w:p>
    <w:p>
      <w:pPr>
        <w:numPr>
          <w:ilvl w:val="0"/>
          <w:numId w:val="88"/>
        </w:numPr>
        <w:adjustRightInd w:val="0"/>
        <w:snapToGrid w:val="0"/>
        <w:spacing w:before="203" w:beforeLines="50" w:after="203" w:afterLines="50"/>
        <w:ind w:left="425" w:leftChars="-21" w:hanging="477" w:hangingChars="191"/>
        <w:rPr>
          <w:rFonts w:ascii="宋体" w:hAnsi="宋体" w:cs="楷体"/>
        </w:rPr>
      </w:pPr>
      <w:r>
        <w:rPr>
          <w:rFonts w:hint="eastAsia" w:ascii="宋体" w:hAnsi="宋体" w:cs="楷体"/>
        </w:rPr>
        <w:t>技术要求</w:t>
      </w:r>
    </w:p>
    <w:p>
      <w:pPr>
        <w:pStyle w:val="1156"/>
        <w:numPr>
          <w:ilvl w:val="0"/>
          <w:numId w:val="89"/>
        </w:numPr>
        <w:spacing w:line="240" w:lineRule="auto"/>
        <w:ind w:firstLineChars="0"/>
        <w:rPr>
          <w:rFonts w:ascii="宋体" w:hAnsi="宋体"/>
          <w:szCs w:val="24"/>
        </w:rPr>
      </w:pPr>
      <w:r>
        <w:rPr>
          <w:rFonts w:hint="eastAsia" w:ascii="宋体" w:hAnsi="宋体"/>
          <w:szCs w:val="24"/>
        </w:rPr>
        <w:t>搅拌器的电机及减速装置必须满足长期连续运行、间歇运行和长期停止状态后恢复运行的工况使用要求。</w:t>
      </w:r>
    </w:p>
    <w:p>
      <w:pPr>
        <w:pStyle w:val="1156"/>
        <w:numPr>
          <w:ilvl w:val="0"/>
          <w:numId w:val="89"/>
        </w:numPr>
        <w:spacing w:line="240" w:lineRule="auto"/>
        <w:ind w:firstLineChars="0"/>
        <w:rPr>
          <w:rFonts w:ascii="宋体" w:hAnsi="宋体"/>
          <w:szCs w:val="24"/>
        </w:rPr>
      </w:pPr>
      <w:r>
        <w:rPr>
          <w:rFonts w:hint="eastAsia" w:ascii="宋体" w:hAnsi="宋体"/>
          <w:szCs w:val="24"/>
        </w:rPr>
        <w:t>设备在额定负荷条件下运行的无故障工作时间不少于2万小时，使用寿命10年以上。</w:t>
      </w:r>
    </w:p>
    <w:p>
      <w:pPr>
        <w:numPr>
          <w:ilvl w:val="0"/>
          <w:numId w:val="89"/>
        </w:numPr>
        <w:tabs>
          <w:tab w:val="left" w:pos="567"/>
        </w:tabs>
        <w:adjustRightInd w:val="0"/>
        <w:snapToGrid w:val="0"/>
        <w:spacing w:before="203" w:beforeLines="50" w:after="203" w:afterLines="50"/>
        <w:rPr>
          <w:rFonts w:ascii="宋体" w:hAnsi="宋体"/>
        </w:rPr>
      </w:pPr>
      <w:r>
        <w:rPr>
          <w:rFonts w:hint="eastAsia" w:ascii="宋体" w:hAnsi="宋体"/>
        </w:rPr>
        <w:t>整机能分段安装和拆卸，并设计有便于分段拆装的结构，但电机及减速装置必须为组装在一起的成套装置。设备零部件的最大尺寸能满足混合池混合区的工作及安装条件</w:t>
      </w:r>
    </w:p>
    <w:p>
      <w:pPr>
        <w:numPr>
          <w:ilvl w:val="0"/>
          <w:numId w:val="89"/>
        </w:numPr>
        <w:tabs>
          <w:tab w:val="left" w:pos="567"/>
        </w:tabs>
        <w:adjustRightInd w:val="0"/>
        <w:snapToGrid w:val="0"/>
        <w:spacing w:before="203" w:beforeLines="50" w:after="203" w:afterLines="50"/>
        <w:ind w:left="567" w:hanging="567"/>
        <w:rPr>
          <w:rFonts w:ascii="宋体" w:hAnsi="宋体"/>
        </w:rPr>
      </w:pPr>
      <w:r>
        <w:rPr>
          <w:rFonts w:hint="eastAsia" w:ascii="宋体" w:hAnsi="宋体"/>
        </w:rPr>
        <w:t>设备在操作转速下运行必须平稳、无振动，并满足一般技术规定条款</w:t>
      </w:r>
      <w:r>
        <w:rPr>
          <w:rFonts w:ascii="宋体" w:hAnsi="宋体"/>
        </w:rPr>
        <w:t>。</w:t>
      </w:r>
    </w:p>
    <w:p>
      <w:pPr>
        <w:pStyle w:val="1156"/>
        <w:numPr>
          <w:ilvl w:val="0"/>
          <w:numId w:val="89"/>
        </w:numPr>
        <w:spacing w:line="240" w:lineRule="auto"/>
        <w:ind w:firstLineChars="0"/>
        <w:rPr>
          <w:rFonts w:ascii="宋体" w:hAnsi="宋体"/>
          <w:szCs w:val="24"/>
        </w:rPr>
      </w:pPr>
      <w:r>
        <w:rPr>
          <w:rFonts w:hint="eastAsia" w:ascii="宋体" w:hAnsi="宋体"/>
          <w:szCs w:val="24"/>
        </w:rPr>
        <w:t>叶轮在混合池中的位置避开进出口水流的冲击，并能形成水体良好的上下环流，在规定的停留时间内水流循环次数不少于1.5次，以达到快速均匀混合的功能。</w:t>
      </w:r>
    </w:p>
    <w:p>
      <w:pPr>
        <w:numPr>
          <w:ilvl w:val="0"/>
          <w:numId w:val="88"/>
        </w:numPr>
        <w:adjustRightInd w:val="0"/>
        <w:snapToGrid w:val="0"/>
        <w:spacing w:before="203" w:beforeLines="50" w:after="203" w:afterLines="50"/>
        <w:ind w:leftChars="-21" w:hanging="52" w:hangingChars="21"/>
        <w:rPr>
          <w:rFonts w:ascii="宋体" w:hAnsi="宋体" w:cs="楷体"/>
        </w:rPr>
      </w:pPr>
      <w:r>
        <w:rPr>
          <w:rFonts w:ascii="宋体" w:hAnsi="宋体"/>
        </w:rPr>
        <w:t>主要结构与工作原理</w:t>
      </w:r>
    </w:p>
    <w:p>
      <w:pPr>
        <w:adjustRightInd w:val="0"/>
        <w:snapToGrid w:val="0"/>
        <w:spacing w:before="203" w:beforeLines="50" w:after="203" w:afterLines="50"/>
        <w:ind w:firstLine="500" w:firstLineChars="200"/>
        <w:rPr>
          <w:rFonts w:ascii="宋体" w:hAnsi="宋体"/>
        </w:rPr>
      </w:pPr>
      <w:r>
        <w:rPr>
          <w:rFonts w:hint="eastAsia" w:ascii="宋体" w:hAnsi="宋体"/>
        </w:rPr>
        <w:t>搅拌机主要由减速机、支座、主轴、浆叶等部件组成。</w:t>
      </w:r>
    </w:p>
    <w:p>
      <w:pPr>
        <w:adjustRightInd w:val="0"/>
        <w:snapToGrid w:val="0"/>
        <w:spacing w:before="203" w:beforeLines="50" w:after="203" w:afterLines="50"/>
        <w:rPr>
          <w:rFonts w:ascii="宋体" w:hAnsi="宋体"/>
        </w:rPr>
      </w:pPr>
      <w:bookmarkStart w:id="6624" w:name="_Toc106050471"/>
      <w:r>
        <w:rPr>
          <w:rFonts w:hint="eastAsia" w:ascii="宋体" w:hAnsi="宋体"/>
        </w:rPr>
        <w:t>（1）</w:t>
      </w:r>
      <w:r>
        <w:rPr>
          <w:rFonts w:ascii="宋体" w:hAnsi="宋体"/>
        </w:rPr>
        <w:t>主要结构</w:t>
      </w:r>
      <w:bookmarkEnd w:id="6624"/>
    </w:p>
    <w:p>
      <w:pPr>
        <w:adjustRightInd w:val="0"/>
        <w:snapToGrid w:val="0"/>
        <w:spacing w:before="203" w:beforeLines="50" w:after="203" w:afterLines="50"/>
        <w:ind w:left="500"/>
        <w:rPr>
          <w:rFonts w:ascii="宋体" w:hAnsi="宋体"/>
        </w:rPr>
      </w:pPr>
      <w:r>
        <w:rPr>
          <w:rFonts w:hint="eastAsia" w:ascii="宋体" w:hAnsi="宋体"/>
        </w:rPr>
        <w:t>设备桥横跨于池上，其两端与池顶预埋钢板连接，中心位置安装电机减速机及机座装置。驱动机构由电机、减速机、机座等组成，其输出转矩至少大于搅拌转矩的1.25倍</w:t>
      </w:r>
      <w:r>
        <w:rPr>
          <w:rFonts w:ascii="宋体" w:hAnsi="宋体"/>
        </w:rPr>
        <w:t>。</w:t>
      </w:r>
    </w:p>
    <w:p>
      <w:pPr>
        <w:pStyle w:val="1156"/>
        <w:numPr>
          <w:ilvl w:val="0"/>
          <w:numId w:val="90"/>
        </w:numPr>
        <w:adjustRightInd w:val="0"/>
        <w:snapToGrid w:val="0"/>
        <w:spacing w:before="203" w:beforeLines="50" w:after="203" w:afterLines="50" w:line="240" w:lineRule="auto"/>
        <w:ind w:firstLineChars="0"/>
        <w:rPr>
          <w:rFonts w:ascii="宋体" w:hAnsi="宋体"/>
        </w:rPr>
      </w:pPr>
      <w:r>
        <w:rPr>
          <w:rFonts w:hint="eastAsia" w:ascii="宋体" w:hAnsi="宋体"/>
        </w:rPr>
        <w:t>电动机</w:t>
      </w:r>
    </w:p>
    <w:p>
      <w:pPr>
        <w:pStyle w:val="1156"/>
        <w:numPr>
          <w:ilvl w:val="0"/>
          <w:numId w:val="91"/>
        </w:numPr>
        <w:adjustRightInd w:val="0"/>
        <w:snapToGrid w:val="0"/>
        <w:spacing w:before="203" w:beforeLines="50" w:after="203" w:afterLines="50" w:line="240" w:lineRule="auto"/>
        <w:ind w:firstLineChars="0"/>
        <w:rPr>
          <w:rFonts w:ascii="宋体" w:hAnsi="宋体"/>
        </w:rPr>
      </w:pPr>
      <w:r>
        <w:rPr>
          <w:rFonts w:hint="eastAsia" w:ascii="宋体" w:hAnsi="宋体"/>
        </w:rPr>
        <w:t>电动机材质及性能符合《旋转电机基本技术要求》GB755-87标准，ASTM及IEC颁发的相关的技术标准。</w:t>
      </w:r>
    </w:p>
    <w:p>
      <w:pPr>
        <w:pStyle w:val="1156"/>
        <w:numPr>
          <w:ilvl w:val="0"/>
          <w:numId w:val="91"/>
        </w:numPr>
        <w:adjustRightInd w:val="0"/>
        <w:snapToGrid w:val="0"/>
        <w:spacing w:before="203" w:beforeLines="50" w:after="203" w:afterLines="50" w:line="240" w:lineRule="auto"/>
        <w:ind w:firstLineChars="0"/>
        <w:rPr>
          <w:rFonts w:ascii="宋体" w:hAnsi="宋体"/>
        </w:rPr>
      </w:pPr>
      <w:r>
        <w:rPr>
          <w:rFonts w:hint="eastAsia" w:ascii="宋体" w:hAnsi="宋体"/>
        </w:rPr>
        <w:t>采用三相异步电机，应适合变频速度调节，防护等级为IP55，绝缘等级为F级。应能保证连续运行，额定电压为380V，三相，50Hz，立式安装。</w:t>
      </w:r>
    </w:p>
    <w:p>
      <w:pPr>
        <w:pStyle w:val="1156"/>
        <w:numPr>
          <w:ilvl w:val="0"/>
          <w:numId w:val="91"/>
        </w:numPr>
        <w:adjustRightInd w:val="0"/>
        <w:snapToGrid w:val="0"/>
        <w:spacing w:before="203" w:beforeLines="50" w:after="203" w:afterLines="50" w:line="240" w:lineRule="auto"/>
        <w:ind w:firstLineChars="0"/>
        <w:rPr>
          <w:rFonts w:ascii="宋体" w:hAnsi="宋体"/>
        </w:rPr>
      </w:pPr>
      <w:r>
        <w:rPr>
          <w:rFonts w:hint="eastAsia" w:ascii="宋体" w:hAnsi="宋体"/>
        </w:rPr>
        <w:t>电动机设计能在冲击载荷情况下运行，其额定功率至少应大于搅拌器设计轴功率的1.2倍；轴承能在1500rpm或1000rpm或750rpm的条件下操作运行。</w:t>
      </w:r>
    </w:p>
    <w:p>
      <w:pPr>
        <w:pStyle w:val="1156"/>
        <w:numPr>
          <w:ilvl w:val="0"/>
          <w:numId w:val="91"/>
        </w:numPr>
        <w:adjustRightInd w:val="0"/>
        <w:snapToGrid w:val="0"/>
        <w:spacing w:before="203" w:beforeLines="50" w:after="203" w:afterLines="50" w:line="240" w:lineRule="auto"/>
        <w:ind w:firstLineChars="0"/>
        <w:rPr>
          <w:rFonts w:ascii="宋体" w:hAnsi="宋体"/>
        </w:rPr>
      </w:pPr>
      <w:r>
        <w:rPr>
          <w:rFonts w:hint="eastAsia" w:ascii="宋体" w:hAnsi="宋体"/>
        </w:rPr>
        <w:t>最高过载能力可达180%。</w:t>
      </w:r>
    </w:p>
    <w:p>
      <w:pPr>
        <w:pStyle w:val="1156"/>
        <w:numPr>
          <w:ilvl w:val="0"/>
          <w:numId w:val="91"/>
        </w:numPr>
        <w:adjustRightInd w:val="0"/>
        <w:snapToGrid w:val="0"/>
        <w:spacing w:before="203" w:beforeLines="50" w:after="203" w:afterLines="50" w:line="240" w:lineRule="auto"/>
        <w:ind w:firstLineChars="0"/>
        <w:rPr>
          <w:rFonts w:ascii="宋体" w:hAnsi="宋体"/>
        </w:rPr>
      </w:pPr>
      <w:r>
        <w:rPr>
          <w:rFonts w:hint="eastAsia" w:ascii="宋体" w:hAnsi="宋体"/>
        </w:rPr>
        <w:t>搅拌机电机定子应配有温度检测元件及漏油监控元件，温升极限为120K，漏油量为0。</w:t>
      </w:r>
    </w:p>
    <w:p>
      <w:pPr>
        <w:pStyle w:val="1156"/>
        <w:numPr>
          <w:ilvl w:val="0"/>
          <w:numId w:val="90"/>
        </w:numPr>
        <w:adjustRightInd w:val="0"/>
        <w:snapToGrid w:val="0"/>
        <w:spacing w:before="203" w:beforeLines="50" w:after="203" w:afterLines="50" w:line="240" w:lineRule="auto"/>
        <w:ind w:firstLineChars="0"/>
        <w:rPr>
          <w:rFonts w:ascii="宋体" w:hAnsi="宋体"/>
        </w:rPr>
      </w:pPr>
      <w:r>
        <w:rPr>
          <w:rFonts w:hint="eastAsia" w:ascii="宋体" w:hAnsi="宋体"/>
        </w:rPr>
        <w:t>减速装置</w:t>
      </w:r>
    </w:p>
    <w:p>
      <w:pPr>
        <w:adjustRightInd w:val="0"/>
        <w:snapToGrid w:val="0"/>
        <w:spacing w:before="203" w:beforeLines="50" w:after="203" w:afterLines="50"/>
        <w:ind w:left="500" w:firstLine="500" w:firstLineChars="200"/>
        <w:rPr>
          <w:rFonts w:ascii="宋体" w:hAnsi="宋体"/>
        </w:rPr>
      </w:pPr>
      <w:r>
        <w:rPr>
          <w:rFonts w:hint="eastAsia" w:ascii="宋体" w:hAnsi="宋体"/>
        </w:rPr>
        <w:t xml:space="preserve">减速传动装置是斜齿轮或蜗轮传动组合结构形式，齿轮设计按 ISO、DIN 或等同标准，服务系数≥1.6，以避免漏油现象发生。减速机设有油位自动调节装置，以使齿轮传动在任何温度变化条件下均能达到良好的润滑。 </w:t>
      </w:r>
    </w:p>
    <w:p>
      <w:pPr>
        <w:adjustRightInd w:val="0"/>
        <w:snapToGrid w:val="0"/>
        <w:spacing w:before="203" w:beforeLines="50" w:after="203" w:afterLines="50"/>
        <w:ind w:left="500" w:firstLine="500" w:firstLineChars="200"/>
        <w:rPr>
          <w:rFonts w:ascii="宋体" w:hAnsi="宋体"/>
        </w:rPr>
      </w:pPr>
      <w:r>
        <w:rPr>
          <w:rFonts w:hint="eastAsia" w:ascii="宋体" w:hAnsi="宋体"/>
        </w:rPr>
        <w:t>电机减速装置是传动效率高、低噪音、使用寿命长、运行平稳可靠的产品，减速机轴承有良好的润滑，其工作寿命不低于 100,000h。齿轮为低合金钢，渗碳处理，齿面硬度不低于HRC58。驱动电机适用于电源380V、3相、50Hz，电动机防护等级为IP65，F级绝缘。电机额定功率比最大实耗功率大10%，电机转速不得超过1500r/min。</w:t>
      </w:r>
    </w:p>
    <w:p>
      <w:pPr>
        <w:adjustRightInd w:val="0"/>
        <w:snapToGrid w:val="0"/>
        <w:spacing w:before="203" w:beforeLines="50" w:after="203" w:afterLines="50"/>
        <w:ind w:left="500" w:firstLine="500" w:firstLineChars="200"/>
        <w:rPr>
          <w:rFonts w:ascii="宋体" w:hAnsi="宋体"/>
        </w:rPr>
      </w:pPr>
      <w:r>
        <w:rPr>
          <w:rFonts w:hint="eastAsia" w:ascii="宋体" w:hAnsi="宋体"/>
        </w:rPr>
        <w:t>减速装置在各种设计工况下，能传递操作所需功率，并能承受搅拌轴传递的负载；所有齿轮有保护措施以避免冲击载荷。</w:t>
      </w:r>
    </w:p>
    <w:p>
      <w:pPr>
        <w:adjustRightInd w:val="0"/>
        <w:snapToGrid w:val="0"/>
        <w:spacing w:before="203" w:beforeLines="50" w:after="203" w:afterLines="50"/>
        <w:ind w:left="500"/>
        <w:rPr>
          <w:rFonts w:ascii="宋体" w:hAnsi="宋体"/>
        </w:rPr>
      </w:pPr>
      <w:r>
        <w:rPr>
          <w:rFonts w:hint="eastAsia" w:ascii="宋体" w:hAnsi="宋体"/>
        </w:rPr>
        <w:t>搅拌机运行平稳，无异常噪音，在距型号设备1m处测量噪音小于85dB(A)。</w:t>
      </w:r>
    </w:p>
    <w:p>
      <w:pPr>
        <w:adjustRightInd w:val="0"/>
        <w:snapToGrid w:val="0"/>
        <w:spacing w:before="203" w:beforeLines="50" w:after="203" w:afterLines="50"/>
        <w:ind w:left="500" w:firstLine="500" w:firstLineChars="200"/>
        <w:rPr>
          <w:rFonts w:ascii="宋体" w:hAnsi="宋体"/>
        </w:rPr>
      </w:pPr>
      <w:r>
        <w:rPr>
          <w:rFonts w:hint="eastAsia" w:ascii="宋体" w:hAnsi="宋体"/>
        </w:rPr>
        <w:t>润滑系统绝对可靠的向齿轮和轴承连续供油，不能另设油泵，齿轮箱油位通过牛眼视镜或油位标尺来查看；齿轮箱轴承的润滑也可用润滑脂，但用润滑脂的轴承设有补充油脂的油标，不允许封死。</w:t>
      </w:r>
    </w:p>
    <w:p>
      <w:pPr>
        <w:pStyle w:val="1156"/>
        <w:numPr>
          <w:ilvl w:val="0"/>
          <w:numId w:val="90"/>
        </w:numPr>
        <w:adjustRightInd w:val="0"/>
        <w:snapToGrid w:val="0"/>
        <w:spacing w:before="203" w:beforeLines="50" w:after="203" w:afterLines="50" w:line="240" w:lineRule="auto"/>
        <w:ind w:firstLineChars="0"/>
        <w:rPr>
          <w:rFonts w:ascii="宋体" w:hAnsi="宋体"/>
        </w:rPr>
      </w:pPr>
      <w:r>
        <w:rPr>
          <w:rFonts w:hint="eastAsia" w:ascii="宋体" w:hAnsi="宋体"/>
        </w:rPr>
        <w:t>搅拌轴</w:t>
      </w:r>
    </w:p>
    <w:p>
      <w:pPr>
        <w:adjustRightInd w:val="0"/>
        <w:snapToGrid w:val="0"/>
        <w:spacing w:before="203" w:beforeLines="50" w:after="203" w:afterLines="50"/>
        <w:ind w:left="500" w:firstLine="500" w:firstLineChars="200"/>
        <w:rPr>
          <w:rFonts w:ascii="宋体" w:hAnsi="宋体"/>
        </w:rPr>
      </w:pPr>
      <w:r>
        <w:rPr>
          <w:rFonts w:hint="eastAsia" w:ascii="宋体" w:hAnsi="宋体"/>
        </w:rPr>
        <w:t>主轴采用优质实心圆钢调质处理后车加工成形。</w:t>
      </w:r>
    </w:p>
    <w:p>
      <w:pPr>
        <w:adjustRightInd w:val="0"/>
        <w:snapToGrid w:val="0"/>
        <w:spacing w:before="203" w:beforeLines="50" w:after="203" w:afterLines="50"/>
        <w:ind w:left="500" w:firstLine="500" w:firstLineChars="200"/>
        <w:rPr>
          <w:rFonts w:ascii="宋体" w:hAnsi="宋体"/>
        </w:rPr>
      </w:pPr>
      <w:r>
        <w:rPr>
          <w:rFonts w:hint="eastAsia" w:ascii="宋体" w:hAnsi="宋体"/>
        </w:rPr>
        <w:t>搅拌轴有足够的扭转和弯曲刚度：轴的拉伸应力计算值应低于其材料拉伸屈服应力值至少3倍，而剪应力计算值应低于材料剪切屈服应力值至少3.5倍。</w:t>
      </w:r>
    </w:p>
    <w:p>
      <w:pPr>
        <w:adjustRightInd w:val="0"/>
        <w:snapToGrid w:val="0"/>
        <w:spacing w:before="203" w:beforeLines="50" w:after="203" w:afterLines="50"/>
        <w:ind w:left="500" w:firstLine="500" w:firstLineChars="200"/>
        <w:rPr>
          <w:rFonts w:ascii="宋体" w:hAnsi="宋体"/>
        </w:rPr>
      </w:pPr>
      <w:r>
        <w:rPr>
          <w:rFonts w:hint="eastAsia" w:ascii="宋体" w:hAnsi="宋体"/>
        </w:rPr>
        <w:t>搅拌轴全长不设联轴器，不设水下辅助轴承。</w:t>
      </w:r>
    </w:p>
    <w:p>
      <w:pPr>
        <w:adjustRightInd w:val="0"/>
        <w:snapToGrid w:val="0"/>
        <w:spacing w:before="203" w:beforeLines="50" w:after="203" w:afterLines="50"/>
        <w:ind w:left="500" w:firstLine="500" w:firstLineChars="200"/>
        <w:rPr>
          <w:rFonts w:ascii="宋体" w:hAnsi="宋体"/>
        </w:rPr>
      </w:pPr>
      <w:r>
        <w:rPr>
          <w:rFonts w:hint="eastAsia" w:ascii="宋体" w:hAnsi="宋体"/>
        </w:rPr>
        <w:t>搅拌轴与齿轮箱实心轴连接使用刚性联轴器，与齿轮箱空心轴连接使用弹性联轴器。联轴器位于齿轮箱下部，拆卸轴时不影响齿轮箱。拆卸轴时不允许暴露齿轮箱内的部件。</w:t>
      </w:r>
    </w:p>
    <w:p>
      <w:pPr>
        <w:pStyle w:val="1156"/>
        <w:numPr>
          <w:ilvl w:val="0"/>
          <w:numId w:val="90"/>
        </w:numPr>
        <w:adjustRightInd w:val="0"/>
        <w:snapToGrid w:val="0"/>
        <w:spacing w:before="203" w:beforeLines="50" w:after="203" w:afterLines="50" w:line="240" w:lineRule="auto"/>
        <w:ind w:firstLineChars="0"/>
        <w:rPr>
          <w:rFonts w:ascii="宋体" w:hAnsi="宋体"/>
        </w:rPr>
      </w:pPr>
      <w:r>
        <w:rPr>
          <w:rFonts w:hint="eastAsia" w:ascii="宋体" w:hAnsi="宋体"/>
        </w:rPr>
        <w:t>叶轮</w:t>
      </w:r>
    </w:p>
    <w:p>
      <w:pPr>
        <w:adjustRightInd w:val="0"/>
        <w:snapToGrid w:val="0"/>
        <w:spacing w:before="203" w:beforeLines="50" w:after="203" w:afterLines="50"/>
        <w:ind w:left="500" w:firstLine="500" w:firstLineChars="200"/>
        <w:rPr>
          <w:rFonts w:ascii="宋体" w:hAnsi="宋体"/>
        </w:rPr>
      </w:pPr>
      <w:r>
        <w:rPr>
          <w:rFonts w:hint="eastAsia" w:ascii="宋体" w:hAnsi="宋体"/>
        </w:rPr>
        <w:t>浆叶由条钢和抱箍在专用工作台上用拼焊而成，其强度高，稳定性好，与主轴用螺栓固定。并具有下述特性：</w:t>
      </w:r>
    </w:p>
    <w:p>
      <w:pPr>
        <w:adjustRightInd w:val="0"/>
        <w:snapToGrid w:val="0"/>
        <w:spacing w:before="203" w:beforeLines="50" w:after="203" w:afterLines="50"/>
        <w:ind w:left="500" w:firstLine="500" w:firstLineChars="200"/>
        <w:rPr>
          <w:rFonts w:ascii="宋体" w:hAnsi="宋体"/>
        </w:rPr>
      </w:pPr>
      <w:r>
        <w:rPr>
          <w:rFonts w:hint="eastAsia" w:ascii="宋体" w:hAnsi="宋体"/>
        </w:rPr>
        <w:t>叶片数不多于3片，叶片具有足够的强度和刚度，转动时不得产生变形。设计叶片切面与搅拌轴线夹角随叶片直径的增大而增大，或等效的切面。</w:t>
      </w:r>
    </w:p>
    <w:p>
      <w:pPr>
        <w:numPr>
          <w:ilvl w:val="0"/>
          <w:numId w:val="88"/>
        </w:numPr>
        <w:ind w:left="480"/>
        <w:rPr>
          <w:rFonts w:ascii="宋体" w:hAnsi="宋体" w:cs="楷体"/>
        </w:rPr>
      </w:pPr>
      <w:r>
        <w:rPr>
          <w:rFonts w:hint="eastAsia" w:ascii="宋体" w:hAnsi="宋体" w:cs="楷体"/>
        </w:rPr>
        <w:t>材质要求</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519"/>
        <w:gridCol w:w="3043"/>
        <w:gridCol w:w="2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3" w:hRule="atLeast"/>
          <w:tblHeader/>
          <w:jc w:val="center"/>
        </w:trPr>
        <w:tc>
          <w:tcPr>
            <w:tcW w:w="2499" w:type="dxa"/>
            <w:shd w:val="clear" w:color="auto" w:fill="auto"/>
            <w:vAlign w:val="center"/>
          </w:tcPr>
          <w:p>
            <w:pPr>
              <w:keepNext/>
              <w:adjustRightInd w:val="0"/>
              <w:snapToGrid w:val="0"/>
              <w:jc w:val="center"/>
              <w:rPr>
                <w:rFonts w:ascii="宋体" w:hAnsi="宋体"/>
              </w:rPr>
            </w:pPr>
            <w:r>
              <w:rPr>
                <w:rFonts w:ascii="宋体" w:hAnsi="宋体"/>
              </w:rPr>
              <w:t>部 件</w:t>
            </w:r>
          </w:p>
        </w:tc>
        <w:tc>
          <w:tcPr>
            <w:tcW w:w="3020" w:type="dxa"/>
            <w:shd w:val="clear" w:color="auto" w:fill="auto"/>
            <w:vAlign w:val="center"/>
          </w:tcPr>
          <w:p>
            <w:pPr>
              <w:keepNext/>
              <w:adjustRightInd w:val="0"/>
              <w:snapToGrid w:val="0"/>
              <w:jc w:val="center"/>
              <w:rPr>
                <w:rFonts w:ascii="宋体" w:hAnsi="宋体"/>
              </w:rPr>
            </w:pPr>
            <w:r>
              <w:rPr>
                <w:rFonts w:ascii="宋体" w:hAnsi="宋体"/>
              </w:rPr>
              <w:t>材 质</w:t>
            </w:r>
          </w:p>
        </w:tc>
        <w:tc>
          <w:tcPr>
            <w:tcW w:w="2975" w:type="dxa"/>
            <w:shd w:val="clear" w:color="auto" w:fill="auto"/>
            <w:vAlign w:val="center"/>
          </w:tcPr>
          <w:p>
            <w:pPr>
              <w:keepNext/>
              <w:adjustRightInd w:val="0"/>
              <w:snapToGrid w:val="0"/>
              <w:jc w:val="center"/>
              <w:rPr>
                <w:rFonts w:ascii="宋体" w:hAnsi="宋体"/>
              </w:rPr>
            </w:pPr>
            <w:r>
              <w:rPr>
                <w:rFonts w:ascii="宋体" w:hAnsi="宋体"/>
              </w:rPr>
              <w:t>规格型号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3" w:hRule="atLeast"/>
          <w:jc w:val="center"/>
        </w:trPr>
        <w:tc>
          <w:tcPr>
            <w:tcW w:w="2499" w:type="dxa"/>
            <w:shd w:val="clear" w:color="auto" w:fill="auto"/>
            <w:vAlign w:val="center"/>
          </w:tcPr>
          <w:p>
            <w:pPr>
              <w:adjustRightInd w:val="0"/>
              <w:snapToGrid w:val="0"/>
              <w:jc w:val="center"/>
              <w:rPr>
                <w:rFonts w:ascii="宋体" w:hAnsi="宋体"/>
              </w:rPr>
            </w:pPr>
            <w:r>
              <w:rPr>
                <w:rFonts w:hint="eastAsia" w:ascii="宋体" w:hAnsi="宋体"/>
              </w:rPr>
              <w:t>机座</w:t>
            </w:r>
          </w:p>
        </w:tc>
        <w:tc>
          <w:tcPr>
            <w:tcW w:w="3020" w:type="dxa"/>
            <w:shd w:val="clear" w:color="auto" w:fill="auto"/>
            <w:vAlign w:val="center"/>
          </w:tcPr>
          <w:p>
            <w:pPr>
              <w:adjustRightInd w:val="0"/>
              <w:snapToGrid w:val="0"/>
              <w:jc w:val="center"/>
              <w:rPr>
                <w:rFonts w:ascii="宋体" w:hAnsi="宋体"/>
              </w:rPr>
            </w:pPr>
            <w:r>
              <w:rPr>
                <w:rFonts w:hint="eastAsia" w:ascii="宋体" w:hAnsi="宋体"/>
              </w:rPr>
              <w:t>HT200铸铁</w:t>
            </w:r>
          </w:p>
        </w:tc>
        <w:tc>
          <w:tcPr>
            <w:tcW w:w="2975" w:type="dxa"/>
            <w:shd w:val="clear" w:color="auto" w:fill="auto"/>
            <w:vAlign w:val="center"/>
          </w:tcPr>
          <w:p>
            <w:pPr>
              <w:adjustRightInd w:val="0"/>
              <w:snapToGrid w:val="0"/>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3" w:hRule="atLeast"/>
          <w:jc w:val="center"/>
        </w:trPr>
        <w:tc>
          <w:tcPr>
            <w:tcW w:w="2499" w:type="dxa"/>
            <w:shd w:val="clear" w:color="auto" w:fill="auto"/>
            <w:vAlign w:val="center"/>
          </w:tcPr>
          <w:p>
            <w:pPr>
              <w:adjustRightInd w:val="0"/>
              <w:snapToGrid w:val="0"/>
              <w:jc w:val="center"/>
              <w:rPr>
                <w:rFonts w:ascii="宋体" w:hAnsi="宋体"/>
              </w:rPr>
            </w:pPr>
            <w:r>
              <w:rPr>
                <w:rFonts w:hint="eastAsia" w:ascii="宋体" w:hAnsi="宋体"/>
              </w:rPr>
              <w:t>夹壳联轴器</w:t>
            </w:r>
          </w:p>
        </w:tc>
        <w:tc>
          <w:tcPr>
            <w:tcW w:w="3020" w:type="dxa"/>
            <w:shd w:val="clear" w:color="auto" w:fill="auto"/>
            <w:vAlign w:val="center"/>
          </w:tcPr>
          <w:p>
            <w:pPr>
              <w:adjustRightInd w:val="0"/>
              <w:snapToGrid w:val="0"/>
              <w:jc w:val="center"/>
              <w:rPr>
                <w:rFonts w:ascii="宋体" w:hAnsi="宋体"/>
              </w:rPr>
            </w:pPr>
            <w:r>
              <w:rPr>
                <w:rFonts w:hint="eastAsia" w:ascii="宋体" w:hAnsi="宋体"/>
              </w:rPr>
              <w:t>QT450球墨铸铁</w:t>
            </w:r>
          </w:p>
        </w:tc>
        <w:tc>
          <w:tcPr>
            <w:tcW w:w="2975" w:type="dxa"/>
            <w:shd w:val="clear" w:color="auto" w:fill="auto"/>
            <w:vAlign w:val="center"/>
          </w:tcPr>
          <w:p>
            <w:pPr>
              <w:adjustRightInd w:val="0"/>
              <w:snapToGrid w:val="0"/>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3" w:hRule="atLeast"/>
          <w:jc w:val="center"/>
        </w:trPr>
        <w:tc>
          <w:tcPr>
            <w:tcW w:w="2499" w:type="dxa"/>
            <w:shd w:val="clear" w:color="auto" w:fill="auto"/>
            <w:vAlign w:val="center"/>
          </w:tcPr>
          <w:p>
            <w:pPr>
              <w:adjustRightInd w:val="0"/>
              <w:snapToGrid w:val="0"/>
              <w:jc w:val="center"/>
              <w:rPr>
                <w:rFonts w:ascii="宋体" w:hAnsi="宋体"/>
              </w:rPr>
            </w:pPr>
            <w:r>
              <w:rPr>
                <w:rFonts w:hint="eastAsia" w:ascii="宋体" w:hAnsi="宋体"/>
              </w:rPr>
              <w:t>桨叶</w:t>
            </w:r>
          </w:p>
        </w:tc>
        <w:tc>
          <w:tcPr>
            <w:tcW w:w="3020" w:type="dxa"/>
            <w:shd w:val="clear" w:color="auto" w:fill="auto"/>
            <w:vAlign w:val="center"/>
          </w:tcPr>
          <w:p>
            <w:pPr>
              <w:adjustRightInd w:val="0"/>
              <w:snapToGrid w:val="0"/>
              <w:jc w:val="center"/>
              <w:rPr>
                <w:rFonts w:ascii="宋体" w:hAnsi="宋体"/>
              </w:rPr>
            </w:pPr>
            <w:r>
              <w:rPr>
                <w:rFonts w:ascii="宋体" w:hAnsi="宋体"/>
              </w:rPr>
              <w:t>不锈钢304</w:t>
            </w:r>
          </w:p>
        </w:tc>
        <w:tc>
          <w:tcPr>
            <w:tcW w:w="2975" w:type="dxa"/>
            <w:shd w:val="clear" w:color="auto" w:fill="auto"/>
            <w:vAlign w:val="center"/>
          </w:tcPr>
          <w:p>
            <w:pPr>
              <w:adjustRightInd w:val="0"/>
              <w:snapToGrid w:val="0"/>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3" w:hRule="atLeast"/>
          <w:jc w:val="center"/>
        </w:trPr>
        <w:tc>
          <w:tcPr>
            <w:tcW w:w="2499" w:type="dxa"/>
            <w:shd w:val="clear" w:color="auto" w:fill="auto"/>
            <w:vAlign w:val="center"/>
          </w:tcPr>
          <w:p>
            <w:pPr>
              <w:adjustRightInd w:val="0"/>
              <w:snapToGrid w:val="0"/>
              <w:jc w:val="center"/>
              <w:rPr>
                <w:rFonts w:ascii="宋体" w:hAnsi="宋体"/>
              </w:rPr>
            </w:pPr>
            <w:r>
              <w:rPr>
                <w:rFonts w:hint="eastAsia" w:ascii="宋体" w:hAnsi="宋体"/>
              </w:rPr>
              <w:t>主</w:t>
            </w:r>
            <w:r>
              <w:rPr>
                <w:rFonts w:ascii="宋体" w:hAnsi="宋体"/>
              </w:rPr>
              <w:t>轴</w:t>
            </w:r>
          </w:p>
        </w:tc>
        <w:tc>
          <w:tcPr>
            <w:tcW w:w="3020" w:type="dxa"/>
            <w:shd w:val="clear" w:color="auto" w:fill="auto"/>
            <w:vAlign w:val="center"/>
          </w:tcPr>
          <w:p>
            <w:pPr>
              <w:adjustRightInd w:val="0"/>
              <w:snapToGrid w:val="0"/>
              <w:jc w:val="center"/>
              <w:rPr>
                <w:rFonts w:ascii="宋体" w:hAnsi="宋体"/>
              </w:rPr>
            </w:pPr>
            <w:r>
              <w:rPr>
                <w:rFonts w:ascii="宋体" w:hAnsi="宋体"/>
              </w:rPr>
              <w:t>2Cr13不锈钢</w:t>
            </w:r>
          </w:p>
        </w:tc>
        <w:tc>
          <w:tcPr>
            <w:tcW w:w="2975" w:type="dxa"/>
            <w:shd w:val="clear" w:color="auto" w:fill="auto"/>
            <w:vAlign w:val="center"/>
          </w:tcPr>
          <w:p>
            <w:pPr>
              <w:adjustRightInd w:val="0"/>
              <w:snapToGrid w:val="0"/>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3" w:hRule="atLeast"/>
          <w:jc w:val="center"/>
        </w:trPr>
        <w:tc>
          <w:tcPr>
            <w:tcW w:w="2499" w:type="dxa"/>
            <w:shd w:val="clear" w:color="auto" w:fill="auto"/>
            <w:vAlign w:val="center"/>
          </w:tcPr>
          <w:p>
            <w:pPr>
              <w:adjustRightInd w:val="0"/>
              <w:snapToGrid w:val="0"/>
              <w:jc w:val="center"/>
              <w:rPr>
                <w:rFonts w:ascii="宋体" w:hAnsi="宋体"/>
              </w:rPr>
            </w:pPr>
            <w:r>
              <w:rPr>
                <w:rFonts w:hint="eastAsia" w:ascii="宋体" w:hAnsi="宋体"/>
              </w:rPr>
              <w:t>紧固件</w:t>
            </w:r>
          </w:p>
        </w:tc>
        <w:tc>
          <w:tcPr>
            <w:tcW w:w="3020" w:type="dxa"/>
            <w:shd w:val="clear" w:color="auto" w:fill="auto"/>
            <w:vAlign w:val="center"/>
          </w:tcPr>
          <w:p>
            <w:pPr>
              <w:adjustRightInd w:val="0"/>
              <w:snapToGrid w:val="0"/>
              <w:jc w:val="center"/>
              <w:rPr>
                <w:rFonts w:ascii="宋体" w:hAnsi="宋体"/>
              </w:rPr>
            </w:pPr>
            <w:r>
              <w:rPr>
                <w:rFonts w:ascii="宋体" w:hAnsi="宋体"/>
              </w:rPr>
              <w:t>不锈钢304</w:t>
            </w:r>
          </w:p>
        </w:tc>
        <w:tc>
          <w:tcPr>
            <w:tcW w:w="2975" w:type="dxa"/>
            <w:shd w:val="clear" w:color="auto" w:fill="auto"/>
            <w:vAlign w:val="center"/>
          </w:tcPr>
          <w:p>
            <w:pPr>
              <w:adjustRightInd w:val="0"/>
              <w:snapToGrid w:val="0"/>
              <w:jc w:val="center"/>
              <w:rPr>
                <w:rFonts w:ascii="宋体" w:hAnsi="宋体"/>
              </w:rPr>
            </w:pPr>
          </w:p>
        </w:tc>
      </w:tr>
    </w:tbl>
    <w:p>
      <w:pPr>
        <w:adjustRightInd w:val="0"/>
        <w:snapToGrid w:val="0"/>
        <w:spacing w:before="203" w:beforeLines="50" w:after="203" w:afterLines="50"/>
        <w:ind w:firstLine="500" w:firstLineChars="200"/>
        <w:rPr>
          <w:rFonts w:ascii="宋体" w:hAnsi="宋体"/>
        </w:rPr>
      </w:pPr>
      <w:r>
        <w:rPr>
          <w:rFonts w:ascii="宋体" w:hAnsi="宋体"/>
        </w:rPr>
        <w:t>4、电器控制系统</w:t>
      </w:r>
    </w:p>
    <w:p>
      <w:pPr>
        <w:adjustRightInd w:val="0"/>
        <w:snapToGrid w:val="0"/>
        <w:spacing w:before="203" w:beforeLines="50" w:after="203" w:afterLines="50"/>
        <w:ind w:firstLine="500" w:firstLineChars="200"/>
        <w:rPr>
          <w:rFonts w:ascii="宋体" w:hAnsi="宋体"/>
        </w:rPr>
      </w:pPr>
      <w:r>
        <w:rPr>
          <w:rFonts w:hint="eastAsia" w:ascii="宋体" w:hAnsi="宋体"/>
        </w:rPr>
        <w:t>（1）</w:t>
      </w:r>
      <w:r>
        <w:rPr>
          <w:rFonts w:hint="eastAsia" w:ascii="宋体" w:hAnsi="宋体"/>
        </w:rPr>
        <w:tab/>
      </w:r>
      <w:r>
        <w:rPr>
          <w:rFonts w:hint="eastAsia" w:ascii="宋体" w:hAnsi="宋体"/>
        </w:rPr>
        <w:t xml:space="preserve">搅拌机根据设定的程序运行，能就地手动操作和控制室键盘操作。 </w:t>
      </w:r>
    </w:p>
    <w:p>
      <w:pPr>
        <w:adjustRightInd w:val="0"/>
        <w:snapToGrid w:val="0"/>
        <w:spacing w:before="203" w:beforeLines="50" w:after="203" w:afterLines="50"/>
        <w:ind w:firstLine="500" w:firstLineChars="200"/>
        <w:rPr>
          <w:rFonts w:ascii="宋体" w:hAnsi="宋体"/>
        </w:rPr>
      </w:pPr>
      <w:r>
        <w:rPr>
          <w:rFonts w:hint="eastAsia" w:ascii="宋体" w:hAnsi="宋体"/>
        </w:rPr>
        <w:t>（2）</w:t>
      </w:r>
      <w:r>
        <w:rPr>
          <w:rFonts w:hint="eastAsia" w:ascii="宋体" w:hAnsi="宋体"/>
        </w:rPr>
        <w:tab/>
      </w:r>
      <w:r>
        <w:rPr>
          <w:rFonts w:hint="eastAsia" w:ascii="宋体" w:hAnsi="宋体"/>
        </w:rPr>
        <w:t xml:space="preserve">提供控制柜及相应的配套信号线缆，所有闭锁和联动等相互间的接口均在该控制柜内由供应商完成。电控箱防护等级IP55。 </w:t>
      </w:r>
    </w:p>
    <w:p>
      <w:pPr>
        <w:adjustRightInd w:val="0"/>
        <w:snapToGrid w:val="0"/>
        <w:spacing w:before="203" w:beforeLines="50" w:after="203" w:afterLines="50"/>
        <w:ind w:firstLine="500" w:firstLineChars="200"/>
        <w:rPr>
          <w:rFonts w:ascii="宋体" w:hAnsi="宋体"/>
        </w:rPr>
      </w:pPr>
      <w:r>
        <w:rPr>
          <w:rFonts w:hint="eastAsia" w:ascii="宋体" w:hAnsi="宋体"/>
        </w:rPr>
        <w:t>（3）</w:t>
      </w:r>
      <w:r>
        <w:rPr>
          <w:rFonts w:hint="eastAsia" w:ascii="宋体" w:hAnsi="宋体"/>
        </w:rPr>
        <w:tab/>
      </w:r>
      <w:r>
        <w:rPr>
          <w:rFonts w:hint="eastAsia" w:ascii="宋体" w:hAnsi="宋体"/>
        </w:rPr>
        <w:t xml:space="preserve">控制柜面板上设有“就地/远控”开关。手动状态时由控制柜上按钮就地手动操作；自动状态时由厂区PLC对进水泵进行控制。 </w:t>
      </w:r>
    </w:p>
    <w:p>
      <w:pPr>
        <w:adjustRightInd w:val="0"/>
        <w:snapToGrid w:val="0"/>
        <w:spacing w:before="203" w:beforeLines="50" w:after="203" w:afterLines="50"/>
        <w:ind w:firstLine="500" w:firstLineChars="200"/>
        <w:rPr>
          <w:rFonts w:ascii="宋体" w:hAnsi="宋体"/>
        </w:rPr>
      </w:pPr>
      <w:r>
        <w:rPr>
          <w:rFonts w:hint="eastAsia" w:ascii="宋体" w:hAnsi="宋体"/>
        </w:rPr>
        <w:t>（4）</w:t>
      </w:r>
      <w:r>
        <w:rPr>
          <w:rFonts w:hint="eastAsia" w:ascii="宋体" w:hAnsi="宋体"/>
        </w:rPr>
        <w:tab/>
      </w:r>
      <w:r>
        <w:rPr>
          <w:rFonts w:hint="eastAsia" w:ascii="宋体" w:hAnsi="宋体"/>
        </w:rPr>
        <w:t xml:space="preserve">控制柜应向厂区控制系统提供（包括但不仅限于）如下信号： </w:t>
      </w:r>
    </w:p>
    <w:p>
      <w:pPr>
        <w:adjustRightInd w:val="0"/>
        <w:snapToGrid w:val="0"/>
        <w:spacing w:before="203" w:beforeLines="50" w:after="203" w:afterLines="50"/>
        <w:ind w:firstLine="500" w:firstLineChars="200"/>
        <w:rPr>
          <w:rFonts w:ascii="宋体" w:hAnsi="宋体"/>
        </w:rPr>
      </w:pPr>
      <w:r>
        <w:rPr>
          <w:rFonts w:hint="eastAsia" w:ascii="宋体" w:hAnsi="宋体"/>
        </w:rPr>
        <w:t>（5）</w:t>
      </w:r>
      <w:r>
        <w:rPr>
          <w:rFonts w:hint="eastAsia" w:ascii="宋体" w:hAnsi="宋体"/>
        </w:rPr>
        <w:tab/>
      </w:r>
      <w:r>
        <w:rPr>
          <w:rFonts w:hint="eastAsia" w:ascii="宋体" w:hAnsi="宋体"/>
        </w:rPr>
        <w:t xml:space="preserve">每台设备就地/远控信号(1付无源触点信号)；　 </w:t>
      </w:r>
    </w:p>
    <w:p>
      <w:pPr>
        <w:adjustRightInd w:val="0"/>
        <w:snapToGrid w:val="0"/>
        <w:spacing w:before="203" w:beforeLines="50" w:after="203" w:afterLines="50"/>
        <w:ind w:firstLine="500" w:firstLineChars="200"/>
        <w:rPr>
          <w:rFonts w:ascii="宋体" w:hAnsi="宋体"/>
        </w:rPr>
      </w:pPr>
      <w:r>
        <w:rPr>
          <w:rFonts w:hint="eastAsia" w:ascii="宋体" w:hAnsi="宋体"/>
        </w:rPr>
        <w:t>（6）</w:t>
      </w:r>
      <w:r>
        <w:rPr>
          <w:rFonts w:hint="eastAsia" w:ascii="宋体" w:hAnsi="宋体"/>
        </w:rPr>
        <w:tab/>
      </w:r>
      <w:r>
        <w:rPr>
          <w:rFonts w:hint="eastAsia" w:ascii="宋体" w:hAnsi="宋体"/>
        </w:rPr>
        <w:t xml:space="preserve">每台设备运行/停止信号(1付无源触点信号)； </w:t>
      </w:r>
    </w:p>
    <w:p>
      <w:pPr>
        <w:adjustRightInd w:val="0"/>
        <w:snapToGrid w:val="0"/>
        <w:spacing w:before="203" w:beforeLines="50" w:after="203" w:afterLines="50"/>
        <w:ind w:firstLine="500" w:firstLineChars="200"/>
        <w:rPr>
          <w:rFonts w:ascii="宋体" w:hAnsi="宋体"/>
        </w:rPr>
      </w:pPr>
      <w:r>
        <w:rPr>
          <w:rFonts w:hint="eastAsia" w:ascii="宋体" w:hAnsi="宋体"/>
        </w:rPr>
        <w:t>（7）</w:t>
      </w:r>
      <w:r>
        <w:rPr>
          <w:rFonts w:hint="eastAsia" w:ascii="宋体" w:hAnsi="宋体"/>
        </w:rPr>
        <w:tab/>
      </w:r>
      <w:r>
        <w:rPr>
          <w:rFonts w:hint="eastAsia" w:ascii="宋体" w:hAnsi="宋体"/>
        </w:rPr>
        <w:t xml:space="preserve">每台设备故障信号(1付无源触点信号)； </w:t>
      </w:r>
    </w:p>
    <w:p>
      <w:pPr>
        <w:adjustRightInd w:val="0"/>
        <w:snapToGrid w:val="0"/>
        <w:spacing w:before="203" w:beforeLines="50" w:after="203" w:afterLines="50"/>
        <w:ind w:firstLine="500" w:firstLineChars="200"/>
        <w:rPr>
          <w:rFonts w:ascii="宋体" w:hAnsi="宋体"/>
        </w:rPr>
      </w:pPr>
      <w:r>
        <w:rPr>
          <w:rFonts w:hint="eastAsia" w:ascii="宋体" w:hAnsi="宋体"/>
        </w:rPr>
        <w:t>（8）</w:t>
      </w:r>
      <w:r>
        <w:rPr>
          <w:rFonts w:hint="eastAsia" w:ascii="宋体" w:hAnsi="宋体"/>
        </w:rPr>
        <w:tab/>
      </w:r>
      <w:r>
        <w:rPr>
          <w:rFonts w:hint="eastAsia" w:ascii="宋体" w:hAnsi="宋体"/>
        </w:rPr>
        <w:t xml:space="preserve">每台设备接受PLC系统的启动/停止命令（1付无源触点信号）； </w:t>
      </w:r>
    </w:p>
    <w:p>
      <w:pPr>
        <w:adjustRightInd w:val="0"/>
        <w:snapToGrid w:val="0"/>
        <w:spacing w:before="203" w:beforeLines="50" w:after="203" w:afterLines="50"/>
        <w:ind w:firstLine="500" w:firstLineChars="200"/>
        <w:rPr>
          <w:rFonts w:ascii="宋体" w:hAnsi="宋体"/>
        </w:rPr>
      </w:pPr>
      <w:r>
        <w:rPr>
          <w:rFonts w:hint="eastAsia" w:ascii="宋体" w:hAnsi="宋体"/>
        </w:rPr>
        <w:t>（9）</w:t>
      </w:r>
      <w:r>
        <w:rPr>
          <w:rFonts w:hint="eastAsia" w:ascii="宋体" w:hAnsi="宋体"/>
        </w:rPr>
        <w:tab/>
      </w:r>
      <w:r>
        <w:rPr>
          <w:rFonts w:hint="eastAsia" w:ascii="宋体" w:hAnsi="宋体"/>
        </w:rPr>
        <w:t xml:space="preserve">每台设备变频器故障信号(1付无源触点信号)（仅变频）； </w:t>
      </w:r>
    </w:p>
    <w:p>
      <w:pPr>
        <w:adjustRightInd w:val="0"/>
        <w:snapToGrid w:val="0"/>
        <w:spacing w:before="203" w:beforeLines="50" w:after="203" w:afterLines="50"/>
        <w:ind w:firstLine="500" w:firstLineChars="200"/>
        <w:rPr>
          <w:rFonts w:ascii="宋体" w:hAnsi="宋体"/>
        </w:rPr>
      </w:pPr>
      <w:r>
        <w:rPr>
          <w:rFonts w:hint="eastAsia" w:ascii="宋体" w:hAnsi="宋体"/>
        </w:rPr>
        <w:t>（10）</w:t>
      </w:r>
      <w:r>
        <w:rPr>
          <w:rFonts w:hint="eastAsia" w:ascii="宋体" w:hAnsi="宋体"/>
        </w:rPr>
        <w:tab/>
      </w:r>
      <w:r>
        <w:rPr>
          <w:rFonts w:hint="eastAsia" w:ascii="宋体" w:hAnsi="宋体"/>
        </w:rPr>
        <w:t xml:space="preserve">每台设备频率运行信号(4～20mA)（仅变频）； </w:t>
      </w:r>
    </w:p>
    <w:p>
      <w:pPr>
        <w:adjustRightInd w:val="0"/>
        <w:snapToGrid w:val="0"/>
        <w:spacing w:before="203" w:beforeLines="50" w:after="203" w:afterLines="50"/>
        <w:ind w:firstLine="500" w:firstLineChars="200"/>
        <w:rPr>
          <w:rFonts w:ascii="宋体" w:hAnsi="宋体"/>
        </w:rPr>
      </w:pPr>
      <w:r>
        <w:rPr>
          <w:rFonts w:hint="eastAsia" w:ascii="宋体" w:hAnsi="宋体"/>
        </w:rPr>
        <w:t>（11）</w:t>
      </w:r>
      <w:r>
        <w:rPr>
          <w:rFonts w:hint="eastAsia" w:ascii="宋体" w:hAnsi="宋体"/>
        </w:rPr>
        <w:tab/>
      </w:r>
      <w:r>
        <w:rPr>
          <w:rFonts w:hint="eastAsia" w:ascii="宋体" w:hAnsi="宋体"/>
        </w:rPr>
        <w:t xml:space="preserve">每台设备应接受PLC系统的频率控制命令(4～20mA)（仅变频）。 </w:t>
      </w:r>
    </w:p>
    <w:p>
      <w:pPr>
        <w:adjustRightInd w:val="0"/>
        <w:snapToGrid w:val="0"/>
        <w:spacing w:before="203" w:beforeLines="50" w:after="203" w:afterLines="50"/>
        <w:ind w:firstLine="500" w:firstLineChars="200"/>
        <w:rPr>
          <w:rFonts w:ascii="宋体" w:hAnsi="宋体"/>
        </w:rPr>
      </w:pPr>
      <w:r>
        <w:rPr>
          <w:rFonts w:hint="eastAsia" w:ascii="宋体" w:hAnsi="宋体"/>
        </w:rPr>
        <w:t>（12）</w:t>
      </w:r>
      <w:r>
        <w:rPr>
          <w:rFonts w:hint="eastAsia" w:ascii="宋体" w:hAnsi="宋体"/>
        </w:rPr>
        <w:tab/>
      </w:r>
      <w:r>
        <w:rPr>
          <w:rFonts w:hint="eastAsia" w:ascii="宋体" w:hAnsi="宋体"/>
        </w:rPr>
        <w:t xml:space="preserve">配套电气控制箱以及由控制箱至设备电机的控制与动力电缆。 </w:t>
      </w:r>
    </w:p>
    <w:p>
      <w:pPr>
        <w:adjustRightInd w:val="0"/>
        <w:snapToGrid w:val="0"/>
        <w:spacing w:before="203" w:beforeLines="50" w:after="203" w:afterLines="50"/>
        <w:ind w:firstLine="500" w:firstLineChars="200"/>
        <w:rPr>
          <w:rFonts w:ascii="宋体" w:hAnsi="宋体"/>
        </w:rPr>
      </w:pPr>
      <w:r>
        <w:rPr>
          <w:rFonts w:hint="eastAsia" w:ascii="宋体" w:hAnsi="宋体"/>
        </w:rPr>
        <w:t>（13）</w:t>
      </w:r>
      <w:r>
        <w:rPr>
          <w:rFonts w:hint="eastAsia" w:ascii="宋体" w:hAnsi="宋体"/>
        </w:rPr>
        <w:tab/>
      </w:r>
      <w:r>
        <w:rPr>
          <w:rFonts w:hint="eastAsia" w:ascii="宋体" w:hAnsi="宋体"/>
        </w:rPr>
        <w:t>有关控制箱及自控仪表等详见本标书电气与仪表控制部分要求。</w:t>
      </w:r>
    </w:p>
    <w:p>
      <w:pPr>
        <w:keepNext/>
        <w:adjustRightInd w:val="0"/>
        <w:snapToGrid w:val="0"/>
        <w:spacing w:before="203" w:beforeLines="50" w:after="203" w:afterLines="50"/>
        <w:outlineLvl w:val="1"/>
        <w:rPr>
          <w:rFonts w:ascii="宋体" w:hAnsi="宋体" w:cs="楷体"/>
          <w:b/>
        </w:rPr>
      </w:pPr>
      <w:bookmarkStart w:id="6625" w:name="_Toc106883709"/>
      <w:r>
        <w:rPr>
          <w:rFonts w:hint="eastAsia" w:ascii="宋体" w:hAnsi="宋体" w:cs="楷体"/>
          <w:b/>
        </w:rPr>
        <w:t>8.18浓缩系统类</w:t>
      </w:r>
      <w:bookmarkEnd w:id="6608"/>
      <w:bookmarkEnd w:id="6625"/>
    </w:p>
    <w:p>
      <w:pPr>
        <w:keepNext/>
        <w:adjustRightInd w:val="0"/>
        <w:snapToGrid w:val="0"/>
        <w:spacing w:before="203" w:beforeLines="50" w:after="203" w:afterLines="50"/>
        <w:outlineLvl w:val="2"/>
        <w:rPr>
          <w:rFonts w:ascii="宋体" w:hAnsi="宋体" w:cs="楷体"/>
          <w:b/>
        </w:rPr>
      </w:pPr>
      <w:bookmarkStart w:id="6626" w:name="_Toc153377183"/>
      <w:bookmarkStart w:id="6627" w:name="_Toc456691944"/>
      <w:bookmarkStart w:id="6628" w:name="_Toc299544307"/>
      <w:bookmarkStart w:id="6629" w:name="_Toc106883710"/>
      <w:bookmarkStart w:id="6630" w:name="_Toc448248746"/>
      <w:bookmarkStart w:id="6631" w:name="_Toc201371669"/>
      <w:bookmarkStart w:id="6632" w:name="_Toc456691979"/>
      <w:bookmarkStart w:id="6633" w:name="_Toc448248842"/>
      <w:bookmarkStart w:id="6634" w:name="_Toc86356715"/>
      <w:r>
        <w:rPr>
          <w:rFonts w:hint="eastAsia" w:ascii="宋体" w:hAnsi="宋体" w:cs="楷体"/>
          <w:b/>
        </w:rPr>
        <w:t>8.18.1概述</w:t>
      </w:r>
      <w:bookmarkEnd w:id="6626"/>
      <w:bookmarkEnd w:id="6627"/>
      <w:bookmarkEnd w:id="6628"/>
      <w:bookmarkEnd w:id="6629"/>
      <w:bookmarkEnd w:id="6630"/>
      <w:bookmarkEnd w:id="6631"/>
    </w:p>
    <w:p>
      <w:pPr>
        <w:spacing w:before="203" w:beforeLines="50" w:after="203" w:afterLines="50" w:line="320" w:lineRule="exact"/>
        <w:ind w:firstLine="500" w:firstLineChars="200"/>
        <w:rPr>
          <w:rFonts w:ascii="宋体" w:hAnsi="宋体" w:cs="楷体"/>
        </w:rPr>
      </w:pPr>
      <w:r>
        <w:rPr>
          <w:rFonts w:hint="eastAsia" w:ascii="宋体" w:hAnsi="宋体" w:cs="楷体"/>
        </w:rPr>
        <w:t>本工程设</w:t>
      </w:r>
      <w:r>
        <w:rPr>
          <w:rFonts w:ascii="宋体" w:hAnsi="宋体" w:cs="楷体"/>
        </w:rPr>
        <w:t>2</w:t>
      </w:r>
      <w:r>
        <w:rPr>
          <w:rFonts w:hint="eastAsia" w:ascii="宋体" w:hAnsi="宋体" w:cs="楷体"/>
        </w:rPr>
        <w:t>座污泥浓缩池，设计规模为1.5万m</w:t>
      </w:r>
      <w:r>
        <w:rPr>
          <w:rFonts w:hint="eastAsia" w:ascii="宋体" w:hAnsi="宋体" w:cs="楷体"/>
          <w:vertAlign w:val="superscript"/>
        </w:rPr>
        <w:t>3</w:t>
      </w:r>
      <w:r>
        <w:rPr>
          <w:rFonts w:hint="eastAsia" w:ascii="宋体" w:hAnsi="宋体" w:cs="楷体"/>
        </w:rPr>
        <w:t>/d，单座固体通量0</w:t>
      </w:r>
      <w:r>
        <w:rPr>
          <w:rFonts w:ascii="宋体" w:hAnsi="宋体" w:cs="楷体"/>
        </w:rPr>
        <w:t>.584</w:t>
      </w:r>
      <w:r>
        <w:rPr>
          <w:rFonts w:hint="eastAsia" w:ascii="宋体" w:hAnsi="宋体" w:cs="楷体"/>
        </w:rPr>
        <w:t>干固体/（m</w:t>
      </w:r>
      <w:r>
        <w:rPr>
          <w:rFonts w:ascii="宋体" w:hAnsi="宋体" w:cs="楷体"/>
        </w:rPr>
        <w:t>.d</w:t>
      </w:r>
      <w:r>
        <w:rPr>
          <w:rFonts w:hint="eastAsia" w:ascii="宋体" w:hAnsi="宋体" w:cs="楷体"/>
        </w:rPr>
        <w:t>）。具体内容见设备清单及图纸。</w:t>
      </w:r>
    </w:p>
    <w:p>
      <w:pPr>
        <w:keepNext/>
        <w:adjustRightInd w:val="0"/>
        <w:snapToGrid w:val="0"/>
        <w:spacing w:before="203" w:beforeLines="50" w:after="203" w:afterLines="50"/>
        <w:outlineLvl w:val="0"/>
        <w:rPr>
          <w:rFonts w:ascii="宋体" w:hAnsi="宋体" w:cs="楷体"/>
          <w:b/>
        </w:rPr>
      </w:pPr>
      <w:bookmarkStart w:id="6635" w:name="_Toc106883711"/>
      <w:r>
        <w:rPr>
          <w:rFonts w:hint="eastAsia" w:ascii="宋体" w:hAnsi="宋体" w:cs="楷体"/>
          <w:b/>
        </w:rPr>
        <w:t>8.18.2设备清单</w:t>
      </w:r>
      <w:bookmarkEnd w:id="6635"/>
    </w:p>
    <w:tbl>
      <w:tblPr>
        <w:tblStyle w:val="77"/>
        <w:tblW w:w="5000" w:type="pct"/>
        <w:tblInd w:w="0" w:type="dxa"/>
        <w:tblLayout w:type="fixed"/>
        <w:tblCellMar>
          <w:top w:w="0" w:type="dxa"/>
          <w:left w:w="108" w:type="dxa"/>
          <w:bottom w:w="0" w:type="dxa"/>
          <w:right w:w="108" w:type="dxa"/>
        </w:tblCellMar>
      </w:tblPr>
      <w:tblGrid>
        <w:gridCol w:w="848"/>
        <w:gridCol w:w="1782"/>
        <w:gridCol w:w="2604"/>
        <w:gridCol w:w="692"/>
        <w:gridCol w:w="553"/>
        <w:gridCol w:w="2241"/>
      </w:tblGrid>
      <w:tr>
        <w:tblPrEx>
          <w:tblCellMar>
            <w:top w:w="0" w:type="dxa"/>
            <w:left w:w="108" w:type="dxa"/>
            <w:bottom w:w="0" w:type="dxa"/>
            <w:right w:w="108" w:type="dxa"/>
          </w:tblCellMar>
        </w:tblPrEx>
        <w:trPr>
          <w:trHeight w:val="402" w:hRule="atLeast"/>
        </w:trPr>
        <w:tc>
          <w:tcPr>
            <w:tcW w:w="5000" w:type="pct"/>
            <w:gridSpan w:val="6"/>
            <w:tcBorders>
              <w:top w:val="nil"/>
              <w:left w:val="nil"/>
              <w:bottom w:val="nil"/>
              <w:right w:val="nil"/>
            </w:tcBorders>
            <w:noWrap/>
            <w:vAlign w:val="bottom"/>
          </w:tcPr>
          <w:p>
            <w:pPr>
              <w:keepNext/>
              <w:adjustRightInd w:val="0"/>
              <w:snapToGrid w:val="0"/>
              <w:jc w:val="center"/>
              <w:rPr>
                <w:rFonts w:ascii="宋体" w:hAnsi="宋体" w:cs="楷体"/>
                <w:b/>
                <w:bCs/>
              </w:rPr>
            </w:pPr>
            <w:r>
              <w:rPr>
                <w:rFonts w:hint="eastAsia" w:ascii="宋体" w:hAnsi="宋体" w:cs="楷体"/>
                <w:b/>
                <w:bCs/>
              </w:rPr>
              <w:t>设备清单及技术参数表</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型号参数</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1</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中心传动浓缩机</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 xml:space="preserve">全桥式，Φ5m，0.37kw </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台</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带工作桥及导流筒</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2</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出水堰板</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H=250，δ=4，L=24m</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ascii="宋体" w:hAnsi="宋体" w:cs="楷体"/>
              </w:rPr>
              <w:t>SS304</w:t>
            </w:r>
            <w:r>
              <w:rPr>
                <w:rFonts w:hint="eastAsia" w:ascii="宋体" w:hAnsi="宋体" w:cs="楷体"/>
              </w:rPr>
              <w:t>，含固定螺栓等配件</w:t>
            </w:r>
          </w:p>
        </w:tc>
      </w:tr>
    </w:tbl>
    <w:p>
      <w:pPr>
        <w:adjustRightInd w:val="0"/>
        <w:snapToGrid w:val="0"/>
        <w:rPr>
          <w:rFonts w:ascii="宋体" w:hAnsi="宋体" w:cs="楷体"/>
        </w:rPr>
      </w:pPr>
      <w:r>
        <w:rPr>
          <w:rFonts w:hint="eastAsia" w:ascii="宋体" w:hAnsi="宋体" w:cs="楷体"/>
          <w:i/>
          <w:iCs/>
        </w:rPr>
        <w:t>注：本“采购设备清单”不得被认为是详尽无遗的，无论规定与否，承包商应提供所有业主未提及的必要的元件、器件、附件、配套设备和相应材料，并包含在合同价中</w:t>
      </w:r>
      <w:r>
        <w:rPr>
          <w:rFonts w:hint="eastAsia" w:ascii="宋体" w:hAnsi="宋体" w:cs="楷体"/>
        </w:rPr>
        <w:t>。</w:t>
      </w:r>
    </w:p>
    <w:p>
      <w:pPr>
        <w:keepNext/>
        <w:adjustRightInd w:val="0"/>
        <w:snapToGrid w:val="0"/>
        <w:spacing w:before="203" w:beforeLines="50" w:after="203" w:afterLines="50"/>
        <w:outlineLvl w:val="0"/>
        <w:rPr>
          <w:rFonts w:ascii="宋体" w:hAnsi="宋体" w:cs="楷体"/>
          <w:b/>
        </w:rPr>
      </w:pPr>
      <w:bookmarkStart w:id="6636" w:name="_Toc106883712"/>
      <w:r>
        <w:rPr>
          <w:rFonts w:hint="eastAsia" w:ascii="宋体" w:hAnsi="宋体" w:cs="楷体"/>
          <w:b/>
        </w:rPr>
        <w:t>8.18.3供货范围</w:t>
      </w:r>
      <w:bookmarkEnd w:id="6636"/>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水厂本次设</w:t>
      </w:r>
      <w:r>
        <w:rPr>
          <w:rFonts w:ascii="宋体" w:hAnsi="宋体" w:cs="楷体"/>
        </w:rPr>
        <w:t>2</w:t>
      </w:r>
      <w:r>
        <w:rPr>
          <w:rFonts w:hint="eastAsia" w:ascii="宋体" w:hAnsi="宋体" w:cs="楷体"/>
        </w:rPr>
        <w:t>套完整的悬挂式中心传动浓缩机，主机成套供货：工作桥、传动装置、稳流筒、溢流装置、浓缩系统、传动轴、托臂及拉杆、底轴承及刮板装置、现场电控箱。</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随机备品备件、专用工具、安装调试、维修使用手册。</w:t>
      </w:r>
    </w:p>
    <w:p>
      <w:pPr>
        <w:keepNext/>
        <w:adjustRightInd w:val="0"/>
        <w:snapToGrid w:val="0"/>
        <w:spacing w:before="203" w:beforeLines="50" w:after="203" w:afterLines="50"/>
        <w:outlineLvl w:val="2"/>
        <w:rPr>
          <w:rFonts w:ascii="宋体" w:hAnsi="宋体" w:cs="楷体"/>
          <w:b/>
        </w:rPr>
      </w:pPr>
      <w:bookmarkStart w:id="6637" w:name="_Toc106883713"/>
      <w:r>
        <w:rPr>
          <w:rFonts w:hint="eastAsia" w:ascii="宋体" w:hAnsi="宋体" w:cs="楷体"/>
          <w:b/>
        </w:rPr>
        <w:t>8.18.4技术要求</w:t>
      </w:r>
      <w:bookmarkEnd w:id="6637"/>
    </w:p>
    <w:p>
      <w:pPr>
        <w:tabs>
          <w:tab w:val="left" w:pos="720"/>
          <w:tab w:val="left" w:pos="3766"/>
        </w:tabs>
        <w:adjustRightInd w:val="0"/>
        <w:snapToGrid w:val="0"/>
        <w:spacing w:line="360" w:lineRule="auto"/>
        <w:rPr>
          <w:rFonts w:ascii="宋体" w:hAnsi="宋体" w:cs="楷体"/>
          <w:b/>
        </w:rPr>
      </w:pPr>
      <w:r>
        <w:rPr>
          <w:rFonts w:hint="eastAsia" w:ascii="宋体" w:hAnsi="宋体" w:cs="楷体"/>
          <w:b/>
        </w:rPr>
        <w:t>1、主要技术参数：</w:t>
      </w:r>
    </w:p>
    <w:tbl>
      <w:tblPr>
        <w:tblStyle w:val="77"/>
        <w:tblW w:w="8280"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0"/>
        <w:gridCol w:w="4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ind w:left="-411" w:firstLine="720"/>
              <w:jc w:val="center"/>
              <w:rPr>
                <w:rFonts w:ascii="宋体" w:hAnsi="宋体" w:cs="楷体"/>
              </w:rPr>
            </w:pPr>
            <w:r>
              <w:rPr>
                <w:rFonts w:hint="eastAsia" w:ascii="宋体" w:hAnsi="宋体" w:cs="楷体"/>
              </w:rPr>
              <w:t>安装地点</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污泥浓缩池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ind w:left="-411" w:firstLine="720"/>
              <w:jc w:val="center"/>
              <w:rPr>
                <w:rFonts w:ascii="宋体" w:hAnsi="宋体" w:cs="楷体"/>
              </w:rPr>
            </w:pPr>
            <w:r>
              <w:rPr>
                <w:rFonts w:hint="eastAsia" w:ascii="宋体" w:hAnsi="宋体" w:cs="楷体"/>
              </w:rPr>
              <w:t>设备型式</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中心传动悬挂式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jc w:val="center"/>
              <w:rPr>
                <w:rFonts w:ascii="宋体" w:hAnsi="宋体" w:cs="楷体"/>
              </w:rPr>
            </w:pPr>
            <w:r>
              <w:rPr>
                <w:rFonts w:hint="eastAsia" w:ascii="宋体" w:hAnsi="宋体" w:cs="楷体"/>
              </w:rPr>
              <w:t>池内径</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φ</w:t>
            </w:r>
            <w:r>
              <w:rPr>
                <w:rFonts w:ascii="宋体" w:hAnsi="宋体" w:cs="楷体"/>
              </w:rPr>
              <w:t>5.0</w:t>
            </w:r>
            <w:r>
              <w:rPr>
                <w:rFonts w:hint="eastAsia" w:ascii="宋体" w:hAnsi="宋体" w:cs="楷体"/>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vAlign w:val="center"/>
          </w:tcPr>
          <w:p>
            <w:pPr>
              <w:tabs>
                <w:tab w:val="left" w:pos="3766"/>
              </w:tabs>
              <w:adjustRightInd w:val="0"/>
              <w:snapToGrid w:val="0"/>
              <w:jc w:val="center"/>
              <w:rPr>
                <w:rFonts w:ascii="宋体" w:hAnsi="宋体" w:cs="楷体"/>
              </w:rPr>
            </w:pPr>
            <w:r>
              <w:rPr>
                <w:rFonts w:hint="eastAsia" w:ascii="宋体" w:hAnsi="宋体" w:cs="楷体"/>
              </w:rPr>
              <w:t>有效水深</w:t>
            </w:r>
          </w:p>
        </w:tc>
        <w:tc>
          <w:tcPr>
            <w:tcW w:w="4320" w:type="dxa"/>
          </w:tcPr>
          <w:p>
            <w:pPr>
              <w:tabs>
                <w:tab w:val="left" w:pos="3766"/>
              </w:tabs>
              <w:adjustRightInd w:val="0"/>
              <w:snapToGrid w:val="0"/>
              <w:jc w:val="center"/>
              <w:rPr>
                <w:rFonts w:ascii="宋体" w:hAnsi="宋体" w:cs="楷体"/>
              </w:rPr>
            </w:pPr>
            <w:r>
              <w:rPr>
                <w:rFonts w:ascii="宋体" w:hAnsi="宋体" w:cs="楷体"/>
              </w:rPr>
              <w:t>4.0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vAlign w:val="center"/>
          </w:tcPr>
          <w:p>
            <w:pPr>
              <w:tabs>
                <w:tab w:val="left" w:pos="3766"/>
              </w:tabs>
              <w:adjustRightInd w:val="0"/>
              <w:snapToGrid w:val="0"/>
              <w:jc w:val="center"/>
              <w:rPr>
                <w:rFonts w:ascii="宋体" w:hAnsi="宋体" w:cs="楷体"/>
              </w:rPr>
            </w:pPr>
            <w:r>
              <w:rPr>
                <w:rFonts w:hint="eastAsia" w:ascii="宋体" w:hAnsi="宋体" w:cs="楷体"/>
              </w:rPr>
              <w:t>池底坡度</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jc w:val="center"/>
              <w:rPr>
                <w:rFonts w:ascii="宋体" w:hAnsi="宋体" w:cs="楷体"/>
              </w:rPr>
            </w:pPr>
            <w:r>
              <w:rPr>
                <w:rFonts w:hint="eastAsia" w:ascii="宋体" w:hAnsi="宋体" w:cs="楷体"/>
              </w:rPr>
              <w:t>刮板周边线速度</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约2 m/min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jc w:val="center"/>
              <w:rPr>
                <w:rFonts w:ascii="宋体" w:hAnsi="宋体" w:cs="楷体"/>
              </w:rPr>
            </w:pPr>
            <w:r>
              <w:rPr>
                <w:rFonts w:hint="eastAsia" w:ascii="宋体" w:hAnsi="宋体" w:cs="楷体"/>
              </w:rPr>
              <w:t>电机功率</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0.55 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jc w:val="center"/>
              <w:rPr>
                <w:rFonts w:ascii="宋体" w:hAnsi="宋体" w:cs="楷体"/>
              </w:rPr>
            </w:pPr>
            <w:r>
              <w:rPr>
                <w:rFonts w:hint="eastAsia" w:ascii="宋体" w:hAnsi="宋体" w:cs="楷体"/>
              </w:rPr>
              <w:t>电机防护等级/绝缘等级</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IP55/F级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720"/>
                <w:tab w:val="left" w:pos="3766"/>
              </w:tabs>
              <w:snapToGrid w:val="0"/>
              <w:jc w:val="center"/>
              <w:rPr>
                <w:rFonts w:ascii="宋体" w:hAnsi="宋体" w:cs="楷体"/>
              </w:rPr>
            </w:pPr>
            <w:r>
              <w:rPr>
                <w:rFonts w:hint="eastAsia" w:ascii="宋体" w:hAnsi="宋体" w:cs="楷体"/>
              </w:rPr>
              <w:t>电源</w:t>
            </w:r>
          </w:p>
        </w:tc>
        <w:tc>
          <w:tcPr>
            <w:tcW w:w="4320" w:type="dxa"/>
          </w:tcPr>
          <w:p>
            <w:pPr>
              <w:tabs>
                <w:tab w:val="left" w:pos="720"/>
                <w:tab w:val="left" w:pos="3766"/>
              </w:tabs>
              <w:snapToGrid w:val="0"/>
              <w:jc w:val="center"/>
              <w:rPr>
                <w:rFonts w:ascii="宋体" w:hAnsi="宋体" w:cs="楷体"/>
              </w:rPr>
            </w:pPr>
            <w:r>
              <w:rPr>
                <w:rFonts w:hint="eastAsia" w:ascii="宋体" w:hAnsi="宋体" w:cs="楷体"/>
              </w:rPr>
              <w:t>380V 、50Hz、3相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vAlign w:val="center"/>
          </w:tcPr>
          <w:p>
            <w:pPr>
              <w:jc w:val="center"/>
              <w:rPr>
                <w:rFonts w:ascii="宋体" w:hAnsi="宋体" w:cs="楷体"/>
              </w:rPr>
            </w:pPr>
            <w:r>
              <w:rPr>
                <w:rFonts w:hint="eastAsia" w:ascii="宋体" w:hAnsi="宋体" w:cs="楷体"/>
              </w:rPr>
              <w:t>设备数量</w:t>
            </w:r>
          </w:p>
        </w:tc>
        <w:tc>
          <w:tcPr>
            <w:tcW w:w="4320" w:type="dxa"/>
            <w:vAlign w:val="center"/>
          </w:tcPr>
          <w:p>
            <w:pPr>
              <w:jc w:val="center"/>
              <w:rPr>
                <w:rFonts w:ascii="宋体" w:hAnsi="宋体" w:cs="楷体"/>
              </w:rPr>
            </w:pPr>
            <w:r>
              <w:rPr>
                <w:rFonts w:hint="eastAsia" w:ascii="宋体" w:hAnsi="宋体" w:cs="楷体"/>
              </w:rPr>
              <w:t>2台</w:t>
            </w:r>
          </w:p>
        </w:tc>
      </w:tr>
    </w:tbl>
    <w:p>
      <w:pPr>
        <w:spacing w:line="360" w:lineRule="auto"/>
        <w:rPr>
          <w:rFonts w:ascii="宋体" w:hAnsi="宋体" w:cs="楷体"/>
          <w:b/>
        </w:rPr>
      </w:pPr>
      <w:r>
        <w:rPr>
          <w:rFonts w:hint="eastAsia" w:ascii="宋体" w:hAnsi="宋体" w:cs="楷体"/>
          <w:b/>
        </w:rPr>
        <w:t>2、设备各部件的描述：</w:t>
      </w:r>
    </w:p>
    <w:p>
      <w:pPr>
        <w:tabs>
          <w:tab w:val="left" w:pos="1140"/>
        </w:tabs>
        <w:adjustRightInd w:val="0"/>
        <w:snapToGrid w:val="0"/>
        <w:spacing w:before="203" w:beforeLines="50" w:after="203" w:afterLines="50"/>
        <w:ind w:firstLine="500" w:firstLineChars="200"/>
        <w:rPr>
          <w:rFonts w:ascii="宋体" w:hAnsi="宋体" w:cs="楷体"/>
        </w:rPr>
      </w:pPr>
      <w:r>
        <w:rPr>
          <w:rFonts w:hint="eastAsia" w:ascii="宋体" w:hAnsi="宋体" w:cs="楷体"/>
        </w:rPr>
        <w:t>中心传动浓缩机主要由工作桥、驱动装置、中心传动轴、中心稳流筒、刮泥臂、刮泥板、浓缩栅条、出水堰板等部件组成。</w:t>
      </w:r>
    </w:p>
    <w:p>
      <w:pPr>
        <w:numPr>
          <w:ilvl w:val="0"/>
          <w:numId w:val="92"/>
        </w:numPr>
        <w:tabs>
          <w:tab w:val="left" w:pos="1080"/>
          <w:tab w:val="left" w:pos="3766"/>
        </w:tabs>
        <w:snapToGrid w:val="0"/>
        <w:spacing w:before="203" w:beforeLines="50" w:after="203" w:afterLines="50"/>
        <w:rPr>
          <w:rFonts w:ascii="宋体" w:hAnsi="宋体" w:cs="楷体"/>
        </w:rPr>
      </w:pPr>
      <w:r>
        <w:rPr>
          <w:rFonts w:hint="eastAsia" w:ascii="宋体" w:hAnsi="宋体" w:cs="楷体"/>
        </w:rPr>
        <w:t>工作桥</w:t>
      </w:r>
    </w:p>
    <w:p>
      <w:pPr>
        <w:numPr>
          <w:ilvl w:val="0"/>
          <w:numId w:val="93"/>
        </w:numPr>
        <w:adjustRightInd w:val="0"/>
        <w:snapToGrid w:val="0"/>
        <w:spacing w:before="203" w:beforeLines="50" w:after="203" w:afterLines="50"/>
        <w:rPr>
          <w:rFonts w:ascii="宋体" w:hAnsi="宋体" w:cs="楷体"/>
        </w:rPr>
      </w:pPr>
      <w:r>
        <w:rPr>
          <w:rFonts w:hint="eastAsia" w:ascii="宋体" w:hAnsi="宋体" w:cs="楷体"/>
        </w:rPr>
        <w:t>工作桥采用型材及矩形管焊接后制成桁架结构形式，结构轻巧、刚性好、外表美观、使用寿命长。</w:t>
      </w:r>
    </w:p>
    <w:p>
      <w:pPr>
        <w:numPr>
          <w:ilvl w:val="0"/>
          <w:numId w:val="93"/>
        </w:numPr>
        <w:adjustRightInd w:val="0"/>
        <w:snapToGrid w:val="0"/>
        <w:spacing w:before="203" w:beforeLines="50" w:after="203" w:afterLines="50"/>
        <w:rPr>
          <w:rFonts w:ascii="宋体" w:hAnsi="宋体" w:cs="楷体"/>
        </w:rPr>
      </w:pPr>
      <w:r>
        <w:rPr>
          <w:rFonts w:hint="eastAsia" w:ascii="宋体" w:hAnsi="宋体" w:cs="楷体"/>
        </w:rPr>
        <w:t>工作桥走道净宽度不小于1000mm，上部设置防护栏杆。</w:t>
      </w:r>
    </w:p>
    <w:p>
      <w:pPr>
        <w:numPr>
          <w:ilvl w:val="0"/>
          <w:numId w:val="93"/>
        </w:numPr>
        <w:adjustRightInd w:val="0"/>
        <w:snapToGrid w:val="0"/>
        <w:spacing w:before="203" w:beforeLines="50" w:after="203" w:afterLines="50"/>
        <w:rPr>
          <w:rFonts w:ascii="宋体" w:hAnsi="宋体" w:cs="楷体"/>
        </w:rPr>
      </w:pPr>
      <w:r>
        <w:rPr>
          <w:rFonts w:hint="eastAsia" w:ascii="宋体" w:hAnsi="宋体" w:cs="楷体"/>
        </w:rPr>
        <w:t>工作桥具有足够的刚度和强度，除能承受最大的刮泥扭矩外，还能承受悬挂的全部设备重量，桥架的挠度值控制在1/800mm以内。</w:t>
      </w:r>
    </w:p>
    <w:p>
      <w:pPr>
        <w:numPr>
          <w:ilvl w:val="0"/>
          <w:numId w:val="92"/>
        </w:numPr>
        <w:tabs>
          <w:tab w:val="left" w:pos="1080"/>
          <w:tab w:val="left" w:pos="3766"/>
        </w:tabs>
        <w:snapToGrid w:val="0"/>
        <w:spacing w:before="203" w:beforeLines="50" w:after="203" w:afterLines="50"/>
        <w:rPr>
          <w:rFonts w:ascii="宋体" w:hAnsi="宋体" w:cs="楷体"/>
        </w:rPr>
      </w:pPr>
      <w:r>
        <w:rPr>
          <w:rFonts w:hint="eastAsia" w:ascii="宋体" w:hAnsi="宋体" w:cs="楷体"/>
        </w:rPr>
        <w:t>驱动装置</w:t>
      </w:r>
    </w:p>
    <w:p>
      <w:pPr>
        <w:numPr>
          <w:ilvl w:val="0"/>
          <w:numId w:val="94"/>
        </w:numPr>
        <w:adjustRightInd w:val="0"/>
        <w:snapToGrid w:val="0"/>
        <w:spacing w:before="203" w:beforeLines="50" w:after="203" w:afterLines="50"/>
        <w:rPr>
          <w:rFonts w:ascii="宋体" w:hAnsi="宋体" w:cs="楷体"/>
        </w:rPr>
      </w:pPr>
      <w:r>
        <w:rPr>
          <w:rFonts w:hint="eastAsia" w:ascii="宋体" w:hAnsi="宋体" w:cs="楷体"/>
        </w:rPr>
        <w:t>驱动装置采用摆线针轮减速机与蜗轮减速箱的混合装置形式，摆线针轮减速机选用国产优质产品。</w:t>
      </w:r>
    </w:p>
    <w:p>
      <w:pPr>
        <w:numPr>
          <w:ilvl w:val="0"/>
          <w:numId w:val="94"/>
        </w:numPr>
        <w:adjustRightInd w:val="0"/>
        <w:snapToGrid w:val="0"/>
        <w:spacing w:before="203" w:beforeLines="50" w:after="203" w:afterLines="50"/>
        <w:rPr>
          <w:rFonts w:ascii="宋体" w:hAnsi="宋体" w:cs="楷体"/>
        </w:rPr>
      </w:pPr>
      <w:r>
        <w:rPr>
          <w:rFonts w:hint="eastAsia" w:ascii="宋体" w:hAnsi="宋体" w:cs="楷体"/>
        </w:rPr>
        <w:t>驱动电机采用优质电机，适用于380V、3相、50Hz，它的防护等级为IP55（户外型），绝缘等级为F级。</w:t>
      </w:r>
    </w:p>
    <w:p>
      <w:pPr>
        <w:numPr>
          <w:ilvl w:val="0"/>
          <w:numId w:val="94"/>
        </w:numPr>
        <w:adjustRightInd w:val="0"/>
        <w:snapToGrid w:val="0"/>
        <w:spacing w:before="203" w:beforeLines="50" w:after="203" w:afterLines="50"/>
        <w:rPr>
          <w:rFonts w:ascii="宋体" w:hAnsi="宋体" w:cs="楷体"/>
        </w:rPr>
      </w:pPr>
      <w:r>
        <w:rPr>
          <w:rFonts w:hint="eastAsia" w:ascii="宋体" w:hAnsi="宋体" w:cs="楷体"/>
        </w:rPr>
        <w:t>减速箱齿轮设计采用符合ISO标准，齿轮材料采用S16MnCr合金钢或更好，齿面硬度HRC58～62，服务系数＞2.0，轴承寿命（L10）不低于10万小时，齿轮材料为合金钢，装置噪音≤70dB(A)。</w:t>
      </w:r>
    </w:p>
    <w:p>
      <w:pPr>
        <w:numPr>
          <w:ilvl w:val="0"/>
          <w:numId w:val="94"/>
        </w:numPr>
        <w:adjustRightInd w:val="0"/>
        <w:snapToGrid w:val="0"/>
        <w:spacing w:before="203" w:beforeLines="50" w:after="203" w:afterLines="50"/>
        <w:rPr>
          <w:rFonts w:ascii="宋体" w:hAnsi="宋体" w:cs="楷体"/>
        </w:rPr>
      </w:pPr>
      <w:r>
        <w:rPr>
          <w:rFonts w:hint="eastAsia" w:ascii="宋体" w:hAnsi="宋体" w:cs="楷体"/>
        </w:rPr>
        <w:t>驱动装置设有机械过载和电器过载双重保护装置，使减速机和其它机械结构在过载时不被损坏，确保中心传动浓缩机全天候安全有效运行。</w:t>
      </w:r>
    </w:p>
    <w:p>
      <w:pPr>
        <w:numPr>
          <w:ilvl w:val="0"/>
          <w:numId w:val="92"/>
        </w:numPr>
        <w:tabs>
          <w:tab w:val="left" w:pos="1080"/>
          <w:tab w:val="left" w:pos="3766"/>
        </w:tabs>
        <w:snapToGrid w:val="0"/>
        <w:spacing w:before="203" w:beforeLines="50" w:after="203" w:afterLines="50"/>
        <w:rPr>
          <w:rFonts w:ascii="宋体" w:hAnsi="宋体" w:cs="楷体"/>
        </w:rPr>
      </w:pPr>
      <w:r>
        <w:rPr>
          <w:rFonts w:hint="eastAsia" w:ascii="宋体" w:hAnsi="宋体" w:cs="楷体"/>
        </w:rPr>
        <w:t>中心传动轴</w:t>
      </w:r>
    </w:p>
    <w:p>
      <w:pPr>
        <w:numPr>
          <w:ilvl w:val="0"/>
          <w:numId w:val="95"/>
        </w:numPr>
        <w:adjustRightInd w:val="0"/>
        <w:snapToGrid w:val="0"/>
        <w:spacing w:before="203" w:beforeLines="50" w:after="203" w:afterLines="50"/>
        <w:rPr>
          <w:rFonts w:ascii="宋体" w:hAnsi="宋体" w:cs="楷体"/>
        </w:rPr>
      </w:pPr>
      <w:r>
        <w:rPr>
          <w:rFonts w:hint="eastAsia" w:ascii="宋体" w:hAnsi="宋体" w:cs="楷体"/>
        </w:rPr>
        <w:t>中心传动轴采用不锈钢圆管制造，它能承受浓缩机最大的刮泥载荷，中心传动轴的上部法兰与中心传动减速装置的输出传动轴（即蜗轮箱内的传动轴为实心45#圆钢并且可以上下调节）用螺栓连接，它的下部轴头与底轴承座配合。</w:t>
      </w:r>
    </w:p>
    <w:p>
      <w:pPr>
        <w:numPr>
          <w:ilvl w:val="0"/>
          <w:numId w:val="92"/>
        </w:numPr>
        <w:tabs>
          <w:tab w:val="left" w:pos="1080"/>
          <w:tab w:val="left" w:pos="3766"/>
        </w:tabs>
        <w:snapToGrid w:val="0"/>
        <w:spacing w:before="203" w:beforeLines="50" w:after="203" w:afterLines="50"/>
        <w:rPr>
          <w:rFonts w:ascii="宋体" w:hAnsi="宋体" w:cs="楷体"/>
        </w:rPr>
      </w:pPr>
      <w:r>
        <w:rPr>
          <w:rFonts w:hint="eastAsia" w:ascii="宋体" w:hAnsi="宋体" w:cs="楷体"/>
        </w:rPr>
        <w:t>刮泥臂及刮泥板组合</w:t>
      </w:r>
    </w:p>
    <w:p>
      <w:pPr>
        <w:numPr>
          <w:ilvl w:val="0"/>
          <w:numId w:val="96"/>
        </w:numPr>
        <w:adjustRightInd w:val="0"/>
        <w:snapToGrid w:val="0"/>
        <w:spacing w:before="203" w:beforeLines="50" w:after="203" w:afterLines="50"/>
        <w:rPr>
          <w:rFonts w:ascii="宋体" w:hAnsi="宋体" w:cs="楷体"/>
        </w:rPr>
      </w:pPr>
      <w:r>
        <w:rPr>
          <w:rFonts w:hint="eastAsia" w:ascii="宋体" w:hAnsi="宋体" w:cs="楷体"/>
        </w:rPr>
        <w:t>刮泥臂采用桁架支承刚性连接，与中心传动轴采用部分式轴箍连接方式，它在中心传动轴上对称布置，并具有足够的强度能承受在最大刮泥转矩时它不发生扭曲变形。</w:t>
      </w:r>
    </w:p>
    <w:p>
      <w:pPr>
        <w:numPr>
          <w:ilvl w:val="0"/>
          <w:numId w:val="96"/>
        </w:numPr>
        <w:adjustRightInd w:val="0"/>
        <w:snapToGrid w:val="0"/>
        <w:spacing w:before="203" w:beforeLines="50" w:after="203" w:afterLines="50"/>
        <w:rPr>
          <w:rFonts w:ascii="宋体" w:hAnsi="宋体" w:cs="楷体"/>
        </w:rPr>
      </w:pPr>
      <w:r>
        <w:rPr>
          <w:rFonts w:hint="eastAsia" w:ascii="宋体" w:hAnsi="宋体" w:cs="楷体"/>
        </w:rPr>
        <w:t>刮泥臂由上弦、下弦及拉杆等组成，它的所有构件均采用不锈钢角钢材料制作，平衡臂采用不锈钢管组成，端头可调拉杆与刮泥臂相接以增加刮泥臂刮臂端头强度，它的上弦呈水平状，下弦与池底坡度相平行。</w:t>
      </w:r>
    </w:p>
    <w:p>
      <w:pPr>
        <w:numPr>
          <w:ilvl w:val="0"/>
          <w:numId w:val="96"/>
        </w:numPr>
        <w:adjustRightInd w:val="0"/>
        <w:snapToGrid w:val="0"/>
        <w:spacing w:before="203" w:beforeLines="50" w:after="203" w:afterLines="50"/>
        <w:rPr>
          <w:rFonts w:ascii="宋体" w:hAnsi="宋体" w:cs="楷体"/>
        </w:rPr>
      </w:pPr>
      <w:r>
        <w:rPr>
          <w:rFonts w:hint="eastAsia" w:ascii="宋体" w:hAnsi="宋体" w:cs="楷体"/>
        </w:rPr>
        <w:t>刮泥板组合采用多片水平式线性刮泥板组成，它采用分段与刮泥臂下弦连接形式，刮泥板从池中心到周边均匀布置，利于刮泥至污泥斗中。</w:t>
      </w:r>
    </w:p>
    <w:p>
      <w:pPr>
        <w:numPr>
          <w:ilvl w:val="0"/>
          <w:numId w:val="96"/>
        </w:numPr>
        <w:adjustRightInd w:val="0"/>
        <w:snapToGrid w:val="0"/>
        <w:spacing w:before="203" w:beforeLines="50" w:after="203" w:afterLines="50"/>
        <w:rPr>
          <w:rFonts w:ascii="宋体" w:hAnsi="宋体" w:cs="楷体"/>
        </w:rPr>
      </w:pPr>
      <w:r>
        <w:rPr>
          <w:rFonts w:hint="eastAsia" w:ascii="宋体" w:hAnsi="宋体" w:cs="楷体"/>
        </w:rPr>
        <w:t>刮泥板组合的支架采用不锈钢角钢焊接成框架形式，支架的上下分别与下弦杆及刮泥板连接，刮泥板与池底平行且与下弦杆成45°布置，相邻二刮泥板的重叠量约100mm，并具有垂直调整20～30mm距离的功能以作安装调整用，刮泥板下缘装有耐水、耐酸、耐碱、耐磨的夹布橡胶刮板。</w:t>
      </w:r>
    </w:p>
    <w:p>
      <w:pPr>
        <w:numPr>
          <w:ilvl w:val="0"/>
          <w:numId w:val="92"/>
        </w:numPr>
        <w:tabs>
          <w:tab w:val="left" w:pos="1080"/>
          <w:tab w:val="left" w:pos="3766"/>
        </w:tabs>
        <w:snapToGrid w:val="0"/>
        <w:spacing w:before="203" w:beforeLines="50" w:after="203" w:afterLines="50"/>
        <w:rPr>
          <w:rFonts w:ascii="宋体" w:hAnsi="宋体" w:cs="楷体"/>
        </w:rPr>
      </w:pPr>
      <w:r>
        <w:rPr>
          <w:rFonts w:hint="eastAsia" w:ascii="宋体" w:hAnsi="宋体" w:cs="楷体"/>
        </w:rPr>
        <w:t>中心稳流筒</w:t>
      </w:r>
    </w:p>
    <w:p>
      <w:pPr>
        <w:numPr>
          <w:ilvl w:val="0"/>
          <w:numId w:val="97"/>
        </w:numPr>
        <w:adjustRightInd w:val="0"/>
        <w:snapToGrid w:val="0"/>
        <w:spacing w:before="203" w:beforeLines="50" w:after="203" w:afterLines="50"/>
        <w:rPr>
          <w:rFonts w:ascii="宋体" w:hAnsi="宋体" w:cs="楷体"/>
        </w:rPr>
      </w:pPr>
      <w:r>
        <w:rPr>
          <w:rFonts w:hint="eastAsia" w:ascii="宋体" w:hAnsi="宋体" w:cs="楷体"/>
        </w:rPr>
        <w:t>中心稳流筒采用不锈钢板材焊接而成，它的设计能保证中心稳流筒出水的污泥沉淀效果及均匀地向池周辐流。</w:t>
      </w:r>
    </w:p>
    <w:p>
      <w:pPr>
        <w:numPr>
          <w:ilvl w:val="0"/>
          <w:numId w:val="97"/>
        </w:numPr>
        <w:adjustRightInd w:val="0"/>
        <w:snapToGrid w:val="0"/>
        <w:spacing w:before="203" w:beforeLines="50" w:after="203" w:afterLines="50"/>
        <w:rPr>
          <w:rFonts w:ascii="宋体" w:hAnsi="宋体" w:cs="楷体"/>
        </w:rPr>
      </w:pPr>
      <w:r>
        <w:rPr>
          <w:rFonts w:hint="eastAsia" w:ascii="宋体" w:hAnsi="宋体" w:cs="楷体"/>
        </w:rPr>
        <w:t>中心稳流筒与工作桥具有牢固的连接措施，它在进水时作稳流用，能有效控制进水流态。</w:t>
      </w:r>
    </w:p>
    <w:p>
      <w:pPr>
        <w:numPr>
          <w:ilvl w:val="0"/>
          <w:numId w:val="92"/>
        </w:numPr>
        <w:tabs>
          <w:tab w:val="left" w:pos="1080"/>
          <w:tab w:val="left" w:pos="3766"/>
        </w:tabs>
        <w:snapToGrid w:val="0"/>
        <w:spacing w:before="203" w:beforeLines="50" w:after="203" w:afterLines="50"/>
        <w:rPr>
          <w:rFonts w:ascii="宋体" w:hAnsi="宋体" w:cs="楷体"/>
        </w:rPr>
      </w:pPr>
      <w:r>
        <w:rPr>
          <w:rFonts w:hint="eastAsia" w:ascii="宋体" w:hAnsi="宋体" w:cs="楷体"/>
        </w:rPr>
        <w:t>浓缩栅条</w:t>
      </w:r>
    </w:p>
    <w:p>
      <w:pPr>
        <w:numPr>
          <w:ilvl w:val="0"/>
          <w:numId w:val="98"/>
        </w:numPr>
        <w:adjustRightInd w:val="0"/>
        <w:snapToGrid w:val="0"/>
        <w:spacing w:before="203" w:beforeLines="50" w:after="203" w:afterLines="50"/>
        <w:rPr>
          <w:rFonts w:ascii="宋体" w:hAnsi="宋体" w:cs="楷体"/>
        </w:rPr>
      </w:pPr>
      <w:r>
        <w:rPr>
          <w:rFonts w:hint="eastAsia" w:ascii="宋体" w:hAnsi="宋体" w:cs="楷体"/>
        </w:rPr>
        <w:t>浓缩栅条排列均匀，它的间隔距离约500mm，它连接固定在刮泥臂上，它的高度为栅条下部与刮臂下弦平，上部至中心导流筒下口。</w:t>
      </w:r>
    </w:p>
    <w:p>
      <w:pPr>
        <w:numPr>
          <w:ilvl w:val="0"/>
          <w:numId w:val="98"/>
        </w:numPr>
        <w:adjustRightInd w:val="0"/>
        <w:snapToGrid w:val="0"/>
        <w:spacing w:before="203" w:beforeLines="50" w:after="203" w:afterLines="50"/>
        <w:rPr>
          <w:rFonts w:ascii="宋体" w:hAnsi="宋体" w:cs="楷体"/>
        </w:rPr>
      </w:pPr>
      <w:r>
        <w:rPr>
          <w:rFonts w:hint="eastAsia" w:ascii="宋体" w:hAnsi="宋体" w:cs="楷体"/>
        </w:rPr>
        <w:t>浓缩栅条采用不锈钢材料制作，它采用等边角钢断面的形式能有效地提高污泥浓缩效果。</w:t>
      </w:r>
    </w:p>
    <w:p>
      <w:pPr>
        <w:numPr>
          <w:ilvl w:val="0"/>
          <w:numId w:val="92"/>
        </w:numPr>
        <w:tabs>
          <w:tab w:val="left" w:pos="1080"/>
          <w:tab w:val="left" w:pos="3766"/>
        </w:tabs>
        <w:snapToGrid w:val="0"/>
        <w:spacing w:before="203" w:beforeLines="50" w:after="203" w:afterLines="50"/>
        <w:rPr>
          <w:rFonts w:ascii="宋体" w:hAnsi="宋体" w:cs="楷体"/>
        </w:rPr>
      </w:pPr>
      <w:r>
        <w:rPr>
          <w:rFonts w:hint="eastAsia" w:ascii="宋体" w:hAnsi="宋体" w:cs="楷体"/>
        </w:rPr>
        <w:t>出水堰板</w:t>
      </w:r>
    </w:p>
    <w:p>
      <w:pPr>
        <w:numPr>
          <w:ilvl w:val="0"/>
          <w:numId w:val="99"/>
        </w:numPr>
        <w:adjustRightInd w:val="0"/>
        <w:snapToGrid w:val="0"/>
        <w:spacing w:before="203" w:beforeLines="50" w:after="203" w:afterLines="50"/>
        <w:rPr>
          <w:rFonts w:ascii="宋体" w:hAnsi="宋体" w:cs="楷体"/>
        </w:rPr>
      </w:pPr>
      <w:r>
        <w:rPr>
          <w:rFonts w:hint="eastAsia" w:ascii="宋体" w:hAnsi="宋体" w:cs="楷体"/>
        </w:rPr>
        <w:t>出水堰板为三角堰板形式（为单面出水形式），采用不锈钢膨胀螺栓固定在混凝土出水槽上，出水堰板由不锈钢板制成，用以调节、恒定池面水位使周边出水均匀。</w:t>
      </w:r>
    </w:p>
    <w:p>
      <w:pPr>
        <w:tabs>
          <w:tab w:val="left" w:pos="720"/>
          <w:tab w:val="left" w:pos="3766"/>
        </w:tabs>
        <w:snapToGrid w:val="0"/>
        <w:spacing w:line="360" w:lineRule="auto"/>
        <w:rPr>
          <w:rFonts w:ascii="宋体" w:hAnsi="宋体" w:cs="楷体"/>
          <w:b/>
        </w:rPr>
      </w:pPr>
      <w:r>
        <w:rPr>
          <w:rFonts w:hint="eastAsia" w:ascii="宋体" w:hAnsi="宋体" w:cs="楷体"/>
          <w:b/>
        </w:rPr>
        <w:t>3、设备主要部件材质：</w:t>
      </w:r>
    </w:p>
    <w:tbl>
      <w:tblPr>
        <w:tblStyle w:val="77"/>
        <w:tblW w:w="893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1"/>
        <w:gridCol w:w="4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snapToGrid w:val="0"/>
              <w:jc w:val="center"/>
              <w:rPr>
                <w:rFonts w:ascii="宋体" w:hAnsi="宋体" w:cs="楷体"/>
                <w:b/>
              </w:rPr>
            </w:pPr>
            <w:r>
              <w:rPr>
                <w:rFonts w:hint="eastAsia" w:ascii="宋体" w:hAnsi="宋体" w:cs="楷体"/>
                <w:b/>
              </w:rPr>
              <w:t>部件名称</w:t>
            </w:r>
          </w:p>
        </w:tc>
        <w:tc>
          <w:tcPr>
            <w:tcW w:w="4822" w:type="dxa"/>
            <w:vAlign w:val="center"/>
          </w:tcPr>
          <w:p>
            <w:pPr>
              <w:tabs>
                <w:tab w:val="left" w:pos="3766"/>
              </w:tabs>
              <w:snapToGrid w:val="0"/>
              <w:jc w:val="center"/>
              <w:rPr>
                <w:rFonts w:ascii="宋体" w:hAnsi="宋体" w:cs="楷体"/>
                <w:b/>
              </w:rPr>
            </w:pPr>
            <w:r>
              <w:rPr>
                <w:rFonts w:hint="eastAsia" w:ascii="宋体" w:hAnsi="宋体" w:cs="楷体"/>
                <w:b/>
              </w:rPr>
              <w:t>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snapToGrid w:val="0"/>
              <w:jc w:val="center"/>
              <w:rPr>
                <w:rFonts w:ascii="宋体" w:hAnsi="宋体" w:cs="楷体"/>
                <w:b/>
              </w:rPr>
            </w:pPr>
            <w:r>
              <w:rPr>
                <w:rFonts w:hint="eastAsia" w:ascii="宋体" w:hAnsi="宋体" w:cs="楷体"/>
              </w:rPr>
              <w:t>工作桥</w:t>
            </w:r>
          </w:p>
        </w:tc>
        <w:tc>
          <w:tcPr>
            <w:tcW w:w="4822" w:type="dxa"/>
            <w:vAlign w:val="center"/>
          </w:tcPr>
          <w:p>
            <w:pPr>
              <w:tabs>
                <w:tab w:val="left" w:pos="3766"/>
              </w:tabs>
              <w:snapToGrid w:val="0"/>
              <w:jc w:val="center"/>
              <w:rPr>
                <w:rFonts w:ascii="宋体" w:hAnsi="宋体" w:cs="楷体"/>
                <w:b/>
              </w:rPr>
            </w:pPr>
            <w:r>
              <w:rPr>
                <w:rFonts w:hint="eastAsia" w:ascii="宋体" w:hAnsi="宋体" w:cs="楷体"/>
              </w:rPr>
              <w:t>碳钢Q23B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snapToGrid w:val="0"/>
              <w:jc w:val="center"/>
              <w:rPr>
                <w:rFonts w:ascii="宋体" w:hAnsi="宋体" w:cs="楷体"/>
              </w:rPr>
            </w:pPr>
            <w:r>
              <w:rPr>
                <w:rFonts w:hint="eastAsia" w:ascii="宋体" w:hAnsi="宋体" w:cs="楷体"/>
              </w:rPr>
              <w:t>中心传动轴（中心立轴）</w:t>
            </w:r>
          </w:p>
        </w:tc>
        <w:tc>
          <w:tcPr>
            <w:tcW w:w="4822" w:type="dxa"/>
            <w:vAlign w:val="center"/>
          </w:tcPr>
          <w:p>
            <w:pPr>
              <w:tabs>
                <w:tab w:val="left" w:pos="3766"/>
              </w:tabs>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中心稳流筒</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刮泥臂</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刮泥板</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不锈钢304+夹布橡胶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浓缩栅条</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出水堰板</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水下轴承</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尼龙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底刮板组合</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螺栓、螺母等紧固件</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bl>
    <w:p>
      <w:pPr>
        <w:spacing w:line="360" w:lineRule="auto"/>
        <w:rPr>
          <w:rFonts w:ascii="宋体" w:hAnsi="宋体" w:cs="楷体"/>
          <w:b/>
        </w:rPr>
      </w:pPr>
      <w:r>
        <w:rPr>
          <w:rFonts w:hint="eastAsia" w:ascii="宋体" w:hAnsi="宋体" w:cs="楷体"/>
          <w:b/>
        </w:rPr>
        <w:t>4、设备防腐：</w:t>
      </w:r>
    </w:p>
    <w:p>
      <w:pPr>
        <w:numPr>
          <w:ilvl w:val="0"/>
          <w:numId w:val="100"/>
        </w:numPr>
        <w:adjustRightInd w:val="0"/>
        <w:snapToGrid w:val="0"/>
        <w:spacing w:before="203" w:beforeLines="50" w:after="203" w:afterLines="50"/>
        <w:rPr>
          <w:rFonts w:ascii="宋体" w:hAnsi="宋体" w:cs="楷体"/>
        </w:rPr>
      </w:pPr>
      <w:r>
        <w:rPr>
          <w:rFonts w:hint="eastAsia" w:ascii="宋体" w:hAnsi="宋体" w:cs="楷体"/>
        </w:rPr>
        <w:t>不锈钢部件加工完后先进行清洗，然后喷涂银白色金属漆。</w:t>
      </w:r>
    </w:p>
    <w:p>
      <w:pPr>
        <w:numPr>
          <w:ilvl w:val="0"/>
          <w:numId w:val="100"/>
        </w:numPr>
        <w:tabs>
          <w:tab w:val="left" w:pos="630"/>
        </w:tabs>
        <w:adjustRightInd w:val="0"/>
        <w:snapToGrid w:val="0"/>
        <w:spacing w:before="203" w:beforeLines="50" w:after="203" w:afterLines="50"/>
        <w:rPr>
          <w:rFonts w:ascii="宋体" w:hAnsi="宋体" w:cs="楷体"/>
        </w:rPr>
      </w:pPr>
      <w:r>
        <w:rPr>
          <w:rFonts w:hint="eastAsia" w:ascii="宋体" w:hAnsi="宋体" w:cs="楷体"/>
        </w:rPr>
        <w:t>碳钢部件进行喷砂除锈处理，除锈等级符合GB/T8923中规定的Sa2.5级标准后，加防腐涂料处理。</w:t>
      </w:r>
    </w:p>
    <w:p>
      <w:pPr>
        <w:adjustRightInd w:val="0"/>
        <w:snapToGrid w:val="0"/>
        <w:spacing w:before="203" w:beforeLines="50" w:after="203" w:afterLines="50"/>
        <w:rPr>
          <w:rFonts w:ascii="宋体" w:hAnsi="宋体" w:cs="楷体"/>
          <w:b/>
        </w:rPr>
      </w:pPr>
      <w:r>
        <w:rPr>
          <w:rFonts w:hint="eastAsia" w:ascii="宋体" w:hAnsi="宋体" w:cs="楷体"/>
          <w:b/>
        </w:rPr>
        <w:t>5、 设备检测：</w:t>
      </w:r>
    </w:p>
    <w:p>
      <w:pPr>
        <w:numPr>
          <w:ilvl w:val="0"/>
          <w:numId w:val="101"/>
        </w:numPr>
        <w:tabs>
          <w:tab w:val="left" w:pos="630"/>
        </w:tabs>
        <w:adjustRightInd w:val="0"/>
        <w:snapToGrid w:val="0"/>
        <w:spacing w:before="203" w:beforeLines="50" w:after="203" w:afterLines="50"/>
        <w:ind w:right="26"/>
        <w:rPr>
          <w:rFonts w:ascii="宋体" w:hAnsi="宋体" w:cs="楷体"/>
        </w:rPr>
      </w:pPr>
      <w:r>
        <w:rPr>
          <w:rFonts w:hint="eastAsia" w:ascii="宋体" w:hAnsi="宋体" w:cs="楷体"/>
        </w:rPr>
        <w:t>投标商/制造厂家在设备出厂前，对设备各部件进行验收，检验项目包括：外观检查、噪声的检测、可靠性的检测、电气设备的检测和其他项目的检测。</w:t>
      </w:r>
    </w:p>
    <w:p>
      <w:pPr>
        <w:numPr>
          <w:ilvl w:val="0"/>
          <w:numId w:val="101"/>
        </w:numPr>
        <w:tabs>
          <w:tab w:val="left" w:pos="630"/>
        </w:tabs>
        <w:adjustRightInd w:val="0"/>
        <w:snapToGrid w:val="0"/>
        <w:spacing w:before="203" w:beforeLines="50" w:after="203" w:afterLines="50"/>
        <w:ind w:right="26"/>
        <w:rPr>
          <w:rFonts w:ascii="宋体" w:hAnsi="宋体" w:cs="楷体"/>
        </w:rPr>
      </w:pPr>
      <w:r>
        <w:rPr>
          <w:rFonts w:hint="eastAsia" w:ascii="宋体" w:hAnsi="宋体" w:cs="楷体"/>
        </w:rPr>
        <w:t>承包商在每台设备部件均经检查试验合格后才准许出厂，对设备的外观、运行噪声、运行可靠性等性能进行检测，应符合设备技术要求，并提供设备出厂检验合格报告、产品合格证、使用维护说明书、外购件的质保书和合格证。</w:t>
      </w:r>
    </w:p>
    <w:p>
      <w:pPr>
        <w:numPr>
          <w:ilvl w:val="0"/>
          <w:numId w:val="101"/>
        </w:numPr>
        <w:tabs>
          <w:tab w:val="left" w:pos="630"/>
        </w:tabs>
        <w:adjustRightInd w:val="0"/>
        <w:snapToGrid w:val="0"/>
        <w:spacing w:before="203" w:beforeLines="50" w:after="203" w:afterLines="50"/>
        <w:ind w:right="26"/>
        <w:rPr>
          <w:rFonts w:ascii="宋体" w:hAnsi="宋体" w:cs="楷体"/>
        </w:rPr>
      </w:pPr>
      <w:r>
        <w:rPr>
          <w:rFonts w:hint="eastAsia" w:ascii="宋体" w:hAnsi="宋体" w:cs="楷体"/>
        </w:rPr>
        <w:t>投标商/制造厂家负责浓缩机整机安装调试合格后，在无水条件下进行机械运转试验，时间不少于24小时，以证明其操作和运转的稳定性。</w:t>
      </w:r>
    </w:p>
    <w:p>
      <w:pPr>
        <w:numPr>
          <w:ilvl w:val="0"/>
          <w:numId w:val="101"/>
        </w:numPr>
        <w:tabs>
          <w:tab w:val="left" w:pos="630"/>
        </w:tabs>
        <w:adjustRightInd w:val="0"/>
        <w:snapToGrid w:val="0"/>
        <w:spacing w:before="203" w:beforeLines="50" w:after="203" w:afterLines="50"/>
        <w:ind w:right="26"/>
        <w:rPr>
          <w:rFonts w:ascii="宋体" w:hAnsi="宋体" w:cs="楷体"/>
        </w:rPr>
      </w:pPr>
      <w:r>
        <w:rPr>
          <w:rFonts w:hint="eastAsia" w:ascii="宋体" w:hAnsi="宋体" w:cs="楷体"/>
        </w:rPr>
        <w:t>承包商负责浓缩机进行带负荷运转，验证其运行速度、功率、浓缩和刮泥及撇渣效果是否达到规定的要求，试验时间不少于72小时。</w:t>
      </w:r>
    </w:p>
    <w:p>
      <w:pPr>
        <w:keepNext/>
        <w:adjustRightInd w:val="0"/>
        <w:snapToGrid w:val="0"/>
        <w:spacing w:before="203" w:beforeLines="50" w:after="203" w:afterLines="50"/>
        <w:outlineLvl w:val="1"/>
        <w:rPr>
          <w:rFonts w:ascii="宋体" w:hAnsi="宋体" w:cs="楷体"/>
          <w:b/>
        </w:rPr>
      </w:pPr>
      <w:bookmarkStart w:id="6638" w:name="_Toc106883714"/>
      <w:r>
        <w:rPr>
          <w:rFonts w:hint="eastAsia" w:ascii="宋体" w:hAnsi="宋体" w:cs="楷体"/>
          <w:b/>
        </w:rPr>
        <w:t>8.19脱水系统类</w:t>
      </w:r>
      <w:bookmarkEnd w:id="6638"/>
    </w:p>
    <w:p>
      <w:pPr>
        <w:keepNext/>
        <w:adjustRightInd w:val="0"/>
        <w:snapToGrid w:val="0"/>
        <w:spacing w:before="203" w:beforeLines="50" w:after="203" w:afterLines="50"/>
        <w:outlineLvl w:val="2"/>
        <w:rPr>
          <w:rFonts w:ascii="宋体" w:hAnsi="宋体" w:cs="楷体"/>
          <w:b/>
        </w:rPr>
      </w:pPr>
      <w:bookmarkStart w:id="6639" w:name="_Toc106883715"/>
      <w:r>
        <w:rPr>
          <w:rFonts w:hint="eastAsia" w:ascii="宋体" w:hAnsi="宋体" w:cs="楷体"/>
          <w:b/>
        </w:rPr>
        <w:t>8.19.1概述</w:t>
      </w:r>
      <w:bookmarkEnd w:id="6639"/>
    </w:p>
    <w:p>
      <w:pPr>
        <w:spacing w:before="203" w:beforeLines="50" w:after="203" w:afterLines="50" w:line="320" w:lineRule="exact"/>
        <w:ind w:firstLine="500" w:firstLineChars="200"/>
        <w:rPr>
          <w:rFonts w:ascii="宋体" w:hAnsi="宋体" w:cs="楷体"/>
        </w:rPr>
      </w:pPr>
      <w:r>
        <w:rPr>
          <w:rFonts w:hint="eastAsia" w:ascii="宋体" w:hAnsi="宋体" w:cs="楷体"/>
        </w:rPr>
        <w:t>本工程设1座污泥脱水间，规模为1.5万m</w:t>
      </w:r>
      <w:r>
        <w:rPr>
          <w:rFonts w:hint="eastAsia" w:ascii="宋体" w:hAnsi="宋体" w:cs="楷体"/>
          <w:vertAlign w:val="superscript"/>
        </w:rPr>
        <w:t>3</w:t>
      </w:r>
      <w:r>
        <w:rPr>
          <w:rFonts w:hint="eastAsia" w:ascii="宋体" w:hAnsi="宋体" w:cs="楷体"/>
        </w:rPr>
        <w:t>/d，每天处理的干泥量约为0.55t，进泥含水率为98%，出泥含水率≤60%，板框压滤脱水机共安装两台，一用一备，单台日运行约5批次，每批次时间约2h，日运行时间8～10h。具体内容见设备清单及图纸。</w:t>
      </w:r>
    </w:p>
    <w:p>
      <w:pPr>
        <w:keepNext/>
        <w:adjustRightInd w:val="0"/>
        <w:snapToGrid w:val="0"/>
        <w:spacing w:before="203" w:beforeLines="50" w:after="203" w:afterLines="50"/>
        <w:outlineLvl w:val="2"/>
        <w:rPr>
          <w:rFonts w:ascii="宋体" w:hAnsi="宋体" w:cs="楷体"/>
          <w:b/>
        </w:rPr>
      </w:pPr>
      <w:bookmarkStart w:id="6640" w:name="_Toc106883716"/>
      <w:r>
        <w:rPr>
          <w:rFonts w:hint="eastAsia" w:ascii="宋体" w:hAnsi="宋体" w:cs="楷体"/>
          <w:b/>
        </w:rPr>
        <w:t>8.19.2设备清单</w:t>
      </w:r>
      <w:bookmarkEnd w:id="6640"/>
    </w:p>
    <w:tbl>
      <w:tblPr>
        <w:tblStyle w:val="77"/>
        <w:tblW w:w="5000" w:type="pct"/>
        <w:tblInd w:w="0" w:type="dxa"/>
        <w:tblLayout w:type="fixed"/>
        <w:tblCellMar>
          <w:top w:w="0" w:type="dxa"/>
          <w:left w:w="108" w:type="dxa"/>
          <w:bottom w:w="0" w:type="dxa"/>
          <w:right w:w="108" w:type="dxa"/>
        </w:tblCellMar>
      </w:tblPr>
      <w:tblGrid>
        <w:gridCol w:w="848"/>
        <w:gridCol w:w="1782"/>
        <w:gridCol w:w="2604"/>
        <w:gridCol w:w="692"/>
        <w:gridCol w:w="553"/>
        <w:gridCol w:w="2241"/>
      </w:tblGrid>
      <w:tr>
        <w:tblPrEx>
          <w:tblCellMar>
            <w:top w:w="0" w:type="dxa"/>
            <w:left w:w="108" w:type="dxa"/>
            <w:bottom w:w="0" w:type="dxa"/>
            <w:right w:w="108" w:type="dxa"/>
          </w:tblCellMar>
        </w:tblPrEx>
        <w:trPr>
          <w:trHeight w:val="402" w:hRule="atLeast"/>
        </w:trPr>
        <w:tc>
          <w:tcPr>
            <w:tcW w:w="5000" w:type="pct"/>
            <w:gridSpan w:val="6"/>
            <w:tcBorders>
              <w:top w:val="nil"/>
              <w:left w:val="nil"/>
              <w:bottom w:val="nil"/>
              <w:right w:val="nil"/>
            </w:tcBorders>
            <w:noWrap/>
            <w:vAlign w:val="bottom"/>
          </w:tcPr>
          <w:p>
            <w:pPr>
              <w:keepNext/>
              <w:adjustRightInd w:val="0"/>
              <w:snapToGrid w:val="0"/>
              <w:jc w:val="center"/>
              <w:rPr>
                <w:rFonts w:ascii="宋体" w:hAnsi="宋体" w:cs="楷体"/>
                <w:b/>
                <w:bCs/>
              </w:rPr>
            </w:pPr>
            <w:r>
              <w:rPr>
                <w:rFonts w:hint="eastAsia" w:ascii="宋体" w:hAnsi="宋体" w:cs="楷体"/>
                <w:b/>
                <w:bCs/>
              </w:rPr>
              <w:t>设备清单及技术参数表</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序号</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名称</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型号参数</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单位</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数量</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b/>
                <w:bCs/>
              </w:rPr>
            </w:pPr>
            <w:r>
              <w:rPr>
                <w:rFonts w:hint="eastAsia" w:ascii="宋体" w:hAnsi="宋体" w:cs="楷体"/>
                <w:b/>
                <w:bCs/>
                <w:kern w:val="0"/>
              </w:rPr>
              <w:t>备注</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污泥进料泵</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Q=20m</w:t>
            </w:r>
            <w:r>
              <w:rPr>
                <w:rFonts w:hint="eastAsia" w:ascii="宋体" w:hAnsi="宋体" w:cs="楷体"/>
                <w:vertAlign w:val="superscript"/>
              </w:rPr>
              <w:t>3</w:t>
            </w:r>
            <w:r>
              <w:rPr>
                <w:rFonts w:hint="eastAsia" w:ascii="宋体" w:hAnsi="宋体" w:cs="楷体"/>
              </w:rPr>
              <w:t>/h；H=30m；N=4kW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cs="楷体"/>
              </w:rPr>
              <w:t>一用一备，由脱水机房厂家配套提供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2</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污泥调理池搅拌器</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双层斜叶桨式，N= 15kW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rPr>
              <w:t>一用一备，由脱水机房厂家配套提供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3</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铁盐储罐</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V=2m</w:t>
            </w:r>
            <w:r>
              <w:rPr>
                <w:rFonts w:ascii="宋体" w:hAnsi="宋体"/>
                <w:vertAlign w:val="superscript"/>
              </w:rPr>
              <w:t>3</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台</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1</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rPr>
            </w:pPr>
            <w:r>
              <w:rPr>
                <w:rFonts w:hint="eastAsia" w:ascii="宋体" w:hAnsi="宋体"/>
              </w:rPr>
              <w:t>PE，由脱水机房厂家配套提供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4</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铁盐卸料泵</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Q=290L/min；H=13m；N=0.75kW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rPr>
              <w:t>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5</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铁盐加药泵</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Q=340L/h，H=1.0MPa，N=0.55kW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台</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rPr>
              <w:t>一用一备，由脱水机房厂家配套提供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6</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室内消火栓</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DN65，水带长度25m</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rPr>
              <w:t>04S202 P8</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7</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PAM制备装置</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Q=2000L/h，N=1.9kW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台</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1</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rPr>
            </w:pPr>
            <w:r>
              <w:rPr>
                <w:rFonts w:hint="eastAsia" w:ascii="宋体" w:hAnsi="宋体"/>
              </w:rPr>
              <w:t>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8</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PAM投加泵</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Q=2m</w:t>
            </w:r>
            <w:r>
              <w:rPr>
                <w:rFonts w:hint="eastAsia" w:ascii="宋体" w:hAnsi="宋体" w:cs="楷体"/>
                <w:vertAlign w:val="superscript"/>
              </w:rPr>
              <w:t>3</w:t>
            </w:r>
            <w:r>
              <w:rPr>
                <w:rFonts w:hint="eastAsia" w:ascii="宋体" w:hAnsi="宋体" w:cs="楷体"/>
              </w:rPr>
              <w:t xml:space="preserve"> /h，H=0.3MPa，N=1.5kW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台</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rPr>
              <w:t>一用一备，由脱水机房厂家配套提供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9</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压滤进料泵</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Q=9m</w:t>
            </w:r>
            <w:r>
              <w:rPr>
                <w:rFonts w:hint="eastAsia" w:ascii="宋体" w:hAnsi="宋体" w:cs="楷体"/>
                <w:vertAlign w:val="superscript"/>
              </w:rPr>
              <w:t>3</w:t>
            </w:r>
            <w:r>
              <w:rPr>
                <w:rFonts w:hint="eastAsia" w:ascii="宋体" w:hAnsi="宋体" w:cs="楷体"/>
              </w:rPr>
              <w:t>/h，H=1.2MPa，N=11kW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台</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r>
              <w:rPr>
                <w:rFonts w:hint="eastAsia" w:ascii="宋体" w:hAnsi="宋体"/>
              </w:rPr>
              <w:t>柱塞泵，一用一备，由脱水机房厂家配套提供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10</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压榨机</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过滤面积60m</w:t>
            </w:r>
            <w:r>
              <w:rPr>
                <w:rFonts w:hint="eastAsia" w:ascii="宋体" w:hAnsi="宋体"/>
                <w:vertAlign w:val="superscript"/>
              </w:rPr>
              <w:t>2</w:t>
            </w:r>
            <w:r>
              <w:rPr>
                <w:rFonts w:hint="eastAsia" w:ascii="宋体" w:hAnsi="宋体"/>
              </w:rPr>
              <w:t>，N=15.8kW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台</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一用一备，由脱水机房厂家配套提供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11</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颚式污泥斗</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V=5m3，N=4.5kW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台</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2</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一用一备，由脱水机房厂家配套提供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12</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压缩空气系统</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空压机、反吹储气罐、冷干机等</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1</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13</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自控仪表系统</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进泥压力变送器、超声波液位计等</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1</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14</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自控阀门</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进料气动球阀、回流气动球阀等</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1</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15</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电控系统</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压榨机控制柜、系统总PLC等</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1</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w:t>
            </w:r>
            <w:r>
              <w:rPr>
                <w:rFonts w:ascii="宋体" w:hAnsi="宋体" w:cs="楷体"/>
                <w:kern w:val="0"/>
              </w:rPr>
              <w:t>6</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轴流风机</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Q=1500m</w:t>
            </w:r>
            <w:r>
              <w:rPr>
                <w:rFonts w:hint="eastAsia" w:ascii="宋体" w:hAnsi="宋体"/>
                <w:vertAlign w:val="superscript"/>
              </w:rPr>
              <w:t>3</w:t>
            </w:r>
            <w:r>
              <w:rPr>
                <w:rFonts w:hint="eastAsia" w:ascii="宋体" w:hAnsi="宋体"/>
              </w:rPr>
              <w:t xml:space="preserve"> /h  N=1.1kW</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16</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w:t>
            </w:r>
            <w:r>
              <w:rPr>
                <w:rFonts w:ascii="宋体" w:hAnsi="宋体" w:cs="楷体"/>
                <w:kern w:val="0"/>
              </w:rPr>
              <w:t>7</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灭火器</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 xml:space="preserve">MF/ABC5 </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具</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4</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每2具灭火器设1座灭火器箱</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kern w:val="0"/>
              </w:rPr>
            </w:pPr>
            <w:r>
              <w:rPr>
                <w:rFonts w:hint="eastAsia" w:ascii="宋体" w:hAnsi="宋体" w:cs="楷体"/>
                <w:kern w:val="0"/>
              </w:rPr>
              <w:t>1</w:t>
            </w:r>
            <w:r>
              <w:rPr>
                <w:rFonts w:ascii="宋体" w:hAnsi="宋体" w:cs="楷体"/>
                <w:kern w:val="0"/>
              </w:rPr>
              <w:t>8</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手动清洗水箱</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 xml:space="preserve">V=2m3 ,PE材质 </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16</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rPr>
            </w:pPr>
            <w:r>
              <w:rPr>
                <w:rFonts w:hint="eastAsia" w:ascii="宋体" w:hAnsi="宋体"/>
              </w:rPr>
              <w:t>手动清洗机配套、由脱水机房厂家配套提供</w:t>
            </w:r>
          </w:p>
        </w:tc>
      </w:tr>
      <w:tr>
        <w:tblPrEx>
          <w:tblCellMar>
            <w:top w:w="0" w:type="dxa"/>
            <w:left w:w="108" w:type="dxa"/>
            <w:bottom w:w="0" w:type="dxa"/>
            <w:right w:w="108" w:type="dxa"/>
          </w:tblCellMar>
        </w:tblPrEx>
        <w:trPr>
          <w:trHeight w:val="113"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cs="楷体"/>
                <w:kern w:val="0"/>
              </w:rPr>
              <w:t>1</w:t>
            </w:r>
            <w:r>
              <w:rPr>
                <w:rFonts w:ascii="宋体" w:hAnsi="宋体" w:cs="楷体"/>
                <w:kern w:val="0"/>
              </w:rPr>
              <w:t>9</w:t>
            </w:r>
          </w:p>
        </w:tc>
        <w:tc>
          <w:tcPr>
            <w:tcW w:w="1022"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rPr>
            </w:pPr>
            <w:r>
              <w:rPr>
                <w:rFonts w:hint="eastAsia" w:ascii="宋体" w:hAnsi="宋体"/>
              </w:rPr>
              <w:t>手动滤布清洗机</w:t>
            </w:r>
          </w:p>
        </w:tc>
        <w:tc>
          <w:tcPr>
            <w:tcW w:w="1493"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Q=40L/min，N=3.0kW，带加长枪头</w:t>
            </w:r>
          </w:p>
        </w:tc>
        <w:tc>
          <w:tcPr>
            <w:tcW w:w="39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套</w:t>
            </w:r>
          </w:p>
        </w:tc>
        <w:tc>
          <w:tcPr>
            <w:tcW w:w="317" w:type="pct"/>
            <w:tcBorders>
              <w:top w:val="single" w:color="000000" w:sz="4" w:space="0"/>
              <w:left w:val="single" w:color="000000" w:sz="4" w:space="0"/>
              <w:bottom w:val="single" w:color="000000" w:sz="4" w:space="0"/>
              <w:right w:val="single" w:color="000000" w:sz="4" w:space="0"/>
            </w:tcBorders>
            <w:noWrap/>
            <w:vAlign w:val="center"/>
          </w:tcPr>
          <w:p>
            <w:pPr>
              <w:widowControl/>
              <w:adjustRightInd w:val="0"/>
              <w:snapToGrid w:val="0"/>
              <w:jc w:val="center"/>
              <w:textAlignment w:val="center"/>
              <w:rPr>
                <w:rFonts w:ascii="宋体" w:hAnsi="宋体" w:cs="楷体"/>
              </w:rPr>
            </w:pPr>
            <w:r>
              <w:rPr>
                <w:rFonts w:hint="eastAsia" w:ascii="宋体" w:hAnsi="宋体"/>
              </w:rPr>
              <w:t>16</w:t>
            </w:r>
          </w:p>
        </w:tc>
        <w:tc>
          <w:tcPr>
            <w:tcW w:w="128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rPr>
              <w:t>由脱水机房厂家配套提供</w:t>
            </w:r>
          </w:p>
        </w:tc>
      </w:tr>
    </w:tbl>
    <w:p>
      <w:pPr>
        <w:adjustRightInd w:val="0"/>
        <w:snapToGrid w:val="0"/>
        <w:rPr>
          <w:rFonts w:ascii="宋体" w:hAnsi="宋体" w:cs="楷体"/>
        </w:rPr>
      </w:pPr>
      <w:r>
        <w:rPr>
          <w:rFonts w:hint="eastAsia" w:ascii="宋体" w:hAnsi="宋体" w:cs="楷体"/>
          <w:i/>
          <w:iCs/>
        </w:rPr>
        <w:t>注：本“采购设备清单”不得被认为是详尽无遗的，无论规定与否，承包商应提供所有业主未提及的必要的元件、器件、附件、配套设备和相应材料，并包含在合同价中</w:t>
      </w:r>
      <w:r>
        <w:rPr>
          <w:rFonts w:hint="eastAsia" w:ascii="宋体" w:hAnsi="宋体" w:cs="楷体"/>
        </w:rPr>
        <w:t>。</w:t>
      </w:r>
    </w:p>
    <w:p>
      <w:pPr>
        <w:keepNext/>
        <w:adjustRightInd w:val="0"/>
        <w:snapToGrid w:val="0"/>
        <w:spacing w:before="203" w:beforeLines="50" w:after="203" w:afterLines="50"/>
        <w:outlineLvl w:val="2"/>
        <w:rPr>
          <w:rFonts w:ascii="宋体" w:hAnsi="宋体" w:cs="楷体"/>
          <w:b/>
        </w:rPr>
      </w:pPr>
      <w:bookmarkStart w:id="6641" w:name="_Toc106883717"/>
      <w:r>
        <w:rPr>
          <w:rFonts w:hint="eastAsia" w:ascii="宋体" w:hAnsi="宋体" w:cs="楷体"/>
          <w:b/>
        </w:rPr>
        <w:t>8.19.3压榨机</w:t>
      </w:r>
      <w:bookmarkEnd w:id="6641"/>
    </w:p>
    <w:p>
      <w:pPr>
        <w:spacing w:before="203" w:beforeLines="50" w:after="203" w:afterLines="50" w:line="320" w:lineRule="exact"/>
        <w:rPr>
          <w:rFonts w:ascii="宋体" w:hAnsi="宋体" w:cs="楷体"/>
          <w:b/>
          <w:bCs/>
        </w:rPr>
      </w:pPr>
      <w:r>
        <w:rPr>
          <w:rFonts w:hint="eastAsia" w:ascii="宋体" w:hAnsi="宋体" w:cs="楷体"/>
          <w:b/>
          <w:bCs/>
        </w:rPr>
        <w:t>8.19.3.1  压榨机</w:t>
      </w:r>
    </w:p>
    <w:p>
      <w:pPr>
        <w:spacing w:before="203" w:beforeLines="50" w:after="203" w:afterLines="50" w:line="320" w:lineRule="exact"/>
        <w:rPr>
          <w:rFonts w:ascii="宋体" w:hAnsi="宋体" w:cs="楷体"/>
        </w:rPr>
      </w:pPr>
      <w:r>
        <w:rPr>
          <w:rFonts w:hint="eastAsia" w:ascii="宋体" w:hAnsi="宋体" w:cs="楷体"/>
        </w:rPr>
        <w:t>1、供货范围</w:t>
      </w:r>
    </w:p>
    <w:p>
      <w:pPr>
        <w:spacing w:before="203" w:beforeLines="50" w:after="203" w:afterLines="50" w:line="320" w:lineRule="exact"/>
        <w:ind w:firstLine="500" w:firstLineChars="200"/>
        <w:rPr>
          <w:rFonts w:ascii="宋体" w:hAnsi="宋体" w:cs="楷体"/>
        </w:rPr>
      </w:pPr>
      <w:r>
        <w:rPr>
          <w:rFonts w:hint="eastAsia" w:ascii="宋体" w:hAnsi="宋体" w:cs="楷体"/>
        </w:rPr>
        <w:t>全套压榨机设备必须是一个制造商的最终产品。每套污泥脱水系统包括进料系统、压滤系统、调理系统、加药系统、清洗系统、控制系统。供货相应的阀门、仪表等设备附件（包括安全阀），以保障整个污泥脱水系统能够安全、有效、可靠地运行。</w:t>
      </w:r>
    </w:p>
    <w:p>
      <w:pPr>
        <w:spacing w:line="360" w:lineRule="auto"/>
        <w:rPr>
          <w:rFonts w:ascii="宋体" w:hAnsi="宋体" w:cs="楷体"/>
        </w:rPr>
      </w:pPr>
      <w:r>
        <w:rPr>
          <w:rFonts w:hint="eastAsia" w:ascii="宋体" w:hAnsi="宋体" w:cs="楷体"/>
        </w:rPr>
        <w:t>2、主要设备技术参数</w:t>
      </w:r>
    </w:p>
    <w:tbl>
      <w:tblPr>
        <w:tblStyle w:val="7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8"/>
        <w:gridCol w:w="5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rPr>
            </w:pPr>
            <w:r>
              <w:rPr>
                <w:rFonts w:hint="eastAsia" w:ascii="宋体" w:hAnsi="宋体" w:cs="楷体"/>
              </w:rPr>
              <w:t>脱水机形式</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压榨机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rPr>
            </w:pPr>
            <w:r>
              <w:rPr>
                <w:rFonts w:hint="eastAsia" w:ascii="宋体" w:hAnsi="宋体" w:cs="楷体"/>
              </w:rPr>
              <w:t>数量</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bCs/>
              </w:rPr>
            </w:pPr>
            <w:r>
              <w:rPr>
                <w:rFonts w:hint="eastAsia" w:ascii="宋体" w:hAnsi="宋体" w:cs="楷体"/>
                <w:bCs/>
              </w:rPr>
              <w:t>脱水后污泥含固率</w:t>
            </w:r>
          </w:p>
        </w:tc>
        <w:tc>
          <w:tcPr>
            <w:tcW w:w="3051" w:type="pct"/>
            <w:vAlign w:val="center"/>
          </w:tcPr>
          <w:p>
            <w:pPr>
              <w:tabs>
                <w:tab w:val="left" w:pos="1200"/>
              </w:tabs>
              <w:adjustRightInd w:val="0"/>
              <w:snapToGrid w:val="0"/>
              <w:rPr>
                <w:rFonts w:ascii="宋体" w:hAnsi="宋体" w:cs="楷体"/>
                <w:bCs/>
              </w:rPr>
            </w:pPr>
            <w:r>
              <w:rPr>
                <w:rFonts w:hint="eastAsia" w:ascii="宋体" w:hAnsi="宋体" w:cs="楷体"/>
                <w:bCs/>
              </w:rPr>
              <w:t>40％（含水率60%）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rPr>
            </w:pPr>
            <w:r>
              <w:rPr>
                <w:rFonts w:hint="eastAsia" w:ascii="宋体" w:hAnsi="宋体" w:cs="楷体"/>
              </w:rPr>
              <w:t>滤板尺寸</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1250×1250×126mm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rPr>
            </w:pPr>
            <w:r>
              <w:rPr>
                <w:rFonts w:hint="eastAsia" w:ascii="宋体" w:hAnsi="宋体" w:cs="楷体"/>
              </w:rPr>
              <w:t>单台过滤面积</w:t>
            </w:r>
          </w:p>
        </w:tc>
        <w:tc>
          <w:tcPr>
            <w:tcW w:w="3051" w:type="pct"/>
            <w:vAlign w:val="center"/>
          </w:tcPr>
          <w:p>
            <w:pPr>
              <w:tabs>
                <w:tab w:val="left" w:pos="1200"/>
              </w:tabs>
              <w:adjustRightInd w:val="0"/>
              <w:snapToGrid w:val="0"/>
              <w:rPr>
                <w:rFonts w:ascii="宋体" w:hAnsi="宋体" w:cs="楷体"/>
                <w:vertAlign w:val="superscript"/>
              </w:rPr>
            </w:pPr>
            <w:r>
              <w:rPr>
                <w:rFonts w:ascii="宋体" w:hAnsi="宋体" w:cs="楷体"/>
              </w:rPr>
              <w:t>6</w:t>
            </w:r>
            <w:r>
              <w:rPr>
                <w:rFonts w:hint="eastAsia" w:ascii="宋体" w:hAnsi="宋体" w:cs="楷体"/>
              </w:rPr>
              <w:t>0m</w:t>
            </w:r>
            <w:r>
              <w:rPr>
                <w:rFonts w:hint="eastAsia" w:ascii="宋体" w:hAnsi="宋体" w:cs="楷体"/>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rPr>
            </w:pPr>
            <w:r>
              <w:rPr>
                <w:rFonts w:hint="eastAsia" w:ascii="宋体" w:hAnsi="宋体" w:cs="楷体"/>
              </w:rPr>
              <w:t>滤室厚度</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约25mm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b/>
              </w:rPr>
            </w:pPr>
            <w:r>
              <w:rPr>
                <w:rFonts w:hint="eastAsia" w:ascii="宋体" w:hAnsi="宋体" w:cs="楷体"/>
              </w:rPr>
              <w:t>进料压力</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0.8-1.2MPa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b/>
              </w:rPr>
            </w:pPr>
            <w:r>
              <w:rPr>
                <w:rFonts w:hint="eastAsia" w:ascii="宋体" w:hAnsi="宋体" w:cs="楷体"/>
              </w:rPr>
              <w:t>压滤压力</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2.5～7MPa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b/>
              </w:rPr>
            </w:pPr>
            <w:r>
              <w:rPr>
                <w:rFonts w:hint="eastAsia" w:ascii="宋体" w:hAnsi="宋体" w:cs="楷体"/>
              </w:rPr>
              <w:t>液压工作压力</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0～25MPa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rPr>
            </w:pPr>
            <w:r>
              <w:rPr>
                <w:rFonts w:hint="eastAsia" w:ascii="宋体" w:hAnsi="宋体" w:cs="楷体"/>
              </w:rPr>
              <w:t>控制方式</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PLC全自动(联动)控制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tabs>
                <w:tab w:val="left" w:pos="1200"/>
              </w:tabs>
              <w:adjustRightInd w:val="0"/>
              <w:snapToGrid w:val="0"/>
              <w:rPr>
                <w:rFonts w:ascii="宋体" w:hAnsi="宋体" w:cs="楷体"/>
              </w:rPr>
            </w:pPr>
            <w:r>
              <w:rPr>
                <w:rFonts w:hint="eastAsia" w:ascii="宋体" w:hAnsi="宋体" w:cs="楷体"/>
              </w:rPr>
              <w:t>防护等级/绝缘等级</w:t>
            </w:r>
          </w:p>
        </w:tc>
        <w:tc>
          <w:tcPr>
            <w:tcW w:w="3051" w:type="pct"/>
            <w:vAlign w:val="center"/>
          </w:tcPr>
          <w:p>
            <w:pPr>
              <w:tabs>
                <w:tab w:val="left" w:pos="1200"/>
              </w:tabs>
              <w:adjustRightInd w:val="0"/>
              <w:snapToGrid w:val="0"/>
              <w:rPr>
                <w:rFonts w:ascii="宋体" w:hAnsi="宋体" w:cs="楷体"/>
              </w:rPr>
            </w:pPr>
            <w:r>
              <w:rPr>
                <w:rFonts w:hint="eastAsia" w:ascii="宋体" w:hAnsi="宋体" w:cs="楷体"/>
              </w:rPr>
              <w:t>IP54/F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949" w:type="pct"/>
            <w:vAlign w:val="center"/>
          </w:tcPr>
          <w:p>
            <w:pPr>
              <w:adjustRightInd w:val="0"/>
              <w:snapToGrid w:val="0"/>
              <w:rPr>
                <w:rFonts w:ascii="宋体" w:hAnsi="宋体" w:cs="楷体"/>
              </w:rPr>
            </w:pPr>
            <w:r>
              <w:rPr>
                <w:rFonts w:hint="eastAsia" w:ascii="宋体" w:hAnsi="宋体" w:cs="楷体"/>
              </w:rPr>
              <w:t xml:space="preserve">质保期 </w:t>
            </w:r>
          </w:p>
        </w:tc>
        <w:tc>
          <w:tcPr>
            <w:tcW w:w="3051" w:type="pct"/>
            <w:vAlign w:val="center"/>
          </w:tcPr>
          <w:p>
            <w:pPr>
              <w:adjustRightInd w:val="0"/>
              <w:snapToGrid w:val="0"/>
              <w:rPr>
                <w:rFonts w:ascii="宋体" w:hAnsi="宋体" w:cs="楷体"/>
              </w:rPr>
            </w:pPr>
            <w:r>
              <w:rPr>
                <w:rFonts w:hint="eastAsia" w:ascii="宋体" w:hAnsi="宋体" w:cs="楷体"/>
              </w:rPr>
              <w:t>≥1年</w:t>
            </w:r>
          </w:p>
        </w:tc>
      </w:tr>
    </w:tbl>
    <w:p>
      <w:pPr>
        <w:spacing w:before="203" w:beforeLines="50" w:after="203" w:afterLines="50" w:line="320" w:lineRule="exact"/>
        <w:rPr>
          <w:rFonts w:ascii="宋体" w:hAnsi="宋体" w:cs="楷体"/>
        </w:rPr>
      </w:pPr>
      <w:r>
        <w:rPr>
          <w:rFonts w:hint="eastAsia" w:ascii="宋体" w:hAnsi="宋体" w:cs="楷体"/>
        </w:rPr>
        <w:t>1）压榨机一般要求</w:t>
      </w:r>
    </w:p>
    <w:p>
      <w:pPr>
        <w:spacing w:before="203" w:beforeLines="50" w:after="203" w:afterLines="50" w:line="320" w:lineRule="exact"/>
        <w:ind w:firstLine="420"/>
        <w:rPr>
          <w:rFonts w:ascii="宋体" w:hAnsi="宋体" w:cs="楷体"/>
        </w:rPr>
      </w:pPr>
      <w:r>
        <w:rPr>
          <w:rFonts w:hint="eastAsia" w:ascii="宋体" w:hAnsi="宋体" w:cs="楷体"/>
        </w:rPr>
        <w:t>压榨机系统主要由机架、过滤板、滤布、液压闭合系统、液压挤压系统、自动拉板装置、滤布清洗系统、中心吹泥系统、自动集水盘、泥饼储存系统、控制系统等组成。</w:t>
      </w:r>
    </w:p>
    <w:p>
      <w:pPr>
        <w:spacing w:before="203" w:beforeLines="50" w:after="203" w:afterLines="50" w:line="320" w:lineRule="exact"/>
        <w:ind w:firstLine="420"/>
        <w:rPr>
          <w:rFonts w:ascii="宋体" w:hAnsi="宋体" w:cs="楷体"/>
        </w:rPr>
      </w:pPr>
      <w:r>
        <w:rPr>
          <w:rFonts w:hint="eastAsia" w:ascii="宋体" w:hAnsi="宋体" w:cs="楷体"/>
        </w:rPr>
        <w:t>压榨机的生产厂家压榨机生产经验≥8年，项目案例的现场运行时间不少于3年。需提供用户证明材料或合同原件的复印件（加盖制造商公章）、业主联系人及有效联系电话。（此处为商务部分，请销售自行调整）</w:t>
      </w:r>
    </w:p>
    <w:p>
      <w:pPr>
        <w:spacing w:before="203" w:beforeLines="50" w:after="203" w:afterLines="50" w:line="320" w:lineRule="exact"/>
        <w:ind w:firstLine="420"/>
        <w:rPr>
          <w:rFonts w:ascii="宋体" w:hAnsi="宋体" w:cs="楷体"/>
        </w:rPr>
      </w:pPr>
      <w:r>
        <w:rPr>
          <w:rFonts w:hint="eastAsia" w:ascii="宋体" w:hAnsi="宋体" w:cs="楷体"/>
        </w:rPr>
        <w:t>脱水机主机采用侧梁式，设备包括机架总成、内板框总成、驱动系统总成、液压系统总成、两侧接液槽、电气系统总成；尺寸须满足</w:t>
      </w:r>
      <w:r>
        <w:rPr>
          <w:rFonts w:ascii="宋体" w:hAnsi="宋体" w:cs="楷体"/>
        </w:rPr>
        <w:t>L≤6160mm，W≤2310mm，H≤2000mm，</w:t>
      </w:r>
      <w:r>
        <w:rPr>
          <w:rFonts w:hint="eastAsia" w:ascii="宋体" w:hAnsi="宋体" w:cs="楷体"/>
        </w:rPr>
        <w:t>且满足附图土建空间尺寸。</w:t>
      </w:r>
    </w:p>
    <w:p>
      <w:pPr>
        <w:spacing w:before="203" w:beforeLines="50" w:after="203" w:afterLines="50" w:line="320" w:lineRule="exact"/>
        <w:rPr>
          <w:rFonts w:ascii="宋体" w:hAnsi="宋体" w:cs="楷体"/>
        </w:rPr>
      </w:pPr>
      <w:r>
        <w:rPr>
          <w:rFonts w:hint="eastAsia" w:ascii="宋体" w:hAnsi="宋体" w:cs="楷体"/>
        </w:rPr>
        <w:t>2）主要性能指标</w:t>
      </w:r>
    </w:p>
    <w:p>
      <w:pPr>
        <w:spacing w:before="203" w:beforeLines="50" w:after="203" w:afterLines="50" w:line="320" w:lineRule="exact"/>
        <w:ind w:firstLine="293"/>
        <w:rPr>
          <w:rFonts w:ascii="宋体" w:hAnsi="宋体" w:cs="楷体"/>
        </w:rPr>
      </w:pPr>
      <w:r>
        <w:rPr>
          <w:rFonts w:hint="eastAsia" w:ascii="宋体" w:hAnsi="宋体" w:cs="楷体"/>
        </w:rPr>
        <w:t>投标人应根据污泥性能及工况条件，合理确定脱水机的结构参数和运行参数，确保脱水机运行平稳、可靠、节能、自动化程度高，脱水效果满足本技术要求。</w:t>
      </w:r>
    </w:p>
    <w:p>
      <w:pPr>
        <w:snapToGrid w:val="0"/>
        <w:spacing w:before="203" w:beforeLines="50" w:after="203" w:afterLines="50" w:line="320" w:lineRule="exact"/>
        <w:ind w:firstLine="291" w:firstLineChars="117"/>
        <w:rPr>
          <w:rFonts w:ascii="宋体" w:hAnsi="宋体" w:cs="楷体"/>
        </w:rPr>
      </w:pPr>
      <w:r>
        <w:rPr>
          <w:rFonts w:hint="eastAsia" w:ascii="宋体" w:hAnsi="宋体" w:cs="楷体"/>
        </w:rPr>
        <w:t>1) 脱水机机架</w:t>
      </w:r>
    </w:p>
    <w:p>
      <w:pPr>
        <w:snapToGrid w:val="0"/>
        <w:spacing w:before="203" w:beforeLines="50" w:after="203" w:afterLines="50" w:line="320" w:lineRule="exact"/>
        <w:ind w:firstLine="480"/>
        <w:rPr>
          <w:rFonts w:ascii="宋体" w:hAnsi="宋体" w:cs="楷体"/>
        </w:rPr>
      </w:pPr>
      <w:r>
        <w:rPr>
          <w:rFonts w:hint="eastAsia" w:ascii="宋体" w:hAnsi="宋体" w:cs="楷体"/>
        </w:rPr>
        <w:t>机架部分是机器的主体，用以支撑过滤机构，连接其它部件，它主要由止推板、头板、压紧装置和主梁等部件组成。机架结构应能将工作过程中产生的压力均匀分布。机架和相关辅助部件应具有足够的强度和刚度，当滤板组合处在关闭位置时，应能满足对抗最大内部操作压力的要求，并有25％以上的安全系数。设备正常运行时应仅有静载荷而无侧向力和动荷载产生。机架表面应进行表面除锈和耐腐蚀保护处理，使其在工作中不会出现锈蚀现象。</w:t>
      </w:r>
    </w:p>
    <w:tbl>
      <w:tblPr>
        <w:tblStyle w:val="77"/>
        <w:tblW w:w="804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802"/>
        <w:gridCol w:w="524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802" w:type="dxa"/>
            <w:tcBorders>
              <w:top w:val="single" w:color="auto" w:sz="4" w:space="0"/>
              <w:left w:val="single" w:color="auto" w:sz="4" w:space="0"/>
              <w:bottom w:val="single" w:color="auto" w:sz="4" w:space="0"/>
              <w:right w:val="single" w:color="auto" w:sz="4" w:space="0"/>
            </w:tcBorders>
            <w:vAlign w:val="center"/>
          </w:tcPr>
          <w:p>
            <w:pPr>
              <w:snapToGrid w:val="0"/>
              <w:ind w:firstLine="482"/>
              <w:rPr>
                <w:rFonts w:ascii="宋体" w:hAnsi="宋体" w:cs="楷体"/>
              </w:rPr>
            </w:pPr>
            <w:r>
              <w:rPr>
                <w:rFonts w:hint="eastAsia" w:ascii="宋体" w:hAnsi="宋体" w:cs="楷体"/>
              </w:rPr>
              <w:t>机架</w:t>
            </w:r>
          </w:p>
        </w:tc>
        <w:tc>
          <w:tcPr>
            <w:tcW w:w="5244" w:type="dxa"/>
            <w:tcBorders>
              <w:top w:val="single" w:color="auto" w:sz="4" w:space="0"/>
              <w:left w:val="single" w:color="auto" w:sz="4" w:space="0"/>
              <w:bottom w:val="single" w:color="auto" w:sz="4" w:space="0"/>
              <w:right w:val="single" w:color="auto" w:sz="4" w:space="0"/>
            </w:tcBorders>
            <w:vAlign w:val="center"/>
          </w:tcPr>
          <w:p>
            <w:pPr>
              <w:snapToGrid w:val="0"/>
              <w:ind w:firstLine="482"/>
              <w:rPr>
                <w:rFonts w:ascii="宋体" w:hAnsi="宋体" w:cs="楷体"/>
              </w:rPr>
            </w:pPr>
            <w:r>
              <w:rPr>
                <w:rFonts w:hint="eastAsia" w:ascii="宋体" w:hAnsi="宋体" w:cs="楷体"/>
              </w:rPr>
              <w:t>Q345B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802" w:type="dxa"/>
            <w:tcBorders>
              <w:top w:val="single" w:color="auto" w:sz="4" w:space="0"/>
              <w:left w:val="single" w:color="auto" w:sz="4" w:space="0"/>
              <w:bottom w:val="single" w:color="auto" w:sz="4" w:space="0"/>
              <w:right w:val="single" w:color="auto" w:sz="4" w:space="0"/>
            </w:tcBorders>
            <w:vAlign w:val="center"/>
          </w:tcPr>
          <w:p>
            <w:pPr>
              <w:snapToGrid w:val="0"/>
              <w:ind w:firstLine="482"/>
              <w:rPr>
                <w:rFonts w:ascii="宋体" w:hAnsi="宋体" w:cs="楷体"/>
              </w:rPr>
            </w:pPr>
            <w:r>
              <w:rPr>
                <w:rFonts w:hint="eastAsia" w:ascii="宋体" w:hAnsi="宋体" w:cs="楷体"/>
              </w:rPr>
              <w:t xml:space="preserve">接液形式 </w:t>
            </w:r>
          </w:p>
        </w:tc>
        <w:tc>
          <w:tcPr>
            <w:tcW w:w="5244" w:type="dxa"/>
            <w:tcBorders>
              <w:top w:val="single" w:color="auto" w:sz="4" w:space="0"/>
              <w:left w:val="single" w:color="auto" w:sz="4" w:space="0"/>
              <w:bottom w:val="single" w:color="auto" w:sz="4" w:space="0"/>
              <w:right w:val="single" w:color="auto" w:sz="4" w:space="0"/>
            </w:tcBorders>
            <w:vAlign w:val="center"/>
          </w:tcPr>
          <w:p>
            <w:pPr>
              <w:snapToGrid w:val="0"/>
              <w:ind w:firstLine="482"/>
              <w:rPr>
                <w:rFonts w:ascii="宋体" w:hAnsi="宋体" w:cs="楷体"/>
              </w:rPr>
            </w:pPr>
            <w:r>
              <w:rPr>
                <w:rFonts w:hint="eastAsia" w:ascii="宋体" w:hAnsi="宋体" w:cs="楷体"/>
              </w:rPr>
              <w:t>翻板式接液，翻板材质304</w:t>
            </w:r>
          </w:p>
        </w:tc>
      </w:tr>
    </w:tbl>
    <w:p>
      <w:pPr>
        <w:snapToGrid w:val="0"/>
        <w:spacing w:before="203" w:beforeLines="50" w:after="203" w:afterLines="50" w:line="320" w:lineRule="exact"/>
        <w:ind w:firstLine="589" w:firstLineChars="236"/>
        <w:rPr>
          <w:rFonts w:ascii="宋体" w:hAnsi="宋体" w:cs="楷体"/>
        </w:rPr>
      </w:pPr>
      <w:r>
        <w:rPr>
          <w:rFonts w:hint="eastAsia" w:ascii="宋体" w:hAnsi="宋体" w:cs="楷体"/>
        </w:rPr>
        <w:t>防腐形式底漆锌加涂膜镀层≥40μm中间漆环氧云铁漆≥100μm面漆聚氨酯漆≥60μm</w:t>
      </w:r>
    </w:p>
    <w:p>
      <w:pPr>
        <w:spacing w:before="203" w:beforeLines="50" w:after="203" w:afterLines="50" w:line="320" w:lineRule="exact"/>
        <w:ind w:firstLine="480"/>
        <w:rPr>
          <w:rFonts w:ascii="宋体" w:hAnsi="宋体" w:cs="楷体"/>
        </w:rPr>
      </w:pPr>
      <w:r>
        <w:rPr>
          <w:rFonts w:hint="eastAsia" w:ascii="宋体" w:hAnsi="宋体" w:cs="楷体"/>
        </w:rPr>
        <w:t>3) 滤布</w:t>
      </w:r>
    </w:p>
    <w:p>
      <w:pPr>
        <w:spacing w:before="203" w:beforeLines="50" w:after="203" w:afterLines="50" w:line="320" w:lineRule="exact"/>
        <w:ind w:firstLine="480"/>
        <w:rPr>
          <w:rFonts w:ascii="宋体" w:hAnsi="宋体" w:cs="楷体"/>
        </w:rPr>
      </w:pPr>
      <w:r>
        <w:rPr>
          <w:rFonts w:hint="eastAsia" w:ascii="宋体" w:hAnsi="宋体" w:cs="楷体"/>
        </w:rPr>
        <w:t>滤布应为污泥脱水工艺的专用滤布，应根据污泥性质确认。投标人应根据污泥性质合理选择滤布材质及编织方式。所用滤布应具有截留性能好，脱水速度快、泥饼易剥离、易于清洗、使用寿命长等特点。应具有足够的强度及与泥质相适应的透气率，其使用寿命应不低于1200次脱水周期，在寿命期内不得有破损，抽丝，断线的情况发生，否则应免费更换。</w:t>
      </w:r>
    </w:p>
    <w:p>
      <w:pPr>
        <w:spacing w:before="203" w:beforeLines="50" w:after="203" w:afterLines="50" w:line="320" w:lineRule="exact"/>
        <w:ind w:firstLine="480"/>
        <w:rPr>
          <w:rFonts w:ascii="宋体" w:hAnsi="宋体" w:cs="楷体"/>
        </w:rPr>
      </w:pPr>
      <w:r>
        <w:rPr>
          <w:rFonts w:hint="eastAsia" w:ascii="宋体" w:hAnsi="宋体" w:cs="楷体"/>
        </w:rPr>
        <w:t>4) 液压闭合系统</w:t>
      </w:r>
    </w:p>
    <w:p>
      <w:pPr>
        <w:spacing w:before="203" w:beforeLines="50" w:after="203" w:afterLines="50" w:line="320" w:lineRule="exact"/>
        <w:ind w:firstLine="480"/>
        <w:rPr>
          <w:rFonts w:ascii="宋体" w:hAnsi="宋体" w:cs="楷体"/>
        </w:rPr>
      </w:pPr>
      <w:r>
        <w:rPr>
          <w:rFonts w:hint="eastAsia" w:ascii="宋体" w:hAnsi="宋体" w:cs="楷体"/>
        </w:rPr>
        <w:t>滤板的压合及松开动作应采用液压驱动方式，应配备完整的液压驱动系统，包括自动保压装置、电磁阀、安全阀、压力表等所有附件。液压系统应采用国内知名品牌成套设备，工作时应平稳、无噪声、无磨损、无任何泄漏。液压油压力应满足脱水机工作需要。液压系统应安全、可靠，应具有最大工作压力3倍以上的安全系数。液压系统应采用国内知名品牌。设备工作时，液压站供油给液压缸的高压油腔，使液压油驱动液压缸内的活塞及活塞杆，推动头板缓缓向前压紧滤板，当头板到达一次锁紧位置时停止，这时进料泵工作开始进料过滤。进料结束后开始二次压紧，头板到达二次锁紧位置时停止，压滤过程结束开始自动缷料。</w:t>
      </w:r>
    </w:p>
    <w:p>
      <w:pPr>
        <w:spacing w:before="203" w:beforeLines="50" w:after="203" w:afterLines="50" w:line="320" w:lineRule="exact"/>
        <w:ind w:firstLine="480"/>
        <w:rPr>
          <w:rFonts w:ascii="宋体" w:hAnsi="宋体" w:cs="楷体"/>
        </w:rPr>
      </w:pPr>
      <w:r>
        <w:rPr>
          <w:rFonts w:hint="eastAsia" w:ascii="宋体" w:hAnsi="宋体" w:cs="楷体"/>
        </w:rPr>
        <w:t>5) 液压挤压系统</w:t>
      </w:r>
    </w:p>
    <w:p>
      <w:pPr>
        <w:tabs>
          <w:tab w:val="left" w:pos="0"/>
        </w:tabs>
        <w:spacing w:before="203" w:beforeLines="50" w:after="203" w:afterLines="50" w:line="320" w:lineRule="exact"/>
        <w:ind w:firstLine="500" w:firstLineChars="200"/>
        <w:rPr>
          <w:rFonts w:ascii="宋体" w:hAnsi="宋体" w:cs="楷体"/>
        </w:rPr>
      </w:pPr>
      <w:r>
        <w:rPr>
          <w:rFonts w:hint="eastAsia" w:ascii="宋体" w:hAnsi="宋体" w:cs="楷体"/>
        </w:rPr>
        <w:t>高压板框挤压应采用液压驱动方式，应配备完整的液压驱动系统，包括自动保压装置、电磁阀、安全阀、压力表等所有附件。液压系统应采用国内知名品牌成套设备，工作时应平稳、无噪声、无磨损、无任何泄漏。液压油压力应满足脱水机工作需要。液压系统应安全、可靠，应具有最大工作压力3倍以上的安全系数。液压系统应采用国内知名品牌。</w:t>
      </w:r>
    </w:p>
    <w:p>
      <w:pPr>
        <w:spacing w:before="203" w:beforeLines="50" w:after="203" w:afterLines="50" w:line="320" w:lineRule="exact"/>
        <w:ind w:firstLine="480"/>
        <w:rPr>
          <w:rFonts w:ascii="宋体" w:hAnsi="宋体" w:cs="楷体"/>
        </w:rPr>
      </w:pPr>
      <w:r>
        <w:rPr>
          <w:rFonts w:hint="eastAsia" w:ascii="宋体" w:hAnsi="宋体" w:cs="楷体"/>
        </w:rPr>
        <w:t>6) 自动拉板装置</w:t>
      </w:r>
    </w:p>
    <w:p>
      <w:pPr>
        <w:spacing w:before="203" w:beforeLines="50" w:after="203" w:afterLines="50" w:line="320" w:lineRule="exact"/>
        <w:ind w:firstLine="480"/>
        <w:rPr>
          <w:rFonts w:ascii="宋体" w:hAnsi="宋体" w:cs="楷体"/>
        </w:rPr>
      </w:pPr>
      <w:r>
        <w:rPr>
          <w:rFonts w:hint="eastAsia" w:ascii="宋体" w:hAnsi="宋体" w:cs="楷体"/>
        </w:rPr>
        <w:t>脱水机应配有一个完全自动化的滤板分离装置，应由是由驱动马达的正、反转，通过中间链轮再驱动传动轴上的链轮来实现的，在PLC的控制下动作，带动滤板向一端移动，达到开板的目的。滤板的移动速度应可通过变频器调节。开板器应无虚抓，无脱勾现象，保证开板脱泥过程稳定、安全。拉板棘爪材质应为不锈钢。</w:t>
      </w:r>
    </w:p>
    <w:p>
      <w:pPr>
        <w:spacing w:before="203" w:beforeLines="50" w:after="203" w:afterLines="50" w:line="320" w:lineRule="exact"/>
        <w:ind w:firstLine="480"/>
        <w:rPr>
          <w:rFonts w:ascii="宋体" w:hAnsi="宋体" w:cs="楷体"/>
        </w:rPr>
      </w:pPr>
      <w:r>
        <w:rPr>
          <w:rFonts w:hint="eastAsia" w:ascii="宋体" w:hAnsi="宋体" w:cs="楷体"/>
        </w:rPr>
        <w:t>7) 滤布清洗系统</w:t>
      </w:r>
    </w:p>
    <w:p>
      <w:pPr>
        <w:spacing w:before="203" w:beforeLines="50" w:after="203" w:afterLines="50" w:line="320" w:lineRule="exact"/>
        <w:ind w:firstLine="480"/>
        <w:rPr>
          <w:rFonts w:ascii="宋体" w:hAnsi="宋体" w:cs="楷体"/>
        </w:rPr>
      </w:pPr>
      <w:r>
        <w:rPr>
          <w:rFonts w:hint="eastAsia" w:ascii="宋体" w:hAnsi="宋体" w:cs="楷体"/>
        </w:rPr>
        <w:t>高压板框脱水机需配置成套滤布清洗系统。清洗装置的设计应保证最佳的滤布清洗效果和最少的环境污染。</w:t>
      </w:r>
    </w:p>
    <w:p>
      <w:pPr>
        <w:spacing w:before="203" w:beforeLines="50" w:after="203" w:afterLines="50" w:line="320" w:lineRule="exact"/>
        <w:ind w:firstLine="480"/>
        <w:rPr>
          <w:rFonts w:ascii="宋体" w:hAnsi="宋体" w:cs="楷体"/>
        </w:rPr>
      </w:pPr>
      <w:r>
        <w:rPr>
          <w:rFonts w:hint="eastAsia" w:ascii="宋体" w:hAnsi="宋体" w:cs="楷体"/>
        </w:rPr>
        <w:t>8）中心吹泥系统</w:t>
      </w:r>
    </w:p>
    <w:p>
      <w:pPr>
        <w:spacing w:before="203" w:beforeLines="50" w:after="203" w:afterLines="50" w:line="320" w:lineRule="exact"/>
        <w:ind w:firstLine="480"/>
        <w:rPr>
          <w:rFonts w:ascii="宋体" w:hAnsi="宋体" w:cs="楷体"/>
        </w:rPr>
      </w:pPr>
      <w:r>
        <w:rPr>
          <w:rFonts w:hint="eastAsia" w:ascii="宋体" w:hAnsi="宋体" w:cs="楷体"/>
        </w:rPr>
        <w:t>脱水机污泥吹脱系统利用现场已有的压缩空气清除脱水机进泥管道里的污泥，包括滤板进泥通道里的污泥，保证滤饼的含固率均匀及现场环境。</w:t>
      </w:r>
    </w:p>
    <w:p>
      <w:pPr>
        <w:spacing w:before="203" w:beforeLines="50" w:after="203" w:afterLines="50" w:line="320" w:lineRule="exact"/>
        <w:ind w:firstLine="480"/>
        <w:rPr>
          <w:rFonts w:ascii="宋体" w:hAnsi="宋体" w:cs="楷体"/>
        </w:rPr>
      </w:pPr>
      <w:r>
        <w:rPr>
          <w:rFonts w:hint="eastAsia" w:ascii="宋体" w:hAnsi="宋体" w:cs="楷体"/>
        </w:rPr>
        <w:t>9）自动集水盘</w:t>
      </w:r>
    </w:p>
    <w:p>
      <w:pPr>
        <w:spacing w:before="203" w:beforeLines="50" w:after="203" w:afterLines="50" w:line="320" w:lineRule="exact"/>
        <w:ind w:firstLine="480"/>
        <w:rPr>
          <w:rFonts w:ascii="宋体" w:hAnsi="宋体" w:cs="楷体"/>
        </w:rPr>
      </w:pPr>
      <w:r>
        <w:rPr>
          <w:rFonts w:hint="eastAsia" w:ascii="宋体" w:hAnsi="宋体" w:cs="楷体"/>
        </w:rPr>
        <w:t>自动集水盘，安装在滤板组下方，用于将滴落的滤液和清洗水导向集水槽排走。集水盘应与脱水机联动，卸料时能自动打开排泥，并对泥饼的卸落不得产生任何干扰。集水盘分成两半，框架应采用304不锈钢制作，面板材质应为不锈钢板。自动集水盘应采用电机驱动。保证集水盘开启快速、平稳、可靠。</w:t>
      </w:r>
    </w:p>
    <w:p>
      <w:pPr>
        <w:spacing w:before="203" w:beforeLines="50" w:after="203" w:afterLines="50" w:line="320" w:lineRule="exact"/>
        <w:ind w:firstLine="480"/>
        <w:rPr>
          <w:rFonts w:ascii="宋体" w:hAnsi="宋体" w:cs="楷体"/>
        </w:rPr>
      </w:pPr>
      <w:r>
        <w:rPr>
          <w:rFonts w:hint="eastAsia" w:ascii="宋体" w:hAnsi="宋体" w:cs="楷体"/>
        </w:rPr>
        <w:t>10）其他</w:t>
      </w:r>
    </w:p>
    <w:p>
      <w:pPr>
        <w:spacing w:before="203" w:beforeLines="50" w:after="203" w:afterLines="50" w:line="320" w:lineRule="exact"/>
        <w:ind w:firstLine="480"/>
        <w:rPr>
          <w:rFonts w:ascii="宋体" w:hAnsi="宋体" w:cs="楷体"/>
        </w:rPr>
      </w:pPr>
      <w:r>
        <w:rPr>
          <w:rFonts w:hint="eastAsia" w:ascii="宋体" w:hAnsi="宋体" w:cs="楷体"/>
        </w:rPr>
        <w:t>滤液排水管路应整齐、无泄漏 ，保证操作环境整洁卫生。</w:t>
      </w:r>
    </w:p>
    <w:p>
      <w:pPr>
        <w:spacing w:before="203" w:beforeLines="50" w:after="203" w:afterLines="50" w:line="320" w:lineRule="exact"/>
        <w:ind w:firstLine="480"/>
        <w:rPr>
          <w:rFonts w:ascii="宋体" w:hAnsi="宋体" w:cs="楷体"/>
        </w:rPr>
      </w:pPr>
      <w:r>
        <w:rPr>
          <w:rFonts w:hint="eastAsia" w:ascii="宋体" w:hAnsi="宋体" w:cs="楷体"/>
        </w:rPr>
        <w:t>11）电气控制</w:t>
      </w:r>
    </w:p>
    <w:p>
      <w:pPr>
        <w:spacing w:before="203" w:beforeLines="50" w:after="203" w:afterLines="50" w:line="320" w:lineRule="exact"/>
        <w:ind w:firstLine="480"/>
        <w:rPr>
          <w:rFonts w:ascii="宋体" w:hAnsi="宋体" w:cs="楷体"/>
        </w:rPr>
      </w:pPr>
      <w:r>
        <w:rPr>
          <w:rFonts w:hint="eastAsia" w:ascii="宋体" w:hAnsi="宋体" w:cs="楷体"/>
        </w:rPr>
        <w:t>压榨机配套PLC柜采用西门子S7系列，通讯方式为以太网滤液排水管路应整齐、无泄漏 ，保证操作环境整洁卫生。</w:t>
      </w:r>
    </w:p>
    <w:p>
      <w:pPr>
        <w:spacing w:before="203" w:beforeLines="50" w:after="203" w:afterLines="50" w:line="320" w:lineRule="exact"/>
        <w:ind w:firstLine="480"/>
        <w:rPr>
          <w:rFonts w:ascii="宋体" w:hAnsi="宋体" w:cs="楷体"/>
        </w:rPr>
      </w:pPr>
      <w:r>
        <w:rPr>
          <w:rFonts w:hint="eastAsia" w:ascii="宋体" w:hAnsi="宋体" w:cs="楷体"/>
        </w:rPr>
        <w:t>12）电气控制</w:t>
      </w:r>
    </w:p>
    <w:p>
      <w:pPr>
        <w:spacing w:before="203" w:beforeLines="50" w:after="203" w:afterLines="50" w:line="320" w:lineRule="exact"/>
        <w:ind w:firstLine="480"/>
        <w:rPr>
          <w:rFonts w:ascii="宋体" w:hAnsi="宋体" w:cs="楷体"/>
        </w:rPr>
      </w:pPr>
      <w:r>
        <w:rPr>
          <w:rFonts w:hint="eastAsia" w:ascii="宋体" w:hAnsi="宋体" w:cs="楷体"/>
        </w:rPr>
        <w:t>系统总PLC柜采用不低于西门子S7-300系列，通讯方式为以太网。</w:t>
      </w:r>
    </w:p>
    <w:p>
      <w:pPr>
        <w:pStyle w:val="1163"/>
        <w:numPr>
          <w:ilvl w:val="0"/>
          <w:numId w:val="102"/>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before="203" w:beforeLines="50" w:after="203" w:afterLines="50" w:line="320" w:lineRule="exact"/>
        <w:ind w:left="0" w:firstLine="625" w:firstLineChars="250"/>
        <w:rPr>
          <w:rFonts w:ascii="宋体" w:hAnsi="宋体" w:eastAsia="宋体" w:cs="楷体"/>
          <w:color w:val="auto"/>
          <w:szCs w:val="24"/>
        </w:rPr>
      </w:pPr>
      <w:r>
        <w:rPr>
          <w:rFonts w:hint="eastAsia" w:ascii="宋体" w:hAnsi="宋体" w:eastAsia="宋体" w:cs="楷体"/>
          <w:color w:val="auto"/>
          <w:szCs w:val="24"/>
        </w:rPr>
        <w:t>其他</w:t>
      </w:r>
    </w:p>
    <w:p>
      <w:pPr>
        <w:tabs>
          <w:tab w:val="left" w:pos="0"/>
        </w:tabs>
        <w:spacing w:before="203" w:beforeLines="50" w:after="203" w:afterLines="50" w:line="320" w:lineRule="exact"/>
        <w:ind w:firstLine="500" w:firstLineChars="200"/>
        <w:rPr>
          <w:rFonts w:ascii="宋体" w:hAnsi="宋体" w:cs="楷体"/>
        </w:rPr>
      </w:pPr>
      <w:r>
        <w:rPr>
          <w:rFonts w:hint="eastAsia" w:ascii="宋体" w:hAnsi="宋体" w:cs="楷体"/>
        </w:rPr>
        <w:t>滤液排水管路应整齐、无泄漏 ，保证操作环境整洁卫生。脱水机布置应不超出招标文件脱水机房的平面尺寸要求，投标方应提供设备安装的基本参数与必须配套设备的参数及安装图，以及脱水系统的初步设计图纸，中标后配合设计院进行正式的二次设计图纸。</w:t>
      </w:r>
    </w:p>
    <w:p>
      <w:pPr>
        <w:adjustRightInd w:val="0"/>
        <w:snapToGrid w:val="0"/>
        <w:spacing w:before="203" w:beforeLines="50" w:after="203" w:afterLines="50"/>
        <w:rPr>
          <w:rFonts w:ascii="宋体" w:hAnsi="宋体" w:cs="楷体"/>
          <w:b/>
          <w:bCs/>
        </w:rPr>
      </w:pPr>
      <w:r>
        <w:rPr>
          <w:rFonts w:hint="eastAsia" w:ascii="宋体" w:hAnsi="宋体" w:cs="楷体"/>
          <w:b/>
          <w:bCs/>
        </w:rPr>
        <w:t>8.19.3.2  压滤进泥泵</w:t>
      </w:r>
    </w:p>
    <w:p>
      <w:pPr>
        <w:tabs>
          <w:tab w:val="left" w:pos="0"/>
        </w:tabs>
        <w:snapToGrid w:val="0"/>
        <w:ind w:firstLine="589" w:firstLineChars="236"/>
        <w:rPr>
          <w:rFonts w:ascii="宋体" w:hAnsi="宋体" w:cs="楷体"/>
        </w:rPr>
      </w:pPr>
      <w:r>
        <w:rPr>
          <w:rFonts w:hint="eastAsia" w:ascii="宋体" w:hAnsi="宋体" w:cs="楷体"/>
        </w:rPr>
        <w:t>压滤进料泵应采用液压驱动双杠双作用的容积型泵，其处理能力应与脱水机配套。速度调节采用无级调速。在正常使用和维修管理情况下，泵的首次无故障累积运行时间应大于30000小时。</w:t>
      </w:r>
    </w:p>
    <w:p>
      <w:pPr>
        <w:tabs>
          <w:tab w:val="left" w:pos="0"/>
        </w:tabs>
        <w:snapToGrid w:val="0"/>
        <w:ind w:firstLine="589" w:firstLineChars="236"/>
        <w:rPr>
          <w:rFonts w:ascii="宋体" w:hAnsi="宋体" w:cs="楷体"/>
          <w:bCs/>
        </w:rPr>
      </w:pPr>
      <w:r>
        <w:rPr>
          <w:rFonts w:hint="eastAsia" w:ascii="宋体" w:hAnsi="宋体" w:cs="楷体"/>
          <w:bCs/>
        </w:rPr>
        <w:t>压滤进料泵应能根据高压板框脱水机工作时进料、升压、保压的过滤特点能够自动控制输出流量且保证设定压力。</w:t>
      </w:r>
    </w:p>
    <w:p>
      <w:pPr>
        <w:tabs>
          <w:tab w:val="left" w:pos="0"/>
        </w:tabs>
        <w:snapToGrid w:val="0"/>
        <w:ind w:firstLine="589" w:firstLineChars="236"/>
        <w:rPr>
          <w:rFonts w:ascii="宋体" w:hAnsi="宋体" w:cs="楷体"/>
          <w:bCs/>
        </w:rPr>
      </w:pPr>
      <w:r>
        <w:rPr>
          <w:rFonts w:hint="eastAsia" w:ascii="宋体" w:hAnsi="宋体" w:cs="楷体"/>
          <w:bCs/>
        </w:rPr>
        <w:t>压滤进料泵应采用柱塞泵。</w:t>
      </w:r>
    </w:p>
    <w:p>
      <w:pPr>
        <w:tabs>
          <w:tab w:val="left" w:pos="0"/>
        </w:tabs>
        <w:snapToGrid w:val="0"/>
        <w:ind w:firstLine="500" w:firstLineChars="200"/>
        <w:rPr>
          <w:rFonts w:ascii="宋体" w:hAnsi="宋体" w:cs="楷体"/>
        </w:rPr>
      </w:pPr>
      <w:r>
        <w:rPr>
          <w:rFonts w:hint="eastAsia" w:ascii="宋体" w:hAnsi="宋体" w:cs="楷体"/>
        </w:rPr>
        <w:t>液压驱动方式，应配备完整的液压驱动系统。液压系统应采用国内知名品牌成套设备，工作时应平稳、无噪声、无磨损、无任何泄漏。液压油压力应满足脱水机工作需要。液压系统应安全、可靠，应具有最大工作压力3倍以上的安全系数。</w:t>
      </w:r>
    </w:p>
    <w:p>
      <w:pPr>
        <w:tabs>
          <w:tab w:val="left" w:pos="0"/>
        </w:tabs>
        <w:snapToGrid w:val="0"/>
        <w:spacing w:before="50" w:after="50"/>
        <w:ind w:firstLine="589" w:firstLineChars="236"/>
        <w:rPr>
          <w:rFonts w:ascii="宋体" w:hAnsi="宋体" w:cs="楷体"/>
        </w:rPr>
      </w:pPr>
      <w:r>
        <w:rPr>
          <w:rFonts w:hint="eastAsia" w:ascii="宋体" w:hAnsi="宋体" w:cs="楷体"/>
        </w:rPr>
        <w:t>电机应具有过电流保护等功能。</w:t>
      </w:r>
    </w:p>
    <w:p>
      <w:pPr>
        <w:keepNext/>
        <w:adjustRightInd w:val="0"/>
        <w:snapToGrid w:val="0"/>
        <w:spacing w:before="50" w:after="50"/>
        <w:outlineLvl w:val="3"/>
        <w:rPr>
          <w:rFonts w:ascii="宋体" w:hAnsi="宋体" w:cs="楷体"/>
          <w:b/>
        </w:rPr>
      </w:pPr>
      <w:r>
        <w:rPr>
          <w:rFonts w:hint="eastAsia" w:ascii="宋体" w:hAnsi="宋体" w:cs="楷体"/>
          <w:b/>
          <w:bCs/>
        </w:rPr>
        <w:t>8.19.3</w:t>
      </w:r>
      <w:r>
        <w:rPr>
          <w:rFonts w:hint="eastAsia" w:ascii="宋体" w:hAnsi="宋体" w:cs="楷体"/>
          <w:b/>
        </w:rPr>
        <w:t>.</w:t>
      </w:r>
      <w:r>
        <w:rPr>
          <w:rFonts w:ascii="宋体" w:hAnsi="宋体" w:cs="楷体"/>
          <w:b/>
        </w:rPr>
        <w:t>3</w:t>
      </w:r>
      <w:r>
        <w:rPr>
          <w:rFonts w:hint="eastAsia" w:ascii="宋体" w:hAnsi="宋体" w:cs="楷体"/>
          <w:b/>
        </w:rPr>
        <w:t xml:space="preserve">  螺杆泵</w:t>
      </w:r>
    </w:p>
    <w:p>
      <w:pPr>
        <w:adjustRightInd w:val="0"/>
        <w:snapToGrid w:val="0"/>
        <w:spacing w:before="120" w:after="120"/>
        <w:ind w:left="-142" w:firstLine="441" w:firstLineChars="177"/>
        <w:rPr>
          <w:rFonts w:ascii="宋体" w:hAnsi="宋体" w:cs="楷体"/>
        </w:rPr>
      </w:pPr>
      <w:r>
        <w:rPr>
          <w:rFonts w:hint="eastAsia" w:ascii="宋体" w:hAnsi="宋体" w:cs="楷体"/>
        </w:rPr>
        <w:t>浓缩进料泵采用螺杆泵</w:t>
      </w:r>
    </w:p>
    <w:p>
      <w:pPr>
        <w:adjustRightInd w:val="0"/>
        <w:snapToGrid w:val="0"/>
        <w:spacing w:before="120" w:after="120"/>
        <w:ind w:firstLine="146" w:firstLineChars="59"/>
        <w:rPr>
          <w:rFonts w:ascii="宋体" w:hAnsi="宋体" w:cs="楷体"/>
        </w:rPr>
      </w:pPr>
      <w:r>
        <w:rPr>
          <w:rFonts w:hint="eastAsia" w:ascii="宋体" w:hAnsi="宋体" w:cs="楷体"/>
        </w:rPr>
        <w:t>(1) 结构形式</w:t>
      </w:r>
    </w:p>
    <w:p>
      <w:pPr>
        <w:adjustRightInd w:val="0"/>
        <w:snapToGrid w:val="0"/>
        <w:spacing w:before="120" w:after="120"/>
        <w:ind w:left="-142" w:firstLine="480"/>
        <w:rPr>
          <w:rFonts w:ascii="宋体" w:hAnsi="宋体" w:cs="楷体"/>
        </w:rPr>
      </w:pPr>
      <w:r>
        <w:rPr>
          <w:rFonts w:hint="eastAsia" w:ascii="宋体" w:hAnsi="宋体" w:cs="楷体"/>
        </w:rPr>
        <w:t>污泥泵应采用偏心单螺杆泵，泵应适合输送含固量为0.5～5%的稀泥浆，偏心螺杆泵应配有流量调节装置，泵电机转速可调，转子转速范围n＝71～423r/min，泵无故障累积运行时间大于8000h。定子橡胶应与壳体牢固结合，其工作面不应有接缝、接痕、气孔和裂缝等缺陷。定子工作寿命不低于 8000h。轴承的温升应不超过环境温度35℃，其极限温度不应超过80℃。轴承采用机械和填料密封，两种密封装置应能互换，轴封处应设有泄漏回收装置。泵的吸入和排出口的法兰结构尺寸应符合 ISO 标准。泵在额定工况下工作时，全振幅不得大于 0.055mm（55μm）。泵的噪声值应不超过 70dB（A）。泵的外壳材料为铸铁，螺杆材料为耐蚀硬质合金钢，定子材料为硬质耐磨橡胶，转子为工具钢，所有连接附件、地脚螺栓材料为不锈钢。承受液体压力的零部件，应按 1.5 倍的工作压力进行水压试验，压力持续时间不少于 10min。在试压过程中不应有渗漏现象。电机为调速电机，电机额定功率应超过最大预期工作负荷至少 10%。电机应具有电流保护功能，电机防护等级为 IP55，绝缘等级为 F。</w:t>
      </w:r>
    </w:p>
    <w:p>
      <w:pPr>
        <w:adjustRightInd w:val="0"/>
        <w:snapToGrid w:val="0"/>
        <w:spacing w:before="120" w:after="120"/>
        <w:ind w:left="-142" w:firstLine="480"/>
        <w:rPr>
          <w:rFonts w:ascii="宋体" w:hAnsi="宋体" w:cs="楷体"/>
        </w:rPr>
      </w:pPr>
      <w:r>
        <w:rPr>
          <w:rFonts w:hint="eastAsia" w:ascii="宋体" w:hAnsi="宋体" w:cs="楷体"/>
        </w:rPr>
        <w:t>机组噪声小于 75dB（A）。</w:t>
      </w:r>
    </w:p>
    <w:p>
      <w:pPr>
        <w:adjustRightInd w:val="0"/>
        <w:snapToGrid w:val="0"/>
        <w:spacing w:before="50" w:after="50"/>
        <w:ind w:firstLine="146" w:firstLineChars="59"/>
        <w:rPr>
          <w:rFonts w:ascii="宋体" w:hAnsi="宋体" w:cs="楷体"/>
        </w:rPr>
      </w:pPr>
      <w:r>
        <w:rPr>
          <w:rFonts w:hint="eastAsia" w:ascii="宋体" w:hAnsi="宋体" w:cs="楷体"/>
        </w:rPr>
        <w:t>(2) 主要材料</w:t>
      </w:r>
    </w:p>
    <w:tbl>
      <w:tblPr>
        <w:tblStyle w:val="77"/>
        <w:tblW w:w="833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43"/>
        <w:gridCol w:w="538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 xml:space="preserve">壳体 </w:t>
            </w:r>
          </w:p>
        </w:tc>
        <w:tc>
          <w:tcPr>
            <w:tcW w:w="53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G25 铸铁或以上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 xml:space="preserve">螺杆 </w:t>
            </w:r>
          </w:p>
        </w:tc>
        <w:tc>
          <w:tcPr>
            <w:tcW w:w="53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耐蚀硬质合金钢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 xml:space="preserve">定子 </w:t>
            </w:r>
          </w:p>
        </w:tc>
        <w:tc>
          <w:tcPr>
            <w:tcW w:w="53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硬质耐磨橡胶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转子</w:t>
            </w:r>
          </w:p>
        </w:tc>
        <w:tc>
          <w:tcPr>
            <w:tcW w:w="53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进泥泵工具钢/PAM加药泵SS316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 xml:space="preserve">紧固件 </w:t>
            </w:r>
          </w:p>
        </w:tc>
        <w:tc>
          <w:tcPr>
            <w:tcW w:w="53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50" w:after="50"/>
              <w:ind w:firstLine="480"/>
              <w:rPr>
                <w:rFonts w:ascii="宋体" w:hAnsi="宋体" w:cs="楷体"/>
              </w:rPr>
            </w:pPr>
            <w:r>
              <w:rPr>
                <w:rFonts w:hint="eastAsia" w:ascii="宋体" w:hAnsi="宋体" w:cs="楷体"/>
              </w:rPr>
              <w:t>不锈钢304</w:t>
            </w:r>
          </w:p>
        </w:tc>
      </w:tr>
    </w:tbl>
    <w:p>
      <w:pPr>
        <w:keepNext/>
        <w:adjustRightInd w:val="0"/>
        <w:snapToGrid w:val="0"/>
        <w:spacing w:before="120" w:after="120"/>
        <w:outlineLvl w:val="3"/>
        <w:rPr>
          <w:rFonts w:ascii="宋体" w:hAnsi="宋体" w:cs="楷体"/>
          <w:b/>
        </w:rPr>
      </w:pPr>
      <w:r>
        <w:rPr>
          <w:rFonts w:hint="eastAsia" w:ascii="宋体" w:hAnsi="宋体" w:cs="楷体"/>
          <w:b/>
          <w:bCs/>
        </w:rPr>
        <w:t>8.19.3.</w:t>
      </w:r>
      <w:r>
        <w:rPr>
          <w:rFonts w:ascii="宋体" w:hAnsi="宋体" w:cs="楷体"/>
          <w:b/>
          <w:bCs/>
        </w:rPr>
        <w:t>4</w:t>
      </w:r>
      <w:r>
        <w:rPr>
          <w:rFonts w:hint="eastAsia" w:ascii="宋体" w:hAnsi="宋体" w:cs="楷体"/>
          <w:b/>
        </w:rPr>
        <w:t xml:space="preserve">  药剂系统</w:t>
      </w:r>
    </w:p>
    <w:p>
      <w:pPr>
        <w:tabs>
          <w:tab w:val="left" w:pos="0"/>
        </w:tabs>
        <w:snapToGrid w:val="0"/>
        <w:ind w:firstLine="589" w:firstLineChars="236"/>
        <w:rPr>
          <w:rFonts w:ascii="宋体" w:hAnsi="宋体" w:cs="楷体"/>
        </w:rPr>
      </w:pPr>
      <w:r>
        <w:rPr>
          <w:rFonts w:hint="eastAsia" w:ascii="宋体" w:hAnsi="宋体" w:cs="楷体"/>
        </w:rPr>
        <w:t>药剂投加系统应完全满足污泥脱水工艺的要求。</w:t>
      </w:r>
    </w:p>
    <w:p>
      <w:pPr>
        <w:pStyle w:val="1163"/>
        <w:numPr>
          <w:ilvl w:val="0"/>
          <w:numId w:val="103"/>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adjustRightInd w:val="0"/>
        <w:snapToGrid w:val="0"/>
        <w:spacing w:before="120" w:after="120" w:line="240" w:lineRule="auto"/>
        <w:ind w:left="0" w:firstLine="625" w:firstLineChars="250"/>
        <w:rPr>
          <w:rFonts w:ascii="宋体" w:hAnsi="宋体" w:eastAsia="宋体" w:cs="楷体"/>
          <w:color w:val="auto"/>
          <w:szCs w:val="24"/>
        </w:rPr>
      </w:pPr>
      <w:r>
        <w:rPr>
          <w:rFonts w:hint="eastAsia" w:ascii="宋体" w:hAnsi="宋体" w:eastAsia="宋体" w:cs="楷体"/>
          <w:color w:val="auto"/>
          <w:szCs w:val="24"/>
        </w:rPr>
        <w:t>PAM制备装置</w:t>
      </w:r>
    </w:p>
    <w:p>
      <w:pPr>
        <w:tabs>
          <w:tab w:val="left" w:pos="0"/>
        </w:tabs>
        <w:snapToGrid w:val="0"/>
        <w:ind w:firstLine="500" w:firstLineChars="200"/>
        <w:rPr>
          <w:rFonts w:ascii="宋体" w:hAnsi="宋体" w:cs="楷体"/>
        </w:rPr>
      </w:pPr>
      <w:r>
        <w:rPr>
          <w:rFonts w:hint="eastAsia" w:ascii="宋体" w:hAnsi="宋体" w:cs="楷体"/>
        </w:rPr>
        <w:t>制造商所供设备应为全自动溶解和投加聚丙烯酰胺等粉末物质的一体化全自动设备。</w:t>
      </w:r>
    </w:p>
    <w:p>
      <w:pPr>
        <w:tabs>
          <w:tab w:val="left" w:pos="0"/>
        </w:tabs>
        <w:snapToGrid w:val="0"/>
        <w:ind w:firstLine="500" w:firstLineChars="200"/>
        <w:rPr>
          <w:rFonts w:ascii="宋体" w:hAnsi="宋体" w:cs="楷体"/>
        </w:rPr>
      </w:pPr>
      <w:r>
        <w:rPr>
          <w:rFonts w:hint="eastAsia" w:ascii="宋体" w:hAnsi="宋体" w:cs="楷体"/>
        </w:rPr>
        <w:t>絮凝剂自动制备投加装置应为批量制备连续投加装置，应适用于高分子絮凝剂粉剂的投入调配。应能将粉状絮凝剂调配至0.1～0.2%浓度的溶液，应具有制备脱水机工作所需最大量的粉状絮凝剂的能力。</w:t>
      </w:r>
    </w:p>
    <w:p>
      <w:pPr>
        <w:tabs>
          <w:tab w:val="left" w:pos="0"/>
        </w:tabs>
        <w:snapToGrid w:val="0"/>
        <w:ind w:firstLine="500" w:firstLineChars="200"/>
        <w:rPr>
          <w:rFonts w:ascii="宋体" w:hAnsi="宋体" w:cs="楷体"/>
        </w:rPr>
      </w:pPr>
      <w:r>
        <w:rPr>
          <w:rFonts w:hint="eastAsia" w:ascii="宋体" w:hAnsi="宋体" w:cs="楷体"/>
        </w:rPr>
        <w:t>絮凝剂自动制备装置应由两个不锈钢熟化罐和储药罐及相应的附属设备和压力传感器组成。药剂制备时应使用多螺旋给料器对粉剂原料进行精确计量。</w:t>
      </w:r>
    </w:p>
    <w:p>
      <w:pPr>
        <w:tabs>
          <w:tab w:val="left" w:pos="0"/>
        </w:tabs>
        <w:snapToGrid w:val="0"/>
        <w:ind w:firstLine="500" w:firstLineChars="200"/>
        <w:rPr>
          <w:rFonts w:ascii="宋体" w:hAnsi="宋体" w:cs="楷体"/>
        </w:rPr>
      </w:pPr>
      <w:r>
        <w:rPr>
          <w:rFonts w:hint="eastAsia" w:ascii="宋体" w:hAnsi="宋体" w:cs="楷体"/>
        </w:rPr>
        <w:t>药剂在溶药罐中经溶药搅拌后，制成浓度为0.1～0.2%的溶液储存。药剂熟化时间60min左右，不得低于45min。投加时定量与污泥混合。</w:t>
      </w:r>
    </w:p>
    <w:p>
      <w:pPr>
        <w:tabs>
          <w:tab w:val="left" w:pos="0"/>
        </w:tabs>
        <w:snapToGrid w:val="0"/>
        <w:ind w:firstLine="500" w:firstLineChars="200"/>
        <w:rPr>
          <w:rFonts w:ascii="宋体" w:hAnsi="宋体" w:cs="楷体"/>
        </w:rPr>
      </w:pPr>
      <w:r>
        <w:rPr>
          <w:rFonts w:hint="eastAsia" w:ascii="宋体" w:hAnsi="宋体" w:cs="楷体"/>
        </w:rPr>
        <w:t>稀释系统设备应含稀释水转子流量计、手动水量调节阀、水开关电磁阀、水和药液的单向阀，以及304材质做填料的静态混合器，管道应采用UPVC。</w:t>
      </w:r>
    </w:p>
    <w:p>
      <w:pPr>
        <w:tabs>
          <w:tab w:val="left" w:pos="0"/>
        </w:tabs>
        <w:snapToGrid w:val="0"/>
        <w:ind w:firstLine="500" w:firstLineChars="200"/>
        <w:rPr>
          <w:rFonts w:ascii="宋体" w:hAnsi="宋体" w:cs="楷体"/>
        </w:rPr>
      </w:pPr>
      <w:r>
        <w:rPr>
          <w:rFonts w:hint="eastAsia" w:ascii="宋体" w:hAnsi="宋体" w:cs="楷体"/>
        </w:rPr>
        <w:t>干料料斗的容积应足够大，减少干料投加次数，其材质应为不锈钢。</w:t>
      </w:r>
    </w:p>
    <w:p>
      <w:pPr>
        <w:tabs>
          <w:tab w:val="left" w:pos="0"/>
        </w:tabs>
        <w:snapToGrid w:val="0"/>
        <w:ind w:firstLine="500" w:firstLineChars="200"/>
        <w:rPr>
          <w:rFonts w:ascii="宋体" w:hAnsi="宋体" w:cs="楷体"/>
        </w:rPr>
      </w:pPr>
      <w:r>
        <w:rPr>
          <w:rFonts w:hint="eastAsia" w:ascii="宋体" w:hAnsi="宋体" w:cs="楷体"/>
        </w:rPr>
        <w:t>系统的仪器仪表应完善齐全、指示准确。</w:t>
      </w:r>
    </w:p>
    <w:p>
      <w:pPr>
        <w:tabs>
          <w:tab w:val="left" w:pos="0"/>
        </w:tabs>
        <w:snapToGrid w:val="0"/>
        <w:ind w:firstLine="500" w:firstLineChars="200"/>
        <w:rPr>
          <w:rFonts w:ascii="宋体" w:hAnsi="宋体" w:cs="楷体"/>
        </w:rPr>
      </w:pPr>
      <w:r>
        <w:rPr>
          <w:rFonts w:hint="eastAsia" w:ascii="宋体" w:hAnsi="宋体" w:cs="楷体"/>
        </w:rPr>
        <w:t>管路线路整齐，管路无渗漏。</w:t>
      </w:r>
    </w:p>
    <w:p>
      <w:pPr>
        <w:tabs>
          <w:tab w:val="left" w:pos="0"/>
        </w:tabs>
        <w:snapToGrid w:val="0"/>
        <w:ind w:firstLine="500" w:firstLineChars="200"/>
        <w:rPr>
          <w:rFonts w:ascii="宋体" w:hAnsi="宋体" w:cs="楷体"/>
        </w:rPr>
      </w:pPr>
      <w:r>
        <w:rPr>
          <w:rFonts w:hint="eastAsia" w:ascii="宋体" w:hAnsi="宋体" w:cs="楷体"/>
        </w:rPr>
        <w:t>设备操作过程中应清洁无粉尘。</w:t>
      </w:r>
    </w:p>
    <w:p>
      <w:pPr>
        <w:tabs>
          <w:tab w:val="left" w:pos="0"/>
        </w:tabs>
        <w:snapToGrid w:val="0"/>
        <w:ind w:firstLine="500" w:firstLineChars="200"/>
        <w:rPr>
          <w:rFonts w:ascii="宋体" w:hAnsi="宋体" w:cs="楷体"/>
        </w:rPr>
      </w:pPr>
      <w:r>
        <w:rPr>
          <w:rFonts w:hint="eastAsia" w:ascii="宋体" w:hAnsi="宋体" w:cs="楷体"/>
        </w:rPr>
        <w:t>自动配制投加絮凝剂系统的水和药液管路阀门采用UPVC或PP。</w:t>
      </w:r>
    </w:p>
    <w:p>
      <w:pPr>
        <w:tabs>
          <w:tab w:val="left" w:pos="0"/>
        </w:tabs>
        <w:snapToGrid w:val="0"/>
        <w:ind w:firstLine="500" w:firstLineChars="200"/>
        <w:rPr>
          <w:rFonts w:ascii="宋体" w:hAnsi="宋体" w:cs="楷体"/>
        </w:rPr>
      </w:pPr>
      <w:r>
        <w:rPr>
          <w:rFonts w:hint="eastAsia" w:ascii="宋体" w:hAnsi="宋体" w:cs="楷体"/>
        </w:rPr>
        <w:t>絮凝剂配制和投加系统的控制应有完善的安全和自动运行的操作系统，应设专用控制柜，既可手动按钮控制，也可与污泥脱水机控制柜联机控制。控制箱应能将设备主要运行工况传输至上级PLC。</w:t>
      </w:r>
    </w:p>
    <w:p>
      <w:pPr>
        <w:tabs>
          <w:tab w:val="left" w:pos="0"/>
        </w:tabs>
        <w:snapToGrid w:val="0"/>
        <w:ind w:firstLine="500" w:firstLineChars="200"/>
        <w:rPr>
          <w:rFonts w:ascii="宋体" w:hAnsi="宋体" w:cs="楷体"/>
        </w:rPr>
      </w:pPr>
      <w:r>
        <w:rPr>
          <w:rFonts w:hint="eastAsia" w:ascii="宋体" w:hAnsi="宋体" w:cs="楷体"/>
        </w:rPr>
        <w:t>投标人应根据浓缩机使用需要配套提供絮凝剂制备及储存装置，应提供搅拌机、药罐、液位计等配套设备和仪器仪表。絮凝剂药剂投加应与脱水机联动，全自动控制。</w:t>
      </w:r>
    </w:p>
    <w:p>
      <w:pPr>
        <w:pStyle w:val="1163"/>
        <w:numPr>
          <w:ilvl w:val="0"/>
          <w:numId w:val="103"/>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adjustRightInd w:val="0"/>
        <w:snapToGrid w:val="0"/>
        <w:spacing w:before="120" w:after="120" w:line="240" w:lineRule="auto"/>
        <w:ind w:left="0" w:firstLine="625" w:firstLineChars="250"/>
        <w:rPr>
          <w:rFonts w:ascii="宋体" w:hAnsi="宋体" w:eastAsia="宋体" w:cs="楷体"/>
          <w:color w:val="auto"/>
          <w:szCs w:val="24"/>
        </w:rPr>
      </w:pPr>
      <w:r>
        <w:rPr>
          <w:rFonts w:hint="eastAsia" w:ascii="宋体" w:hAnsi="宋体" w:eastAsia="宋体" w:cs="楷体"/>
          <w:color w:val="auto"/>
          <w:szCs w:val="24"/>
        </w:rPr>
        <w:t>絮凝剂加药泵</w:t>
      </w:r>
    </w:p>
    <w:p>
      <w:pPr>
        <w:tabs>
          <w:tab w:val="left" w:pos="0"/>
        </w:tabs>
        <w:snapToGrid w:val="0"/>
        <w:ind w:firstLine="500" w:firstLineChars="200"/>
        <w:rPr>
          <w:rFonts w:ascii="宋体" w:hAnsi="宋体" w:cs="楷体"/>
        </w:rPr>
      </w:pPr>
      <w:r>
        <w:rPr>
          <w:rFonts w:hint="eastAsia" w:ascii="宋体" w:hAnsi="宋体" w:cs="楷体"/>
        </w:rPr>
        <w:t>PAM加药泵应采用容积式偏心单螺杆泵，其处理能力应与脱水机配套。速度调节采用变频无级调速。在正常使用和维修管理情况下，泵的首次无故障累积运行时间应大于8000小时。</w:t>
      </w:r>
    </w:p>
    <w:p>
      <w:pPr>
        <w:tabs>
          <w:tab w:val="left" w:pos="0"/>
        </w:tabs>
        <w:snapToGrid w:val="0"/>
        <w:ind w:firstLine="500" w:firstLineChars="200"/>
        <w:rPr>
          <w:rFonts w:ascii="宋体" w:hAnsi="宋体" w:cs="楷体"/>
        </w:rPr>
      </w:pPr>
      <w:r>
        <w:rPr>
          <w:rFonts w:hint="eastAsia" w:ascii="宋体" w:hAnsi="宋体" w:cs="楷体"/>
        </w:rPr>
        <w:t>定子橡胶应与壳体牢固结合，其工作面不应有接缝、接痕、气孔和裂缝等缺陷。</w:t>
      </w:r>
    </w:p>
    <w:p>
      <w:pPr>
        <w:tabs>
          <w:tab w:val="left" w:pos="0"/>
        </w:tabs>
        <w:snapToGrid w:val="0"/>
        <w:ind w:firstLine="500" w:firstLineChars="200"/>
        <w:rPr>
          <w:rFonts w:ascii="宋体" w:hAnsi="宋体" w:cs="楷体"/>
        </w:rPr>
      </w:pPr>
      <w:r>
        <w:rPr>
          <w:rFonts w:hint="eastAsia" w:ascii="宋体" w:hAnsi="宋体" w:cs="楷体"/>
        </w:rPr>
        <w:t>泵在规定工况下，定子寿命不得低于8000小时。以空载工况的容积效率下降15％为定子终止寿命。</w:t>
      </w:r>
    </w:p>
    <w:p>
      <w:pPr>
        <w:tabs>
          <w:tab w:val="left" w:pos="0"/>
        </w:tabs>
        <w:snapToGrid w:val="0"/>
        <w:ind w:firstLine="500" w:firstLineChars="200"/>
        <w:rPr>
          <w:rFonts w:ascii="宋体" w:hAnsi="宋体" w:cs="楷体"/>
        </w:rPr>
      </w:pPr>
      <w:r>
        <w:rPr>
          <w:rFonts w:hint="eastAsia" w:ascii="宋体" w:hAnsi="宋体" w:cs="楷体"/>
        </w:rPr>
        <w:t>泵轴应采用填料密封或机械密封。密封面泄漏量应小于0.2mL/min.。</w:t>
      </w:r>
    </w:p>
    <w:p>
      <w:pPr>
        <w:tabs>
          <w:tab w:val="left" w:pos="0"/>
        </w:tabs>
        <w:snapToGrid w:val="0"/>
        <w:ind w:firstLine="500" w:firstLineChars="200"/>
        <w:rPr>
          <w:rFonts w:ascii="宋体" w:hAnsi="宋体" w:cs="楷体"/>
        </w:rPr>
      </w:pPr>
      <w:r>
        <w:rPr>
          <w:rFonts w:hint="eastAsia" w:ascii="宋体" w:hAnsi="宋体" w:cs="楷体"/>
        </w:rPr>
        <w:t>泵在额定工况下工作时，振动速度有效值不得超过4.5mm/s，超过时应设减震器。</w:t>
      </w:r>
    </w:p>
    <w:p>
      <w:pPr>
        <w:tabs>
          <w:tab w:val="left" w:pos="0"/>
        </w:tabs>
        <w:snapToGrid w:val="0"/>
        <w:ind w:firstLine="500" w:firstLineChars="200"/>
        <w:rPr>
          <w:rFonts w:ascii="宋体" w:hAnsi="宋体" w:cs="楷体"/>
        </w:rPr>
      </w:pPr>
      <w:r>
        <w:rPr>
          <w:rFonts w:hint="eastAsia" w:ascii="宋体" w:hAnsi="宋体" w:cs="楷体"/>
        </w:rPr>
        <w:t>同一规格、结构的泵的零件、备件应能互换。</w:t>
      </w:r>
    </w:p>
    <w:p>
      <w:pPr>
        <w:tabs>
          <w:tab w:val="left" w:pos="0"/>
        </w:tabs>
        <w:snapToGrid w:val="0"/>
        <w:ind w:firstLine="500" w:firstLineChars="200"/>
        <w:rPr>
          <w:rFonts w:ascii="宋体" w:hAnsi="宋体" w:cs="楷体"/>
        </w:rPr>
      </w:pPr>
      <w:r>
        <w:rPr>
          <w:rFonts w:hint="eastAsia" w:ascii="宋体" w:hAnsi="宋体" w:cs="楷体"/>
        </w:rPr>
        <w:t>新泵出厂的空载容积效率不得低于96％。</w:t>
      </w:r>
    </w:p>
    <w:p>
      <w:pPr>
        <w:tabs>
          <w:tab w:val="left" w:pos="0"/>
        </w:tabs>
        <w:snapToGrid w:val="0"/>
        <w:ind w:firstLine="500" w:firstLineChars="200"/>
        <w:rPr>
          <w:rFonts w:ascii="宋体" w:hAnsi="宋体" w:cs="楷体"/>
        </w:rPr>
      </w:pPr>
      <w:r>
        <w:rPr>
          <w:rFonts w:hint="eastAsia" w:ascii="宋体" w:hAnsi="宋体" w:cs="楷体"/>
        </w:rPr>
        <w:t>承受液体压力的零部件，应按1.5倍的工作压力进行水压试验，压力持续时间不少于10min。在试压过程中不应有渗漏现象。</w:t>
      </w:r>
    </w:p>
    <w:p>
      <w:pPr>
        <w:tabs>
          <w:tab w:val="left" w:pos="0"/>
        </w:tabs>
        <w:snapToGrid w:val="0"/>
        <w:ind w:firstLine="500" w:firstLineChars="200"/>
        <w:rPr>
          <w:rFonts w:ascii="宋体" w:hAnsi="宋体" w:cs="楷体"/>
        </w:rPr>
      </w:pPr>
      <w:r>
        <w:rPr>
          <w:rFonts w:hint="eastAsia" w:ascii="宋体" w:hAnsi="宋体" w:cs="楷体"/>
        </w:rPr>
        <w:t>泵应配套变频器和过载保护装置。</w:t>
      </w:r>
    </w:p>
    <w:p>
      <w:pPr>
        <w:tabs>
          <w:tab w:val="left" w:pos="0"/>
        </w:tabs>
        <w:snapToGrid w:val="0"/>
        <w:ind w:firstLine="500" w:firstLineChars="200"/>
        <w:rPr>
          <w:rFonts w:ascii="宋体" w:hAnsi="宋体" w:cs="楷体"/>
        </w:rPr>
      </w:pPr>
      <w:r>
        <w:rPr>
          <w:rFonts w:hint="eastAsia" w:ascii="宋体" w:hAnsi="宋体" w:cs="楷体"/>
        </w:rPr>
        <w:t>电机应具有过电流保护等功能。</w:t>
      </w:r>
    </w:p>
    <w:p>
      <w:pPr>
        <w:tabs>
          <w:tab w:val="left" w:pos="0"/>
        </w:tabs>
        <w:snapToGrid w:val="0"/>
        <w:ind w:firstLine="500" w:firstLineChars="200"/>
        <w:rPr>
          <w:rFonts w:ascii="宋体" w:hAnsi="宋体" w:cs="楷体"/>
        </w:rPr>
      </w:pPr>
      <w:r>
        <w:rPr>
          <w:rFonts w:hint="eastAsia" w:ascii="宋体" w:hAnsi="宋体" w:cs="楷体"/>
        </w:rPr>
        <w:t>应采用简单的软管固定夹，以减少软管更换时间，方便维护，拆卸时应不需专用工具。</w:t>
      </w:r>
    </w:p>
    <w:p>
      <w:pPr>
        <w:tabs>
          <w:tab w:val="left" w:pos="0"/>
        </w:tabs>
        <w:snapToGrid w:val="0"/>
        <w:ind w:firstLine="500" w:firstLineChars="200"/>
        <w:rPr>
          <w:rFonts w:ascii="宋体" w:hAnsi="宋体" w:cs="楷体"/>
        </w:rPr>
      </w:pPr>
      <w:r>
        <w:rPr>
          <w:rFonts w:hint="eastAsia" w:ascii="宋体" w:hAnsi="宋体" w:cs="楷体"/>
        </w:rPr>
        <w:t>加药泵与脱水机联动，现场应设有手动控制开关。</w:t>
      </w:r>
    </w:p>
    <w:p>
      <w:pPr>
        <w:pStyle w:val="1163"/>
        <w:numPr>
          <w:ilvl w:val="0"/>
          <w:numId w:val="103"/>
        </w:num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adjustRightInd w:val="0"/>
        <w:snapToGrid w:val="0"/>
        <w:spacing w:before="120" w:after="120" w:line="240" w:lineRule="auto"/>
        <w:ind w:left="0" w:firstLine="625" w:firstLineChars="250"/>
        <w:rPr>
          <w:rFonts w:ascii="宋体" w:hAnsi="宋体" w:eastAsia="宋体" w:cs="楷体"/>
          <w:color w:val="auto"/>
          <w:szCs w:val="24"/>
        </w:rPr>
      </w:pPr>
      <w:r>
        <w:rPr>
          <w:rFonts w:hint="eastAsia" w:ascii="宋体" w:hAnsi="宋体" w:eastAsia="宋体" w:cs="楷体"/>
          <w:color w:val="auto"/>
          <w:szCs w:val="24"/>
        </w:rPr>
        <w:t>粉剂投加装置</w:t>
      </w:r>
    </w:p>
    <w:p>
      <w:pPr>
        <w:tabs>
          <w:tab w:val="left" w:pos="0"/>
        </w:tabs>
        <w:snapToGrid w:val="0"/>
        <w:ind w:firstLine="500" w:firstLineChars="200"/>
        <w:rPr>
          <w:rFonts w:ascii="宋体" w:hAnsi="宋体" w:cs="楷体"/>
        </w:rPr>
      </w:pPr>
      <w:r>
        <w:rPr>
          <w:rFonts w:hint="eastAsia" w:ascii="宋体" w:hAnsi="宋体" w:cs="楷体"/>
        </w:rPr>
        <w:t>投标人应根据脱水机使用需要配套提供粉剂投加装置，包括储料装置、给料机、螺旋输送装置、双向螺旋输送机、自动控制系统等。</w:t>
      </w:r>
    </w:p>
    <w:p>
      <w:pPr>
        <w:tabs>
          <w:tab w:val="left" w:pos="0"/>
        </w:tabs>
        <w:snapToGrid w:val="0"/>
        <w:ind w:firstLine="500" w:firstLineChars="200"/>
        <w:rPr>
          <w:rFonts w:ascii="宋体" w:hAnsi="宋体" w:cs="楷体"/>
          <w:b/>
        </w:rPr>
      </w:pPr>
      <w:r>
        <w:rPr>
          <w:rFonts w:hint="eastAsia" w:ascii="宋体" w:hAnsi="宋体" w:cs="楷体"/>
        </w:rPr>
        <w:t>粉剂投加装置能够通过螺旋输送装置和控制系统，完成干粉投加，并由控制程序实现自动给料、定点投加的功能。</w:t>
      </w:r>
    </w:p>
    <w:p>
      <w:pPr>
        <w:spacing w:before="203" w:beforeLines="50" w:after="203" w:afterLines="50" w:line="320" w:lineRule="exact"/>
        <w:outlineLvl w:val="0"/>
        <w:rPr>
          <w:rFonts w:ascii="宋体" w:hAnsi="宋体" w:cs="楷体"/>
          <w:b/>
          <w:bCs/>
        </w:rPr>
      </w:pPr>
      <w:bookmarkStart w:id="6642" w:name="_Toc106050481"/>
      <w:bookmarkStart w:id="6643" w:name="_Toc106883718"/>
      <w:r>
        <w:rPr>
          <w:rFonts w:hint="eastAsia" w:ascii="宋体" w:hAnsi="宋体" w:cs="楷体"/>
          <w:b/>
          <w:bCs/>
        </w:rPr>
        <w:t>8.19.3.</w:t>
      </w:r>
      <w:r>
        <w:rPr>
          <w:rFonts w:ascii="宋体" w:hAnsi="宋体" w:cs="楷体"/>
          <w:b/>
          <w:bCs/>
        </w:rPr>
        <w:t>5</w:t>
      </w:r>
      <w:r>
        <w:rPr>
          <w:rFonts w:hint="eastAsia" w:ascii="宋体" w:hAnsi="宋体" w:cs="楷体"/>
          <w:b/>
          <w:bCs/>
        </w:rPr>
        <w:t>主要零部件材料</w:t>
      </w:r>
      <w:bookmarkEnd w:id="6642"/>
      <w:bookmarkEnd w:id="6643"/>
    </w:p>
    <w:p>
      <w:pPr>
        <w:pStyle w:val="758"/>
        <w:numPr>
          <w:ilvl w:val="0"/>
          <w:numId w:val="104"/>
        </w:numPr>
        <w:tabs>
          <w:tab w:val="left" w:pos="567"/>
          <w:tab w:val="left" w:pos="1418"/>
        </w:tabs>
        <w:spacing w:line="240" w:lineRule="auto"/>
        <w:ind w:left="14" w:leftChars="-56" w:hanging="154" w:hangingChars="62"/>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压榨机</w:t>
      </w:r>
      <w:r>
        <w:rPr>
          <w:rFonts w:hint="eastAsia" w:ascii="宋体" w:hAnsi="宋体" w:eastAsia="宋体" w:cs="楷体"/>
          <w:bCs w:val="0"/>
          <w:w w:val="100"/>
          <w:kern w:val="2"/>
          <w:sz w:val="24"/>
          <w:szCs w:val="24"/>
        </w:rPr>
        <w:tab/>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滤框：          Q345B</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过滤板：        增强聚丙烯或高碳钢板</w:t>
      </w:r>
    </w:p>
    <w:p>
      <w:pPr>
        <w:pStyle w:val="758"/>
        <w:tabs>
          <w:tab w:val="left" w:pos="1200"/>
          <w:tab w:val="left" w:pos="219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弹性介质：</w:t>
      </w:r>
      <w:r>
        <w:rPr>
          <w:rFonts w:hint="eastAsia" w:ascii="宋体" w:hAnsi="宋体" w:eastAsia="宋体" w:cs="楷体"/>
          <w:bCs w:val="0"/>
          <w:w w:val="100"/>
          <w:kern w:val="2"/>
          <w:sz w:val="24"/>
          <w:szCs w:val="24"/>
        </w:rPr>
        <w:tab/>
      </w:r>
      <w:r>
        <w:rPr>
          <w:rFonts w:ascii="宋体" w:hAnsi="宋体" w:eastAsia="宋体" w:cs="楷体"/>
          <w:bCs w:val="0"/>
          <w:w w:val="100"/>
          <w:kern w:val="2"/>
          <w:sz w:val="24"/>
          <w:szCs w:val="24"/>
        </w:rPr>
        <w:tab/>
      </w:r>
      <w:r>
        <w:rPr>
          <w:rFonts w:hint="eastAsia" w:ascii="宋体" w:hAnsi="宋体" w:eastAsia="宋体" w:cs="楷体"/>
          <w:bCs w:val="0"/>
          <w:w w:val="100"/>
          <w:kern w:val="2"/>
          <w:sz w:val="24"/>
          <w:szCs w:val="24"/>
        </w:rPr>
        <w:t>硅铬弹簧钢防腐</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滤布：          厂家根据污泥性质确定</w:t>
      </w:r>
    </w:p>
    <w:p>
      <w:pPr>
        <w:pStyle w:val="758"/>
        <w:tabs>
          <w:tab w:val="left" w:pos="1200"/>
          <w:tab w:val="left" w:pos="2880"/>
        </w:tabs>
        <w:spacing w:line="240" w:lineRule="auto"/>
        <w:ind w:firstLine="500" w:firstLineChars="200"/>
        <w:jc w:val="left"/>
        <w:rPr>
          <w:rFonts w:ascii="宋体" w:hAnsi="宋体" w:eastAsia="宋体" w:cs="楷体"/>
          <w:sz w:val="24"/>
          <w:szCs w:val="24"/>
        </w:rPr>
      </w:pPr>
      <w:r>
        <w:rPr>
          <w:rFonts w:hint="eastAsia" w:ascii="宋体" w:hAnsi="宋体" w:eastAsia="宋体" w:cs="楷体"/>
          <w:bCs w:val="0"/>
          <w:w w:val="100"/>
          <w:kern w:val="2"/>
          <w:sz w:val="24"/>
          <w:szCs w:val="24"/>
        </w:rPr>
        <w:t>机架：          Q345B</w:t>
      </w:r>
    </w:p>
    <w:p>
      <w:pPr>
        <w:pStyle w:val="758"/>
        <w:numPr>
          <w:ilvl w:val="0"/>
          <w:numId w:val="104"/>
        </w:numPr>
        <w:tabs>
          <w:tab w:val="left" w:pos="567"/>
          <w:tab w:val="left" w:pos="1418"/>
        </w:tabs>
        <w:spacing w:line="240" w:lineRule="auto"/>
        <w:ind w:left="14" w:leftChars="-56" w:hanging="154" w:hangingChars="62"/>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压滤进泥泵</w:t>
      </w:r>
      <w:r>
        <w:rPr>
          <w:rFonts w:hint="eastAsia" w:ascii="宋体" w:hAnsi="宋体" w:eastAsia="宋体" w:cs="楷体"/>
          <w:bCs w:val="0"/>
          <w:w w:val="100"/>
          <w:kern w:val="2"/>
          <w:sz w:val="24"/>
          <w:szCs w:val="24"/>
        </w:rPr>
        <w:tab/>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壳体：</w:t>
      </w:r>
      <w:r>
        <w:rPr>
          <w:rFonts w:hint="eastAsia" w:ascii="宋体" w:hAnsi="宋体" w:eastAsia="宋体" w:cs="楷体"/>
          <w:bCs w:val="0"/>
          <w:w w:val="100"/>
          <w:kern w:val="2"/>
          <w:sz w:val="24"/>
          <w:szCs w:val="24"/>
        </w:rPr>
        <w:tab/>
      </w:r>
      <w:r>
        <w:rPr>
          <w:rFonts w:hint="eastAsia" w:ascii="宋体" w:hAnsi="宋体" w:eastAsia="宋体" w:cs="楷体"/>
          <w:bCs w:val="0"/>
          <w:w w:val="100"/>
          <w:kern w:val="2"/>
          <w:sz w:val="24"/>
          <w:szCs w:val="24"/>
        </w:rPr>
        <w:t>铸铁</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单向阀阀座、阀芯：</w:t>
      </w:r>
      <w:r>
        <w:rPr>
          <w:rFonts w:hint="eastAsia" w:ascii="宋体" w:hAnsi="宋体" w:eastAsia="宋体" w:cs="楷体"/>
          <w:bCs w:val="0"/>
          <w:w w:val="100"/>
          <w:kern w:val="2"/>
          <w:sz w:val="24"/>
          <w:szCs w:val="24"/>
        </w:rPr>
        <w:tab/>
      </w:r>
      <w:r>
        <w:rPr>
          <w:rFonts w:hint="eastAsia" w:ascii="宋体" w:hAnsi="宋体" w:eastAsia="宋体" w:cs="楷体"/>
          <w:bCs w:val="0"/>
          <w:w w:val="100"/>
          <w:kern w:val="2"/>
          <w:sz w:val="24"/>
          <w:szCs w:val="24"/>
        </w:rPr>
        <w:t>2Cr13不锈铁</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柱塞：            氧化铝</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油缸、立柱、活塞杆：45#钢</w:t>
      </w:r>
    </w:p>
    <w:p>
      <w:pPr>
        <w:pStyle w:val="758"/>
        <w:numPr>
          <w:ilvl w:val="0"/>
          <w:numId w:val="104"/>
        </w:numPr>
        <w:tabs>
          <w:tab w:val="left" w:pos="567"/>
          <w:tab w:val="left" w:pos="1418"/>
        </w:tabs>
        <w:spacing w:line="240" w:lineRule="auto"/>
        <w:ind w:left="14" w:leftChars="-56" w:hanging="154" w:hangingChars="62"/>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无轴螺旋输送机</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螺旋叶片              16Mn</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输送槽体、盖板        不锈钢 304</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机架                  碳钢防腐</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螺栓等紧固件          不锈钢 304</w:t>
      </w:r>
    </w:p>
    <w:p>
      <w:pPr>
        <w:pStyle w:val="758"/>
        <w:numPr>
          <w:ilvl w:val="0"/>
          <w:numId w:val="104"/>
        </w:numPr>
        <w:tabs>
          <w:tab w:val="left" w:pos="567"/>
          <w:tab w:val="left" w:pos="1418"/>
        </w:tabs>
        <w:spacing w:line="240" w:lineRule="auto"/>
        <w:ind w:left="14" w:leftChars="-56" w:hanging="154" w:hangingChars="62"/>
        <w:jc w:val="left"/>
        <w:rPr>
          <w:rFonts w:ascii="宋体" w:hAnsi="宋体" w:eastAsia="宋体" w:cs="楷体"/>
          <w:sz w:val="24"/>
          <w:szCs w:val="24"/>
        </w:rPr>
      </w:pPr>
      <w:r>
        <w:rPr>
          <w:rFonts w:hint="eastAsia" w:ascii="宋体" w:hAnsi="宋体" w:eastAsia="宋体" w:cs="楷体"/>
          <w:bCs w:val="0"/>
          <w:w w:val="100"/>
          <w:kern w:val="2"/>
          <w:sz w:val="24"/>
          <w:szCs w:val="24"/>
        </w:rPr>
        <w:t>其他</w:t>
      </w:r>
      <w:r>
        <w:rPr>
          <w:rFonts w:hint="eastAsia" w:ascii="宋体" w:hAnsi="宋体" w:eastAsia="宋体" w:cs="楷体"/>
          <w:sz w:val="24"/>
          <w:szCs w:val="24"/>
        </w:rPr>
        <w:tab/>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污泥管道：</w:t>
      </w:r>
      <w:r>
        <w:rPr>
          <w:rFonts w:hint="eastAsia" w:ascii="宋体" w:hAnsi="宋体" w:eastAsia="宋体" w:cs="楷体"/>
          <w:bCs w:val="0"/>
          <w:w w:val="100"/>
          <w:kern w:val="2"/>
          <w:sz w:val="24"/>
          <w:szCs w:val="24"/>
        </w:rPr>
        <w:tab/>
      </w:r>
      <w:r>
        <w:rPr>
          <w:rFonts w:hint="eastAsia" w:ascii="宋体" w:hAnsi="宋体" w:eastAsia="宋体" w:cs="楷体"/>
          <w:bCs w:val="0"/>
          <w:w w:val="100"/>
          <w:kern w:val="2"/>
          <w:sz w:val="24"/>
          <w:szCs w:val="24"/>
        </w:rPr>
        <w:t>钢制管道</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滤液管道：</w:t>
      </w:r>
      <w:r>
        <w:rPr>
          <w:rFonts w:hint="eastAsia" w:ascii="宋体" w:hAnsi="宋体" w:eastAsia="宋体" w:cs="楷体"/>
          <w:bCs w:val="0"/>
          <w:w w:val="100"/>
          <w:kern w:val="2"/>
          <w:sz w:val="24"/>
          <w:szCs w:val="24"/>
        </w:rPr>
        <w:tab/>
      </w:r>
      <w:r>
        <w:rPr>
          <w:rFonts w:hint="eastAsia" w:ascii="宋体" w:hAnsi="宋体" w:eastAsia="宋体" w:cs="楷体"/>
          <w:bCs w:val="0"/>
          <w:w w:val="100"/>
          <w:kern w:val="2"/>
          <w:sz w:val="24"/>
          <w:szCs w:val="24"/>
        </w:rPr>
        <w:t>UPVC</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压缩空气管道：</w:t>
      </w:r>
      <w:r>
        <w:rPr>
          <w:rFonts w:hint="eastAsia" w:ascii="宋体" w:hAnsi="宋体" w:eastAsia="宋体" w:cs="楷体"/>
          <w:bCs w:val="0"/>
          <w:w w:val="100"/>
          <w:kern w:val="2"/>
          <w:sz w:val="24"/>
          <w:szCs w:val="24"/>
        </w:rPr>
        <w:tab/>
      </w:r>
      <w:r>
        <w:rPr>
          <w:rFonts w:hint="eastAsia" w:ascii="宋体" w:hAnsi="宋体" w:eastAsia="宋体" w:cs="楷体"/>
          <w:bCs w:val="0"/>
          <w:w w:val="100"/>
          <w:kern w:val="2"/>
          <w:sz w:val="24"/>
          <w:szCs w:val="24"/>
        </w:rPr>
        <w:t>304不锈钢</w:t>
      </w:r>
    </w:p>
    <w:p>
      <w:pPr>
        <w:pStyle w:val="758"/>
        <w:tabs>
          <w:tab w:val="left" w:pos="1200"/>
          <w:tab w:val="left" w:pos="2880"/>
        </w:tabs>
        <w:spacing w:line="240" w:lineRule="auto"/>
        <w:ind w:firstLine="500" w:firstLineChars="200"/>
        <w:jc w:val="left"/>
        <w:rPr>
          <w:rFonts w:ascii="宋体" w:hAnsi="宋体" w:eastAsia="宋体" w:cs="楷体"/>
          <w:bCs w:val="0"/>
          <w:w w:val="100"/>
          <w:kern w:val="2"/>
          <w:sz w:val="24"/>
          <w:szCs w:val="24"/>
        </w:rPr>
      </w:pPr>
      <w:r>
        <w:rPr>
          <w:rFonts w:hint="eastAsia" w:ascii="宋体" w:hAnsi="宋体" w:eastAsia="宋体" w:cs="楷体"/>
          <w:bCs w:val="0"/>
          <w:w w:val="100"/>
          <w:kern w:val="2"/>
          <w:sz w:val="24"/>
          <w:szCs w:val="24"/>
        </w:rPr>
        <w:t>所有联接附件、地脚螺栓：</w:t>
      </w:r>
      <w:r>
        <w:rPr>
          <w:rFonts w:hint="eastAsia" w:ascii="宋体" w:hAnsi="宋体" w:eastAsia="宋体" w:cs="楷体"/>
          <w:bCs w:val="0"/>
          <w:w w:val="100"/>
          <w:kern w:val="2"/>
          <w:sz w:val="24"/>
          <w:szCs w:val="24"/>
        </w:rPr>
        <w:tab/>
      </w:r>
      <w:r>
        <w:rPr>
          <w:rFonts w:hint="eastAsia" w:ascii="宋体" w:hAnsi="宋体" w:eastAsia="宋体" w:cs="楷体"/>
          <w:bCs w:val="0"/>
          <w:w w:val="100"/>
          <w:kern w:val="2"/>
          <w:sz w:val="24"/>
          <w:szCs w:val="24"/>
        </w:rPr>
        <w:t>不锈钢  AISI 304</w:t>
      </w:r>
    </w:p>
    <w:p>
      <w:pPr>
        <w:spacing w:before="203" w:beforeLines="50" w:after="203" w:afterLines="50" w:line="320" w:lineRule="exact"/>
        <w:rPr>
          <w:rFonts w:ascii="宋体" w:hAnsi="宋体" w:cs="楷体"/>
          <w:b/>
          <w:bCs/>
        </w:rPr>
      </w:pPr>
      <w:r>
        <w:rPr>
          <w:rFonts w:hint="eastAsia" w:ascii="宋体" w:hAnsi="宋体" w:cs="楷体"/>
          <w:b/>
          <w:bCs/>
        </w:rPr>
        <w:t>8.19.3.</w:t>
      </w:r>
      <w:r>
        <w:rPr>
          <w:rFonts w:ascii="宋体" w:hAnsi="宋体" w:cs="楷体"/>
          <w:b/>
          <w:bCs/>
        </w:rPr>
        <w:t>6</w:t>
      </w:r>
      <w:r>
        <w:rPr>
          <w:rFonts w:hint="eastAsia" w:ascii="宋体" w:hAnsi="宋体" w:cs="楷体"/>
          <w:b/>
          <w:bCs/>
        </w:rPr>
        <w:t xml:space="preserve"> 工厂试验</w:t>
      </w:r>
    </w:p>
    <w:p>
      <w:pPr>
        <w:tabs>
          <w:tab w:val="left" w:pos="0"/>
        </w:tabs>
        <w:adjustRightInd w:val="0"/>
        <w:snapToGrid w:val="0"/>
        <w:spacing w:before="203" w:beforeLines="50" w:after="203" w:afterLines="50"/>
        <w:ind w:firstLine="480"/>
        <w:rPr>
          <w:rFonts w:ascii="宋体" w:hAnsi="宋体" w:cs="楷体"/>
        </w:rPr>
      </w:pPr>
      <w:r>
        <w:rPr>
          <w:rFonts w:hint="eastAsia" w:ascii="宋体" w:hAnsi="宋体" w:cs="楷体"/>
        </w:rPr>
        <w:t>出厂前应对设备进行技术检测，包括：</w:t>
      </w:r>
    </w:p>
    <w:p>
      <w:pPr>
        <w:numPr>
          <w:ilvl w:val="0"/>
          <w:numId w:val="105"/>
        </w:numPr>
        <w:tabs>
          <w:tab w:val="left" w:pos="0"/>
          <w:tab w:val="left" w:pos="851"/>
        </w:tabs>
        <w:snapToGrid w:val="0"/>
        <w:spacing w:before="203" w:beforeLines="50" w:after="203" w:afterLines="50"/>
        <w:ind w:firstLine="360"/>
        <w:rPr>
          <w:rFonts w:ascii="宋体" w:hAnsi="宋体" w:cs="楷体"/>
        </w:rPr>
      </w:pPr>
      <w:r>
        <w:rPr>
          <w:rFonts w:hint="eastAsia" w:ascii="宋体" w:hAnsi="宋体" w:cs="楷体"/>
        </w:rPr>
        <w:t>外观检测；</w:t>
      </w:r>
    </w:p>
    <w:p>
      <w:pPr>
        <w:numPr>
          <w:ilvl w:val="0"/>
          <w:numId w:val="105"/>
        </w:numPr>
        <w:tabs>
          <w:tab w:val="left" w:pos="0"/>
          <w:tab w:val="left" w:pos="851"/>
        </w:tabs>
        <w:snapToGrid w:val="0"/>
        <w:spacing w:before="203" w:beforeLines="50" w:after="203" w:afterLines="50"/>
        <w:ind w:firstLine="360"/>
        <w:rPr>
          <w:rFonts w:ascii="宋体" w:hAnsi="宋体" w:cs="楷体"/>
        </w:rPr>
      </w:pPr>
      <w:r>
        <w:rPr>
          <w:rFonts w:hint="eastAsia" w:ascii="宋体" w:hAnsi="宋体" w:cs="楷体"/>
        </w:rPr>
        <w:t>噪声；</w:t>
      </w:r>
    </w:p>
    <w:p>
      <w:pPr>
        <w:numPr>
          <w:ilvl w:val="0"/>
          <w:numId w:val="105"/>
        </w:numPr>
        <w:tabs>
          <w:tab w:val="left" w:pos="0"/>
          <w:tab w:val="left" w:pos="851"/>
        </w:tabs>
        <w:snapToGrid w:val="0"/>
        <w:spacing w:before="203" w:beforeLines="50" w:after="203" w:afterLines="50"/>
        <w:ind w:firstLine="360"/>
        <w:rPr>
          <w:rFonts w:ascii="宋体" w:hAnsi="宋体" w:cs="楷体"/>
        </w:rPr>
      </w:pPr>
      <w:r>
        <w:rPr>
          <w:rFonts w:hint="eastAsia" w:ascii="宋体" w:hAnsi="宋体" w:cs="楷体"/>
        </w:rPr>
        <w:t>可靠性等。</w:t>
      </w:r>
    </w:p>
    <w:p>
      <w:pPr>
        <w:tabs>
          <w:tab w:val="left" w:pos="0"/>
        </w:tabs>
        <w:adjustRightInd w:val="0"/>
        <w:snapToGrid w:val="0"/>
        <w:spacing w:before="203" w:beforeLines="50" w:after="203" w:afterLines="50"/>
        <w:ind w:firstLine="480"/>
        <w:rPr>
          <w:rFonts w:ascii="宋体" w:hAnsi="宋体" w:cs="楷体"/>
        </w:rPr>
      </w:pPr>
      <w:r>
        <w:rPr>
          <w:rFonts w:hint="eastAsia" w:ascii="宋体" w:hAnsi="宋体" w:cs="楷体"/>
        </w:rPr>
        <w:t>每台供货设备须进行整机空载和负载试验和测试，内容包括驱动装置动作、回转速度、噪声、轴承温度和过载保护动作等。</w:t>
      </w:r>
    </w:p>
    <w:p>
      <w:pPr>
        <w:tabs>
          <w:tab w:val="left" w:pos="0"/>
        </w:tabs>
        <w:adjustRightInd w:val="0"/>
        <w:snapToGrid w:val="0"/>
        <w:spacing w:before="203" w:beforeLines="50" w:after="203" w:afterLines="50"/>
        <w:ind w:firstLine="480"/>
        <w:rPr>
          <w:rFonts w:ascii="宋体" w:hAnsi="宋体" w:cs="楷体"/>
        </w:rPr>
      </w:pPr>
      <w:r>
        <w:rPr>
          <w:rFonts w:hint="eastAsia" w:ascii="宋体" w:hAnsi="宋体" w:cs="楷体"/>
        </w:rPr>
        <w:t>脱水机整机滤室应密封严密，滤板间在不加任何衬垫物的情况下,经额定压紧力压紧后不得有间隙。压紧面处应无喷射现象。密封处应无泄漏。</w:t>
      </w:r>
    </w:p>
    <w:p>
      <w:pPr>
        <w:tabs>
          <w:tab w:val="left" w:pos="0"/>
        </w:tabs>
        <w:adjustRightInd w:val="0"/>
        <w:snapToGrid w:val="0"/>
        <w:spacing w:before="203" w:beforeLines="50" w:after="203" w:afterLines="50"/>
        <w:ind w:firstLine="480"/>
        <w:rPr>
          <w:rFonts w:ascii="宋体" w:hAnsi="宋体" w:cs="楷体"/>
        </w:rPr>
      </w:pPr>
      <w:r>
        <w:rPr>
          <w:rFonts w:hint="eastAsia" w:ascii="宋体" w:hAnsi="宋体" w:cs="楷体"/>
        </w:rPr>
        <w:t>水泵和空压机应进行性能试验，性能参数应符合本技术条件的规定。</w:t>
      </w:r>
    </w:p>
    <w:p>
      <w:pPr>
        <w:tabs>
          <w:tab w:val="left" w:pos="0"/>
        </w:tabs>
        <w:adjustRightInd w:val="0"/>
        <w:snapToGrid w:val="0"/>
        <w:spacing w:before="203" w:beforeLines="50" w:after="203" w:afterLines="50"/>
        <w:ind w:firstLine="480"/>
        <w:rPr>
          <w:rFonts w:ascii="宋体" w:hAnsi="宋体" w:cs="楷体"/>
        </w:rPr>
      </w:pPr>
      <w:r>
        <w:rPr>
          <w:rFonts w:hint="eastAsia" w:ascii="宋体" w:hAnsi="宋体" w:cs="楷体"/>
        </w:rPr>
        <w:t>阀门应进行水压试验：</w:t>
      </w:r>
    </w:p>
    <w:p>
      <w:pPr>
        <w:numPr>
          <w:ilvl w:val="0"/>
          <w:numId w:val="105"/>
        </w:numPr>
        <w:tabs>
          <w:tab w:val="left" w:pos="0"/>
          <w:tab w:val="left" w:pos="851"/>
        </w:tabs>
        <w:snapToGrid w:val="0"/>
        <w:spacing w:before="203" w:beforeLines="50" w:after="203" w:afterLines="50"/>
        <w:ind w:firstLine="360"/>
        <w:rPr>
          <w:rFonts w:ascii="宋体" w:hAnsi="宋体" w:cs="楷体"/>
        </w:rPr>
      </w:pPr>
      <w:bookmarkStart w:id="6644" w:name="_Toc106050482"/>
      <w:r>
        <w:rPr>
          <w:rFonts w:hint="eastAsia" w:ascii="宋体" w:hAnsi="宋体" w:cs="楷体"/>
        </w:rPr>
        <w:t>每台阀门进行水压强度试验，试验压力为1.5倍公称压力，在持续时间10min内，阀门不得有渗漏，壳体不得有结构损伤及变形。</w:t>
      </w:r>
      <w:bookmarkEnd w:id="6644"/>
    </w:p>
    <w:p>
      <w:pPr>
        <w:numPr>
          <w:ilvl w:val="0"/>
          <w:numId w:val="105"/>
        </w:numPr>
        <w:tabs>
          <w:tab w:val="left" w:pos="0"/>
          <w:tab w:val="left" w:pos="851"/>
        </w:tabs>
        <w:snapToGrid w:val="0"/>
        <w:spacing w:before="203" w:beforeLines="50" w:after="203" w:afterLines="50"/>
        <w:ind w:firstLine="360"/>
        <w:rPr>
          <w:rFonts w:ascii="宋体" w:hAnsi="宋体" w:cs="楷体"/>
        </w:rPr>
      </w:pPr>
      <w:r>
        <w:rPr>
          <w:rFonts w:hint="eastAsia" w:ascii="宋体" w:hAnsi="宋体" w:cs="楷体"/>
        </w:rPr>
        <w:t>阀门进行密封试验，试验压力为1.1倍公称压力，在持续时间5min内，密封面不得有任何渗漏。</w:t>
      </w:r>
    </w:p>
    <w:p>
      <w:pPr>
        <w:numPr>
          <w:ilvl w:val="0"/>
          <w:numId w:val="105"/>
        </w:numPr>
        <w:tabs>
          <w:tab w:val="left" w:pos="0"/>
          <w:tab w:val="left" w:pos="851"/>
        </w:tabs>
        <w:snapToGrid w:val="0"/>
        <w:spacing w:before="203" w:beforeLines="50" w:after="203" w:afterLines="50"/>
        <w:ind w:firstLine="360"/>
        <w:rPr>
          <w:rFonts w:ascii="宋体" w:hAnsi="宋体" w:cs="楷体"/>
        </w:rPr>
      </w:pPr>
      <w:r>
        <w:rPr>
          <w:rFonts w:hint="eastAsia" w:ascii="宋体" w:hAnsi="宋体" w:cs="楷体"/>
        </w:rPr>
        <w:t>制造商提交的产品质量证书，应包括各种检测试验报告、材料检验报告等，并列出检验内容、检验标准、测试数据、标定数据、相关计算以及最终检验结果。检验证书应以手册形式提交。</w:t>
      </w:r>
    </w:p>
    <w:p>
      <w:pPr>
        <w:spacing w:before="203" w:beforeLines="50" w:after="203" w:afterLines="50" w:line="320" w:lineRule="exact"/>
        <w:rPr>
          <w:rFonts w:ascii="宋体" w:hAnsi="宋体" w:cs="楷体"/>
          <w:b/>
          <w:bCs/>
        </w:rPr>
      </w:pPr>
      <w:r>
        <w:rPr>
          <w:rFonts w:hint="eastAsia" w:ascii="宋体" w:hAnsi="宋体" w:cs="楷体"/>
          <w:b/>
          <w:bCs/>
        </w:rPr>
        <w:t>8.19.3.</w:t>
      </w:r>
      <w:r>
        <w:rPr>
          <w:rFonts w:ascii="宋体" w:hAnsi="宋体" w:cs="楷体"/>
          <w:b/>
          <w:bCs/>
        </w:rPr>
        <w:t>7</w:t>
      </w:r>
      <w:r>
        <w:rPr>
          <w:rFonts w:hint="eastAsia" w:ascii="宋体" w:hAnsi="宋体" w:cs="楷体"/>
          <w:b/>
          <w:bCs/>
        </w:rPr>
        <w:t xml:space="preserve">现场调试及验收 </w:t>
      </w:r>
    </w:p>
    <w:p>
      <w:pPr>
        <w:tabs>
          <w:tab w:val="left" w:pos="0"/>
        </w:tabs>
        <w:adjustRightInd w:val="0"/>
        <w:snapToGrid w:val="0"/>
        <w:spacing w:before="203" w:beforeLines="50" w:after="203" w:afterLines="50"/>
        <w:ind w:firstLine="482"/>
        <w:rPr>
          <w:rFonts w:ascii="宋体" w:hAnsi="宋体" w:cs="楷体"/>
        </w:rPr>
      </w:pPr>
      <w:r>
        <w:rPr>
          <w:rFonts w:hint="eastAsia" w:ascii="宋体" w:hAnsi="宋体" w:cs="楷体"/>
        </w:rPr>
        <w:t>现场安装后应在业主方具备调试运行条件下进行单机设备调试试验，以证明供货设备符合技术要求。</w:t>
      </w:r>
    </w:p>
    <w:p>
      <w:pPr>
        <w:tabs>
          <w:tab w:val="left" w:pos="0"/>
        </w:tabs>
        <w:adjustRightInd w:val="0"/>
        <w:snapToGrid w:val="0"/>
        <w:spacing w:before="203" w:beforeLines="50" w:after="203" w:afterLines="50"/>
        <w:ind w:firstLine="482"/>
        <w:rPr>
          <w:rFonts w:ascii="宋体" w:hAnsi="宋体" w:cs="楷体"/>
        </w:rPr>
      </w:pPr>
      <w:r>
        <w:rPr>
          <w:rFonts w:hint="eastAsia" w:ascii="宋体" w:hAnsi="宋体" w:cs="楷体"/>
        </w:rPr>
        <w:t>空运转试验在额定转速下进行，运转时间应不少于4小时。负载运转试验在额定工况下进行，运转时间应不少于8小时。</w:t>
      </w:r>
    </w:p>
    <w:p>
      <w:pPr>
        <w:tabs>
          <w:tab w:val="left" w:pos="0"/>
        </w:tabs>
        <w:adjustRightInd w:val="0"/>
        <w:snapToGrid w:val="0"/>
        <w:spacing w:before="203" w:beforeLines="50" w:after="203" w:afterLines="50"/>
        <w:ind w:firstLine="482"/>
        <w:rPr>
          <w:rFonts w:ascii="宋体" w:hAnsi="宋体" w:cs="楷体"/>
        </w:rPr>
      </w:pPr>
      <w:r>
        <w:rPr>
          <w:rFonts w:hint="eastAsia" w:ascii="宋体" w:hAnsi="宋体" w:cs="楷体"/>
        </w:rPr>
        <w:t>单机设备调试后，投标人必须负责进行系统设备的联机调试，直至脱水系统能够正常运行，并进行至少两周的试运行。</w:t>
      </w:r>
    </w:p>
    <w:p>
      <w:pPr>
        <w:tabs>
          <w:tab w:val="left" w:pos="0"/>
        </w:tabs>
        <w:adjustRightInd w:val="0"/>
        <w:snapToGrid w:val="0"/>
        <w:spacing w:before="203" w:beforeLines="50" w:after="203" w:afterLines="50"/>
        <w:ind w:firstLine="482"/>
        <w:rPr>
          <w:rFonts w:ascii="宋体" w:hAnsi="宋体" w:cs="楷体"/>
        </w:rPr>
      </w:pPr>
      <w:r>
        <w:rPr>
          <w:rFonts w:hint="eastAsia" w:ascii="宋体" w:hAnsi="宋体" w:cs="楷体"/>
        </w:rPr>
        <w:t>在试运行期间，应对脱水系统进行现场性能测试，测试应至少进行15个批次，包括每个批次的进泥含水率、泥饼含水率、进泥量、泥饼重量、药剂添加量、污泥进料与聚合物比率等测试，并根据平均结果决定板框脱水机的运行性能状态及参数。</w:t>
      </w:r>
    </w:p>
    <w:p>
      <w:pPr>
        <w:tabs>
          <w:tab w:val="left" w:pos="0"/>
        </w:tabs>
        <w:adjustRightInd w:val="0"/>
        <w:snapToGrid w:val="0"/>
        <w:spacing w:before="203" w:beforeLines="50" w:after="203" w:afterLines="50"/>
        <w:ind w:firstLine="482"/>
        <w:rPr>
          <w:rFonts w:ascii="宋体" w:hAnsi="宋体" w:cs="楷体"/>
        </w:rPr>
      </w:pPr>
      <w:r>
        <w:rPr>
          <w:rFonts w:hint="eastAsia" w:ascii="宋体" w:hAnsi="宋体" w:cs="楷体"/>
        </w:rPr>
        <w:t xml:space="preserve">在操作过程中，脱水系统之PLC软件应具备紧急停机之功能，此停机之功能应能立即依停机程序，将脱水机及其外围设备停机，而不致造成设备损害。 </w:t>
      </w:r>
    </w:p>
    <w:p>
      <w:pPr>
        <w:adjustRightInd w:val="0"/>
        <w:snapToGrid w:val="0"/>
        <w:spacing w:before="203" w:beforeLines="50" w:after="203" w:afterLines="50"/>
        <w:ind w:firstLine="482"/>
        <w:rPr>
          <w:rFonts w:ascii="宋体" w:hAnsi="宋体" w:cs="楷体"/>
        </w:rPr>
      </w:pPr>
      <w:r>
        <w:rPr>
          <w:rFonts w:hint="eastAsia" w:ascii="宋体" w:hAnsi="宋体" w:cs="楷体"/>
        </w:rPr>
        <w:t>现场调试及试运行应严格按照本技术条件执行，任何零件损坏、缺少应由投标人无条件提供及更换，不符和本技术条件要求的调试结果，应由投标人解决至招标人满意为止。</w:t>
      </w:r>
    </w:p>
    <w:p>
      <w:pPr>
        <w:keepNext/>
        <w:adjustRightInd w:val="0"/>
        <w:snapToGrid w:val="0"/>
        <w:spacing w:before="203" w:beforeLines="50" w:after="203" w:afterLines="50"/>
        <w:outlineLvl w:val="2"/>
        <w:rPr>
          <w:rFonts w:ascii="宋体" w:hAnsi="宋体" w:cs="楷体"/>
          <w:b/>
        </w:rPr>
      </w:pPr>
      <w:bookmarkStart w:id="6645" w:name="_Toc106883719"/>
      <w:r>
        <w:rPr>
          <w:rFonts w:hint="eastAsia" w:ascii="宋体" w:hAnsi="宋体" w:cs="楷体"/>
          <w:b/>
        </w:rPr>
        <w:t>8.19.4悬挂式中心传动浓缩机</w:t>
      </w:r>
      <w:bookmarkEnd w:id="6645"/>
    </w:p>
    <w:p>
      <w:pPr>
        <w:keepNext/>
        <w:adjustRightInd w:val="0"/>
        <w:snapToGrid w:val="0"/>
        <w:spacing w:before="203" w:beforeLines="50" w:after="203" w:afterLines="50"/>
        <w:outlineLvl w:val="3"/>
        <w:rPr>
          <w:rFonts w:ascii="宋体" w:hAnsi="宋体" w:cs="楷体"/>
        </w:rPr>
      </w:pPr>
      <w:r>
        <w:rPr>
          <w:rFonts w:hint="eastAsia" w:ascii="宋体" w:hAnsi="宋体" w:cs="楷体"/>
          <w:b/>
        </w:rPr>
        <w:t>8.19.</w:t>
      </w:r>
      <w:r>
        <w:rPr>
          <w:rFonts w:ascii="宋体" w:hAnsi="宋体" w:cs="楷体"/>
          <w:b/>
        </w:rPr>
        <w:t>4</w:t>
      </w:r>
      <w:r>
        <w:rPr>
          <w:rFonts w:hint="eastAsia" w:ascii="宋体" w:hAnsi="宋体" w:cs="楷体"/>
          <w:b/>
        </w:rPr>
        <w:t>.1</w:t>
      </w:r>
      <w:r>
        <w:rPr>
          <w:rFonts w:hint="eastAsia" w:ascii="宋体" w:hAnsi="宋体" w:cs="楷体"/>
          <w:b/>
          <w:bCs/>
        </w:rPr>
        <w:t>供货范围</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水厂本次设</w:t>
      </w:r>
      <w:r>
        <w:rPr>
          <w:rFonts w:ascii="宋体" w:hAnsi="宋体" w:cs="楷体"/>
        </w:rPr>
        <w:t>2</w:t>
      </w:r>
      <w:r>
        <w:rPr>
          <w:rFonts w:hint="eastAsia" w:ascii="宋体" w:hAnsi="宋体" w:cs="楷体"/>
        </w:rPr>
        <w:t>套完整的悬挂式中心传动浓缩机，主机成套供货：工作桥、传动装置、稳流筒、溢流装置、浓缩系统、传动轴、托臂及拉杆、底轴承及刮板装置、现场电控箱。</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随机备品备件、专用工具、安装调试、维修使用手册。</w:t>
      </w:r>
    </w:p>
    <w:p>
      <w:pPr>
        <w:keepNext/>
        <w:adjustRightInd w:val="0"/>
        <w:snapToGrid w:val="0"/>
        <w:spacing w:before="203" w:beforeLines="50" w:after="203" w:afterLines="50"/>
        <w:outlineLvl w:val="3"/>
        <w:rPr>
          <w:rFonts w:ascii="宋体" w:hAnsi="宋体" w:cs="楷体"/>
          <w:b/>
        </w:rPr>
      </w:pPr>
      <w:r>
        <w:rPr>
          <w:rFonts w:hint="eastAsia" w:ascii="宋体" w:hAnsi="宋体" w:cs="楷体"/>
          <w:b/>
        </w:rPr>
        <w:t>8.19.</w:t>
      </w:r>
      <w:r>
        <w:rPr>
          <w:rFonts w:ascii="宋体" w:hAnsi="宋体" w:cs="楷体"/>
          <w:b/>
        </w:rPr>
        <w:t>4</w:t>
      </w:r>
      <w:r>
        <w:rPr>
          <w:rFonts w:hint="eastAsia" w:ascii="宋体" w:hAnsi="宋体" w:cs="楷体"/>
          <w:b/>
        </w:rPr>
        <w:t>.2技术要求</w:t>
      </w:r>
    </w:p>
    <w:p>
      <w:pPr>
        <w:tabs>
          <w:tab w:val="left" w:pos="720"/>
          <w:tab w:val="left" w:pos="3766"/>
        </w:tabs>
        <w:adjustRightInd w:val="0"/>
        <w:snapToGrid w:val="0"/>
        <w:spacing w:line="360" w:lineRule="auto"/>
        <w:rPr>
          <w:rFonts w:ascii="宋体" w:hAnsi="宋体" w:cs="楷体"/>
          <w:b/>
        </w:rPr>
      </w:pPr>
      <w:r>
        <w:rPr>
          <w:rFonts w:hint="eastAsia" w:ascii="宋体" w:hAnsi="宋体" w:cs="楷体"/>
          <w:b/>
        </w:rPr>
        <w:t>1、主要技术参数：</w:t>
      </w:r>
    </w:p>
    <w:tbl>
      <w:tblPr>
        <w:tblStyle w:val="77"/>
        <w:tblW w:w="8280"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0"/>
        <w:gridCol w:w="4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ind w:left="-411" w:firstLine="720"/>
              <w:jc w:val="center"/>
              <w:rPr>
                <w:rFonts w:ascii="宋体" w:hAnsi="宋体" w:cs="楷体"/>
              </w:rPr>
            </w:pPr>
            <w:r>
              <w:rPr>
                <w:rFonts w:hint="eastAsia" w:ascii="宋体" w:hAnsi="宋体" w:cs="楷体"/>
              </w:rPr>
              <w:t>安装地点</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污泥浓缩池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ind w:left="-411" w:firstLine="720"/>
              <w:jc w:val="center"/>
              <w:rPr>
                <w:rFonts w:ascii="宋体" w:hAnsi="宋体" w:cs="楷体"/>
              </w:rPr>
            </w:pPr>
            <w:r>
              <w:rPr>
                <w:rFonts w:hint="eastAsia" w:ascii="宋体" w:hAnsi="宋体" w:cs="楷体"/>
              </w:rPr>
              <w:t>设备型式</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中心传动悬挂式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jc w:val="center"/>
              <w:rPr>
                <w:rFonts w:ascii="宋体" w:hAnsi="宋体" w:cs="楷体"/>
              </w:rPr>
            </w:pPr>
            <w:r>
              <w:rPr>
                <w:rFonts w:hint="eastAsia" w:ascii="宋体" w:hAnsi="宋体" w:cs="楷体"/>
              </w:rPr>
              <w:t>池内径</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φ</w:t>
            </w:r>
            <w:r>
              <w:rPr>
                <w:rFonts w:ascii="宋体" w:hAnsi="宋体" w:cs="楷体"/>
              </w:rPr>
              <w:t>5.0</w:t>
            </w:r>
            <w:r>
              <w:rPr>
                <w:rFonts w:hint="eastAsia" w:ascii="宋体" w:hAnsi="宋体" w:cs="楷体"/>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vAlign w:val="center"/>
          </w:tcPr>
          <w:p>
            <w:pPr>
              <w:tabs>
                <w:tab w:val="left" w:pos="3766"/>
              </w:tabs>
              <w:adjustRightInd w:val="0"/>
              <w:snapToGrid w:val="0"/>
              <w:jc w:val="center"/>
              <w:rPr>
                <w:rFonts w:ascii="宋体" w:hAnsi="宋体" w:cs="楷体"/>
              </w:rPr>
            </w:pPr>
            <w:r>
              <w:rPr>
                <w:rFonts w:hint="eastAsia" w:ascii="宋体" w:hAnsi="宋体" w:cs="楷体"/>
              </w:rPr>
              <w:t>有效水深</w:t>
            </w:r>
          </w:p>
        </w:tc>
        <w:tc>
          <w:tcPr>
            <w:tcW w:w="4320" w:type="dxa"/>
          </w:tcPr>
          <w:p>
            <w:pPr>
              <w:tabs>
                <w:tab w:val="left" w:pos="3766"/>
              </w:tabs>
              <w:adjustRightInd w:val="0"/>
              <w:snapToGrid w:val="0"/>
              <w:jc w:val="center"/>
              <w:rPr>
                <w:rFonts w:ascii="宋体" w:hAnsi="宋体" w:cs="楷体"/>
              </w:rPr>
            </w:pPr>
            <w:r>
              <w:rPr>
                <w:rFonts w:ascii="宋体" w:hAnsi="宋体" w:cs="楷体"/>
              </w:rPr>
              <w:t>4.0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vAlign w:val="center"/>
          </w:tcPr>
          <w:p>
            <w:pPr>
              <w:tabs>
                <w:tab w:val="left" w:pos="3766"/>
              </w:tabs>
              <w:adjustRightInd w:val="0"/>
              <w:snapToGrid w:val="0"/>
              <w:jc w:val="center"/>
              <w:rPr>
                <w:rFonts w:ascii="宋体" w:hAnsi="宋体" w:cs="楷体"/>
              </w:rPr>
            </w:pPr>
            <w:r>
              <w:rPr>
                <w:rFonts w:hint="eastAsia" w:ascii="宋体" w:hAnsi="宋体" w:cs="楷体"/>
              </w:rPr>
              <w:t>池底坡度</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jc w:val="center"/>
              <w:rPr>
                <w:rFonts w:ascii="宋体" w:hAnsi="宋体" w:cs="楷体"/>
              </w:rPr>
            </w:pPr>
            <w:r>
              <w:rPr>
                <w:rFonts w:hint="eastAsia" w:ascii="宋体" w:hAnsi="宋体" w:cs="楷体"/>
              </w:rPr>
              <w:t>刮板周边线速度</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约2 m/min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jc w:val="center"/>
              <w:rPr>
                <w:rFonts w:ascii="宋体" w:hAnsi="宋体" w:cs="楷体"/>
              </w:rPr>
            </w:pPr>
            <w:r>
              <w:rPr>
                <w:rFonts w:hint="eastAsia" w:ascii="宋体" w:hAnsi="宋体" w:cs="楷体"/>
              </w:rPr>
              <w:t>电机功率</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0.55 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3766"/>
              </w:tabs>
              <w:adjustRightInd w:val="0"/>
              <w:snapToGrid w:val="0"/>
              <w:jc w:val="center"/>
              <w:rPr>
                <w:rFonts w:ascii="宋体" w:hAnsi="宋体" w:cs="楷体"/>
              </w:rPr>
            </w:pPr>
            <w:r>
              <w:rPr>
                <w:rFonts w:hint="eastAsia" w:ascii="宋体" w:hAnsi="宋体" w:cs="楷体"/>
              </w:rPr>
              <w:t>电机防护等级/绝缘等级</w:t>
            </w:r>
          </w:p>
        </w:tc>
        <w:tc>
          <w:tcPr>
            <w:tcW w:w="4320" w:type="dxa"/>
          </w:tcPr>
          <w:p>
            <w:pPr>
              <w:tabs>
                <w:tab w:val="left" w:pos="3766"/>
              </w:tabs>
              <w:adjustRightInd w:val="0"/>
              <w:snapToGrid w:val="0"/>
              <w:jc w:val="center"/>
              <w:rPr>
                <w:rFonts w:ascii="宋体" w:hAnsi="宋体" w:cs="楷体"/>
              </w:rPr>
            </w:pPr>
            <w:r>
              <w:rPr>
                <w:rFonts w:hint="eastAsia" w:ascii="宋体" w:hAnsi="宋体" w:cs="楷体"/>
              </w:rPr>
              <w:t>IP55/F级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tcPr>
          <w:p>
            <w:pPr>
              <w:tabs>
                <w:tab w:val="left" w:pos="720"/>
                <w:tab w:val="left" w:pos="3766"/>
              </w:tabs>
              <w:snapToGrid w:val="0"/>
              <w:jc w:val="center"/>
              <w:rPr>
                <w:rFonts w:ascii="宋体" w:hAnsi="宋体" w:cs="楷体"/>
              </w:rPr>
            </w:pPr>
            <w:r>
              <w:rPr>
                <w:rFonts w:hint="eastAsia" w:ascii="宋体" w:hAnsi="宋体" w:cs="楷体"/>
              </w:rPr>
              <w:t>电源</w:t>
            </w:r>
          </w:p>
        </w:tc>
        <w:tc>
          <w:tcPr>
            <w:tcW w:w="4320" w:type="dxa"/>
          </w:tcPr>
          <w:p>
            <w:pPr>
              <w:tabs>
                <w:tab w:val="left" w:pos="720"/>
                <w:tab w:val="left" w:pos="3766"/>
              </w:tabs>
              <w:snapToGrid w:val="0"/>
              <w:jc w:val="center"/>
              <w:rPr>
                <w:rFonts w:ascii="宋体" w:hAnsi="宋体" w:cs="楷体"/>
              </w:rPr>
            </w:pPr>
            <w:r>
              <w:rPr>
                <w:rFonts w:hint="eastAsia" w:ascii="宋体" w:hAnsi="宋体" w:cs="楷体"/>
              </w:rPr>
              <w:t>380V 、50Hz、3相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0" w:type="dxa"/>
            <w:vAlign w:val="center"/>
          </w:tcPr>
          <w:p>
            <w:pPr>
              <w:jc w:val="center"/>
              <w:rPr>
                <w:rFonts w:ascii="宋体" w:hAnsi="宋体" w:cs="楷体"/>
              </w:rPr>
            </w:pPr>
            <w:r>
              <w:rPr>
                <w:rFonts w:hint="eastAsia" w:ascii="宋体" w:hAnsi="宋体" w:cs="楷体"/>
              </w:rPr>
              <w:t>设备数量</w:t>
            </w:r>
          </w:p>
        </w:tc>
        <w:tc>
          <w:tcPr>
            <w:tcW w:w="4320" w:type="dxa"/>
            <w:vAlign w:val="center"/>
          </w:tcPr>
          <w:p>
            <w:pPr>
              <w:jc w:val="center"/>
              <w:rPr>
                <w:rFonts w:ascii="宋体" w:hAnsi="宋体" w:cs="楷体"/>
              </w:rPr>
            </w:pPr>
            <w:r>
              <w:rPr>
                <w:rFonts w:hint="eastAsia" w:ascii="宋体" w:hAnsi="宋体" w:cs="楷体"/>
              </w:rPr>
              <w:t>2台</w:t>
            </w:r>
          </w:p>
        </w:tc>
      </w:tr>
    </w:tbl>
    <w:p>
      <w:pPr>
        <w:spacing w:line="360" w:lineRule="auto"/>
        <w:rPr>
          <w:rFonts w:ascii="宋体" w:hAnsi="宋体" w:cs="楷体"/>
          <w:b/>
        </w:rPr>
      </w:pPr>
      <w:r>
        <w:rPr>
          <w:rFonts w:hint="eastAsia" w:ascii="宋体" w:hAnsi="宋体" w:cs="楷体"/>
          <w:b/>
        </w:rPr>
        <w:t>2、设备各部件的描述：</w:t>
      </w:r>
    </w:p>
    <w:p>
      <w:pPr>
        <w:tabs>
          <w:tab w:val="left" w:pos="1140"/>
        </w:tabs>
        <w:adjustRightInd w:val="0"/>
        <w:snapToGrid w:val="0"/>
        <w:spacing w:before="203" w:beforeLines="50" w:after="203" w:afterLines="50"/>
        <w:ind w:firstLine="500" w:firstLineChars="200"/>
        <w:rPr>
          <w:rFonts w:ascii="宋体" w:hAnsi="宋体" w:cs="楷体"/>
        </w:rPr>
      </w:pPr>
      <w:r>
        <w:rPr>
          <w:rFonts w:hint="eastAsia" w:ascii="宋体" w:hAnsi="宋体" w:cs="楷体"/>
        </w:rPr>
        <w:t>中心传动浓缩机主要由工作桥、驱动装置、中心传动轴、中心稳流筒、刮泥臂、刮泥板、浓缩栅条、出水堰板等部件组成。</w:t>
      </w:r>
    </w:p>
    <w:p>
      <w:pPr>
        <w:numPr>
          <w:ilvl w:val="0"/>
          <w:numId w:val="106"/>
        </w:numPr>
        <w:tabs>
          <w:tab w:val="left" w:pos="1080"/>
          <w:tab w:val="left" w:pos="3766"/>
        </w:tabs>
        <w:snapToGrid w:val="0"/>
        <w:spacing w:before="203" w:beforeLines="50" w:after="203" w:afterLines="50"/>
        <w:rPr>
          <w:rFonts w:ascii="宋体" w:hAnsi="宋体" w:cs="楷体"/>
        </w:rPr>
      </w:pPr>
      <w:r>
        <w:rPr>
          <w:rFonts w:hint="eastAsia" w:ascii="宋体" w:hAnsi="宋体" w:cs="楷体"/>
        </w:rPr>
        <w:t>工作桥</w:t>
      </w:r>
    </w:p>
    <w:p>
      <w:pPr>
        <w:numPr>
          <w:ilvl w:val="0"/>
          <w:numId w:val="107"/>
        </w:numPr>
        <w:adjustRightInd w:val="0"/>
        <w:snapToGrid w:val="0"/>
        <w:spacing w:before="203" w:beforeLines="50" w:after="203" w:afterLines="50"/>
        <w:rPr>
          <w:rFonts w:ascii="宋体" w:hAnsi="宋体" w:cs="楷体"/>
        </w:rPr>
      </w:pPr>
      <w:r>
        <w:rPr>
          <w:rFonts w:hint="eastAsia" w:ascii="宋体" w:hAnsi="宋体" w:cs="楷体"/>
        </w:rPr>
        <w:t>工作桥采用型材及矩形管焊接后制成桁架结构形式，结构轻巧、刚性好、外表美观、使用寿命长。</w:t>
      </w:r>
    </w:p>
    <w:p>
      <w:pPr>
        <w:numPr>
          <w:ilvl w:val="0"/>
          <w:numId w:val="107"/>
        </w:numPr>
        <w:adjustRightInd w:val="0"/>
        <w:snapToGrid w:val="0"/>
        <w:spacing w:before="203" w:beforeLines="50" w:after="203" w:afterLines="50"/>
        <w:rPr>
          <w:rFonts w:ascii="宋体" w:hAnsi="宋体" w:cs="楷体"/>
        </w:rPr>
      </w:pPr>
      <w:r>
        <w:rPr>
          <w:rFonts w:hint="eastAsia" w:ascii="宋体" w:hAnsi="宋体" w:cs="楷体"/>
        </w:rPr>
        <w:t>工作桥走道净宽度不小于1000mm，上部设置防护栏杆。</w:t>
      </w:r>
    </w:p>
    <w:p>
      <w:pPr>
        <w:numPr>
          <w:ilvl w:val="0"/>
          <w:numId w:val="107"/>
        </w:numPr>
        <w:adjustRightInd w:val="0"/>
        <w:snapToGrid w:val="0"/>
        <w:spacing w:before="203" w:beforeLines="50" w:after="203" w:afterLines="50"/>
        <w:rPr>
          <w:rFonts w:ascii="宋体" w:hAnsi="宋体" w:cs="楷体"/>
        </w:rPr>
      </w:pPr>
      <w:r>
        <w:rPr>
          <w:rFonts w:hint="eastAsia" w:ascii="宋体" w:hAnsi="宋体" w:cs="楷体"/>
        </w:rPr>
        <w:t>工作桥具有足够的刚度和强度，除能承受最大的刮泥扭矩外，还能承受悬挂的全部设备重量，桥架的挠度值控制在1/800mm以内。</w:t>
      </w:r>
    </w:p>
    <w:p>
      <w:pPr>
        <w:numPr>
          <w:ilvl w:val="0"/>
          <w:numId w:val="106"/>
        </w:numPr>
        <w:tabs>
          <w:tab w:val="left" w:pos="1080"/>
          <w:tab w:val="left" w:pos="3766"/>
        </w:tabs>
        <w:snapToGrid w:val="0"/>
        <w:spacing w:before="203" w:beforeLines="50" w:after="203" w:afterLines="50"/>
        <w:rPr>
          <w:rFonts w:ascii="宋体" w:hAnsi="宋体" w:cs="楷体"/>
        </w:rPr>
      </w:pPr>
      <w:r>
        <w:rPr>
          <w:rFonts w:hint="eastAsia" w:ascii="宋体" w:hAnsi="宋体" w:cs="楷体"/>
        </w:rPr>
        <w:t>驱动装置</w:t>
      </w:r>
    </w:p>
    <w:p>
      <w:pPr>
        <w:numPr>
          <w:ilvl w:val="0"/>
          <w:numId w:val="108"/>
        </w:numPr>
        <w:adjustRightInd w:val="0"/>
        <w:snapToGrid w:val="0"/>
        <w:spacing w:before="203" w:beforeLines="50" w:after="203" w:afterLines="50"/>
        <w:rPr>
          <w:rFonts w:ascii="宋体" w:hAnsi="宋体" w:cs="楷体"/>
        </w:rPr>
      </w:pPr>
      <w:r>
        <w:rPr>
          <w:rFonts w:hint="eastAsia" w:ascii="宋体" w:hAnsi="宋体" w:cs="楷体"/>
        </w:rPr>
        <w:t>驱动装置采用摆线针轮减速机与蜗轮减速箱的混合装置形式，摆线针轮减速机选用国产优质产品。</w:t>
      </w:r>
    </w:p>
    <w:p>
      <w:pPr>
        <w:numPr>
          <w:ilvl w:val="0"/>
          <w:numId w:val="108"/>
        </w:numPr>
        <w:adjustRightInd w:val="0"/>
        <w:snapToGrid w:val="0"/>
        <w:spacing w:before="203" w:beforeLines="50" w:after="203" w:afterLines="50"/>
        <w:rPr>
          <w:rFonts w:ascii="宋体" w:hAnsi="宋体" w:cs="楷体"/>
        </w:rPr>
      </w:pPr>
      <w:r>
        <w:rPr>
          <w:rFonts w:hint="eastAsia" w:ascii="宋体" w:hAnsi="宋体" w:cs="楷体"/>
        </w:rPr>
        <w:t>驱动电机采用优质电机，适用于380V、3相、50Hz，它的防护等级为IP55（户外型），绝缘等级为F级。</w:t>
      </w:r>
    </w:p>
    <w:p>
      <w:pPr>
        <w:numPr>
          <w:ilvl w:val="0"/>
          <w:numId w:val="108"/>
        </w:numPr>
        <w:adjustRightInd w:val="0"/>
        <w:snapToGrid w:val="0"/>
        <w:spacing w:before="203" w:beforeLines="50" w:after="203" w:afterLines="50"/>
        <w:rPr>
          <w:rFonts w:ascii="宋体" w:hAnsi="宋体" w:cs="楷体"/>
        </w:rPr>
      </w:pPr>
      <w:r>
        <w:rPr>
          <w:rFonts w:hint="eastAsia" w:ascii="宋体" w:hAnsi="宋体" w:cs="楷体"/>
        </w:rPr>
        <w:t>减速箱齿轮设计采用符合ISO标准，齿轮材料采用S16MnCr合金钢或更好，齿面硬度HRC58～62，服务系数＞2.0，轴承寿命（L10）不低于10万小时，齿轮材料为合金钢，装置噪音≤70dB(A)。</w:t>
      </w:r>
    </w:p>
    <w:p>
      <w:pPr>
        <w:numPr>
          <w:ilvl w:val="0"/>
          <w:numId w:val="108"/>
        </w:numPr>
        <w:adjustRightInd w:val="0"/>
        <w:snapToGrid w:val="0"/>
        <w:spacing w:before="203" w:beforeLines="50" w:after="203" w:afterLines="50"/>
        <w:rPr>
          <w:rFonts w:ascii="宋体" w:hAnsi="宋体" w:cs="楷体"/>
        </w:rPr>
      </w:pPr>
      <w:r>
        <w:rPr>
          <w:rFonts w:hint="eastAsia" w:ascii="宋体" w:hAnsi="宋体" w:cs="楷体"/>
        </w:rPr>
        <w:t>驱动装置设有机械过载和电器过载双重保护装置，使减速机和其它机械结构在过载时不被损坏，确保中心传动浓缩机全天候安全有效运行。</w:t>
      </w:r>
    </w:p>
    <w:p>
      <w:pPr>
        <w:numPr>
          <w:ilvl w:val="0"/>
          <w:numId w:val="106"/>
        </w:numPr>
        <w:tabs>
          <w:tab w:val="left" w:pos="1080"/>
          <w:tab w:val="left" w:pos="3766"/>
        </w:tabs>
        <w:snapToGrid w:val="0"/>
        <w:spacing w:before="203" w:beforeLines="50" w:after="203" w:afterLines="50"/>
        <w:rPr>
          <w:rFonts w:ascii="宋体" w:hAnsi="宋体" w:cs="楷体"/>
        </w:rPr>
      </w:pPr>
      <w:r>
        <w:rPr>
          <w:rFonts w:hint="eastAsia" w:ascii="宋体" w:hAnsi="宋体" w:cs="楷体"/>
        </w:rPr>
        <w:t>中心传动轴</w:t>
      </w:r>
    </w:p>
    <w:p>
      <w:pPr>
        <w:numPr>
          <w:ilvl w:val="0"/>
          <w:numId w:val="109"/>
        </w:numPr>
        <w:adjustRightInd w:val="0"/>
        <w:snapToGrid w:val="0"/>
        <w:spacing w:before="203" w:beforeLines="50" w:after="203" w:afterLines="50"/>
        <w:rPr>
          <w:rFonts w:ascii="宋体" w:hAnsi="宋体" w:cs="楷体"/>
        </w:rPr>
      </w:pPr>
      <w:r>
        <w:rPr>
          <w:rFonts w:hint="eastAsia" w:ascii="宋体" w:hAnsi="宋体" w:cs="楷体"/>
        </w:rPr>
        <w:t>中心传动轴采用不锈钢圆管制造，它能承受浓缩机最大的刮泥载荷，中心传动轴的上部法兰与中心传动减速装置的输出传动轴（即蜗轮箱内的传动轴为实心45#圆钢并且可以上下调节）用螺栓连接，它的下部轴头与底轴承座配合。</w:t>
      </w:r>
    </w:p>
    <w:p>
      <w:pPr>
        <w:numPr>
          <w:ilvl w:val="0"/>
          <w:numId w:val="106"/>
        </w:numPr>
        <w:tabs>
          <w:tab w:val="left" w:pos="1080"/>
          <w:tab w:val="left" w:pos="3766"/>
        </w:tabs>
        <w:snapToGrid w:val="0"/>
        <w:spacing w:before="203" w:beforeLines="50" w:after="203" w:afterLines="50"/>
        <w:rPr>
          <w:rFonts w:ascii="宋体" w:hAnsi="宋体" w:cs="楷体"/>
        </w:rPr>
      </w:pPr>
      <w:r>
        <w:rPr>
          <w:rFonts w:hint="eastAsia" w:ascii="宋体" w:hAnsi="宋体" w:cs="楷体"/>
        </w:rPr>
        <w:t>刮泥臂及刮泥板组合</w:t>
      </w:r>
    </w:p>
    <w:p>
      <w:pPr>
        <w:numPr>
          <w:ilvl w:val="0"/>
          <w:numId w:val="110"/>
        </w:numPr>
        <w:adjustRightInd w:val="0"/>
        <w:snapToGrid w:val="0"/>
        <w:spacing w:before="203" w:beforeLines="50" w:after="203" w:afterLines="50"/>
        <w:rPr>
          <w:rFonts w:ascii="宋体" w:hAnsi="宋体" w:cs="楷体"/>
        </w:rPr>
      </w:pPr>
      <w:r>
        <w:rPr>
          <w:rFonts w:hint="eastAsia" w:ascii="宋体" w:hAnsi="宋体" w:cs="楷体"/>
        </w:rPr>
        <w:t>刮泥臂采用桁架支承刚性连接，与中心传动轴采用部分式轴箍连接方式，它在中心传动轴上对称布置，并具有足够的强度能承受在最大刮泥转矩时它不发生扭曲变形。</w:t>
      </w:r>
    </w:p>
    <w:p>
      <w:pPr>
        <w:numPr>
          <w:ilvl w:val="0"/>
          <w:numId w:val="110"/>
        </w:numPr>
        <w:adjustRightInd w:val="0"/>
        <w:snapToGrid w:val="0"/>
        <w:spacing w:before="203" w:beforeLines="50" w:after="203" w:afterLines="50"/>
        <w:rPr>
          <w:rFonts w:ascii="宋体" w:hAnsi="宋体" w:cs="楷体"/>
        </w:rPr>
      </w:pPr>
      <w:r>
        <w:rPr>
          <w:rFonts w:hint="eastAsia" w:ascii="宋体" w:hAnsi="宋体" w:cs="楷体"/>
        </w:rPr>
        <w:t>刮泥臂由上弦、下弦及拉杆等组成，它的所有构件均采用不锈钢角钢材料制作，平衡臂采用不锈钢管组成，端头可调拉杆与刮泥臂相接以增加刮泥臂刮臂端头强度，它的上弦呈水平状，下弦与池底坡度相平行。</w:t>
      </w:r>
    </w:p>
    <w:p>
      <w:pPr>
        <w:numPr>
          <w:ilvl w:val="0"/>
          <w:numId w:val="110"/>
        </w:numPr>
        <w:adjustRightInd w:val="0"/>
        <w:snapToGrid w:val="0"/>
        <w:spacing w:before="203" w:beforeLines="50" w:after="203" w:afterLines="50"/>
        <w:rPr>
          <w:rFonts w:ascii="宋体" w:hAnsi="宋体" w:cs="楷体"/>
        </w:rPr>
      </w:pPr>
      <w:r>
        <w:rPr>
          <w:rFonts w:hint="eastAsia" w:ascii="宋体" w:hAnsi="宋体" w:cs="楷体"/>
        </w:rPr>
        <w:t>刮泥板组合采用多片水平式线性刮泥板组成，它采用分段与刮泥臂下弦连接形式，刮泥板从池中心到周边均匀布置，利于刮泥至污泥斗中。</w:t>
      </w:r>
    </w:p>
    <w:p>
      <w:pPr>
        <w:numPr>
          <w:ilvl w:val="0"/>
          <w:numId w:val="110"/>
        </w:numPr>
        <w:adjustRightInd w:val="0"/>
        <w:snapToGrid w:val="0"/>
        <w:spacing w:before="203" w:beforeLines="50" w:after="203" w:afterLines="50"/>
        <w:rPr>
          <w:rFonts w:ascii="宋体" w:hAnsi="宋体" w:cs="楷体"/>
        </w:rPr>
      </w:pPr>
      <w:r>
        <w:rPr>
          <w:rFonts w:hint="eastAsia" w:ascii="宋体" w:hAnsi="宋体" w:cs="楷体"/>
        </w:rPr>
        <w:t>刮泥板组合的支架采用不锈钢角钢焊接成框架形式，支架的上下分别与下弦杆及刮泥板连接，刮泥板与池底平行且与下弦杆成45°布置，相邻二刮泥板的重叠量约100mm，并具有垂直调整20～30mm距离的功能以作安装调整用，刮泥板下缘装有耐水、耐酸、耐碱、耐磨的夹布橡胶刮板。</w:t>
      </w:r>
    </w:p>
    <w:p>
      <w:pPr>
        <w:numPr>
          <w:ilvl w:val="0"/>
          <w:numId w:val="106"/>
        </w:numPr>
        <w:tabs>
          <w:tab w:val="left" w:pos="1080"/>
          <w:tab w:val="left" w:pos="3766"/>
        </w:tabs>
        <w:snapToGrid w:val="0"/>
        <w:spacing w:before="203" w:beforeLines="50" w:after="203" w:afterLines="50"/>
        <w:rPr>
          <w:rFonts w:ascii="宋体" w:hAnsi="宋体" w:cs="楷体"/>
        </w:rPr>
      </w:pPr>
      <w:r>
        <w:rPr>
          <w:rFonts w:hint="eastAsia" w:ascii="宋体" w:hAnsi="宋体" w:cs="楷体"/>
        </w:rPr>
        <w:t>中心稳流筒</w:t>
      </w:r>
    </w:p>
    <w:p>
      <w:pPr>
        <w:numPr>
          <w:ilvl w:val="0"/>
          <w:numId w:val="111"/>
        </w:numPr>
        <w:adjustRightInd w:val="0"/>
        <w:snapToGrid w:val="0"/>
        <w:spacing w:before="203" w:beforeLines="50" w:after="203" w:afterLines="50"/>
        <w:rPr>
          <w:rFonts w:ascii="宋体" w:hAnsi="宋体" w:cs="楷体"/>
        </w:rPr>
      </w:pPr>
      <w:r>
        <w:rPr>
          <w:rFonts w:hint="eastAsia" w:ascii="宋体" w:hAnsi="宋体" w:cs="楷体"/>
        </w:rPr>
        <w:t>中心稳流筒采用不锈钢板材焊接而成，它的设计能保证中心稳流筒出水的污泥沉淀效果及均匀地向池周辐流。</w:t>
      </w:r>
    </w:p>
    <w:p>
      <w:pPr>
        <w:numPr>
          <w:ilvl w:val="0"/>
          <w:numId w:val="111"/>
        </w:numPr>
        <w:adjustRightInd w:val="0"/>
        <w:snapToGrid w:val="0"/>
        <w:spacing w:before="203" w:beforeLines="50" w:after="203" w:afterLines="50"/>
        <w:rPr>
          <w:rFonts w:ascii="宋体" w:hAnsi="宋体" w:cs="楷体"/>
        </w:rPr>
      </w:pPr>
      <w:r>
        <w:rPr>
          <w:rFonts w:hint="eastAsia" w:ascii="宋体" w:hAnsi="宋体" w:cs="楷体"/>
        </w:rPr>
        <w:t>中心稳流筒与工作桥具有牢固的连接措施，它在进水时作稳流用，能有效控制进水流态。</w:t>
      </w:r>
    </w:p>
    <w:p>
      <w:pPr>
        <w:numPr>
          <w:ilvl w:val="0"/>
          <w:numId w:val="106"/>
        </w:numPr>
        <w:tabs>
          <w:tab w:val="left" w:pos="1080"/>
          <w:tab w:val="left" w:pos="3766"/>
        </w:tabs>
        <w:snapToGrid w:val="0"/>
        <w:spacing w:before="203" w:beforeLines="50" w:after="203" w:afterLines="50"/>
        <w:rPr>
          <w:rFonts w:ascii="宋体" w:hAnsi="宋体" w:cs="楷体"/>
        </w:rPr>
      </w:pPr>
      <w:r>
        <w:rPr>
          <w:rFonts w:hint="eastAsia" w:ascii="宋体" w:hAnsi="宋体" w:cs="楷体"/>
        </w:rPr>
        <w:t>浓缩栅条</w:t>
      </w:r>
    </w:p>
    <w:p>
      <w:pPr>
        <w:numPr>
          <w:ilvl w:val="0"/>
          <w:numId w:val="112"/>
        </w:numPr>
        <w:adjustRightInd w:val="0"/>
        <w:snapToGrid w:val="0"/>
        <w:spacing w:before="203" w:beforeLines="50" w:after="203" w:afterLines="50"/>
        <w:rPr>
          <w:rFonts w:ascii="宋体" w:hAnsi="宋体" w:cs="楷体"/>
        </w:rPr>
      </w:pPr>
      <w:r>
        <w:rPr>
          <w:rFonts w:hint="eastAsia" w:ascii="宋体" w:hAnsi="宋体" w:cs="楷体"/>
        </w:rPr>
        <w:t>浓缩栅条排列均匀，它的间隔距离约500mm，它连接固定在刮泥臂上，它的高度为栅条下部与刮臂下弦平，上部至中心导流筒下口。</w:t>
      </w:r>
    </w:p>
    <w:p>
      <w:pPr>
        <w:numPr>
          <w:ilvl w:val="0"/>
          <w:numId w:val="112"/>
        </w:numPr>
        <w:adjustRightInd w:val="0"/>
        <w:snapToGrid w:val="0"/>
        <w:spacing w:before="203" w:beforeLines="50" w:after="203" w:afterLines="50"/>
        <w:rPr>
          <w:rFonts w:ascii="宋体" w:hAnsi="宋体" w:cs="楷体"/>
        </w:rPr>
      </w:pPr>
      <w:r>
        <w:rPr>
          <w:rFonts w:hint="eastAsia" w:ascii="宋体" w:hAnsi="宋体" w:cs="楷体"/>
        </w:rPr>
        <w:t>浓缩栅条采用不锈钢材料制作，它采用等边角钢断面的形式能有效地提高污泥浓缩效果。</w:t>
      </w:r>
    </w:p>
    <w:p>
      <w:pPr>
        <w:numPr>
          <w:ilvl w:val="0"/>
          <w:numId w:val="106"/>
        </w:numPr>
        <w:tabs>
          <w:tab w:val="left" w:pos="1080"/>
          <w:tab w:val="left" w:pos="3766"/>
        </w:tabs>
        <w:snapToGrid w:val="0"/>
        <w:spacing w:before="203" w:beforeLines="50" w:after="203" w:afterLines="50"/>
        <w:rPr>
          <w:rFonts w:ascii="宋体" w:hAnsi="宋体" w:cs="楷体"/>
        </w:rPr>
      </w:pPr>
      <w:r>
        <w:rPr>
          <w:rFonts w:hint="eastAsia" w:ascii="宋体" w:hAnsi="宋体" w:cs="楷体"/>
        </w:rPr>
        <w:t>出水堰板</w:t>
      </w:r>
    </w:p>
    <w:p>
      <w:pPr>
        <w:numPr>
          <w:ilvl w:val="0"/>
          <w:numId w:val="113"/>
        </w:numPr>
        <w:adjustRightInd w:val="0"/>
        <w:snapToGrid w:val="0"/>
        <w:spacing w:before="203" w:beforeLines="50" w:after="203" w:afterLines="50"/>
        <w:rPr>
          <w:rFonts w:ascii="宋体" w:hAnsi="宋体" w:cs="楷体"/>
        </w:rPr>
      </w:pPr>
      <w:r>
        <w:rPr>
          <w:rFonts w:hint="eastAsia" w:ascii="宋体" w:hAnsi="宋体" w:cs="楷体"/>
        </w:rPr>
        <w:t>出水堰板为三角堰板形式（为单面出水形式），采用不锈钢膨胀螺栓固定在混凝土出水槽上，出水堰板由不锈钢板制成，用以调节、恒定池面水位使周边出水均匀。</w:t>
      </w:r>
    </w:p>
    <w:p>
      <w:pPr>
        <w:tabs>
          <w:tab w:val="left" w:pos="720"/>
          <w:tab w:val="left" w:pos="3766"/>
        </w:tabs>
        <w:snapToGrid w:val="0"/>
        <w:spacing w:line="360" w:lineRule="auto"/>
        <w:rPr>
          <w:rFonts w:ascii="宋体" w:hAnsi="宋体" w:cs="楷体"/>
          <w:b/>
        </w:rPr>
      </w:pPr>
      <w:r>
        <w:rPr>
          <w:rFonts w:hint="eastAsia" w:ascii="宋体" w:hAnsi="宋体" w:cs="楷体"/>
          <w:b/>
        </w:rPr>
        <w:t>3、设备主要部件材质：</w:t>
      </w:r>
    </w:p>
    <w:tbl>
      <w:tblPr>
        <w:tblStyle w:val="77"/>
        <w:tblW w:w="893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1"/>
        <w:gridCol w:w="4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snapToGrid w:val="0"/>
              <w:jc w:val="center"/>
              <w:rPr>
                <w:rFonts w:ascii="宋体" w:hAnsi="宋体" w:cs="楷体"/>
                <w:b/>
              </w:rPr>
            </w:pPr>
            <w:r>
              <w:rPr>
                <w:rFonts w:hint="eastAsia" w:ascii="宋体" w:hAnsi="宋体" w:cs="楷体"/>
                <w:b/>
              </w:rPr>
              <w:t>部件名称</w:t>
            </w:r>
          </w:p>
        </w:tc>
        <w:tc>
          <w:tcPr>
            <w:tcW w:w="4822" w:type="dxa"/>
            <w:vAlign w:val="center"/>
          </w:tcPr>
          <w:p>
            <w:pPr>
              <w:tabs>
                <w:tab w:val="left" w:pos="3766"/>
              </w:tabs>
              <w:snapToGrid w:val="0"/>
              <w:jc w:val="center"/>
              <w:rPr>
                <w:rFonts w:ascii="宋体" w:hAnsi="宋体" w:cs="楷体"/>
                <w:b/>
              </w:rPr>
            </w:pPr>
            <w:r>
              <w:rPr>
                <w:rFonts w:hint="eastAsia" w:ascii="宋体" w:hAnsi="宋体" w:cs="楷体"/>
                <w:b/>
              </w:rPr>
              <w:t>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snapToGrid w:val="0"/>
              <w:jc w:val="center"/>
              <w:rPr>
                <w:rFonts w:ascii="宋体" w:hAnsi="宋体" w:cs="楷体"/>
                <w:b/>
              </w:rPr>
            </w:pPr>
            <w:r>
              <w:rPr>
                <w:rFonts w:hint="eastAsia" w:ascii="宋体" w:hAnsi="宋体" w:cs="楷体"/>
              </w:rPr>
              <w:t>工作桥</w:t>
            </w:r>
          </w:p>
        </w:tc>
        <w:tc>
          <w:tcPr>
            <w:tcW w:w="4822" w:type="dxa"/>
            <w:vAlign w:val="center"/>
          </w:tcPr>
          <w:p>
            <w:pPr>
              <w:tabs>
                <w:tab w:val="left" w:pos="3766"/>
              </w:tabs>
              <w:snapToGrid w:val="0"/>
              <w:jc w:val="center"/>
              <w:rPr>
                <w:rFonts w:ascii="宋体" w:hAnsi="宋体" w:cs="楷体"/>
                <w:b/>
              </w:rPr>
            </w:pPr>
            <w:r>
              <w:rPr>
                <w:rFonts w:hint="eastAsia" w:ascii="宋体" w:hAnsi="宋体" w:cs="楷体"/>
              </w:rPr>
              <w:t>碳钢Q23B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snapToGrid w:val="0"/>
              <w:jc w:val="center"/>
              <w:rPr>
                <w:rFonts w:ascii="宋体" w:hAnsi="宋体" w:cs="楷体"/>
              </w:rPr>
            </w:pPr>
            <w:r>
              <w:rPr>
                <w:rFonts w:hint="eastAsia" w:ascii="宋体" w:hAnsi="宋体" w:cs="楷体"/>
              </w:rPr>
              <w:t>中心传动轴（中心立轴）</w:t>
            </w:r>
          </w:p>
        </w:tc>
        <w:tc>
          <w:tcPr>
            <w:tcW w:w="4822" w:type="dxa"/>
            <w:vAlign w:val="center"/>
          </w:tcPr>
          <w:p>
            <w:pPr>
              <w:tabs>
                <w:tab w:val="left" w:pos="3766"/>
              </w:tabs>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中心稳流筒</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刮泥臂</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刮泥板</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不锈钢304+夹布橡胶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浓缩栅条</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出水堰板</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水下轴承</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尼龙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底刮板组合</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11" w:type="dxa"/>
            <w:vAlign w:val="center"/>
          </w:tcPr>
          <w:p>
            <w:pPr>
              <w:tabs>
                <w:tab w:val="left" w:pos="3766"/>
              </w:tabs>
              <w:adjustRightInd w:val="0"/>
              <w:snapToGrid w:val="0"/>
              <w:jc w:val="center"/>
              <w:rPr>
                <w:rFonts w:ascii="宋体" w:hAnsi="宋体" w:cs="楷体"/>
              </w:rPr>
            </w:pPr>
            <w:r>
              <w:rPr>
                <w:rFonts w:hint="eastAsia" w:ascii="宋体" w:hAnsi="宋体" w:cs="楷体"/>
              </w:rPr>
              <w:t>螺栓、螺母等紧固件</w:t>
            </w:r>
          </w:p>
        </w:tc>
        <w:tc>
          <w:tcPr>
            <w:tcW w:w="4822" w:type="dxa"/>
            <w:vAlign w:val="center"/>
          </w:tcPr>
          <w:p>
            <w:pPr>
              <w:tabs>
                <w:tab w:val="left" w:pos="3766"/>
              </w:tabs>
              <w:adjustRightInd w:val="0"/>
              <w:snapToGrid w:val="0"/>
              <w:jc w:val="center"/>
              <w:rPr>
                <w:rFonts w:ascii="宋体" w:hAnsi="宋体" w:cs="楷体"/>
              </w:rPr>
            </w:pPr>
            <w:r>
              <w:rPr>
                <w:rFonts w:hint="eastAsia" w:ascii="宋体" w:hAnsi="宋体" w:cs="楷体"/>
              </w:rPr>
              <w:t>不锈钢304</w:t>
            </w:r>
          </w:p>
        </w:tc>
      </w:tr>
    </w:tbl>
    <w:p>
      <w:pPr>
        <w:spacing w:line="360" w:lineRule="auto"/>
        <w:rPr>
          <w:rFonts w:ascii="宋体" w:hAnsi="宋体" w:cs="楷体"/>
          <w:b/>
        </w:rPr>
      </w:pPr>
      <w:r>
        <w:rPr>
          <w:rFonts w:hint="eastAsia" w:ascii="宋体" w:hAnsi="宋体" w:cs="楷体"/>
          <w:b/>
        </w:rPr>
        <w:t>4、设备防腐：</w:t>
      </w:r>
    </w:p>
    <w:p>
      <w:pPr>
        <w:numPr>
          <w:ilvl w:val="0"/>
          <w:numId w:val="114"/>
        </w:numPr>
        <w:adjustRightInd w:val="0"/>
        <w:snapToGrid w:val="0"/>
        <w:spacing w:before="203" w:beforeLines="50" w:after="203" w:afterLines="50"/>
        <w:rPr>
          <w:rFonts w:ascii="宋体" w:hAnsi="宋体" w:cs="楷体"/>
        </w:rPr>
      </w:pPr>
      <w:r>
        <w:rPr>
          <w:rFonts w:hint="eastAsia" w:ascii="宋体" w:hAnsi="宋体" w:cs="楷体"/>
        </w:rPr>
        <w:t>不锈钢部件加工完后先进行清洗，然后喷涂银白色金属漆。</w:t>
      </w:r>
    </w:p>
    <w:p>
      <w:pPr>
        <w:numPr>
          <w:ilvl w:val="0"/>
          <w:numId w:val="114"/>
        </w:numPr>
        <w:tabs>
          <w:tab w:val="left" w:pos="630"/>
        </w:tabs>
        <w:adjustRightInd w:val="0"/>
        <w:snapToGrid w:val="0"/>
        <w:spacing w:before="203" w:beforeLines="50" w:after="203" w:afterLines="50"/>
        <w:rPr>
          <w:rFonts w:ascii="宋体" w:hAnsi="宋体" w:cs="楷体"/>
        </w:rPr>
      </w:pPr>
      <w:r>
        <w:rPr>
          <w:rFonts w:hint="eastAsia" w:ascii="宋体" w:hAnsi="宋体" w:cs="楷体"/>
        </w:rPr>
        <w:t>碳钢部件进行喷砂除锈处理，除锈等级符合GB/T8923中规定的Sa2.5级标准后，加防腐涂料处理。</w:t>
      </w:r>
    </w:p>
    <w:p>
      <w:pPr>
        <w:adjustRightInd w:val="0"/>
        <w:snapToGrid w:val="0"/>
        <w:spacing w:before="203" w:beforeLines="50" w:after="203" w:afterLines="50"/>
        <w:rPr>
          <w:rFonts w:ascii="宋体" w:hAnsi="宋体" w:cs="楷体"/>
          <w:b/>
        </w:rPr>
      </w:pPr>
      <w:r>
        <w:rPr>
          <w:rFonts w:hint="eastAsia" w:ascii="宋体" w:hAnsi="宋体" w:cs="楷体"/>
          <w:b/>
        </w:rPr>
        <w:t>5、 设备检测：</w:t>
      </w:r>
    </w:p>
    <w:p>
      <w:pPr>
        <w:numPr>
          <w:ilvl w:val="0"/>
          <w:numId w:val="115"/>
        </w:numPr>
        <w:tabs>
          <w:tab w:val="left" w:pos="630"/>
        </w:tabs>
        <w:adjustRightInd w:val="0"/>
        <w:snapToGrid w:val="0"/>
        <w:spacing w:before="203" w:beforeLines="50" w:after="203" w:afterLines="50"/>
        <w:ind w:right="26"/>
        <w:rPr>
          <w:rFonts w:ascii="宋体" w:hAnsi="宋体" w:cs="楷体"/>
        </w:rPr>
      </w:pPr>
      <w:r>
        <w:rPr>
          <w:rFonts w:hint="eastAsia" w:ascii="宋体" w:hAnsi="宋体" w:cs="楷体"/>
        </w:rPr>
        <w:t>投标商/制造厂家在设备出厂前，对设备各部件进行验收，检验项目包括：外观检查、噪声的检测、可靠性的检测、电气设备的检测和其他项目的检测。</w:t>
      </w:r>
    </w:p>
    <w:p>
      <w:pPr>
        <w:numPr>
          <w:ilvl w:val="0"/>
          <w:numId w:val="115"/>
        </w:numPr>
        <w:tabs>
          <w:tab w:val="left" w:pos="630"/>
        </w:tabs>
        <w:adjustRightInd w:val="0"/>
        <w:snapToGrid w:val="0"/>
        <w:spacing w:before="203" w:beforeLines="50" w:after="203" w:afterLines="50"/>
        <w:ind w:right="26"/>
        <w:rPr>
          <w:rFonts w:ascii="宋体" w:hAnsi="宋体" w:cs="楷体"/>
        </w:rPr>
      </w:pPr>
      <w:r>
        <w:rPr>
          <w:rFonts w:hint="eastAsia" w:ascii="宋体" w:hAnsi="宋体" w:cs="楷体"/>
        </w:rPr>
        <w:t>承包商在每台设备部件均经检查试验合格后才准许出厂，对设备的外观、运行噪声、运行可靠性等性能进行检测，应符合设备技术要求，并提供设备出厂检验合格报告、产品合格证、使用维护说明书、外购件的质保书和合格证。</w:t>
      </w:r>
    </w:p>
    <w:p>
      <w:pPr>
        <w:numPr>
          <w:ilvl w:val="0"/>
          <w:numId w:val="115"/>
        </w:numPr>
        <w:tabs>
          <w:tab w:val="left" w:pos="630"/>
        </w:tabs>
        <w:adjustRightInd w:val="0"/>
        <w:snapToGrid w:val="0"/>
        <w:spacing w:before="203" w:beforeLines="50" w:after="203" w:afterLines="50"/>
        <w:ind w:right="26"/>
        <w:rPr>
          <w:rFonts w:ascii="宋体" w:hAnsi="宋体" w:cs="楷体"/>
        </w:rPr>
      </w:pPr>
      <w:r>
        <w:rPr>
          <w:rFonts w:hint="eastAsia" w:ascii="宋体" w:hAnsi="宋体" w:cs="楷体"/>
        </w:rPr>
        <w:t>投标商/制造厂家负责浓缩机整机安装调试合格后，在无水条件下进行机械运转试验，时间不少于24小时，以证明其操作和运转的稳定性。</w:t>
      </w:r>
    </w:p>
    <w:p>
      <w:pPr>
        <w:numPr>
          <w:ilvl w:val="0"/>
          <w:numId w:val="115"/>
        </w:numPr>
        <w:tabs>
          <w:tab w:val="left" w:pos="630"/>
        </w:tabs>
        <w:adjustRightInd w:val="0"/>
        <w:snapToGrid w:val="0"/>
        <w:spacing w:before="203" w:beforeLines="50" w:after="203" w:afterLines="50"/>
        <w:ind w:right="26"/>
        <w:rPr>
          <w:rFonts w:ascii="宋体" w:hAnsi="宋体" w:cs="楷体"/>
        </w:rPr>
      </w:pPr>
      <w:r>
        <w:rPr>
          <w:rFonts w:hint="eastAsia" w:ascii="宋体" w:hAnsi="宋体" w:cs="楷体"/>
        </w:rPr>
        <w:t>承包商负责浓缩机进行带负荷运转，验证其运行速度、功率、浓缩和刮泥及撇渣效果是否达到规定的要求，试验时间不少于72小时。</w:t>
      </w:r>
    </w:p>
    <w:p>
      <w:pPr>
        <w:keepNext/>
        <w:adjustRightInd w:val="0"/>
        <w:snapToGrid w:val="0"/>
        <w:spacing w:before="203" w:beforeLines="50" w:after="203" w:afterLines="50"/>
        <w:outlineLvl w:val="1"/>
        <w:rPr>
          <w:rFonts w:ascii="宋体" w:hAnsi="宋体" w:cs="楷体"/>
          <w:b/>
        </w:rPr>
      </w:pPr>
      <w:bookmarkStart w:id="6646" w:name="_Toc106883720"/>
      <w:r>
        <w:rPr>
          <w:rFonts w:hint="eastAsia" w:ascii="宋体" w:hAnsi="宋体" w:cs="楷体"/>
          <w:b/>
        </w:rPr>
        <w:t>8.20加药系统类</w:t>
      </w:r>
      <w:bookmarkEnd w:id="6632"/>
      <w:bookmarkEnd w:id="6633"/>
      <w:bookmarkEnd w:id="6634"/>
      <w:bookmarkEnd w:id="6646"/>
    </w:p>
    <w:p>
      <w:pPr>
        <w:keepNext/>
        <w:adjustRightInd w:val="0"/>
        <w:snapToGrid w:val="0"/>
        <w:spacing w:before="203" w:beforeLines="50" w:after="203" w:afterLines="50"/>
        <w:outlineLvl w:val="2"/>
        <w:rPr>
          <w:rFonts w:ascii="宋体" w:hAnsi="宋体" w:cs="楷体"/>
          <w:b/>
        </w:rPr>
      </w:pPr>
      <w:bookmarkStart w:id="6647" w:name="_Toc106883721"/>
      <w:r>
        <w:rPr>
          <w:rFonts w:hint="eastAsia" w:ascii="宋体" w:hAnsi="宋体" w:cs="楷体"/>
          <w:b/>
        </w:rPr>
        <w:t>8.20.1概述</w:t>
      </w:r>
      <w:bookmarkEnd w:id="6647"/>
    </w:p>
    <w:p>
      <w:pPr>
        <w:adjustRightInd w:val="0"/>
        <w:snapToGrid w:val="0"/>
        <w:spacing w:before="203" w:beforeLines="50" w:after="203" w:afterLines="50"/>
        <w:ind w:firstLine="500" w:firstLineChars="200"/>
        <w:rPr>
          <w:rFonts w:ascii="宋体" w:hAnsi="宋体" w:cs="楷体"/>
        </w:rPr>
      </w:pPr>
      <w:r>
        <w:rPr>
          <w:rStyle w:val="1126"/>
          <w:rFonts w:hint="eastAsia" w:ascii="宋体" w:hAnsi="宋体"/>
          <w:color w:val="auto"/>
          <w:sz w:val="24"/>
          <w:szCs w:val="24"/>
        </w:rPr>
        <w:t>本工程设综合加药间，设置次氯酸钠、活性炭、石灰、聚硅锰氯化铝钾、PAC五种投加系统。</w:t>
      </w:r>
    </w:p>
    <w:p>
      <w:pPr>
        <w:keepNext/>
        <w:adjustRightInd w:val="0"/>
        <w:snapToGrid w:val="0"/>
        <w:spacing w:before="203" w:beforeLines="50" w:after="203" w:afterLines="50"/>
        <w:outlineLvl w:val="0"/>
        <w:rPr>
          <w:rFonts w:ascii="宋体" w:hAnsi="宋体" w:cs="楷体"/>
          <w:b/>
        </w:rPr>
      </w:pPr>
      <w:bookmarkStart w:id="6648" w:name="_Toc106883722"/>
      <w:r>
        <w:rPr>
          <w:rFonts w:hint="eastAsia" w:ascii="宋体" w:hAnsi="宋体" w:cs="楷体"/>
          <w:b/>
        </w:rPr>
        <w:t>8.20.2设备清单</w:t>
      </w:r>
      <w:bookmarkEnd w:id="6648"/>
    </w:p>
    <w:tbl>
      <w:tblPr>
        <w:tblStyle w:val="77"/>
        <w:tblW w:w="5254" w:type="pct"/>
        <w:tblInd w:w="0" w:type="dxa"/>
        <w:tblLayout w:type="autofit"/>
        <w:tblCellMar>
          <w:top w:w="0" w:type="dxa"/>
          <w:left w:w="108" w:type="dxa"/>
          <w:bottom w:w="0" w:type="dxa"/>
          <w:right w:w="108" w:type="dxa"/>
        </w:tblCellMar>
      </w:tblPr>
      <w:tblGrid>
        <w:gridCol w:w="825"/>
        <w:gridCol w:w="1490"/>
        <w:gridCol w:w="3009"/>
        <w:gridCol w:w="867"/>
        <w:gridCol w:w="467"/>
        <w:gridCol w:w="607"/>
        <w:gridCol w:w="1898"/>
      </w:tblGrid>
      <w:tr>
        <w:tblPrEx>
          <w:tblCellMar>
            <w:top w:w="0" w:type="dxa"/>
            <w:left w:w="108" w:type="dxa"/>
            <w:bottom w:w="0" w:type="dxa"/>
            <w:right w:w="108" w:type="dxa"/>
          </w:tblCellMar>
        </w:tblPrEx>
        <w:trPr>
          <w:trHeight w:val="27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sz w:val="22"/>
                <w:szCs w:val="22"/>
              </w:rPr>
            </w:pPr>
            <w:r>
              <w:rPr>
                <w:rFonts w:hint="eastAsia" w:ascii="宋体" w:hAnsi="宋体" w:cs="楷体"/>
                <w:kern w:val="0"/>
                <w:sz w:val="22"/>
                <w:szCs w:val="22"/>
              </w:rPr>
              <w:t>序号</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sz w:val="22"/>
                <w:szCs w:val="22"/>
              </w:rPr>
            </w:pPr>
            <w:r>
              <w:rPr>
                <w:rFonts w:hint="eastAsia" w:ascii="宋体" w:hAnsi="宋体" w:cs="楷体"/>
                <w:kern w:val="0"/>
                <w:sz w:val="22"/>
                <w:szCs w:val="22"/>
              </w:rPr>
              <w:t>名称</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sz w:val="22"/>
                <w:szCs w:val="22"/>
              </w:rPr>
            </w:pPr>
            <w:r>
              <w:rPr>
                <w:rFonts w:hint="eastAsia" w:ascii="宋体" w:hAnsi="宋体" w:cs="楷体"/>
                <w:kern w:val="0"/>
                <w:sz w:val="22"/>
                <w:szCs w:val="22"/>
              </w:rPr>
              <w:t>规格型号</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kern w:val="0"/>
                <w:sz w:val="22"/>
                <w:szCs w:val="22"/>
              </w:rPr>
            </w:pPr>
            <w:r>
              <w:rPr>
                <w:rFonts w:hint="eastAsia" w:ascii="宋体" w:hAnsi="宋体" w:cs="楷体"/>
                <w:kern w:val="0"/>
                <w:sz w:val="22"/>
                <w:szCs w:val="22"/>
              </w:rPr>
              <w:t>材质</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sz w:val="22"/>
                <w:szCs w:val="22"/>
              </w:rPr>
            </w:pPr>
            <w:r>
              <w:rPr>
                <w:rFonts w:hint="eastAsia" w:ascii="宋体" w:hAnsi="宋体" w:cs="楷体"/>
                <w:kern w:val="0"/>
                <w:sz w:val="22"/>
                <w:szCs w:val="22"/>
              </w:rPr>
              <w:t>单位</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sz w:val="22"/>
                <w:szCs w:val="22"/>
              </w:rPr>
            </w:pPr>
            <w:r>
              <w:rPr>
                <w:rFonts w:hint="eastAsia" w:ascii="宋体" w:hAnsi="宋体" w:cs="楷体"/>
                <w:kern w:val="0"/>
                <w:sz w:val="22"/>
                <w:szCs w:val="22"/>
              </w:rPr>
              <w:t>数量</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sz w:val="22"/>
                <w:szCs w:val="22"/>
              </w:rPr>
            </w:pPr>
            <w:r>
              <w:rPr>
                <w:rFonts w:hint="eastAsia" w:ascii="宋体" w:hAnsi="宋体" w:cs="楷体"/>
                <w:kern w:val="0"/>
                <w:sz w:val="22"/>
                <w:szCs w:val="22"/>
              </w:rPr>
              <w:t>备注</w:t>
            </w:r>
          </w:p>
        </w:tc>
      </w:tr>
      <w:tr>
        <w:tblPrEx>
          <w:tblCellMar>
            <w:top w:w="0" w:type="dxa"/>
            <w:left w:w="108" w:type="dxa"/>
            <w:bottom w:w="0" w:type="dxa"/>
            <w:right w:w="108" w:type="dxa"/>
          </w:tblCellMar>
        </w:tblPrEx>
        <w:trPr>
          <w:trHeight w:val="540" w:hRule="atLeast"/>
        </w:trPr>
        <w:tc>
          <w:tcPr>
            <w:tcW w:w="5000" w:type="pct"/>
            <w:gridSpan w:val="7"/>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宋体" w:hAnsi="宋体" w:cs="楷体"/>
                <w:b/>
                <w:bCs/>
                <w:sz w:val="22"/>
                <w:szCs w:val="22"/>
              </w:rPr>
            </w:pPr>
            <w:r>
              <w:rPr>
                <w:rFonts w:ascii="宋体" w:hAnsi="宋体" w:cs="楷体"/>
                <w:b/>
                <w:bCs/>
                <w:kern w:val="0"/>
                <w:sz w:val="22"/>
                <w:szCs w:val="22"/>
              </w:rPr>
              <w:t>1</w:t>
            </w:r>
            <w:r>
              <w:rPr>
                <w:rFonts w:hint="eastAsia" w:ascii="宋体" w:hAnsi="宋体" w:cs="楷体"/>
                <w:b/>
                <w:bCs/>
                <w:kern w:val="0"/>
                <w:sz w:val="22"/>
                <w:szCs w:val="22"/>
              </w:rPr>
              <w:t>．PAC投加系统</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1.1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一体机卸料装置</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kern w:val="0"/>
              </w:rPr>
            </w:pPr>
            <w:r>
              <w:rPr>
                <w:rFonts w:hint="eastAsia" w:ascii="宋体" w:hAnsi="宋体"/>
              </w:rPr>
              <w:t>Qmax：25m</w:t>
            </w:r>
            <w:r>
              <w:rPr>
                <w:rFonts w:ascii="宋体" w:hAnsi="宋体"/>
                <w:vertAlign w:val="superscript"/>
              </w:rPr>
              <w:t>3</w:t>
            </w:r>
            <w:r>
              <w:rPr>
                <w:rFonts w:hint="eastAsia" w:ascii="宋体" w:hAnsi="宋体"/>
              </w:rPr>
              <w:t>/h，Hmax：23m，1.5KW</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宋体" w:hAnsi="宋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两台磁力泵，一用一备</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Y型过滤器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DN50，35目</w:t>
            </w:r>
          </w:p>
        </w:tc>
        <w:tc>
          <w:tcPr>
            <w:tcW w:w="472"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Y型过滤器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DN50，35目</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1.4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DN65，PN10，双由令接口</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8</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1.5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单向阀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DN50，PN10，双由令接口</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3</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进药电磁流量计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lang w:eastAsia="zh-CN"/>
              </w:rPr>
            </w:pPr>
            <w:r>
              <w:rPr>
                <w:rFonts w:hint="eastAsia" w:ascii="宋体" w:hAnsi="宋体"/>
              </w:rPr>
              <w:t>DN50，钛电极，衬里材料：PTFE；</w:t>
            </w:r>
          </w:p>
          <w:p>
            <w:pPr>
              <w:widowControl/>
              <w:jc w:val="left"/>
              <w:textAlignment w:val="center"/>
              <w:rPr>
                <w:rFonts w:ascii="宋体" w:hAnsi="宋体" w:cs="楷体"/>
              </w:rPr>
            </w:pPr>
            <w:r>
              <w:rPr>
                <w:rFonts w:hint="eastAsia" w:ascii="宋体" w:hAnsi="宋体"/>
              </w:rPr>
              <w:t>传感器防护等级：IP68；分体型</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宋体" w:hAnsi="宋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储罐系统</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lang w:eastAsia="zh-CN"/>
              </w:rPr>
            </w:pPr>
            <w:r>
              <w:rPr>
                <w:rFonts w:hint="eastAsia" w:ascii="宋体" w:hAnsi="宋体"/>
              </w:rPr>
              <w:t>V=20m</w:t>
            </w:r>
            <w:r>
              <w:rPr>
                <w:rFonts w:ascii="宋体" w:hAnsi="宋体"/>
                <w:vertAlign w:val="superscript"/>
              </w:rPr>
              <w:t>3</w:t>
            </w:r>
            <w:r>
              <w:rPr>
                <w:rFonts w:hint="eastAsia" w:ascii="宋体" w:hAnsi="宋体"/>
              </w:rPr>
              <w:t>，总高H=3750mm；</w:t>
            </w:r>
          </w:p>
          <w:p>
            <w:pPr>
              <w:widowControl/>
              <w:jc w:val="left"/>
              <w:textAlignment w:val="center"/>
              <w:rPr>
                <w:rFonts w:ascii="宋体" w:hAnsi="宋体" w:cs="楷体"/>
              </w:rPr>
            </w:pPr>
            <w:r>
              <w:rPr>
                <w:rFonts w:hint="eastAsia" w:ascii="宋体" w:hAnsi="宋体"/>
              </w:rPr>
              <w:t>直径D=2800mm</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hint="eastAsia" w:ascii="宋体" w:hAnsi="宋体" w:eastAsia="宋体"/>
                <w:lang w:eastAsia="zh-CN"/>
              </w:rPr>
            </w:pPr>
            <w:r>
              <w:rPr>
                <w:rFonts w:hint="eastAsia" w:ascii="宋体" w:hAnsi="宋体"/>
              </w:rPr>
              <w:t>PE，</w:t>
            </w:r>
          </w:p>
          <w:p>
            <w:pPr>
              <w:widowControl/>
              <w:jc w:val="center"/>
              <w:textAlignment w:val="center"/>
              <w:rPr>
                <w:rFonts w:ascii="宋体" w:hAnsi="宋体"/>
              </w:rPr>
            </w:pPr>
            <w:r>
              <w:rPr>
                <w:rFonts w:hint="eastAsia" w:ascii="宋体" w:hAnsi="宋体"/>
              </w:rPr>
              <w:t>加厚30%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4</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cs="楷体"/>
              </w:rPr>
              <w:t>包括液位管、刻度板、溢流管等配套系统</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1.8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手动蝶阀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DN20，PN10，对夹</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4</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cs="楷体"/>
              </w:rPr>
              <w:t>包括配套法兰等</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1.9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电动球阀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DN65，PN10，双由令接口，配套执行器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5</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ascii="宋体" w:hAnsi="宋体"/>
              </w:rPr>
              <w:t>1.</w:t>
            </w:r>
            <w:r>
              <w:rPr>
                <w:rFonts w:hint="eastAsia" w:ascii="宋体" w:hAnsi="宋体"/>
              </w:rPr>
              <w:t>10</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超声波液位计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量程：0-5 m，</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rPr>
              <w:t>成品，含电动球阀、蝶阀及配套设备</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1.11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隔膜计量泵</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Q=150L/h；压力0.4Mpa，N=1kW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3</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hint="eastAsia" w:ascii="宋体" w:hAnsi="宋体" w:eastAsia="宋体"/>
                <w:lang w:eastAsia="zh-CN"/>
              </w:rPr>
            </w:pPr>
            <w:r>
              <w:rPr>
                <w:rFonts w:hint="eastAsia" w:ascii="宋体" w:hAnsi="宋体"/>
              </w:rPr>
              <w:t>2用1备，包括安全阀、背压阀、阻尼器、Y型过滤器、压力表、浮子流量计、撬装支架、接线箱</w:t>
            </w:r>
          </w:p>
          <w:p>
            <w:pPr>
              <w:widowControl/>
              <w:rPr>
                <w:rFonts w:ascii="宋体" w:hAnsi="宋体"/>
              </w:rPr>
            </w:pPr>
            <w:r>
              <w:rPr>
                <w:rFonts w:hint="eastAsia" w:ascii="宋体" w:hAnsi="宋体"/>
              </w:rPr>
              <w:t>以及足量手动阀门、管件等配套设备</w:t>
            </w:r>
          </w:p>
        </w:tc>
      </w:tr>
      <w:tr>
        <w:tblPrEx>
          <w:tblCellMar>
            <w:top w:w="0" w:type="dxa"/>
            <w:left w:w="108" w:type="dxa"/>
            <w:bottom w:w="0" w:type="dxa"/>
            <w:right w:w="108" w:type="dxa"/>
          </w:tblCellMar>
        </w:tblPrEx>
        <w:trPr>
          <w:trHeight w:val="60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1.12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出药口电磁流量计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DN25,钛电极,传感器防护等级：IP68；分体型</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PTFE</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1.13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加药管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DN65；材质：UPVC；压力：PN1.6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1.14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给水管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1.15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投加管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DN25；材质：UPVC；压力：PN1.6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1.16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排水管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27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1.17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加药扩散器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DN25，带压开孔</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1.18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现场控制箱</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800*600*2000 mm，碳钢喷塑</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1.19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PLC控制箱</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800*600*2000 mm，碳钢喷塑，含PLC，10寸触摸屏</w:t>
            </w:r>
          </w:p>
        </w:tc>
        <w:tc>
          <w:tcPr>
            <w:tcW w:w="472"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楷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54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楷体"/>
                <w:b/>
                <w:bCs/>
              </w:rPr>
            </w:pPr>
            <w:r>
              <w:rPr>
                <w:rFonts w:hint="eastAsia" w:ascii="宋体" w:hAnsi="宋体" w:cs="楷体"/>
                <w:b/>
                <w:bCs/>
              </w:rPr>
              <w:t>2</w:t>
            </w:r>
            <w:r>
              <w:rPr>
                <w:rFonts w:ascii="宋体" w:hAnsi="宋体" w:cs="楷体"/>
                <w:b/>
                <w:bCs/>
              </w:rPr>
              <w:t>.</w:t>
            </w:r>
            <w:r>
              <w:rPr>
                <w:rFonts w:hint="eastAsia" w:ascii="宋体" w:hAnsi="宋体" w:cs="楷体"/>
                <w:b/>
                <w:bCs/>
              </w:rPr>
              <w:t>聚硅锰氯化铝钾投加系统</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Y型过滤器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DN50，35目</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kern w:val="0"/>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cs="楷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cs="楷体"/>
              </w:rPr>
              <w:t>进水</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DN65，PN10，双由令接口</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6</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单向阀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DN50，PN10，双由令接口</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cs="楷体"/>
              </w:rPr>
              <w:t>进水</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储罐系统</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V=5m</w:t>
            </w:r>
            <w:r>
              <w:rPr>
                <w:rFonts w:ascii="宋体" w:hAnsi="宋体"/>
                <w:vertAlign w:val="superscript"/>
              </w:rPr>
              <w:t>3</w:t>
            </w:r>
            <w:r>
              <w:rPr>
                <w:rFonts w:hint="eastAsia" w:ascii="宋体" w:hAnsi="宋体"/>
              </w:rPr>
              <w:t xml:space="preserve"> ；总高H=2300mm；直径D=1800mm</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宋体" w:hAnsi="宋体" w:cs="楷体"/>
              </w:rPr>
            </w:pPr>
            <w:r>
              <w:rPr>
                <w:rFonts w:ascii="宋体" w:hAnsi="宋体" w:cs="楷体"/>
              </w:rPr>
              <w:t>PE</w:t>
            </w:r>
          </w:p>
          <w:p>
            <w:pPr>
              <w:widowControl/>
              <w:jc w:val="center"/>
              <w:textAlignment w:val="center"/>
              <w:rPr>
                <w:rFonts w:ascii="宋体" w:hAnsi="宋体" w:cs="楷体"/>
              </w:rPr>
            </w:pPr>
            <w:r>
              <w:rPr>
                <w:rFonts w:hint="eastAsia" w:ascii="宋体" w:hAnsi="宋体" w:cs="楷体"/>
              </w:rPr>
              <w:t>加厚30%</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cs="楷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cs="楷体"/>
              </w:rPr>
              <w:t>包括液位管、刻度板、溢流管等配套系统</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手动蝶阀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DN65，PN10，对夹</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cs="楷体"/>
              </w:rPr>
              <w:t>包括配套法兰等</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电动球阀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DN65，PN10，双由令接口，配套执行器</w:t>
            </w:r>
          </w:p>
        </w:tc>
        <w:tc>
          <w:tcPr>
            <w:tcW w:w="472" w:type="pct"/>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超声波液位计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量程：0-5 m，</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离心泵</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3立式离心泵，Q=25m /h，H=32m，4kW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rPr>
            </w:pPr>
          </w:p>
        </w:tc>
      </w:tr>
      <w:tr>
        <w:tblPrEx>
          <w:tblCellMar>
            <w:top w:w="0" w:type="dxa"/>
            <w:left w:w="108" w:type="dxa"/>
            <w:bottom w:w="0" w:type="dxa"/>
            <w:right w:w="108" w:type="dxa"/>
          </w:tblCellMar>
        </w:tblPrEx>
        <w:trPr>
          <w:trHeight w:val="27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水射器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DN65，PN10，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p>
        </w:tc>
      </w:tr>
      <w:tr>
        <w:tblPrEx>
          <w:tblCellMar>
            <w:top w:w="0" w:type="dxa"/>
            <w:left w:w="108" w:type="dxa"/>
            <w:bottom w:w="0" w:type="dxa"/>
            <w:right w:w="108" w:type="dxa"/>
          </w:tblCellMar>
        </w:tblPrEx>
        <w:trPr>
          <w:trHeight w:val="27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2.</w:t>
            </w:r>
            <w:r>
              <w:rPr>
                <w:rFonts w:hint="eastAsia" w:ascii="宋体" w:hAnsi="宋体"/>
              </w:rPr>
              <w:t>10</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DN50，PN10，双由令接口</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rPr>
              <w:t>包括配套法兰等</w:t>
            </w:r>
          </w:p>
        </w:tc>
      </w:tr>
      <w:tr>
        <w:tblPrEx>
          <w:tblCellMar>
            <w:top w:w="0" w:type="dxa"/>
            <w:left w:w="108" w:type="dxa"/>
            <w:bottom w:w="0" w:type="dxa"/>
            <w:right w:w="108" w:type="dxa"/>
          </w:tblCellMar>
        </w:tblPrEx>
        <w:trPr>
          <w:trHeight w:val="27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2.11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隔膜计量泵</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lang w:eastAsia="zh-CN"/>
              </w:rPr>
            </w:pPr>
          </w:p>
          <w:p>
            <w:pPr>
              <w:widowControl/>
              <w:jc w:val="left"/>
              <w:textAlignment w:val="center"/>
              <w:rPr>
                <w:rFonts w:ascii="宋体" w:hAnsi="宋体"/>
              </w:rPr>
            </w:pPr>
            <w:r>
              <w:rPr>
                <w:rFonts w:hint="eastAsia" w:ascii="宋体" w:hAnsi="宋体"/>
              </w:rPr>
              <w:t>流量Q=70L/h；压力0.7Mpa，1kW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楷体"/>
              </w:rPr>
            </w:pPr>
            <w:r>
              <w:rPr>
                <w:rFonts w:hint="eastAsia" w:ascii="宋体" w:hAnsi="宋体"/>
              </w:rPr>
              <w:t>1用1备，包括安全阀、背压阀、阻尼器、Y型过滤器、压力表、浮子流量计、撬装支架、接线箱以及足量手动阀门、管件等配套设备</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2.12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出药口电磁流量计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DN10,钛电极,传感器防护等级：IP68；分体型</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PTFE</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2.13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加药管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2.14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给水管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2.15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投加管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DN15；材质：UPVC；压力：PN1.6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2.16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现场控制箱</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800*600*2000 mm，碳钢喷塑</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2.17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PLC控制箱</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800*600*2000 mm，碳钢喷塑，含PLC，10寸触摸屏</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477"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2.18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加药扩散器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DN25，带压开孔</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422"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b/>
                <w:bCs/>
              </w:rPr>
            </w:pPr>
            <w:r>
              <w:rPr>
                <w:rFonts w:hint="eastAsia" w:ascii="宋体" w:hAnsi="宋体" w:cs="楷体"/>
                <w:b/>
                <w:bCs/>
              </w:rPr>
              <w:t>3</w:t>
            </w:r>
            <w:r>
              <w:rPr>
                <w:rFonts w:ascii="宋体" w:hAnsi="宋体" w:cs="楷体"/>
                <w:b/>
                <w:bCs/>
              </w:rPr>
              <w:t>.</w:t>
            </w:r>
            <w:r>
              <w:rPr>
                <w:rFonts w:hint="eastAsia" w:ascii="宋体" w:hAnsi="宋体" w:cs="楷体"/>
                <w:b/>
                <w:bCs/>
              </w:rPr>
              <w:t>次氯酸钠投加系统</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一体机卸料装置</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Qmax：25m</w:t>
            </w:r>
            <w:r>
              <w:rPr>
                <w:rFonts w:ascii="宋体" w:hAnsi="宋体"/>
                <w:vertAlign w:val="superscript"/>
              </w:rPr>
              <w:t>3</w:t>
            </w:r>
            <w:r>
              <w:rPr>
                <w:rFonts w:hint="eastAsia" w:ascii="宋体" w:hAnsi="宋体"/>
              </w:rPr>
              <w:t>/h，Hmax：23m，2KW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两台磁力泵，一用一备；包括手动球阀、单向阀、电动球阀、支架、控制箱等配套设备</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立式储罐</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lang w:eastAsia="zh-CN"/>
              </w:rPr>
            </w:pPr>
            <w:r>
              <w:rPr>
                <w:rFonts w:hint="eastAsia" w:ascii="宋体" w:hAnsi="宋体"/>
              </w:rPr>
              <w:t>容积：5m</w:t>
            </w:r>
            <w:r>
              <w:rPr>
                <w:rFonts w:ascii="宋体" w:hAnsi="宋体"/>
                <w:vertAlign w:val="superscript"/>
              </w:rPr>
              <w:t>3</w:t>
            </w:r>
            <w:r>
              <w:rPr>
                <w:rFonts w:hint="eastAsia" w:ascii="宋体" w:hAnsi="宋体"/>
              </w:rPr>
              <w:t>，总高：2300mm，</w:t>
            </w:r>
          </w:p>
          <w:p>
            <w:pPr>
              <w:widowControl/>
              <w:jc w:val="left"/>
              <w:textAlignment w:val="center"/>
              <w:rPr>
                <w:rFonts w:ascii="宋体" w:hAnsi="宋体" w:cs="楷体"/>
              </w:rPr>
            </w:pPr>
            <w:r>
              <w:rPr>
                <w:rFonts w:hint="eastAsia" w:ascii="宋体" w:hAnsi="宋体"/>
              </w:rPr>
              <w:t xml:space="preserve">直径：1800mm，盖直径：600 mm； </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PE</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4</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含控制器、换热器、压力变送器、温度变送器、精密过滤器、盐水泵、电导率仪等配套设备</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超声波液位计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一体式 4-20mA；量程：0-5 m，</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成品，含电动球阀、蝶阀及配套设备</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配套管路辅材</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xml:space="preserve">含液位管、液位板、溢流管、蝶阀取样阀及法兰、弯头、三通等安装辅材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出药口电磁流量计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DN15,钛电极,传感器防护等级：IP68；分体型</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PTFE</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3</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隔膜计量泵（前加氯、后加氯）</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Q=50L/h；压力0.7Mpa，N=1kW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4</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2用2备，包括安全阀、背压阀、阻尼器、Y型过滤器、压力表、浮子流量计、撬装支架、接线箱以及足量手动阀门、管件等配套设备</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隔膜计量泵（补氯）</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Q=50L/h；压力0.7Mpa，N=1kW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1用1备，包括安全阀、背压阀、阻尼器、Y型过滤器、压力表、浮子流量计、撬装支架、接线箱以及足量手动阀门、管件等配套设备</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UPVC管路</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DN50；接口；承插；压力：PN10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米</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150</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各加药装置排水管及放空管工程量暂定，具体以实际安装为准，下同.</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UPVC管路</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DN15；接口；承插；压力：PN10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米</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550</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3.</w:t>
            </w:r>
            <w:r>
              <w:rPr>
                <w:rFonts w:hint="eastAsia" w:ascii="宋体" w:hAnsi="宋体"/>
              </w:rPr>
              <w:t>10</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UPVC管路</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DN20；接口；承插；压力：PN10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米</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200</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单向阀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DN15；接口；承插；压力：PN10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单向阀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DN20；接口；承插；压力：PN10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3</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DN15；接口；双由令承插；压力：PN10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30</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r>
              <w:rPr>
                <w:rFonts w:hint="eastAsia" w:ascii="宋体" w:hAnsi="宋体"/>
              </w:rPr>
              <w:t>DN20；接口；双由令承插；压力：PN10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6</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rPr>
            </w:pP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加药扩散器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含带压开孔组件、手动阀门、不锈钢套管等</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加药扩散器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DN40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3</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含带压开孔组件、手动阀门、不锈钢套管等</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numPr>
                <w:ilvl w:val="0"/>
                <w:numId w:val="0"/>
              </w:numPr>
              <w:jc w:val="center"/>
              <w:rPr>
                <w:rFonts w:ascii="宋体" w:hAnsi="宋体" w:eastAsia="宋体"/>
                <w:sz w:val="24"/>
                <w:szCs w:val="24"/>
              </w:rPr>
            </w:pPr>
            <w:bookmarkStart w:id="6649" w:name="_Toc100329710"/>
            <w:bookmarkStart w:id="6650" w:name="_Toc106050487"/>
            <w:bookmarkStart w:id="6651" w:name="_Toc106883723"/>
            <w:r>
              <w:rPr>
                <w:rFonts w:hint="eastAsia" w:ascii="宋体" w:hAnsi="宋体" w:eastAsia="宋体"/>
                <w:sz w:val="24"/>
                <w:szCs w:val="24"/>
              </w:rPr>
              <w:t>3.17</w:t>
            </w:r>
            <w:bookmarkEnd w:id="6649"/>
            <w:bookmarkEnd w:id="6650"/>
            <w:bookmarkEnd w:id="6651"/>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安装附件</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设备连接管、管件、阀门等</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次氯酸钠浓度计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浓度范围：2-15%</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3.19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轴流风机</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直径D=500，Q=4000m</w:t>
            </w:r>
            <w:r>
              <w:rPr>
                <w:rFonts w:hint="eastAsia" w:ascii="宋体" w:hAnsi="宋体"/>
                <w:vertAlign w:val="superscript"/>
              </w:rPr>
              <w:t>3</w:t>
            </w:r>
            <w:r>
              <w:rPr>
                <w:rFonts w:hint="eastAsia" w:ascii="宋体" w:hAnsi="宋体"/>
              </w:rPr>
              <w:t>/h，N=1.1KW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cs="楷体"/>
              </w:rPr>
              <w:t>9</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lang w:eastAsia="zh-CN"/>
              </w:rPr>
            </w:pPr>
            <w:r>
              <w:rPr>
                <w:rFonts w:hint="eastAsia" w:ascii="宋体" w:hAnsi="宋体"/>
              </w:rPr>
              <w:t>防腐、防爆型</w:t>
            </w:r>
          </w:p>
          <w:p>
            <w:pPr>
              <w:widowControl/>
              <w:jc w:val="left"/>
              <w:textAlignment w:val="center"/>
              <w:rPr>
                <w:rFonts w:ascii="宋体" w:hAnsi="宋体" w:cs="楷体"/>
              </w:rPr>
            </w:pPr>
            <w:r>
              <w:rPr>
                <w:rFonts w:hint="eastAsia" w:ascii="宋体" w:hAnsi="宋体"/>
              </w:rPr>
              <w:t xml:space="preserve">PAC、高锰酸钾、石灰、活性炭加药间， 配套百叶窗、控制箱 </w:t>
            </w:r>
          </w:p>
        </w:tc>
      </w:tr>
      <w:tr>
        <w:tblPrEx>
          <w:tblCellMar>
            <w:top w:w="0" w:type="dxa"/>
            <w:left w:w="108" w:type="dxa"/>
            <w:bottom w:w="0" w:type="dxa"/>
            <w:right w:w="108" w:type="dxa"/>
          </w:tblCellMar>
        </w:tblPrEx>
        <w:trPr>
          <w:trHeight w:val="397"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b/>
                <w:bCs/>
              </w:rPr>
            </w:pPr>
            <w:r>
              <w:rPr>
                <w:rFonts w:hint="eastAsia" w:ascii="宋体" w:hAnsi="宋体" w:cs="楷体"/>
                <w:b/>
                <w:bCs/>
              </w:rPr>
              <w:t>4</w:t>
            </w:r>
            <w:r>
              <w:rPr>
                <w:rFonts w:ascii="宋体" w:hAnsi="宋体" w:cs="楷体"/>
                <w:b/>
                <w:bCs/>
              </w:rPr>
              <w:t>.</w:t>
            </w:r>
            <w:r>
              <w:rPr>
                <w:rFonts w:hint="eastAsia" w:ascii="宋体" w:hAnsi="宋体" w:cs="楷体"/>
                <w:b/>
                <w:bCs/>
              </w:rPr>
              <w:t>活性炭投加系统</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料仓及支架</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体积8m</w:t>
            </w:r>
            <w:r>
              <w:rPr>
                <w:rFonts w:ascii="宋体" w:hAnsi="宋体"/>
                <w:vertAlign w:val="superscript"/>
              </w:rPr>
              <w:t>3</w:t>
            </w:r>
            <w:r>
              <w:rPr>
                <w:rFonts w:hint="eastAsia" w:ascii="宋体" w:hAnsi="宋体"/>
              </w:rPr>
              <w:t xml:space="preserve"> ,直径2.6米，厚度8mm，Q235B</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含进料管、支架、爬梯、护栏等</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粉料过滤器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DN100；碳钢，PN16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活化料斗</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连接尺寸：Φ1250 mm</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含4个气碗，1个DN15电磁阀和1个震动器</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阻旋料位计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叶片材质：SUS304</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不锈钢</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3</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numPr>
                <w:ilvl w:val="0"/>
                <w:numId w:val="0"/>
              </w:numPr>
              <w:jc w:val="center"/>
              <w:rPr>
                <w:rFonts w:ascii="宋体" w:hAnsi="宋体" w:eastAsia="宋体"/>
                <w:sz w:val="24"/>
                <w:szCs w:val="24"/>
              </w:rPr>
            </w:pPr>
            <w:bookmarkStart w:id="6652" w:name="_Toc100329711"/>
            <w:bookmarkStart w:id="6653" w:name="_Toc106050488"/>
            <w:bookmarkStart w:id="6654" w:name="_Toc106883724"/>
            <w:r>
              <w:rPr>
                <w:rFonts w:hint="eastAsia" w:ascii="宋体" w:hAnsi="宋体" w:eastAsia="宋体"/>
                <w:sz w:val="24"/>
                <w:szCs w:val="24"/>
              </w:rPr>
              <w:t>4.5</w:t>
            </w:r>
            <w:bookmarkEnd w:id="6652"/>
            <w:bookmarkEnd w:id="6653"/>
            <w:bookmarkEnd w:id="6654"/>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过压安全阀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最大空气通量100m3/min</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最大预置负压值-0.0005 MPa（-0.005bar），最大压力+0.005 MPa（+0.05 bar）</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仓顶除尘器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过滤面积：24m2</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不锈钢</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手动插板阀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碳钢</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4.8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称重系统</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称重量：4*15 t；灵敏度：2.0+0.002 mV/V</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空压机系统</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xml:space="preserve">流量0.56m3/min，压力0.85MPa，功率4kW </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与石灰系统共用</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4.</w:t>
            </w:r>
            <w:r>
              <w:rPr>
                <w:rFonts w:hint="eastAsia" w:ascii="宋体" w:hAnsi="宋体"/>
              </w:rPr>
              <w:t>10</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精确给料机</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输送最大量1000 L/h</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螺旋输送机</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输送量：230kg/h，N=2.2KW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numPr>
                <w:ilvl w:val="0"/>
                <w:numId w:val="0"/>
              </w:numPr>
              <w:jc w:val="center"/>
              <w:rPr>
                <w:rFonts w:ascii="宋体" w:hAnsi="宋体" w:eastAsia="宋体"/>
                <w:sz w:val="24"/>
                <w:szCs w:val="24"/>
              </w:rPr>
            </w:pPr>
            <w:bookmarkStart w:id="6655" w:name="_Toc100329712"/>
            <w:bookmarkStart w:id="6656" w:name="_Toc106050489"/>
            <w:bookmarkStart w:id="6657" w:name="_Toc106883725"/>
            <w:r>
              <w:rPr>
                <w:rFonts w:hint="eastAsia" w:ascii="宋体" w:hAnsi="宋体" w:eastAsia="宋体"/>
                <w:sz w:val="24"/>
                <w:szCs w:val="24"/>
              </w:rPr>
              <w:t>4.12</w:t>
            </w:r>
            <w:bookmarkEnd w:id="6655"/>
            <w:bookmarkEnd w:id="6656"/>
            <w:bookmarkEnd w:id="6657"/>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制备系统</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有效容积3.0m</w:t>
            </w:r>
            <w:r>
              <w:rPr>
                <w:rFonts w:hint="eastAsia" w:ascii="宋体" w:hAnsi="宋体"/>
                <w:vertAlign w:val="superscript"/>
              </w:rPr>
              <w:t>3</w:t>
            </w:r>
            <w:r>
              <w:rPr>
                <w:rFonts w:hint="eastAsia" w:ascii="宋体" w:hAnsi="宋体"/>
              </w:rPr>
              <w:t>,1.5m*1.5m*1.5m，不锈钢</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配套搅拌机、进水管道、电动阀门、手动阀门、压力变送器等</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离心泵</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立式离心泵，Q=10m</w:t>
            </w:r>
            <w:r>
              <w:rPr>
                <w:rFonts w:hint="eastAsia" w:ascii="宋体" w:hAnsi="宋体"/>
                <w:vertAlign w:val="superscript"/>
              </w:rPr>
              <w:t>3</w:t>
            </w:r>
            <w:r>
              <w:rPr>
                <w:rFonts w:hint="eastAsia" w:ascii="宋体" w:hAnsi="宋体"/>
              </w:rPr>
              <w:t>/h，H=10m，4kW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DN65，PN10，双由令接口</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单向阀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DN65，PN10，双由令接口</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螺杆泵</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流量：350L/h；输出压力：0.6 MPa</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一用一备，配套干运转保护器、电接点压力表</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进泵电动球阀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冲洗电动球阀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DN32，PN10，双由令接口，配套执行器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4.19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DN15，PN10，双由令接口，配套执行器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4</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4.</w:t>
            </w:r>
            <w:r>
              <w:rPr>
                <w:rFonts w:hint="eastAsia" w:ascii="宋体" w:hAnsi="宋体"/>
              </w:rPr>
              <w:t>20</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出药口电磁流量计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DN25，不锈钢电极，衬里材料：聚氨酯；</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4.21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DN25，PN10，双由令接口，配套执行器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numPr>
                <w:ilvl w:val="0"/>
                <w:numId w:val="0"/>
              </w:numPr>
              <w:jc w:val="center"/>
              <w:rPr>
                <w:rFonts w:ascii="宋体" w:hAnsi="宋体" w:eastAsia="宋体"/>
                <w:sz w:val="24"/>
                <w:szCs w:val="24"/>
              </w:rPr>
            </w:pPr>
            <w:bookmarkStart w:id="6658" w:name="_Toc100329713"/>
            <w:bookmarkStart w:id="6659" w:name="_Toc106050490"/>
            <w:bookmarkStart w:id="6660" w:name="_Toc106883726"/>
            <w:r>
              <w:rPr>
                <w:rFonts w:hint="eastAsia" w:ascii="宋体" w:hAnsi="宋体" w:eastAsia="宋体"/>
                <w:sz w:val="24"/>
                <w:szCs w:val="24"/>
              </w:rPr>
              <w:t>4.22</w:t>
            </w:r>
            <w:bookmarkEnd w:id="6658"/>
            <w:bookmarkEnd w:id="6659"/>
            <w:bookmarkEnd w:id="6660"/>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DN32，PN10，双由令接口，配套执行器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5</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4.23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4.24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进药管路</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numPr>
                <w:ilvl w:val="0"/>
                <w:numId w:val="0"/>
              </w:numPr>
              <w:jc w:val="center"/>
              <w:rPr>
                <w:rFonts w:ascii="宋体" w:hAnsi="宋体" w:eastAsia="宋体"/>
                <w:sz w:val="24"/>
                <w:szCs w:val="24"/>
              </w:rPr>
            </w:pPr>
            <w:bookmarkStart w:id="6661" w:name="_Toc100329714"/>
            <w:bookmarkStart w:id="6662" w:name="_Toc106050491"/>
            <w:bookmarkStart w:id="6663" w:name="_Toc106883727"/>
            <w:r>
              <w:rPr>
                <w:rFonts w:hint="eastAsia" w:ascii="宋体" w:hAnsi="宋体" w:eastAsia="宋体"/>
                <w:sz w:val="24"/>
                <w:szCs w:val="24"/>
              </w:rPr>
              <w:t>4.25</w:t>
            </w:r>
            <w:bookmarkEnd w:id="6661"/>
            <w:bookmarkEnd w:id="6662"/>
            <w:bookmarkEnd w:id="6663"/>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给水管路</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4.26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投加管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DN25；材质：UPVC；压力：PN1.6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4.27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现场控制箱</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800*600*2000 mm，碳钢喷塑，含变频器5台</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4.28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PLC控制箱</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800*600*2000 mm，碳钢喷塑，含PLC，10寸触摸屏</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352"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b/>
                <w:bCs/>
              </w:rPr>
            </w:pPr>
            <w:r>
              <w:rPr>
                <w:rFonts w:hint="eastAsia" w:ascii="宋体" w:hAnsi="宋体" w:cs="楷体"/>
                <w:b/>
                <w:bCs/>
              </w:rPr>
              <w:t>5</w:t>
            </w:r>
            <w:r>
              <w:rPr>
                <w:rFonts w:ascii="宋体" w:hAnsi="宋体" w:cs="楷体"/>
                <w:b/>
                <w:bCs/>
              </w:rPr>
              <w:t>.</w:t>
            </w:r>
            <w:r>
              <w:rPr>
                <w:rFonts w:hint="eastAsia" w:ascii="宋体" w:hAnsi="宋体" w:cs="楷体"/>
                <w:b/>
                <w:bCs/>
              </w:rPr>
              <w:t>石灰投加系统</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料仓及支架</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体积8m</w:t>
            </w:r>
            <w:r>
              <w:rPr>
                <w:rFonts w:ascii="宋体" w:hAnsi="宋体"/>
                <w:vertAlign w:val="superscript"/>
              </w:rPr>
              <w:t>3</w:t>
            </w:r>
            <w:r>
              <w:rPr>
                <w:rFonts w:hint="eastAsia" w:ascii="宋体" w:hAnsi="宋体"/>
              </w:rPr>
              <w:t xml:space="preserve"> ,直径2.6米，厚度8mm，Q235B</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含进料管、支架、爬梯、护栏等</w:t>
            </w:r>
          </w:p>
        </w:tc>
      </w:tr>
      <w:tr>
        <w:tblPrEx>
          <w:tblCellMar>
            <w:top w:w="0" w:type="dxa"/>
            <w:left w:w="108" w:type="dxa"/>
            <w:bottom w:w="0" w:type="dxa"/>
            <w:right w:w="108" w:type="dxa"/>
          </w:tblCellMar>
        </w:tblPrEx>
        <w:trPr>
          <w:trHeight w:val="298"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粉料过滤器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DN100；碳钢，PN16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活化料斗</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连接尺寸：Φ1250 mm</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含4个气碗，1个DN15电磁阀和1个震动器，</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阻旋料位计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叶片材质：SUS304</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3</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过压安全阀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最大空气通量100m3/min</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最大预置负压值-0.0005 MPa（-0.005bar），最大压力+0.005 MPa（+0.05bar）</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仓顶除尘器</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过滤面积：24m</w:t>
            </w:r>
            <w:r>
              <w:rPr>
                <w:rFonts w:hint="eastAsia" w:ascii="宋体" w:hAnsi="宋体"/>
                <w:vertAlign w:val="superscript"/>
              </w:rPr>
              <w:t>2</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手动插板阀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称重系统</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称重量：4*15 t；灵敏度：2.0+0.002 mV/V</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空压机系统</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流量0.56m</w:t>
            </w:r>
            <w:r>
              <w:rPr>
                <w:rFonts w:hint="eastAsia" w:ascii="宋体" w:hAnsi="宋体"/>
                <w:vertAlign w:val="superscript"/>
              </w:rPr>
              <w:t>3</w:t>
            </w:r>
            <w:r>
              <w:rPr>
                <w:rFonts w:hint="eastAsia" w:ascii="宋体" w:hAnsi="宋体"/>
              </w:rPr>
              <w:t xml:space="preserve">/min，压力0.85MPa，功率4kW </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xml:space="preserve">配套储气罐，过滤器，减压阀、冷干机等空气压缩系统 </w:t>
            </w:r>
          </w:p>
        </w:tc>
      </w:tr>
      <w:tr>
        <w:tblPrEx>
          <w:tblCellMar>
            <w:top w:w="0" w:type="dxa"/>
            <w:left w:w="108" w:type="dxa"/>
            <w:bottom w:w="0" w:type="dxa"/>
            <w:right w:w="108" w:type="dxa"/>
          </w:tblCellMar>
        </w:tblPrEx>
        <w:trPr>
          <w:trHeight w:val="438"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5.</w:t>
            </w:r>
            <w:r>
              <w:rPr>
                <w:rFonts w:hint="eastAsia" w:ascii="宋体" w:hAnsi="宋体"/>
              </w:rPr>
              <w:t>10</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精确给料机</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输送最大量1000 L/h</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416"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螺旋输送机</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230kg/h,N=2.2KW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制备罐</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有效容积3m</w:t>
            </w:r>
            <w:r>
              <w:rPr>
                <w:rFonts w:hint="eastAsia" w:ascii="宋体" w:hAnsi="宋体"/>
                <w:vertAlign w:val="superscript"/>
              </w:rPr>
              <w:t>3</w:t>
            </w:r>
            <w:r>
              <w:rPr>
                <w:rFonts w:hint="eastAsia" w:ascii="宋体" w:hAnsi="宋体"/>
              </w:rPr>
              <w:t>，1.5m*1.5m*1.5m，不锈钢</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配套搅拌机、进水管道、电动阀门、手动阀门、压力变送器等</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离心泵</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立式，Q=10m</w:t>
            </w:r>
            <w:r>
              <w:rPr>
                <w:rFonts w:hint="eastAsia" w:ascii="宋体" w:hAnsi="宋体"/>
                <w:vertAlign w:val="superscript"/>
              </w:rPr>
              <w:t>3</w:t>
            </w:r>
            <w:r>
              <w:rPr>
                <w:rFonts w:hint="eastAsia" w:ascii="宋体" w:hAnsi="宋体"/>
              </w:rPr>
              <w:t>/h，H=10m，4kW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DN65，PN10，双由令接口</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单向阀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DN65，PN10，双由令接口</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螺杆泵</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流量：500L/h；输出压力：0.6 MPa</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一用一备，配套干运转保护器、电接点压力表</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进泵电动球阀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冲洗电动球阀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DN32，PN10，双由令接口，配套执行器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5.19</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DN15，PN10，双由令接口，配套执行器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4</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5.</w:t>
            </w:r>
            <w:r>
              <w:rPr>
                <w:rFonts w:hint="eastAsia" w:ascii="宋体" w:hAnsi="宋体"/>
              </w:rPr>
              <w:t>20</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出药口电磁流量计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DN20，不锈钢电极，衬里材料：聚氨酯；</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5.21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DN20，PN10，双由令接口，配套执行器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5.22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DN32，PN10，双由令接口，配套执行器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5</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5.23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手动球阀</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DN50，PN10，双由令接口，配套执行器</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5.24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进药管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5.25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给水管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DN50；材质：UPVC；压力：PN1.6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5.26</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投加管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DN20；材质：UPVC；压力：PN1.6</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批</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含管路配件及阀门,设备配套</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hint="eastAsia" w:ascii="宋体" w:hAnsi="宋体"/>
              </w:rPr>
              <w:t>5.27</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现场控制箱</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800*600*2000 mm，碳钢喷塑，含变频器5台</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54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5.28</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PLC控制箱</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800*600*2000 mm，碳钢喷塑，含PLC，10寸触摸屏</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　</w:t>
            </w:r>
          </w:p>
        </w:tc>
      </w:tr>
      <w:tr>
        <w:tblPrEx>
          <w:tblCellMar>
            <w:top w:w="0" w:type="dxa"/>
            <w:left w:w="108" w:type="dxa"/>
            <w:bottom w:w="0" w:type="dxa"/>
            <w:right w:w="108" w:type="dxa"/>
          </w:tblCellMar>
        </w:tblPrEx>
        <w:trPr>
          <w:trHeight w:val="309"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b/>
                <w:bCs/>
              </w:rPr>
            </w:pPr>
            <w:r>
              <w:rPr>
                <w:rFonts w:hint="eastAsia" w:ascii="宋体" w:hAnsi="宋体" w:cs="楷体"/>
                <w:b/>
                <w:bCs/>
              </w:rPr>
              <w:t>6</w:t>
            </w:r>
            <w:r>
              <w:rPr>
                <w:rFonts w:ascii="宋体" w:hAnsi="宋体" w:cs="楷体"/>
                <w:b/>
                <w:bCs/>
              </w:rPr>
              <w:t>.</w:t>
            </w:r>
            <w:r>
              <w:rPr>
                <w:rFonts w:hint="eastAsia" w:ascii="宋体" w:hAnsi="宋体" w:cs="楷体"/>
                <w:b/>
                <w:bCs/>
              </w:rPr>
              <w:t>废水池系统</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ascii="宋体" w:hAnsi="宋体"/>
              </w:rPr>
              <w:t>6.</w:t>
            </w:r>
            <w:r>
              <w:rPr>
                <w:rFonts w:hint="eastAsia" w:ascii="宋体" w:hAnsi="宋体"/>
              </w:rPr>
              <w:t>1</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耐腐蚀液下泵</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流量：30m</w:t>
            </w:r>
            <w:r>
              <w:rPr>
                <w:rFonts w:hint="eastAsia" w:ascii="宋体" w:hAnsi="宋体"/>
                <w:vertAlign w:val="superscript"/>
              </w:rPr>
              <w:t>3</w:t>
            </w:r>
            <w:r>
              <w:rPr>
                <w:rFonts w:hint="eastAsia" w:ascii="宋体" w:hAnsi="宋体"/>
              </w:rPr>
              <w:t>/h；压力8m，N=4.5KW</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　</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6.</w:t>
            </w:r>
            <w:r>
              <w:rPr>
                <w:rFonts w:hint="eastAsia" w:ascii="宋体" w:hAnsi="宋体"/>
              </w:rPr>
              <w:t>2</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废液井</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Φ1000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钢筋砼</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座</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6.</w:t>
            </w:r>
            <w:r>
              <w:rPr>
                <w:rFonts w:hint="eastAsia" w:ascii="宋体" w:hAnsi="宋体"/>
              </w:rPr>
              <w:t>3</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UPVC化工管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DN65</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米</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cs="楷体"/>
              </w:rPr>
            </w:pPr>
            <w:r>
              <w:rPr>
                <w:rFonts w:hint="eastAsia" w:ascii="宋体" w:hAnsi="宋体"/>
              </w:rPr>
              <w:t>各加药装置排水管及放空管工程量暂定，具体以实际安装为准.</w:t>
            </w:r>
          </w:p>
        </w:tc>
      </w:tr>
      <w:tr>
        <w:tblPrEx>
          <w:tblCellMar>
            <w:top w:w="0" w:type="dxa"/>
            <w:left w:w="108" w:type="dxa"/>
            <w:bottom w:w="0" w:type="dxa"/>
            <w:right w:w="108" w:type="dxa"/>
          </w:tblCellMar>
        </w:tblPrEx>
        <w:trPr>
          <w:trHeight w:val="810"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6.</w:t>
            </w:r>
            <w:r>
              <w:rPr>
                <w:rFonts w:hint="eastAsia" w:ascii="宋体" w:hAnsi="宋体"/>
              </w:rPr>
              <w:t>4</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UPVC化工管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DN200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UPVC</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套</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r>
      <w:tr>
        <w:tblPrEx>
          <w:tblCellMar>
            <w:top w:w="0" w:type="dxa"/>
            <w:left w:w="108" w:type="dxa"/>
            <w:bottom w:w="0" w:type="dxa"/>
            <w:right w:w="108" w:type="dxa"/>
          </w:tblCellMar>
        </w:tblPrEx>
        <w:trPr>
          <w:trHeight w:val="523"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kern w:val="0"/>
              </w:rPr>
            </w:pPr>
            <w:r>
              <w:rPr>
                <w:rFonts w:ascii="宋体" w:hAnsi="宋体"/>
              </w:rPr>
              <w:t>6.</w:t>
            </w:r>
            <w:r>
              <w:rPr>
                <w:rFonts w:hint="eastAsia" w:ascii="宋体" w:hAnsi="宋体"/>
              </w:rPr>
              <w:t>5</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防水套管</w:t>
            </w:r>
          </w:p>
        </w:tc>
        <w:tc>
          <w:tcPr>
            <w:tcW w:w="152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r>
              <w:rPr>
                <w:rFonts w:hint="eastAsia" w:ascii="宋体" w:hAnsi="宋体"/>
              </w:rPr>
              <w:t>DN200</w:t>
            </w:r>
          </w:p>
        </w:tc>
        <w:tc>
          <w:tcPr>
            <w:tcW w:w="472"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楷体"/>
              </w:rPr>
            </w:pPr>
            <w:r>
              <w:rPr>
                <w:rFonts w:hint="eastAsia" w:ascii="宋体" w:hAnsi="宋体"/>
              </w:rPr>
              <w:t>Q235B</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只</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楷体"/>
              </w:rPr>
            </w:pPr>
            <w:r>
              <w:rPr>
                <w:rFonts w:hint="eastAsia" w:ascii="宋体" w:hAnsi="宋体"/>
              </w:rPr>
              <w:t>4</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楷体"/>
              </w:rPr>
            </w:pPr>
          </w:p>
        </w:tc>
      </w:tr>
    </w:tbl>
    <w:p>
      <w:pPr>
        <w:keepNext/>
        <w:adjustRightInd w:val="0"/>
        <w:snapToGrid w:val="0"/>
        <w:spacing w:before="203" w:beforeLines="50" w:after="203" w:afterLines="50"/>
        <w:outlineLvl w:val="2"/>
        <w:rPr>
          <w:rFonts w:ascii="宋体" w:hAnsi="宋体" w:cs="楷体"/>
          <w:b/>
        </w:rPr>
      </w:pPr>
      <w:bookmarkStart w:id="6664" w:name="_Toc106883728"/>
      <w:r>
        <w:rPr>
          <w:rFonts w:hint="eastAsia" w:ascii="宋体" w:hAnsi="宋体" w:cs="楷体"/>
          <w:b/>
        </w:rPr>
        <w:t>8.20.3供货范围</w:t>
      </w:r>
      <w:bookmarkEnd w:id="6664"/>
    </w:p>
    <w:p>
      <w:pPr>
        <w:spacing w:before="203" w:beforeLines="50" w:after="203" w:afterLines="50" w:line="320" w:lineRule="exact"/>
        <w:ind w:firstLine="500" w:firstLineChars="200"/>
        <w:rPr>
          <w:rFonts w:ascii="宋体" w:hAnsi="宋体" w:cs="楷体"/>
        </w:rPr>
      </w:pPr>
      <w:r>
        <w:rPr>
          <w:rFonts w:hint="eastAsia" w:ascii="宋体" w:hAnsi="宋体" w:cs="楷体"/>
        </w:rPr>
        <w:t>加药间土建按照1.5万m</w:t>
      </w:r>
      <w:r>
        <w:rPr>
          <w:rFonts w:hint="eastAsia" w:ascii="宋体" w:hAnsi="宋体" w:cs="楷体"/>
          <w:vertAlign w:val="superscript"/>
        </w:rPr>
        <w:t>3</w:t>
      </w:r>
      <w:r>
        <w:rPr>
          <w:rFonts w:hint="eastAsia" w:ascii="宋体" w:hAnsi="宋体" w:cs="楷体"/>
        </w:rPr>
        <w:t>/d规模设计，设备按照1.5万m3/d设置。加药间分别安装了投加粉末活性碳投加系统、石灰投加系统、聚硅锰氯化铝钾投加系统、次氯酸钠投加系统。</w:t>
      </w:r>
    </w:p>
    <w:p>
      <w:pPr>
        <w:spacing w:before="203" w:beforeLines="50" w:after="203" w:afterLines="50" w:line="320" w:lineRule="exact"/>
        <w:ind w:firstLine="500" w:firstLineChars="200"/>
        <w:rPr>
          <w:rFonts w:ascii="宋体" w:hAnsi="宋体" w:cs="楷体"/>
        </w:rPr>
      </w:pPr>
      <w:r>
        <w:rPr>
          <w:rFonts w:hint="eastAsia" w:ascii="宋体" w:hAnsi="宋体" w:cs="楷体"/>
        </w:rPr>
        <w:t>聚合氯化铝，作为混凝剂，加注于机械混合池，投加最大量40mg/L，投加平均量20mg/L，加注浓度10%原液</w:t>
      </w:r>
    </w:p>
    <w:p>
      <w:pPr>
        <w:spacing w:before="203" w:beforeLines="50" w:after="203" w:afterLines="50" w:line="320" w:lineRule="exact"/>
        <w:ind w:firstLine="500" w:firstLineChars="200"/>
        <w:rPr>
          <w:rFonts w:ascii="宋体" w:hAnsi="宋体" w:cs="楷体"/>
        </w:rPr>
      </w:pPr>
      <w:r>
        <w:rPr>
          <w:rFonts w:hint="eastAsia" w:ascii="宋体" w:hAnsi="宋体" w:cs="楷体"/>
        </w:rPr>
        <w:t>聚硅锰氯化铝钾，投加量4mg/L,投加浓度5%。</w:t>
      </w:r>
    </w:p>
    <w:p>
      <w:pPr>
        <w:spacing w:before="203" w:beforeLines="50" w:after="203" w:afterLines="50" w:line="320" w:lineRule="exact"/>
        <w:ind w:firstLine="500" w:firstLineChars="200"/>
        <w:rPr>
          <w:rFonts w:ascii="宋体" w:hAnsi="宋体" w:cs="楷体"/>
        </w:rPr>
      </w:pPr>
      <w:r>
        <w:rPr>
          <w:rFonts w:hint="eastAsia" w:ascii="宋体" w:hAnsi="宋体" w:cs="楷体"/>
        </w:rPr>
        <w:t>石灰，加注于原水进水管上及浓缩池，近期加注点1个，加注量10mg/L，浓度4%。</w:t>
      </w:r>
    </w:p>
    <w:p>
      <w:pPr>
        <w:spacing w:before="203" w:beforeLines="50" w:after="203" w:afterLines="50" w:line="320" w:lineRule="exact"/>
        <w:ind w:firstLine="500" w:firstLineChars="200"/>
        <w:rPr>
          <w:rFonts w:ascii="宋体" w:hAnsi="宋体" w:cs="楷体"/>
        </w:rPr>
      </w:pPr>
      <w:r>
        <w:rPr>
          <w:rFonts w:hint="eastAsia" w:ascii="宋体" w:hAnsi="宋体" w:cs="楷体"/>
        </w:rPr>
        <w:t>粉末活性炭，作为水厂水质应急保障使用，投加量,20mg/L, 最大浓度5%。</w:t>
      </w:r>
    </w:p>
    <w:p>
      <w:pPr>
        <w:spacing w:before="203" w:beforeLines="50" w:after="203" w:afterLines="50" w:line="320" w:lineRule="exact"/>
        <w:ind w:firstLine="500" w:firstLineChars="200"/>
        <w:rPr>
          <w:rFonts w:ascii="宋体" w:hAnsi="宋体" w:cs="楷体"/>
        </w:rPr>
      </w:pPr>
      <w:r>
        <w:rPr>
          <w:rFonts w:hint="eastAsia" w:ascii="宋体" w:hAnsi="宋体" w:cs="楷体"/>
        </w:rPr>
        <w:t>次氯酸钠：</w:t>
      </w:r>
    </w:p>
    <w:p>
      <w:pPr>
        <w:spacing w:before="203" w:beforeLines="50" w:after="203" w:afterLines="50" w:line="320" w:lineRule="exact"/>
        <w:ind w:firstLine="500" w:firstLineChars="200"/>
        <w:rPr>
          <w:rFonts w:ascii="宋体" w:hAnsi="宋体" w:cs="楷体"/>
        </w:rPr>
      </w:pPr>
      <w:r>
        <w:rPr>
          <w:rFonts w:hint="eastAsia" w:ascii="宋体" w:hAnsi="宋体" w:cs="楷体"/>
        </w:rPr>
        <w:t>1）水厂次氯酸钠设三处投加点：前加氯、后加氯、补加氯；</w:t>
      </w:r>
    </w:p>
    <w:p>
      <w:pPr>
        <w:spacing w:before="203" w:beforeLines="50" w:after="203" w:afterLines="50" w:line="320" w:lineRule="exact"/>
        <w:ind w:firstLine="500" w:firstLineChars="200"/>
        <w:rPr>
          <w:rFonts w:ascii="宋体" w:hAnsi="宋体" w:cs="楷体"/>
        </w:rPr>
      </w:pPr>
      <w:r>
        <w:rPr>
          <w:rFonts w:hint="eastAsia" w:ascii="宋体" w:hAnsi="宋体" w:cs="楷体"/>
        </w:rPr>
        <w:t>2）加氯设备用于水厂加氯系统，加氯设备安装于水厂加药间内；</w:t>
      </w:r>
    </w:p>
    <w:p>
      <w:pPr>
        <w:spacing w:before="203" w:beforeLines="50" w:after="203" w:afterLines="50" w:line="320" w:lineRule="exact"/>
        <w:ind w:firstLine="500" w:firstLineChars="200"/>
        <w:rPr>
          <w:rFonts w:ascii="宋体" w:hAnsi="宋体" w:cs="楷体"/>
        </w:rPr>
      </w:pPr>
      <w:r>
        <w:rPr>
          <w:rFonts w:hint="eastAsia" w:ascii="宋体" w:hAnsi="宋体" w:cs="楷体"/>
        </w:rPr>
        <w:t>3）前加氯：最大加氯量1mg/L，投加点位于原水管上，根据水质季节性投加；</w:t>
      </w:r>
    </w:p>
    <w:p>
      <w:pPr>
        <w:spacing w:before="203" w:beforeLines="50" w:after="203" w:afterLines="50" w:line="320" w:lineRule="exact"/>
        <w:ind w:firstLine="500" w:firstLineChars="200"/>
        <w:rPr>
          <w:rFonts w:ascii="宋体" w:hAnsi="宋体" w:cs="楷体"/>
        </w:rPr>
      </w:pPr>
      <w:r>
        <w:rPr>
          <w:rFonts w:hint="eastAsia" w:ascii="宋体" w:hAnsi="宋体" w:cs="楷体"/>
        </w:rPr>
        <w:t>4）后加氯：最大加氯量1.5mg/L，投加点位于滤池；</w:t>
      </w:r>
    </w:p>
    <w:p>
      <w:pPr>
        <w:spacing w:before="203" w:beforeLines="50" w:after="203" w:afterLines="50" w:line="320" w:lineRule="exact"/>
        <w:ind w:firstLine="500" w:firstLineChars="200"/>
        <w:rPr>
          <w:rFonts w:ascii="宋体" w:hAnsi="宋体" w:cs="楷体"/>
        </w:rPr>
      </w:pPr>
      <w:r>
        <w:rPr>
          <w:rFonts w:hint="eastAsia" w:ascii="宋体" w:hAnsi="宋体" w:cs="楷体"/>
        </w:rPr>
        <w:t>5）补加氯：最大加氯量0.5mg/L，投加点位于清水池至吸水井的管道上；</w:t>
      </w:r>
    </w:p>
    <w:p>
      <w:pPr>
        <w:spacing w:before="203" w:beforeLines="50" w:after="203" w:afterLines="50" w:line="320" w:lineRule="exact"/>
        <w:ind w:firstLine="500" w:firstLineChars="200"/>
        <w:rPr>
          <w:rFonts w:ascii="宋体" w:hAnsi="宋体" w:cs="楷体"/>
        </w:rPr>
      </w:pPr>
      <w:r>
        <w:rPr>
          <w:rFonts w:hint="eastAsia" w:ascii="宋体" w:hAnsi="宋体" w:cs="楷体"/>
        </w:rPr>
        <w:t>总体要求：</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1) 投标人应提供加矾、聚硅锰氯化铝钾、PAM、石灰和粉末活性炭、次钠（以下统称为各加药系统）全套储存、稀释、输送、搅拌装置、投加泵自动投加系统以及至投加点（含投加装置）的所有管道。系统必须由集成商成套供应，按系统集成供货，现场进行系统与系统拼接。 </w:t>
      </w:r>
    </w:p>
    <w:p>
      <w:pPr>
        <w:spacing w:before="203" w:beforeLines="50" w:after="203" w:afterLines="50" w:line="320" w:lineRule="exact"/>
        <w:ind w:firstLine="500" w:firstLineChars="200"/>
        <w:rPr>
          <w:rFonts w:ascii="宋体" w:hAnsi="宋体" w:cs="楷体"/>
        </w:rPr>
      </w:pPr>
      <w:r>
        <w:rPr>
          <w:rFonts w:hint="eastAsia" w:ascii="宋体" w:hAnsi="宋体" w:cs="楷体"/>
        </w:rPr>
        <w:t>2)各加药系统动力电源由加药间配电间引自，各加药系统自配电间低压配电柜出线电缆均由本标投标人提供；各加药系统以系统为单位就地设置控制柜（箱），各加药控制系统，通过交换机以以太网形式跟厂区PLC通讯。</w:t>
      </w:r>
    </w:p>
    <w:p>
      <w:pPr>
        <w:spacing w:before="203" w:beforeLines="50" w:after="203" w:afterLines="50" w:line="320" w:lineRule="exact"/>
        <w:ind w:firstLine="500" w:firstLineChars="200"/>
        <w:rPr>
          <w:rFonts w:ascii="宋体" w:hAnsi="宋体" w:cs="楷体"/>
        </w:rPr>
      </w:pPr>
      <w:r>
        <w:rPr>
          <w:rFonts w:hint="eastAsia" w:ascii="宋体" w:hAnsi="宋体" w:cs="楷体"/>
        </w:rPr>
        <w:t>3)各加药系统供货范围包括制备装置全套设备、连接管道、进出线电缆、电缆桥架、控制箱及安装、预埋、可靠运行所需的所有附件。以太网的通讯电缆纳入弱电供货范围。</w:t>
      </w:r>
    </w:p>
    <w:p>
      <w:pPr>
        <w:spacing w:before="203" w:beforeLines="50" w:after="203" w:afterLines="50" w:line="320" w:lineRule="exact"/>
        <w:ind w:firstLine="500" w:firstLineChars="200"/>
        <w:rPr>
          <w:rFonts w:ascii="宋体" w:hAnsi="宋体" w:cs="楷体"/>
        </w:rPr>
      </w:pPr>
      <w:r>
        <w:rPr>
          <w:rFonts w:hint="eastAsia" w:ascii="宋体" w:hAnsi="宋体" w:cs="楷体"/>
        </w:rPr>
        <w:t>4)各加药系统投标清单设备和主要性能要求为系统基本要求，投标人应不低于此要求。管径（流速）、投加泵压力（流量）、罐（桶）体积、给料机能力等技术参数由投标人根据提供的工艺数据计算复核后确定。</w:t>
      </w:r>
    </w:p>
    <w:p>
      <w:pPr>
        <w:spacing w:before="203" w:beforeLines="50" w:after="203" w:afterLines="50" w:line="320" w:lineRule="exact"/>
        <w:ind w:firstLine="500" w:firstLineChars="200"/>
        <w:rPr>
          <w:rFonts w:ascii="宋体" w:hAnsi="宋体" w:cs="楷体"/>
        </w:rPr>
      </w:pPr>
      <w:r>
        <w:rPr>
          <w:rFonts w:hint="eastAsia" w:ascii="宋体" w:hAnsi="宋体" w:cs="楷体"/>
        </w:rPr>
        <w:t>5)本标投标人中标后应根据自身系统优化各加药系统的工艺设备、电气和控制平面布置。</w:t>
      </w:r>
    </w:p>
    <w:p>
      <w:pPr>
        <w:spacing w:before="203" w:beforeLines="50" w:after="203" w:afterLines="50" w:line="320" w:lineRule="exact"/>
        <w:ind w:firstLine="500" w:firstLineChars="200"/>
        <w:rPr>
          <w:rFonts w:ascii="宋体" w:hAnsi="宋体" w:cs="楷体"/>
        </w:rPr>
      </w:pPr>
      <w:r>
        <w:rPr>
          <w:rFonts w:hint="eastAsia" w:ascii="宋体" w:hAnsi="宋体" w:cs="楷体"/>
        </w:rPr>
        <w:t>6）安装</w:t>
      </w:r>
    </w:p>
    <w:p>
      <w:pPr>
        <w:spacing w:before="203" w:beforeLines="50" w:after="203" w:afterLines="50" w:line="320" w:lineRule="exact"/>
        <w:ind w:firstLine="500" w:firstLineChars="200"/>
        <w:rPr>
          <w:rFonts w:ascii="宋体" w:hAnsi="宋体" w:cs="楷体"/>
        </w:rPr>
      </w:pPr>
      <w:r>
        <w:rPr>
          <w:rFonts w:hint="eastAsia" w:ascii="宋体" w:hAnsi="宋体" w:cs="楷体"/>
        </w:rPr>
        <w:t>加药系统设备安装由中标人负责，为交钥匙工程。中标人应对安装进行检查，以保证和规范及图纸相符。一旦安装不能满足规范要求或工艺缺陷，供货商应立即着手进行修复至工程师满意为止。</w:t>
      </w:r>
    </w:p>
    <w:p>
      <w:pPr>
        <w:spacing w:before="203" w:beforeLines="50" w:after="203" w:afterLines="50" w:line="320" w:lineRule="exact"/>
        <w:ind w:firstLine="500" w:firstLineChars="200"/>
        <w:rPr>
          <w:rFonts w:ascii="宋体" w:hAnsi="宋体" w:cs="楷体"/>
        </w:rPr>
      </w:pPr>
      <w:r>
        <w:rPr>
          <w:rFonts w:hint="eastAsia" w:ascii="宋体" w:hAnsi="宋体" w:cs="楷体"/>
        </w:rPr>
        <w:t>7）检验</w:t>
      </w:r>
    </w:p>
    <w:p>
      <w:pPr>
        <w:spacing w:before="203" w:beforeLines="50" w:after="203" w:afterLines="50" w:line="320" w:lineRule="exact"/>
        <w:ind w:firstLine="500" w:firstLineChars="200"/>
        <w:rPr>
          <w:rFonts w:ascii="宋体" w:hAnsi="宋体" w:cs="楷体"/>
        </w:rPr>
      </w:pPr>
      <w:r>
        <w:rPr>
          <w:rFonts w:hint="eastAsia" w:ascii="宋体" w:hAnsi="宋体" w:cs="楷体"/>
        </w:rPr>
        <w:t>现场检验在缺陷被修复至工程师满意为止后进行。</w:t>
      </w:r>
    </w:p>
    <w:p>
      <w:pPr>
        <w:spacing w:before="203" w:beforeLines="50" w:after="203" w:afterLines="50" w:line="320" w:lineRule="exact"/>
        <w:ind w:firstLine="500" w:firstLineChars="200"/>
        <w:rPr>
          <w:rFonts w:ascii="宋体" w:hAnsi="宋体" w:cs="楷体"/>
        </w:rPr>
      </w:pPr>
      <w:r>
        <w:rPr>
          <w:rFonts w:hint="eastAsia" w:ascii="宋体" w:hAnsi="宋体" w:cs="楷体"/>
        </w:rPr>
        <w:t>所有辅助设备和相关仪器应仔细检查以保证正常使用。</w:t>
      </w:r>
    </w:p>
    <w:p>
      <w:pPr>
        <w:spacing w:before="203" w:beforeLines="50" w:after="203" w:afterLines="50" w:line="320" w:lineRule="exact"/>
        <w:ind w:firstLine="500" w:firstLineChars="200"/>
        <w:rPr>
          <w:rFonts w:ascii="宋体" w:hAnsi="宋体" w:cs="楷体"/>
        </w:rPr>
      </w:pPr>
      <w:r>
        <w:rPr>
          <w:rFonts w:hint="eastAsia" w:ascii="宋体" w:hAnsi="宋体" w:cs="楷体"/>
        </w:rPr>
        <w:t>管道及配件应以1.0MPa设计压力测试。</w:t>
      </w:r>
    </w:p>
    <w:p>
      <w:pPr>
        <w:spacing w:before="203" w:beforeLines="50" w:after="203" w:afterLines="50" w:line="320" w:lineRule="exact"/>
        <w:ind w:firstLine="500" w:firstLineChars="200"/>
        <w:rPr>
          <w:rFonts w:ascii="宋体" w:hAnsi="宋体" w:cs="楷体"/>
        </w:rPr>
      </w:pPr>
      <w:r>
        <w:rPr>
          <w:rFonts w:hint="eastAsia" w:ascii="宋体" w:hAnsi="宋体" w:cs="楷体"/>
        </w:rPr>
        <w:t>性能测试必须验证化学药剂加注系统所有设备在整个操作过程中运行良好。</w:t>
      </w:r>
    </w:p>
    <w:p>
      <w:pPr>
        <w:spacing w:before="203" w:beforeLines="50" w:after="203" w:afterLines="50" w:line="320" w:lineRule="exact"/>
        <w:ind w:firstLine="500" w:firstLineChars="200"/>
        <w:rPr>
          <w:rFonts w:ascii="宋体" w:hAnsi="宋体" w:cs="楷体"/>
        </w:rPr>
      </w:pPr>
      <w:r>
        <w:rPr>
          <w:rFonts w:hint="eastAsia" w:ascii="宋体" w:hAnsi="宋体" w:cs="楷体"/>
        </w:rPr>
        <w:t>对断电及其它报警状态应有显示以证明设备及控制系统良好的反应。</w:t>
      </w:r>
    </w:p>
    <w:p>
      <w:pPr>
        <w:spacing w:before="203" w:beforeLines="50" w:after="203" w:afterLines="50" w:line="320" w:lineRule="exact"/>
        <w:ind w:firstLine="500" w:firstLineChars="200"/>
        <w:rPr>
          <w:rFonts w:ascii="宋体" w:hAnsi="宋体" w:cs="楷体"/>
        </w:rPr>
      </w:pPr>
      <w:r>
        <w:rPr>
          <w:rFonts w:hint="eastAsia" w:ascii="宋体" w:hAnsi="宋体" w:cs="楷体"/>
        </w:rPr>
        <w:t>8）施工界面</w:t>
      </w:r>
    </w:p>
    <w:p>
      <w:pPr>
        <w:spacing w:before="203" w:beforeLines="50" w:after="203" w:afterLines="50" w:line="320" w:lineRule="exact"/>
        <w:ind w:firstLine="500" w:firstLineChars="200"/>
        <w:rPr>
          <w:rFonts w:ascii="宋体" w:hAnsi="宋体" w:cs="楷体"/>
        </w:rPr>
      </w:pPr>
      <w:r>
        <w:rPr>
          <w:rFonts w:hint="eastAsia" w:ascii="宋体" w:hAnsi="宋体" w:cs="楷体"/>
        </w:rPr>
        <w:t>控制柜（箱）电源取自于业主提供的低压配电柜（箱）（详见相关施工图）。控制柜（箱）进出线电缆和设备安装中所有的电缆由中标人提供并敷设，电缆敷设中所需的线槽及桥架也由中标人提供及安装。</w:t>
      </w:r>
    </w:p>
    <w:p>
      <w:pPr>
        <w:keepNext/>
        <w:adjustRightInd w:val="0"/>
        <w:snapToGrid w:val="0"/>
        <w:spacing w:before="203" w:beforeLines="50" w:after="203" w:afterLines="50"/>
        <w:outlineLvl w:val="2"/>
        <w:rPr>
          <w:rFonts w:ascii="宋体" w:hAnsi="宋体" w:cs="楷体"/>
          <w:b/>
        </w:rPr>
      </w:pPr>
      <w:bookmarkStart w:id="6665" w:name="_Toc106883729"/>
      <w:r>
        <w:rPr>
          <w:rFonts w:hint="eastAsia" w:ascii="宋体" w:hAnsi="宋体" w:cs="楷体"/>
          <w:b/>
        </w:rPr>
        <w:t>8.20.4PAC投加系统</w:t>
      </w:r>
      <w:bookmarkEnd w:id="6665"/>
    </w:p>
    <w:p>
      <w:pPr>
        <w:rPr>
          <w:rFonts w:ascii="宋体" w:hAnsi="宋体"/>
          <w:b/>
        </w:rPr>
      </w:pPr>
      <w:r>
        <w:rPr>
          <w:rFonts w:hint="eastAsia" w:ascii="宋体" w:hAnsi="宋体"/>
          <w:b/>
        </w:rPr>
        <w:t>8.20.4.1卸料泵</w:t>
      </w:r>
    </w:p>
    <w:p>
      <w:pPr>
        <w:spacing w:before="203" w:beforeLines="50" w:after="203" w:afterLines="50" w:line="320" w:lineRule="exact"/>
        <w:ind w:firstLine="500" w:firstLineChars="200"/>
        <w:rPr>
          <w:rFonts w:ascii="宋体" w:hAnsi="宋体" w:cs="楷体"/>
        </w:rPr>
      </w:pPr>
      <w:r>
        <w:rPr>
          <w:rFonts w:hint="eastAsia" w:ascii="宋体" w:hAnsi="宋体" w:cs="楷体"/>
        </w:rPr>
        <w:t>最大流量：</w:t>
      </w:r>
      <w:r>
        <w:rPr>
          <w:rFonts w:ascii="宋体" w:hAnsi="宋体" w:cs="楷体"/>
        </w:rPr>
        <w:t>25</w:t>
      </w:r>
      <w:r>
        <w:rPr>
          <w:rFonts w:hint="eastAsia" w:ascii="宋体" w:hAnsi="宋体" w:cs="楷体"/>
        </w:rPr>
        <w:t>m</w:t>
      </w:r>
      <w:r>
        <w:rPr>
          <w:rFonts w:hint="eastAsia" w:ascii="宋体" w:hAnsi="宋体" w:cs="楷体"/>
          <w:vertAlign w:val="superscript"/>
        </w:rPr>
        <w:t>3</w:t>
      </w:r>
      <w:r>
        <w:rPr>
          <w:rFonts w:hint="eastAsia" w:ascii="宋体" w:hAnsi="宋体" w:cs="楷体"/>
        </w:rPr>
        <w:t>/h</w:t>
      </w:r>
    </w:p>
    <w:p>
      <w:pPr>
        <w:spacing w:before="203" w:beforeLines="50" w:after="203" w:afterLines="50" w:line="320" w:lineRule="exact"/>
        <w:ind w:firstLine="500" w:firstLineChars="200"/>
        <w:rPr>
          <w:rFonts w:ascii="宋体" w:hAnsi="宋体" w:cs="楷体"/>
        </w:rPr>
      </w:pPr>
      <w:r>
        <w:rPr>
          <w:rFonts w:hint="eastAsia" w:ascii="宋体" w:hAnsi="宋体" w:cs="楷体"/>
        </w:rPr>
        <w:t>最大扬程：2</w:t>
      </w:r>
      <w:r>
        <w:rPr>
          <w:rFonts w:ascii="宋体" w:hAnsi="宋体" w:cs="楷体"/>
        </w:rPr>
        <w:t>3</w:t>
      </w:r>
      <w:r>
        <w:rPr>
          <w:rFonts w:hint="eastAsia" w:ascii="宋体" w:hAnsi="宋体" w:cs="楷体"/>
        </w:rPr>
        <w:t>m</w:t>
      </w:r>
    </w:p>
    <w:p>
      <w:pPr>
        <w:spacing w:before="203" w:beforeLines="50" w:after="203" w:afterLines="50" w:line="320" w:lineRule="exact"/>
        <w:ind w:firstLine="500" w:firstLineChars="200"/>
        <w:rPr>
          <w:rFonts w:ascii="宋体" w:hAnsi="宋体" w:cs="楷体"/>
        </w:rPr>
      </w:pPr>
      <w:r>
        <w:rPr>
          <w:rFonts w:hint="eastAsia" w:ascii="宋体" w:hAnsi="宋体" w:cs="楷体"/>
        </w:rPr>
        <w:t>功率：1.5kw</w:t>
      </w:r>
    </w:p>
    <w:p>
      <w:pPr>
        <w:spacing w:before="203" w:beforeLines="50" w:after="203" w:afterLines="50" w:line="320" w:lineRule="exact"/>
        <w:ind w:firstLine="500" w:firstLineChars="200"/>
        <w:rPr>
          <w:rFonts w:ascii="宋体" w:hAnsi="宋体" w:cs="楷体"/>
        </w:rPr>
      </w:pPr>
      <w:r>
        <w:rPr>
          <w:rFonts w:hint="eastAsia" w:ascii="宋体" w:hAnsi="宋体" w:cs="楷体"/>
        </w:rPr>
        <w:t>接液材质：PVDF</w:t>
      </w:r>
    </w:p>
    <w:p>
      <w:pPr>
        <w:spacing w:before="203" w:beforeLines="50" w:after="203" w:afterLines="50" w:line="320" w:lineRule="exact"/>
        <w:ind w:firstLine="500" w:firstLineChars="200"/>
        <w:rPr>
          <w:rFonts w:ascii="宋体" w:hAnsi="宋体" w:cs="楷体"/>
        </w:rPr>
      </w:pPr>
      <w:r>
        <w:rPr>
          <w:rFonts w:hint="eastAsia" w:ascii="宋体" w:hAnsi="宋体" w:cs="楷体"/>
        </w:rPr>
        <w:t>轴心材质：陶瓷</w:t>
      </w:r>
    </w:p>
    <w:p>
      <w:pPr>
        <w:spacing w:before="203" w:beforeLines="50" w:after="203" w:afterLines="50" w:line="320" w:lineRule="exact"/>
        <w:ind w:firstLine="500" w:firstLineChars="200"/>
        <w:rPr>
          <w:rFonts w:ascii="宋体" w:hAnsi="宋体" w:cs="楷体"/>
        </w:rPr>
      </w:pPr>
      <w:r>
        <w:rPr>
          <w:rFonts w:hint="eastAsia" w:ascii="宋体" w:hAnsi="宋体" w:cs="楷体"/>
        </w:rPr>
        <w:t>电极电压：AC380V，50Hz</w:t>
      </w:r>
    </w:p>
    <w:p>
      <w:pPr>
        <w:spacing w:before="203" w:beforeLines="50" w:after="203" w:afterLines="50" w:line="320" w:lineRule="exact"/>
        <w:ind w:firstLine="500" w:firstLineChars="200"/>
        <w:rPr>
          <w:rFonts w:ascii="宋体" w:hAnsi="宋体" w:cs="楷体"/>
        </w:rPr>
      </w:pPr>
      <w:r>
        <w:rPr>
          <w:rFonts w:hint="eastAsia" w:ascii="宋体" w:hAnsi="宋体" w:cs="楷体"/>
        </w:rPr>
        <w:t>传动方式：磁力传动</w:t>
      </w:r>
    </w:p>
    <w:p>
      <w:pPr>
        <w:spacing w:before="203" w:beforeLines="50" w:after="203" w:afterLines="50" w:line="320" w:lineRule="exact"/>
        <w:ind w:firstLine="500" w:firstLineChars="200"/>
        <w:rPr>
          <w:rFonts w:ascii="宋体" w:hAnsi="宋体" w:cs="楷体"/>
        </w:rPr>
      </w:pPr>
      <w:r>
        <w:rPr>
          <w:rFonts w:hint="eastAsia" w:ascii="宋体" w:hAnsi="宋体" w:cs="楷体"/>
        </w:rPr>
        <w:t>承包人提供的防腐蚀非金属离心泵为成套装置，应配置就地控制箱、所有控制与电力电缆、以及安全、有效和可靠运行所必须的附件。</w:t>
      </w:r>
    </w:p>
    <w:p>
      <w:pPr>
        <w:spacing w:before="203" w:beforeLines="50" w:after="203" w:afterLines="50" w:line="320" w:lineRule="exact"/>
        <w:ind w:firstLine="500" w:firstLineChars="200"/>
        <w:rPr>
          <w:rFonts w:ascii="宋体" w:hAnsi="宋体" w:cs="楷体"/>
        </w:rPr>
      </w:pPr>
      <w:r>
        <w:rPr>
          <w:rFonts w:hint="eastAsia" w:ascii="宋体" w:hAnsi="宋体" w:cs="楷体"/>
        </w:rPr>
        <w:t>防腐蚀非金属离心泵输送介质为浓度约为</w:t>
      </w:r>
      <w:r>
        <w:rPr>
          <w:rFonts w:ascii="宋体" w:hAnsi="宋体" w:cs="楷体"/>
        </w:rPr>
        <w:t>2</w:t>
      </w:r>
      <w:r>
        <w:rPr>
          <w:rFonts w:hint="eastAsia" w:ascii="宋体" w:hAnsi="宋体" w:cs="楷体"/>
        </w:rPr>
        <w:t>0%的次氯酸钠溶液。</w:t>
      </w:r>
    </w:p>
    <w:p>
      <w:pPr>
        <w:spacing w:before="203" w:beforeLines="50" w:after="203" w:afterLines="50" w:line="320" w:lineRule="exact"/>
        <w:ind w:firstLine="500" w:firstLineChars="200"/>
        <w:rPr>
          <w:rFonts w:ascii="宋体" w:hAnsi="宋体" w:cs="楷体"/>
        </w:rPr>
      </w:pPr>
      <w:r>
        <w:rPr>
          <w:rFonts w:hint="eastAsia" w:ascii="宋体" w:hAnsi="宋体" w:cs="楷体"/>
        </w:rPr>
        <w:t>根据工况条件及介质情况,泵体等过流部分材质均使用</w:t>
      </w:r>
      <w:r>
        <w:rPr>
          <w:rFonts w:ascii="宋体" w:hAnsi="宋体" w:cs="楷体"/>
        </w:rPr>
        <w:t>PVDF</w:t>
      </w:r>
      <w:r>
        <w:rPr>
          <w:rFonts w:hint="eastAsia" w:ascii="宋体" w:hAnsi="宋体" w:cs="楷体"/>
        </w:rPr>
        <w:t>，保证其耐腐蚀性及使用寿命。泵体接口环，耐磨环选用高铝陶瓷材料。</w:t>
      </w:r>
    </w:p>
    <w:p>
      <w:pPr>
        <w:spacing w:before="203" w:beforeLines="50" w:after="203" w:afterLines="50" w:line="320" w:lineRule="exact"/>
        <w:ind w:firstLine="500" w:firstLineChars="200"/>
        <w:rPr>
          <w:rFonts w:ascii="宋体" w:hAnsi="宋体" w:cs="楷体"/>
        </w:rPr>
      </w:pPr>
      <w:r>
        <w:rPr>
          <w:rFonts w:hint="eastAsia" w:ascii="宋体" w:hAnsi="宋体" w:cs="楷体"/>
        </w:rPr>
        <w:t>叶轮材料选用与泵体相同材料，其结构为闭式结构。</w:t>
      </w:r>
    </w:p>
    <w:p>
      <w:pPr>
        <w:spacing w:before="203" w:beforeLines="50" w:after="203" w:afterLines="50" w:line="320" w:lineRule="exact"/>
        <w:ind w:firstLine="500" w:firstLineChars="200"/>
        <w:rPr>
          <w:rFonts w:ascii="宋体" w:hAnsi="宋体" w:cs="楷体"/>
        </w:rPr>
      </w:pPr>
      <w:r>
        <w:rPr>
          <w:rFonts w:hint="eastAsia" w:ascii="宋体" w:hAnsi="宋体" w:cs="楷体"/>
        </w:rPr>
        <w:t>主轴材料为高铝陶瓷，轴承材质采用碳化硅，后壳选用与泵体相同材料，密封圈采用氟橡胶。</w:t>
      </w:r>
    </w:p>
    <w:p>
      <w:pPr>
        <w:spacing w:before="203" w:beforeLines="50" w:after="203" w:afterLines="50" w:line="320" w:lineRule="exact"/>
        <w:ind w:firstLine="500" w:firstLineChars="200"/>
        <w:rPr>
          <w:rFonts w:ascii="宋体" w:hAnsi="宋体" w:cs="楷体"/>
        </w:rPr>
      </w:pPr>
      <w:r>
        <w:rPr>
          <w:rFonts w:hint="eastAsia" w:ascii="宋体" w:hAnsi="宋体" w:cs="楷体"/>
        </w:rPr>
        <w:t>底板采用耐腐蚀工程塑料制造。</w:t>
      </w:r>
    </w:p>
    <w:p>
      <w:pPr>
        <w:spacing w:before="203" w:beforeLines="50" w:after="203" w:afterLines="50" w:line="320" w:lineRule="exact"/>
        <w:ind w:firstLine="500" w:firstLineChars="200"/>
        <w:rPr>
          <w:rFonts w:ascii="宋体" w:hAnsi="宋体" w:cs="楷体"/>
        </w:rPr>
      </w:pPr>
      <w:r>
        <w:rPr>
          <w:rFonts w:hint="eastAsia" w:ascii="宋体" w:hAnsi="宋体" w:cs="楷体"/>
        </w:rPr>
        <w:t>出入口法兰采用组合式法兰，可任意调整螺孔方向，除配管方便外，还可以避免配管应力造成法兰变形引起的泄漏问题。</w:t>
      </w:r>
    </w:p>
    <w:p>
      <w:pPr>
        <w:spacing w:before="203" w:beforeLines="50" w:after="203" w:afterLines="50" w:line="320" w:lineRule="exact"/>
        <w:ind w:firstLine="500" w:firstLineChars="200"/>
        <w:rPr>
          <w:rFonts w:ascii="宋体" w:hAnsi="宋体" w:cs="楷体"/>
        </w:rPr>
      </w:pPr>
      <w:r>
        <w:rPr>
          <w:rFonts w:hint="eastAsia" w:ascii="宋体" w:hAnsi="宋体" w:cs="楷体"/>
        </w:rPr>
        <w:t>驱动电机应为支脚式或法兰安装式，异步感应电动机适合于电源380V，3相，50Hz，应具有IP55保护。</w:t>
      </w:r>
    </w:p>
    <w:p>
      <w:pPr>
        <w:spacing w:before="203" w:beforeLines="50" w:after="203" w:afterLines="50" w:line="320" w:lineRule="exact"/>
        <w:ind w:firstLine="500" w:firstLineChars="200"/>
        <w:rPr>
          <w:rFonts w:ascii="宋体" w:hAnsi="宋体" w:cs="楷体"/>
        </w:rPr>
      </w:pPr>
      <w:r>
        <w:rPr>
          <w:rFonts w:hint="eastAsia" w:ascii="宋体" w:hAnsi="宋体" w:cs="楷体"/>
        </w:rPr>
        <w:t>泵的试验规程应以ISO9906/2为准。</w:t>
      </w:r>
    </w:p>
    <w:p>
      <w:pPr>
        <w:outlineLvl w:val="0"/>
        <w:rPr>
          <w:rFonts w:ascii="宋体" w:hAnsi="宋体"/>
          <w:b/>
        </w:rPr>
      </w:pPr>
      <w:bookmarkStart w:id="6666" w:name="_Toc106883730"/>
      <w:bookmarkStart w:id="6667" w:name="_Toc106050494"/>
      <w:r>
        <w:rPr>
          <w:rFonts w:hint="eastAsia" w:ascii="宋体" w:hAnsi="宋体"/>
          <w:b/>
        </w:rPr>
        <w:t>8.20.4.2立式储罐</w:t>
      </w:r>
      <w:bookmarkEnd w:id="6666"/>
      <w:bookmarkEnd w:id="6667"/>
    </w:p>
    <w:p>
      <w:pPr>
        <w:spacing w:before="203" w:beforeLines="50" w:after="203" w:afterLines="50" w:line="320" w:lineRule="exact"/>
        <w:ind w:firstLine="500" w:firstLineChars="200"/>
        <w:rPr>
          <w:rFonts w:ascii="宋体" w:hAnsi="宋体" w:cs="楷体"/>
        </w:rPr>
      </w:pPr>
      <w:r>
        <w:rPr>
          <w:rFonts w:hint="eastAsia" w:ascii="宋体" w:hAnsi="宋体" w:cs="楷体"/>
        </w:rPr>
        <w:t>容积：2</w:t>
      </w:r>
      <w:r>
        <w:rPr>
          <w:rFonts w:ascii="宋体" w:hAnsi="宋体" w:cs="楷体"/>
        </w:rPr>
        <w:t>0</w:t>
      </w:r>
      <w:r>
        <w:rPr>
          <w:rFonts w:hint="eastAsia" w:ascii="宋体" w:hAnsi="宋体" w:cs="楷体"/>
        </w:rPr>
        <w:t>m</w:t>
      </w:r>
      <w:r>
        <w:rPr>
          <w:rFonts w:hint="eastAsia" w:ascii="宋体" w:hAnsi="宋体" w:cs="楷体"/>
          <w:vertAlign w:val="superscript"/>
        </w:rPr>
        <w:t>3</w:t>
      </w:r>
    </w:p>
    <w:p>
      <w:pPr>
        <w:spacing w:before="203" w:beforeLines="50" w:after="203" w:afterLines="50" w:line="320" w:lineRule="exact"/>
        <w:ind w:firstLine="500" w:firstLineChars="200"/>
        <w:rPr>
          <w:rFonts w:ascii="宋体" w:hAnsi="宋体" w:cs="楷体"/>
        </w:rPr>
      </w:pPr>
      <w:r>
        <w:rPr>
          <w:rFonts w:hint="eastAsia" w:ascii="宋体" w:hAnsi="宋体" w:cs="楷体"/>
        </w:rPr>
        <w:t>材质：食品级LLDPE</w:t>
      </w:r>
    </w:p>
    <w:p>
      <w:pPr>
        <w:spacing w:before="203" w:beforeLines="50" w:after="203" w:afterLines="50" w:line="320" w:lineRule="exact"/>
        <w:ind w:firstLine="500" w:firstLineChars="200"/>
        <w:rPr>
          <w:rFonts w:ascii="宋体" w:hAnsi="宋体" w:cs="楷体"/>
        </w:rPr>
      </w:pPr>
      <w:r>
        <w:rPr>
          <w:rFonts w:hint="eastAsia" w:ascii="宋体" w:hAnsi="宋体" w:cs="楷体"/>
        </w:rPr>
        <w:t>直径：</w:t>
      </w:r>
      <w:r>
        <w:rPr>
          <w:rFonts w:ascii="宋体" w:hAnsi="宋体" w:cs="楷体"/>
        </w:rPr>
        <w:t>28</w:t>
      </w:r>
      <w:r>
        <w:rPr>
          <w:rFonts w:hint="eastAsia" w:ascii="宋体" w:hAnsi="宋体" w:cs="楷体"/>
        </w:rPr>
        <w:t>00mm</w:t>
      </w:r>
    </w:p>
    <w:p>
      <w:pPr>
        <w:spacing w:before="203" w:beforeLines="50" w:after="203" w:afterLines="50" w:line="320" w:lineRule="exact"/>
        <w:ind w:firstLine="500" w:firstLineChars="200"/>
        <w:rPr>
          <w:rFonts w:ascii="宋体" w:hAnsi="宋体" w:cs="楷体"/>
        </w:rPr>
      </w:pPr>
      <w:r>
        <w:rPr>
          <w:rFonts w:hint="eastAsia" w:ascii="宋体" w:hAnsi="宋体" w:cs="楷体"/>
        </w:rPr>
        <w:t>标准进出接口：DN50法兰</w:t>
      </w:r>
    </w:p>
    <w:p>
      <w:pPr>
        <w:spacing w:before="203" w:beforeLines="50" w:after="203" w:afterLines="50" w:line="320" w:lineRule="exact"/>
        <w:ind w:firstLine="500" w:firstLineChars="200"/>
        <w:rPr>
          <w:rFonts w:ascii="宋体" w:hAnsi="宋体" w:cs="楷体"/>
        </w:rPr>
      </w:pPr>
      <w:r>
        <w:rPr>
          <w:rFonts w:hint="eastAsia" w:ascii="宋体" w:hAnsi="宋体" w:cs="楷体"/>
        </w:rPr>
        <w:t>颜色：蓝色</w:t>
      </w:r>
    </w:p>
    <w:p>
      <w:pPr>
        <w:spacing w:before="203" w:beforeLines="50" w:after="203" w:afterLines="50" w:line="320" w:lineRule="exact"/>
        <w:ind w:firstLine="500" w:firstLineChars="200"/>
        <w:rPr>
          <w:rFonts w:ascii="宋体" w:hAnsi="宋体" w:cs="楷体"/>
        </w:rPr>
      </w:pPr>
      <w:r>
        <w:rPr>
          <w:rFonts w:hint="eastAsia" w:ascii="宋体" w:hAnsi="宋体" w:cs="楷体"/>
        </w:rPr>
        <w:t>其他参数：储罐上预留排气口。储罐为加厚品，</w:t>
      </w:r>
      <w:r>
        <w:rPr>
          <w:rFonts w:ascii="宋体" w:hAnsi="宋体" w:cs="楷体"/>
        </w:rPr>
        <w:t>上</w:t>
      </w:r>
      <w:r>
        <w:rPr>
          <w:rFonts w:hint="eastAsia" w:ascii="宋体" w:hAnsi="宋体" w:cs="楷体"/>
        </w:rPr>
        <w:t>17</w:t>
      </w:r>
      <w:r>
        <w:rPr>
          <w:rFonts w:ascii="宋体" w:hAnsi="宋体" w:cs="楷体"/>
        </w:rPr>
        <w:t>mm，下</w:t>
      </w:r>
      <w:r>
        <w:rPr>
          <w:rFonts w:hint="eastAsia" w:ascii="宋体" w:hAnsi="宋体" w:cs="楷体"/>
        </w:rPr>
        <w:t>20</w:t>
      </w:r>
      <w:r>
        <w:rPr>
          <w:rFonts w:ascii="宋体" w:hAnsi="宋体" w:cs="楷体"/>
        </w:rPr>
        <w:t>mm</w:t>
      </w:r>
      <w:r>
        <w:rPr>
          <w:rFonts w:hint="eastAsia" w:ascii="宋体" w:hAnsi="宋体" w:cs="楷体"/>
        </w:rPr>
        <w:t>，另配防腐加强筋或</w:t>
      </w:r>
      <w:r>
        <w:rPr>
          <w:rFonts w:ascii="宋体" w:hAnsi="宋体" w:cs="楷体"/>
        </w:rPr>
        <w:t>补强套</w:t>
      </w:r>
      <w:r>
        <w:rPr>
          <w:rFonts w:hint="eastAsia" w:ascii="宋体" w:hAnsi="宋体" w:cs="楷体"/>
        </w:rPr>
        <w:t>。</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 法兰一体成型，立式储罐生产原料为食品级，并获得涉水卫生许可</w:t>
      </w:r>
    </w:p>
    <w:p>
      <w:pPr>
        <w:outlineLvl w:val="0"/>
        <w:rPr>
          <w:rFonts w:ascii="宋体" w:hAnsi="宋体"/>
          <w:b/>
        </w:rPr>
      </w:pPr>
      <w:bookmarkStart w:id="6668" w:name="_Toc106050495"/>
      <w:bookmarkStart w:id="6669" w:name="_Toc106883731"/>
      <w:r>
        <w:rPr>
          <w:rFonts w:hint="eastAsia" w:ascii="宋体" w:hAnsi="宋体"/>
          <w:b/>
        </w:rPr>
        <w:t>8.20.4.3超声波液位计</w:t>
      </w:r>
      <w:bookmarkEnd w:id="6668"/>
      <w:bookmarkEnd w:id="6669"/>
    </w:p>
    <w:p>
      <w:pPr>
        <w:spacing w:before="203" w:beforeLines="50" w:after="203" w:afterLines="50" w:line="320" w:lineRule="exact"/>
        <w:ind w:firstLine="500" w:firstLineChars="200"/>
        <w:rPr>
          <w:rFonts w:ascii="宋体" w:hAnsi="宋体" w:cs="楷体"/>
        </w:rPr>
      </w:pPr>
      <w:r>
        <w:rPr>
          <w:rFonts w:hint="eastAsia" w:ascii="宋体" w:hAnsi="宋体" w:cs="楷体"/>
        </w:rPr>
        <w:t>量程：5m</w:t>
      </w:r>
    </w:p>
    <w:p>
      <w:pPr>
        <w:spacing w:before="203" w:beforeLines="50" w:after="203" w:afterLines="50" w:line="320" w:lineRule="exact"/>
        <w:ind w:firstLine="500" w:firstLineChars="200"/>
        <w:rPr>
          <w:rFonts w:ascii="宋体" w:hAnsi="宋体" w:cs="楷体"/>
        </w:rPr>
      </w:pPr>
      <w:r>
        <w:rPr>
          <w:rFonts w:hint="eastAsia" w:ascii="宋体" w:hAnsi="宋体" w:cs="楷体"/>
        </w:rPr>
        <w:t>分辨率：1mm</w:t>
      </w:r>
    </w:p>
    <w:p>
      <w:pPr>
        <w:spacing w:before="203" w:beforeLines="50" w:after="203" w:afterLines="50" w:line="320" w:lineRule="exact"/>
        <w:ind w:firstLine="500" w:firstLineChars="200"/>
        <w:rPr>
          <w:rFonts w:ascii="宋体" w:hAnsi="宋体" w:cs="楷体"/>
        </w:rPr>
      </w:pPr>
      <w:r>
        <w:rPr>
          <w:rFonts w:hint="eastAsia" w:ascii="宋体" w:hAnsi="宋体" w:cs="楷体"/>
        </w:rPr>
        <w:t>精度：±3 mm OR 0.2%</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盲区：25cm </w:t>
      </w:r>
    </w:p>
    <w:p>
      <w:pPr>
        <w:spacing w:before="203" w:beforeLines="50" w:after="203" w:afterLines="50" w:line="320" w:lineRule="exact"/>
        <w:ind w:firstLine="500" w:firstLineChars="200"/>
        <w:rPr>
          <w:rFonts w:ascii="宋体" w:hAnsi="宋体" w:cs="楷体"/>
        </w:rPr>
      </w:pPr>
      <w:r>
        <w:rPr>
          <w:rFonts w:hint="eastAsia" w:ascii="宋体" w:hAnsi="宋体" w:cs="楷体"/>
        </w:rPr>
        <w:t>供电：24VDC（标准）</w:t>
      </w:r>
    </w:p>
    <w:p>
      <w:pPr>
        <w:spacing w:before="203" w:beforeLines="50" w:after="203" w:afterLines="50" w:line="320" w:lineRule="exact"/>
        <w:ind w:firstLine="500" w:firstLineChars="200"/>
        <w:rPr>
          <w:rFonts w:ascii="宋体" w:hAnsi="宋体" w:cs="楷体"/>
        </w:rPr>
      </w:pPr>
      <w:r>
        <w:rPr>
          <w:rFonts w:hint="eastAsia" w:ascii="宋体" w:hAnsi="宋体" w:cs="楷体"/>
        </w:rPr>
        <w:t>显示：清晰的多行文本图解显示、包络线显示</w:t>
      </w:r>
    </w:p>
    <w:p>
      <w:pPr>
        <w:spacing w:before="203" w:beforeLines="50" w:after="203" w:afterLines="50" w:line="320" w:lineRule="exact"/>
        <w:ind w:firstLine="500" w:firstLineChars="200"/>
        <w:rPr>
          <w:rFonts w:ascii="宋体" w:hAnsi="宋体" w:cs="楷体"/>
        </w:rPr>
      </w:pPr>
      <w:r>
        <w:rPr>
          <w:rFonts w:hint="eastAsia" w:ascii="宋体" w:hAnsi="宋体" w:cs="楷体"/>
        </w:rPr>
        <w:t>输出：4-20mA</w:t>
      </w:r>
    </w:p>
    <w:p>
      <w:pPr>
        <w:spacing w:before="203" w:beforeLines="50" w:after="203" w:afterLines="50" w:line="320" w:lineRule="exact"/>
        <w:ind w:firstLine="500" w:firstLineChars="200"/>
        <w:rPr>
          <w:rFonts w:ascii="宋体" w:hAnsi="宋体" w:cs="楷体"/>
        </w:rPr>
      </w:pPr>
      <w:r>
        <w:rPr>
          <w:rFonts w:hint="eastAsia" w:ascii="宋体" w:hAnsi="宋体" w:cs="楷体"/>
        </w:rPr>
        <w:t>过程连接：1-1/2”(5m)</w:t>
      </w:r>
    </w:p>
    <w:p>
      <w:pPr>
        <w:spacing w:before="203" w:beforeLines="50" w:after="203" w:afterLines="50" w:line="320" w:lineRule="exact"/>
        <w:ind w:firstLine="500" w:firstLineChars="200"/>
        <w:rPr>
          <w:rFonts w:ascii="宋体" w:hAnsi="宋体" w:cs="楷体"/>
        </w:rPr>
      </w:pPr>
      <w:r>
        <w:rPr>
          <w:rFonts w:hint="eastAsia" w:ascii="宋体" w:hAnsi="宋体" w:cs="楷体"/>
        </w:rPr>
        <w:t>外壳材质：F16塑料透明显示盖</w:t>
      </w:r>
    </w:p>
    <w:p>
      <w:pPr>
        <w:spacing w:before="203" w:beforeLines="50" w:after="203" w:afterLines="50" w:line="320" w:lineRule="exact"/>
        <w:ind w:firstLine="500" w:firstLineChars="200"/>
        <w:rPr>
          <w:rFonts w:ascii="宋体" w:hAnsi="宋体" w:cs="楷体"/>
        </w:rPr>
      </w:pPr>
      <w:r>
        <w:rPr>
          <w:rFonts w:hint="eastAsia" w:ascii="宋体" w:hAnsi="宋体" w:cs="楷体"/>
        </w:rPr>
        <w:t>工作温度：-20-60℃</w:t>
      </w:r>
    </w:p>
    <w:p>
      <w:pPr>
        <w:spacing w:before="203" w:beforeLines="50" w:after="203" w:afterLines="50" w:line="320" w:lineRule="exact"/>
        <w:ind w:firstLine="500" w:firstLineChars="200"/>
        <w:rPr>
          <w:rFonts w:ascii="宋体" w:hAnsi="宋体" w:cs="楷体"/>
        </w:rPr>
      </w:pPr>
      <w:r>
        <w:rPr>
          <w:rFonts w:hint="eastAsia" w:ascii="宋体" w:hAnsi="宋体" w:cs="楷体"/>
        </w:rPr>
        <w:t>补偿：介质温度，带干扰信号抑制功能</w:t>
      </w:r>
    </w:p>
    <w:p>
      <w:pPr>
        <w:spacing w:before="203" w:beforeLines="50" w:after="203" w:afterLines="50" w:line="320" w:lineRule="exact"/>
        <w:ind w:firstLine="500" w:firstLineChars="200"/>
        <w:rPr>
          <w:rFonts w:ascii="宋体" w:hAnsi="宋体" w:cs="楷体"/>
        </w:rPr>
      </w:pPr>
      <w:r>
        <w:rPr>
          <w:rFonts w:hint="eastAsia" w:ascii="宋体" w:hAnsi="宋体" w:cs="楷体"/>
        </w:rPr>
        <w:t>防护等级：IP68</w:t>
      </w:r>
    </w:p>
    <w:p>
      <w:pPr>
        <w:spacing w:before="203" w:beforeLines="50" w:after="203" w:afterLines="50" w:line="320" w:lineRule="exact"/>
        <w:ind w:firstLine="500" w:firstLineChars="200"/>
        <w:rPr>
          <w:rFonts w:ascii="宋体" w:hAnsi="宋体" w:cs="楷体"/>
        </w:rPr>
      </w:pPr>
      <w:r>
        <w:rPr>
          <w:rFonts w:hint="eastAsia" w:ascii="宋体" w:hAnsi="宋体" w:cs="楷体"/>
        </w:rPr>
        <w:t>输出：4-20mA</w:t>
      </w:r>
    </w:p>
    <w:p>
      <w:pPr>
        <w:spacing w:before="203" w:beforeLines="50" w:after="203" w:afterLines="50" w:line="320" w:lineRule="exact"/>
        <w:ind w:firstLine="500" w:firstLineChars="200"/>
        <w:rPr>
          <w:rFonts w:ascii="宋体" w:hAnsi="宋体"/>
        </w:rPr>
      </w:pPr>
      <w:r>
        <w:rPr>
          <w:rFonts w:hint="eastAsia" w:ascii="宋体" w:hAnsi="宋体" w:cs="楷体"/>
        </w:rPr>
        <w:t>湿度：50 %</w:t>
      </w:r>
    </w:p>
    <w:p>
      <w:pPr>
        <w:rPr>
          <w:rFonts w:ascii="宋体" w:hAnsi="宋体"/>
          <w:b/>
        </w:rPr>
      </w:pPr>
      <w:r>
        <w:rPr>
          <w:rFonts w:hint="eastAsia" w:ascii="宋体" w:hAnsi="宋体"/>
          <w:b/>
        </w:rPr>
        <w:t>8.20.4.4数字</w:t>
      </w:r>
      <w:r>
        <w:rPr>
          <w:rFonts w:ascii="宋体" w:hAnsi="宋体"/>
          <w:b/>
        </w:rPr>
        <w:t>计量泵</w:t>
      </w:r>
    </w:p>
    <w:p>
      <w:pPr>
        <w:spacing w:before="203" w:beforeLines="50" w:after="203" w:afterLines="50" w:line="320" w:lineRule="exact"/>
        <w:ind w:firstLine="500" w:firstLineChars="200"/>
        <w:rPr>
          <w:rFonts w:ascii="宋体" w:hAnsi="宋体" w:cs="楷体"/>
        </w:rPr>
      </w:pPr>
      <w:r>
        <w:rPr>
          <w:rFonts w:hint="eastAsia" w:ascii="宋体" w:hAnsi="宋体" w:cs="楷体"/>
        </w:rPr>
        <w:t>最大投加量： 5</w:t>
      </w:r>
      <w:r>
        <w:rPr>
          <w:rFonts w:ascii="宋体" w:hAnsi="宋体" w:cs="楷体"/>
        </w:rPr>
        <w:t>0</w:t>
      </w:r>
      <w:r>
        <w:rPr>
          <w:rFonts w:hint="eastAsia" w:ascii="宋体" w:hAnsi="宋体" w:cs="楷体"/>
        </w:rPr>
        <w:t xml:space="preserve"> L/h </w:t>
      </w:r>
    </w:p>
    <w:p>
      <w:pPr>
        <w:spacing w:before="203" w:beforeLines="50" w:after="203" w:afterLines="50" w:line="320" w:lineRule="exact"/>
        <w:ind w:firstLine="500" w:firstLineChars="200"/>
        <w:rPr>
          <w:rFonts w:ascii="宋体" w:hAnsi="宋体" w:cs="楷体"/>
        </w:rPr>
      </w:pPr>
      <w:r>
        <w:rPr>
          <w:rFonts w:hint="eastAsia" w:ascii="宋体" w:hAnsi="宋体" w:cs="楷体"/>
        </w:rPr>
        <w:t>最大工作压力：0.7Mpa</w:t>
      </w:r>
    </w:p>
    <w:p>
      <w:pPr>
        <w:spacing w:before="203" w:beforeLines="50" w:after="203" w:afterLines="50" w:line="320" w:lineRule="exact"/>
        <w:ind w:firstLine="500" w:firstLineChars="200"/>
        <w:rPr>
          <w:rFonts w:ascii="宋体" w:hAnsi="宋体" w:cs="楷体"/>
        </w:rPr>
      </w:pPr>
      <w:r>
        <w:rPr>
          <w:rFonts w:hint="eastAsia" w:ascii="宋体" w:hAnsi="宋体" w:cs="楷体"/>
        </w:rPr>
        <w:t>计量泵必须为欧美进口品牌；投标人需书面承诺在供货时提供报关单、原产地证明、运单号。</w:t>
      </w:r>
    </w:p>
    <w:p>
      <w:pPr>
        <w:spacing w:before="203" w:beforeLines="50" w:after="203" w:afterLines="50" w:line="320" w:lineRule="exact"/>
        <w:ind w:firstLine="500" w:firstLineChars="200"/>
        <w:rPr>
          <w:rFonts w:ascii="宋体" w:hAnsi="宋体" w:cs="楷体"/>
        </w:rPr>
      </w:pPr>
      <w:r>
        <w:rPr>
          <w:rFonts w:hint="eastAsia" w:ascii="宋体" w:hAnsi="宋体" w:cs="楷体"/>
        </w:rPr>
        <w:t>数字计量泵的投加精度必须达到±1%以上。</w:t>
      </w:r>
    </w:p>
    <w:p>
      <w:pPr>
        <w:spacing w:before="203" w:beforeLines="50" w:after="203" w:afterLines="50" w:line="320" w:lineRule="exact"/>
        <w:ind w:firstLine="500" w:firstLineChars="200"/>
        <w:rPr>
          <w:rFonts w:ascii="宋体" w:hAnsi="宋体" w:cs="楷体"/>
        </w:rPr>
      </w:pPr>
      <w:r>
        <w:rPr>
          <w:rFonts w:hint="eastAsia" w:ascii="宋体" w:hAnsi="宋体" w:cs="楷体"/>
        </w:rPr>
        <w:t>加药计量泵采用数字式隔膜计量泵，计量泵本身设有可读的液晶面板，通过显示屏可以直接读取显示的流量（mL/h或者L/h）,脉冲或者批量投加。</w:t>
      </w:r>
    </w:p>
    <w:p>
      <w:pPr>
        <w:spacing w:before="203" w:beforeLines="50" w:after="203" w:afterLines="50" w:line="320" w:lineRule="exact"/>
        <w:ind w:firstLine="500" w:firstLineChars="200"/>
        <w:rPr>
          <w:rFonts w:ascii="宋体" w:hAnsi="宋体" w:cs="楷体"/>
        </w:rPr>
      </w:pPr>
      <w:r>
        <w:rPr>
          <w:rFonts w:hint="eastAsia" w:ascii="宋体" w:hAnsi="宋体" w:cs="楷体"/>
        </w:rPr>
        <w:t>友好的界面显示能容易地操作泵，能通过菜单来使用标准控制功能，包括脉冲、模拟量、定时、批投加和排气控制，以及标定和更多的功能。</w:t>
      </w:r>
    </w:p>
    <w:p>
      <w:pPr>
        <w:spacing w:before="203" w:beforeLines="50" w:after="203" w:afterLines="50" w:line="320" w:lineRule="exact"/>
        <w:ind w:firstLine="500" w:firstLineChars="200"/>
        <w:rPr>
          <w:rFonts w:ascii="宋体" w:hAnsi="宋体" w:cs="楷体"/>
        </w:rPr>
      </w:pPr>
      <w:r>
        <w:rPr>
          <w:rFonts w:hint="eastAsia" w:ascii="宋体" w:hAnsi="宋体" w:cs="楷体"/>
        </w:rPr>
        <w:t>计量泵满足在不外接变频器或电动冲程长度调节装置的情况下实现流量自动调节。通过接受外部的4-20mA控制信号，计量泵能够通过在固定吸入速度的情况下，通过自动调节步进电机的转速来调节排出速度，实现自动调节投加过程，确保最佳和充分的调节效果。</w:t>
      </w:r>
    </w:p>
    <w:p>
      <w:pPr>
        <w:spacing w:before="203" w:beforeLines="50" w:after="203" w:afterLines="50" w:line="320" w:lineRule="exact"/>
        <w:ind w:firstLine="500" w:firstLineChars="200"/>
        <w:rPr>
          <w:rFonts w:ascii="宋体" w:hAnsi="宋体" w:cs="楷体"/>
        </w:rPr>
      </w:pPr>
      <w:r>
        <w:rPr>
          <w:rFonts w:hint="eastAsia" w:ascii="宋体" w:hAnsi="宋体" w:cs="楷体"/>
        </w:rPr>
        <w:t>在不同背压和吸水水头变化的情况下，加注泵的精度都应优于额定能力的1%。</w:t>
      </w:r>
    </w:p>
    <w:p>
      <w:pPr>
        <w:spacing w:before="203" w:beforeLines="50" w:after="203" w:afterLines="50" w:line="320" w:lineRule="exact"/>
        <w:ind w:firstLine="500" w:firstLineChars="200"/>
        <w:rPr>
          <w:rFonts w:ascii="宋体" w:hAnsi="宋体" w:cs="楷体"/>
        </w:rPr>
      </w:pPr>
      <w:r>
        <w:rPr>
          <w:rFonts w:hint="eastAsia" w:ascii="宋体" w:hAnsi="宋体" w:cs="楷体"/>
        </w:rPr>
        <w:t>数字计量泵采用宽幅供电电源，自动适配(100–240VAC – 50/60Hz)。采用步进电机驱动技术和微处理器，保证低脉冲工况下的药剂的准确投加。提供1：800的调节比例。</w:t>
      </w:r>
    </w:p>
    <w:p>
      <w:pPr>
        <w:spacing w:before="203" w:beforeLines="50" w:after="203" w:afterLines="50" w:line="320" w:lineRule="exact"/>
        <w:ind w:firstLine="500" w:firstLineChars="200"/>
        <w:rPr>
          <w:rFonts w:ascii="宋体" w:hAnsi="宋体" w:cs="楷体"/>
        </w:rPr>
      </w:pPr>
      <w:r>
        <w:rPr>
          <w:rFonts w:hint="eastAsia" w:ascii="宋体" w:hAnsi="宋体" w:cs="楷体"/>
        </w:rPr>
        <w:t>经过背压阀后，流量曲线需呈线性变化。</w:t>
      </w:r>
    </w:p>
    <w:p>
      <w:pPr>
        <w:spacing w:before="203" w:beforeLines="50" w:after="203" w:afterLines="50" w:line="320" w:lineRule="exact"/>
        <w:ind w:firstLine="500" w:firstLineChars="200"/>
        <w:rPr>
          <w:rFonts w:ascii="宋体" w:hAnsi="宋体" w:cs="楷体"/>
        </w:rPr>
      </w:pPr>
      <w:r>
        <w:rPr>
          <w:rFonts w:hint="eastAsia" w:ascii="宋体" w:hAnsi="宋体" w:cs="楷体"/>
        </w:rPr>
        <w:t>泵体配备有液晶操作面板，通过按钮设计投加量。调节范围0-100%。</w:t>
      </w:r>
    </w:p>
    <w:p>
      <w:pPr>
        <w:spacing w:before="203" w:beforeLines="50" w:after="203" w:afterLines="50" w:line="320" w:lineRule="exact"/>
        <w:ind w:firstLine="500" w:firstLineChars="200"/>
        <w:rPr>
          <w:rFonts w:ascii="宋体" w:hAnsi="宋体" w:cs="楷体"/>
        </w:rPr>
      </w:pPr>
      <w:r>
        <w:rPr>
          <w:rFonts w:hint="eastAsia" w:ascii="宋体" w:hAnsi="宋体" w:cs="楷体"/>
        </w:rPr>
        <w:t>计量泵带负荷运行时，泵的噪音不高于70 dB（A），无异常振动，各密封处没有泄漏。</w:t>
      </w:r>
    </w:p>
    <w:p>
      <w:pPr>
        <w:spacing w:before="203" w:beforeLines="50" w:after="203" w:afterLines="50" w:line="320" w:lineRule="exact"/>
        <w:ind w:firstLine="500" w:firstLineChars="200"/>
        <w:rPr>
          <w:rFonts w:ascii="宋体" w:hAnsi="宋体" w:cs="楷体"/>
        </w:rPr>
      </w:pPr>
      <w:r>
        <w:rPr>
          <w:rFonts w:hint="eastAsia" w:ascii="宋体" w:hAnsi="宋体" w:cs="楷体"/>
        </w:rPr>
        <w:t>加药计量泵在出厂前，在明显的部位标注电动机旋转方向指示箭头。</w:t>
      </w:r>
    </w:p>
    <w:p>
      <w:pPr>
        <w:spacing w:before="203" w:beforeLines="50" w:after="203" w:afterLines="50" w:line="320" w:lineRule="exact"/>
        <w:ind w:firstLine="500" w:firstLineChars="200"/>
        <w:rPr>
          <w:rFonts w:ascii="宋体" w:hAnsi="宋体" w:cs="楷体"/>
        </w:rPr>
      </w:pPr>
      <w:r>
        <w:rPr>
          <w:rFonts w:hint="eastAsia" w:ascii="宋体" w:hAnsi="宋体" w:cs="楷体"/>
        </w:rPr>
        <w:t>数字投加泵精度：药流量&lt;±1%,线性度&lt;±2%，重复性±1%</w:t>
      </w:r>
    </w:p>
    <w:p>
      <w:pPr>
        <w:spacing w:before="203" w:beforeLines="50" w:after="203" w:afterLines="50" w:line="320" w:lineRule="exact"/>
        <w:ind w:firstLine="500" w:firstLineChars="200"/>
        <w:rPr>
          <w:rFonts w:ascii="宋体" w:hAnsi="宋体" w:cs="楷体"/>
        </w:rPr>
      </w:pPr>
      <w:r>
        <w:rPr>
          <w:rFonts w:hint="eastAsia" w:ascii="宋体" w:hAnsi="宋体" w:cs="楷体"/>
        </w:rPr>
        <w:t>配套直流步进电机</w:t>
      </w:r>
    </w:p>
    <w:p>
      <w:pPr>
        <w:spacing w:before="203" w:beforeLines="50" w:after="203" w:afterLines="50" w:line="320" w:lineRule="exact"/>
        <w:ind w:firstLine="500" w:firstLineChars="200"/>
        <w:rPr>
          <w:rFonts w:ascii="宋体" w:hAnsi="宋体" w:cs="楷体"/>
        </w:rPr>
      </w:pPr>
      <w:r>
        <w:rPr>
          <w:rFonts w:hint="eastAsia" w:ascii="宋体" w:hAnsi="宋体" w:cs="楷体"/>
        </w:rPr>
        <w:t>连接方式：进口：PVC承插接口；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出口：PVC承插接口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泵头材质：PVDF或PVC</w:t>
      </w:r>
    </w:p>
    <w:p>
      <w:pPr>
        <w:spacing w:before="203" w:beforeLines="50" w:after="203" w:afterLines="50" w:line="320" w:lineRule="exact"/>
        <w:ind w:firstLine="500" w:firstLineChars="200"/>
        <w:rPr>
          <w:rFonts w:ascii="宋体" w:hAnsi="宋体" w:cs="楷体"/>
        </w:rPr>
      </w:pPr>
      <w:r>
        <w:rPr>
          <w:rFonts w:hint="eastAsia" w:ascii="宋体" w:hAnsi="宋体" w:cs="楷体"/>
        </w:rPr>
        <w:t>密封材质：PTFE或FKM</w:t>
      </w:r>
    </w:p>
    <w:p>
      <w:pPr>
        <w:spacing w:before="203" w:beforeLines="50" w:after="203" w:afterLines="50" w:line="320" w:lineRule="exact"/>
        <w:ind w:firstLine="500" w:firstLineChars="200"/>
        <w:rPr>
          <w:rFonts w:ascii="宋体" w:hAnsi="宋体" w:cs="楷体"/>
        </w:rPr>
      </w:pPr>
      <w:r>
        <w:rPr>
          <w:rFonts w:hint="eastAsia" w:ascii="宋体" w:hAnsi="宋体" w:cs="楷体"/>
        </w:rPr>
        <w:t>阀球或阀板：陶瓷</w:t>
      </w:r>
    </w:p>
    <w:p>
      <w:pPr>
        <w:spacing w:before="203" w:beforeLines="50" w:after="203" w:afterLines="50" w:line="320" w:lineRule="exact"/>
        <w:ind w:firstLine="500" w:firstLineChars="200"/>
        <w:rPr>
          <w:rFonts w:ascii="宋体" w:hAnsi="宋体" w:cs="楷体"/>
        </w:rPr>
      </w:pPr>
      <w:r>
        <w:rPr>
          <w:rFonts w:hint="eastAsia" w:ascii="宋体" w:hAnsi="宋体" w:cs="楷体"/>
        </w:rPr>
        <w:t>调节范围：1：800；</w:t>
      </w:r>
    </w:p>
    <w:p>
      <w:pPr>
        <w:spacing w:before="203" w:beforeLines="50" w:after="203" w:afterLines="50" w:line="320" w:lineRule="exact"/>
        <w:ind w:firstLine="500" w:firstLineChars="200"/>
        <w:rPr>
          <w:rFonts w:ascii="宋体" w:hAnsi="宋体" w:cs="楷体"/>
        </w:rPr>
      </w:pPr>
      <w:r>
        <w:rPr>
          <w:rFonts w:hint="eastAsia" w:ascii="宋体" w:hAnsi="宋体" w:cs="楷体"/>
        </w:rPr>
        <w:t>调节方式：4-20mA</w:t>
      </w:r>
    </w:p>
    <w:p>
      <w:pPr>
        <w:spacing w:before="203" w:beforeLines="50" w:after="203" w:afterLines="50" w:line="320" w:lineRule="exact"/>
        <w:ind w:firstLine="500" w:firstLineChars="200"/>
        <w:rPr>
          <w:rFonts w:ascii="宋体" w:hAnsi="宋体" w:cs="楷体"/>
        </w:rPr>
      </w:pPr>
      <w:r>
        <w:rPr>
          <w:rFonts w:hint="eastAsia" w:ascii="宋体" w:hAnsi="宋体" w:cs="楷体"/>
        </w:rPr>
        <w:t>防护等级：IP54；</w:t>
      </w:r>
    </w:p>
    <w:p>
      <w:pPr>
        <w:spacing w:before="203" w:beforeLines="50" w:after="203" w:afterLines="50" w:line="320" w:lineRule="exact"/>
        <w:ind w:firstLine="500" w:firstLineChars="200"/>
        <w:rPr>
          <w:rFonts w:ascii="宋体" w:hAnsi="宋体" w:cs="楷体"/>
        </w:rPr>
      </w:pPr>
      <w:r>
        <w:rPr>
          <w:rFonts w:hint="eastAsia" w:ascii="宋体" w:hAnsi="宋体" w:cs="楷体"/>
        </w:rPr>
        <w:t>绝缘等级：F。</w:t>
      </w:r>
    </w:p>
    <w:p>
      <w:pPr>
        <w:spacing w:before="203" w:beforeLines="50" w:after="203" w:afterLines="50" w:line="320" w:lineRule="exact"/>
        <w:ind w:firstLine="500" w:firstLineChars="200"/>
        <w:rPr>
          <w:rFonts w:ascii="宋体" w:hAnsi="宋体" w:cs="楷体"/>
        </w:rPr>
      </w:pPr>
      <w:r>
        <w:rPr>
          <w:rFonts w:hint="eastAsia" w:ascii="宋体" w:hAnsi="宋体" w:cs="楷体"/>
        </w:rPr>
        <w:t>电机：220V，功率与泵配套</w:t>
      </w:r>
    </w:p>
    <w:p>
      <w:pPr>
        <w:spacing w:before="203" w:beforeLines="50" w:after="203" w:afterLines="50" w:line="320" w:lineRule="exact"/>
        <w:ind w:firstLine="500" w:firstLineChars="200"/>
        <w:rPr>
          <w:rFonts w:ascii="宋体" w:hAnsi="宋体"/>
        </w:rPr>
      </w:pPr>
      <w:r>
        <w:rPr>
          <w:rFonts w:hint="eastAsia" w:ascii="宋体" w:hAnsi="宋体" w:cs="楷体"/>
        </w:rPr>
        <w:t>驱动方式：电动</w:t>
      </w:r>
    </w:p>
    <w:p>
      <w:pPr>
        <w:rPr>
          <w:rFonts w:ascii="宋体" w:hAnsi="宋体"/>
          <w:b/>
        </w:rPr>
      </w:pPr>
      <w:r>
        <w:rPr>
          <w:rFonts w:hint="eastAsia" w:ascii="宋体" w:hAnsi="宋体"/>
          <w:b/>
        </w:rPr>
        <w:t>8.20.4.5安全阀（内密封圈、接口O型圈必须耐腐蚀）</w:t>
      </w:r>
    </w:p>
    <w:p>
      <w:pPr>
        <w:spacing w:before="203" w:beforeLines="50" w:after="203" w:afterLines="50" w:line="320" w:lineRule="exact"/>
        <w:ind w:firstLine="500" w:firstLineChars="200"/>
        <w:rPr>
          <w:rFonts w:ascii="宋体" w:hAnsi="宋体" w:cs="楷体"/>
        </w:rPr>
      </w:pPr>
      <w:r>
        <w:rPr>
          <w:rFonts w:hint="eastAsia" w:ascii="宋体" w:hAnsi="宋体" w:cs="楷体"/>
        </w:rPr>
        <w:t>安装在计量泵的压力端，可以防止管路出现过高的压力。</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O型圈：Viton</w:t>
      </w:r>
    </w:p>
    <w:p>
      <w:pPr>
        <w:spacing w:before="203" w:beforeLines="50" w:after="203" w:afterLines="50" w:line="320" w:lineRule="exact"/>
        <w:ind w:firstLine="500" w:firstLineChars="200"/>
        <w:rPr>
          <w:rFonts w:ascii="宋体" w:hAnsi="宋体" w:cs="楷体"/>
        </w:rPr>
      </w:pPr>
      <w:r>
        <w:rPr>
          <w:rFonts w:hint="eastAsia" w:ascii="宋体" w:hAnsi="宋体" w:cs="楷体"/>
        </w:rPr>
        <w:t>隔膜：PTFE</w:t>
      </w:r>
    </w:p>
    <w:p>
      <w:pPr>
        <w:spacing w:before="203" w:beforeLines="50" w:after="203" w:afterLines="50" w:line="320" w:lineRule="exact"/>
        <w:ind w:firstLine="500" w:firstLineChars="200"/>
        <w:rPr>
          <w:rFonts w:ascii="宋体" w:hAnsi="宋体" w:cs="宋体"/>
          <w:kern w:val="1"/>
          <w:szCs w:val="21"/>
          <w:shd w:val="clear" w:color="auto" w:fill="FFFFFF"/>
        </w:rPr>
      </w:pPr>
      <w:r>
        <w:rPr>
          <w:rFonts w:hint="eastAsia" w:ascii="宋体" w:hAnsi="宋体" w:cs="楷体"/>
        </w:rPr>
        <w:t>出厂调节至3bar</w:t>
      </w:r>
    </w:p>
    <w:p>
      <w:pPr>
        <w:rPr>
          <w:rFonts w:ascii="宋体" w:hAnsi="宋体"/>
          <w:b/>
        </w:rPr>
      </w:pPr>
      <w:r>
        <w:rPr>
          <w:rFonts w:hint="eastAsia" w:ascii="宋体" w:hAnsi="宋体"/>
          <w:b/>
        </w:rPr>
        <w:t>8.20.4.6背压阀（压力保持阀）</w:t>
      </w:r>
    </w:p>
    <w:p>
      <w:pPr>
        <w:spacing w:before="203" w:beforeLines="50" w:after="203" w:afterLines="50" w:line="320" w:lineRule="exact"/>
        <w:ind w:firstLine="500" w:firstLineChars="200"/>
        <w:rPr>
          <w:rFonts w:ascii="宋体" w:hAnsi="宋体" w:cs="楷体"/>
        </w:rPr>
      </w:pPr>
      <w:r>
        <w:rPr>
          <w:rFonts w:hint="eastAsia" w:ascii="宋体" w:hAnsi="宋体" w:cs="楷体"/>
        </w:rPr>
        <w:t>在投加系统没有背压、背压不稳定或者投加点位置比泵低时，用于维持计量泵投加流量的稳定。通过一个带弹簧的调节螺冒可以调节背压阀的压力。PVC材质，PTFE隔膜，出厂调节至3bar。</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O型圈：Viton</w:t>
      </w:r>
    </w:p>
    <w:p>
      <w:pPr>
        <w:spacing w:before="203" w:beforeLines="50" w:after="203" w:afterLines="50" w:line="320" w:lineRule="exact"/>
        <w:ind w:firstLine="500" w:firstLineChars="200"/>
        <w:rPr>
          <w:rFonts w:ascii="宋体" w:hAnsi="宋体" w:cs="楷体"/>
        </w:rPr>
      </w:pPr>
      <w:r>
        <w:rPr>
          <w:rFonts w:hint="eastAsia" w:ascii="宋体" w:hAnsi="宋体" w:cs="楷体"/>
        </w:rPr>
        <w:t>隔膜：PTFE</w:t>
      </w:r>
    </w:p>
    <w:p>
      <w:pPr>
        <w:spacing w:before="203" w:beforeLines="50" w:after="203" w:afterLines="50" w:line="320" w:lineRule="exact"/>
        <w:ind w:firstLine="500" w:firstLineChars="200"/>
        <w:rPr>
          <w:rFonts w:ascii="宋体" w:hAnsi="宋体" w:cs="宋体"/>
          <w:kern w:val="1"/>
          <w:szCs w:val="21"/>
          <w:shd w:val="clear" w:color="auto" w:fill="FFFFFF"/>
        </w:rPr>
      </w:pPr>
      <w:r>
        <w:rPr>
          <w:rFonts w:hint="eastAsia" w:ascii="宋体" w:hAnsi="宋体" w:cs="楷体"/>
        </w:rPr>
        <w:t>出厂调节至2bar</w:t>
      </w:r>
    </w:p>
    <w:p>
      <w:pPr>
        <w:rPr>
          <w:rFonts w:ascii="宋体" w:hAnsi="宋体"/>
          <w:b/>
        </w:rPr>
      </w:pPr>
      <w:r>
        <w:rPr>
          <w:rFonts w:hint="eastAsia" w:ascii="宋体" w:hAnsi="宋体"/>
          <w:b/>
        </w:rPr>
        <w:t>8.20.4.7脉冲阻尼器</w:t>
      </w:r>
    </w:p>
    <w:p>
      <w:pPr>
        <w:spacing w:before="203" w:beforeLines="50" w:after="203" w:afterLines="50" w:line="320" w:lineRule="exact"/>
        <w:ind w:firstLine="500" w:firstLineChars="200"/>
        <w:rPr>
          <w:rFonts w:ascii="宋体" w:hAnsi="宋体" w:cs="楷体"/>
        </w:rPr>
      </w:pPr>
      <w:r>
        <w:rPr>
          <w:rFonts w:hint="eastAsia" w:ascii="宋体" w:hAnsi="宋体" w:cs="楷体"/>
        </w:rPr>
        <w:t>通过能量平衡的方式减少精密计量泵药液输出的脉冲，使精密计量泵药液输出均匀，形成近似线性的流体特性，增加进料的平稳性，并消除因脉冲可能引起的振动对计量泵和系统造成的伤害。脉冲阻尼器隔膜材质为PTFE。</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材质</w:t>
      </w:r>
      <w:r>
        <w:rPr>
          <w:rFonts w:ascii="宋体" w:hAnsi="宋体" w:cs="楷体"/>
        </w:rPr>
        <w:t>：</w:t>
      </w:r>
      <w:r>
        <w:rPr>
          <w:rFonts w:hint="eastAsia" w:ascii="宋体" w:hAnsi="宋体" w:cs="楷体"/>
        </w:rPr>
        <w:t>UPVC</w:t>
      </w:r>
    </w:p>
    <w:p>
      <w:pPr>
        <w:spacing w:before="203" w:beforeLines="50" w:after="203" w:afterLines="50" w:line="320" w:lineRule="exact"/>
        <w:ind w:firstLine="500" w:firstLineChars="200"/>
        <w:rPr>
          <w:rFonts w:ascii="宋体" w:hAnsi="宋体" w:cs="楷体"/>
        </w:rPr>
      </w:pPr>
      <w:r>
        <w:rPr>
          <w:rFonts w:hint="eastAsia" w:ascii="宋体" w:hAnsi="宋体" w:cs="楷体"/>
        </w:rPr>
        <w:t>密封垫</w:t>
      </w:r>
      <w:r>
        <w:rPr>
          <w:rFonts w:ascii="宋体" w:hAnsi="宋体" w:cs="楷体"/>
        </w:rPr>
        <w:t>：</w:t>
      </w:r>
      <w:r>
        <w:rPr>
          <w:rFonts w:hint="eastAsia" w:ascii="宋体" w:hAnsi="宋体" w:cs="楷体"/>
        </w:rPr>
        <w:t>V</w:t>
      </w:r>
      <w:r>
        <w:rPr>
          <w:rFonts w:ascii="宋体" w:hAnsi="宋体" w:cs="楷体"/>
        </w:rPr>
        <w:t>iton</w:t>
      </w:r>
    </w:p>
    <w:p>
      <w:pPr>
        <w:spacing w:before="203" w:beforeLines="50" w:after="203" w:afterLines="50" w:line="320" w:lineRule="exact"/>
        <w:ind w:firstLine="500" w:firstLineChars="200"/>
        <w:rPr>
          <w:rFonts w:ascii="宋体" w:hAnsi="宋体" w:cs="楷体"/>
        </w:rPr>
      </w:pPr>
      <w:r>
        <w:rPr>
          <w:rFonts w:hint="eastAsia" w:ascii="宋体" w:hAnsi="宋体" w:cs="楷体"/>
        </w:rPr>
        <w:t>容积</w:t>
      </w:r>
      <w:r>
        <w:rPr>
          <w:rFonts w:ascii="宋体" w:hAnsi="宋体" w:cs="楷体"/>
        </w:rPr>
        <w:t>：</w:t>
      </w:r>
      <w:r>
        <w:rPr>
          <w:rFonts w:hint="eastAsia" w:ascii="宋体" w:hAnsi="宋体" w:cs="楷体"/>
        </w:rPr>
        <w:t>根据设备清单</w:t>
      </w:r>
    </w:p>
    <w:p>
      <w:pPr>
        <w:rPr>
          <w:rFonts w:ascii="宋体" w:hAnsi="宋体"/>
          <w:b/>
        </w:rPr>
      </w:pPr>
      <w:r>
        <w:rPr>
          <w:rFonts w:hint="eastAsia" w:ascii="宋体" w:hAnsi="宋体"/>
          <w:b/>
        </w:rPr>
        <w:t>8.20.4.8Y型过滤器</w:t>
      </w:r>
    </w:p>
    <w:p>
      <w:pPr>
        <w:spacing w:before="203" w:beforeLines="50" w:after="203" w:afterLines="50" w:line="320" w:lineRule="exact"/>
        <w:ind w:firstLine="500" w:firstLineChars="200"/>
        <w:rPr>
          <w:rFonts w:ascii="宋体" w:hAnsi="宋体" w:cs="楷体"/>
        </w:rPr>
      </w:pPr>
      <w:r>
        <w:rPr>
          <w:rFonts w:hint="eastAsia" w:ascii="宋体" w:hAnsi="宋体" w:cs="楷体"/>
        </w:rPr>
        <w:t>是输送介质的管道系统不可缺少的一种过滤装置，Y型过滤器通常安装在减压阀、泄压阀、定水位阀或其它设备的进口端，用来清除介质中的杂质，以保护阀门及设备的正常使用。Y型过滤器应具有结构先进，阻力小，排污方便等特点。Y型过滤器适用介质可为水、油、气。</w:t>
      </w:r>
    </w:p>
    <w:p>
      <w:pPr>
        <w:spacing w:before="203" w:beforeLines="50" w:after="203" w:afterLines="50" w:line="320" w:lineRule="exact"/>
        <w:ind w:firstLine="500" w:firstLineChars="200"/>
        <w:rPr>
          <w:rFonts w:ascii="宋体" w:hAnsi="宋体" w:cs="楷体"/>
        </w:rPr>
      </w:pPr>
      <w:r>
        <w:rPr>
          <w:rFonts w:hint="eastAsia" w:ascii="宋体" w:hAnsi="宋体" w:cs="楷体"/>
        </w:rPr>
        <w:t>材质：UPVC，滤芯应易于检查和拆卸清除杂质。</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公称压力：1.6MPa</w:t>
      </w:r>
    </w:p>
    <w:p>
      <w:pPr>
        <w:spacing w:before="203" w:beforeLines="50" w:after="203" w:afterLines="50" w:line="320" w:lineRule="exact"/>
        <w:ind w:firstLine="500" w:firstLineChars="200"/>
        <w:rPr>
          <w:rFonts w:ascii="宋体" w:hAnsi="宋体"/>
          <w:szCs w:val="21"/>
        </w:rPr>
      </w:pPr>
      <w:r>
        <w:rPr>
          <w:rFonts w:hint="eastAsia" w:ascii="宋体" w:hAnsi="宋体" w:cs="楷体"/>
        </w:rPr>
        <w:t>连接口径：根据设备清单</w:t>
      </w:r>
    </w:p>
    <w:p>
      <w:pPr>
        <w:rPr>
          <w:rFonts w:ascii="宋体" w:hAnsi="宋体"/>
          <w:b/>
        </w:rPr>
      </w:pPr>
      <w:r>
        <w:rPr>
          <w:rFonts w:hint="eastAsia" w:ascii="宋体" w:hAnsi="宋体"/>
          <w:b/>
        </w:rPr>
        <w:t>8.20.4.9隔膜压力表</w:t>
      </w:r>
    </w:p>
    <w:p>
      <w:pPr>
        <w:spacing w:before="203" w:beforeLines="50" w:after="203" w:afterLines="50" w:line="320" w:lineRule="exact"/>
        <w:ind w:firstLine="500" w:firstLineChars="200"/>
        <w:rPr>
          <w:rFonts w:ascii="宋体" w:hAnsi="宋体" w:cs="楷体"/>
        </w:rPr>
      </w:pPr>
      <w:r>
        <w:rPr>
          <w:rFonts w:hint="eastAsia" w:ascii="宋体" w:hAnsi="宋体" w:cs="楷体"/>
        </w:rPr>
        <w:t>适用于测量强腐蚀、高温、高粘度、易结晶、易凝固、有固体浮游物的介质压力以及必须避免测量介质直接进入通用型压力仪表和防止沉淀物积聚且易清洗的场合。</w:t>
      </w:r>
    </w:p>
    <w:p>
      <w:pPr>
        <w:spacing w:before="203" w:beforeLines="50" w:after="203" w:afterLines="50" w:line="320" w:lineRule="exact"/>
        <w:ind w:firstLine="500" w:firstLineChars="200"/>
        <w:rPr>
          <w:rFonts w:ascii="宋体" w:hAnsi="宋体" w:cs="楷体"/>
        </w:rPr>
      </w:pPr>
      <w:r>
        <w:rPr>
          <w:rFonts w:hint="eastAsia" w:ascii="宋体" w:hAnsi="宋体" w:cs="楷体"/>
        </w:rPr>
        <w:t>类型：隔膜压力表</w:t>
      </w:r>
    </w:p>
    <w:p>
      <w:pPr>
        <w:spacing w:before="203" w:beforeLines="50" w:after="203" w:afterLines="50" w:line="320" w:lineRule="exact"/>
        <w:ind w:firstLine="500" w:firstLineChars="200"/>
        <w:rPr>
          <w:rFonts w:ascii="宋体" w:hAnsi="宋体" w:cs="楷体"/>
        </w:rPr>
      </w:pPr>
      <w:r>
        <w:rPr>
          <w:rFonts w:hint="eastAsia" w:ascii="宋体" w:hAnsi="宋体" w:cs="楷体"/>
        </w:rPr>
        <w:t>量程：0～0.6MPa</w:t>
      </w:r>
    </w:p>
    <w:p>
      <w:pPr>
        <w:spacing w:before="203" w:beforeLines="50" w:after="203" w:afterLines="50" w:line="320" w:lineRule="exact"/>
        <w:ind w:firstLine="500" w:firstLineChars="200"/>
        <w:rPr>
          <w:rFonts w:ascii="宋体" w:hAnsi="宋体" w:cs="楷体"/>
        </w:rPr>
      </w:pPr>
      <w:r>
        <w:rPr>
          <w:rFonts w:hint="eastAsia" w:ascii="宋体" w:hAnsi="宋体" w:cs="楷体"/>
        </w:rPr>
        <w:t>外壳材质：304不锈钢</w:t>
      </w:r>
    </w:p>
    <w:p>
      <w:pPr>
        <w:spacing w:before="203" w:beforeLines="50" w:after="203" w:afterLines="50" w:line="320" w:lineRule="exact"/>
        <w:ind w:firstLine="500" w:firstLineChars="200"/>
        <w:rPr>
          <w:rFonts w:ascii="宋体" w:hAnsi="宋体" w:cs="楷体"/>
        </w:rPr>
      </w:pPr>
      <w:r>
        <w:rPr>
          <w:rFonts w:hint="eastAsia" w:ascii="宋体" w:hAnsi="宋体" w:cs="楷体"/>
        </w:rPr>
        <w:t>膜片材质：HC合金</w:t>
      </w:r>
    </w:p>
    <w:p>
      <w:pPr>
        <w:spacing w:before="203" w:beforeLines="50" w:after="203" w:afterLines="50" w:line="320" w:lineRule="exact"/>
        <w:ind w:firstLine="500" w:firstLineChars="200"/>
        <w:rPr>
          <w:rFonts w:ascii="宋体" w:hAnsi="宋体"/>
          <w:szCs w:val="21"/>
        </w:rPr>
      </w:pPr>
      <w:r>
        <w:rPr>
          <w:rFonts w:hint="eastAsia" w:ascii="宋体" w:hAnsi="宋体" w:cs="楷体"/>
        </w:rPr>
        <w:t>表盘直径：60mm</w:t>
      </w:r>
    </w:p>
    <w:p>
      <w:pPr>
        <w:rPr>
          <w:rFonts w:ascii="宋体" w:hAnsi="宋体"/>
          <w:b/>
        </w:rPr>
      </w:pPr>
      <w:r>
        <w:rPr>
          <w:rFonts w:hint="eastAsia" w:ascii="宋体" w:hAnsi="宋体"/>
          <w:b/>
        </w:rPr>
        <w:t>8.20.4.10电磁流量计</w:t>
      </w:r>
    </w:p>
    <w:p>
      <w:pPr>
        <w:spacing w:before="203" w:beforeLines="50" w:after="203" w:afterLines="50" w:line="320" w:lineRule="exact"/>
        <w:ind w:firstLine="500" w:firstLineChars="200"/>
        <w:rPr>
          <w:rFonts w:ascii="宋体" w:hAnsi="宋体" w:cs="楷体"/>
        </w:rPr>
      </w:pPr>
      <w:r>
        <w:rPr>
          <w:rFonts w:hint="eastAsia" w:ascii="宋体" w:hAnsi="宋体" w:cs="楷体"/>
        </w:rPr>
        <w:t>连接方式：法兰连接</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精度：0.5%或以上；</w:t>
      </w:r>
    </w:p>
    <w:p>
      <w:pPr>
        <w:spacing w:before="203" w:beforeLines="50" w:after="203" w:afterLines="50" w:line="320" w:lineRule="exact"/>
        <w:ind w:firstLine="500" w:firstLineChars="200"/>
        <w:rPr>
          <w:rFonts w:ascii="宋体" w:hAnsi="宋体" w:cs="楷体"/>
        </w:rPr>
      </w:pPr>
      <w:r>
        <w:rPr>
          <w:rFonts w:hint="eastAsia" w:ascii="宋体" w:hAnsi="宋体" w:cs="楷体"/>
        </w:rPr>
        <w:t>重复性：±0.1%；</w:t>
      </w:r>
    </w:p>
    <w:p>
      <w:pPr>
        <w:spacing w:before="203" w:beforeLines="50" w:after="203" w:afterLines="50" w:line="320" w:lineRule="exact"/>
        <w:ind w:firstLine="500" w:firstLineChars="200"/>
        <w:rPr>
          <w:rFonts w:ascii="宋体" w:hAnsi="宋体" w:cs="楷体"/>
        </w:rPr>
      </w:pPr>
      <w:r>
        <w:rPr>
          <w:rFonts w:hint="eastAsia" w:ascii="宋体" w:hAnsi="宋体" w:cs="楷体"/>
        </w:rPr>
        <w:t>测量范围：0.3～12m/s；</w:t>
      </w:r>
    </w:p>
    <w:p>
      <w:pPr>
        <w:spacing w:before="203" w:beforeLines="50" w:after="203" w:afterLines="50" w:line="320" w:lineRule="exact"/>
        <w:ind w:firstLine="500" w:firstLineChars="200"/>
        <w:rPr>
          <w:rFonts w:ascii="宋体" w:hAnsi="宋体" w:cs="楷体"/>
        </w:rPr>
      </w:pPr>
      <w:r>
        <w:rPr>
          <w:rFonts w:hint="eastAsia" w:ascii="宋体" w:hAnsi="宋体" w:cs="楷体"/>
        </w:rPr>
        <w:t>压力：0.6MPa～4.0MPa；</w:t>
      </w:r>
    </w:p>
    <w:p>
      <w:pPr>
        <w:spacing w:before="203" w:beforeLines="50" w:after="203" w:afterLines="50" w:line="320" w:lineRule="exact"/>
        <w:ind w:firstLine="500" w:firstLineChars="200"/>
        <w:rPr>
          <w:rFonts w:ascii="宋体" w:hAnsi="宋体" w:cs="楷体"/>
        </w:rPr>
      </w:pPr>
      <w:r>
        <w:rPr>
          <w:rFonts w:hint="eastAsia" w:ascii="宋体" w:hAnsi="宋体" w:cs="楷体"/>
        </w:rPr>
        <w:t>电极材料：根据设备清单；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衬里：根据设备清单；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传感器防护等级:IP68；</w:t>
      </w:r>
    </w:p>
    <w:p>
      <w:pPr>
        <w:spacing w:before="203" w:beforeLines="50" w:after="203" w:afterLines="50" w:line="320" w:lineRule="exact"/>
        <w:ind w:firstLine="500" w:firstLineChars="200"/>
        <w:rPr>
          <w:rFonts w:ascii="宋体" w:hAnsi="宋体" w:cs="楷体"/>
        </w:rPr>
      </w:pPr>
      <w:r>
        <w:rPr>
          <w:rFonts w:hint="eastAsia" w:ascii="宋体" w:hAnsi="宋体" w:cs="楷体"/>
        </w:rPr>
        <w:t>介质最高温度：最大120°C；</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环境温度：-40°C～+65°C；</w:t>
      </w:r>
    </w:p>
    <w:p>
      <w:pPr>
        <w:spacing w:before="203" w:beforeLines="50" w:after="203" w:afterLines="50" w:line="320" w:lineRule="exact"/>
        <w:ind w:firstLine="500" w:firstLineChars="200"/>
        <w:rPr>
          <w:rFonts w:ascii="宋体" w:hAnsi="宋体" w:cs="楷体"/>
        </w:rPr>
      </w:pPr>
      <w:r>
        <w:rPr>
          <w:rFonts w:hint="eastAsia" w:ascii="宋体" w:hAnsi="宋体" w:cs="楷体"/>
        </w:rPr>
        <w:t>输出信号：4-20mA电流信号，脉冲输出，HART通讯。</w:t>
      </w:r>
    </w:p>
    <w:p>
      <w:pPr>
        <w:outlineLvl w:val="0"/>
        <w:rPr>
          <w:rFonts w:ascii="宋体" w:hAnsi="宋体"/>
          <w:b/>
        </w:rPr>
      </w:pPr>
      <w:bookmarkStart w:id="6670" w:name="_Toc106050496"/>
      <w:bookmarkStart w:id="6671" w:name="_Toc106883732"/>
      <w:r>
        <w:rPr>
          <w:rFonts w:hint="eastAsia" w:ascii="宋体" w:hAnsi="宋体"/>
          <w:b/>
        </w:rPr>
        <w:t>8.20.4.11手动球阀</w:t>
      </w:r>
      <w:bookmarkEnd w:id="6670"/>
      <w:bookmarkEnd w:id="6671"/>
    </w:p>
    <w:p>
      <w:pPr>
        <w:spacing w:before="203" w:beforeLines="50" w:after="203" w:afterLines="50" w:line="320" w:lineRule="exact"/>
        <w:ind w:firstLine="500" w:firstLineChars="200"/>
        <w:rPr>
          <w:rFonts w:ascii="宋体" w:hAnsi="宋体" w:cs="楷体"/>
        </w:rPr>
      </w:pPr>
      <w:r>
        <w:rPr>
          <w:rFonts w:hint="eastAsia" w:ascii="宋体" w:hAnsi="宋体" w:cs="楷体"/>
        </w:rPr>
        <w:t>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压力等级</w:t>
      </w:r>
      <w:r>
        <w:rPr>
          <w:rFonts w:ascii="宋体" w:hAnsi="宋体" w:cs="楷体"/>
        </w:rPr>
        <w:t>：</w:t>
      </w:r>
      <w:r>
        <w:rPr>
          <w:rFonts w:hint="eastAsia" w:ascii="宋体" w:hAnsi="宋体" w:cs="楷体"/>
        </w:rPr>
        <w:t>PN1.0</w:t>
      </w:r>
    </w:p>
    <w:p>
      <w:pPr>
        <w:spacing w:before="203" w:beforeLines="50" w:after="203" w:afterLines="50" w:line="320" w:lineRule="exact"/>
        <w:ind w:firstLine="500" w:firstLineChars="200"/>
        <w:rPr>
          <w:rFonts w:ascii="宋体" w:hAnsi="宋体" w:cs="楷体"/>
        </w:rPr>
      </w:pPr>
      <w:r>
        <w:rPr>
          <w:rFonts w:hint="eastAsia" w:ascii="宋体" w:hAnsi="宋体" w:cs="楷体"/>
        </w:rPr>
        <w:t>标准：DIN/ANSI/JIS/CNS</w:t>
      </w:r>
    </w:p>
    <w:p>
      <w:pPr>
        <w:spacing w:before="203" w:beforeLines="50" w:after="203" w:afterLines="50" w:line="320" w:lineRule="exact"/>
        <w:ind w:firstLine="500" w:firstLineChars="200"/>
        <w:rPr>
          <w:rFonts w:ascii="宋体" w:hAnsi="宋体" w:cs="楷体"/>
        </w:rPr>
      </w:pPr>
      <w:r>
        <w:rPr>
          <w:rFonts w:hint="eastAsia" w:ascii="宋体" w:hAnsi="宋体" w:cs="楷体"/>
        </w:rPr>
        <w:t>接口：承插接口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双由令球阀，可同时当由令及阀门使用。可在前段设备管路不必停工的状态下，关闭球阀，卸下由令，进行后段工程维修。在由令端有FPM或EPDM O"环，配合PTFE垫座之使用，能防止多数化学物质之腐蚀。不需使用特殊之工具，即可快速装配。</w:t>
      </w:r>
    </w:p>
    <w:p>
      <w:pPr>
        <w:outlineLvl w:val="0"/>
        <w:rPr>
          <w:rFonts w:ascii="宋体" w:hAnsi="宋体"/>
          <w:b/>
        </w:rPr>
      </w:pPr>
      <w:bookmarkStart w:id="6672" w:name="_Toc106050497"/>
      <w:bookmarkStart w:id="6673" w:name="_Toc106883733"/>
      <w:r>
        <w:rPr>
          <w:rFonts w:hint="eastAsia" w:ascii="宋体" w:hAnsi="宋体"/>
          <w:b/>
        </w:rPr>
        <w:t>8.20.4.12电动球阀</w:t>
      </w:r>
      <w:bookmarkEnd w:id="6672"/>
      <w:bookmarkEnd w:id="6673"/>
    </w:p>
    <w:p>
      <w:pPr>
        <w:spacing w:before="203" w:beforeLines="50" w:after="203" w:afterLines="50" w:line="320" w:lineRule="exact"/>
        <w:ind w:firstLine="500" w:firstLineChars="200"/>
        <w:rPr>
          <w:rFonts w:ascii="宋体" w:hAnsi="宋体" w:cs="楷体"/>
        </w:rPr>
      </w:pPr>
      <w:r>
        <w:rPr>
          <w:rFonts w:hint="eastAsia" w:ascii="宋体" w:hAnsi="宋体" w:cs="楷体"/>
        </w:rPr>
        <w:t>可远程控制阀门的开关；通过触点反馈，自动切换阀门的开关。</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密封材质：EPDM／PTFE；</w:t>
      </w:r>
    </w:p>
    <w:p>
      <w:pPr>
        <w:spacing w:before="203" w:beforeLines="50" w:after="203" w:afterLines="50" w:line="320" w:lineRule="exact"/>
        <w:ind w:firstLine="500" w:firstLineChars="200"/>
        <w:rPr>
          <w:rFonts w:ascii="宋体" w:hAnsi="宋体" w:cs="楷体"/>
        </w:rPr>
      </w:pPr>
      <w:r>
        <w:rPr>
          <w:rFonts w:hint="eastAsia" w:ascii="宋体" w:hAnsi="宋体" w:cs="楷体"/>
        </w:rPr>
        <w:t>传动方式：回转电动驱动；</w:t>
      </w:r>
    </w:p>
    <w:p>
      <w:pPr>
        <w:spacing w:before="203" w:beforeLines="50" w:after="203" w:afterLines="50" w:line="320" w:lineRule="exact"/>
        <w:ind w:firstLine="500" w:firstLineChars="200"/>
        <w:rPr>
          <w:rFonts w:ascii="宋体" w:hAnsi="宋体" w:cs="楷体"/>
        </w:rPr>
      </w:pPr>
      <w:r>
        <w:rPr>
          <w:rFonts w:hint="eastAsia" w:ascii="宋体" w:hAnsi="宋体" w:cs="楷体"/>
        </w:rPr>
        <w:t>执行器材质：塑料外壳；</w:t>
      </w:r>
    </w:p>
    <w:p>
      <w:pPr>
        <w:spacing w:before="203" w:beforeLines="50" w:after="203" w:afterLines="50" w:line="320" w:lineRule="exact"/>
        <w:ind w:firstLine="500" w:firstLineChars="200"/>
        <w:rPr>
          <w:rFonts w:ascii="宋体" w:hAnsi="宋体" w:cs="楷体"/>
        </w:rPr>
      </w:pPr>
      <w:r>
        <w:rPr>
          <w:rFonts w:hint="eastAsia" w:ascii="宋体" w:hAnsi="宋体" w:cs="楷体"/>
        </w:rPr>
        <w:t>保护装置：过热保护；</w:t>
      </w:r>
    </w:p>
    <w:p>
      <w:pPr>
        <w:spacing w:before="203" w:beforeLines="50" w:after="203" w:afterLines="50" w:line="320" w:lineRule="exact"/>
        <w:ind w:firstLine="500" w:firstLineChars="200"/>
        <w:rPr>
          <w:rFonts w:ascii="宋体" w:hAnsi="宋体" w:cs="楷体"/>
        </w:rPr>
      </w:pPr>
      <w:r>
        <w:rPr>
          <w:rFonts w:hint="eastAsia" w:ascii="宋体" w:hAnsi="宋体" w:cs="楷体"/>
        </w:rPr>
        <w:t>动作时间：4－30秒；</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流体温度：-15℃－60℃（无冻结）；</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环境温度：-25℃－55℃。</w:t>
      </w:r>
    </w:p>
    <w:p>
      <w:pPr>
        <w:rPr>
          <w:rFonts w:ascii="宋体" w:hAnsi="宋体"/>
          <w:b/>
        </w:rPr>
      </w:pPr>
      <w:r>
        <w:rPr>
          <w:rFonts w:hint="eastAsia" w:ascii="宋体" w:hAnsi="宋体"/>
          <w:b/>
        </w:rPr>
        <w:t>8.20.4.13电气控制柜</w:t>
      </w:r>
    </w:p>
    <w:p>
      <w:pPr>
        <w:spacing w:before="203" w:beforeLines="50" w:after="203" w:afterLines="50" w:line="320" w:lineRule="exact"/>
        <w:ind w:firstLine="500" w:firstLineChars="200"/>
        <w:rPr>
          <w:rFonts w:ascii="宋体" w:hAnsi="宋体" w:cs="楷体"/>
        </w:rPr>
      </w:pPr>
      <w:r>
        <w:rPr>
          <w:rFonts w:hint="eastAsia" w:ascii="宋体" w:hAnsi="宋体" w:cs="楷体"/>
        </w:rPr>
        <w:t>数量：1 套。</w:t>
      </w:r>
    </w:p>
    <w:p>
      <w:pPr>
        <w:spacing w:before="203" w:beforeLines="50" w:after="203" w:afterLines="50" w:line="320" w:lineRule="exact"/>
        <w:ind w:firstLine="500" w:firstLineChars="200"/>
        <w:rPr>
          <w:rFonts w:ascii="宋体" w:hAnsi="宋体" w:cs="楷体"/>
        </w:rPr>
      </w:pPr>
      <w:r>
        <w:rPr>
          <w:rFonts w:hint="eastAsia" w:ascii="宋体" w:hAnsi="宋体" w:cs="楷体"/>
        </w:rPr>
        <w:t>整套系统应包括一套控制柜，防护等级IP55，环境腐蚀类别0类。采用PLC控制，现场控制柜包括触摸显示屏，可以实时显示、设置、修改工艺参数，控制粉碳溶液的制备及投加。泵的流量可以通过4-20mA信号调节。</w:t>
      </w:r>
    </w:p>
    <w:p>
      <w:pPr>
        <w:spacing w:before="203" w:beforeLines="50" w:after="203" w:afterLines="50" w:line="320" w:lineRule="exact"/>
        <w:ind w:firstLine="500" w:firstLineChars="200"/>
        <w:rPr>
          <w:rFonts w:ascii="宋体" w:hAnsi="宋体" w:cs="楷体"/>
        </w:rPr>
      </w:pPr>
      <w:r>
        <w:rPr>
          <w:rFonts w:hint="eastAsia" w:ascii="宋体" w:hAnsi="宋体" w:cs="楷体"/>
        </w:rPr>
        <w:t>用于加药系统的制备及投加装置，配置以太网方式接入全厂自控系统传输设备手动自动状态、开停情况以及故障等常规工况状态信号，并且在自动控制方式下可通过该以太网接口或现场总线接口接受厂区自动控制系统信号控制各加药系统的开停。所选用的现场总线通讯协议与厂区系统相一致，保证与厂区自控系统不经任何转换即可正常通讯端口。同时控制柜内配备所需的变频器。终端提供运行及报警端子接口。</w:t>
      </w:r>
    </w:p>
    <w:p>
      <w:pPr>
        <w:spacing w:before="203" w:beforeLines="50" w:after="203" w:afterLines="50" w:line="320" w:lineRule="exact"/>
        <w:ind w:firstLine="500" w:firstLineChars="200"/>
        <w:rPr>
          <w:rFonts w:ascii="宋体" w:hAnsi="宋体" w:cs="楷体"/>
        </w:rPr>
      </w:pPr>
      <w:r>
        <w:rPr>
          <w:rFonts w:hint="eastAsia" w:ascii="宋体" w:hAnsi="宋体" w:cs="楷体"/>
        </w:rPr>
        <w:t>系统还应具备以下功能：</w:t>
      </w:r>
    </w:p>
    <w:p>
      <w:pPr>
        <w:pStyle w:val="1156"/>
        <w:numPr>
          <w:ilvl w:val="0"/>
          <w:numId w:val="116"/>
        </w:numPr>
        <w:spacing w:before="203" w:beforeLines="50" w:after="203" w:afterLines="50" w:line="320" w:lineRule="exact"/>
        <w:ind w:firstLineChars="0"/>
        <w:rPr>
          <w:rFonts w:ascii="宋体" w:hAnsi="宋体" w:cs="楷体"/>
        </w:rPr>
      </w:pPr>
      <w:r>
        <w:rPr>
          <w:rFonts w:hint="eastAsia" w:ascii="宋体" w:hAnsi="宋体" w:cs="楷体"/>
        </w:rPr>
        <w:t>全套系统PLC控制。</w:t>
      </w:r>
    </w:p>
    <w:p>
      <w:pPr>
        <w:pStyle w:val="1156"/>
        <w:numPr>
          <w:ilvl w:val="0"/>
          <w:numId w:val="116"/>
        </w:numPr>
        <w:spacing w:before="203" w:beforeLines="50" w:after="203" w:afterLines="50" w:line="320" w:lineRule="exact"/>
        <w:ind w:firstLineChars="0"/>
        <w:rPr>
          <w:rFonts w:ascii="宋体" w:hAnsi="宋体" w:cs="楷体"/>
        </w:rPr>
      </w:pPr>
      <w:r>
        <w:rPr>
          <w:rFonts w:hint="eastAsia" w:ascii="宋体" w:hAnsi="宋体" w:cs="楷体"/>
        </w:rPr>
        <w:t>系统各设备的运行及报警显示。</w:t>
      </w:r>
    </w:p>
    <w:p>
      <w:pPr>
        <w:pStyle w:val="1156"/>
        <w:numPr>
          <w:ilvl w:val="0"/>
          <w:numId w:val="116"/>
        </w:numPr>
        <w:spacing w:before="203" w:beforeLines="50" w:after="203" w:afterLines="50" w:line="320" w:lineRule="exact"/>
        <w:ind w:firstLineChars="0"/>
        <w:rPr>
          <w:rFonts w:ascii="宋体" w:hAnsi="宋体" w:cs="楷体"/>
        </w:rPr>
      </w:pPr>
      <w:r>
        <w:rPr>
          <w:rFonts w:hint="eastAsia" w:ascii="宋体" w:hAnsi="宋体" w:cs="楷体"/>
        </w:rPr>
        <w:t>相关信号的远程输出。</w:t>
      </w:r>
    </w:p>
    <w:p>
      <w:pPr>
        <w:pStyle w:val="1156"/>
        <w:numPr>
          <w:ilvl w:val="0"/>
          <w:numId w:val="116"/>
        </w:numPr>
        <w:spacing w:before="203" w:beforeLines="50" w:after="203" w:afterLines="50" w:line="320" w:lineRule="exact"/>
        <w:ind w:firstLineChars="0"/>
        <w:rPr>
          <w:rFonts w:ascii="宋体" w:hAnsi="宋体" w:cs="楷体"/>
        </w:rPr>
      </w:pPr>
      <w:r>
        <w:rPr>
          <w:rFonts w:hint="eastAsia" w:ascii="宋体" w:hAnsi="宋体" w:cs="楷体"/>
        </w:rPr>
        <w:t>配以太网接口，与水厂现有控制系统兼容，实现上位机监控。</w:t>
      </w:r>
    </w:p>
    <w:p>
      <w:pPr>
        <w:pStyle w:val="1156"/>
        <w:numPr>
          <w:ilvl w:val="0"/>
          <w:numId w:val="116"/>
        </w:numPr>
        <w:spacing w:before="203" w:beforeLines="50" w:after="203" w:afterLines="50" w:line="320" w:lineRule="exact"/>
        <w:ind w:firstLineChars="0"/>
        <w:rPr>
          <w:rFonts w:ascii="宋体" w:hAnsi="宋体" w:cs="楷体"/>
        </w:rPr>
      </w:pPr>
      <w:r>
        <w:rPr>
          <w:rFonts w:hint="eastAsia" w:ascii="宋体" w:hAnsi="宋体" w:cs="楷体"/>
        </w:rPr>
        <w:t>按设定浓度自动配料。</w:t>
      </w:r>
    </w:p>
    <w:p>
      <w:pPr>
        <w:pStyle w:val="1156"/>
        <w:numPr>
          <w:ilvl w:val="0"/>
          <w:numId w:val="116"/>
        </w:numPr>
        <w:spacing w:before="203" w:beforeLines="50" w:after="203" w:afterLines="50" w:line="320" w:lineRule="exact"/>
        <w:ind w:firstLineChars="0"/>
        <w:rPr>
          <w:rFonts w:ascii="宋体" w:hAnsi="宋体" w:cs="楷体"/>
        </w:rPr>
      </w:pPr>
      <w:r>
        <w:rPr>
          <w:rFonts w:hint="eastAsia" w:ascii="宋体" w:hAnsi="宋体" w:cs="楷体"/>
        </w:rPr>
        <w:t>根据信号自动闭环投加。(信号由用户提供)</w:t>
      </w:r>
    </w:p>
    <w:p>
      <w:pPr>
        <w:keepNext/>
        <w:adjustRightInd w:val="0"/>
        <w:snapToGrid w:val="0"/>
        <w:spacing w:before="203" w:beforeLines="50" w:after="203" w:afterLines="50"/>
        <w:outlineLvl w:val="0"/>
        <w:rPr>
          <w:rFonts w:ascii="宋体" w:hAnsi="宋体" w:cs="楷体"/>
          <w:b/>
        </w:rPr>
      </w:pPr>
      <w:bookmarkStart w:id="6674" w:name="_Toc106883734"/>
      <w:r>
        <w:rPr>
          <w:rFonts w:hint="eastAsia" w:ascii="宋体" w:hAnsi="宋体" w:cs="楷体"/>
          <w:b/>
        </w:rPr>
        <w:t>8.20.5聚硅锰氯化铝钾投加系统</w:t>
      </w:r>
      <w:bookmarkEnd w:id="6674"/>
    </w:p>
    <w:p>
      <w:pPr>
        <w:pStyle w:val="1156"/>
        <w:numPr>
          <w:ilvl w:val="0"/>
          <w:numId w:val="117"/>
        </w:numPr>
        <w:ind w:firstLineChars="0"/>
        <w:rPr>
          <w:rFonts w:ascii="宋体" w:hAnsi="宋体"/>
          <w:b/>
        </w:rPr>
      </w:pPr>
      <w:r>
        <w:rPr>
          <w:rFonts w:hint="eastAsia" w:ascii="宋体" w:hAnsi="宋体"/>
          <w:b/>
        </w:rPr>
        <w:t>立式储罐</w:t>
      </w:r>
    </w:p>
    <w:p>
      <w:pPr>
        <w:spacing w:before="203" w:beforeLines="50" w:after="203" w:afterLines="50" w:line="320" w:lineRule="exact"/>
        <w:ind w:firstLine="500" w:firstLineChars="200"/>
        <w:rPr>
          <w:rFonts w:ascii="宋体" w:hAnsi="宋体" w:cs="楷体"/>
        </w:rPr>
      </w:pPr>
      <w:r>
        <w:rPr>
          <w:rFonts w:hint="eastAsia" w:ascii="宋体" w:hAnsi="宋体" w:cs="楷体"/>
        </w:rPr>
        <w:t>容积：</w:t>
      </w:r>
      <w:r>
        <w:rPr>
          <w:rFonts w:ascii="宋体" w:hAnsi="宋体" w:cs="楷体"/>
        </w:rPr>
        <w:t>5</w:t>
      </w:r>
      <w:r>
        <w:rPr>
          <w:rFonts w:hint="eastAsia" w:ascii="宋体" w:hAnsi="宋体" w:cs="楷体"/>
        </w:rPr>
        <w:t>m</w:t>
      </w:r>
      <w:r>
        <w:rPr>
          <w:rFonts w:hint="eastAsia" w:ascii="宋体" w:hAnsi="宋体" w:cs="楷体"/>
          <w:vertAlign w:val="superscript"/>
        </w:rPr>
        <w:t>3</w:t>
      </w:r>
    </w:p>
    <w:p>
      <w:pPr>
        <w:spacing w:before="203" w:beforeLines="50" w:after="203" w:afterLines="50" w:line="320" w:lineRule="exact"/>
        <w:ind w:firstLine="500" w:firstLineChars="200"/>
        <w:rPr>
          <w:rFonts w:ascii="宋体" w:hAnsi="宋体" w:cs="楷体"/>
        </w:rPr>
      </w:pPr>
      <w:r>
        <w:rPr>
          <w:rFonts w:hint="eastAsia" w:ascii="宋体" w:hAnsi="宋体" w:cs="楷体"/>
        </w:rPr>
        <w:t>材质：食品级LLDPE</w:t>
      </w:r>
    </w:p>
    <w:p>
      <w:pPr>
        <w:spacing w:before="203" w:beforeLines="50" w:after="203" w:afterLines="50" w:line="320" w:lineRule="exact"/>
        <w:ind w:firstLine="500" w:firstLineChars="200"/>
        <w:rPr>
          <w:rFonts w:ascii="宋体" w:hAnsi="宋体" w:cs="楷体"/>
        </w:rPr>
      </w:pPr>
      <w:r>
        <w:rPr>
          <w:rFonts w:hint="eastAsia" w:ascii="宋体" w:hAnsi="宋体" w:cs="楷体"/>
        </w:rPr>
        <w:t>直径：</w:t>
      </w:r>
      <w:r>
        <w:rPr>
          <w:rFonts w:ascii="宋体" w:hAnsi="宋体" w:cs="楷体"/>
        </w:rPr>
        <w:t>28</w:t>
      </w:r>
      <w:r>
        <w:rPr>
          <w:rFonts w:hint="eastAsia" w:ascii="宋体" w:hAnsi="宋体" w:cs="楷体"/>
        </w:rPr>
        <w:t>00mm</w:t>
      </w:r>
    </w:p>
    <w:p>
      <w:pPr>
        <w:spacing w:before="203" w:beforeLines="50" w:after="203" w:afterLines="50" w:line="320" w:lineRule="exact"/>
        <w:ind w:firstLine="500" w:firstLineChars="200"/>
        <w:rPr>
          <w:rFonts w:ascii="宋体" w:hAnsi="宋体" w:cs="楷体"/>
        </w:rPr>
      </w:pPr>
      <w:r>
        <w:rPr>
          <w:rFonts w:hint="eastAsia" w:ascii="宋体" w:hAnsi="宋体" w:cs="楷体"/>
        </w:rPr>
        <w:t>标准进出接口：DN50法兰</w:t>
      </w:r>
    </w:p>
    <w:p>
      <w:pPr>
        <w:spacing w:before="203" w:beforeLines="50" w:after="203" w:afterLines="50" w:line="320" w:lineRule="exact"/>
        <w:ind w:firstLine="500" w:firstLineChars="200"/>
        <w:rPr>
          <w:rFonts w:ascii="宋体" w:hAnsi="宋体" w:cs="楷体"/>
        </w:rPr>
      </w:pPr>
      <w:r>
        <w:rPr>
          <w:rFonts w:hint="eastAsia" w:ascii="宋体" w:hAnsi="宋体" w:cs="楷体"/>
        </w:rPr>
        <w:t>颜色：蓝色</w:t>
      </w:r>
    </w:p>
    <w:p>
      <w:pPr>
        <w:spacing w:before="203" w:beforeLines="50" w:after="203" w:afterLines="50" w:line="320" w:lineRule="exact"/>
        <w:ind w:firstLine="500" w:firstLineChars="200"/>
        <w:rPr>
          <w:rFonts w:ascii="宋体" w:hAnsi="宋体" w:cs="楷体"/>
        </w:rPr>
      </w:pPr>
      <w:r>
        <w:rPr>
          <w:rFonts w:hint="eastAsia" w:ascii="宋体" w:hAnsi="宋体" w:cs="楷体"/>
        </w:rPr>
        <w:t>其他参数：储罐上预留排气口。储罐为加厚品，</w:t>
      </w:r>
      <w:r>
        <w:rPr>
          <w:rFonts w:ascii="宋体" w:hAnsi="宋体" w:cs="楷体"/>
        </w:rPr>
        <w:t>上</w:t>
      </w:r>
      <w:r>
        <w:rPr>
          <w:rFonts w:hint="eastAsia" w:ascii="宋体" w:hAnsi="宋体" w:cs="楷体"/>
        </w:rPr>
        <w:t>17</w:t>
      </w:r>
      <w:r>
        <w:rPr>
          <w:rFonts w:ascii="宋体" w:hAnsi="宋体" w:cs="楷体"/>
        </w:rPr>
        <w:t>mm，下</w:t>
      </w:r>
      <w:r>
        <w:rPr>
          <w:rFonts w:hint="eastAsia" w:ascii="宋体" w:hAnsi="宋体" w:cs="楷体"/>
        </w:rPr>
        <w:t>20</w:t>
      </w:r>
      <w:r>
        <w:rPr>
          <w:rFonts w:ascii="宋体" w:hAnsi="宋体" w:cs="楷体"/>
        </w:rPr>
        <w:t>mm</w:t>
      </w:r>
      <w:r>
        <w:rPr>
          <w:rFonts w:hint="eastAsia" w:ascii="宋体" w:hAnsi="宋体" w:cs="楷体"/>
        </w:rPr>
        <w:t>，另配防腐加强筋或</w:t>
      </w:r>
      <w:r>
        <w:rPr>
          <w:rFonts w:ascii="宋体" w:hAnsi="宋体" w:cs="楷体"/>
        </w:rPr>
        <w:t>补强套</w:t>
      </w:r>
      <w:r>
        <w:rPr>
          <w:rFonts w:hint="eastAsia" w:ascii="宋体" w:hAnsi="宋体" w:cs="楷体"/>
        </w:rPr>
        <w:t>。</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 法兰一体成型，立式储罐生产原料为食品级，并获得涉水卫生许可证。</w:t>
      </w:r>
    </w:p>
    <w:p>
      <w:pPr>
        <w:pStyle w:val="1156"/>
        <w:numPr>
          <w:ilvl w:val="0"/>
          <w:numId w:val="117"/>
        </w:numPr>
        <w:ind w:firstLineChars="0"/>
        <w:rPr>
          <w:rFonts w:ascii="宋体" w:hAnsi="宋体"/>
          <w:b/>
        </w:rPr>
      </w:pPr>
      <w:r>
        <w:rPr>
          <w:rFonts w:hint="eastAsia" w:ascii="宋体" w:hAnsi="宋体"/>
          <w:b/>
        </w:rPr>
        <w:t>超声波液位计</w:t>
      </w:r>
    </w:p>
    <w:p>
      <w:pPr>
        <w:spacing w:before="203" w:beforeLines="50" w:after="203" w:afterLines="50" w:line="320" w:lineRule="exact"/>
        <w:ind w:firstLine="500" w:firstLineChars="200"/>
        <w:rPr>
          <w:rFonts w:ascii="宋体" w:hAnsi="宋体" w:cs="楷体"/>
        </w:rPr>
      </w:pPr>
      <w:r>
        <w:rPr>
          <w:rFonts w:hint="eastAsia" w:ascii="宋体" w:hAnsi="宋体" w:cs="楷体"/>
        </w:rPr>
        <w:t>量程：5m</w:t>
      </w:r>
    </w:p>
    <w:p>
      <w:pPr>
        <w:spacing w:before="203" w:beforeLines="50" w:after="203" w:afterLines="50" w:line="320" w:lineRule="exact"/>
        <w:ind w:firstLine="500" w:firstLineChars="200"/>
        <w:rPr>
          <w:rFonts w:ascii="宋体" w:hAnsi="宋体" w:cs="楷体"/>
        </w:rPr>
      </w:pPr>
      <w:r>
        <w:rPr>
          <w:rFonts w:hint="eastAsia" w:ascii="宋体" w:hAnsi="宋体" w:cs="楷体"/>
        </w:rPr>
        <w:t>分辨率：1mm</w:t>
      </w:r>
    </w:p>
    <w:p>
      <w:pPr>
        <w:spacing w:before="203" w:beforeLines="50" w:after="203" w:afterLines="50" w:line="320" w:lineRule="exact"/>
        <w:ind w:firstLine="500" w:firstLineChars="200"/>
        <w:rPr>
          <w:rFonts w:ascii="宋体" w:hAnsi="宋体" w:cs="楷体"/>
        </w:rPr>
      </w:pPr>
      <w:r>
        <w:rPr>
          <w:rFonts w:hint="eastAsia" w:ascii="宋体" w:hAnsi="宋体" w:cs="楷体"/>
        </w:rPr>
        <w:t>精度：±3 mm OR 0.2%</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盲区：25cm </w:t>
      </w:r>
    </w:p>
    <w:p>
      <w:pPr>
        <w:spacing w:before="203" w:beforeLines="50" w:after="203" w:afterLines="50" w:line="320" w:lineRule="exact"/>
        <w:ind w:firstLine="500" w:firstLineChars="200"/>
        <w:rPr>
          <w:rFonts w:ascii="宋体" w:hAnsi="宋体" w:cs="楷体"/>
        </w:rPr>
      </w:pPr>
      <w:r>
        <w:rPr>
          <w:rFonts w:hint="eastAsia" w:ascii="宋体" w:hAnsi="宋体" w:cs="楷体"/>
        </w:rPr>
        <w:t>供电：24VDC（标准）</w:t>
      </w:r>
    </w:p>
    <w:p>
      <w:pPr>
        <w:spacing w:before="203" w:beforeLines="50" w:after="203" w:afterLines="50" w:line="320" w:lineRule="exact"/>
        <w:ind w:firstLine="500" w:firstLineChars="200"/>
        <w:rPr>
          <w:rFonts w:ascii="宋体" w:hAnsi="宋体" w:cs="楷体"/>
        </w:rPr>
      </w:pPr>
      <w:r>
        <w:rPr>
          <w:rFonts w:hint="eastAsia" w:ascii="宋体" w:hAnsi="宋体" w:cs="楷体"/>
        </w:rPr>
        <w:t>显示：清晰的多行文本图解显示、包络线显示</w:t>
      </w:r>
    </w:p>
    <w:p>
      <w:pPr>
        <w:spacing w:before="203" w:beforeLines="50" w:after="203" w:afterLines="50" w:line="320" w:lineRule="exact"/>
        <w:ind w:firstLine="500" w:firstLineChars="200"/>
        <w:rPr>
          <w:rFonts w:ascii="宋体" w:hAnsi="宋体" w:cs="楷体"/>
        </w:rPr>
      </w:pPr>
      <w:r>
        <w:rPr>
          <w:rFonts w:hint="eastAsia" w:ascii="宋体" w:hAnsi="宋体" w:cs="楷体"/>
        </w:rPr>
        <w:t>输出：4-20mA</w:t>
      </w:r>
    </w:p>
    <w:p>
      <w:pPr>
        <w:spacing w:before="203" w:beforeLines="50" w:after="203" w:afterLines="50" w:line="320" w:lineRule="exact"/>
        <w:ind w:firstLine="500" w:firstLineChars="200"/>
        <w:rPr>
          <w:rFonts w:ascii="宋体" w:hAnsi="宋体" w:cs="楷体"/>
        </w:rPr>
      </w:pPr>
      <w:r>
        <w:rPr>
          <w:rFonts w:hint="eastAsia" w:ascii="宋体" w:hAnsi="宋体" w:cs="楷体"/>
        </w:rPr>
        <w:t>过程连接：1-1/2”(5m)</w:t>
      </w:r>
    </w:p>
    <w:p>
      <w:pPr>
        <w:spacing w:before="203" w:beforeLines="50" w:after="203" w:afterLines="50" w:line="320" w:lineRule="exact"/>
        <w:ind w:firstLine="500" w:firstLineChars="200"/>
        <w:rPr>
          <w:rFonts w:ascii="宋体" w:hAnsi="宋体" w:cs="楷体"/>
        </w:rPr>
      </w:pPr>
      <w:r>
        <w:rPr>
          <w:rFonts w:hint="eastAsia" w:ascii="宋体" w:hAnsi="宋体" w:cs="楷体"/>
        </w:rPr>
        <w:t>外壳材质：F16塑料透明显示盖</w:t>
      </w:r>
    </w:p>
    <w:p>
      <w:pPr>
        <w:spacing w:before="203" w:beforeLines="50" w:after="203" w:afterLines="50" w:line="320" w:lineRule="exact"/>
        <w:ind w:firstLine="500" w:firstLineChars="200"/>
        <w:rPr>
          <w:rFonts w:ascii="宋体" w:hAnsi="宋体" w:cs="楷体"/>
        </w:rPr>
      </w:pPr>
      <w:r>
        <w:rPr>
          <w:rFonts w:hint="eastAsia" w:ascii="宋体" w:hAnsi="宋体" w:cs="楷体"/>
        </w:rPr>
        <w:t>工作温度：-20-60℃</w:t>
      </w:r>
    </w:p>
    <w:p>
      <w:pPr>
        <w:spacing w:before="203" w:beforeLines="50" w:after="203" w:afterLines="50" w:line="320" w:lineRule="exact"/>
        <w:ind w:firstLine="500" w:firstLineChars="200"/>
        <w:rPr>
          <w:rFonts w:ascii="宋体" w:hAnsi="宋体" w:cs="楷体"/>
        </w:rPr>
      </w:pPr>
      <w:r>
        <w:rPr>
          <w:rFonts w:hint="eastAsia" w:ascii="宋体" w:hAnsi="宋体" w:cs="楷体"/>
        </w:rPr>
        <w:t>补偿：介质温度，带干扰信号抑制功能</w:t>
      </w:r>
    </w:p>
    <w:p>
      <w:pPr>
        <w:spacing w:before="203" w:beforeLines="50" w:after="203" w:afterLines="50" w:line="320" w:lineRule="exact"/>
        <w:ind w:firstLine="500" w:firstLineChars="200"/>
        <w:rPr>
          <w:rFonts w:ascii="宋体" w:hAnsi="宋体" w:cs="楷体"/>
        </w:rPr>
      </w:pPr>
      <w:r>
        <w:rPr>
          <w:rFonts w:hint="eastAsia" w:ascii="宋体" w:hAnsi="宋体" w:cs="楷体"/>
        </w:rPr>
        <w:t>防护等级：IP68</w:t>
      </w:r>
    </w:p>
    <w:p>
      <w:pPr>
        <w:spacing w:before="203" w:beforeLines="50" w:after="203" w:afterLines="50" w:line="320" w:lineRule="exact"/>
        <w:ind w:firstLine="500" w:firstLineChars="200"/>
        <w:rPr>
          <w:rFonts w:ascii="宋体" w:hAnsi="宋体" w:cs="楷体"/>
        </w:rPr>
      </w:pPr>
      <w:r>
        <w:rPr>
          <w:rFonts w:hint="eastAsia" w:ascii="宋体" w:hAnsi="宋体" w:cs="楷体"/>
        </w:rPr>
        <w:t>输出：4-20mA</w:t>
      </w:r>
    </w:p>
    <w:p>
      <w:pPr>
        <w:spacing w:before="203" w:beforeLines="50" w:after="203" w:afterLines="50" w:line="320" w:lineRule="exact"/>
        <w:ind w:firstLine="500" w:firstLineChars="200"/>
        <w:rPr>
          <w:rFonts w:ascii="宋体" w:hAnsi="宋体" w:cs="楷体"/>
        </w:rPr>
      </w:pPr>
      <w:r>
        <w:rPr>
          <w:rFonts w:hint="eastAsia" w:ascii="宋体" w:hAnsi="宋体" w:cs="楷体"/>
        </w:rPr>
        <w:t>湿度：50 %</w:t>
      </w:r>
    </w:p>
    <w:p>
      <w:pPr>
        <w:pStyle w:val="1156"/>
        <w:numPr>
          <w:ilvl w:val="0"/>
          <w:numId w:val="117"/>
        </w:numPr>
        <w:ind w:firstLineChars="0"/>
        <w:rPr>
          <w:rFonts w:ascii="宋体" w:hAnsi="宋体"/>
          <w:b/>
        </w:rPr>
      </w:pPr>
      <w:r>
        <w:rPr>
          <w:rFonts w:hint="eastAsia" w:ascii="宋体" w:hAnsi="宋体"/>
          <w:b/>
        </w:rPr>
        <w:t>数字</w:t>
      </w:r>
      <w:r>
        <w:rPr>
          <w:rFonts w:ascii="宋体" w:hAnsi="宋体"/>
          <w:b/>
        </w:rPr>
        <w:t>计量泵</w:t>
      </w:r>
    </w:p>
    <w:p>
      <w:pPr>
        <w:spacing w:before="203" w:beforeLines="50" w:after="203" w:afterLines="50" w:line="320" w:lineRule="exact"/>
        <w:ind w:firstLine="500" w:firstLineChars="200"/>
        <w:rPr>
          <w:rFonts w:ascii="宋体" w:hAnsi="宋体" w:cs="楷体"/>
        </w:rPr>
      </w:pPr>
      <w:r>
        <w:rPr>
          <w:rFonts w:hint="eastAsia" w:ascii="宋体" w:hAnsi="宋体" w:cs="楷体"/>
        </w:rPr>
        <w:t>最大投加量：</w:t>
      </w:r>
      <w:r>
        <w:rPr>
          <w:rFonts w:ascii="宋体" w:hAnsi="宋体" w:cs="楷体"/>
        </w:rPr>
        <w:t>70</w:t>
      </w:r>
      <w:r>
        <w:rPr>
          <w:rFonts w:hint="eastAsia" w:ascii="宋体" w:hAnsi="宋体" w:cs="楷体"/>
        </w:rPr>
        <w:t xml:space="preserve"> L/h   </w:t>
      </w:r>
      <w:r>
        <w:rPr>
          <w:rFonts w:ascii="宋体" w:hAnsi="宋体" w:cs="楷体"/>
        </w:rPr>
        <w:t>1</w:t>
      </w:r>
      <w:r>
        <w:rPr>
          <w:rFonts w:hint="eastAsia" w:ascii="宋体" w:hAnsi="宋体" w:cs="楷体"/>
        </w:rPr>
        <w:t>用1备</w:t>
      </w:r>
    </w:p>
    <w:p>
      <w:pPr>
        <w:spacing w:before="203" w:beforeLines="50" w:after="203" w:afterLines="50" w:line="320" w:lineRule="exact"/>
        <w:ind w:firstLine="500" w:firstLineChars="200"/>
        <w:rPr>
          <w:rFonts w:ascii="宋体" w:hAnsi="宋体" w:cs="楷体"/>
        </w:rPr>
      </w:pPr>
      <w:r>
        <w:rPr>
          <w:rFonts w:hint="eastAsia" w:ascii="宋体" w:hAnsi="宋体" w:cs="楷体"/>
        </w:rPr>
        <w:t>最大工作压力：0.</w:t>
      </w:r>
      <w:r>
        <w:rPr>
          <w:rFonts w:ascii="宋体" w:hAnsi="宋体" w:cs="楷体"/>
        </w:rPr>
        <w:t>7</w:t>
      </w:r>
      <w:r>
        <w:rPr>
          <w:rFonts w:hint="eastAsia" w:ascii="宋体" w:hAnsi="宋体" w:cs="楷体"/>
        </w:rPr>
        <w:t>Mpa</w:t>
      </w:r>
    </w:p>
    <w:p>
      <w:pPr>
        <w:spacing w:before="203" w:beforeLines="50" w:after="203" w:afterLines="50" w:line="320" w:lineRule="exact"/>
        <w:ind w:firstLine="500" w:firstLineChars="200"/>
        <w:rPr>
          <w:rFonts w:ascii="宋体" w:hAnsi="宋体" w:cs="楷体"/>
        </w:rPr>
      </w:pPr>
      <w:r>
        <w:rPr>
          <w:rFonts w:hint="eastAsia" w:ascii="宋体" w:hAnsi="宋体" w:cs="楷体"/>
        </w:rPr>
        <w:t>计量泵必须为欧美进口品牌；投标人需书面承诺在供货时提供报关单、原产地证明、运单号。</w:t>
      </w:r>
    </w:p>
    <w:p>
      <w:pPr>
        <w:spacing w:before="203" w:beforeLines="50" w:after="203" w:afterLines="50" w:line="320" w:lineRule="exact"/>
        <w:ind w:firstLine="500" w:firstLineChars="200"/>
        <w:rPr>
          <w:rFonts w:ascii="宋体" w:hAnsi="宋体" w:cs="楷体"/>
        </w:rPr>
      </w:pPr>
      <w:r>
        <w:rPr>
          <w:rFonts w:hint="eastAsia" w:ascii="宋体" w:hAnsi="宋体" w:cs="楷体"/>
        </w:rPr>
        <w:t>数字计量泵的投加精度必须达到±1%以上。</w:t>
      </w:r>
    </w:p>
    <w:p>
      <w:pPr>
        <w:spacing w:before="203" w:beforeLines="50" w:after="203" w:afterLines="50" w:line="320" w:lineRule="exact"/>
        <w:ind w:firstLine="500" w:firstLineChars="200"/>
        <w:rPr>
          <w:rFonts w:ascii="宋体" w:hAnsi="宋体" w:cs="楷体"/>
        </w:rPr>
      </w:pPr>
      <w:r>
        <w:rPr>
          <w:rFonts w:hint="eastAsia" w:ascii="宋体" w:hAnsi="宋体" w:cs="楷体"/>
        </w:rPr>
        <w:t>加药计量泵采用数字式隔膜计量泵，计量泵本身设有可读的液晶面板，通过显示屏可以直接读取显示的流量（mL/h或者L/h）,脉冲或者批量投加。</w:t>
      </w:r>
    </w:p>
    <w:p>
      <w:pPr>
        <w:spacing w:before="203" w:beforeLines="50" w:after="203" w:afterLines="50" w:line="320" w:lineRule="exact"/>
        <w:ind w:firstLine="500" w:firstLineChars="200"/>
        <w:rPr>
          <w:rFonts w:ascii="宋体" w:hAnsi="宋体" w:cs="楷体"/>
        </w:rPr>
      </w:pPr>
      <w:r>
        <w:rPr>
          <w:rFonts w:hint="eastAsia" w:ascii="宋体" w:hAnsi="宋体" w:cs="楷体"/>
        </w:rPr>
        <w:t>友好的界面显示能容易地操作泵，能通过菜单来使用标准控制功能，包括脉冲、模拟量、定时、批投加和排气控制，以及标定和更多的功能。</w:t>
      </w:r>
    </w:p>
    <w:p>
      <w:pPr>
        <w:spacing w:before="203" w:beforeLines="50" w:after="203" w:afterLines="50" w:line="320" w:lineRule="exact"/>
        <w:ind w:firstLine="500" w:firstLineChars="200"/>
        <w:rPr>
          <w:rFonts w:ascii="宋体" w:hAnsi="宋体" w:cs="楷体"/>
        </w:rPr>
      </w:pPr>
      <w:r>
        <w:rPr>
          <w:rFonts w:hint="eastAsia" w:ascii="宋体" w:hAnsi="宋体" w:cs="楷体"/>
        </w:rPr>
        <w:t>计量泵满足在不外接变频器或电动冲程长度调节装置的情况下实现流量自动调节。通过接受外部的4-20mA控制信号，计量泵能够通过在固定吸入速度的情况下，通过自动调节步进电机的转速来调节排出速度，实现自动调节投加过程，确保最佳和充分的调节效果。</w:t>
      </w:r>
    </w:p>
    <w:p>
      <w:pPr>
        <w:spacing w:before="203" w:beforeLines="50" w:after="203" w:afterLines="50" w:line="320" w:lineRule="exact"/>
        <w:ind w:firstLine="500" w:firstLineChars="200"/>
        <w:rPr>
          <w:rFonts w:ascii="宋体" w:hAnsi="宋体" w:cs="楷体"/>
        </w:rPr>
      </w:pPr>
      <w:r>
        <w:rPr>
          <w:rFonts w:hint="eastAsia" w:ascii="宋体" w:hAnsi="宋体" w:cs="楷体"/>
        </w:rPr>
        <w:t>在不同背压和吸水水头变化的情况下，加注泵的精度都应优于额定能力的1%。</w:t>
      </w:r>
    </w:p>
    <w:p>
      <w:pPr>
        <w:spacing w:before="203" w:beforeLines="50" w:after="203" w:afterLines="50" w:line="320" w:lineRule="exact"/>
        <w:ind w:firstLine="500" w:firstLineChars="200"/>
        <w:rPr>
          <w:rFonts w:ascii="宋体" w:hAnsi="宋体" w:cs="楷体"/>
        </w:rPr>
      </w:pPr>
      <w:r>
        <w:rPr>
          <w:rFonts w:hint="eastAsia" w:ascii="宋体" w:hAnsi="宋体" w:cs="楷体"/>
        </w:rPr>
        <w:t>数字计量泵采用宽幅供电电源，自动适配(100–240VAC – 50/60Hz)。采用步进电机驱动技术和微处理器，保证低脉冲工况下的药剂的准确投加。提供1：800的调节比例。</w:t>
      </w:r>
    </w:p>
    <w:p>
      <w:pPr>
        <w:spacing w:before="203" w:beforeLines="50" w:after="203" w:afterLines="50" w:line="320" w:lineRule="exact"/>
        <w:ind w:firstLine="500" w:firstLineChars="200"/>
        <w:rPr>
          <w:rFonts w:ascii="宋体" w:hAnsi="宋体" w:cs="楷体"/>
        </w:rPr>
      </w:pPr>
      <w:r>
        <w:rPr>
          <w:rFonts w:hint="eastAsia" w:ascii="宋体" w:hAnsi="宋体" w:cs="楷体"/>
        </w:rPr>
        <w:t>经过背压阀后，流量曲线需呈线性变化。</w:t>
      </w:r>
    </w:p>
    <w:p>
      <w:pPr>
        <w:spacing w:before="203" w:beforeLines="50" w:after="203" w:afterLines="50" w:line="320" w:lineRule="exact"/>
        <w:ind w:firstLine="500" w:firstLineChars="200"/>
        <w:rPr>
          <w:rFonts w:ascii="宋体" w:hAnsi="宋体" w:cs="楷体"/>
        </w:rPr>
      </w:pPr>
      <w:r>
        <w:rPr>
          <w:rFonts w:hint="eastAsia" w:ascii="宋体" w:hAnsi="宋体" w:cs="楷体"/>
        </w:rPr>
        <w:t>泵体配备有液晶操作面板，通过按钮设计投加量。调节范围0-100%。</w:t>
      </w:r>
    </w:p>
    <w:p>
      <w:pPr>
        <w:spacing w:before="203" w:beforeLines="50" w:after="203" w:afterLines="50" w:line="320" w:lineRule="exact"/>
        <w:ind w:firstLine="500" w:firstLineChars="200"/>
        <w:rPr>
          <w:rFonts w:ascii="宋体" w:hAnsi="宋体" w:cs="楷体"/>
        </w:rPr>
      </w:pPr>
      <w:r>
        <w:rPr>
          <w:rFonts w:hint="eastAsia" w:ascii="宋体" w:hAnsi="宋体" w:cs="楷体"/>
        </w:rPr>
        <w:t>计量泵带负荷运行时，泵的噪音不高于70 dB（A），无异常振动，各密封处没有泄漏。</w:t>
      </w:r>
    </w:p>
    <w:p>
      <w:pPr>
        <w:spacing w:before="203" w:beforeLines="50" w:after="203" w:afterLines="50" w:line="320" w:lineRule="exact"/>
        <w:ind w:firstLine="500" w:firstLineChars="200"/>
        <w:rPr>
          <w:rFonts w:ascii="宋体" w:hAnsi="宋体" w:cs="楷体"/>
        </w:rPr>
      </w:pPr>
      <w:r>
        <w:rPr>
          <w:rFonts w:hint="eastAsia" w:ascii="宋体" w:hAnsi="宋体" w:cs="楷体"/>
        </w:rPr>
        <w:t>加药计量泵在出厂前，在明显的部位标注电动机旋转方向指示箭头。</w:t>
      </w:r>
    </w:p>
    <w:p>
      <w:pPr>
        <w:spacing w:before="203" w:beforeLines="50" w:after="203" w:afterLines="50" w:line="320" w:lineRule="exact"/>
        <w:ind w:firstLine="500" w:firstLineChars="200"/>
        <w:rPr>
          <w:rFonts w:ascii="宋体" w:hAnsi="宋体" w:cs="楷体"/>
        </w:rPr>
      </w:pPr>
      <w:r>
        <w:rPr>
          <w:rFonts w:hint="eastAsia" w:ascii="宋体" w:hAnsi="宋体" w:cs="楷体"/>
        </w:rPr>
        <w:t>数字投加泵精度：药流量&lt;±1%,线性度&lt;±2%，重复性±1%</w:t>
      </w:r>
    </w:p>
    <w:p>
      <w:pPr>
        <w:spacing w:before="203" w:beforeLines="50" w:after="203" w:afterLines="50" w:line="320" w:lineRule="exact"/>
        <w:ind w:firstLine="500" w:firstLineChars="200"/>
        <w:rPr>
          <w:rFonts w:ascii="宋体" w:hAnsi="宋体" w:cs="楷体"/>
        </w:rPr>
      </w:pPr>
      <w:r>
        <w:rPr>
          <w:rFonts w:hint="eastAsia" w:ascii="宋体" w:hAnsi="宋体" w:cs="楷体"/>
        </w:rPr>
        <w:t>配套直流步进电机</w:t>
      </w:r>
    </w:p>
    <w:p>
      <w:pPr>
        <w:spacing w:before="203" w:beforeLines="50" w:after="203" w:afterLines="50" w:line="320" w:lineRule="exact"/>
        <w:ind w:firstLine="500" w:firstLineChars="200"/>
        <w:rPr>
          <w:rFonts w:ascii="宋体" w:hAnsi="宋体" w:cs="楷体"/>
        </w:rPr>
      </w:pPr>
      <w:r>
        <w:rPr>
          <w:rFonts w:hint="eastAsia" w:ascii="宋体" w:hAnsi="宋体" w:cs="楷体"/>
        </w:rPr>
        <w:t>连接方式：进口：PVC承插接口；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出口：PVC承插接口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泵头材质：PVDF或PVC</w:t>
      </w:r>
    </w:p>
    <w:p>
      <w:pPr>
        <w:spacing w:before="203" w:beforeLines="50" w:after="203" w:afterLines="50" w:line="320" w:lineRule="exact"/>
        <w:ind w:firstLine="500" w:firstLineChars="200"/>
        <w:rPr>
          <w:rFonts w:ascii="宋体" w:hAnsi="宋体" w:cs="楷体"/>
        </w:rPr>
      </w:pPr>
      <w:r>
        <w:rPr>
          <w:rFonts w:hint="eastAsia" w:ascii="宋体" w:hAnsi="宋体" w:cs="楷体"/>
        </w:rPr>
        <w:t>密封材质：PTFE或FKM</w:t>
      </w:r>
    </w:p>
    <w:p>
      <w:pPr>
        <w:spacing w:before="203" w:beforeLines="50" w:after="203" w:afterLines="50" w:line="320" w:lineRule="exact"/>
        <w:ind w:firstLine="500" w:firstLineChars="200"/>
        <w:rPr>
          <w:rFonts w:ascii="宋体" w:hAnsi="宋体" w:cs="楷体"/>
        </w:rPr>
      </w:pPr>
      <w:r>
        <w:rPr>
          <w:rFonts w:hint="eastAsia" w:ascii="宋体" w:hAnsi="宋体" w:cs="楷体"/>
        </w:rPr>
        <w:t>阀球或阀板：陶瓷</w:t>
      </w:r>
    </w:p>
    <w:p>
      <w:pPr>
        <w:spacing w:before="203" w:beforeLines="50" w:after="203" w:afterLines="50" w:line="320" w:lineRule="exact"/>
        <w:ind w:firstLine="500" w:firstLineChars="200"/>
        <w:rPr>
          <w:rFonts w:ascii="宋体" w:hAnsi="宋体" w:cs="楷体"/>
        </w:rPr>
      </w:pPr>
      <w:r>
        <w:rPr>
          <w:rFonts w:hint="eastAsia" w:ascii="宋体" w:hAnsi="宋体" w:cs="楷体"/>
        </w:rPr>
        <w:t>调节范围：1：800；</w:t>
      </w:r>
    </w:p>
    <w:p>
      <w:pPr>
        <w:spacing w:before="203" w:beforeLines="50" w:after="203" w:afterLines="50" w:line="320" w:lineRule="exact"/>
        <w:ind w:firstLine="500" w:firstLineChars="200"/>
        <w:rPr>
          <w:rFonts w:ascii="宋体" w:hAnsi="宋体" w:cs="楷体"/>
        </w:rPr>
      </w:pPr>
      <w:r>
        <w:rPr>
          <w:rFonts w:hint="eastAsia" w:ascii="宋体" w:hAnsi="宋体" w:cs="楷体"/>
        </w:rPr>
        <w:t>调节方式：4-20mA</w:t>
      </w:r>
    </w:p>
    <w:p>
      <w:pPr>
        <w:spacing w:before="203" w:beforeLines="50" w:after="203" w:afterLines="50" w:line="320" w:lineRule="exact"/>
        <w:ind w:firstLine="500" w:firstLineChars="200"/>
        <w:rPr>
          <w:rFonts w:ascii="宋体" w:hAnsi="宋体" w:cs="楷体"/>
        </w:rPr>
      </w:pPr>
      <w:r>
        <w:rPr>
          <w:rFonts w:hint="eastAsia" w:ascii="宋体" w:hAnsi="宋体" w:cs="楷体"/>
        </w:rPr>
        <w:t>防护等级：IP54；</w:t>
      </w:r>
    </w:p>
    <w:p>
      <w:pPr>
        <w:spacing w:before="203" w:beforeLines="50" w:after="203" w:afterLines="50" w:line="320" w:lineRule="exact"/>
        <w:ind w:firstLine="500" w:firstLineChars="200"/>
        <w:rPr>
          <w:rFonts w:ascii="宋体" w:hAnsi="宋体" w:cs="楷体"/>
        </w:rPr>
      </w:pPr>
      <w:r>
        <w:rPr>
          <w:rFonts w:hint="eastAsia" w:ascii="宋体" w:hAnsi="宋体" w:cs="楷体"/>
        </w:rPr>
        <w:t>绝缘等级：F。</w:t>
      </w:r>
    </w:p>
    <w:p>
      <w:pPr>
        <w:spacing w:before="203" w:beforeLines="50" w:after="203" w:afterLines="50" w:line="320" w:lineRule="exact"/>
        <w:ind w:firstLine="500" w:firstLineChars="200"/>
        <w:rPr>
          <w:rFonts w:ascii="宋体" w:hAnsi="宋体" w:cs="楷体"/>
        </w:rPr>
      </w:pPr>
      <w:r>
        <w:rPr>
          <w:rFonts w:hint="eastAsia" w:ascii="宋体" w:hAnsi="宋体" w:cs="楷体"/>
        </w:rPr>
        <w:t>电机：220V，功率与泵配套</w:t>
      </w:r>
    </w:p>
    <w:p>
      <w:pPr>
        <w:spacing w:before="203" w:beforeLines="50" w:after="203" w:afterLines="50" w:line="320" w:lineRule="exact"/>
        <w:ind w:firstLine="500" w:firstLineChars="200"/>
        <w:rPr>
          <w:rFonts w:ascii="宋体" w:hAnsi="宋体" w:cs="楷体"/>
        </w:rPr>
      </w:pPr>
      <w:r>
        <w:rPr>
          <w:rFonts w:hint="eastAsia" w:ascii="宋体" w:hAnsi="宋体" w:cs="楷体"/>
        </w:rPr>
        <w:t>驱动方式：电动</w:t>
      </w:r>
    </w:p>
    <w:p>
      <w:pPr>
        <w:pStyle w:val="1156"/>
        <w:numPr>
          <w:ilvl w:val="0"/>
          <w:numId w:val="117"/>
        </w:numPr>
        <w:ind w:firstLineChars="0"/>
        <w:rPr>
          <w:rFonts w:ascii="宋体" w:hAnsi="宋体"/>
          <w:b/>
        </w:rPr>
      </w:pPr>
      <w:r>
        <w:rPr>
          <w:rFonts w:hint="eastAsia" w:ascii="宋体" w:hAnsi="宋体"/>
          <w:b/>
        </w:rPr>
        <w:t>安全阀（内密封圈、接口O型圈必须耐腐蚀）</w:t>
      </w:r>
    </w:p>
    <w:p>
      <w:pPr>
        <w:spacing w:before="203" w:beforeLines="50" w:after="203" w:afterLines="50" w:line="320" w:lineRule="exact"/>
        <w:ind w:firstLine="500" w:firstLineChars="200"/>
        <w:rPr>
          <w:rFonts w:ascii="宋体" w:hAnsi="宋体" w:cs="楷体"/>
        </w:rPr>
      </w:pPr>
      <w:r>
        <w:rPr>
          <w:rFonts w:hint="eastAsia" w:ascii="宋体" w:hAnsi="宋体" w:cs="楷体"/>
        </w:rPr>
        <w:t>安装在计量泵的压力端，可以防止管路出现过高的压力。</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O型圈：Viton</w:t>
      </w:r>
    </w:p>
    <w:p>
      <w:pPr>
        <w:spacing w:before="203" w:beforeLines="50" w:after="203" w:afterLines="50" w:line="320" w:lineRule="exact"/>
        <w:ind w:firstLine="500" w:firstLineChars="200"/>
        <w:rPr>
          <w:rFonts w:ascii="宋体" w:hAnsi="宋体" w:cs="楷体"/>
        </w:rPr>
      </w:pPr>
      <w:r>
        <w:rPr>
          <w:rFonts w:hint="eastAsia" w:ascii="宋体" w:hAnsi="宋体" w:cs="楷体"/>
        </w:rPr>
        <w:t>隔膜：PTFE</w:t>
      </w:r>
    </w:p>
    <w:p>
      <w:pPr>
        <w:spacing w:before="203" w:beforeLines="50" w:after="203" w:afterLines="50" w:line="320" w:lineRule="exact"/>
        <w:ind w:firstLine="500" w:firstLineChars="200"/>
        <w:rPr>
          <w:rFonts w:ascii="宋体" w:hAnsi="宋体" w:cs="楷体"/>
        </w:rPr>
      </w:pPr>
      <w:r>
        <w:rPr>
          <w:rFonts w:hint="eastAsia" w:ascii="宋体" w:hAnsi="宋体" w:cs="楷体"/>
        </w:rPr>
        <w:t>出厂调节至3bar</w:t>
      </w:r>
    </w:p>
    <w:p>
      <w:pPr>
        <w:pStyle w:val="1156"/>
        <w:numPr>
          <w:ilvl w:val="0"/>
          <w:numId w:val="117"/>
        </w:numPr>
        <w:ind w:firstLineChars="0"/>
        <w:rPr>
          <w:rFonts w:ascii="宋体" w:hAnsi="宋体"/>
          <w:b/>
        </w:rPr>
      </w:pPr>
      <w:r>
        <w:rPr>
          <w:rFonts w:hint="eastAsia" w:ascii="宋体" w:hAnsi="宋体"/>
          <w:b/>
        </w:rPr>
        <w:t>背压阀（压力保持阀）</w:t>
      </w:r>
    </w:p>
    <w:p>
      <w:pPr>
        <w:spacing w:before="203" w:beforeLines="50" w:after="203" w:afterLines="50" w:line="320" w:lineRule="exact"/>
        <w:ind w:firstLine="500" w:firstLineChars="200"/>
        <w:rPr>
          <w:rFonts w:ascii="宋体" w:hAnsi="宋体" w:cs="楷体"/>
        </w:rPr>
      </w:pPr>
      <w:r>
        <w:rPr>
          <w:rFonts w:hint="eastAsia" w:ascii="宋体" w:hAnsi="宋体" w:cs="楷体"/>
        </w:rPr>
        <w:t>在投加系统没有背压、背压不稳定或者投加点位置比泵低时，用于维持计量泵投加流量的稳定。通过一个带弹簧的调节螺冒可以调节背压阀的压力。PVC材质，PTFE隔膜，出厂调节至3bar。</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O型圈：Viton</w:t>
      </w:r>
    </w:p>
    <w:p>
      <w:pPr>
        <w:spacing w:before="203" w:beforeLines="50" w:after="203" w:afterLines="50" w:line="320" w:lineRule="exact"/>
        <w:ind w:firstLine="500" w:firstLineChars="200"/>
        <w:rPr>
          <w:rFonts w:ascii="宋体" w:hAnsi="宋体" w:cs="楷体"/>
        </w:rPr>
      </w:pPr>
      <w:r>
        <w:rPr>
          <w:rFonts w:hint="eastAsia" w:ascii="宋体" w:hAnsi="宋体" w:cs="楷体"/>
        </w:rPr>
        <w:t>隔膜：PTFE</w:t>
      </w:r>
    </w:p>
    <w:p>
      <w:pPr>
        <w:spacing w:before="203" w:beforeLines="50" w:after="203" w:afterLines="50" w:line="320" w:lineRule="exact"/>
        <w:ind w:firstLine="500" w:firstLineChars="200"/>
        <w:rPr>
          <w:rFonts w:ascii="宋体" w:hAnsi="宋体" w:cs="楷体"/>
        </w:rPr>
      </w:pPr>
      <w:r>
        <w:rPr>
          <w:rFonts w:hint="eastAsia" w:ascii="宋体" w:hAnsi="宋体" w:cs="楷体"/>
        </w:rPr>
        <w:t>出厂调节至2bar</w:t>
      </w:r>
    </w:p>
    <w:p>
      <w:pPr>
        <w:pStyle w:val="1156"/>
        <w:numPr>
          <w:ilvl w:val="0"/>
          <w:numId w:val="117"/>
        </w:numPr>
        <w:ind w:firstLineChars="0"/>
        <w:rPr>
          <w:rFonts w:ascii="宋体" w:hAnsi="宋体"/>
          <w:b/>
        </w:rPr>
      </w:pPr>
      <w:r>
        <w:rPr>
          <w:rFonts w:hint="eastAsia" w:ascii="宋体" w:hAnsi="宋体"/>
          <w:b/>
        </w:rPr>
        <w:t>脉冲阻尼器</w:t>
      </w:r>
    </w:p>
    <w:p>
      <w:pPr>
        <w:spacing w:before="203" w:beforeLines="50" w:after="203" w:afterLines="50" w:line="320" w:lineRule="exact"/>
        <w:ind w:firstLine="500" w:firstLineChars="200"/>
        <w:rPr>
          <w:rFonts w:ascii="宋体" w:hAnsi="宋体" w:cs="楷体"/>
        </w:rPr>
      </w:pPr>
      <w:r>
        <w:rPr>
          <w:rFonts w:hint="eastAsia" w:ascii="宋体" w:hAnsi="宋体" w:cs="楷体"/>
        </w:rPr>
        <w:t>通过能量平衡的方式减少精密计量泵药液输出的脉冲，使精密计量泵药液输出均匀，形成近似线性的流体特性，增加进料的平稳性，并消除因脉冲可能引起的振动对计量泵和系统造成的伤害。脉冲阻尼器隔膜材质为PTFE。</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材质</w:t>
      </w:r>
      <w:r>
        <w:rPr>
          <w:rFonts w:ascii="宋体" w:hAnsi="宋体" w:cs="楷体"/>
        </w:rPr>
        <w:t>：</w:t>
      </w:r>
      <w:r>
        <w:rPr>
          <w:rFonts w:hint="eastAsia" w:ascii="宋体" w:hAnsi="宋体" w:cs="楷体"/>
        </w:rPr>
        <w:t>UPVC</w:t>
      </w:r>
    </w:p>
    <w:p>
      <w:pPr>
        <w:spacing w:before="203" w:beforeLines="50" w:after="203" w:afterLines="50" w:line="320" w:lineRule="exact"/>
        <w:ind w:firstLine="500" w:firstLineChars="200"/>
        <w:rPr>
          <w:rFonts w:ascii="宋体" w:hAnsi="宋体" w:cs="楷体"/>
        </w:rPr>
      </w:pPr>
      <w:r>
        <w:rPr>
          <w:rFonts w:hint="eastAsia" w:ascii="宋体" w:hAnsi="宋体" w:cs="楷体"/>
        </w:rPr>
        <w:t>密封垫</w:t>
      </w:r>
      <w:r>
        <w:rPr>
          <w:rFonts w:ascii="宋体" w:hAnsi="宋体" w:cs="楷体"/>
        </w:rPr>
        <w:t>：</w:t>
      </w:r>
      <w:r>
        <w:rPr>
          <w:rFonts w:hint="eastAsia" w:ascii="宋体" w:hAnsi="宋体" w:cs="楷体"/>
        </w:rPr>
        <w:t>V</w:t>
      </w:r>
      <w:r>
        <w:rPr>
          <w:rFonts w:ascii="宋体" w:hAnsi="宋体" w:cs="楷体"/>
        </w:rPr>
        <w:t>iton</w:t>
      </w:r>
    </w:p>
    <w:p>
      <w:pPr>
        <w:spacing w:before="203" w:beforeLines="50" w:after="203" w:afterLines="50" w:line="320" w:lineRule="exact"/>
        <w:ind w:firstLine="500" w:firstLineChars="200"/>
        <w:rPr>
          <w:rFonts w:ascii="宋体" w:hAnsi="宋体" w:cs="楷体"/>
        </w:rPr>
      </w:pPr>
      <w:r>
        <w:rPr>
          <w:rFonts w:hint="eastAsia" w:ascii="宋体" w:hAnsi="宋体" w:cs="楷体"/>
        </w:rPr>
        <w:t>容积</w:t>
      </w:r>
      <w:r>
        <w:rPr>
          <w:rFonts w:ascii="宋体" w:hAnsi="宋体" w:cs="楷体"/>
        </w:rPr>
        <w:t>：</w:t>
      </w:r>
      <w:r>
        <w:rPr>
          <w:rFonts w:hint="eastAsia" w:ascii="宋体" w:hAnsi="宋体" w:cs="楷体"/>
        </w:rPr>
        <w:t>根据设备清单</w:t>
      </w:r>
    </w:p>
    <w:p>
      <w:pPr>
        <w:pStyle w:val="1156"/>
        <w:numPr>
          <w:ilvl w:val="0"/>
          <w:numId w:val="117"/>
        </w:numPr>
        <w:ind w:firstLineChars="0"/>
        <w:rPr>
          <w:rFonts w:ascii="宋体" w:hAnsi="宋体"/>
          <w:b/>
        </w:rPr>
      </w:pPr>
      <w:r>
        <w:rPr>
          <w:rFonts w:hint="eastAsia" w:ascii="宋体" w:hAnsi="宋体"/>
          <w:b/>
        </w:rPr>
        <w:t>Y型过滤器</w:t>
      </w:r>
    </w:p>
    <w:p>
      <w:pPr>
        <w:spacing w:before="203" w:beforeLines="50" w:after="203" w:afterLines="50" w:line="320" w:lineRule="exact"/>
        <w:ind w:firstLine="500" w:firstLineChars="200"/>
        <w:rPr>
          <w:rFonts w:ascii="宋体" w:hAnsi="宋体" w:cs="楷体"/>
        </w:rPr>
      </w:pPr>
      <w:r>
        <w:rPr>
          <w:rFonts w:hint="eastAsia" w:ascii="宋体" w:hAnsi="宋体" w:cs="楷体"/>
        </w:rPr>
        <w:t>是输送介质的管道系统不可缺少的一种过滤装置，Y型过滤器通常安装在减压阀、泄压阀、定水位阀或其它设备的进口端，用来清除介质中的杂质，以保护阀门及设备的正常使用。Y型过滤器应具有结构先进，阻力小，排污方便等特点。Y型过滤器适用介质可为水、油、气。</w:t>
      </w:r>
    </w:p>
    <w:p>
      <w:pPr>
        <w:spacing w:before="203" w:beforeLines="50" w:after="203" w:afterLines="50" w:line="320" w:lineRule="exact"/>
        <w:ind w:firstLine="500" w:firstLineChars="200"/>
        <w:rPr>
          <w:rFonts w:ascii="宋体" w:hAnsi="宋体" w:cs="楷体"/>
        </w:rPr>
      </w:pPr>
      <w:r>
        <w:rPr>
          <w:rFonts w:hint="eastAsia" w:ascii="宋体" w:hAnsi="宋体" w:cs="楷体"/>
        </w:rPr>
        <w:t>材质：UPVC，滤芯应易于检查和拆卸清除杂质。</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公称压力：1.6MPa</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pStyle w:val="1156"/>
        <w:numPr>
          <w:ilvl w:val="0"/>
          <w:numId w:val="117"/>
        </w:numPr>
        <w:ind w:firstLineChars="0"/>
        <w:rPr>
          <w:rFonts w:ascii="宋体" w:hAnsi="宋体"/>
          <w:b/>
        </w:rPr>
      </w:pPr>
      <w:r>
        <w:rPr>
          <w:rFonts w:hint="eastAsia" w:ascii="宋体" w:hAnsi="宋体"/>
          <w:b/>
        </w:rPr>
        <w:t>隔膜压力表</w:t>
      </w:r>
    </w:p>
    <w:p>
      <w:pPr>
        <w:spacing w:before="203" w:beforeLines="50" w:after="203" w:afterLines="50" w:line="320" w:lineRule="exact"/>
        <w:ind w:firstLine="500" w:firstLineChars="200"/>
        <w:rPr>
          <w:rFonts w:ascii="宋体" w:hAnsi="宋体" w:cs="楷体"/>
        </w:rPr>
      </w:pPr>
      <w:r>
        <w:rPr>
          <w:rFonts w:hint="eastAsia" w:ascii="宋体" w:hAnsi="宋体" w:cs="楷体"/>
        </w:rPr>
        <w:t>适用于测量强腐蚀、高温、高粘度、易结晶、易凝固、有固体浮游物的介质压力以及必须避免测量介质直接进入通用型压力仪表和防止沉淀物积聚且易清洗的场合。</w:t>
      </w:r>
    </w:p>
    <w:p>
      <w:pPr>
        <w:spacing w:before="203" w:beforeLines="50" w:after="203" w:afterLines="50" w:line="320" w:lineRule="exact"/>
        <w:ind w:firstLine="500" w:firstLineChars="200"/>
        <w:rPr>
          <w:rFonts w:ascii="宋体" w:hAnsi="宋体" w:cs="楷体"/>
        </w:rPr>
      </w:pPr>
      <w:r>
        <w:rPr>
          <w:rFonts w:hint="eastAsia" w:ascii="宋体" w:hAnsi="宋体" w:cs="楷体"/>
        </w:rPr>
        <w:t>类型：隔膜压力表</w:t>
      </w:r>
    </w:p>
    <w:p>
      <w:pPr>
        <w:spacing w:before="203" w:beforeLines="50" w:after="203" w:afterLines="50" w:line="320" w:lineRule="exact"/>
        <w:ind w:firstLine="500" w:firstLineChars="200"/>
        <w:rPr>
          <w:rFonts w:ascii="宋体" w:hAnsi="宋体" w:cs="楷体"/>
        </w:rPr>
      </w:pPr>
      <w:r>
        <w:rPr>
          <w:rFonts w:hint="eastAsia" w:ascii="宋体" w:hAnsi="宋体" w:cs="楷体"/>
        </w:rPr>
        <w:t>量程：0～0.6MPa</w:t>
      </w:r>
    </w:p>
    <w:p>
      <w:pPr>
        <w:spacing w:before="203" w:beforeLines="50" w:after="203" w:afterLines="50" w:line="320" w:lineRule="exact"/>
        <w:ind w:firstLine="500" w:firstLineChars="200"/>
        <w:rPr>
          <w:rFonts w:ascii="宋体" w:hAnsi="宋体" w:cs="楷体"/>
        </w:rPr>
      </w:pPr>
      <w:r>
        <w:rPr>
          <w:rFonts w:hint="eastAsia" w:ascii="宋体" w:hAnsi="宋体" w:cs="楷体"/>
        </w:rPr>
        <w:t>外壳材质：304不锈钢</w:t>
      </w:r>
    </w:p>
    <w:p>
      <w:pPr>
        <w:spacing w:before="203" w:beforeLines="50" w:after="203" w:afterLines="50" w:line="320" w:lineRule="exact"/>
        <w:ind w:firstLine="500" w:firstLineChars="200"/>
        <w:rPr>
          <w:rFonts w:ascii="宋体" w:hAnsi="宋体" w:cs="楷体"/>
        </w:rPr>
      </w:pPr>
      <w:r>
        <w:rPr>
          <w:rFonts w:hint="eastAsia" w:ascii="宋体" w:hAnsi="宋体" w:cs="楷体"/>
        </w:rPr>
        <w:t>膜片材质：HC合金</w:t>
      </w:r>
    </w:p>
    <w:p>
      <w:pPr>
        <w:spacing w:before="203" w:beforeLines="50" w:after="203" w:afterLines="50" w:line="320" w:lineRule="exact"/>
        <w:ind w:firstLine="500" w:firstLineChars="200"/>
        <w:rPr>
          <w:rFonts w:ascii="宋体" w:hAnsi="宋体" w:cs="楷体"/>
        </w:rPr>
      </w:pPr>
      <w:r>
        <w:rPr>
          <w:rFonts w:hint="eastAsia" w:ascii="宋体" w:hAnsi="宋体" w:cs="楷体"/>
        </w:rPr>
        <w:t>表盘直径：60mm</w:t>
      </w:r>
    </w:p>
    <w:p>
      <w:pPr>
        <w:pStyle w:val="1156"/>
        <w:numPr>
          <w:ilvl w:val="0"/>
          <w:numId w:val="117"/>
        </w:numPr>
        <w:ind w:firstLineChars="0"/>
        <w:rPr>
          <w:rFonts w:ascii="宋体" w:hAnsi="宋体"/>
          <w:b/>
        </w:rPr>
      </w:pPr>
      <w:r>
        <w:rPr>
          <w:rFonts w:hint="eastAsia" w:ascii="宋体" w:hAnsi="宋体"/>
          <w:b/>
        </w:rPr>
        <w:t>电磁流量计</w:t>
      </w:r>
    </w:p>
    <w:p>
      <w:pPr>
        <w:spacing w:before="203" w:beforeLines="50" w:after="203" w:afterLines="50" w:line="320" w:lineRule="exact"/>
        <w:ind w:firstLine="500" w:firstLineChars="200"/>
        <w:rPr>
          <w:rFonts w:ascii="宋体" w:hAnsi="宋体" w:cs="楷体"/>
        </w:rPr>
      </w:pPr>
      <w:r>
        <w:rPr>
          <w:rFonts w:hint="eastAsia" w:ascii="宋体" w:hAnsi="宋体" w:cs="楷体"/>
        </w:rPr>
        <w:t>连接方式：法兰连接</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精度：0.5%或以上；</w:t>
      </w:r>
    </w:p>
    <w:p>
      <w:pPr>
        <w:spacing w:before="203" w:beforeLines="50" w:after="203" w:afterLines="50" w:line="320" w:lineRule="exact"/>
        <w:ind w:firstLine="500" w:firstLineChars="200"/>
        <w:rPr>
          <w:rFonts w:ascii="宋体" w:hAnsi="宋体" w:cs="楷体"/>
        </w:rPr>
      </w:pPr>
      <w:r>
        <w:rPr>
          <w:rFonts w:hint="eastAsia" w:ascii="宋体" w:hAnsi="宋体" w:cs="楷体"/>
        </w:rPr>
        <w:t>重复性：±0.1%；</w:t>
      </w:r>
    </w:p>
    <w:p>
      <w:pPr>
        <w:spacing w:before="203" w:beforeLines="50" w:after="203" w:afterLines="50" w:line="320" w:lineRule="exact"/>
        <w:ind w:firstLine="500" w:firstLineChars="200"/>
        <w:rPr>
          <w:rFonts w:ascii="宋体" w:hAnsi="宋体" w:cs="楷体"/>
        </w:rPr>
      </w:pPr>
      <w:r>
        <w:rPr>
          <w:rFonts w:hint="eastAsia" w:ascii="宋体" w:hAnsi="宋体" w:cs="楷体"/>
        </w:rPr>
        <w:t>测量范围：0.3～12m/s；</w:t>
      </w:r>
    </w:p>
    <w:p>
      <w:pPr>
        <w:spacing w:before="203" w:beforeLines="50" w:after="203" w:afterLines="50" w:line="320" w:lineRule="exact"/>
        <w:ind w:firstLine="500" w:firstLineChars="200"/>
        <w:rPr>
          <w:rFonts w:ascii="宋体" w:hAnsi="宋体" w:cs="楷体"/>
        </w:rPr>
      </w:pPr>
      <w:r>
        <w:rPr>
          <w:rFonts w:hint="eastAsia" w:ascii="宋体" w:hAnsi="宋体" w:cs="楷体"/>
        </w:rPr>
        <w:t>压力：0.6MPa～4.0MPa；</w:t>
      </w:r>
    </w:p>
    <w:p>
      <w:pPr>
        <w:spacing w:before="203" w:beforeLines="50" w:after="203" w:afterLines="50" w:line="320" w:lineRule="exact"/>
        <w:ind w:firstLine="500" w:firstLineChars="200"/>
        <w:rPr>
          <w:rFonts w:ascii="宋体" w:hAnsi="宋体" w:cs="楷体"/>
        </w:rPr>
      </w:pPr>
      <w:r>
        <w:rPr>
          <w:rFonts w:hint="eastAsia" w:ascii="宋体" w:hAnsi="宋体" w:cs="楷体"/>
        </w:rPr>
        <w:t>电极材料：根据设备清单；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衬里：根据设备清单；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传感器防护等级:IP68；</w:t>
      </w:r>
    </w:p>
    <w:p>
      <w:pPr>
        <w:spacing w:before="203" w:beforeLines="50" w:after="203" w:afterLines="50" w:line="320" w:lineRule="exact"/>
        <w:ind w:firstLine="500" w:firstLineChars="200"/>
        <w:rPr>
          <w:rFonts w:ascii="宋体" w:hAnsi="宋体" w:cs="楷体"/>
        </w:rPr>
      </w:pPr>
      <w:r>
        <w:rPr>
          <w:rFonts w:hint="eastAsia" w:ascii="宋体" w:hAnsi="宋体" w:cs="楷体"/>
        </w:rPr>
        <w:t>介质最高温度：最大120°C；</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环境温度：-40°C～+65°C；</w:t>
      </w:r>
    </w:p>
    <w:p>
      <w:pPr>
        <w:spacing w:before="203" w:beforeLines="50" w:after="203" w:afterLines="50" w:line="320" w:lineRule="exact"/>
        <w:ind w:firstLine="500" w:firstLineChars="200"/>
        <w:rPr>
          <w:rFonts w:ascii="宋体" w:hAnsi="宋体" w:cs="楷体"/>
        </w:rPr>
      </w:pPr>
      <w:r>
        <w:rPr>
          <w:rFonts w:hint="eastAsia" w:ascii="宋体" w:hAnsi="宋体" w:cs="楷体"/>
        </w:rPr>
        <w:t>输出信号：4-20mA电流信号，脉冲输出，HART通讯。</w:t>
      </w:r>
    </w:p>
    <w:p>
      <w:pPr>
        <w:pStyle w:val="1156"/>
        <w:numPr>
          <w:ilvl w:val="0"/>
          <w:numId w:val="117"/>
        </w:numPr>
        <w:ind w:firstLineChars="0"/>
        <w:rPr>
          <w:rFonts w:ascii="宋体" w:hAnsi="宋体"/>
          <w:b/>
        </w:rPr>
      </w:pPr>
      <w:r>
        <w:rPr>
          <w:rFonts w:hint="eastAsia" w:ascii="宋体" w:hAnsi="宋体"/>
          <w:b/>
        </w:rPr>
        <w:t>手动球阀</w:t>
      </w:r>
    </w:p>
    <w:p>
      <w:pPr>
        <w:spacing w:before="203" w:beforeLines="50" w:after="203" w:afterLines="50" w:line="320" w:lineRule="exact"/>
        <w:ind w:firstLine="500" w:firstLineChars="200"/>
        <w:rPr>
          <w:rFonts w:ascii="宋体" w:hAnsi="宋体" w:cs="楷体"/>
        </w:rPr>
      </w:pPr>
      <w:r>
        <w:rPr>
          <w:rFonts w:hint="eastAsia" w:ascii="宋体" w:hAnsi="宋体" w:cs="楷体"/>
        </w:rPr>
        <w:t>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压力等级</w:t>
      </w:r>
      <w:r>
        <w:rPr>
          <w:rFonts w:ascii="宋体" w:hAnsi="宋体" w:cs="楷体"/>
        </w:rPr>
        <w:t>：</w:t>
      </w:r>
      <w:r>
        <w:rPr>
          <w:rFonts w:hint="eastAsia" w:ascii="宋体" w:hAnsi="宋体" w:cs="楷体"/>
        </w:rPr>
        <w:t>PN1.0</w:t>
      </w:r>
    </w:p>
    <w:p>
      <w:pPr>
        <w:spacing w:before="203" w:beforeLines="50" w:after="203" w:afterLines="50" w:line="320" w:lineRule="exact"/>
        <w:ind w:firstLine="500" w:firstLineChars="200"/>
        <w:rPr>
          <w:rFonts w:ascii="宋体" w:hAnsi="宋体" w:cs="楷体"/>
        </w:rPr>
      </w:pPr>
      <w:r>
        <w:rPr>
          <w:rFonts w:hint="eastAsia" w:ascii="宋体" w:hAnsi="宋体" w:cs="楷体"/>
        </w:rPr>
        <w:t>标准：DIN/ANSI/JIS/CNS</w:t>
      </w:r>
    </w:p>
    <w:p>
      <w:pPr>
        <w:spacing w:before="203" w:beforeLines="50" w:after="203" w:afterLines="50" w:line="320" w:lineRule="exact"/>
        <w:ind w:firstLine="500" w:firstLineChars="200"/>
        <w:rPr>
          <w:rFonts w:ascii="宋体" w:hAnsi="宋体" w:cs="楷体"/>
        </w:rPr>
      </w:pPr>
      <w:r>
        <w:rPr>
          <w:rFonts w:hint="eastAsia" w:ascii="宋体" w:hAnsi="宋体" w:cs="楷体"/>
        </w:rPr>
        <w:t>接口：承插接口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双由令球阀，可同时当由令及阀门使用。可在前段设备管路不必停工的状态下，关闭球阀，卸下由令，进行后段工程维修。在由令端有FPM或EPDM O"环，配合PTFE垫座之使用，能防止多数化学物质之腐蚀。不需使用特殊之工具，即可快速装配。</w:t>
      </w:r>
    </w:p>
    <w:p>
      <w:pPr>
        <w:pStyle w:val="1156"/>
        <w:numPr>
          <w:ilvl w:val="0"/>
          <w:numId w:val="117"/>
        </w:numPr>
        <w:ind w:firstLineChars="0"/>
        <w:rPr>
          <w:rFonts w:ascii="宋体" w:hAnsi="宋体"/>
          <w:b/>
        </w:rPr>
      </w:pPr>
      <w:r>
        <w:rPr>
          <w:rFonts w:hint="eastAsia" w:ascii="宋体" w:hAnsi="宋体"/>
          <w:b/>
        </w:rPr>
        <w:t>电动球阀</w:t>
      </w:r>
    </w:p>
    <w:p>
      <w:pPr>
        <w:spacing w:before="203" w:beforeLines="50" w:after="203" w:afterLines="50" w:line="320" w:lineRule="exact"/>
        <w:ind w:firstLine="500" w:firstLineChars="200"/>
        <w:rPr>
          <w:rFonts w:ascii="宋体" w:hAnsi="宋体" w:cs="楷体"/>
        </w:rPr>
      </w:pPr>
      <w:r>
        <w:rPr>
          <w:rFonts w:hint="eastAsia" w:ascii="宋体" w:hAnsi="宋体" w:cs="楷体"/>
        </w:rPr>
        <w:t>可远程控制阀门的开关；通过触点反馈，自动切换阀门的开关。</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 密封材质：EPDM／PTFE；</w:t>
      </w:r>
    </w:p>
    <w:p>
      <w:pPr>
        <w:spacing w:before="203" w:beforeLines="50" w:after="203" w:afterLines="50" w:line="320" w:lineRule="exact"/>
        <w:ind w:firstLine="500" w:firstLineChars="200"/>
        <w:rPr>
          <w:rFonts w:ascii="宋体" w:hAnsi="宋体" w:cs="楷体"/>
        </w:rPr>
      </w:pPr>
      <w:r>
        <w:rPr>
          <w:rFonts w:hint="eastAsia" w:ascii="宋体" w:hAnsi="宋体" w:cs="楷体"/>
        </w:rPr>
        <w:t>传动方式：回转电动驱动；</w:t>
      </w:r>
    </w:p>
    <w:p>
      <w:pPr>
        <w:spacing w:before="203" w:beforeLines="50" w:after="203" w:afterLines="50" w:line="320" w:lineRule="exact"/>
        <w:ind w:firstLine="500" w:firstLineChars="200"/>
        <w:rPr>
          <w:rFonts w:ascii="宋体" w:hAnsi="宋体" w:cs="楷体"/>
        </w:rPr>
      </w:pPr>
      <w:r>
        <w:rPr>
          <w:rFonts w:hint="eastAsia" w:ascii="宋体" w:hAnsi="宋体" w:cs="楷体"/>
        </w:rPr>
        <w:t>执行器材质：塑料外壳；</w:t>
      </w:r>
    </w:p>
    <w:p>
      <w:pPr>
        <w:spacing w:before="203" w:beforeLines="50" w:after="203" w:afterLines="50" w:line="320" w:lineRule="exact"/>
        <w:ind w:firstLine="500" w:firstLineChars="200"/>
        <w:rPr>
          <w:rFonts w:ascii="宋体" w:hAnsi="宋体" w:cs="楷体"/>
        </w:rPr>
      </w:pPr>
      <w:r>
        <w:rPr>
          <w:rFonts w:hint="eastAsia" w:ascii="宋体" w:hAnsi="宋体" w:cs="楷体"/>
        </w:rPr>
        <w:t>保护装置：过热保护；</w:t>
      </w:r>
    </w:p>
    <w:p>
      <w:pPr>
        <w:spacing w:before="203" w:beforeLines="50" w:after="203" w:afterLines="50" w:line="320" w:lineRule="exact"/>
        <w:ind w:firstLine="500" w:firstLineChars="200"/>
        <w:rPr>
          <w:rFonts w:ascii="宋体" w:hAnsi="宋体" w:cs="楷体"/>
        </w:rPr>
      </w:pPr>
      <w:r>
        <w:rPr>
          <w:rFonts w:hint="eastAsia" w:ascii="宋体" w:hAnsi="宋体" w:cs="楷体"/>
        </w:rPr>
        <w:t>动作时间：4－30秒；</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流体温度：-15℃－60℃（无冻结）；</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环境温度：-25℃－55℃。</w:t>
      </w:r>
    </w:p>
    <w:p>
      <w:pPr>
        <w:pStyle w:val="1156"/>
        <w:numPr>
          <w:ilvl w:val="0"/>
          <w:numId w:val="117"/>
        </w:numPr>
        <w:ind w:firstLineChars="0"/>
        <w:rPr>
          <w:rFonts w:ascii="宋体" w:hAnsi="宋体"/>
          <w:b/>
        </w:rPr>
      </w:pPr>
      <w:r>
        <w:rPr>
          <w:rFonts w:hint="eastAsia" w:ascii="宋体" w:hAnsi="宋体"/>
          <w:b/>
        </w:rPr>
        <w:t>电气控制柜</w:t>
      </w:r>
    </w:p>
    <w:p>
      <w:pPr>
        <w:spacing w:before="203" w:beforeLines="50" w:after="203" w:afterLines="50" w:line="320" w:lineRule="exact"/>
        <w:ind w:firstLine="500" w:firstLineChars="200"/>
        <w:rPr>
          <w:rFonts w:ascii="宋体" w:hAnsi="宋体" w:cs="楷体"/>
        </w:rPr>
      </w:pPr>
      <w:r>
        <w:rPr>
          <w:rFonts w:hint="eastAsia" w:ascii="宋体" w:hAnsi="宋体" w:cs="楷体"/>
        </w:rPr>
        <w:t>数量：1 套。</w:t>
      </w:r>
    </w:p>
    <w:p>
      <w:pPr>
        <w:spacing w:before="203" w:beforeLines="50" w:after="203" w:afterLines="50" w:line="320" w:lineRule="exact"/>
        <w:ind w:firstLine="500" w:firstLineChars="200"/>
        <w:rPr>
          <w:rFonts w:ascii="宋体" w:hAnsi="宋体" w:cs="楷体"/>
        </w:rPr>
      </w:pPr>
      <w:r>
        <w:rPr>
          <w:rFonts w:hint="eastAsia" w:ascii="宋体" w:hAnsi="宋体" w:cs="楷体"/>
        </w:rPr>
        <w:t>整套系统应包括一套控制柜，防护等级IP55，环境腐蚀类别0类。采用PLC控制，现场控制柜包括触摸显示屏，可以实时显示、设置、修改工艺参数，控制粉碳溶液的制备及投加。包括相关变频器，品牌为施耐德、ABB、</w:t>
      </w:r>
      <w:r>
        <w:rPr>
          <w:rFonts w:ascii="宋体" w:hAnsi="宋体" w:cs="楷体"/>
        </w:rPr>
        <w:t>西门子</w:t>
      </w:r>
      <w:r>
        <w:rPr>
          <w:rFonts w:hint="eastAsia" w:ascii="宋体" w:hAnsi="宋体" w:cs="楷体"/>
        </w:rPr>
        <w:t>。泵的流量可以通过4-20mA信号调节。</w:t>
      </w:r>
    </w:p>
    <w:p>
      <w:pPr>
        <w:spacing w:before="203" w:beforeLines="50" w:after="203" w:afterLines="50" w:line="320" w:lineRule="exact"/>
        <w:ind w:firstLine="500" w:firstLineChars="200"/>
        <w:rPr>
          <w:rFonts w:ascii="宋体" w:hAnsi="宋体" w:cs="楷体"/>
        </w:rPr>
      </w:pPr>
      <w:r>
        <w:rPr>
          <w:rFonts w:hint="eastAsia" w:ascii="宋体" w:hAnsi="宋体" w:cs="楷体"/>
        </w:rPr>
        <w:t>用于加药系统的制备及投加装置，配置以太网方式接入全厂自控系统传输设备手动自动状态、开停情况以及故障等常规工况状态信号，并且在自动控制方式下可通过该以太网接口或现场总线接口接受厂区自动控制系统信号控制各加药系统的开停。所选用的现场总线通讯协议与厂区系统相一致，保证与厂区自控系统不经任何转换即可正常通讯端口。同时控制柜内配备所需的变频器。终端提供运行及报警端子接口。</w:t>
      </w:r>
    </w:p>
    <w:p>
      <w:pPr>
        <w:spacing w:before="203" w:beforeLines="50" w:after="203" w:afterLines="50" w:line="320" w:lineRule="exact"/>
        <w:ind w:firstLine="500" w:firstLineChars="200"/>
        <w:rPr>
          <w:rFonts w:ascii="宋体" w:hAnsi="宋体" w:cs="楷体"/>
        </w:rPr>
      </w:pPr>
      <w:r>
        <w:rPr>
          <w:rFonts w:hint="eastAsia" w:ascii="宋体" w:hAnsi="宋体" w:cs="楷体"/>
        </w:rPr>
        <w:t>系统还应具备以下功能：</w:t>
      </w:r>
    </w:p>
    <w:p>
      <w:pPr>
        <w:pStyle w:val="1156"/>
        <w:numPr>
          <w:ilvl w:val="0"/>
          <w:numId w:val="118"/>
        </w:numPr>
        <w:spacing w:before="203" w:beforeLines="50" w:after="203" w:afterLines="50" w:line="320" w:lineRule="exact"/>
        <w:ind w:firstLineChars="0"/>
        <w:rPr>
          <w:rFonts w:ascii="宋体" w:hAnsi="宋体" w:cs="楷体"/>
        </w:rPr>
      </w:pPr>
      <w:r>
        <w:rPr>
          <w:rFonts w:hint="eastAsia" w:ascii="宋体" w:hAnsi="宋体" w:cs="楷体"/>
        </w:rPr>
        <w:t>全套系统PLC控制。</w:t>
      </w:r>
    </w:p>
    <w:p>
      <w:pPr>
        <w:pStyle w:val="1156"/>
        <w:numPr>
          <w:ilvl w:val="0"/>
          <w:numId w:val="118"/>
        </w:numPr>
        <w:spacing w:before="203" w:beforeLines="50" w:after="203" w:afterLines="50" w:line="320" w:lineRule="exact"/>
        <w:ind w:firstLineChars="0"/>
        <w:rPr>
          <w:rFonts w:ascii="宋体" w:hAnsi="宋体" w:cs="楷体"/>
        </w:rPr>
      </w:pPr>
      <w:r>
        <w:rPr>
          <w:rFonts w:hint="eastAsia" w:ascii="宋体" w:hAnsi="宋体" w:cs="楷体"/>
        </w:rPr>
        <w:t>系统各设备的运行及报警显示。</w:t>
      </w:r>
    </w:p>
    <w:p>
      <w:pPr>
        <w:pStyle w:val="1156"/>
        <w:numPr>
          <w:ilvl w:val="0"/>
          <w:numId w:val="118"/>
        </w:numPr>
        <w:spacing w:before="203" w:beforeLines="50" w:after="203" w:afterLines="50" w:line="320" w:lineRule="exact"/>
        <w:ind w:firstLineChars="0"/>
        <w:rPr>
          <w:rFonts w:ascii="宋体" w:hAnsi="宋体" w:cs="楷体"/>
        </w:rPr>
      </w:pPr>
      <w:r>
        <w:rPr>
          <w:rFonts w:hint="eastAsia" w:ascii="宋体" w:hAnsi="宋体" w:cs="楷体"/>
        </w:rPr>
        <w:t>相关信号的远程输出。</w:t>
      </w:r>
    </w:p>
    <w:p>
      <w:pPr>
        <w:pStyle w:val="1156"/>
        <w:numPr>
          <w:ilvl w:val="0"/>
          <w:numId w:val="118"/>
        </w:numPr>
        <w:spacing w:before="203" w:beforeLines="50" w:after="203" w:afterLines="50" w:line="320" w:lineRule="exact"/>
        <w:ind w:firstLineChars="0"/>
        <w:rPr>
          <w:rFonts w:ascii="宋体" w:hAnsi="宋体" w:cs="楷体"/>
        </w:rPr>
      </w:pPr>
      <w:r>
        <w:rPr>
          <w:rFonts w:hint="eastAsia" w:ascii="宋体" w:hAnsi="宋体" w:cs="楷体"/>
        </w:rPr>
        <w:t>配以太网接口，与水厂现有控制系统兼容，实现上位机监控。</w:t>
      </w:r>
    </w:p>
    <w:p>
      <w:pPr>
        <w:pStyle w:val="1156"/>
        <w:numPr>
          <w:ilvl w:val="0"/>
          <w:numId w:val="118"/>
        </w:numPr>
        <w:spacing w:before="203" w:beforeLines="50" w:after="203" w:afterLines="50" w:line="320" w:lineRule="exact"/>
        <w:ind w:firstLineChars="0"/>
        <w:rPr>
          <w:rFonts w:ascii="宋体" w:hAnsi="宋体" w:cs="楷体"/>
        </w:rPr>
      </w:pPr>
      <w:r>
        <w:rPr>
          <w:rFonts w:hint="eastAsia" w:ascii="宋体" w:hAnsi="宋体" w:cs="楷体"/>
        </w:rPr>
        <w:t>按设定浓度自动配料。</w:t>
      </w:r>
    </w:p>
    <w:p>
      <w:pPr>
        <w:pStyle w:val="1156"/>
        <w:numPr>
          <w:ilvl w:val="0"/>
          <w:numId w:val="118"/>
        </w:numPr>
        <w:spacing w:before="203" w:beforeLines="50" w:after="203" w:afterLines="50" w:line="320" w:lineRule="exact"/>
        <w:ind w:firstLineChars="0"/>
        <w:rPr>
          <w:rFonts w:ascii="宋体" w:hAnsi="宋体" w:cs="楷体"/>
        </w:rPr>
      </w:pPr>
      <w:r>
        <w:rPr>
          <w:rFonts w:hint="eastAsia" w:ascii="宋体" w:hAnsi="宋体" w:cs="楷体"/>
        </w:rPr>
        <w:t>根据信号自动闭环投加。(信号由用户提供)</w:t>
      </w:r>
    </w:p>
    <w:p>
      <w:pPr>
        <w:keepNext/>
        <w:adjustRightInd w:val="0"/>
        <w:snapToGrid w:val="0"/>
        <w:spacing w:before="203" w:beforeLines="50" w:after="203" w:afterLines="50"/>
        <w:outlineLvl w:val="0"/>
        <w:rPr>
          <w:rFonts w:ascii="宋体" w:hAnsi="宋体" w:cs="楷体"/>
          <w:b/>
        </w:rPr>
      </w:pPr>
      <w:bookmarkStart w:id="6675" w:name="_Toc76405757"/>
      <w:bookmarkStart w:id="6676" w:name="_Toc106883735"/>
      <w:r>
        <w:rPr>
          <w:rFonts w:hint="eastAsia" w:ascii="宋体" w:hAnsi="宋体" w:cs="楷体"/>
          <w:b/>
        </w:rPr>
        <w:t>8.20.6次氯酸钠系统</w:t>
      </w:r>
      <w:bookmarkEnd w:id="6675"/>
      <w:bookmarkEnd w:id="6676"/>
    </w:p>
    <w:p>
      <w:pPr>
        <w:pStyle w:val="1156"/>
        <w:numPr>
          <w:ilvl w:val="0"/>
          <w:numId w:val="119"/>
        </w:numPr>
        <w:ind w:firstLineChars="0"/>
        <w:rPr>
          <w:rFonts w:ascii="宋体" w:hAnsi="宋体"/>
          <w:b/>
        </w:rPr>
      </w:pPr>
      <w:r>
        <w:rPr>
          <w:rFonts w:hint="eastAsia" w:ascii="宋体" w:hAnsi="宋体"/>
          <w:b/>
        </w:rPr>
        <w:t>卸料泵</w:t>
      </w:r>
    </w:p>
    <w:p>
      <w:pPr>
        <w:spacing w:before="203" w:beforeLines="50" w:after="203" w:afterLines="50" w:line="320" w:lineRule="exact"/>
        <w:ind w:firstLine="500" w:firstLineChars="200"/>
        <w:rPr>
          <w:rFonts w:ascii="宋体" w:hAnsi="宋体" w:cs="楷体"/>
        </w:rPr>
      </w:pPr>
      <w:r>
        <w:rPr>
          <w:rFonts w:hint="eastAsia" w:ascii="宋体" w:hAnsi="宋体" w:cs="楷体"/>
        </w:rPr>
        <w:t>最大流量：</w:t>
      </w:r>
      <w:r>
        <w:rPr>
          <w:rFonts w:ascii="宋体" w:hAnsi="宋体" w:cs="楷体"/>
        </w:rPr>
        <w:t>25</w:t>
      </w:r>
      <w:r>
        <w:rPr>
          <w:rFonts w:hint="eastAsia" w:ascii="宋体" w:hAnsi="宋体" w:cs="楷体"/>
        </w:rPr>
        <w:t>m</w:t>
      </w:r>
      <w:r>
        <w:rPr>
          <w:rFonts w:hint="eastAsia" w:ascii="宋体" w:hAnsi="宋体" w:cs="楷体"/>
          <w:vertAlign w:val="superscript"/>
        </w:rPr>
        <w:t>3</w:t>
      </w:r>
      <w:r>
        <w:rPr>
          <w:rFonts w:hint="eastAsia" w:ascii="宋体" w:hAnsi="宋体" w:cs="楷体"/>
        </w:rPr>
        <w:t>/h</w:t>
      </w:r>
    </w:p>
    <w:p>
      <w:pPr>
        <w:spacing w:before="203" w:beforeLines="50" w:after="203" w:afterLines="50" w:line="320" w:lineRule="exact"/>
        <w:ind w:firstLine="500" w:firstLineChars="200"/>
        <w:rPr>
          <w:rFonts w:ascii="宋体" w:hAnsi="宋体" w:cs="楷体"/>
        </w:rPr>
      </w:pPr>
      <w:r>
        <w:rPr>
          <w:rFonts w:hint="eastAsia" w:ascii="宋体" w:hAnsi="宋体" w:cs="楷体"/>
        </w:rPr>
        <w:t>最大扬程：2</w:t>
      </w:r>
      <w:r>
        <w:rPr>
          <w:rFonts w:ascii="宋体" w:hAnsi="宋体" w:cs="楷体"/>
        </w:rPr>
        <w:t>3</w:t>
      </w:r>
      <w:r>
        <w:rPr>
          <w:rFonts w:hint="eastAsia" w:ascii="宋体" w:hAnsi="宋体" w:cs="楷体"/>
        </w:rPr>
        <w:t>m</w:t>
      </w:r>
    </w:p>
    <w:p>
      <w:pPr>
        <w:spacing w:before="203" w:beforeLines="50" w:after="203" w:afterLines="50" w:line="320" w:lineRule="exact"/>
        <w:ind w:firstLine="500" w:firstLineChars="200"/>
        <w:rPr>
          <w:rFonts w:ascii="宋体" w:hAnsi="宋体" w:cs="楷体"/>
        </w:rPr>
      </w:pPr>
      <w:r>
        <w:rPr>
          <w:rFonts w:hint="eastAsia" w:ascii="宋体" w:hAnsi="宋体" w:cs="楷体"/>
        </w:rPr>
        <w:t>功率：</w:t>
      </w:r>
      <w:r>
        <w:rPr>
          <w:rFonts w:ascii="宋体" w:hAnsi="宋体" w:cs="楷体"/>
        </w:rPr>
        <w:t>2.0</w:t>
      </w:r>
      <w:r>
        <w:rPr>
          <w:rFonts w:hint="eastAsia" w:ascii="宋体" w:hAnsi="宋体" w:cs="楷体"/>
        </w:rPr>
        <w:t>kw</w:t>
      </w:r>
    </w:p>
    <w:p>
      <w:pPr>
        <w:spacing w:before="203" w:beforeLines="50" w:after="203" w:afterLines="50" w:line="320" w:lineRule="exact"/>
        <w:ind w:firstLine="500" w:firstLineChars="200"/>
        <w:rPr>
          <w:rFonts w:ascii="宋体" w:hAnsi="宋体" w:cs="楷体"/>
        </w:rPr>
      </w:pPr>
      <w:r>
        <w:rPr>
          <w:rFonts w:hint="eastAsia" w:ascii="宋体" w:hAnsi="宋体" w:cs="楷体"/>
        </w:rPr>
        <w:t>接液材质：PVDF</w:t>
      </w:r>
    </w:p>
    <w:p>
      <w:pPr>
        <w:spacing w:before="203" w:beforeLines="50" w:after="203" w:afterLines="50" w:line="320" w:lineRule="exact"/>
        <w:ind w:firstLine="500" w:firstLineChars="200"/>
        <w:rPr>
          <w:rFonts w:ascii="宋体" w:hAnsi="宋体" w:cs="楷体"/>
        </w:rPr>
      </w:pPr>
      <w:r>
        <w:rPr>
          <w:rFonts w:hint="eastAsia" w:ascii="宋体" w:hAnsi="宋体" w:cs="楷体"/>
        </w:rPr>
        <w:t>轴心材质：陶瓷</w:t>
      </w:r>
    </w:p>
    <w:p>
      <w:pPr>
        <w:spacing w:before="203" w:beforeLines="50" w:after="203" w:afterLines="50" w:line="320" w:lineRule="exact"/>
        <w:ind w:firstLine="500" w:firstLineChars="200"/>
        <w:rPr>
          <w:rFonts w:ascii="宋体" w:hAnsi="宋体" w:cs="楷体"/>
        </w:rPr>
      </w:pPr>
      <w:r>
        <w:rPr>
          <w:rFonts w:hint="eastAsia" w:ascii="宋体" w:hAnsi="宋体" w:cs="楷体"/>
        </w:rPr>
        <w:t>电极电压：AC380V，50Hz</w:t>
      </w:r>
    </w:p>
    <w:p>
      <w:pPr>
        <w:spacing w:before="203" w:beforeLines="50" w:after="203" w:afterLines="50" w:line="320" w:lineRule="exact"/>
        <w:ind w:firstLine="500" w:firstLineChars="200"/>
        <w:rPr>
          <w:rFonts w:ascii="宋体" w:hAnsi="宋体" w:cs="楷体"/>
        </w:rPr>
      </w:pPr>
      <w:r>
        <w:rPr>
          <w:rFonts w:hint="eastAsia" w:ascii="宋体" w:hAnsi="宋体" w:cs="楷体"/>
        </w:rPr>
        <w:t>传动方式：磁力传动</w:t>
      </w:r>
    </w:p>
    <w:p>
      <w:pPr>
        <w:spacing w:before="203" w:beforeLines="50" w:after="203" w:afterLines="50" w:line="320" w:lineRule="exact"/>
        <w:ind w:firstLine="500" w:firstLineChars="200"/>
        <w:rPr>
          <w:rFonts w:ascii="宋体" w:hAnsi="宋体" w:cs="楷体"/>
        </w:rPr>
      </w:pPr>
      <w:r>
        <w:rPr>
          <w:rFonts w:hint="eastAsia" w:ascii="宋体" w:hAnsi="宋体" w:cs="楷体"/>
        </w:rPr>
        <w:t>承包人提供的防腐蚀非金属离心泵为成套装置，应配置就地控制箱、所有控制与电力电缆、以及安全、有效和可靠运行所必须的附件。</w:t>
      </w:r>
    </w:p>
    <w:p>
      <w:pPr>
        <w:spacing w:before="203" w:beforeLines="50" w:after="203" w:afterLines="50" w:line="320" w:lineRule="exact"/>
        <w:ind w:firstLine="500" w:firstLineChars="200"/>
        <w:rPr>
          <w:rFonts w:ascii="宋体" w:hAnsi="宋体" w:cs="楷体"/>
        </w:rPr>
      </w:pPr>
      <w:r>
        <w:rPr>
          <w:rFonts w:hint="eastAsia" w:ascii="宋体" w:hAnsi="宋体" w:cs="楷体"/>
        </w:rPr>
        <w:t>防腐蚀非金属离心泵输送介质为浓度约为</w:t>
      </w:r>
      <w:r>
        <w:rPr>
          <w:rFonts w:ascii="宋体" w:hAnsi="宋体" w:cs="楷体"/>
        </w:rPr>
        <w:t>2</w:t>
      </w:r>
      <w:r>
        <w:rPr>
          <w:rFonts w:hint="eastAsia" w:ascii="宋体" w:hAnsi="宋体" w:cs="楷体"/>
        </w:rPr>
        <w:t>0%的次氯酸钠溶液。</w:t>
      </w:r>
    </w:p>
    <w:p>
      <w:pPr>
        <w:spacing w:before="203" w:beforeLines="50" w:after="203" w:afterLines="50" w:line="320" w:lineRule="exact"/>
        <w:ind w:firstLine="500" w:firstLineChars="200"/>
        <w:rPr>
          <w:rFonts w:ascii="宋体" w:hAnsi="宋体" w:cs="楷体"/>
        </w:rPr>
      </w:pPr>
      <w:r>
        <w:rPr>
          <w:rFonts w:hint="eastAsia" w:ascii="宋体" w:hAnsi="宋体" w:cs="楷体"/>
        </w:rPr>
        <w:t>根据工况条件及介质情况,泵体等过流部分材质均使用</w:t>
      </w:r>
      <w:r>
        <w:rPr>
          <w:rFonts w:ascii="宋体" w:hAnsi="宋体" w:cs="楷体"/>
        </w:rPr>
        <w:t>PVDF</w:t>
      </w:r>
      <w:r>
        <w:rPr>
          <w:rFonts w:hint="eastAsia" w:ascii="宋体" w:hAnsi="宋体" w:cs="楷体"/>
        </w:rPr>
        <w:t>，保证其耐腐蚀性及使用寿命。泵体接口环，耐磨环选用高铝陶瓷材料。</w:t>
      </w:r>
    </w:p>
    <w:p>
      <w:pPr>
        <w:spacing w:before="203" w:beforeLines="50" w:after="203" w:afterLines="50" w:line="320" w:lineRule="exact"/>
        <w:ind w:firstLine="500" w:firstLineChars="200"/>
        <w:rPr>
          <w:rFonts w:ascii="宋体" w:hAnsi="宋体" w:cs="楷体"/>
        </w:rPr>
      </w:pPr>
      <w:r>
        <w:rPr>
          <w:rFonts w:hint="eastAsia" w:ascii="宋体" w:hAnsi="宋体" w:cs="楷体"/>
        </w:rPr>
        <w:t>叶轮材料选用与泵体相同材料，其结构为闭式结构。</w:t>
      </w:r>
    </w:p>
    <w:p>
      <w:pPr>
        <w:spacing w:before="203" w:beforeLines="50" w:after="203" w:afterLines="50" w:line="320" w:lineRule="exact"/>
        <w:ind w:firstLine="500" w:firstLineChars="200"/>
        <w:rPr>
          <w:rFonts w:ascii="宋体" w:hAnsi="宋体" w:cs="楷体"/>
        </w:rPr>
      </w:pPr>
      <w:r>
        <w:rPr>
          <w:rFonts w:hint="eastAsia" w:ascii="宋体" w:hAnsi="宋体" w:cs="楷体"/>
        </w:rPr>
        <w:t>主轴材料为高铝陶瓷，轴承材质采用碳化硅，后壳选用与泵体相同材料，密封圈采用氟橡胶。</w:t>
      </w:r>
    </w:p>
    <w:p>
      <w:pPr>
        <w:spacing w:before="203" w:beforeLines="50" w:after="203" w:afterLines="50" w:line="320" w:lineRule="exact"/>
        <w:ind w:firstLine="500" w:firstLineChars="200"/>
        <w:rPr>
          <w:rFonts w:ascii="宋体" w:hAnsi="宋体" w:cs="楷体"/>
        </w:rPr>
      </w:pPr>
      <w:r>
        <w:rPr>
          <w:rFonts w:hint="eastAsia" w:ascii="宋体" w:hAnsi="宋体" w:cs="楷体"/>
        </w:rPr>
        <w:t>底板采用耐腐蚀工程塑料制造。</w:t>
      </w:r>
    </w:p>
    <w:p>
      <w:pPr>
        <w:spacing w:before="203" w:beforeLines="50" w:after="203" w:afterLines="50" w:line="320" w:lineRule="exact"/>
        <w:ind w:firstLine="500" w:firstLineChars="200"/>
        <w:rPr>
          <w:rFonts w:ascii="宋体" w:hAnsi="宋体" w:cs="楷体"/>
        </w:rPr>
      </w:pPr>
      <w:r>
        <w:rPr>
          <w:rFonts w:hint="eastAsia" w:ascii="宋体" w:hAnsi="宋体" w:cs="楷体"/>
        </w:rPr>
        <w:t>出入口法兰采用组合式法兰，可任意调整螺孔方向，除配管方便外，还可以避免配管应力造成法兰变形引起的泄漏问题。</w:t>
      </w:r>
    </w:p>
    <w:p>
      <w:pPr>
        <w:spacing w:before="203" w:beforeLines="50" w:after="203" w:afterLines="50" w:line="320" w:lineRule="exact"/>
        <w:ind w:firstLine="500" w:firstLineChars="200"/>
        <w:rPr>
          <w:rFonts w:ascii="宋体" w:hAnsi="宋体" w:cs="楷体"/>
        </w:rPr>
      </w:pPr>
      <w:r>
        <w:rPr>
          <w:rFonts w:hint="eastAsia" w:ascii="宋体" w:hAnsi="宋体" w:cs="楷体"/>
        </w:rPr>
        <w:t>驱动电机应为支脚式或法兰安装式，异步感应电动机适合于电源380V，3相，50Hz，应具有IP55保护。</w:t>
      </w:r>
    </w:p>
    <w:p>
      <w:pPr>
        <w:spacing w:before="203" w:beforeLines="50" w:after="203" w:afterLines="50" w:line="320" w:lineRule="exact"/>
        <w:ind w:firstLine="500" w:firstLineChars="200"/>
        <w:rPr>
          <w:rFonts w:ascii="宋体" w:hAnsi="宋体" w:cs="楷体"/>
        </w:rPr>
      </w:pPr>
      <w:r>
        <w:rPr>
          <w:rFonts w:hint="eastAsia" w:ascii="宋体" w:hAnsi="宋体" w:cs="楷体"/>
        </w:rPr>
        <w:t>泵的试验规程应以ISO9906/2为准。</w:t>
      </w:r>
    </w:p>
    <w:p>
      <w:pPr>
        <w:pStyle w:val="1156"/>
        <w:numPr>
          <w:ilvl w:val="0"/>
          <w:numId w:val="119"/>
        </w:numPr>
        <w:ind w:firstLineChars="0"/>
        <w:rPr>
          <w:rFonts w:ascii="宋体" w:hAnsi="宋体"/>
          <w:b/>
        </w:rPr>
      </w:pPr>
      <w:r>
        <w:rPr>
          <w:rFonts w:hint="eastAsia" w:ascii="宋体" w:hAnsi="宋体"/>
          <w:b/>
        </w:rPr>
        <w:t>立式储罐</w:t>
      </w:r>
    </w:p>
    <w:p>
      <w:pPr>
        <w:spacing w:before="203" w:beforeLines="50" w:after="203" w:afterLines="50" w:line="320" w:lineRule="exact"/>
        <w:ind w:firstLine="500" w:firstLineChars="200"/>
        <w:rPr>
          <w:rFonts w:ascii="宋体" w:hAnsi="宋体" w:cs="楷体"/>
        </w:rPr>
      </w:pPr>
      <w:r>
        <w:rPr>
          <w:rFonts w:hint="eastAsia" w:ascii="宋体" w:hAnsi="宋体" w:cs="楷体"/>
        </w:rPr>
        <w:t>容积：2</w:t>
      </w:r>
      <w:r>
        <w:rPr>
          <w:rFonts w:ascii="宋体" w:hAnsi="宋体" w:cs="楷体"/>
        </w:rPr>
        <w:t>0</w:t>
      </w:r>
      <w:r>
        <w:rPr>
          <w:rFonts w:hint="eastAsia" w:ascii="宋体" w:hAnsi="宋体" w:cs="楷体"/>
        </w:rPr>
        <w:t>m</w:t>
      </w:r>
      <w:r>
        <w:rPr>
          <w:rFonts w:hint="eastAsia" w:ascii="宋体" w:hAnsi="宋体" w:cs="楷体"/>
          <w:vertAlign w:val="superscript"/>
        </w:rPr>
        <w:t>3</w:t>
      </w:r>
    </w:p>
    <w:p>
      <w:pPr>
        <w:spacing w:before="203" w:beforeLines="50" w:after="203" w:afterLines="50" w:line="320" w:lineRule="exact"/>
        <w:ind w:firstLine="500" w:firstLineChars="200"/>
        <w:rPr>
          <w:rFonts w:ascii="宋体" w:hAnsi="宋体" w:cs="楷体"/>
        </w:rPr>
      </w:pPr>
      <w:r>
        <w:rPr>
          <w:rFonts w:hint="eastAsia" w:ascii="宋体" w:hAnsi="宋体" w:cs="楷体"/>
        </w:rPr>
        <w:t>材质：食品级LLDPE</w:t>
      </w:r>
    </w:p>
    <w:p>
      <w:pPr>
        <w:spacing w:before="203" w:beforeLines="50" w:after="203" w:afterLines="50" w:line="320" w:lineRule="exact"/>
        <w:ind w:firstLine="500" w:firstLineChars="200"/>
        <w:rPr>
          <w:rFonts w:ascii="宋体" w:hAnsi="宋体" w:cs="楷体"/>
        </w:rPr>
      </w:pPr>
      <w:r>
        <w:rPr>
          <w:rFonts w:hint="eastAsia" w:ascii="宋体" w:hAnsi="宋体" w:cs="楷体"/>
        </w:rPr>
        <w:t>盖直径：</w:t>
      </w:r>
      <w:r>
        <w:rPr>
          <w:rFonts w:ascii="宋体" w:hAnsi="宋体" w:cs="楷体"/>
        </w:rPr>
        <w:t>28</w:t>
      </w:r>
      <w:r>
        <w:rPr>
          <w:rFonts w:hint="eastAsia" w:ascii="宋体" w:hAnsi="宋体" w:cs="楷体"/>
        </w:rPr>
        <w:t>00mm</w:t>
      </w:r>
    </w:p>
    <w:p>
      <w:pPr>
        <w:spacing w:before="203" w:beforeLines="50" w:after="203" w:afterLines="50" w:line="320" w:lineRule="exact"/>
        <w:ind w:firstLine="500" w:firstLineChars="200"/>
        <w:rPr>
          <w:rFonts w:ascii="宋体" w:hAnsi="宋体" w:cs="楷体"/>
        </w:rPr>
      </w:pPr>
      <w:r>
        <w:rPr>
          <w:rFonts w:hint="eastAsia" w:ascii="宋体" w:hAnsi="宋体" w:cs="楷体"/>
        </w:rPr>
        <w:t>标准进出接口：DN50法兰</w:t>
      </w:r>
    </w:p>
    <w:p>
      <w:pPr>
        <w:spacing w:before="203" w:beforeLines="50" w:after="203" w:afterLines="50" w:line="320" w:lineRule="exact"/>
        <w:ind w:firstLine="500" w:firstLineChars="200"/>
        <w:rPr>
          <w:rFonts w:ascii="宋体" w:hAnsi="宋体" w:cs="楷体"/>
        </w:rPr>
      </w:pPr>
      <w:r>
        <w:rPr>
          <w:rFonts w:hint="eastAsia" w:ascii="宋体" w:hAnsi="宋体" w:cs="楷体"/>
        </w:rPr>
        <w:t>颜色：蓝色</w:t>
      </w:r>
    </w:p>
    <w:p>
      <w:pPr>
        <w:spacing w:before="203" w:beforeLines="50" w:after="203" w:afterLines="50" w:line="320" w:lineRule="exact"/>
        <w:ind w:firstLine="500" w:firstLineChars="200"/>
        <w:rPr>
          <w:rFonts w:ascii="宋体" w:hAnsi="宋体" w:cs="楷体"/>
        </w:rPr>
      </w:pPr>
      <w:r>
        <w:rPr>
          <w:rFonts w:hint="eastAsia" w:ascii="宋体" w:hAnsi="宋体" w:cs="楷体"/>
        </w:rPr>
        <w:t>其他参数：储罐上预留排气口。储罐为加厚品，</w:t>
      </w:r>
      <w:r>
        <w:rPr>
          <w:rFonts w:ascii="宋体" w:hAnsi="宋体" w:cs="楷体"/>
        </w:rPr>
        <w:t>上</w:t>
      </w:r>
      <w:r>
        <w:rPr>
          <w:rFonts w:hint="eastAsia" w:ascii="宋体" w:hAnsi="宋体" w:cs="楷体"/>
        </w:rPr>
        <w:t>17</w:t>
      </w:r>
      <w:r>
        <w:rPr>
          <w:rFonts w:ascii="宋体" w:hAnsi="宋体" w:cs="楷体"/>
        </w:rPr>
        <w:t>mm，下</w:t>
      </w:r>
      <w:r>
        <w:rPr>
          <w:rFonts w:hint="eastAsia" w:ascii="宋体" w:hAnsi="宋体" w:cs="楷体"/>
        </w:rPr>
        <w:t>20</w:t>
      </w:r>
      <w:r>
        <w:rPr>
          <w:rFonts w:ascii="宋体" w:hAnsi="宋体" w:cs="楷体"/>
        </w:rPr>
        <w:t>mm</w:t>
      </w:r>
      <w:r>
        <w:rPr>
          <w:rFonts w:hint="eastAsia" w:ascii="宋体" w:hAnsi="宋体" w:cs="楷体"/>
        </w:rPr>
        <w:t>，另配防腐加强筋或</w:t>
      </w:r>
      <w:r>
        <w:rPr>
          <w:rFonts w:ascii="宋体" w:hAnsi="宋体" w:cs="楷体"/>
        </w:rPr>
        <w:t>补强套</w:t>
      </w:r>
      <w:r>
        <w:rPr>
          <w:rFonts w:hint="eastAsia" w:ascii="宋体" w:hAnsi="宋体" w:cs="楷体"/>
        </w:rPr>
        <w:t>。</w:t>
      </w:r>
    </w:p>
    <w:p>
      <w:pPr>
        <w:spacing w:before="203" w:beforeLines="50" w:after="203" w:afterLines="50" w:line="320" w:lineRule="exact"/>
        <w:ind w:firstLine="500" w:firstLineChars="200"/>
        <w:rPr>
          <w:rFonts w:ascii="宋体" w:hAnsi="宋体"/>
        </w:rPr>
      </w:pPr>
      <w:r>
        <w:rPr>
          <w:rFonts w:hint="eastAsia" w:ascii="宋体" w:hAnsi="宋体" w:cs="楷体"/>
        </w:rPr>
        <w:t xml:space="preserve"> 法兰一体成型，立式储罐生产原料为食品级，并获得涉水卫生许可</w:t>
      </w:r>
    </w:p>
    <w:p>
      <w:pPr>
        <w:pStyle w:val="1156"/>
        <w:numPr>
          <w:ilvl w:val="0"/>
          <w:numId w:val="119"/>
        </w:numPr>
        <w:ind w:firstLineChars="0"/>
        <w:rPr>
          <w:rFonts w:ascii="宋体" w:hAnsi="宋体"/>
          <w:b/>
        </w:rPr>
      </w:pPr>
      <w:r>
        <w:rPr>
          <w:rFonts w:hint="eastAsia" w:ascii="宋体" w:hAnsi="宋体"/>
          <w:b/>
        </w:rPr>
        <w:t>超声波液位计</w:t>
      </w:r>
    </w:p>
    <w:p>
      <w:pPr>
        <w:spacing w:before="203" w:beforeLines="50" w:after="203" w:afterLines="50" w:line="320" w:lineRule="exact"/>
        <w:ind w:firstLine="500" w:firstLineChars="200"/>
        <w:rPr>
          <w:rFonts w:ascii="宋体" w:hAnsi="宋体" w:cs="楷体"/>
        </w:rPr>
      </w:pPr>
      <w:r>
        <w:rPr>
          <w:rFonts w:hint="eastAsia" w:ascii="宋体" w:hAnsi="宋体" w:cs="楷体"/>
        </w:rPr>
        <w:t>量程：5m</w:t>
      </w:r>
    </w:p>
    <w:p>
      <w:pPr>
        <w:spacing w:before="203" w:beforeLines="50" w:after="203" w:afterLines="50" w:line="320" w:lineRule="exact"/>
        <w:ind w:firstLine="500" w:firstLineChars="200"/>
        <w:rPr>
          <w:rFonts w:ascii="宋体" w:hAnsi="宋体" w:cs="楷体"/>
        </w:rPr>
      </w:pPr>
      <w:r>
        <w:rPr>
          <w:rFonts w:hint="eastAsia" w:ascii="宋体" w:hAnsi="宋体" w:cs="楷体"/>
        </w:rPr>
        <w:t>分辨率：1mm</w:t>
      </w:r>
    </w:p>
    <w:p>
      <w:pPr>
        <w:spacing w:before="203" w:beforeLines="50" w:after="203" w:afterLines="50" w:line="320" w:lineRule="exact"/>
        <w:ind w:firstLine="500" w:firstLineChars="200"/>
        <w:rPr>
          <w:rFonts w:ascii="宋体" w:hAnsi="宋体" w:cs="楷体"/>
        </w:rPr>
      </w:pPr>
      <w:r>
        <w:rPr>
          <w:rFonts w:hint="eastAsia" w:ascii="宋体" w:hAnsi="宋体" w:cs="楷体"/>
        </w:rPr>
        <w:t>精度：±3 mm OR 0.2%</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盲区：25cm </w:t>
      </w:r>
    </w:p>
    <w:p>
      <w:pPr>
        <w:spacing w:before="203" w:beforeLines="50" w:after="203" w:afterLines="50" w:line="320" w:lineRule="exact"/>
        <w:ind w:firstLine="500" w:firstLineChars="200"/>
        <w:rPr>
          <w:rFonts w:ascii="宋体" w:hAnsi="宋体" w:cs="楷体"/>
        </w:rPr>
      </w:pPr>
      <w:r>
        <w:rPr>
          <w:rFonts w:hint="eastAsia" w:ascii="宋体" w:hAnsi="宋体" w:cs="楷体"/>
        </w:rPr>
        <w:t>供电：24VDC（标准）</w:t>
      </w:r>
    </w:p>
    <w:p>
      <w:pPr>
        <w:spacing w:before="203" w:beforeLines="50" w:after="203" w:afterLines="50" w:line="320" w:lineRule="exact"/>
        <w:ind w:firstLine="500" w:firstLineChars="200"/>
        <w:rPr>
          <w:rFonts w:ascii="宋体" w:hAnsi="宋体" w:cs="楷体"/>
        </w:rPr>
      </w:pPr>
      <w:r>
        <w:rPr>
          <w:rFonts w:hint="eastAsia" w:ascii="宋体" w:hAnsi="宋体" w:cs="楷体"/>
        </w:rPr>
        <w:t>显示：清晰的多行文本图解显示、包络线显示</w:t>
      </w:r>
    </w:p>
    <w:p>
      <w:pPr>
        <w:spacing w:before="203" w:beforeLines="50" w:after="203" w:afterLines="50" w:line="320" w:lineRule="exact"/>
        <w:ind w:firstLine="500" w:firstLineChars="200"/>
        <w:rPr>
          <w:rFonts w:ascii="宋体" w:hAnsi="宋体" w:cs="楷体"/>
        </w:rPr>
      </w:pPr>
      <w:r>
        <w:rPr>
          <w:rFonts w:hint="eastAsia" w:ascii="宋体" w:hAnsi="宋体" w:cs="楷体"/>
        </w:rPr>
        <w:t>输出：4-20mA</w:t>
      </w:r>
    </w:p>
    <w:p>
      <w:pPr>
        <w:spacing w:before="203" w:beforeLines="50" w:after="203" w:afterLines="50" w:line="320" w:lineRule="exact"/>
        <w:ind w:firstLine="500" w:firstLineChars="200"/>
        <w:rPr>
          <w:rFonts w:ascii="宋体" w:hAnsi="宋体" w:cs="楷体"/>
        </w:rPr>
      </w:pPr>
      <w:r>
        <w:rPr>
          <w:rFonts w:hint="eastAsia" w:ascii="宋体" w:hAnsi="宋体" w:cs="楷体"/>
        </w:rPr>
        <w:t>过程连接：1-1/2”(5m)</w:t>
      </w:r>
    </w:p>
    <w:p>
      <w:pPr>
        <w:spacing w:before="203" w:beforeLines="50" w:after="203" w:afterLines="50" w:line="320" w:lineRule="exact"/>
        <w:ind w:firstLine="500" w:firstLineChars="200"/>
        <w:rPr>
          <w:rFonts w:ascii="宋体" w:hAnsi="宋体" w:cs="楷体"/>
        </w:rPr>
      </w:pPr>
      <w:r>
        <w:rPr>
          <w:rFonts w:hint="eastAsia" w:ascii="宋体" w:hAnsi="宋体" w:cs="楷体"/>
        </w:rPr>
        <w:t>外壳材质：F16塑料透明显示盖</w:t>
      </w:r>
    </w:p>
    <w:p>
      <w:pPr>
        <w:spacing w:before="203" w:beforeLines="50" w:after="203" w:afterLines="50" w:line="320" w:lineRule="exact"/>
        <w:ind w:firstLine="500" w:firstLineChars="200"/>
        <w:rPr>
          <w:rFonts w:ascii="宋体" w:hAnsi="宋体" w:cs="楷体"/>
        </w:rPr>
      </w:pPr>
      <w:r>
        <w:rPr>
          <w:rFonts w:hint="eastAsia" w:ascii="宋体" w:hAnsi="宋体" w:cs="楷体"/>
        </w:rPr>
        <w:t>工作温度：-20-60℃</w:t>
      </w:r>
    </w:p>
    <w:p>
      <w:pPr>
        <w:spacing w:before="203" w:beforeLines="50" w:after="203" w:afterLines="50" w:line="320" w:lineRule="exact"/>
        <w:ind w:firstLine="500" w:firstLineChars="200"/>
        <w:rPr>
          <w:rFonts w:ascii="宋体" w:hAnsi="宋体" w:cs="楷体"/>
        </w:rPr>
      </w:pPr>
      <w:r>
        <w:rPr>
          <w:rFonts w:hint="eastAsia" w:ascii="宋体" w:hAnsi="宋体" w:cs="楷体"/>
        </w:rPr>
        <w:t>补偿：介质温度，带干扰信号抑制功能</w:t>
      </w:r>
    </w:p>
    <w:p>
      <w:pPr>
        <w:spacing w:before="203" w:beforeLines="50" w:after="203" w:afterLines="50" w:line="320" w:lineRule="exact"/>
        <w:ind w:firstLine="500" w:firstLineChars="200"/>
        <w:rPr>
          <w:rFonts w:ascii="宋体" w:hAnsi="宋体" w:cs="楷体"/>
        </w:rPr>
      </w:pPr>
      <w:r>
        <w:rPr>
          <w:rFonts w:hint="eastAsia" w:ascii="宋体" w:hAnsi="宋体" w:cs="楷体"/>
        </w:rPr>
        <w:t>防护等级：IP68</w:t>
      </w:r>
    </w:p>
    <w:p>
      <w:pPr>
        <w:spacing w:before="203" w:beforeLines="50" w:after="203" w:afterLines="50" w:line="320" w:lineRule="exact"/>
        <w:ind w:firstLine="500" w:firstLineChars="200"/>
        <w:rPr>
          <w:rFonts w:ascii="宋体" w:hAnsi="宋体" w:cs="楷体"/>
        </w:rPr>
      </w:pPr>
      <w:r>
        <w:rPr>
          <w:rFonts w:hint="eastAsia" w:ascii="宋体" w:hAnsi="宋体" w:cs="楷体"/>
        </w:rPr>
        <w:t>输出：4-20mA</w:t>
      </w:r>
    </w:p>
    <w:p>
      <w:pPr>
        <w:spacing w:before="203" w:beforeLines="50" w:after="203" w:afterLines="50" w:line="320" w:lineRule="exact"/>
        <w:ind w:firstLine="500" w:firstLineChars="200"/>
        <w:rPr>
          <w:rFonts w:ascii="宋体" w:hAnsi="宋体"/>
        </w:rPr>
      </w:pPr>
      <w:r>
        <w:rPr>
          <w:rFonts w:hint="eastAsia" w:ascii="宋体" w:hAnsi="宋体" w:cs="楷体"/>
        </w:rPr>
        <w:t>湿度：50 %</w:t>
      </w:r>
    </w:p>
    <w:p>
      <w:pPr>
        <w:pStyle w:val="1156"/>
        <w:numPr>
          <w:ilvl w:val="0"/>
          <w:numId w:val="119"/>
        </w:numPr>
        <w:ind w:firstLineChars="0"/>
        <w:rPr>
          <w:rFonts w:ascii="宋体" w:hAnsi="宋体"/>
          <w:b/>
        </w:rPr>
      </w:pPr>
      <w:r>
        <w:rPr>
          <w:rFonts w:hint="eastAsia" w:ascii="宋体" w:hAnsi="宋体"/>
          <w:b/>
        </w:rPr>
        <w:t>数字</w:t>
      </w:r>
      <w:r>
        <w:rPr>
          <w:rFonts w:ascii="宋体" w:hAnsi="宋体"/>
          <w:b/>
        </w:rPr>
        <w:t>计量泵</w:t>
      </w:r>
    </w:p>
    <w:p>
      <w:pPr>
        <w:spacing w:before="203" w:beforeLines="50" w:after="203" w:afterLines="50" w:line="320" w:lineRule="exact"/>
        <w:ind w:firstLine="500" w:firstLineChars="200"/>
        <w:rPr>
          <w:rFonts w:ascii="宋体" w:hAnsi="宋体" w:cs="楷体"/>
        </w:rPr>
      </w:pPr>
      <w:r>
        <w:rPr>
          <w:rFonts w:hint="eastAsia" w:ascii="宋体" w:hAnsi="宋体" w:cs="楷体"/>
        </w:rPr>
        <w:t>最大投加量：5</w:t>
      </w:r>
      <w:r>
        <w:rPr>
          <w:rFonts w:ascii="宋体" w:hAnsi="宋体" w:cs="楷体"/>
        </w:rPr>
        <w:t>0</w:t>
      </w:r>
      <w:r>
        <w:rPr>
          <w:rFonts w:hint="eastAsia" w:ascii="宋体" w:hAnsi="宋体" w:cs="楷体"/>
        </w:rPr>
        <w:t xml:space="preserve"> L/h </w:t>
      </w:r>
    </w:p>
    <w:p>
      <w:pPr>
        <w:spacing w:before="203" w:beforeLines="50" w:after="203" w:afterLines="50" w:line="320" w:lineRule="exact"/>
        <w:ind w:firstLine="500" w:firstLineChars="200"/>
        <w:rPr>
          <w:rFonts w:ascii="宋体" w:hAnsi="宋体" w:cs="楷体"/>
        </w:rPr>
      </w:pPr>
      <w:r>
        <w:rPr>
          <w:rFonts w:hint="eastAsia" w:ascii="宋体" w:hAnsi="宋体" w:cs="楷体"/>
        </w:rPr>
        <w:t>最大工作压力：0.7Mpa</w:t>
      </w:r>
    </w:p>
    <w:p>
      <w:pPr>
        <w:spacing w:before="203" w:beforeLines="50" w:after="203" w:afterLines="50" w:line="320" w:lineRule="exact"/>
        <w:ind w:firstLine="500" w:firstLineChars="200"/>
        <w:rPr>
          <w:rFonts w:ascii="宋体" w:hAnsi="宋体" w:cs="楷体"/>
        </w:rPr>
      </w:pPr>
      <w:r>
        <w:rPr>
          <w:rFonts w:hint="eastAsia" w:ascii="宋体" w:hAnsi="宋体" w:cs="楷体"/>
        </w:rPr>
        <w:t>计量泵必须为欧美进口品牌；投标人需书面承诺在供货时提供报关单、原产地证明、运单号。</w:t>
      </w:r>
    </w:p>
    <w:p>
      <w:pPr>
        <w:spacing w:before="203" w:beforeLines="50" w:after="203" w:afterLines="50" w:line="320" w:lineRule="exact"/>
        <w:ind w:firstLine="500" w:firstLineChars="200"/>
        <w:rPr>
          <w:rFonts w:ascii="宋体" w:hAnsi="宋体" w:cs="楷体"/>
        </w:rPr>
      </w:pPr>
      <w:r>
        <w:rPr>
          <w:rFonts w:hint="eastAsia" w:ascii="宋体" w:hAnsi="宋体" w:cs="楷体"/>
        </w:rPr>
        <w:t>数字计量泵的投加精度必须达到±1%以上。</w:t>
      </w:r>
    </w:p>
    <w:p>
      <w:pPr>
        <w:spacing w:before="203" w:beforeLines="50" w:after="203" w:afterLines="50" w:line="320" w:lineRule="exact"/>
        <w:ind w:firstLine="500" w:firstLineChars="200"/>
        <w:rPr>
          <w:rFonts w:ascii="宋体" w:hAnsi="宋体" w:cs="楷体"/>
        </w:rPr>
      </w:pPr>
      <w:r>
        <w:rPr>
          <w:rFonts w:hint="eastAsia" w:ascii="宋体" w:hAnsi="宋体" w:cs="楷体"/>
        </w:rPr>
        <w:t>加药计量泵采用数字式隔膜计量泵，计量泵本身设有可读的液晶面板，通过显示屏可以直接读取显示的流量（mL/h或者L/h）,脉冲或者批量投加。</w:t>
      </w:r>
    </w:p>
    <w:p>
      <w:pPr>
        <w:spacing w:before="203" w:beforeLines="50" w:after="203" w:afterLines="50" w:line="320" w:lineRule="exact"/>
        <w:ind w:firstLine="500" w:firstLineChars="200"/>
        <w:rPr>
          <w:rFonts w:ascii="宋体" w:hAnsi="宋体" w:cs="楷体"/>
        </w:rPr>
      </w:pPr>
      <w:r>
        <w:rPr>
          <w:rFonts w:hint="eastAsia" w:ascii="宋体" w:hAnsi="宋体" w:cs="楷体"/>
        </w:rPr>
        <w:t>友好的界面显示能容易地操作泵，能通过菜单来使用标准控制功能，包括脉冲、模拟量、定时、批投加和排气控制，以及标定和更多的功能。</w:t>
      </w:r>
    </w:p>
    <w:p>
      <w:pPr>
        <w:spacing w:before="203" w:beforeLines="50" w:after="203" w:afterLines="50" w:line="320" w:lineRule="exact"/>
        <w:ind w:firstLine="500" w:firstLineChars="200"/>
        <w:rPr>
          <w:rFonts w:ascii="宋体" w:hAnsi="宋体" w:cs="楷体"/>
        </w:rPr>
      </w:pPr>
      <w:r>
        <w:rPr>
          <w:rFonts w:hint="eastAsia" w:ascii="宋体" w:hAnsi="宋体" w:cs="楷体"/>
        </w:rPr>
        <w:t>计量泵满足在不外接变频器或电动冲程长度调节装置的情况下实现流量自动调节。通过接受外部的4-20mA控制信号，计量泵能够通过在固定吸入速度的情况下，通过自动调节步进电机的转速来调节排出速度，实现自动调节投加过程，确保最佳和充分的调节效果。</w:t>
      </w:r>
    </w:p>
    <w:p>
      <w:pPr>
        <w:spacing w:before="203" w:beforeLines="50" w:after="203" w:afterLines="50" w:line="320" w:lineRule="exact"/>
        <w:ind w:firstLine="500" w:firstLineChars="200"/>
        <w:rPr>
          <w:rFonts w:ascii="宋体" w:hAnsi="宋体" w:cs="楷体"/>
        </w:rPr>
      </w:pPr>
      <w:r>
        <w:rPr>
          <w:rFonts w:hint="eastAsia" w:ascii="宋体" w:hAnsi="宋体" w:cs="楷体"/>
        </w:rPr>
        <w:t>在不同背压和吸水水头变化的情况下，加注泵的精度都应优于额定能力的1%。</w:t>
      </w:r>
    </w:p>
    <w:p>
      <w:pPr>
        <w:spacing w:before="203" w:beforeLines="50" w:after="203" w:afterLines="50" w:line="320" w:lineRule="exact"/>
        <w:ind w:firstLine="500" w:firstLineChars="200"/>
        <w:rPr>
          <w:rFonts w:ascii="宋体" w:hAnsi="宋体" w:cs="楷体"/>
        </w:rPr>
      </w:pPr>
      <w:r>
        <w:rPr>
          <w:rFonts w:hint="eastAsia" w:ascii="宋体" w:hAnsi="宋体" w:cs="楷体"/>
        </w:rPr>
        <w:t>数字计量泵采用宽幅供电电源，自动适配(100–240VAC – 50/60Hz)。采用步进电机驱动技术和微处理器，保证低脉冲工况下的药剂的准确投加。提供1：800的调节比例。</w:t>
      </w:r>
    </w:p>
    <w:p>
      <w:pPr>
        <w:spacing w:before="203" w:beforeLines="50" w:after="203" w:afterLines="50" w:line="320" w:lineRule="exact"/>
        <w:ind w:firstLine="500" w:firstLineChars="200"/>
        <w:rPr>
          <w:rFonts w:ascii="宋体" w:hAnsi="宋体" w:cs="楷体"/>
        </w:rPr>
      </w:pPr>
      <w:r>
        <w:rPr>
          <w:rFonts w:hint="eastAsia" w:ascii="宋体" w:hAnsi="宋体" w:cs="楷体"/>
        </w:rPr>
        <w:t>经过背压阀后，流量曲线需呈线性变化。</w:t>
      </w:r>
    </w:p>
    <w:p>
      <w:pPr>
        <w:spacing w:before="203" w:beforeLines="50" w:after="203" w:afterLines="50" w:line="320" w:lineRule="exact"/>
        <w:ind w:firstLine="500" w:firstLineChars="200"/>
        <w:rPr>
          <w:rFonts w:ascii="宋体" w:hAnsi="宋体" w:cs="楷体"/>
        </w:rPr>
      </w:pPr>
      <w:r>
        <w:rPr>
          <w:rFonts w:hint="eastAsia" w:ascii="宋体" w:hAnsi="宋体" w:cs="楷体"/>
        </w:rPr>
        <w:t>泵体配备有液晶操作面板，通过按钮设计投加量。调节范围0-100%。</w:t>
      </w:r>
    </w:p>
    <w:p>
      <w:pPr>
        <w:spacing w:before="203" w:beforeLines="50" w:after="203" w:afterLines="50" w:line="320" w:lineRule="exact"/>
        <w:ind w:firstLine="500" w:firstLineChars="200"/>
        <w:rPr>
          <w:rFonts w:ascii="宋体" w:hAnsi="宋体" w:cs="楷体"/>
        </w:rPr>
      </w:pPr>
      <w:r>
        <w:rPr>
          <w:rFonts w:hint="eastAsia" w:ascii="宋体" w:hAnsi="宋体" w:cs="楷体"/>
        </w:rPr>
        <w:t>计量泵带负荷运行时，泵的噪音不高于70 dB（A），无异常振动，各密封处没有泄漏。</w:t>
      </w:r>
    </w:p>
    <w:p>
      <w:pPr>
        <w:spacing w:before="203" w:beforeLines="50" w:after="203" w:afterLines="50" w:line="320" w:lineRule="exact"/>
        <w:ind w:firstLine="500" w:firstLineChars="200"/>
        <w:rPr>
          <w:rFonts w:ascii="宋体" w:hAnsi="宋体" w:cs="楷体"/>
        </w:rPr>
      </w:pPr>
      <w:r>
        <w:rPr>
          <w:rFonts w:hint="eastAsia" w:ascii="宋体" w:hAnsi="宋体" w:cs="楷体"/>
        </w:rPr>
        <w:t>加药计量泵在出厂前，在明显的部位标注电动机旋转方向指示箭头。</w:t>
      </w:r>
    </w:p>
    <w:p>
      <w:pPr>
        <w:spacing w:before="203" w:beforeLines="50" w:after="203" w:afterLines="50" w:line="320" w:lineRule="exact"/>
        <w:ind w:firstLine="500" w:firstLineChars="200"/>
        <w:rPr>
          <w:rFonts w:ascii="宋体" w:hAnsi="宋体" w:cs="楷体"/>
        </w:rPr>
      </w:pPr>
      <w:r>
        <w:rPr>
          <w:rFonts w:hint="eastAsia" w:ascii="宋体" w:hAnsi="宋体" w:cs="楷体"/>
        </w:rPr>
        <w:t>数字投加泵精度：药流量&lt;±1%,线性度&lt;±2%，重复性±1%</w:t>
      </w:r>
    </w:p>
    <w:p>
      <w:pPr>
        <w:spacing w:before="203" w:beforeLines="50" w:after="203" w:afterLines="50" w:line="320" w:lineRule="exact"/>
        <w:ind w:firstLine="500" w:firstLineChars="200"/>
        <w:rPr>
          <w:rFonts w:ascii="宋体" w:hAnsi="宋体" w:cs="楷体"/>
        </w:rPr>
      </w:pPr>
      <w:r>
        <w:rPr>
          <w:rFonts w:hint="eastAsia" w:ascii="宋体" w:hAnsi="宋体" w:cs="楷体"/>
        </w:rPr>
        <w:t>配套直流步进电机</w:t>
      </w:r>
    </w:p>
    <w:p>
      <w:pPr>
        <w:spacing w:before="203" w:beforeLines="50" w:after="203" w:afterLines="50" w:line="320" w:lineRule="exact"/>
        <w:ind w:firstLine="500" w:firstLineChars="200"/>
        <w:rPr>
          <w:rFonts w:ascii="宋体" w:hAnsi="宋体" w:cs="楷体"/>
        </w:rPr>
      </w:pPr>
      <w:r>
        <w:rPr>
          <w:rFonts w:hint="eastAsia" w:ascii="宋体" w:hAnsi="宋体" w:cs="楷体"/>
        </w:rPr>
        <w:t>连接方式：进口：PVC承插接口；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出口：PVC承插接口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泵头材质：PVDF或PVC</w:t>
      </w:r>
    </w:p>
    <w:p>
      <w:pPr>
        <w:spacing w:before="203" w:beforeLines="50" w:after="203" w:afterLines="50" w:line="320" w:lineRule="exact"/>
        <w:ind w:firstLine="500" w:firstLineChars="200"/>
        <w:rPr>
          <w:rFonts w:ascii="宋体" w:hAnsi="宋体" w:cs="楷体"/>
        </w:rPr>
      </w:pPr>
      <w:r>
        <w:rPr>
          <w:rFonts w:hint="eastAsia" w:ascii="宋体" w:hAnsi="宋体" w:cs="楷体"/>
        </w:rPr>
        <w:t>密封材质：PTFE或FKM</w:t>
      </w:r>
    </w:p>
    <w:p>
      <w:pPr>
        <w:spacing w:before="203" w:beforeLines="50" w:after="203" w:afterLines="50" w:line="320" w:lineRule="exact"/>
        <w:ind w:firstLine="500" w:firstLineChars="200"/>
        <w:rPr>
          <w:rFonts w:ascii="宋体" w:hAnsi="宋体" w:cs="楷体"/>
        </w:rPr>
      </w:pPr>
      <w:r>
        <w:rPr>
          <w:rFonts w:hint="eastAsia" w:ascii="宋体" w:hAnsi="宋体" w:cs="楷体"/>
        </w:rPr>
        <w:t>阀球或阀板：陶瓷</w:t>
      </w:r>
    </w:p>
    <w:p>
      <w:pPr>
        <w:spacing w:before="203" w:beforeLines="50" w:after="203" w:afterLines="50" w:line="320" w:lineRule="exact"/>
        <w:ind w:firstLine="500" w:firstLineChars="200"/>
        <w:rPr>
          <w:rFonts w:ascii="宋体" w:hAnsi="宋体" w:cs="楷体"/>
        </w:rPr>
      </w:pPr>
      <w:r>
        <w:rPr>
          <w:rFonts w:hint="eastAsia" w:ascii="宋体" w:hAnsi="宋体" w:cs="楷体"/>
        </w:rPr>
        <w:t>调节范围：1：800；</w:t>
      </w:r>
    </w:p>
    <w:p>
      <w:pPr>
        <w:spacing w:before="203" w:beforeLines="50" w:after="203" w:afterLines="50" w:line="320" w:lineRule="exact"/>
        <w:ind w:firstLine="500" w:firstLineChars="200"/>
        <w:rPr>
          <w:rFonts w:ascii="宋体" w:hAnsi="宋体" w:cs="楷体"/>
        </w:rPr>
      </w:pPr>
      <w:r>
        <w:rPr>
          <w:rFonts w:hint="eastAsia" w:ascii="宋体" w:hAnsi="宋体" w:cs="楷体"/>
        </w:rPr>
        <w:t>调节方式：4-20mA</w:t>
      </w:r>
    </w:p>
    <w:p>
      <w:pPr>
        <w:spacing w:before="203" w:beforeLines="50" w:after="203" w:afterLines="50" w:line="320" w:lineRule="exact"/>
        <w:ind w:firstLine="500" w:firstLineChars="200"/>
        <w:rPr>
          <w:rFonts w:ascii="宋体" w:hAnsi="宋体" w:cs="楷体"/>
        </w:rPr>
      </w:pPr>
      <w:r>
        <w:rPr>
          <w:rFonts w:hint="eastAsia" w:ascii="宋体" w:hAnsi="宋体" w:cs="楷体"/>
        </w:rPr>
        <w:t>防护等级：IP54；</w:t>
      </w:r>
    </w:p>
    <w:p>
      <w:pPr>
        <w:spacing w:before="203" w:beforeLines="50" w:after="203" w:afterLines="50" w:line="320" w:lineRule="exact"/>
        <w:ind w:firstLine="500" w:firstLineChars="200"/>
        <w:rPr>
          <w:rFonts w:ascii="宋体" w:hAnsi="宋体" w:cs="楷体"/>
        </w:rPr>
      </w:pPr>
      <w:r>
        <w:rPr>
          <w:rFonts w:hint="eastAsia" w:ascii="宋体" w:hAnsi="宋体" w:cs="楷体"/>
        </w:rPr>
        <w:t>绝缘等级：F。</w:t>
      </w:r>
    </w:p>
    <w:p>
      <w:pPr>
        <w:spacing w:before="203" w:beforeLines="50" w:after="203" w:afterLines="50" w:line="320" w:lineRule="exact"/>
        <w:ind w:firstLine="500" w:firstLineChars="200"/>
        <w:rPr>
          <w:rFonts w:ascii="宋体" w:hAnsi="宋体" w:cs="楷体"/>
        </w:rPr>
      </w:pPr>
      <w:r>
        <w:rPr>
          <w:rFonts w:hint="eastAsia" w:ascii="宋体" w:hAnsi="宋体" w:cs="楷体"/>
        </w:rPr>
        <w:t>电机：220V，功率与泵配套</w:t>
      </w:r>
    </w:p>
    <w:p>
      <w:pPr>
        <w:spacing w:before="203" w:beforeLines="50" w:after="203" w:afterLines="50" w:line="320" w:lineRule="exact"/>
        <w:ind w:firstLine="500" w:firstLineChars="200"/>
        <w:rPr>
          <w:rFonts w:ascii="宋体" w:hAnsi="宋体"/>
        </w:rPr>
      </w:pPr>
      <w:r>
        <w:rPr>
          <w:rFonts w:hint="eastAsia" w:ascii="宋体" w:hAnsi="宋体" w:cs="楷体"/>
        </w:rPr>
        <w:t>驱动方式：电动</w:t>
      </w:r>
    </w:p>
    <w:p>
      <w:pPr>
        <w:pStyle w:val="1156"/>
        <w:numPr>
          <w:ilvl w:val="0"/>
          <w:numId w:val="119"/>
        </w:numPr>
        <w:ind w:firstLineChars="0"/>
        <w:rPr>
          <w:rFonts w:ascii="宋体" w:hAnsi="宋体"/>
          <w:b/>
        </w:rPr>
      </w:pPr>
      <w:r>
        <w:rPr>
          <w:rFonts w:hint="eastAsia" w:ascii="宋体" w:hAnsi="宋体"/>
          <w:b/>
        </w:rPr>
        <w:t>安全阀（内密封圈、接口O型圈必须耐腐蚀）</w:t>
      </w:r>
    </w:p>
    <w:p>
      <w:pPr>
        <w:spacing w:before="203" w:beforeLines="50" w:after="203" w:afterLines="50" w:line="320" w:lineRule="exact"/>
        <w:ind w:firstLine="500" w:firstLineChars="200"/>
        <w:rPr>
          <w:rFonts w:ascii="宋体" w:hAnsi="宋体" w:cs="楷体"/>
        </w:rPr>
      </w:pPr>
      <w:r>
        <w:rPr>
          <w:rFonts w:hint="eastAsia" w:ascii="宋体" w:hAnsi="宋体" w:cs="楷体"/>
        </w:rPr>
        <w:t>安装在计量泵的压力端，可以防止管路出现过高的压力。</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O型圈：Viton</w:t>
      </w:r>
    </w:p>
    <w:p>
      <w:pPr>
        <w:spacing w:before="203" w:beforeLines="50" w:after="203" w:afterLines="50" w:line="320" w:lineRule="exact"/>
        <w:ind w:firstLine="500" w:firstLineChars="200"/>
        <w:rPr>
          <w:rFonts w:ascii="宋体" w:hAnsi="宋体" w:cs="楷体"/>
        </w:rPr>
      </w:pPr>
      <w:r>
        <w:rPr>
          <w:rFonts w:hint="eastAsia" w:ascii="宋体" w:hAnsi="宋体" w:cs="楷体"/>
        </w:rPr>
        <w:t>隔膜：PTFE</w:t>
      </w:r>
    </w:p>
    <w:p>
      <w:pPr>
        <w:spacing w:before="203" w:beforeLines="50" w:after="203" w:afterLines="50" w:line="320" w:lineRule="exact"/>
        <w:ind w:firstLine="500" w:firstLineChars="200"/>
        <w:rPr>
          <w:rFonts w:ascii="宋体" w:hAnsi="宋体" w:cs="宋体"/>
          <w:kern w:val="1"/>
          <w:szCs w:val="21"/>
          <w:shd w:val="clear" w:color="auto" w:fill="FFFFFF"/>
        </w:rPr>
      </w:pPr>
      <w:r>
        <w:rPr>
          <w:rFonts w:hint="eastAsia" w:ascii="宋体" w:hAnsi="宋体" w:cs="楷体"/>
        </w:rPr>
        <w:t>出厂调节至3bar</w:t>
      </w:r>
    </w:p>
    <w:p>
      <w:pPr>
        <w:pStyle w:val="1156"/>
        <w:numPr>
          <w:ilvl w:val="0"/>
          <w:numId w:val="119"/>
        </w:numPr>
        <w:ind w:firstLineChars="0"/>
        <w:rPr>
          <w:rFonts w:ascii="宋体" w:hAnsi="宋体"/>
          <w:b/>
        </w:rPr>
      </w:pPr>
      <w:r>
        <w:rPr>
          <w:rFonts w:hint="eastAsia" w:ascii="宋体" w:hAnsi="宋体"/>
          <w:b/>
        </w:rPr>
        <w:t>背压阀（压力保持阀）</w:t>
      </w:r>
    </w:p>
    <w:p>
      <w:pPr>
        <w:spacing w:before="203" w:beforeLines="50" w:after="203" w:afterLines="50" w:line="320" w:lineRule="exact"/>
        <w:ind w:firstLine="500" w:firstLineChars="200"/>
        <w:rPr>
          <w:rFonts w:ascii="宋体" w:hAnsi="宋体" w:cs="楷体"/>
        </w:rPr>
      </w:pPr>
      <w:r>
        <w:rPr>
          <w:rFonts w:hint="eastAsia" w:ascii="宋体" w:hAnsi="宋体" w:cs="楷体"/>
        </w:rPr>
        <w:t>在投加系统没有背压、背压不稳定或者投加点位置比泵低时，用于维持计量泵投加流量的稳定。通过一个带弹簧的调节螺冒可以调节背压阀的压力。PVC材质，PTFE隔膜，出厂调节至3bar。</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O型圈：Viton</w:t>
      </w:r>
    </w:p>
    <w:p>
      <w:pPr>
        <w:spacing w:before="203" w:beforeLines="50" w:after="203" w:afterLines="50" w:line="320" w:lineRule="exact"/>
        <w:ind w:firstLine="500" w:firstLineChars="200"/>
        <w:rPr>
          <w:rFonts w:ascii="宋体" w:hAnsi="宋体" w:cs="楷体"/>
        </w:rPr>
      </w:pPr>
      <w:r>
        <w:rPr>
          <w:rFonts w:hint="eastAsia" w:ascii="宋体" w:hAnsi="宋体" w:cs="楷体"/>
        </w:rPr>
        <w:t>隔膜：PTFE</w:t>
      </w:r>
    </w:p>
    <w:p>
      <w:pPr>
        <w:spacing w:before="203" w:beforeLines="50" w:after="203" w:afterLines="50" w:line="320" w:lineRule="exact"/>
        <w:ind w:firstLine="500" w:firstLineChars="200"/>
        <w:rPr>
          <w:rFonts w:ascii="宋体" w:hAnsi="宋体" w:cs="宋体"/>
          <w:kern w:val="1"/>
          <w:szCs w:val="21"/>
          <w:shd w:val="clear" w:color="auto" w:fill="FFFFFF"/>
        </w:rPr>
      </w:pPr>
      <w:r>
        <w:rPr>
          <w:rFonts w:hint="eastAsia" w:ascii="宋体" w:hAnsi="宋体" w:cs="楷体"/>
        </w:rPr>
        <w:t>出厂调节至2bar</w:t>
      </w:r>
    </w:p>
    <w:p>
      <w:pPr>
        <w:pStyle w:val="1156"/>
        <w:numPr>
          <w:ilvl w:val="0"/>
          <w:numId w:val="119"/>
        </w:numPr>
        <w:ind w:firstLineChars="0"/>
        <w:rPr>
          <w:rFonts w:ascii="宋体" w:hAnsi="宋体"/>
          <w:b/>
        </w:rPr>
      </w:pPr>
      <w:r>
        <w:rPr>
          <w:rFonts w:hint="eastAsia" w:ascii="宋体" w:hAnsi="宋体"/>
          <w:b/>
        </w:rPr>
        <w:t>脉冲阻尼器</w:t>
      </w:r>
    </w:p>
    <w:p>
      <w:pPr>
        <w:spacing w:before="203" w:beforeLines="50" w:after="203" w:afterLines="50" w:line="320" w:lineRule="exact"/>
        <w:ind w:firstLine="500" w:firstLineChars="200"/>
        <w:rPr>
          <w:rFonts w:ascii="宋体" w:hAnsi="宋体" w:cs="楷体"/>
        </w:rPr>
      </w:pPr>
      <w:r>
        <w:rPr>
          <w:rFonts w:hint="eastAsia" w:ascii="宋体" w:hAnsi="宋体" w:cs="楷体"/>
        </w:rPr>
        <w:t>通过能量平衡的方式减少精密计量泵药液输出的脉冲，使精密计量泵药液输出均匀，形成近似线性的流体特性，增加进料的平稳性，并消除因脉冲可能引起的振动对计量泵和系统造成的伤害。脉冲阻尼器隔膜材质为PTFE。</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材质</w:t>
      </w:r>
      <w:r>
        <w:rPr>
          <w:rFonts w:ascii="宋体" w:hAnsi="宋体" w:cs="楷体"/>
        </w:rPr>
        <w:t>：</w:t>
      </w:r>
      <w:r>
        <w:rPr>
          <w:rFonts w:hint="eastAsia" w:ascii="宋体" w:hAnsi="宋体" w:cs="楷体"/>
        </w:rPr>
        <w:t>UPVC</w:t>
      </w:r>
    </w:p>
    <w:p>
      <w:pPr>
        <w:spacing w:before="203" w:beforeLines="50" w:after="203" w:afterLines="50" w:line="320" w:lineRule="exact"/>
        <w:ind w:firstLine="500" w:firstLineChars="200"/>
        <w:rPr>
          <w:rFonts w:ascii="宋体" w:hAnsi="宋体" w:cs="楷体"/>
        </w:rPr>
      </w:pPr>
      <w:r>
        <w:rPr>
          <w:rFonts w:hint="eastAsia" w:ascii="宋体" w:hAnsi="宋体" w:cs="楷体"/>
        </w:rPr>
        <w:t>密封垫</w:t>
      </w:r>
      <w:r>
        <w:rPr>
          <w:rFonts w:ascii="宋体" w:hAnsi="宋体" w:cs="楷体"/>
        </w:rPr>
        <w:t>：</w:t>
      </w:r>
      <w:r>
        <w:rPr>
          <w:rFonts w:hint="eastAsia" w:ascii="宋体" w:hAnsi="宋体" w:cs="楷体"/>
        </w:rPr>
        <w:t>V</w:t>
      </w:r>
      <w:r>
        <w:rPr>
          <w:rFonts w:ascii="宋体" w:hAnsi="宋体" w:cs="楷体"/>
        </w:rPr>
        <w:t>iton</w:t>
      </w:r>
    </w:p>
    <w:p>
      <w:pPr>
        <w:spacing w:before="203" w:beforeLines="50" w:after="203" w:afterLines="50" w:line="320" w:lineRule="exact"/>
        <w:ind w:firstLine="500" w:firstLineChars="200"/>
        <w:rPr>
          <w:rFonts w:ascii="宋体" w:hAnsi="宋体" w:cs="楷体"/>
        </w:rPr>
      </w:pPr>
      <w:r>
        <w:rPr>
          <w:rFonts w:hint="eastAsia" w:ascii="宋体" w:hAnsi="宋体" w:cs="楷体"/>
        </w:rPr>
        <w:t>容积</w:t>
      </w:r>
      <w:r>
        <w:rPr>
          <w:rFonts w:ascii="宋体" w:hAnsi="宋体" w:cs="楷体"/>
        </w:rPr>
        <w:t>：</w:t>
      </w:r>
      <w:r>
        <w:rPr>
          <w:rFonts w:hint="eastAsia" w:ascii="宋体" w:hAnsi="宋体" w:cs="楷体"/>
        </w:rPr>
        <w:t>根据设备清单</w:t>
      </w:r>
    </w:p>
    <w:p>
      <w:pPr>
        <w:pStyle w:val="1156"/>
        <w:numPr>
          <w:ilvl w:val="0"/>
          <w:numId w:val="119"/>
        </w:numPr>
        <w:ind w:firstLineChars="0"/>
        <w:rPr>
          <w:rFonts w:ascii="宋体" w:hAnsi="宋体"/>
          <w:b/>
        </w:rPr>
      </w:pPr>
      <w:r>
        <w:rPr>
          <w:rFonts w:hint="eastAsia" w:ascii="宋体" w:hAnsi="宋体"/>
          <w:b/>
        </w:rPr>
        <w:t>Y型过滤器</w:t>
      </w:r>
    </w:p>
    <w:p>
      <w:pPr>
        <w:spacing w:before="203" w:beforeLines="50" w:after="203" w:afterLines="50" w:line="320" w:lineRule="exact"/>
        <w:ind w:firstLine="500" w:firstLineChars="200"/>
        <w:rPr>
          <w:rFonts w:ascii="宋体" w:hAnsi="宋体" w:cs="楷体"/>
        </w:rPr>
      </w:pPr>
      <w:r>
        <w:rPr>
          <w:rFonts w:hint="eastAsia" w:ascii="宋体" w:hAnsi="宋体" w:cs="楷体"/>
        </w:rPr>
        <w:t>是输送介质的管道系统不可缺少的一种过滤装置，Y型过滤器通常安装在减压阀、泄压阀、定水位阀或其它设备的进口端，用来清除介质中的杂质，以保护阀门及设备的正常使用。Y型过滤器应具有结构先进，阻力小，排污方便等特点。Y型过滤器适用介质可为水、油、气。</w:t>
      </w:r>
    </w:p>
    <w:p>
      <w:pPr>
        <w:spacing w:before="203" w:beforeLines="50" w:after="203" w:afterLines="50" w:line="320" w:lineRule="exact"/>
        <w:ind w:firstLine="500" w:firstLineChars="200"/>
        <w:rPr>
          <w:rFonts w:ascii="宋体" w:hAnsi="宋体" w:cs="楷体"/>
        </w:rPr>
      </w:pPr>
      <w:r>
        <w:rPr>
          <w:rFonts w:hint="eastAsia" w:ascii="宋体" w:hAnsi="宋体" w:cs="楷体"/>
        </w:rPr>
        <w:t>材质：UPVC，滤芯应易于检查和拆卸清除杂质。</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公称压力：1.6MPa</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pStyle w:val="1156"/>
        <w:numPr>
          <w:ilvl w:val="0"/>
          <w:numId w:val="119"/>
        </w:numPr>
        <w:ind w:firstLineChars="0"/>
        <w:rPr>
          <w:rFonts w:ascii="宋体" w:hAnsi="宋体"/>
          <w:b/>
        </w:rPr>
      </w:pPr>
      <w:r>
        <w:rPr>
          <w:rFonts w:hint="eastAsia" w:ascii="宋体" w:hAnsi="宋体"/>
          <w:b/>
        </w:rPr>
        <w:t>隔膜压力表</w:t>
      </w:r>
    </w:p>
    <w:p>
      <w:pPr>
        <w:spacing w:before="203" w:beforeLines="50" w:after="203" w:afterLines="50" w:line="320" w:lineRule="exact"/>
        <w:ind w:firstLine="500" w:firstLineChars="200"/>
        <w:rPr>
          <w:rFonts w:ascii="宋体" w:hAnsi="宋体" w:cs="楷体"/>
        </w:rPr>
      </w:pPr>
      <w:r>
        <w:rPr>
          <w:rFonts w:hint="eastAsia" w:ascii="宋体" w:hAnsi="宋体" w:cs="楷体"/>
        </w:rPr>
        <w:t>适用于测量强腐蚀、高温、高粘度、易结晶、易凝固、有固体浮游物的介质压力以及必须避免测量介质直接进入通用型压力仪表和防止沉淀物积聚且易清洗的场合。</w:t>
      </w:r>
    </w:p>
    <w:p>
      <w:pPr>
        <w:spacing w:before="203" w:beforeLines="50" w:after="203" w:afterLines="50" w:line="320" w:lineRule="exact"/>
        <w:ind w:firstLine="500" w:firstLineChars="200"/>
        <w:rPr>
          <w:rFonts w:ascii="宋体" w:hAnsi="宋体" w:cs="楷体"/>
        </w:rPr>
      </w:pPr>
      <w:r>
        <w:rPr>
          <w:rFonts w:hint="eastAsia" w:ascii="宋体" w:hAnsi="宋体" w:cs="楷体"/>
        </w:rPr>
        <w:t>类型：隔膜压力表</w:t>
      </w:r>
    </w:p>
    <w:p>
      <w:pPr>
        <w:spacing w:before="203" w:beforeLines="50" w:after="203" w:afterLines="50" w:line="320" w:lineRule="exact"/>
        <w:ind w:firstLine="500" w:firstLineChars="200"/>
        <w:rPr>
          <w:rFonts w:ascii="宋体" w:hAnsi="宋体" w:cs="楷体"/>
        </w:rPr>
      </w:pPr>
      <w:r>
        <w:rPr>
          <w:rFonts w:hint="eastAsia" w:ascii="宋体" w:hAnsi="宋体" w:cs="楷体"/>
        </w:rPr>
        <w:t>量程：0～0.6MPa</w:t>
      </w:r>
    </w:p>
    <w:p>
      <w:pPr>
        <w:spacing w:before="203" w:beforeLines="50" w:after="203" w:afterLines="50" w:line="320" w:lineRule="exact"/>
        <w:ind w:firstLine="500" w:firstLineChars="200"/>
        <w:rPr>
          <w:rFonts w:ascii="宋体" w:hAnsi="宋体" w:cs="楷体"/>
        </w:rPr>
      </w:pPr>
      <w:r>
        <w:rPr>
          <w:rFonts w:hint="eastAsia" w:ascii="宋体" w:hAnsi="宋体" w:cs="楷体"/>
        </w:rPr>
        <w:t>外壳材质：304不锈钢</w:t>
      </w:r>
    </w:p>
    <w:p>
      <w:pPr>
        <w:spacing w:before="203" w:beforeLines="50" w:after="203" w:afterLines="50" w:line="320" w:lineRule="exact"/>
        <w:ind w:firstLine="500" w:firstLineChars="200"/>
        <w:rPr>
          <w:rFonts w:ascii="宋体" w:hAnsi="宋体" w:cs="楷体"/>
        </w:rPr>
      </w:pPr>
      <w:r>
        <w:rPr>
          <w:rFonts w:hint="eastAsia" w:ascii="宋体" w:hAnsi="宋体" w:cs="楷体"/>
        </w:rPr>
        <w:t>膜片材质：HC合金</w:t>
      </w:r>
    </w:p>
    <w:p>
      <w:pPr>
        <w:spacing w:before="203" w:beforeLines="50" w:after="203" w:afterLines="50" w:line="320" w:lineRule="exact"/>
        <w:ind w:firstLine="500" w:firstLineChars="200"/>
        <w:rPr>
          <w:rFonts w:ascii="宋体" w:hAnsi="宋体"/>
          <w:szCs w:val="21"/>
        </w:rPr>
      </w:pPr>
      <w:r>
        <w:rPr>
          <w:rFonts w:hint="eastAsia" w:ascii="宋体" w:hAnsi="宋体" w:cs="楷体"/>
        </w:rPr>
        <w:t>表盘直径：60mm</w:t>
      </w:r>
    </w:p>
    <w:p>
      <w:pPr>
        <w:pStyle w:val="1156"/>
        <w:numPr>
          <w:ilvl w:val="0"/>
          <w:numId w:val="119"/>
        </w:numPr>
        <w:ind w:firstLineChars="0"/>
        <w:rPr>
          <w:rFonts w:ascii="宋体" w:hAnsi="宋体"/>
          <w:b/>
        </w:rPr>
      </w:pPr>
      <w:r>
        <w:rPr>
          <w:rFonts w:hint="eastAsia" w:ascii="宋体" w:hAnsi="宋体"/>
          <w:b/>
        </w:rPr>
        <w:t>电磁流量计</w:t>
      </w:r>
    </w:p>
    <w:p>
      <w:pPr>
        <w:spacing w:before="203" w:beforeLines="50" w:after="203" w:afterLines="50" w:line="320" w:lineRule="exact"/>
        <w:ind w:firstLine="500" w:firstLineChars="200"/>
        <w:rPr>
          <w:rFonts w:ascii="宋体" w:hAnsi="宋体" w:cs="楷体"/>
        </w:rPr>
      </w:pPr>
      <w:r>
        <w:rPr>
          <w:rFonts w:hint="eastAsia" w:ascii="宋体" w:hAnsi="宋体" w:cs="楷体"/>
        </w:rPr>
        <w:t>连接方式：法兰连接</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精度：0.5%或以上；</w:t>
      </w:r>
    </w:p>
    <w:p>
      <w:pPr>
        <w:spacing w:before="203" w:beforeLines="50" w:after="203" w:afterLines="50" w:line="320" w:lineRule="exact"/>
        <w:ind w:firstLine="500" w:firstLineChars="200"/>
        <w:rPr>
          <w:rFonts w:ascii="宋体" w:hAnsi="宋体" w:cs="楷体"/>
        </w:rPr>
      </w:pPr>
      <w:r>
        <w:rPr>
          <w:rFonts w:hint="eastAsia" w:ascii="宋体" w:hAnsi="宋体" w:cs="楷体"/>
        </w:rPr>
        <w:t>重复性：±0.1%；</w:t>
      </w:r>
    </w:p>
    <w:p>
      <w:pPr>
        <w:spacing w:before="203" w:beforeLines="50" w:after="203" w:afterLines="50" w:line="320" w:lineRule="exact"/>
        <w:ind w:firstLine="500" w:firstLineChars="200"/>
        <w:rPr>
          <w:rFonts w:ascii="宋体" w:hAnsi="宋体" w:cs="楷体"/>
        </w:rPr>
      </w:pPr>
      <w:r>
        <w:rPr>
          <w:rFonts w:hint="eastAsia" w:ascii="宋体" w:hAnsi="宋体" w:cs="楷体"/>
        </w:rPr>
        <w:t>测量范围：0.3～12m/s；</w:t>
      </w:r>
    </w:p>
    <w:p>
      <w:pPr>
        <w:spacing w:before="203" w:beforeLines="50" w:after="203" w:afterLines="50" w:line="320" w:lineRule="exact"/>
        <w:ind w:firstLine="500" w:firstLineChars="200"/>
        <w:rPr>
          <w:rFonts w:ascii="宋体" w:hAnsi="宋体" w:cs="楷体"/>
        </w:rPr>
      </w:pPr>
      <w:r>
        <w:rPr>
          <w:rFonts w:hint="eastAsia" w:ascii="宋体" w:hAnsi="宋体" w:cs="楷体"/>
        </w:rPr>
        <w:t>压力：0.6MPa～4.0MPa；</w:t>
      </w:r>
    </w:p>
    <w:p>
      <w:pPr>
        <w:spacing w:before="203" w:beforeLines="50" w:after="203" w:afterLines="50" w:line="320" w:lineRule="exact"/>
        <w:ind w:firstLine="500" w:firstLineChars="200"/>
        <w:rPr>
          <w:rFonts w:ascii="宋体" w:hAnsi="宋体" w:cs="楷体"/>
        </w:rPr>
      </w:pPr>
      <w:r>
        <w:rPr>
          <w:rFonts w:hint="eastAsia" w:ascii="宋体" w:hAnsi="宋体" w:cs="楷体"/>
        </w:rPr>
        <w:t>电极材料：根据设备清单；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衬里：根据设备清单；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传感器防护等级:IP68；</w:t>
      </w:r>
    </w:p>
    <w:p>
      <w:pPr>
        <w:spacing w:before="203" w:beforeLines="50" w:after="203" w:afterLines="50" w:line="320" w:lineRule="exact"/>
        <w:ind w:firstLine="500" w:firstLineChars="200"/>
        <w:rPr>
          <w:rFonts w:ascii="宋体" w:hAnsi="宋体" w:cs="楷体"/>
        </w:rPr>
      </w:pPr>
      <w:r>
        <w:rPr>
          <w:rFonts w:hint="eastAsia" w:ascii="宋体" w:hAnsi="宋体" w:cs="楷体"/>
        </w:rPr>
        <w:t>介质最高温度：最大120°C；</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环境温度：-40°C～+65°C；</w:t>
      </w:r>
    </w:p>
    <w:p>
      <w:pPr>
        <w:spacing w:before="203" w:beforeLines="50" w:after="203" w:afterLines="50" w:line="320" w:lineRule="exact"/>
        <w:ind w:firstLine="500" w:firstLineChars="200"/>
        <w:rPr>
          <w:rFonts w:ascii="宋体" w:hAnsi="宋体"/>
          <w:szCs w:val="21"/>
        </w:rPr>
      </w:pPr>
      <w:r>
        <w:rPr>
          <w:rFonts w:hint="eastAsia" w:ascii="宋体" w:hAnsi="宋体" w:cs="楷体"/>
        </w:rPr>
        <w:t>输出信号：4-20mA电流信号，脉冲输出，HART通讯。</w:t>
      </w:r>
    </w:p>
    <w:p>
      <w:pPr>
        <w:pStyle w:val="1156"/>
        <w:numPr>
          <w:ilvl w:val="0"/>
          <w:numId w:val="119"/>
        </w:numPr>
        <w:ind w:firstLineChars="0"/>
        <w:rPr>
          <w:rFonts w:ascii="宋体" w:hAnsi="宋体"/>
          <w:b/>
        </w:rPr>
      </w:pPr>
      <w:r>
        <w:rPr>
          <w:rFonts w:hint="eastAsia" w:ascii="宋体" w:hAnsi="宋体"/>
          <w:b/>
        </w:rPr>
        <w:t>手动球阀</w:t>
      </w:r>
    </w:p>
    <w:p>
      <w:pPr>
        <w:spacing w:before="203" w:beforeLines="50" w:after="203" w:afterLines="50" w:line="320" w:lineRule="exact"/>
        <w:ind w:firstLine="500" w:firstLineChars="200"/>
        <w:rPr>
          <w:rFonts w:ascii="宋体" w:hAnsi="宋体" w:cs="楷体"/>
        </w:rPr>
      </w:pPr>
      <w:r>
        <w:rPr>
          <w:rFonts w:hint="eastAsia" w:ascii="宋体" w:hAnsi="宋体" w:cs="楷体"/>
        </w:rPr>
        <w:t>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压力等级</w:t>
      </w:r>
      <w:r>
        <w:rPr>
          <w:rFonts w:ascii="宋体" w:hAnsi="宋体" w:cs="楷体"/>
        </w:rPr>
        <w:t>：</w:t>
      </w:r>
      <w:r>
        <w:rPr>
          <w:rFonts w:hint="eastAsia" w:ascii="宋体" w:hAnsi="宋体" w:cs="楷体"/>
        </w:rPr>
        <w:t>PN1.0</w:t>
      </w:r>
    </w:p>
    <w:p>
      <w:pPr>
        <w:spacing w:before="203" w:beforeLines="50" w:after="203" w:afterLines="50" w:line="320" w:lineRule="exact"/>
        <w:ind w:firstLine="500" w:firstLineChars="200"/>
        <w:rPr>
          <w:rFonts w:ascii="宋体" w:hAnsi="宋体" w:cs="楷体"/>
        </w:rPr>
      </w:pPr>
      <w:r>
        <w:rPr>
          <w:rFonts w:hint="eastAsia" w:ascii="宋体" w:hAnsi="宋体" w:cs="楷体"/>
        </w:rPr>
        <w:t>标准：DIN/ANSI/JIS/CNS</w:t>
      </w:r>
    </w:p>
    <w:p>
      <w:pPr>
        <w:spacing w:before="203" w:beforeLines="50" w:after="203" w:afterLines="50" w:line="320" w:lineRule="exact"/>
        <w:ind w:firstLine="500" w:firstLineChars="200"/>
        <w:rPr>
          <w:rFonts w:ascii="宋体" w:hAnsi="宋体" w:cs="楷体"/>
        </w:rPr>
      </w:pPr>
      <w:r>
        <w:rPr>
          <w:rFonts w:hint="eastAsia" w:ascii="宋体" w:hAnsi="宋体" w:cs="楷体"/>
        </w:rPr>
        <w:t>接口：承插接口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双由令球阀，可同时当由令及阀门使用。可在前段设备管路不必停工的状态下，关闭球阀，卸下由令，进行后段工程维修。在由令端有FPM或EPDM O"环，配合PTFE垫座之使用，能防止多数化学物质之腐蚀。不需使用特殊之工具，即可快速装配。</w:t>
      </w:r>
    </w:p>
    <w:p>
      <w:pPr>
        <w:pStyle w:val="1156"/>
        <w:numPr>
          <w:ilvl w:val="0"/>
          <w:numId w:val="119"/>
        </w:numPr>
        <w:ind w:firstLineChars="0"/>
        <w:rPr>
          <w:rFonts w:ascii="宋体" w:hAnsi="宋体"/>
          <w:b/>
        </w:rPr>
      </w:pPr>
      <w:r>
        <w:rPr>
          <w:rFonts w:hint="eastAsia" w:ascii="宋体" w:hAnsi="宋体"/>
          <w:b/>
        </w:rPr>
        <w:t>电动球阀</w:t>
      </w:r>
    </w:p>
    <w:p>
      <w:pPr>
        <w:spacing w:before="203" w:beforeLines="50" w:after="203" w:afterLines="50" w:line="320" w:lineRule="exact"/>
        <w:ind w:firstLine="500" w:firstLineChars="200"/>
        <w:rPr>
          <w:rFonts w:ascii="宋体" w:hAnsi="宋体" w:cs="楷体"/>
        </w:rPr>
      </w:pPr>
      <w:r>
        <w:rPr>
          <w:rFonts w:hint="eastAsia" w:ascii="宋体" w:hAnsi="宋体" w:cs="楷体"/>
        </w:rPr>
        <w:t>可远程控制阀门的开关；通过触点反馈，自动切换阀门的开关。</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密封材质：EPDM／PTFE；</w:t>
      </w:r>
    </w:p>
    <w:p>
      <w:pPr>
        <w:spacing w:before="203" w:beforeLines="50" w:after="203" w:afterLines="50" w:line="320" w:lineRule="exact"/>
        <w:ind w:firstLine="500" w:firstLineChars="200"/>
        <w:rPr>
          <w:rFonts w:ascii="宋体" w:hAnsi="宋体" w:cs="楷体"/>
        </w:rPr>
      </w:pPr>
      <w:r>
        <w:rPr>
          <w:rFonts w:hint="eastAsia" w:ascii="宋体" w:hAnsi="宋体" w:cs="楷体"/>
        </w:rPr>
        <w:t>传动方式：回转电动驱动；</w:t>
      </w:r>
    </w:p>
    <w:p>
      <w:pPr>
        <w:spacing w:before="203" w:beforeLines="50" w:after="203" w:afterLines="50" w:line="320" w:lineRule="exact"/>
        <w:ind w:firstLine="500" w:firstLineChars="200"/>
        <w:rPr>
          <w:rFonts w:ascii="宋体" w:hAnsi="宋体" w:cs="楷体"/>
        </w:rPr>
      </w:pPr>
      <w:r>
        <w:rPr>
          <w:rFonts w:hint="eastAsia" w:ascii="宋体" w:hAnsi="宋体" w:cs="楷体"/>
        </w:rPr>
        <w:t>执行器材质：塑料外壳；</w:t>
      </w:r>
    </w:p>
    <w:p>
      <w:pPr>
        <w:spacing w:before="203" w:beforeLines="50" w:after="203" w:afterLines="50" w:line="320" w:lineRule="exact"/>
        <w:ind w:firstLine="500" w:firstLineChars="200"/>
        <w:rPr>
          <w:rFonts w:ascii="宋体" w:hAnsi="宋体" w:cs="楷体"/>
        </w:rPr>
      </w:pPr>
      <w:r>
        <w:rPr>
          <w:rFonts w:hint="eastAsia" w:ascii="宋体" w:hAnsi="宋体" w:cs="楷体"/>
        </w:rPr>
        <w:t>保护装置：过热保护；</w:t>
      </w:r>
    </w:p>
    <w:p>
      <w:pPr>
        <w:spacing w:before="203" w:beforeLines="50" w:after="203" w:afterLines="50" w:line="320" w:lineRule="exact"/>
        <w:ind w:firstLine="500" w:firstLineChars="200"/>
        <w:rPr>
          <w:rFonts w:ascii="宋体" w:hAnsi="宋体" w:cs="楷体"/>
        </w:rPr>
      </w:pPr>
      <w:r>
        <w:rPr>
          <w:rFonts w:hint="eastAsia" w:ascii="宋体" w:hAnsi="宋体" w:cs="楷体"/>
        </w:rPr>
        <w:t>动作时间：4－30秒；</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流体温度：-15℃－60℃（无冻结）；</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环境温度：-25℃－55℃。</w:t>
      </w:r>
    </w:p>
    <w:p>
      <w:pPr>
        <w:pStyle w:val="1156"/>
        <w:numPr>
          <w:ilvl w:val="0"/>
          <w:numId w:val="119"/>
        </w:numPr>
        <w:ind w:firstLineChars="0"/>
        <w:rPr>
          <w:rFonts w:ascii="宋体" w:hAnsi="宋体"/>
          <w:b/>
        </w:rPr>
      </w:pPr>
      <w:r>
        <w:rPr>
          <w:rFonts w:hint="eastAsia" w:ascii="宋体" w:hAnsi="宋体"/>
          <w:b/>
        </w:rPr>
        <w:t>电气控制柜</w:t>
      </w:r>
    </w:p>
    <w:p>
      <w:pPr>
        <w:spacing w:before="203" w:beforeLines="50" w:after="203" w:afterLines="50" w:line="320" w:lineRule="exact"/>
        <w:ind w:firstLine="500" w:firstLineChars="200"/>
        <w:rPr>
          <w:rFonts w:ascii="宋体" w:hAnsi="宋体" w:cs="楷体"/>
        </w:rPr>
      </w:pPr>
      <w:r>
        <w:rPr>
          <w:rFonts w:hint="eastAsia" w:ascii="宋体" w:hAnsi="宋体" w:cs="楷体"/>
        </w:rPr>
        <w:t>数量：1 套。</w:t>
      </w:r>
    </w:p>
    <w:p>
      <w:pPr>
        <w:spacing w:before="203" w:beforeLines="50" w:after="203" w:afterLines="50" w:line="320" w:lineRule="exact"/>
        <w:ind w:firstLine="500" w:firstLineChars="200"/>
        <w:rPr>
          <w:rFonts w:ascii="宋体" w:hAnsi="宋体" w:cs="楷体"/>
        </w:rPr>
      </w:pPr>
      <w:r>
        <w:rPr>
          <w:rFonts w:hint="eastAsia" w:ascii="宋体" w:hAnsi="宋体" w:cs="楷体"/>
        </w:rPr>
        <w:t>整套系统应包括一套控制柜，防护等级IP55，环境腐蚀类别0类。采用PLC控制，现场控制柜包括触摸显示屏，可以实时显示、设置、修改工艺参数，控制粉碳溶液的制备及投加。泵的流量可以通过4-20mA信号调节。</w:t>
      </w:r>
    </w:p>
    <w:p>
      <w:pPr>
        <w:spacing w:before="203" w:beforeLines="50" w:after="203" w:afterLines="50" w:line="320" w:lineRule="exact"/>
        <w:ind w:firstLine="500" w:firstLineChars="200"/>
        <w:rPr>
          <w:rFonts w:ascii="宋体" w:hAnsi="宋体" w:cs="楷体"/>
        </w:rPr>
      </w:pPr>
      <w:r>
        <w:rPr>
          <w:rFonts w:hint="eastAsia" w:ascii="宋体" w:hAnsi="宋体" w:cs="楷体"/>
        </w:rPr>
        <w:t>用于加药系统的制备及投加装置，配置以太网方式接入全厂自控系统传输设备手动自动状态、开停情况以及故障等常规工况状态信号，并且在自动控制方式下可通过该以太网接口或现场总线接口接受厂区自动控制系统信号控制各加药系统的开停。所选用的现场总线通讯协议与厂区系统相一致，保证与厂区自控系统不经任何转换即可正常通讯端口。同时控制柜内配备所需的变频器。终端提供运行及报警端子接口。</w:t>
      </w:r>
    </w:p>
    <w:p>
      <w:pPr>
        <w:spacing w:before="203" w:beforeLines="50" w:after="203" w:afterLines="50" w:line="320" w:lineRule="exact"/>
        <w:ind w:firstLine="500" w:firstLineChars="200"/>
        <w:rPr>
          <w:rFonts w:ascii="宋体" w:hAnsi="宋体" w:cs="楷体"/>
        </w:rPr>
      </w:pPr>
      <w:r>
        <w:rPr>
          <w:rFonts w:hint="eastAsia" w:ascii="宋体" w:hAnsi="宋体" w:cs="楷体"/>
        </w:rPr>
        <w:t>系统还应具备以下功能：</w:t>
      </w:r>
    </w:p>
    <w:p>
      <w:pPr>
        <w:pStyle w:val="1156"/>
        <w:numPr>
          <w:ilvl w:val="0"/>
          <w:numId w:val="120"/>
        </w:numPr>
        <w:spacing w:before="203" w:beforeLines="50" w:after="203" w:afterLines="50" w:line="320" w:lineRule="exact"/>
        <w:ind w:firstLineChars="0"/>
        <w:rPr>
          <w:rFonts w:ascii="宋体" w:hAnsi="宋体" w:cs="楷体"/>
        </w:rPr>
      </w:pPr>
      <w:r>
        <w:rPr>
          <w:rFonts w:hint="eastAsia" w:ascii="宋体" w:hAnsi="宋体" w:cs="楷体"/>
        </w:rPr>
        <w:t>全套系统PLC控制。</w:t>
      </w:r>
    </w:p>
    <w:p>
      <w:pPr>
        <w:pStyle w:val="1156"/>
        <w:numPr>
          <w:ilvl w:val="0"/>
          <w:numId w:val="120"/>
        </w:numPr>
        <w:spacing w:before="203" w:beforeLines="50" w:after="203" w:afterLines="50" w:line="320" w:lineRule="exact"/>
        <w:ind w:firstLineChars="0"/>
        <w:rPr>
          <w:rFonts w:ascii="宋体" w:hAnsi="宋体" w:cs="楷体"/>
        </w:rPr>
      </w:pPr>
      <w:r>
        <w:rPr>
          <w:rFonts w:hint="eastAsia" w:ascii="宋体" w:hAnsi="宋体" w:cs="楷体"/>
        </w:rPr>
        <w:t>系统各设备的运行及报警显示。</w:t>
      </w:r>
    </w:p>
    <w:p>
      <w:pPr>
        <w:pStyle w:val="1156"/>
        <w:numPr>
          <w:ilvl w:val="0"/>
          <w:numId w:val="120"/>
        </w:numPr>
        <w:spacing w:before="203" w:beforeLines="50" w:after="203" w:afterLines="50" w:line="320" w:lineRule="exact"/>
        <w:ind w:firstLineChars="0"/>
        <w:rPr>
          <w:rFonts w:ascii="宋体" w:hAnsi="宋体" w:cs="楷体"/>
        </w:rPr>
      </w:pPr>
      <w:r>
        <w:rPr>
          <w:rFonts w:hint="eastAsia" w:ascii="宋体" w:hAnsi="宋体" w:cs="楷体"/>
        </w:rPr>
        <w:t>相关信号的远程输出。</w:t>
      </w:r>
    </w:p>
    <w:p>
      <w:pPr>
        <w:pStyle w:val="1156"/>
        <w:numPr>
          <w:ilvl w:val="0"/>
          <w:numId w:val="120"/>
        </w:numPr>
        <w:spacing w:before="203" w:beforeLines="50" w:after="203" w:afterLines="50" w:line="320" w:lineRule="exact"/>
        <w:ind w:firstLineChars="0"/>
        <w:rPr>
          <w:rFonts w:ascii="宋体" w:hAnsi="宋体" w:cs="楷体"/>
        </w:rPr>
      </w:pPr>
      <w:r>
        <w:rPr>
          <w:rFonts w:hint="eastAsia" w:ascii="宋体" w:hAnsi="宋体" w:cs="楷体"/>
        </w:rPr>
        <w:t>配以太网接口，与水厂现有控制系统兼容，实现上位机监控。</w:t>
      </w:r>
    </w:p>
    <w:p>
      <w:pPr>
        <w:pStyle w:val="1156"/>
        <w:numPr>
          <w:ilvl w:val="0"/>
          <w:numId w:val="120"/>
        </w:numPr>
        <w:spacing w:before="203" w:beforeLines="50" w:after="203" w:afterLines="50" w:line="320" w:lineRule="exact"/>
        <w:ind w:firstLineChars="0"/>
        <w:rPr>
          <w:rFonts w:ascii="宋体" w:hAnsi="宋体" w:cs="楷体"/>
        </w:rPr>
      </w:pPr>
      <w:r>
        <w:rPr>
          <w:rFonts w:hint="eastAsia" w:ascii="宋体" w:hAnsi="宋体" w:cs="楷体"/>
        </w:rPr>
        <w:t>按设定浓度自动配料。</w:t>
      </w:r>
    </w:p>
    <w:p>
      <w:pPr>
        <w:pStyle w:val="1156"/>
        <w:numPr>
          <w:ilvl w:val="0"/>
          <w:numId w:val="120"/>
        </w:numPr>
        <w:spacing w:before="203" w:beforeLines="50" w:after="203" w:afterLines="50" w:line="320" w:lineRule="exact"/>
        <w:ind w:firstLineChars="0"/>
        <w:rPr>
          <w:rFonts w:ascii="宋体" w:hAnsi="宋体" w:cs="楷体"/>
        </w:rPr>
      </w:pPr>
      <w:r>
        <w:rPr>
          <w:rFonts w:hint="eastAsia" w:ascii="宋体" w:hAnsi="宋体" w:cs="楷体"/>
        </w:rPr>
        <w:t>根据信号自动闭环投加。(信号由用户提供)</w:t>
      </w:r>
    </w:p>
    <w:p>
      <w:pPr>
        <w:keepNext/>
        <w:adjustRightInd w:val="0"/>
        <w:snapToGrid w:val="0"/>
        <w:spacing w:before="203" w:beforeLines="50" w:after="203" w:afterLines="50"/>
        <w:outlineLvl w:val="0"/>
        <w:rPr>
          <w:rFonts w:ascii="宋体" w:hAnsi="宋体" w:cs="楷体"/>
          <w:b/>
        </w:rPr>
      </w:pPr>
      <w:bookmarkStart w:id="6677" w:name="_Toc106883736"/>
      <w:r>
        <w:rPr>
          <w:rFonts w:hint="eastAsia" w:ascii="宋体" w:hAnsi="宋体" w:cs="楷体"/>
          <w:b/>
        </w:rPr>
        <w:t>8.20.7活性炭投加系统</w:t>
      </w:r>
      <w:bookmarkEnd w:id="6677"/>
    </w:p>
    <w:p>
      <w:pPr>
        <w:pStyle w:val="1156"/>
        <w:numPr>
          <w:ilvl w:val="0"/>
          <w:numId w:val="121"/>
        </w:numPr>
        <w:ind w:firstLineChars="0"/>
        <w:rPr>
          <w:rFonts w:ascii="宋体" w:hAnsi="宋体"/>
          <w:b/>
        </w:rPr>
      </w:pPr>
      <w:r>
        <w:rPr>
          <w:rFonts w:hint="eastAsia" w:ascii="宋体" w:hAnsi="宋体"/>
          <w:b/>
        </w:rPr>
        <w:t>料仓及支架</w:t>
      </w:r>
    </w:p>
    <w:p>
      <w:pPr>
        <w:spacing w:before="203" w:beforeLines="50" w:after="203" w:afterLines="50" w:line="320" w:lineRule="exact"/>
        <w:ind w:firstLine="500" w:firstLineChars="200"/>
        <w:rPr>
          <w:rFonts w:ascii="宋体" w:hAnsi="宋体" w:cs="楷体"/>
        </w:rPr>
      </w:pPr>
      <w:r>
        <w:rPr>
          <w:rFonts w:hint="eastAsia" w:ascii="宋体" w:hAnsi="宋体" w:cs="楷体"/>
        </w:rPr>
        <w:t>数量：1套</w:t>
      </w:r>
    </w:p>
    <w:p>
      <w:pPr>
        <w:spacing w:before="203" w:beforeLines="50" w:after="203" w:afterLines="50" w:line="320" w:lineRule="exact"/>
        <w:ind w:firstLine="500" w:firstLineChars="200"/>
        <w:rPr>
          <w:rFonts w:ascii="宋体" w:hAnsi="宋体" w:cs="楷体"/>
        </w:rPr>
      </w:pPr>
      <w:r>
        <w:rPr>
          <w:rFonts w:hint="eastAsia" w:ascii="宋体" w:hAnsi="宋体" w:cs="楷体"/>
        </w:rPr>
        <w:t>直径：</w:t>
      </w:r>
      <w:r>
        <w:rPr>
          <w:rFonts w:ascii="宋体" w:hAnsi="宋体" w:cs="楷体"/>
        </w:rPr>
        <w:t>2.6</w:t>
      </w:r>
      <w:r>
        <w:rPr>
          <w:rFonts w:hint="eastAsia" w:ascii="宋体" w:hAnsi="宋体" w:cs="楷体"/>
        </w:rPr>
        <w:t>m</w:t>
      </w:r>
    </w:p>
    <w:p>
      <w:pPr>
        <w:spacing w:before="203" w:beforeLines="50" w:after="203" w:afterLines="50" w:line="320" w:lineRule="exact"/>
        <w:ind w:firstLine="500" w:firstLineChars="200"/>
        <w:rPr>
          <w:rFonts w:ascii="宋体" w:hAnsi="宋体" w:cs="楷体"/>
        </w:rPr>
      </w:pPr>
      <w:r>
        <w:rPr>
          <w:rFonts w:hint="eastAsia" w:ascii="宋体" w:hAnsi="宋体" w:cs="楷体"/>
        </w:rPr>
        <w:t>体积：</w:t>
      </w:r>
      <w:r>
        <w:rPr>
          <w:rFonts w:ascii="宋体" w:hAnsi="宋体" w:cs="楷体"/>
        </w:rPr>
        <w:t>8</w:t>
      </w:r>
      <w:r>
        <w:rPr>
          <w:rFonts w:hint="eastAsia" w:ascii="宋体" w:hAnsi="宋体" w:cs="楷体"/>
        </w:rPr>
        <w:t>m</w:t>
      </w:r>
      <w:r>
        <w:rPr>
          <w:rFonts w:ascii="宋体" w:hAnsi="宋体" w:cs="Calibri"/>
        </w:rPr>
        <w:t>³</w:t>
      </w:r>
    </w:p>
    <w:p>
      <w:pPr>
        <w:spacing w:before="203" w:beforeLines="50" w:after="203" w:afterLines="50" w:line="320" w:lineRule="exact"/>
        <w:ind w:firstLine="500" w:firstLineChars="200"/>
        <w:rPr>
          <w:rFonts w:ascii="宋体" w:hAnsi="宋体" w:cs="楷体"/>
        </w:rPr>
      </w:pPr>
      <w:r>
        <w:rPr>
          <w:rFonts w:hint="eastAsia" w:ascii="宋体" w:hAnsi="宋体" w:cs="楷体"/>
        </w:rPr>
        <w:t>壁厚：不小于6mm</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料仓材质：Q235B </w:t>
      </w:r>
    </w:p>
    <w:p>
      <w:pPr>
        <w:spacing w:before="203" w:beforeLines="50" w:after="203" w:afterLines="50" w:line="320" w:lineRule="exact"/>
        <w:ind w:firstLine="500" w:firstLineChars="200"/>
        <w:rPr>
          <w:rFonts w:ascii="宋体" w:hAnsi="宋体" w:cs="楷体"/>
        </w:rPr>
      </w:pPr>
      <w:r>
        <w:rPr>
          <w:rFonts w:hint="eastAsia" w:ascii="宋体" w:hAnsi="宋体" w:cs="楷体"/>
        </w:rPr>
        <w:t>料仓采用户外全封闭安装形式。配套锥斗、支撑架、后防护的爬梯、顶部平台、护栏。护栏高度不低于1.2m，料仓包括人孔、进料管、粉料过滤器及手动截止阀。</w:t>
      </w:r>
    </w:p>
    <w:p>
      <w:pPr>
        <w:spacing w:before="203" w:beforeLines="50" w:after="203" w:afterLines="50" w:line="320" w:lineRule="exact"/>
        <w:ind w:firstLine="500" w:firstLineChars="200"/>
        <w:rPr>
          <w:rFonts w:ascii="宋体" w:hAnsi="宋体" w:cs="楷体"/>
        </w:rPr>
      </w:pPr>
      <w:r>
        <w:rPr>
          <w:rFonts w:hint="eastAsia" w:ascii="宋体" w:hAnsi="宋体" w:cs="楷体"/>
        </w:rPr>
        <w:t>料仓外表面经过喷涂环氧漆处理，内表面涂食品级环氧漆2层，表面维护周期两年以上。</w:t>
      </w:r>
    </w:p>
    <w:p>
      <w:pPr>
        <w:spacing w:before="203" w:beforeLines="50" w:after="203" w:afterLines="50" w:line="320" w:lineRule="exact"/>
        <w:ind w:firstLine="500" w:firstLineChars="200"/>
        <w:rPr>
          <w:rFonts w:ascii="宋体" w:hAnsi="宋体" w:cs="楷体"/>
        </w:rPr>
      </w:pPr>
      <w:r>
        <w:rPr>
          <w:rFonts w:hint="eastAsia" w:ascii="宋体" w:hAnsi="宋体" w:cs="楷体"/>
        </w:rPr>
        <w:t>送料管口及其它料仓口部平时可保证石灰粉料在料仓内的密封性，防止与空气的长时间接触产生结块。</w:t>
      </w:r>
    </w:p>
    <w:p>
      <w:pPr>
        <w:spacing w:before="203" w:beforeLines="50" w:after="203" w:afterLines="50" w:line="320" w:lineRule="exact"/>
        <w:ind w:firstLine="500" w:firstLineChars="200"/>
        <w:rPr>
          <w:rFonts w:ascii="宋体" w:hAnsi="宋体" w:cs="楷体"/>
        </w:rPr>
      </w:pPr>
      <w:r>
        <w:rPr>
          <w:rFonts w:hint="eastAsia" w:ascii="宋体" w:hAnsi="宋体" w:cs="楷体"/>
        </w:rPr>
        <w:t>料仓顶部装配过压安全阀，避免料仓过压及粉尘堵塞，以此起到对料仓的双重保护。</w:t>
      </w:r>
    </w:p>
    <w:p>
      <w:pPr>
        <w:spacing w:before="203" w:beforeLines="50" w:after="203" w:afterLines="50" w:line="320" w:lineRule="exact"/>
        <w:ind w:firstLine="500" w:firstLineChars="200"/>
        <w:rPr>
          <w:rFonts w:ascii="宋体" w:hAnsi="宋体" w:cs="楷体"/>
        </w:rPr>
      </w:pPr>
      <w:r>
        <w:rPr>
          <w:rFonts w:hint="eastAsia" w:ascii="宋体" w:hAnsi="宋体" w:cs="楷体"/>
        </w:rPr>
        <w:t>料仓支脚部安装有称重元件，对进出料仓的粉料量进行实时监控（进料管与过滤器之间采用软连接，保证称重系统的准确性）。</w:t>
      </w:r>
    </w:p>
    <w:p>
      <w:pPr>
        <w:spacing w:before="203" w:beforeLines="50" w:after="203" w:afterLines="50" w:line="320" w:lineRule="exact"/>
        <w:ind w:firstLine="500" w:firstLineChars="200"/>
        <w:rPr>
          <w:rFonts w:ascii="宋体" w:hAnsi="宋体" w:cs="楷体"/>
        </w:rPr>
      </w:pPr>
      <w:r>
        <w:rPr>
          <w:rFonts w:hint="eastAsia" w:ascii="宋体" w:hAnsi="宋体" w:cs="楷体"/>
        </w:rPr>
        <w:t>料仓平台顶部配套仓顶除尘器，除尘量远大于物料输送量。</w:t>
      </w:r>
    </w:p>
    <w:p>
      <w:pPr>
        <w:spacing w:before="203" w:beforeLines="50" w:after="203" w:afterLines="50" w:line="320" w:lineRule="exact"/>
        <w:ind w:firstLine="500" w:firstLineChars="200"/>
        <w:rPr>
          <w:rFonts w:ascii="宋体" w:hAnsi="宋体" w:cs="楷体"/>
        </w:rPr>
      </w:pPr>
      <w:r>
        <w:rPr>
          <w:rFonts w:hint="eastAsia" w:ascii="宋体" w:hAnsi="宋体" w:cs="楷体"/>
        </w:rPr>
        <w:t>料仓锥斗装配有震动式破拱装置等，可有效避免料仓内物料结拱。</w:t>
      </w:r>
    </w:p>
    <w:p>
      <w:pPr>
        <w:pStyle w:val="1156"/>
        <w:numPr>
          <w:ilvl w:val="0"/>
          <w:numId w:val="121"/>
        </w:numPr>
        <w:ind w:firstLineChars="0"/>
        <w:rPr>
          <w:rFonts w:ascii="宋体" w:hAnsi="宋体"/>
          <w:b/>
        </w:rPr>
      </w:pPr>
      <w:r>
        <w:rPr>
          <w:rFonts w:hint="eastAsia" w:ascii="宋体" w:hAnsi="宋体"/>
          <w:b/>
        </w:rPr>
        <w:t>阻旋式料位计</w:t>
      </w:r>
    </w:p>
    <w:p>
      <w:pPr>
        <w:spacing w:before="203" w:beforeLines="50" w:after="203" w:afterLines="50" w:line="320" w:lineRule="exact"/>
        <w:ind w:firstLine="500" w:firstLineChars="200"/>
        <w:rPr>
          <w:rFonts w:ascii="宋体" w:hAnsi="宋体" w:cs="楷体"/>
        </w:rPr>
      </w:pPr>
      <w:r>
        <w:rPr>
          <w:rFonts w:hint="eastAsia" w:ascii="宋体" w:hAnsi="宋体" w:cs="楷体"/>
        </w:rPr>
        <w:t>供电电源：220VAC/24VDC</w:t>
      </w:r>
    </w:p>
    <w:p>
      <w:pPr>
        <w:spacing w:before="203" w:beforeLines="50" w:after="203" w:afterLines="50" w:line="320" w:lineRule="exact"/>
        <w:ind w:firstLine="500" w:firstLineChars="200"/>
        <w:rPr>
          <w:rFonts w:ascii="宋体" w:hAnsi="宋体" w:cs="楷体"/>
        </w:rPr>
      </w:pPr>
      <w:r>
        <w:rPr>
          <w:rFonts w:hint="eastAsia" w:ascii="宋体" w:hAnsi="宋体" w:cs="楷体"/>
        </w:rPr>
        <w:t>功率：4W</w:t>
      </w:r>
    </w:p>
    <w:p>
      <w:pPr>
        <w:spacing w:before="203" w:beforeLines="50" w:after="203" w:afterLines="50" w:line="320" w:lineRule="exact"/>
        <w:ind w:firstLine="500" w:firstLineChars="200"/>
        <w:rPr>
          <w:rFonts w:ascii="宋体" w:hAnsi="宋体" w:cs="楷体"/>
        </w:rPr>
      </w:pPr>
      <w:r>
        <w:rPr>
          <w:rFonts w:hint="eastAsia" w:ascii="宋体" w:hAnsi="宋体" w:cs="楷体"/>
        </w:rPr>
        <w:t>触点容量：10A/250VACSPDT（单刀双掷）</w:t>
      </w:r>
    </w:p>
    <w:p>
      <w:pPr>
        <w:spacing w:before="203" w:beforeLines="50" w:after="203" w:afterLines="50" w:line="320" w:lineRule="exact"/>
        <w:ind w:firstLine="500" w:firstLineChars="200"/>
        <w:rPr>
          <w:rFonts w:ascii="宋体" w:hAnsi="宋体" w:cs="楷体"/>
        </w:rPr>
      </w:pPr>
      <w:r>
        <w:rPr>
          <w:rFonts w:hint="eastAsia" w:ascii="宋体" w:hAnsi="宋体" w:cs="楷体"/>
        </w:rPr>
        <w:t>叶片转速：1r/m（转/分）</w:t>
      </w:r>
    </w:p>
    <w:p>
      <w:pPr>
        <w:spacing w:before="203" w:beforeLines="50" w:after="203" w:afterLines="50" w:line="320" w:lineRule="exact"/>
        <w:ind w:firstLine="500" w:firstLineChars="200"/>
        <w:rPr>
          <w:rFonts w:ascii="宋体" w:hAnsi="宋体" w:cs="楷体"/>
        </w:rPr>
      </w:pPr>
      <w:r>
        <w:rPr>
          <w:rFonts w:hint="eastAsia" w:ascii="宋体" w:hAnsi="宋体" w:cs="楷体"/>
        </w:rPr>
        <w:t>力矩：1.0kg×cm</w:t>
      </w:r>
    </w:p>
    <w:p>
      <w:pPr>
        <w:spacing w:before="203" w:beforeLines="50" w:after="203" w:afterLines="50" w:line="320" w:lineRule="exact"/>
        <w:ind w:firstLine="500" w:firstLineChars="200"/>
        <w:rPr>
          <w:rFonts w:ascii="宋体" w:hAnsi="宋体" w:cs="楷体"/>
        </w:rPr>
      </w:pPr>
      <w:r>
        <w:rPr>
          <w:rFonts w:hint="eastAsia" w:ascii="宋体" w:hAnsi="宋体" w:cs="楷体"/>
        </w:rPr>
        <w:t>工作温度：-20～80℃</w:t>
      </w:r>
    </w:p>
    <w:p>
      <w:pPr>
        <w:spacing w:before="203" w:beforeLines="50" w:after="203" w:afterLines="50" w:line="320" w:lineRule="exact"/>
        <w:ind w:firstLine="500" w:firstLineChars="200"/>
        <w:rPr>
          <w:rFonts w:ascii="宋体" w:hAnsi="宋体" w:cs="楷体"/>
        </w:rPr>
      </w:pPr>
      <w:r>
        <w:rPr>
          <w:rFonts w:hint="eastAsia" w:ascii="宋体" w:hAnsi="宋体" w:cs="楷体"/>
        </w:rPr>
        <w:t>绝缘电阻：≥100MΩ</w:t>
      </w:r>
    </w:p>
    <w:p>
      <w:pPr>
        <w:spacing w:before="203" w:beforeLines="50" w:after="203" w:afterLines="50" w:line="320" w:lineRule="exact"/>
        <w:ind w:firstLine="500" w:firstLineChars="200"/>
        <w:rPr>
          <w:rFonts w:ascii="宋体" w:hAnsi="宋体" w:cs="楷体"/>
        </w:rPr>
      </w:pPr>
      <w:r>
        <w:rPr>
          <w:rFonts w:hint="eastAsia" w:ascii="宋体" w:hAnsi="宋体" w:cs="楷体"/>
        </w:rPr>
        <w:t>介电强度：1500V*1min</w:t>
      </w:r>
    </w:p>
    <w:p>
      <w:pPr>
        <w:spacing w:before="203" w:beforeLines="50" w:after="203" w:afterLines="50" w:line="320" w:lineRule="exact"/>
        <w:ind w:firstLine="500" w:firstLineChars="200"/>
        <w:rPr>
          <w:rFonts w:ascii="宋体" w:hAnsi="宋体" w:cs="楷体"/>
        </w:rPr>
      </w:pPr>
      <w:r>
        <w:rPr>
          <w:rFonts w:hint="eastAsia" w:ascii="宋体" w:hAnsi="宋体" w:cs="楷体"/>
        </w:rPr>
        <w:t>防护等级：IP65</w:t>
      </w:r>
    </w:p>
    <w:p>
      <w:pPr>
        <w:spacing w:before="203" w:beforeLines="50" w:after="203" w:afterLines="50" w:line="320" w:lineRule="exact"/>
        <w:ind w:firstLine="500" w:firstLineChars="200"/>
        <w:rPr>
          <w:rFonts w:ascii="宋体" w:hAnsi="宋体" w:cs="楷体"/>
        </w:rPr>
      </w:pPr>
      <w:r>
        <w:rPr>
          <w:rFonts w:hint="eastAsia" w:ascii="宋体" w:hAnsi="宋体" w:cs="楷体"/>
        </w:rPr>
        <w:t>叶片材质：SUS304</w:t>
      </w:r>
    </w:p>
    <w:p>
      <w:pPr>
        <w:spacing w:before="203" w:beforeLines="50" w:after="203" w:afterLines="50" w:line="320" w:lineRule="exact"/>
        <w:ind w:firstLine="500" w:firstLineChars="200"/>
        <w:rPr>
          <w:rFonts w:ascii="宋体" w:hAnsi="宋体" w:cs="楷体"/>
        </w:rPr>
      </w:pPr>
      <w:r>
        <w:rPr>
          <w:rFonts w:hint="eastAsia" w:ascii="宋体" w:hAnsi="宋体" w:cs="楷体"/>
        </w:rPr>
        <w:t>ILT 型料箱料位指示器通过料箱、料斗或料仓内最低或最高料位的旋转动实现电气化指示。</w:t>
      </w:r>
    </w:p>
    <w:p>
      <w:pPr>
        <w:spacing w:before="203" w:beforeLines="50" w:after="203" w:afterLines="50" w:line="320" w:lineRule="exact"/>
        <w:ind w:firstLine="500" w:firstLineChars="200"/>
        <w:rPr>
          <w:rFonts w:ascii="宋体" w:hAnsi="宋体" w:cs="楷体"/>
        </w:rPr>
      </w:pPr>
      <w:r>
        <w:rPr>
          <w:rFonts w:hint="eastAsia" w:ascii="宋体" w:hAnsi="宋体" w:cs="楷体"/>
        </w:rPr>
        <w:t>工作原理：如果物料在桨片之上，ILT型箱式料位指示器的桨片便不会转动。料位一旦下降到桨片旋转范围以下，旋转运动启动，并带动指示器的其他部件。顶部或侧部安装的指示器通常用于密度范围在0.5t/m</w:t>
      </w:r>
      <w:r>
        <w:rPr>
          <w:rFonts w:ascii="宋体" w:hAnsi="宋体" w:cs="Calibri"/>
        </w:rPr>
        <w:t>³</w:t>
      </w:r>
      <w:r>
        <w:rPr>
          <w:rFonts w:hint="eastAsia" w:ascii="宋体" w:hAnsi="宋体" w:cs="楷体"/>
        </w:rPr>
        <w:t>到 2t/m</w:t>
      </w:r>
      <w:r>
        <w:rPr>
          <w:rFonts w:ascii="宋体" w:hAnsi="宋体" w:cs="Calibri"/>
        </w:rPr>
        <w:t>³</w:t>
      </w:r>
      <w:r>
        <w:rPr>
          <w:rFonts w:hint="eastAsia" w:ascii="宋体" w:hAnsi="宋体" w:cs="楷体"/>
        </w:rPr>
        <w:t>的物料。</w:t>
      </w:r>
    </w:p>
    <w:p>
      <w:pPr>
        <w:spacing w:before="203" w:beforeLines="50" w:after="203" w:afterLines="50" w:line="320" w:lineRule="exact"/>
        <w:ind w:firstLine="500" w:firstLineChars="200"/>
        <w:rPr>
          <w:rFonts w:ascii="宋体" w:hAnsi="宋体" w:cs="楷体"/>
        </w:rPr>
      </w:pPr>
      <w:r>
        <w:rPr>
          <w:rFonts w:hint="eastAsia" w:ascii="宋体" w:hAnsi="宋体" w:cs="楷体"/>
        </w:rPr>
        <w:t>标准连接：1</w:t>
      </w:r>
      <w:r>
        <w:rPr>
          <w:rFonts w:ascii="宋体" w:hAnsi="宋体" w:cs="Calibri"/>
        </w:rPr>
        <w:t>½</w:t>
      </w:r>
      <w:r>
        <w:rPr>
          <w:rFonts w:hint="eastAsia" w:ascii="宋体" w:hAnsi="宋体" w:cs="楷体"/>
        </w:rPr>
        <w:t>”</w:t>
      </w:r>
    </w:p>
    <w:p>
      <w:pPr>
        <w:pStyle w:val="1156"/>
        <w:numPr>
          <w:ilvl w:val="0"/>
          <w:numId w:val="121"/>
        </w:numPr>
        <w:ind w:firstLineChars="0"/>
        <w:rPr>
          <w:rFonts w:ascii="宋体" w:hAnsi="宋体"/>
          <w:b/>
        </w:rPr>
      </w:pPr>
      <w:r>
        <w:rPr>
          <w:rFonts w:hint="eastAsia" w:ascii="宋体" w:hAnsi="宋体"/>
          <w:b/>
        </w:rPr>
        <w:t>过压安全阀</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阀体材质：不锈钢</w:t>
      </w:r>
    </w:p>
    <w:p>
      <w:pPr>
        <w:spacing w:before="203" w:beforeLines="50" w:after="203" w:afterLines="50" w:line="320" w:lineRule="exact"/>
        <w:ind w:firstLine="500" w:firstLineChars="200"/>
        <w:rPr>
          <w:rFonts w:ascii="宋体" w:hAnsi="宋体" w:cs="楷体"/>
        </w:rPr>
      </w:pPr>
      <w:r>
        <w:rPr>
          <w:rFonts w:hint="eastAsia" w:ascii="宋体" w:hAnsi="宋体" w:cs="楷体"/>
        </w:rPr>
        <w:t>法兰材质：碳钢</w:t>
      </w:r>
    </w:p>
    <w:p>
      <w:pPr>
        <w:spacing w:before="203" w:beforeLines="50" w:after="203" w:afterLines="50" w:line="320" w:lineRule="exact"/>
        <w:ind w:firstLine="500" w:firstLineChars="200"/>
        <w:rPr>
          <w:rFonts w:ascii="宋体" w:hAnsi="宋体" w:cs="楷体"/>
        </w:rPr>
      </w:pPr>
      <w:r>
        <w:rPr>
          <w:rFonts w:hint="eastAsia" w:ascii="宋体" w:hAnsi="宋体" w:cs="楷体"/>
        </w:rPr>
        <w:t>直径：Φ273mm</w:t>
      </w:r>
    </w:p>
    <w:p>
      <w:pPr>
        <w:spacing w:before="203" w:beforeLines="50" w:after="203" w:afterLines="50" w:line="320" w:lineRule="exact"/>
        <w:ind w:firstLine="500" w:firstLineChars="200"/>
        <w:rPr>
          <w:rFonts w:ascii="宋体" w:hAnsi="宋体" w:cs="楷体"/>
        </w:rPr>
      </w:pPr>
      <w:r>
        <w:rPr>
          <w:rFonts w:hint="eastAsia" w:ascii="宋体" w:hAnsi="宋体" w:cs="楷体"/>
        </w:rPr>
        <w:t>料仓顶部配有过压安全阀，它的作用是在异常压力状态下（当散装气动送料时，如果料仓除尘器堵住，导致压力升高）料仓结构受到危害时的最后安保措施。</w:t>
      </w:r>
    </w:p>
    <w:p>
      <w:pPr>
        <w:spacing w:before="203" w:beforeLines="50" w:after="203" w:afterLines="50" w:line="320" w:lineRule="exact"/>
        <w:ind w:firstLine="500" w:firstLineChars="200"/>
        <w:rPr>
          <w:rFonts w:ascii="宋体" w:hAnsi="宋体" w:cs="楷体"/>
        </w:rPr>
      </w:pPr>
      <w:r>
        <w:rPr>
          <w:rFonts w:hint="eastAsia" w:ascii="宋体" w:hAnsi="宋体" w:cs="楷体"/>
        </w:rPr>
        <w:t>尽管在理想状况下，不得使用卸压阀，但即使是安全压力阀处于从未启用过的理想状态下，也必须保证在需要使用时，它是高效且可靠的，故配备安全阀以保证料仓的稳定性和安全性是十分必要的。</w:t>
      </w:r>
    </w:p>
    <w:p>
      <w:pPr>
        <w:spacing w:before="203" w:beforeLines="50" w:after="203" w:afterLines="50" w:line="320" w:lineRule="exact"/>
        <w:ind w:firstLine="500" w:firstLineChars="200"/>
        <w:rPr>
          <w:rFonts w:ascii="宋体" w:hAnsi="宋体" w:cs="楷体"/>
        </w:rPr>
      </w:pPr>
      <w:r>
        <w:rPr>
          <w:rFonts w:hint="eastAsia" w:ascii="宋体" w:hAnsi="宋体" w:cs="楷体"/>
        </w:rPr>
        <w:t>（1）安全阀结构</w:t>
      </w:r>
    </w:p>
    <w:p>
      <w:pPr>
        <w:spacing w:before="203" w:beforeLines="50" w:after="203" w:afterLines="50" w:line="320" w:lineRule="exact"/>
        <w:ind w:firstLine="500" w:firstLineChars="200"/>
        <w:rPr>
          <w:rFonts w:ascii="宋体" w:hAnsi="宋体" w:cs="楷体"/>
        </w:rPr>
      </w:pPr>
      <w:r>
        <w:rPr>
          <w:rFonts w:hint="eastAsia" w:ascii="宋体" w:hAnsi="宋体" w:cs="楷体"/>
        </w:rPr>
        <w:t>安全压力阀的组成为：一个圆柱形外壳，带有用于连接焊接在料仓顶部套管上的底部法兰；盘状铁制内盖，在负压情况下，中心的弹簧杆工作；在过压情况下，外铁环工作，通过三根弹簧杆、垫圈和一个防腐蚀护罩来对外铁环进行定位。</w:t>
      </w:r>
    </w:p>
    <w:p>
      <w:pPr>
        <w:spacing w:before="203" w:beforeLines="50" w:after="203" w:afterLines="50" w:line="320" w:lineRule="exact"/>
        <w:ind w:firstLine="500" w:firstLineChars="200"/>
        <w:rPr>
          <w:rFonts w:ascii="宋体" w:hAnsi="宋体" w:cs="楷体"/>
        </w:rPr>
      </w:pPr>
      <w:r>
        <w:rPr>
          <w:rFonts w:hint="eastAsia" w:ascii="宋体" w:hAnsi="宋体" w:cs="楷体"/>
        </w:rPr>
        <w:t>（2）安全阀功能</w:t>
      </w:r>
    </w:p>
    <w:p>
      <w:pPr>
        <w:spacing w:before="203" w:beforeLines="50" w:after="203" w:afterLines="50" w:line="320" w:lineRule="exact"/>
        <w:ind w:firstLine="500" w:firstLineChars="200"/>
        <w:rPr>
          <w:rFonts w:ascii="宋体" w:hAnsi="宋体" w:cs="楷体"/>
        </w:rPr>
      </w:pPr>
      <w:r>
        <w:rPr>
          <w:rFonts w:hint="eastAsia" w:ascii="宋体" w:hAnsi="宋体" w:cs="楷体"/>
        </w:rPr>
        <w:t>对于安全压力阀，当压力值在预置范围内时，螺旋弹簧使阀盖保持关闭状态。三根外部的弹簧杆使外部环形阀盖保持紧密闭合直至筒仓内产生的压力小于弹簧力。</w:t>
      </w:r>
    </w:p>
    <w:p>
      <w:pPr>
        <w:spacing w:before="203" w:beforeLines="50" w:after="203" w:afterLines="50" w:line="320" w:lineRule="exact"/>
        <w:ind w:firstLine="500" w:firstLineChars="200"/>
        <w:rPr>
          <w:rFonts w:ascii="宋体" w:hAnsi="宋体" w:cs="楷体"/>
        </w:rPr>
      </w:pPr>
      <w:r>
        <w:rPr>
          <w:rFonts w:hint="eastAsia" w:ascii="宋体" w:hAnsi="宋体" w:cs="楷体"/>
        </w:rPr>
        <w:t>一旦压力值超过预置范围，阀盖便上推使压力释放。较小的阀盖从下方罩住外部阀盖的中心圆形开口。较小的阀盖通过单根弹簧杆固定，并通过筒仓内的标准大气加压到外部阀盖上。</w:t>
      </w:r>
    </w:p>
    <w:p>
      <w:pPr>
        <w:spacing w:before="203" w:beforeLines="50" w:after="203" w:afterLines="50" w:line="320" w:lineRule="exact"/>
        <w:ind w:firstLine="500" w:firstLineChars="200"/>
        <w:rPr>
          <w:rFonts w:ascii="宋体" w:hAnsi="宋体" w:cs="楷体"/>
        </w:rPr>
      </w:pPr>
      <w:r>
        <w:rPr>
          <w:rFonts w:hint="eastAsia" w:ascii="宋体" w:hAnsi="宋体" w:cs="楷体"/>
        </w:rPr>
        <w:t>抽压时，弹簧压缩并使阀盖下降。空气从筒仓外部进入，此时确保了快速的压力平衡并将中心阀盖推入关闭位。</w:t>
      </w:r>
    </w:p>
    <w:p>
      <w:pPr>
        <w:spacing w:before="203" w:beforeLines="50" w:after="203" w:afterLines="50" w:line="320" w:lineRule="exact"/>
        <w:ind w:firstLine="500" w:firstLineChars="200"/>
        <w:rPr>
          <w:rFonts w:ascii="宋体" w:hAnsi="宋体" w:cs="楷体"/>
        </w:rPr>
      </w:pPr>
      <w:r>
        <w:rPr>
          <w:rFonts w:hint="eastAsia" w:ascii="宋体" w:hAnsi="宋体" w:cs="楷体"/>
        </w:rPr>
        <w:t>（3）产品参数</w:t>
      </w:r>
    </w:p>
    <w:p>
      <w:pPr>
        <w:pStyle w:val="1156"/>
        <w:numPr>
          <w:ilvl w:val="2"/>
          <w:numId w:val="122"/>
        </w:numPr>
        <w:spacing w:before="203" w:beforeLines="50" w:after="203" w:afterLines="50" w:line="320" w:lineRule="exact"/>
        <w:ind w:left="1134" w:firstLineChars="0"/>
        <w:rPr>
          <w:rFonts w:ascii="宋体" w:hAnsi="宋体" w:cs="楷体"/>
        </w:rPr>
      </w:pPr>
      <w:bookmarkStart w:id="6678" w:name="_Toc106050501"/>
      <w:r>
        <w:rPr>
          <w:rFonts w:hint="eastAsia" w:ascii="宋体" w:hAnsi="宋体" w:cs="楷体"/>
        </w:rPr>
        <w:t>不锈钢的防腐蚀护罩</w:t>
      </w:r>
      <w:bookmarkEnd w:id="6678"/>
    </w:p>
    <w:p>
      <w:pPr>
        <w:pStyle w:val="1156"/>
        <w:numPr>
          <w:ilvl w:val="2"/>
          <w:numId w:val="122"/>
        </w:numPr>
        <w:spacing w:before="203" w:beforeLines="50" w:after="203" w:afterLines="50" w:line="320" w:lineRule="exact"/>
        <w:ind w:left="1134" w:firstLineChars="0"/>
        <w:rPr>
          <w:rFonts w:ascii="宋体" w:hAnsi="宋体" w:cs="楷体"/>
        </w:rPr>
      </w:pPr>
      <w:r>
        <w:rPr>
          <w:rFonts w:hint="eastAsia" w:ascii="宋体" w:hAnsi="宋体" w:cs="楷体"/>
        </w:rPr>
        <w:t>阀体直径= 273mm (10 in)</w:t>
      </w:r>
    </w:p>
    <w:p>
      <w:pPr>
        <w:pStyle w:val="1156"/>
        <w:numPr>
          <w:ilvl w:val="2"/>
          <w:numId w:val="122"/>
        </w:numPr>
        <w:spacing w:before="203" w:beforeLines="50" w:after="203" w:afterLines="50" w:line="320" w:lineRule="exact"/>
        <w:ind w:left="1134" w:firstLineChars="0"/>
        <w:rPr>
          <w:rFonts w:ascii="宋体" w:hAnsi="宋体" w:cs="楷体"/>
        </w:rPr>
      </w:pPr>
      <w:r>
        <w:rPr>
          <w:rFonts w:hint="eastAsia" w:ascii="宋体" w:hAnsi="宋体" w:cs="楷体"/>
        </w:rPr>
        <w:t>最大空气容积13,000m3/h</w:t>
      </w:r>
    </w:p>
    <w:p>
      <w:pPr>
        <w:pStyle w:val="1156"/>
        <w:numPr>
          <w:ilvl w:val="2"/>
          <w:numId w:val="122"/>
        </w:numPr>
        <w:spacing w:before="203" w:beforeLines="50" w:after="203" w:afterLines="50" w:line="320" w:lineRule="exact"/>
        <w:ind w:left="1134" w:firstLineChars="0"/>
        <w:rPr>
          <w:rFonts w:ascii="宋体" w:hAnsi="宋体" w:cs="楷体"/>
        </w:rPr>
      </w:pPr>
      <w:r>
        <w:rPr>
          <w:rFonts w:hint="eastAsia" w:ascii="宋体" w:hAnsi="宋体" w:cs="楷体"/>
        </w:rPr>
        <w:t>感应式信号传感设备</w:t>
      </w:r>
    </w:p>
    <w:p>
      <w:pPr>
        <w:pStyle w:val="1156"/>
        <w:numPr>
          <w:ilvl w:val="2"/>
          <w:numId w:val="122"/>
        </w:numPr>
        <w:spacing w:before="203" w:beforeLines="50" w:after="203" w:afterLines="50" w:line="320" w:lineRule="exact"/>
        <w:ind w:left="1134" w:firstLineChars="0"/>
        <w:rPr>
          <w:rFonts w:ascii="宋体" w:hAnsi="宋体" w:cs="楷体"/>
        </w:rPr>
      </w:pPr>
      <w:r>
        <w:rPr>
          <w:rFonts w:hint="eastAsia" w:ascii="宋体" w:hAnsi="宋体" w:cs="楷体"/>
        </w:rPr>
        <w:t>最大预置负压值- 0.005 bar；最大压力+ 0.05 bar</w:t>
      </w:r>
    </w:p>
    <w:p>
      <w:pPr>
        <w:pStyle w:val="1156"/>
        <w:numPr>
          <w:ilvl w:val="2"/>
          <w:numId w:val="122"/>
        </w:numPr>
        <w:spacing w:before="203" w:beforeLines="50" w:after="203" w:afterLines="50" w:line="320" w:lineRule="exact"/>
        <w:ind w:left="1134" w:firstLineChars="0"/>
        <w:rPr>
          <w:rFonts w:ascii="宋体" w:hAnsi="宋体" w:cs="楷体"/>
        </w:rPr>
      </w:pPr>
      <w:r>
        <w:rPr>
          <w:rFonts w:hint="eastAsia" w:ascii="宋体" w:hAnsi="宋体" w:cs="楷体"/>
        </w:rPr>
        <w:t>根据选择不同的安全阀可以设置最大正压范围从+ 0.03 bar至 + 0.08 bar；同时最大负压为- 0.001 bar</w:t>
      </w:r>
    </w:p>
    <w:p>
      <w:pPr>
        <w:pStyle w:val="1156"/>
        <w:numPr>
          <w:ilvl w:val="2"/>
          <w:numId w:val="122"/>
        </w:numPr>
        <w:spacing w:before="203" w:beforeLines="50" w:after="203" w:afterLines="50" w:line="320" w:lineRule="exact"/>
        <w:ind w:left="1134" w:firstLineChars="0"/>
        <w:rPr>
          <w:rFonts w:ascii="宋体" w:hAnsi="宋体" w:cs="楷体"/>
        </w:rPr>
      </w:pPr>
      <w:r>
        <w:rPr>
          <w:rFonts w:hint="eastAsia" w:ascii="宋体" w:hAnsi="宋体" w:cs="楷体"/>
        </w:rPr>
        <w:t>重量： 273mm (10 in)为9.5 kg (21 lbs)</w:t>
      </w:r>
    </w:p>
    <w:p>
      <w:pPr>
        <w:pStyle w:val="1156"/>
        <w:numPr>
          <w:ilvl w:val="2"/>
          <w:numId w:val="122"/>
        </w:numPr>
        <w:spacing w:before="203" w:beforeLines="50" w:after="203" w:afterLines="50" w:line="320" w:lineRule="exact"/>
        <w:ind w:left="1134" w:firstLineChars="0"/>
        <w:rPr>
          <w:rFonts w:ascii="宋体" w:hAnsi="宋体" w:cs="楷体"/>
        </w:rPr>
      </w:pPr>
      <w:r>
        <w:rPr>
          <w:rFonts w:hint="eastAsia" w:ascii="宋体" w:hAnsi="宋体" w:cs="楷体"/>
        </w:rPr>
        <w:t>轻质设计，减小了整体尺寸，便于搬运</w:t>
      </w:r>
    </w:p>
    <w:p>
      <w:pPr>
        <w:pStyle w:val="1156"/>
        <w:numPr>
          <w:ilvl w:val="2"/>
          <w:numId w:val="122"/>
        </w:numPr>
        <w:spacing w:before="203" w:beforeLines="50" w:after="203" w:afterLines="50" w:line="320" w:lineRule="exact"/>
        <w:ind w:left="1134" w:firstLineChars="0"/>
        <w:rPr>
          <w:rFonts w:ascii="宋体" w:hAnsi="宋体" w:cs="楷体"/>
        </w:rPr>
      </w:pPr>
      <w:r>
        <w:rPr>
          <w:rFonts w:hint="eastAsia" w:ascii="宋体" w:hAnsi="宋体" w:cs="楷体"/>
        </w:rPr>
        <w:t>高度抗气压干扰、易于安装。</w:t>
      </w:r>
    </w:p>
    <w:p>
      <w:pPr>
        <w:pStyle w:val="1156"/>
        <w:numPr>
          <w:ilvl w:val="0"/>
          <w:numId w:val="121"/>
        </w:numPr>
        <w:ind w:firstLineChars="0"/>
        <w:rPr>
          <w:rFonts w:ascii="宋体" w:hAnsi="宋体"/>
          <w:b/>
        </w:rPr>
      </w:pPr>
      <w:r>
        <w:rPr>
          <w:rFonts w:hint="eastAsia" w:ascii="宋体" w:hAnsi="宋体"/>
          <w:b/>
        </w:rPr>
        <w:t>仓顶除尘器</w:t>
      </w:r>
    </w:p>
    <w:p>
      <w:pPr>
        <w:spacing w:before="203" w:beforeLines="50" w:after="203" w:afterLines="50" w:line="320" w:lineRule="exact"/>
        <w:ind w:firstLine="500" w:firstLineChars="200"/>
        <w:rPr>
          <w:rFonts w:ascii="宋体" w:hAnsi="宋体" w:cs="楷体"/>
        </w:rPr>
      </w:pPr>
      <w:r>
        <w:rPr>
          <w:rFonts w:hint="eastAsia" w:ascii="宋体" w:hAnsi="宋体" w:cs="楷体"/>
        </w:rPr>
        <w:t>过滤面积：24m</w:t>
      </w:r>
      <w:r>
        <w:rPr>
          <w:rFonts w:hint="eastAsia" w:ascii="宋体" w:hAnsi="宋体" w:cs="楷体"/>
          <w:vertAlign w:val="superscript"/>
        </w:rPr>
        <w:t>2</w:t>
      </w:r>
    </w:p>
    <w:p>
      <w:pPr>
        <w:spacing w:before="203" w:beforeLines="50" w:after="203" w:afterLines="50" w:line="320" w:lineRule="exact"/>
        <w:ind w:firstLine="500" w:firstLineChars="200"/>
        <w:rPr>
          <w:rFonts w:ascii="宋体" w:hAnsi="宋体" w:cs="楷体"/>
        </w:rPr>
      </w:pPr>
      <w:r>
        <w:rPr>
          <w:rFonts w:hint="eastAsia" w:ascii="宋体" w:hAnsi="宋体" w:cs="楷体"/>
        </w:rPr>
        <w:t>材质：不锈钢</w:t>
      </w:r>
    </w:p>
    <w:p>
      <w:pPr>
        <w:spacing w:before="203" w:beforeLines="50" w:after="203" w:afterLines="50" w:line="320" w:lineRule="exact"/>
        <w:ind w:firstLine="500" w:firstLineChars="200"/>
        <w:rPr>
          <w:rFonts w:ascii="宋体" w:hAnsi="宋体" w:cs="楷体"/>
        </w:rPr>
      </w:pPr>
      <w:r>
        <w:rPr>
          <w:rFonts w:hint="eastAsia" w:ascii="宋体" w:hAnsi="宋体" w:cs="楷体"/>
        </w:rPr>
        <w:t>电源：380VAC</w:t>
      </w:r>
    </w:p>
    <w:p>
      <w:pPr>
        <w:spacing w:before="203" w:beforeLines="50" w:after="203" w:afterLines="50" w:line="320" w:lineRule="exact"/>
        <w:ind w:firstLine="500" w:firstLineChars="200"/>
        <w:rPr>
          <w:rFonts w:ascii="宋体" w:hAnsi="宋体" w:cs="楷体"/>
        </w:rPr>
      </w:pPr>
      <w:r>
        <w:rPr>
          <w:rFonts w:hint="eastAsia" w:ascii="宋体" w:hAnsi="宋体" w:cs="楷体"/>
        </w:rPr>
        <w:t>除尘方式：气动脉冲除尘</w:t>
      </w:r>
    </w:p>
    <w:p>
      <w:pPr>
        <w:spacing w:before="203" w:beforeLines="50" w:after="203" w:afterLines="50" w:line="320" w:lineRule="exact"/>
        <w:ind w:firstLine="500" w:firstLineChars="200"/>
        <w:rPr>
          <w:rFonts w:ascii="宋体" w:hAnsi="宋体" w:cs="楷体"/>
        </w:rPr>
      </w:pPr>
      <w:r>
        <w:rPr>
          <w:rFonts w:hint="eastAsia" w:ascii="宋体" w:hAnsi="宋体" w:cs="楷体"/>
        </w:rPr>
        <w:t>操作温度：-10～+60</w:t>
      </w:r>
      <w:r>
        <w:rPr>
          <w:rFonts w:ascii="宋体" w:hAnsi="宋体" w:cs="Calibri"/>
        </w:rPr>
        <w:t>º</w:t>
      </w:r>
      <w:r>
        <w:rPr>
          <w:rFonts w:hint="eastAsia" w:ascii="宋体" w:hAnsi="宋体" w:cs="楷体"/>
        </w:rPr>
        <w:t>C</w:t>
      </w:r>
    </w:p>
    <w:p>
      <w:pPr>
        <w:spacing w:before="203" w:beforeLines="50" w:after="203" w:afterLines="50" w:line="320" w:lineRule="exact"/>
        <w:ind w:firstLine="500" w:firstLineChars="200"/>
        <w:rPr>
          <w:rFonts w:ascii="宋体" w:hAnsi="宋体" w:cs="楷体"/>
        </w:rPr>
      </w:pPr>
      <w:r>
        <w:rPr>
          <w:rFonts w:hint="eastAsia" w:ascii="宋体" w:hAnsi="宋体" w:cs="楷体"/>
        </w:rPr>
        <w:t>标准大气压流量1700m3/h</w:t>
      </w:r>
    </w:p>
    <w:p>
      <w:pPr>
        <w:spacing w:before="203" w:beforeLines="50" w:after="203" w:afterLines="50" w:line="320" w:lineRule="exact"/>
        <w:ind w:firstLine="500" w:firstLineChars="200"/>
        <w:rPr>
          <w:rFonts w:ascii="宋体" w:hAnsi="宋体" w:cs="楷体"/>
        </w:rPr>
      </w:pPr>
      <w:r>
        <w:rPr>
          <w:rFonts w:hint="eastAsia" w:ascii="宋体" w:hAnsi="宋体" w:cs="楷体"/>
        </w:rPr>
        <w:t>滤芯材料：PP滤芯</w:t>
      </w:r>
    </w:p>
    <w:p>
      <w:pPr>
        <w:spacing w:before="203" w:beforeLines="50" w:after="203" w:afterLines="50" w:line="320" w:lineRule="exact"/>
        <w:ind w:firstLine="500" w:firstLineChars="200"/>
        <w:rPr>
          <w:rFonts w:ascii="宋体" w:hAnsi="宋体" w:cs="楷体"/>
        </w:rPr>
      </w:pPr>
      <w:r>
        <w:rPr>
          <w:rFonts w:hint="eastAsia" w:ascii="宋体" w:hAnsi="宋体" w:cs="楷体"/>
        </w:rPr>
        <w:t>压力：5-6bar</w:t>
      </w:r>
    </w:p>
    <w:p>
      <w:pPr>
        <w:spacing w:before="203" w:beforeLines="50" w:after="203" w:afterLines="50" w:line="320" w:lineRule="exact"/>
        <w:ind w:firstLine="500" w:firstLineChars="200"/>
        <w:rPr>
          <w:rFonts w:ascii="宋体" w:hAnsi="宋体" w:cs="楷体"/>
        </w:rPr>
      </w:pPr>
      <w:r>
        <w:rPr>
          <w:rFonts w:hint="eastAsia" w:ascii="宋体" w:hAnsi="宋体" w:cs="楷体"/>
        </w:rPr>
        <w:t>除尘器拥有圆柱形的不锈钢制机身，机身带有连接法兰并装配有立式过滤元件。空气喷射清理系统集成在顶盖上。收尘机的通风风扇可以根据需要进行选择。</w:t>
      </w:r>
    </w:p>
    <w:p>
      <w:pPr>
        <w:spacing w:before="203" w:beforeLines="50" w:after="203" w:afterLines="50" w:line="320" w:lineRule="exact"/>
        <w:ind w:firstLine="500" w:firstLineChars="200"/>
        <w:rPr>
          <w:rFonts w:ascii="宋体" w:hAnsi="宋体" w:cs="楷体"/>
        </w:rPr>
      </w:pPr>
      <w:r>
        <w:rPr>
          <w:rFonts w:hint="eastAsia" w:ascii="宋体" w:hAnsi="宋体" w:cs="楷体"/>
        </w:rPr>
        <w:t>当粉料由槽车向料仓泵送粉料时，料仓内容易形成粉末扬尘，此时可开启除尘器对料仓进行除尘，保证料仓内压力气体排放和操作环境的清洁，减少对操作场地及空气的污染。内置滤芯，与料仓接口尺寸不小于Φ800mm或相当面积。</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功能：收尘机既可以用于过滤，又可以用于通风。法兰连接的机身、不同类型滤芯和过滤元件的多种组合，以及单独集成的气动清理系统设计，确保了模块化系统具有极高的安全性。 </w:t>
      </w:r>
    </w:p>
    <w:p>
      <w:pPr>
        <w:pStyle w:val="1156"/>
        <w:numPr>
          <w:ilvl w:val="0"/>
          <w:numId w:val="121"/>
        </w:numPr>
        <w:ind w:firstLineChars="0"/>
        <w:rPr>
          <w:rFonts w:ascii="宋体" w:hAnsi="宋体"/>
          <w:b/>
        </w:rPr>
      </w:pPr>
      <w:r>
        <w:rPr>
          <w:rFonts w:hint="eastAsia" w:ascii="宋体" w:hAnsi="宋体"/>
          <w:b/>
        </w:rPr>
        <w:t>称重系统</w:t>
      </w:r>
    </w:p>
    <w:p>
      <w:pPr>
        <w:spacing w:before="203" w:beforeLines="50" w:after="203" w:afterLines="50" w:line="320" w:lineRule="exact"/>
        <w:ind w:firstLine="500" w:firstLineChars="200"/>
        <w:rPr>
          <w:rFonts w:ascii="宋体" w:hAnsi="宋体" w:cs="楷体"/>
        </w:rPr>
      </w:pPr>
      <w:r>
        <w:rPr>
          <w:rFonts w:hint="eastAsia" w:ascii="宋体" w:hAnsi="宋体" w:cs="楷体"/>
        </w:rPr>
        <w:t>称重系统主要有显示系统和称重模块组成。</w:t>
      </w:r>
    </w:p>
    <w:p>
      <w:pPr>
        <w:spacing w:before="203" w:beforeLines="50" w:after="203" w:afterLines="50" w:line="320" w:lineRule="exact"/>
        <w:ind w:firstLine="500" w:firstLineChars="200"/>
        <w:rPr>
          <w:rFonts w:ascii="宋体" w:hAnsi="宋体" w:cs="楷体"/>
        </w:rPr>
      </w:pPr>
      <w:r>
        <w:rPr>
          <w:rFonts w:hint="eastAsia" w:ascii="宋体" w:hAnsi="宋体" w:cs="楷体"/>
        </w:rPr>
        <w:t>数量：1套</w:t>
      </w:r>
    </w:p>
    <w:p>
      <w:pPr>
        <w:spacing w:before="203" w:beforeLines="50" w:after="203" w:afterLines="50" w:line="320" w:lineRule="exact"/>
        <w:ind w:firstLine="500" w:firstLineChars="200"/>
        <w:rPr>
          <w:rFonts w:ascii="宋体" w:hAnsi="宋体" w:cs="楷体"/>
        </w:rPr>
      </w:pPr>
      <w:r>
        <w:rPr>
          <w:rFonts w:hint="eastAsia" w:ascii="宋体" w:hAnsi="宋体" w:cs="楷体"/>
        </w:rPr>
        <w:t>(1)显示器</w:t>
      </w:r>
    </w:p>
    <w:p>
      <w:pPr>
        <w:spacing w:before="203" w:beforeLines="50" w:after="203" w:afterLines="50" w:line="320" w:lineRule="exact"/>
        <w:ind w:firstLine="500" w:firstLineChars="200"/>
        <w:rPr>
          <w:rFonts w:ascii="宋体" w:hAnsi="宋体" w:cs="楷体"/>
        </w:rPr>
      </w:pPr>
      <w:r>
        <w:rPr>
          <w:rFonts w:hint="eastAsia" w:ascii="宋体" w:hAnsi="宋体" w:cs="楷体"/>
        </w:rPr>
        <w:t>A：性能-特性-益处</w:t>
      </w:r>
    </w:p>
    <w:p>
      <w:pPr>
        <w:spacing w:before="203" w:beforeLines="50" w:after="203" w:afterLines="50" w:line="320" w:lineRule="exact"/>
        <w:ind w:firstLine="500" w:firstLineChars="200"/>
        <w:rPr>
          <w:rFonts w:ascii="宋体" w:hAnsi="宋体" w:cs="楷体"/>
        </w:rPr>
      </w:pPr>
      <w:r>
        <w:rPr>
          <w:rFonts w:hint="eastAsia" w:ascii="宋体" w:hAnsi="宋体" w:cs="楷体"/>
        </w:rPr>
        <w:t>1）标准工业衡器</w:t>
      </w:r>
    </w:p>
    <w:p>
      <w:pPr>
        <w:spacing w:before="203" w:beforeLines="50" w:after="203" w:afterLines="50" w:line="320" w:lineRule="exact"/>
        <w:ind w:firstLine="500" w:firstLineChars="200"/>
        <w:rPr>
          <w:rFonts w:ascii="宋体" w:hAnsi="宋体" w:cs="楷体"/>
        </w:rPr>
      </w:pPr>
      <w:r>
        <w:rPr>
          <w:rFonts w:hint="eastAsia" w:ascii="宋体" w:hAnsi="宋体" w:cs="楷体"/>
        </w:rPr>
        <w:t>2）快速，经济，易用</w:t>
      </w:r>
    </w:p>
    <w:p>
      <w:pPr>
        <w:spacing w:before="203" w:beforeLines="50" w:after="203" w:afterLines="50" w:line="320" w:lineRule="exact"/>
        <w:ind w:firstLine="500" w:firstLineChars="200"/>
        <w:rPr>
          <w:rFonts w:ascii="宋体" w:hAnsi="宋体" w:cs="楷体"/>
        </w:rPr>
      </w:pPr>
      <w:r>
        <w:rPr>
          <w:rFonts w:hint="eastAsia" w:ascii="宋体" w:hAnsi="宋体" w:cs="楷体"/>
        </w:rPr>
        <w:t>3）具有超大LED显示屏，支持检重/分选、计数、x10和单位转换功能。</w:t>
      </w:r>
    </w:p>
    <w:p>
      <w:pPr>
        <w:spacing w:before="203" w:beforeLines="50" w:after="203" w:afterLines="50" w:line="320" w:lineRule="exact"/>
        <w:ind w:firstLine="500" w:firstLineChars="200"/>
        <w:rPr>
          <w:rFonts w:ascii="宋体" w:hAnsi="宋体" w:cs="楷体"/>
        </w:rPr>
      </w:pPr>
      <w:r>
        <w:rPr>
          <w:rFonts w:hint="eastAsia" w:ascii="宋体" w:hAnsi="宋体" w:cs="楷体"/>
        </w:rPr>
        <w:t>4）有一个标准RS232接口。</w:t>
      </w:r>
    </w:p>
    <w:p>
      <w:pPr>
        <w:spacing w:before="203" w:beforeLines="50" w:after="203" w:afterLines="50" w:line="320" w:lineRule="exact"/>
        <w:ind w:firstLine="500" w:firstLineChars="200"/>
        <w:rPr>
          <w:rFonts w:ascii="宋体" w:hAnsi="宋体" w:cs="楷体"/>
        </w:rPr>
      </w:pPr>
      <w:r>
        <w:rPr>
          <w:rFonts w:hint="eastAsia" w:ascii="宋体" w:hAnsi="宋体" w:cs="楷体"/>
        </w:rPr>
        <w:t>B：技术参数</w:t>
      </w:r>
    </w:p>
    <w:p>
      <w:pPr>
        <w:spacing w:before="203" w:beforeLines="50" w:after="203" w:afterLines="50" w:line="320" w:lineRule="exact"/>
        <w:ind w:firstLine="500" w:firstLineChars="200"/>
        <w:rPr>
          <w:rFonts w:ascii="宋体" w:hAnsi="宋体" w:cs="楷体"/>
        </w:rPr>
      </w:pPr>
      <w:r>
        <w:rPr>
          <w:rFonts w:hint="eastAsia" w:ascii="宋体" w:hAnsi="宋体" w:cs="楷体"/>
        </w:rPr>
        <w:t>1）安装尺寸：220mm×150mm×156mm</w:t>
      </w:r>
    </w:p>
    <w:p>
      <w:pPr>
        <w:spacing w:before="203" w:beforeLines="50" w:after="203" w:afterLines="50" w:line="320" w:lineRule="exact"/>
        <w:ind w:firstLine="500" w:firstLineChars="200"/>
        <w:rPr>
          <w:rFonts w:ascii="宋体" w:hAnsi="宋体" w:cs="楷体"/>
        </w:rPr>
      </w:pPr>
      <w:r>
        <w:rPr>
          <w:rFonts w:hint="eastAsia" w:ascii="宋体" w:hAnsi="宋体" w:cs="楷体"/>
        </w:rPr>
        <w:t>2）外壳：塑料IP54防护</w:t>
      </w:r>
    </w:p>
    <w:p>
      <w:pPr>
        <w:spacing w:before="203" w:beforeLines="50" w:after="203" w:afterLines="50" w:line="320" w:lineRule="exact"/>
        <w:ind w:firstLine="500" w:firstLineChars="200"/>
        <w:rPr>
          <w:rFonts w:ascii="宋体" w:hAnsi="宋体" w:cs="楷体"/>
        </w:rPr>
      </w:pPr>
      <w:r>
        <w:rPr>
          <w:rFonts w:hint="eastAsia" w:ascii="宋体" w:hAnsi="宋体" w:cs="楷体"/>
        </w:rPr>
        <w:t>3）显示：6位1.2英吋超大高亮绿色LED显示。固态显示器防撞击</w:t>
      </w:r>
    </w:p>
    <w:p>
      <w:pPr>
        <w:spacing w:before="203" w:beforeLines="50" w:after="203" w:afterLines="50" w:line="320" w:lineRule="exact"/>
        <w:ind w:firstLine="500" w:firstLineChars="200"/>
        <w:rPr>
          <w:rFonts w:ascii="宋体" w:hAnsi="宋体" w:cs="楷体"/>
        </w:rPr>
      </w:pPr>
      <w:r>
        <w:rPr>
          <w:rFonts w:hint="eastAsia" w:ascii="宋体" w:hAnsi="宋体" w:cs="楷体"/>
        </w:rPr>
        <w:t>4）按键：6个功能键</w:t>
      </w:r>
    </w:p>
    <w:p>
      <w:pPr>
        <w:spacing w:before="203" w:beforeLines="50" w:after="203" w:afterLines="50" w:line="320" w:lineRule="exact"/>
        <w:ind w:firstLine="500" w:firstLineChars="200"/>
        <w:rPr>
          <w:rFonts w:ascii="宋体" w:hAnsi="宋体" w:cs="楷体"/>
        </w:rPr>
      </w:pPr>
      <w:r>
        <w:rPr>
          <w:rFonts w:hint="eastAsia" w:ascii="宋体" w:hAnsi="宋体" w:cs="楷体"/>
        </w:rPr>
        <w:t>5）准确度：OIML 6000e，NTEP 10000d</w:t>
      </w:r>
    </w:p>
    <w:p>
      <w:pPr>
        <w:spacing w:before="203" w:beforeLines="50" w:after="203" w:afterLines="50" w:line="320" w:lineRule="exact"/>
        <w:ind w:firstLine="500" w:firstLineChars="200"/>
        <w:rPr>
          <w:rFonts w:ascii="宋体" w:hAnsi="宋体" w:cs="楷体"/>
        </w:rPr>
      </w:pPr>
      <w:r>
        <w:rPr>
          <w:rFonts w:hint="eastAsia" w:ascii="宋体" w:hAnsi="宋体" w:cs="楷体"/>
        </w:rPr>
        <w:t>6）量程：双量程</w:t>
      </w:r>
    </w:p>
    <w:p>
      <w:pPr>
        <w:spacing w:before="203" w:beforeLines="50" w:after="203" w:afterLines="50" w:line="320" w:lineRule="exact"/>
        <w:ind w:firstLine="500" w:firstLineChars="200"/>
        <w:rPr>
          <w:rFonts w:ascii="宋体" w:hAnsi="宋体" w:cs="楷体"/>
        </w:rPr>
      </w:pPr>
      <w:r>
        <w:rPr>
          <w:rFonts w:hint="eastAsia" w:ascii="宋体" w:hAnsi="宋体" w:cs="楷体"/>
        </w:rPr>
        <w:t>7）分度数：1,000－30,000分度</w:t>
      </w:r>
    </w:p>
    <w:p>
      <w:pPr>
        <w:spacing w:before="203" w:beforeLines="50" w:after="203" w:afterLines="50" w:line="320" w:lineRule="exact"/>
        <w:ind w:firstLine="500" w:firstLineChars="200"/>
        <w:rPr>
          <w:rFonts w:ascii="宋体" w:hAnsi="宋体" w:cs="楷体"/>
        </w:rPr>
      </w:pPr>
      <w:r>
        <w:rPr>
          <w:rFonts w:hint="eastAsia" w:ascii="宋体" w:hAnsi="宋体" w:cs="楷体"/>
        </w:rPr>
        <w:t>8）A/D 速率：27次/秒</w:t>
      </w:r>
    </w:p>
    <w:p>
      <w:pPr>
        <w:spacing w:before="203" w:beforeLines="50" w:after="203" w:afterLines="50" w:line="320" w:lineRule="exact"/>
        <w:ind w:firstLine="500" w:firstLineChars="200"/>
        <w:rPr>
          <w:rFonts w:ascii="宋体" w:hAnsi="宋体" w:cs="楷体"/>
        </w:rPr>
      </w:pPr>
      <w:r>
        <w:rPr>
          <w:rFonts w:hint="eastAsia" w:ascii="宋体" w:hAnsi="宋体" w:cs="楷体"/>
        </w:rPr>
        <w:t>9）传感器驱动能力：最多可接4个350欧姆传感器</w:t>
      </w:r>
    </w:p>
    <w:p>
      <w:pPr>
        <w:spacing w:before="203" w:beforeLines="50" w:after="203" w:afterLines="50" w:line="320" w:lineRule="exact"/>
        <w:ind w:firstLine="500" w:firstLineChars="200"/>
        <w:rPr>
          <w:rFonts w:ascii="宋体" w:hAnsi="宋体" w:cs="楷体"/>
        </w:rPr>
      </w:pPr>
      <w:r>
        <w:rPr>
          <w:rFonts w:hint="eastAsia" w:ascii="宋体" w:hAnsi="宋体" w:cs="楷体"/>
        </w:rPr>
        <w:t>10）交流电源：100－240VAC 50/60Hz 宽电压输入</w:t>
      </w:r>
    </w:p>
    <w:p>
      <w:pPr>
        <w:spacing w:before="203" w:beforeLines="50" w:after="203" w:afterLines="50" w:line="320" w:lineRule="exact"/>
        <w:ind w:firstLine="500" w:firstLineChars="200"/>
        <w:rPr>
          <w:rFonts w:ascii="宋体" w:hAnsi="宋体" w:cs="楷体"/>
        </w:rPr>
      </w:pPr>
      <w:r>
        <w:rPr>
          <w:rFonts w:hint="eastAsia" w:ascii="宋体" w:hAnsi="宋体" w:cs="楷体"/>
        </w:rPr>
        <w:t>11）直流电源：镍氢可充电池(选件)/干电池</w:t>
      </w:r>
    </w:p>
    <w:p>
      <w:pPr>
        <w:spacing w:before="203" w:beforeLines="50" w:after="203" w:afterLines="50" w:line="320" w:lineRule="exact"/>
        <w:ind w:firstLine="500" w:firstLineChars="200"/>
        <w:rPr>
          <w:rFonts w:ascii="宋体" w:hAnsi="宋体" w:cs="楷体"/>
        </w:rPr>
      </w:pPr>
      <w:r>
        <w:rPr>
          <w:rFonts w:hint="eastAsia" w:ascii="宋体" w:hAnsi="宋体" w:cs="楷体"/>
        </w:rPr>
        <w:t>12）单位转换：kg、lb。</w:t>
      </w:r>
    </w:p>
    <w:p>
      <w:pPr>
        <w:spacing w:before="203" w:beforeLines="50" w:after="203" w:afterLines="50" w:line="320" w:lineRule="exact"/>
        <w:ind w:firstLine="500" w:firstLineChars="200"/>
        <w:rPr>
          <w:rFonts w:ascii="宋体" w:hAnsi="宋体" w:cs="楷体"/>
        </w:rPr>
      </w:pPr>
      <w:r>
        <w:rPr>
          <w:rFonts w:hint="eastAsia" w:ascii="宋体" w:hAnsi="宋体" w:cs="楷体"/>
        </w:rPr>
        <w:t>（</w:t>
      </w:r>
      <w:r>
        <w:rPr>
          <w:rFonts w:ascii="宋体" w:hAnsi="宋体" w:cs="楷体"/>
        </w:rPr>
        <w:t>2</w:t>
      </w:r>
      <w:r>
        <w:rPr>
          <w:rFonts w:hint="eastAsia" w:ascii="宋体" w:hAnsi="宋体" w:cs="楷体"/>
        </w:rPr>
        <w:t>）称重模块</w:t>
      </w:r>
    </w:p>
    <w:p>
      <w:pPr>
        <w:spacing w:before="203" w:beforeLines="50" w:after="203" w:afterLines="50" w:line="320" w:lineRule="exact"/>
        <w:ind w:firstLine="500" w:firstLineChars="200"/>
        <w:rPr>
          <w:rFonts w:ascii="宋体" w:hAnsi="宋体" w:cs="楷体"/>
        </w:rPr>
      </w:pPr>
      <w:r>
        <w:rPr>
          <w:rFonts w:hint="eastAsia" w:ascii="宋体" w:hAnsi="宋体" w:cs="楷体"/>
        </w:rPr>
        <w:t>A：性能-特性-益处</w:t>
      </w:r>
    </w:p>
    <w:p>
      <w:pPr>
        <w:spacing w:before="203" w:beforeLines="50" w:after="203" w:afterLines="50" w:line="320" w:lineRule="exact"/>
        <w:ind w:firstLine="500" w:firstLineChars="200"/>
        <w:rPr>
          <w:rFonts w:ascii="宋体" w:hAnsi="宋体" w:cs="楷体"/>
        </w:rPr>
      </w:pPr>
      <w:r>
        <w:rPr>
          <w:rFonts w:hint="eastAsia" w:ascii="宋体" w:hAnsi="宋体" w:cs="楷体"/>
        </w:rPr>
        <w:t>1）防倾覆保护</w:t>
      </w:r>
    </w:p>
    <w:p>
      <w:pPr>
        <w:spacing w:before="203" w:beforeLines="50" w:after="203" w:afterLines="50" w:line="320" w:lineRule="exact"/>
        <w:ind w:firstLine="500" w:firstLineChars="200"/>
        <w:rPr>
          <w:rFonts w:ascii="宋体" w:hAnsi="宋体" w:cs="楷体"/>
        </w:rPr>
      </w:pPr>
      <w:r>
        <w:rPr>
          <w:rFonts w:hint="eastAsia" w:ascii="宋体" w:hAnsi="宋体" w:cs="楷体"/>
        </w:rPr>
        <w:t>2）防过载保护</w:t>
      </w:r>
    </w:p>
    <w:p>
      <w:pPr>
        <w:spacing w:before="203" w:beforeLines="50" w:after="203" w:afterLines="50" w:line="320" w:lineRule="exact"/>
        <w:ind w:firstLine="500" w:firstLineChars="200"/>
        <w:rPr>
          <w:rFonts w:ascii="宋体" w:hAnsi="宋体" w:cs="楷体"/>
        </w:rPr>
      </w:pPr>
      <w:r>
        <w:rPr>
          <w:rFonts w:hint="eastAsia" w:ascii="宋体" w:hAnsi="宋体" w:cs="楷体"/>
        </w:rPr>
        <w:t>3）360°水平拉杆稳定设备的晃动</w:t>
      </w:r>
    </w:p>
    <w:p>
      <w:pPr>
        <w:spacing w:before="203" w:beforeLines="50" w:after="203" w:afterLines="50" w:line="320" w:lineRule="exact"/>
        <w:ind w:firstLine="500" w:firstLineChars="200"/>
        <w:rPr>
          <w:rFonts w:ascii="宋体" w:hAnsi="宋体" w:cs="楷体"/>
        </w:rPr>
      </w:pPr>
      <w:r>
        <w:rPr>
          <w:rFonts w:hint="eastAsia" w:ascii="宋体" w:hAnsi="宋体" w:cs="楷体"/>
        </w:rPr>
        <w:t>4）适合动、静态两种称重应用</w:t>
      </w:r>
    </w:p>
    <w:p>
      <w:pPr>
        <w:spacing w:before="203" w:beforeLines="50" w:after="203" w:afterLines="50" w:line="320" w:lineRule="exact"/>
        <w:ind w:firstLine="500" w:firstLineChars="200"/>
        <w:rPr>
          <w:rFonts w:ascii="宋体" w:hAnsi="宋体" w:cs="楷体"/>
        </w:rPr>
      </w:pPr>
      <w:r>
        <w:rPr>
          <w:rFonts w:hint="eastAsia" w:ascii="宋体" w:hAnsi="宋体" w:cs="楷体"/>
        </w:rPr>
        <w:t>5）支持现场传感器安装，保护传感器</w:t>
      </w:r>
    </w:p>
    <w:p>
      <w:pPr>
        <w:spacing w:before="203" w:beforeLines="50" w:after="203" w:afterLines="50" w:line="320" w:lineRule="exact"/>
        <w:ind w:firstLine="500" w:firstLineChars="200"/>
        <w:rPr>
          <w:rFonts w:ascii="宋体" w:hAnsi="宋体" w:cs="楷体"/>
        </w:rPr>
      </w:pPr>
      <w:r>
        <w:rPr>
          <w:rFonts w:hint="eastAsia" w:ascii="宋体" w:hAnsi="宋体" w:cs="楷体"/>
        </w:rPr>
        <w:t>6）不锈钢传感器和碳钢传感器两种</w:t>
      </w:r>
    </w:p>
    <w:p>
      <w:pPr>
        <w:spacing w:before="203" w:beforeLines="50" w:after="203" w:afterLines="50" w:line="320" w:lineRule="exact"/>
        <w:ind w:firstLine="500" w:firstLineChars="200"/>
        <w:rPr>
          <w:rFonts w:ascii="宋体" w:hAnsi="宋体" w:cs="楷体"/>
        </w:rPr>
      </w:pPr>
      <w:r>
        <w:rPr>
          <w:rFonts w:hint="eastAsia" w:ascii="宋体" w:hAnsi="宋体" w:cs="楷体"/>
        </w:rPr>
        <w:t>7）传感器具有自复位功能，计量性能精确可靠</w:t>
      </w:r>
    </w:p>
    <w:p>
      <w:pPr>
        <w:spacing w:before="203" w:beforeLines="50" w:after="203" w:afterLines="50" w:line="320" w:lineRule="exact"/>
        <w:ind w:firstLine="500" w:firstLineChars="200"/>
        <w:rPr>
          <w:rFonts w:ascii="宋体" w:hAnsi="宋体" w:cs="楷体"/>
        </w:rPr>
      </w:pPr>
      <w:r>
        <w:rPr>
          <w:rFonts w:hint="eastAsia" w:ascii="宋体" w:hAnsi="宋体" w:cs="楷体"/>
        </w:rPr>
        <w:t>8）维护方便，节约停机维护时间。</w:t>
      </w:r>
    </w:p>
    <w:p>
      <w:pPr>
        <w:spacing w:before="203" w:beforeLines="50" w:after="203" w:afterLines="50" w:line="320" w:lineRule="exact"/>
        <w:ind w:firstLine="500" w:firstLineChars="200"/>
        <w:rPr>
          <w:rFonts w:ascii="宋体" w:hAnsi="宋体" w:cs="楷体"/>
        </w:rPr>
      </w:pPr>
      <w:r>
        <w:rPr>
          <w:rFonts w:hint="eastAsia" w:ascii="宋体" w:hAnsi="宋体" w:cs="楷体"/>
        </w:rPr>
        <w:t>B：技术参数</w:t>
      </w:r>
    </w:p>
    <w:p>
      <w:pPr>
        <w:spacing w:before="203" w:beforeLines="50" w:after="203" w:afterLines="50" w:line="320" w:lineRule="exact"/>
        <w:ind w:firstLine="500" w:firstLineChars="200"/>
        <w:rPr>
          <w:rFonts w:ascii="宋体" w:hAnsi="宋体" w:cs="楷体"/>
        </w:rPr>
      </w:pPr>
      <w:r>
        <w:rPr>
          <w:rFonts w:hint="eastAsia" w:ascii="宋体" w:hAnsi="宋体" w:cs="楷体"/>
        </w:rPr>
        <w:t>每个脚额定称重量：15t</w:t>
      </w:r>
    </w:p>
    <w:p>
      <w:pPr>
        <w:spacing w:before="203" w:beforeLines="50" w:after="203" w:afterLines="50" w:line="320" w:lineRule="exact"/>
        <w:ind w:firstLine="500" w:firstLineChars="200"/>
        <w:rPr>
          <w:rFonts w:ascii="宋体" w:hAnsi="宋体" w:cs="楷体"/>
        </w:rPr>
      </w:pPr>
      <w:r>
        <w:rPr>
          <w:rFonts w:hint="eastAsia" w:ascii="宋体" w:hAnsi="宋体" w:cs="楷体"/>
        </w:rPr>
        <w:t>灵敏度：2.0+0.002mV/V</w:t>
      </w:r>
    </w:p>
    <w:p>
      <w:pPr>
        <w:spacing w:before="203" w:beforeLines="50" w:after="203" w:afterLines="50" w:line="320" w:lineRule="exact"/>
        <w:ind w:firstLine="500" w:firstLineChars="200"/>
        <w:rPr>
          <w:rFonts w:ascii="宋体" w:hAnsi="宋体" w:cs="楷体"/>
        </w:rPr>
      </w:pPr>
      <w:r>
        <w:rPr>
          <w:rFonts w:hint="eastAsia" w:ascii="宋体" w:hAnsi="宋体" w:cs="楷体"/>
        </w:rPr>
        <w:t>不重复性：≤0.01%FS</w:t>
      </w:r>
    </w:p>
    <w:p>
      <w:pPr>
        <w:spacing w:before="203" w:beforeLines="50" w:after="203" w:afterLines="50" w:line="320" w:lineRule="exact"/>
        <w:ind w:firstLine="500" w:firstLineChars="200"/>
        <w:rPr>
          <w:rFonts w:ascii="宋体" w:hAnsi="宋体" w:cs="楷体"/>
        </w:rPr>
      </w:pPr>
      <w:r>
        <w:rPr>
          <w:rFonts w:hint="eastAsia" w:ascii="宋体" w:hAnsi="宋体" w:cs="楷体"/>
        </w:rPr>
        <w:t>滞后：≤0.02%FS</w:t>
      </w:r>
    </w:p>
    <w:p>
      <w:pPr>
        <w:spacing w:before="203" w:beforeLines="50" w:after="203" w:afterLines="50" w:line="320" w:lineRule="exact"/>
        <w:ind w:firstLine="500" w:firstLineChars="200"/>
        <w:rPr>
          <w:rFonts w:ascii="宋体" w:hAnsi="宋体" w:cs="楷体"/>
        </w:rPr>
      </w:pPr>
      <w:r>
        <w:rPr>
          <w:rFonts w:hint="eastAsia" w:ascii="宋体" w:hAnsi="宋体" w:cs="楷体"/>
        </w:rPr>
        <w:t>零点输出：≤1</w:t>
      </w:r>
    </w:p>
    <w:p>
      <w:pPr>
        <w:spacing w:before="203" w:beforeLines="50" w:after="203" w:afterLines="50" w:line="320" w:lineRule="exact"/>
        <w:ind w:firstLine="500" w:firstLineChars="200"/>
        <w:rPr>
          <w:rFonts w:ascii="宋体" w:hAnsi="宋体" w:cs="楷体"/>
        </w:rPr>
      </w:pPr>
      <w:r>
        <w:rPr>
          <w:rFonts w:hint="eastAsia" w:ascii="宋体" w:hAnsi="宋体" w:cs="楷体"/>
        </w:rPr>
        <w:t>工作温度：-40～80℃。</w:t>
      </w:r>
    </w:p>
    <w:p>
      <w:pPr>
        <w:spacing w:before="203" w:beforeLines="50" w:after="203" w:afterLines="50" w:line="320" w:lineRule="exact"/>
        <w:ind w:firstLine="500" w:firstLineChars="200"/>
        <w:rPr>
          <w:rFonts w:ascii="宋体" w:hAnsi="宋体" w:cs="楷体"/>
        </w:rPr>
      </w:pPr>
      <w:r>
        <w:rPr>
          <w:rFonts w:hint="eastAsia" w:ascii="宋体" w:hAnsi="宋体" w:cs="楷体"/>
        </w:rPr>
        <w:t>传感器误差补偿数字模型补偿</w:t>
      </w:r>
    </w:p>
    <w:p>
      <w:pPr>
        <w:spacing w:before="203" w:beforeLines="50" w:after="203" w:afterLines="50" w:line="320" w:lineRule="exact"/>
        <w:ind w:firstLine="500" w:firstLineChars="200"/>
        <w:rPr>
          <w:rFonts w:ascii="宋体" w:hAnsi="宋体"/>
          <w:szCs w:val="21"/>
        </w:rPr>
      </w:pPr>
      <w:r>
        <w:rPr>
          <w:rFonts w:hint="eastAsia" w:ascii="宋体" w:hAnsi="宋体" w:cs="楷体"/>
        </w:rPr>
        <w:t>每只传感器有单独的信号，可预诊断每只传感器健康状况</w:t>
      </w:r>
    </w:p>
    <w:p>
      <w:pPr>
        <w:pStyle w:val="1156"/>
        <w:numPr>
          <w:ilvl w:val="0"/>
          <w:numId w:val="121"/>
        </w:numPr>
        <w:ind w:firstLineChars="0"/>
        <w:rPr>
          <w:rFonts w:ascii="宋体" w:hAnsi="宋体"/>
          <w:b/>
        </w:rPr>
      </w:pPr>
      <w:r>
        <w:rPr>
          <w:rFonts w:hint="eastAsia" w:ascii="宋体" w:hAnsi="宋体"/>
          <w:b/>
        </w:rPr>
        <w:t>精确给料机</w:t>
      </w:r>
    </w:p>
    <w:p>
      <w:pPr>
        <w:spacing w:before="203" w:beforeLines="50" w:after="203" w:afterLines="50" w:line="320" w:lineRule="exact"/>
        <w:ind w:firstLine="500" w:firstLineChars="200"/>
        <w:rPr>
          <w:rFonts w:ascii="宋体" w:hAnsi="宋体" w:cs="楷体"/>
        </w:rPr>
      </w:pPr>
      <w:r>
        <w:rPr>
          <w:rFonts w:hint="eastAsia" w:ascii="宋体" w:hAnsi="宋体" w:cs="楷体"/>
        </w:rPr>
        <w:t>材质：不锈钢外壳，工程塑料内衬</w:t>
      </w:r>
    </w:p>
    <w:p>
      <w:pPr>
        <w:spacing w:before="203" w:beforeLines="50" w:after="203" w:afterLines="50" w:line="320" w:lineRule="exact"/>
        <w:ind w:firstLine="500" w:firstLineChars="200"/>
        <w:rPr>
          <w:rFonts w:ascii="宋体" w:hAnsi="宋体" w:cs="楷体"/>
        </w:rPr>
      </w:pPr>
      <w:r>
        <w:rPr>
          <w:rFonts w:hint="eastAsia" w:ascii="宋体" w:hAnsi="宋体" w:cs="楷体"/>
        </w:rPr>
        <w:t>最大输送量：1000L/h</w:t>
      </w:r>
    </w:p>
    <w:p>
      <w:pPr>
        <w:spacing w:before="203" w:beforeLines="50" w:after="203" w:afterLines="50" w:line="320" w:lineRule="exact"/>
        <w:ind w:firstLine="500" w:firstLineChars="200"/>
        <w:rPr>
          <w:rFonts w:ascii="宋体" w:hAnsi="宋体" w:cs="楷体"/>
        </w:rPr>
      </w:pPr>
      <w:r>
        <w:rPr>
          <w:rFonts w:hint="eastAsia" w:ascii="宋体" w:hAnsi="宋体" w:cs="楷体"/>
        </w:rPr>
        <w:t>微型喂料机特别适合喂入流动性较差的粉末和容易受阻的颗粒材料。</w:t>
      </w:r>
    </w:p>
    <w:p>
      <w:pPr>
        <w:spacing w:before="203" w:beforeLines="50" w:after="203" w:afterLines="50" w:line="320" w:lineRule="exact"/>
        <w:ind w:firstLine="500" w:firstLineChars="200"/>
        <w:rPr>
          <w:rFonts w:ascii="宋体" w:hAnsi="宋体" w:cs="楷体"/>
        </w:rPr>
      </w:pPr>
      <w:r>
        <w:rPr>
          <w:rFonts w:hint="eastAsia" w:ascii="宋体" w:hAnsi="宋体" w:cs="楷体"/>
        </w:rPr>
        <w:t>用于散装物料容积测量式连续喂料的精确配料喂料机由下列部件组成：金属骨架SINT工程聚合体材料机身（机身全部由不锈钢制成），水平安装的旋转搅拌器，位于搅拌器下的喂料螺旋，突出螺旋喂料机管道，驱动搅拌器和喂料机螺旋的两个驱动器单元。用于散装物料处理的精确配料喂料机尤其适应于流动性差、跟粘性物体混在一起、容易引起阻塞的物料。通过袋式料斗、散装袋式卸料器或者其他进料设施，搅拌器能够保持物料流动并降低物料结团或搭桥的概率。</w:t>
      </w:r>
    </w:p>
    <w:p>
      <w:pPr>
        <w:spacing w:before="203" w:beforeLines="50" w:after="203" w:afterLines="50" w:line="320" w:lineRule="exact"/>
        <w:ind w:firstLine="500" w:firstLineChars="200"/>
        <w:rPr>
          <w:rFonts w:ascii="宋体" w:hAnsi="宋体" w:cs="楷体"/>
        </w:rPr>
      </w:pPr>
      <w:r>
        <w:rPr>
          <w:rFonts w:hint="eastAsia" w:ascii="宋体" w:hAnsi="宋体" w:cs="楷体"/>
        </w:rPr>
        <w:t>产品要求：</w:t>
      </w:r>
    </w:p>
    <w:p>
      <w:pPr>
        <w:spacing w:before="203" w:beforeLines="50" w:after="203" w:afterLines="50" w:line="320" w:lineRule="exact"/>
        <w:ind w:firstLine="500" w:firstLineChars="200"/>
        <w:rPr>
          <w:rFonts w:ascii="宋体" w:hAnsi="宋体" w:cs="楷体"/>
        </w:rPr>
      </w:pPr>
      <w:r>
        <w:rPr>
          <w:rFonts w:hint="eastAsia" w:ascii="宋体" w:hAnsi="宋体" w:cs="楷体"/>
        </w:rPr>
        <w:t>带有不锈钢端板的SINT工程聚合体制机身，铸造工艺。（喂料机上所有不锈钢制零件都可以用SINT工程聚合体制零件代替）</w:t>
      </w:r>
    </w:p>
    <w:p>
      <w:pPr>
        <w:spacing w:before="203" w:beforeLines="50" w:after="203" w:afterLines="50" w:line="320" w:lineRule="exact"/>
        <w:ind w:firstLine="500" w:firstLineChars="200"/>
        <w:rPr>
          <w:rFonts w:ascii="宋体" w:hAnsi="宋体" w:cs="楷体"/>
        </w:rPr>
      </w:pPr>
      <w:r>
        <w:rPr>
          <w:rFonts w:hint="eastAsia" w:ascii="宋体" w:hAnsi="宋体" w:cs="楷体"/>
        </w:rPr>
        <w:t>搅拌器和喂料工具各带有独立驱动单元</w:t>
      </w:r>
    </w:p>
    <w:p>
      <w:pPr>
        <w:spacing w:before="203" w:beforeLines="50" w:after="203" w:afterLines="50" w:line="320" w:lineRule="exact"/>
        <w:ind w:firstLine="500" w:firstLineChars="200"/>
        <w:rPr>
          <w:rFonts w:ascii="宋体" w:hAnsi="宋体" w:cs="楷体"/>
        </w:rPr>
      </w:pPr>
      <w:r>
        <w:rPr>
          <w:rFonts w:hint="eastAsia" w:ascii="宋体" w:hAnsi="宋体" w:cs="楷体"/>
        </w:rPr>
        <w:t>机身的内部形状确保复杂物料的顺畅流动</w:t>
      </w:r>
    </w:p>
    <w:p>
      <w:pPr>
        <w:spacing w:before="203" w:beforeLines="50" w:after="203" w:afterLines="50" w:line="320" w:lineRule="exact"/>
        <w:ind w:firstLine="500" w:firstLineChars="200"/>
        <w:rPr>
          <w:rFonts w:ascii="宋体" w:hAnsi="宋体" w:cs="楷体"/>
        </w:rPr>
      </w:pPr>
      <w:r>
        <w:rPr>
          <w:rFonts w:hint="eastAsia" w:ascii="宋体" w:hAnsi="宋体" w:cs="楷体"/>
        </w:rPr>
        <w:t>螺旋叶片和喂料机管的最小间隔确保了很高的喂料精度</w:t>
      </w:r>
    </w:p>
    <w:p>
      <w:pPr>
        <w:spacing w:before="203" w:beforeLines="50" w:after="203" w:afterLines="50" w:line="320" w:lineRule="exact"/>
        <w:ind w:firstLine="500" w:firstLineChars="200"/>
        <w:rPr>
          <w:rFonts w:ascii="宋体" w:hAnsi="宋体" w:cs="楷体"/>
        </w:rPr>
      </w:pPr>
      <w:r>
        <w:rPr>
          <w:rFonts w:hint="eastAsia" w:ascii="宋体" w:hAnsi="宋体" w:cs="楷体"/>
        </w:rPr>
        <w:t>采用单独的驱动单元，可以为配料轴和喂料螺旋选择不同的驱动功率和速度</w:t>
      </w:r>
    </w:p>
    <w:p>
      <w:pPr>
        <w:spacing w:before="203" w:beforeLines="50" w:after="203" w:afterLines="50" w:line="320" w:lineRule="exact"/>
        <w:ind w:firstLine="500" w:firstLineChars="200"/>
        <w:rPr>
          <w:rFonts w:ascii="宋体" w:hAnsi="宋体" w:cs="楷体"/>
        </w:rPr>
      </w:pPr>
      <w:r>
        <w:rPr>
          <w:rFonts w:hint="eastAsia" w:ascii="宋体" w:hAnsi="宋体" w:cs="楷体"/>
        </w:rPr>
        <w:t>精确配料喂料机适应物料的柔韧性好</w:t>
      </w:r>
    </w:p>
    <w:p>
      <w:pPr>
        <w:spacing w:before="203" w:beforeLines="50" w:after="203" w:afterLines="50" w:line="320" w:lineRule="exact"/>
        <w:ind w:firstLine="500" w:firstLineChars="200"/>
        <w:rPr>
          <w:rFonts w:ascii="宋体" w:hAnsi="宋体" w:cs="楷体"/>
        </w:rPr>
      </w:pPr>
      <w:r>
        <w:rPr>
          <w:rFonts w:hint="eastAsia" w:ascii="宋体" w:hAnsi="宋体" w:cs="楷体"/>
        </w:rPr>
        <w:t>喂料速度高度均匀</w:t>
      </w:r>
    </w:p>
    <w:p>
      <w:pPr>
        <w:spacing w:before="203" w:beforeLines="50" w:after="203" w:afterLines="50" w:line="320" w:lineRule="exact"/>
        <w:ind w:firstLine="500" w:firstLineChars="200"/>
        <w:rPr>
          <w:rFonts w:ascii="宋体" w:hAnsi="宋体" w:cs="楷体"/>
        </w:rPr>
      </w:pPr>
      <w:r>
        <w:rPr>
          <w:rFonts w:hint="eastAsia" w:ascii="宋体" w:hAnsi="宋体" w:cs="楷体"/>
        </w:rPr>
        <w:t>由于工程材料的不粘特性和快速通道面板，可轻松迅速进行清洁。</w:t>
      </w:r>
    </w:p>
    <w:p>
      <w:pPr>
        <w:pStyle w:val="1156"/>
        <w:numPr>
          <w:ilvl w:val="0"/>
          <w:numId w:val="121"/>
        </w:numPr>
        <w:ind w:firstLineChars="0"/>
        <w:rPr>
          <w:rFonts w:ascii="宋体" w:hAnsi="宋体"/>
          <w:b/>
        </w:rPr>
      </w:pPr>
      <w:r>
        <w:rPr>
          <w:rFonts w:hint="eastAsia" w:ascii="宋体" w:hAnsi="宋体"/>
          <w:b/>
        </w:rPr>
        <w:t>精确计量输送机</w:t>
      </w:r>
    </w:p>
    <w:p>
      <w:pPr>
        <w:spacing w:before="203" w:beforeLines="50" w:after="203" w:afterLines="50" w:line="320" w:lineRule="exact"/>
        <w:ind w:firstLine="500" w:firstLineChars="200"/>
        <w:rPr>
          <w:rFonts w:ascii="宋体" w:hAnsi="宋体" w:cs="楷体"/>
        </w:rPr>
      </w:pPr>
      <w:r>
        <w:rPr>
          <w:rFonts w:hint="eastAsia" w:ascii="宋体" w:hAnsi="宋体" w:cs="楷体"/>
        </w:rPr>
        <w:t>产品名称： 变频计量螺旋输送机</w:t>
      </w:r>
    </w:p>
    <w:p>
      <w:pPr>
        <w:spacing w:before="203" w:beforeLines="50" w:after="203" w:afterLines="50" w:line="320" w:lineRule="exact"/>
        <w:ind w:firstLine="500" w:firstLineChars="200"/>
        <w:rPr>
          <w:rFonts w:ascii="宋体" w:hAnsi="宋体" w:cs="楷体"/>
        </w:rPr>
      </w:pPr>
      <w:r>
        <w:rPr>
          <w:rFonts w:hint="eastAsia" w:ascii="宋体" w:hAnsi="宋体" w:cs="楷体"/>
        </w:rPr>
        <w:t>变频计量螺旋输送机，每台包括变频计量螺旋输送机与喂料机相连，计量输送粉料至混合储液罐。</w:t>
      </w:r>
    </w:p>
    <w:p>
      <w:pPr>
        <w:spacing w:before="203" w:beforeLines="50" w:after="203" w:afterLines="50" w:line="320" w:lineRule="exact"/>
        <w:ind w:firstLine="500" w:firstLineChars="200"/>
        <w:rPr>
          <w:rFonts w:ascii="宋体" w:hAnsi="宋体" w:cs="楷体"/>
        </w:rPr>
      </w:pPr>
      <w:r>
        <w:rPr>
          <w:rFonts w:hint="eastAsia" w:ascii="宋体" w:hAnsi="宋体" w:cs="楷体"/>
        </w:rPr>
        <w:t>技术要求：</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电源电压：380VAC, 50hz</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绝缘等级：F级</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防护等级：IP55</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精    度：±1%</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计量能力：</w:t>
      </w:r>
      <w:r>
        <w:rPr>
          <w:rFonts w:ascii="宋体" w:hAnsi="宋体" w:cs="楷体_GB2312"/>
          <w:bCs/>
          <w:szCs w:val="21"/>
        </w:rPr>
        <w:t>1000L</w:t>
      </w:r>
      <w:r>
        <w:rPr>
          <w:rFonts w:hint="eastAsia" w:ascii="宋体" w:hAnsi="宋体" w:cs="楷体_GB2312"/>
          <w:bCs/>
          <w:szCs w:val="21"/>
        </w:rPr>
        <w:t>/h</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输送管长度：7m，长度可调</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倾    角：15°</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与给料机出口相连，输送计量后的活性炭、石灰至溶解罐;</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螺旋输送器由进口、出口、取样点、检查孔、紧急卸料口及驱动电机等组成;</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1个入口连接管</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1个输送机管固定法兰</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1条硬金属的定量输送管</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1条定量螺旋，加强正方区域，</w:t>
      </w:r>
      <w:r>
        <w:rPr>
          <w:rFonts w:ascii="宋体" w:hAnsi="宋体" w:cs="楷体_GB2312"/>
          <w:bCs/>
          <w:szCs w:val="21"/>
        </w:rPr>
        <w:t>100SC.F</w:t>
      </w:r>
      <w:r>
        <w:rPr>
          <w:rFonts w:hint="eastAsia" w:ascii="宋体" w:hAnsi="宋体" w:cs="楷体_GB2312"/>
          <w:bCs/>
          <w:szCs w:val="21"/>
        </w:rPr>
        <w:t>类型</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1条出口软连接管，直径</w:t>
      </w:r>
      <w:r>
        <w:rPr>
          <w:rFonts w:ascii="宋体" w:hAnsi="宋体" w:cs="楷体_GB2312"/>
          <w:bCs/>
          <w:szCs w:val="21"/>
        </w:rPr>
        <w:t>200mm</w:t>
      </w:r>
      <w:r>
        <w:rPr>
          <w:rFonts w:hint="eastAsia" w:ascii="宋体" w:hAnsi="宋体" w:cs="楷体_GB2312"/>
          <w:bCs/>
          <w:szCs w:val="21"/>
        </w:rPr>
        <w:t>，</w:t>
      </w:r>
      <w:r>
        <w:rPr>
          <w:rFonts w:ascii="宋体" w:hAnsi="宋体" w:cs="楷体_GB2312"/>
          <w:bCs/>
          <w:szCs w:val="21"/>
        </w:rPr>
        <w:t>GU</w:t>
      </w:r>
      <w:r>
        <w:rPr>
          <w:rFonts w:hint="eastAsia" w:ascii="宋体" w:hAnsi="宋体" w:cs="楷体_GB2312"/>
          <w:bCs/>
          <w:szCs w:val="21"/>
        </w:rPr>
        <w:t>类型</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1个防堵探测器（光阑感应）</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1个Nord齿轮减速电机，带强冷风机</w:t>
      </w:r>
    </w:p>
    <w:p>
      <w:pPr>
        <w:pStyle w:val="1156"/>
        <w:widowControl/>
        <w:numPr>
          <w:ilvl w:val="0"/>
          <w:numId w:val="123"/>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螺旋输送机与溶解罐连接出料口需配套安装阀门以及除湿装置，确保在不配药时防止溶解罐内水汽对螺杆侵润而产生结块造成堵塞。</w:t>
      </w:r>
    </w:p>
    <w:p>
      <w:pPr>
        <w:pStyle w:val="1156"/>
        <w:numPr>
          <w:ilvl w:val="0"/>
          <w:numId w:val="121"/>
        </w:numPr>
        <w:ind w:firstLineChars="0"/>
        <w:rPr>
          <w:rFonts w:ascii="宋体" w:hAnsi="宋体"/>
          <w:b/>
        </w:rPr>
      </w:pPr>
      <w:r>
        <w:rPr>
          <w:rFonts w:hint="eastAsia" w:ascii="宋体" w:hAnsi="宋体"/>
          <w:b/>
        </w:rPr>
        <w:t>溶解存储罐</w:t>
      </w:r>
    </w:p>
    <w:p>
      <w:pPr>
        <w:spacing w:before="203" w:beforeLines="50" w:after="203" w:afterLines="50" w:line="320" w:lineRule="exact"/>
        <w:ind w:firstLine="500" w:firstLineChars="200"/>
        <w:rPr>
          <w:rFonts w:ascii="宋体" w:hAnsi="宋体" w:cs="楷体"/>
        </w:rPr>
      </w:pPr>
      <w:r>
        <w:rPr>
          <w:rFonts w:hint="eastAsia" w:ascii="宋体" w:hAnsi="宋体" w:cs="楷体"/>
        </w:rPr>
        <w:t>材质：AISI304不锈钢，5mm</w:t>
      </w:r>
    </w:p>
    <w:p>
      <w:pPr>
        <w:spacing w:before="203" w:beforeLines="50" w:after="203" w:afterLines="50" w:line="320" w:lineRule="exact"/>
        <w:ind w:firstLine="500" w:firstLineChars="200"/>
        <w:rPr>
          <w:rFonts w:ascii="宋体" w:hAnsi="宋体" w:cs="楷体"/>
        </w:rPr>
      </w:pPr>
      <w:r>
        <w:rPr>
          <w:rFonts w:hint="eastAsia" w:ascii="宋体" w:hAnsi="宋体" w:cs="楷体"/>
        </w:rPr>
        <w:t>罐体形式：配套检修人孔</w:t>
      </w:r>
    </w:p>
    <w:p>
      <w:pPr>
        <w:spacing w:before="203" w:beforeLines="50" w:after="203" w:afterLines="50" w:line="320" w:lineRule="exact"/>
        <w:ind w:firstLine="500" w:firstLineChars="200"/>
        <w:rPr>
          <w:rFonts w:ascii="宋体" w:hAnsi="宋体" w:cs="楷体"/>
        </w:rPr>
      </w:pPr>
      <w:r>
        <w:rPr>
          <w:rFonts w:hint="eastAsia" w:ascii="宋体" w:hAnsi="宋体" w:cs="楷体"/>
        </w:rPr>
        <w:t>实现石灰与水充分混合溶解，形成0-5%石灰溶液。</w:t>
      </w:r>
    </w:p>
    <w:p>
      <w:pPr>
        <w:spacing w:before="203" w:beforeLines="50" w:after="203" w:afterLines="50" w:line="320" w:lineRule="exact"/>
        <w:ind w:firstLine="500" w:firstLineChars="200"/>
        <w:rPr>
          <w:rFonts w:ascii="宋体" w:hAnsi="宋体" w:cs="楷体"/>
        </w:rPr>
      </w:pPr>
      <w:r>
        <w:rPr>
          <w:rFonts w:hint="eastAsia" w:ascii="宋体" w:hAnsi="宋体" w:cs="楷体"/>
        </w:rPr>
        <w:t>制备罐配置有粉尘吸收器，可有效防尘。</w:t>
      </w:r>
    </w:p>
    <w:p>
      <w:pPr>
        <w:spacing w:before="203" w:beforeLines="50" w:after="203" w:afterLines="50" w:line="320" w:lineRule="exact"/>
        <w:ind w:firstLine="500" w:firstLineChars="200"/>
        <w:rPr>
          <w:rFonts w:ascii="宋体" w:hAnsi="宋体" w:cs="楷体"/>
        </w:rPr>
      </w:pPr>
      <w:r>
        <w:rPr>
          <w:rFonts w:hint="eastAsia" w:ascii="宋体" w:hAnsi="宋体" w:cs="楷体"/>
        </w:rPr>
        <w:t>制备罐含溢流、放空、人孔、搅拌机，除尘装置（水幕除尘器）及电动阀等；储液罐含放空、人孔、搅拌机、静压式液位计等。制备罐至储液罐设混合器，用于二次混合。配套的搅拌机，应保证一定的排液量和循环体积，确保混合搅拌均匀。</w:t>
      </w:r>
    </w:p>
    <w:p>
      <w:pPr>
        <w:spacing w:before="203" w:beforeLines="50" w:after="203" w:afterLines="50" w:line="320" w:lineRule="exact"/>
        <w:ind w:firstLine="500" w:firstLineChars="200"/>
        <w:rPr>
          <w:rFonts w:ascii="宋体" w:hAnsi="宋体" w:cs="楷体"/>
        </w:rPr>
      </w:pPr>
      <w:r>
        <w:rPr>
          <w:rFonts w:hint="eastAsia" w:ascii="宋体" w:hAnsi="宋体" w:cs="楷体"/>
        </w:rPr>
        <w:t>搅拌器：搅拌器位于制备箱的中央位置。搅拌器的叶片和轴的材质均为AISI304。</w:t>
      </w:r>
    </w:p>
    <w:p>
      <w:pPr>
        <w:spacing w:before="203" w:beforeLines="50" w:after="203" w:afterLines="50" w:line="320" w:lineRule="exact"/>
        <w:ind w:firstLine="500" w:firstLineChars="200"/>
        <w:rPr>
          <w:rFonts w:ascii="宋体" w:hAnsi="宋体" w:cs="楷体"/>
        </w:rPr>
      </w:pPr>
      <w:r>
        <w:rPr>
          <w:rFonts w:hint="eastAsia" w:ascii="宋体" w:hAnsi="宋体" w:cs="楷体"/>
        </w:rPr>
        <w:t>系统配套静压式液位计探测罐内的液位，并将4～20mA的液位信号传送给系统。同时具有现场显示及远程4-20mA信号输出。</w:t>
      </w:r>
    </w:p>
    <w:p>
      <w:pPr>
        <w:spacing w:before="203" w:beforeLines="50" w:after="203" w:afterLines="50" w:line="320" w:lineRule="exact"/>
        <w:ind w:firstLine="500" w:firstLineChars="200"/>
        <w:rPr>
          <w:rFonts w:ascii="宋体" w:hAnsi="宋体"/>
          <w:szCs w:val="21"/>
        </w:rPr>
      </w:pPr>
      <w:r>
        <w:rPr>
          <w:rFonts w:hint="eastAsia" w:ascii="宋体" w:hAnsi="宋体" w:cs="楷体"/>
        </w:rPr>
        <w:t>当系统达到低液位时，系统自动启动；当系统达到高液位时，系统自动停止；当系统达到低低液位时，系统输出报警信号，停止外输泵的运行。溶解水系统包括调节阀、电动阀、电磁流量计、搅拌机等，部件为AISI304不锈钢材质，管路为UPVC管。罐底配有排空口。</w:t>
      </w:r>
    </w:p>
    <w:p>
      <w:pPr>
        <w:pStyle w:val="1156"/>
        <w:numPr>
          <w:ilvl w:val="0"/>
          <w:numId w:val="121"/>
        </w:numPr>
        <w:ind w:firstLineChars="0"/>
        <w:rPr>
          <w:rFonts w:ascii="宋体" w:hAnsi="宋体"/>
          <w:b/>
        </w:rPr>
      </w:pPr>
      <w:r>
        <w:rPr>
          <w:rFonts w:hint="eastAsia" w:ascii="宋体" w:hAnsi="宋体"/>
          <w:b/>
        </w:rPr>
        <w:t>搅拌机</w:t>
      </w:r>
    </w:p>
    <w:p>
      <w:pPr>
        <w:spacing w:before="203" w:beforeLines="50" w:after="203" w:afterLines="50" w:line="320" w:lineRule="exact"/>
        <w:ind w:firstLine="500" w:firstLineChars="200"/>
        <w:rPr>
          <w:rFonts w:ascii="宋体" w:hAnsi="宋体" w:cs="楷体"/>
        </w:rPr>
      </w:pPr>
      <w:r>
        <w:rPr>
          <w:rFonts w:hint="eastAsia" w:ascii="宋体" w:hAnsi="宋体" w:cs="楷体"/>
        </w:rPr>
        <w:t>搅拌器位于溶解池中，搅拌器的叶片和轴的材质均为不锈钢AISI304；轴加工时要进行矫直、磨光和表面或退火处理。搅拌轴有足够的扭转和弯曲刚度；搅拌轴全长不设联轴器，不设水上水下辅助轴承。法兰联轴器材质为不锈钢AISI304，轮壳与叶片的连接应考虑到拆卸方便和防腐效果。安装底板材质为碳钢Q235B，机架材质为45号钢。</w:t>
      </w:r>
    </w:p>
    <w:p>
      <w:pPr>
        <w:spacing w:before="203" w:beforeLines="50" w:after="203" w:afterLines="50" w:line="320" w:lineRule="exact"/>
        <w:ind w:firstLine="500" w:firstLineChars="200"/>
        <w:rPr>
          <w:rFonts w:ascii="宋体" w:hAnsi="宋体" w:cs="楷体"/>
        </w:rPr>
      </w:pPr>
      <w:r>
        <w:rPr>
          <w:rFonts w:hint="eastAsia" w:ascii="宋体" w:hAnsi="宋体" w:cs="楷体"/>
        </w:rPr>
        <w:t>机械搅拌混合器的制造及供货应符合ISO、 IEC、 GB、 ZB标准或一般技术规定。</w:t>
      </w:r>
    </w:p>
    <w:p>
      <w:pPr>
        <w:spacing w:before="203" w:beforeLines="50" w:after="203" w:afterLines="50" w:line="320" w:lineRule="exact"/>
        <w:ind w:firstLine="500" w:firstLineChars="200"/>
        <w:rPr>
          <w:rFonts w:ascii="宋体" w:hAnsi="宋体" w:cs="楷体"/>
        </w:rPr>
      </w:pPr>
      <w:r>
        <w:rPr>
          <w:rFonts w:hint="eastAsia" w:ascii="宋体" w:hAnsi="宋体" w:cs="楷体"/>
        </w:rPr>
        <w:t>搅拌机应能在环境温度－10℃～40℃满负荷连续运行。在额定负荷条件下运行，本机的故障工作时数累计不少于2万小时，使用寿命10年以上。</w:t>
      </w:r>
    </w:p>
    <w:p>
      <w:pPr>
        <w:spacing w:before="203" w:beforeLines="50" w:after="203" w:afterLines="50" w:line="320" w:lineRule="exact"/>
        <w:ind w:firstLine="500" w:firstLineChars="200"/>
        <w:rPr>
          <w:rFonts w:ascii="宋体" w:hAnsi="宋体"/>
          <w:szCs w:val="21"/>
        </w:rPr>
      </w:pPr>
      <w:r>
        <w:rPr>
          <w:rFonts w:hint="eastAsia" w:ascii="宋体" w:hAnsi="宋体" w:cs="楷体"/>
        </w:rPr>
        <w:t>启动为慢慢逐渐加速，物流流向为顺时针。配ORD减速机。</w:t>
      </w:r>
    </w:p>
    <w:p>
      <w:pPr>
        <w:pStyle w:val="1156"/>
        <w:numPr>
          <w:ilvl w:val="0"/>
          <w:numId w:val="121"/>
        </w:numPr>
        <w:ind w:firstLineChars="0"/>
        <w:rPr>
          <w:rFonts w:ascii="宋体" w:hAnsi="宋体"/>
          <w:b/>
        </w:rPr>
      </w:pPr>
      <w:r>
        <w:rPr>
          <w:rFonts w:hint="eastAsia" w:ascii="宋体" w:hAnsi="宋体"/>
          <w:b/>
        </w:rPr>
        <w:t>水幕除尘器</w:t>
      </w:r>
    </w:p>
    <w:p>
      <w:pPr>
        <w:spacing w:before="203" w:beforeLines="50" w:after="203" w:afterLines="50" w:line="320" w:lineRule="exact"/>
        <w:ind w:firstLine="500" w:firstLineChars="200"/>
        <w:rPr>
          <w:rFonts w:ascii="宋体" w:hAnsi="宋体" w:cs="楷体"/>
        </w:rPr>
      </w:pPr>
      <w:r>
        <w:rPr>
          <w:rFonts w:hint="eastAsia" w:ascii="宋体" w:hAnsi="宋体" w:cs="楷体"/>
        </w:rPr>
        <w:t>材质为不锈钢AISI304。安装于制备罐上，保持罐内压力和大气相通，去除罐内粉尘。装配有调节阀及喷嘴。可以通过冲洗将粉尘冲回到溶液中。水量可以调节达到最佳除尘效果。此种设计可以有效去除制备过程中的粉尘，同时在罐内形成轻微负压，从而避免粉尘从搅拌罐的其他接口扩散。</w:t>
      </w:r>
    </w:p>
    <w:p>
      <w:pPr>
        <w:pStyle w:val="1156"/>
        <w:numPr>
          <w:ilvl w:val="0"/>
          <w:numId w:val="121"/>
        </w:numPr>
        <w:ind w:firstLineChars="0"/>
        <w:rPr>
          <w:rFonts w:ascii="宋体" w:hAnsi="宋体"/>
          <w:b/>
        </w:rPr>
      </w:pPr>
      <w:r>
        <w:rPr>
          <w:rFonts w:hint="eastAsia" w:ascii="宋体" w:hAnsi="宋体"/>
          <w:b/>
        </w:rPr>
        <w:t>螺杆泵</w:t>
      </w:r>
    </w:p>
    <w:p>
      <w:pPr>
        <w:spacing w:before="203" w:beforeLines="50" w:after="203" w:afterLines="50" w:line="320" w:lineRule="exact"/>
        <w:ind w:firstLine="500" w:firstLineChars="200"/>
        <w:rPr>
          <w:rFonts w:ascii="宋体" w:hAnsi="宋体" w:cs="楷体"/>
        </w:rPr>
      </w:pPr>
      <w:r>
        <w:rPr>
          <w:rFonts w:hint="eastAsia" w:ascii="宋体" w:hAnsi="宋体" w:cs="楷体"/>
        </w:rPr>
        <w:t>为准确输送，使用正位2级螺杆泵，通过安装于泵控制柜中的变频器调节流量。螺杆泵输送介质时扰动小、泵压稳、吸入性好，可以输送粘稠的非牛顿液体及含有机械杂质和固体颗粒的浓缩物，泵量调节性好，效率高且高效区宽。螺旋齿轮马达驱动，变频调节流量。含干运行保护装置。</w:t>
      </w:r>
    </w:p>
    <w:p>
      <w:pPr>
        <w:spacing w:before="203" w:beforeLines="50" w:after="203" w:afterLines="50" w:line="320" w:lineRule="exact"/>
        <w:ind w:firstLine="500" w:firstLineChars="200"/>
        <w:rPr>
          <w:rFonts w:ascii="宋体" w:hAnsi="宋体" w:cs="楷体"/>
        </w:rPr>
      </w:pPr>
      <w:r>
        <w:rPr>
          <w:rFonts w:hint="eastAsia" w:ascii="宋体" w:hAnsi="宋体" w:cs="楷体"/>
        </w:rPr>
        <w:t>(1)技术参数：</w:t>
      </w:r>
    </w:p>
    <w:p>
      <w:pPr>
        <w:pStyle w:val="1156"/>
        <w:numPr>
          <w:ilvl w:val="0"/>
          <w:numId w:val="124"/>
        </w:numPr>
        <w:ind w:firstLineChars="0"/>
        <w:rPr>
          <w:rFonts w:ascii="宋体" w:hAnsi="宋体"/>
        </w:rPr>
      </w:pPr>
      <w:r>
        <w:rPr>
          <w:rFonts w:hint="eastAsia" w:ascii="宋体" w:hAnsi="宋体"/>
        </w:rPr>
        <w:t>类型：偏心螺杆泵</w:t>
      </w:r>
    </w:p>
    <w:p>
      <w:pPr>
        <w:pStyle w:val="1156"/>
        <w:numPr>
          <w:ilvl w:val="0"/>
          <w:numId w:val="124"/>
        </w:numPr>
        <w:ind w:firstLineChars="0"/>
        <w:rPr>
          <w:rFonts w:ascii="宋体" w:hAnsi="宋体"/>
        </w:rPr>
      </w:pPr>
      <w:r>
        <w:rPr>
          <w:rFonts w:hint="eastAsia" w:ascii="宋体" w:hAnsi="宋体"/>
        </w:rPr>
        <w:t>安装位置：室内</w:t>
      </w:r>
    </w:p>
    <w:p>
      <w:pPr>
        <w:pStyle w:val="1156"/>
        <w:numPr>
          <w:ilvl w:val="0"/>
          <w:numId w:val="124"/>
        </w:numPr>
        <w:ind w:firstLineChars="0"/>
        <w:rPr>
          <w:rFonts w:ascii="宋体" w:hAnsi="宋体"/>
        </w:rPr>
      </w:pPr>
      <w:r>
        <w:rPr>
          <w:rFonts w:hint="eastAsia" w:ascii="宋体" w:hAnsi="宋体"/>
        </w:rPr>
        <w:t>输送介质：石灰</w:t>
      </w:r>
    </w:p>
    <w:p>
      <w:pPr>
        <w:pStyle w:val="1156"/>
        <w:numPr>
          <w:ilvl w:val="0"/>
          <w:numId w:val="124"/>
        </w:numPr>
        <w:ind w:firstLineChars="0"/>
        <w:rPr>
          <w:rFonts w:ascii="宋体" w:hAnsi="宋体"/>
        </w:rPr>
      </w:pPr>
      <w:r>
        <w:rPr>
          <w:rFonts w:hint="eastAsia" w:ascii="宋体" w:hAnsi="宋体"/>
        </w:rPr>
        <w:t>含固量：约1-5%</w:t>
      </w:r>
    </w:p>
    <w:p>
      <w:pPr>
        <w:pStyle w:val="1156"/>
        <w:numPr>
          <w:ilvl w:val="0"/>
          <w:numId w:val="124"/>
        </w:numPr>
        <w:ind w:firstLineChars="0"/>
        <w:rPr>
          <w:rFonts w:ascii="宋体" w:hAnsi="宋体"/>
        </w:rPr>
      </w:pPr>
      <w:r>
        <w:rPr>
          <w:rFonts w:hint="eastAsia" w:ascii="宋体" w:hAnsi="宋体"/>
        </w:rPr>
        <w:t>温度：常温</w:t>
      </w:r>
    </w:p>
    <w:p>
      <w:pPr>
        <w:pStyle w:val="1156"/>
        <w:numPr>
          <w:ilvl w:val="0"/>
          <w:numId w:val="124"/>
        </w:numPr>
        <w:ind w:firstLineChars="0"/>
        <w:rPr>
          <w:rFonts w:ascii="宋体" w:hAnsi="宋体"/>
        </w:rPr>
      </w:pPr>
      <w:r>
        <w:rPr>
          <w:rFonts w:hint="eastAsia" w:ascii="宋体" w:hAnsi="宋体"/>
        </w:rPr>
        <w:t>流量：见清单</w:t>
      </w:r>
    </w:p>
    <w:p>
      <w:pPr>
        <w:pStyle w:val="1156"/>
        <w:numPr>
          <w:ilvl w:val="0"/>
          <w:numId w:val="124"/>
        </w:numPr>
        <w:ind w:firstLineChars="0"/>
        <w:rPr>
          <w:rFonts w:ascii="宋体" w:hAnsi="宋体"/>
        </w:rPr>
      </w:pPr>
      <w:r>
        <w:rPr>
          <w:rFonts w:hint="eastAsia" w:ascii="宋体" w:hAnsi="宋体"/>
        </w:rPr>
        <w:t>输出压力：6bar</w:t>
      </w:r>
    </w:p>
    <w:p>
      <w:pPr>
        <w:pStyle w:val="1156"/>
        <w:numPr>
          <w:ilvl w:val="0"/>
          <w:numId w:val="124"/>
        </w:numPr>
        <w:ind w:firstLineChars="0"/>
        <w:rPr>
          <w:rFonts w:ascii="宋体" w:hAnsi="宋体"/>
        </w:rPr>
      </w:pPr>
      <w:r>
        <w:rPr>
          <w:rFonts w:hint="eastAsia" w:ascii="宋体" w:hAnsi="宋体"/>
        </w:rPr>
        <w:t>进料方式：重力流入</w:t>
      </w:r>
    </w:p>
    <w:p>
      <w:pPr>
        <w:pStyle w:val="1156"/>
        <w:numPr>
          <w:ilvl w:val="0"/>
          <w:numId w:val="124"/>
        </w:numPr>
        <w:ind w:firstLineChars="0"/>
        <w:rPr>
          <w:rFonts w:ascii="宋体" w:hAnsi="宋体"/>
        </w:rPr>
      </w:pPr>
      <w:r>
        <w:rPr>
          <w:rFonts w:hint="eastAsia" w:ascii="宋体" w:hAnsi="宋体"/>
        </w:rPr>
        <w:t>转速：74～215r/m。</w:t>
      </w:r>
    </w:p>
    <w:p>
      <w:pPr>
        <w:spacing w:before="203" w:beforeLines="50" w:after="203" w:afterLines="50" w:line="320" w:lineRule="exact"/>
        <w:ind w:firstLine="500" w:firstLineChars="200"/>
        <w:rPr>
          <w:rFonts w:ascii="宋体" w:hAnsi="宋体" w:cs="楷体"/>
        </w:rPr>
      </w:pPr>
      <w:r>
        <w:rPr>
          <w:rFonts w:hint="eastAsia" w:ascii="宋体" w:hAnsi="宋体" w:cs="楷体"/>
        </w:rPr>
        <w:t>(2)产品结构</w:t>
      </w:r>
    </w:p>
    <w:p>
      <w:pPr>
        <w:pStyle w:val="1156"/>
        <w:numPr>
          <w:ilvl w:val="0"/>
          <w:numId w:val="125"/>
        </w:numPr>
        <w:ind w:firstLineChars="0"/>
        <w:rPr>
          <w:rFonts w:ascii="宋体" w:hAnsi="宋体"/>
        </w:rPr>
      </w:pPr>
      <w:r>
        <w:rPr>
          <w:rFonts w:hint="eastAsia" w:ascii="宋体" w:hAnsi="宋体"/>
        </w:rPr>
        <w:t>法兰规格：DN80/PN16，DN65/PN16。</w:t>
      </w:r>
    </w:p>
    <w:p>
      <w:pPr>
        <w:spacing w:before="203" w:beforeLines="50" w:after="203" w:afterLines="50" w:line="320" w:lineRule="exact"/>
        <w:ind w:firstLine="500" w:firstLineChars="200"/>
        <w:rPr>
          <w:rFonts w:ascii="宋体" w:hAnsi="宋体" w:cs="楷体"/>
        </w:rPr>
      </w:pPr>
      <w:r>
        <w:rPr>
          <w:rFonts w:hint="eastAsia" w:ascii="宋体" w:hAnsi="宋体" w:cs="楷体"/>
        </w:rPr>
        <w:t>(3)材质</w:t>
      </w:r>
    </w:p>
    <w:p>
      <w:pPr>
        <w:pStyle w:val="1156"/>
        <w:numPr>
          <w:ilvl w:val="0"/>
          <w:numId w:val="126"/>
        </w:numPr>
        <w:ind w:firstLineChars="0"/>
        <w:rPr>
          <w:rFonts w:ascii="宋体" w:hAnsi="宋体"/>
        </w:rPr>
      </w:pPr>
      <w:r>
        <w:rPr>
          <w:rFonts w:hint="eastAsia" w:ascii="宋体" w:hAnsi="宋体"/>
        </w:rPr>
        <w:t>泵体：GG25铸铁</w:t>
      </w:r>
    </w:p>
    <w:p>
      <w:pPr>
        <w:pStyle w:val="1156"/>
        <w:numPr>
          <w:ilvl w:val="0"/>
          <w:numId w:val="126"/>
        </w:numPr>
        <w:ind w:firstLineChars="0"/>
        <w:rPr>
          <w:rFonts w:ascii="宋体" w:hAnsi="宋体"/>
        </w:rPr>
      </w:pPr>
      <w:r>
        <w:rPr>
          <w:rFonts w:hint="eastAsia" w:ascii="宋体" w:hAnsi="宋体"/>
        </w:rPr>
        <w:t>转动部件材质：不锈钢304</w:t>
      </w:r>
    </w:p>
    <w:p>
      <w:pPr>
        <w:pStyle w:val="1156"/>
        <w:numPr>
          <w:ilvl w:val="0"/>
          <w:numId w:val="126"/>
        </w:numPr>
        <w:ind w:firstLineChars="0"/>
        <w:rPr>
          <w:rFonts w:ascii="宋体" w:hAnsi="宋体"/>
        </w:rPr>
      </w:pPr>
      <w:r>
        <w:rPr>
          <w:rFonts w:hint="eastAsia" w:ascii="宋体" w:hAnsi="宋体"/>
        </w:rPr>
        <w:t>联轴杆结构：销式连接</w:t>
      </w:r>
    </w:p>
    <w:p>
      <w:pPr>
        <w:pStyle w:val="1156"/>
        <w:numPr>
          <w:ilvl w:val="0"/>
          <w:numId w:val="126"/>
        </w:numPr>
        <w:ind w:firstLineChars="0"/>
        <w:rPr>
          <w:rFonts w:ascii="宋体" w:hAnsi="宋体"/>
        </w:rPr>
      </w:pPr>
      <w:r>
        <w:rPr>
          <w:rFonts w:hint="eastAsia" w:ascii="宋体" w:hAnsi="宋体"/>
        </w:rPr>
        <w:t>润滑：专业油脂润滑</w:t>
      </w:r>
    </w:p>
    <w:p>
      <w:pPr>
        <w:pStyle w:val="1156"/>
        <w:numPr>
          <w:ilvl w:val="0"/>
          <w:numId w:val="126"/>
        </w:numPr>
        <w:ind w:firstLineChars="0"/>
        <w:rPr>
          <w:rFonts w:ascii="宋体" w:hAnsi="宋体"/>
        </w:rPr>
      </w:pPr>
      <w:r>
        <w:rPr>
          <w:rFonts w:hint="eastAsia" w:ascii="宋体" w:hAnsi="宋体"/>
        </w:rPr>
        <w:t>转子材质：不锈钢304</w:t>
      </w:r>
    </w:p>
    <w:p>
      <w:pPr>
        <w:pStyle w:val="1156"/>
        <w:numPr>
          <w:ilvl w:val="0"/>
          <w:numId w:val="126"/>
        </w:numPr>
        <w:ind w:firstLineChars="0"/>
        <w:rPr>
          <w:rFonts w:ascii="宋体" w:hAnsi="宋体"/>
        </w:rPr>
      </w:pPr>
      <w:r>
        <w:rPr>
          <w:rFonts w:hint="eastAsia" w:ascii="宋体" w:hAnsi="宋体"/>
        </w:rPr>
        <w:t>定子材质：耐磨丁腈橡胶</w:t>
      </w:r>
    </w:p>
    <w:p>
      <w:pPr>
        <w:pStyle w:val="1156"/>
        <w:numPr>
          <w:ilvl w:val="0"/>
          <w:numId w:val="126"/>
        </w:numPr>
        <w:ind w:firstLineChars="0"/>
        <w:rPr>
          <w:rFonts w:ascii="宋体" w:hAnsi="宋体"/>
        </w:rPr>
      </w:pPr>
      <w:r>
        <w:rPr>
          <w:rFonts w:hint="eastAsia" w:ascii="宋体" w:hAnsi="宋体"/>
        </w:rPr>
        <w:t>轴封形式：机械密封带水冲洗</w:t>
      </w:r>
    </w:p>
    <w:p>
      <w:pPr>
        <w:pStyle w:val="1156"/>
        <w:numPr>
          <w:ilvl w:val="0"/>
          <w:numId w:val="126"/>
        </w:numPr>
        <w:ind w:firstLineChars="0"/>
        <w:rPr>
          <w:rFonts w:ascii="宋体" w:hAnsi="宋体"/>
        </w:rPr>
      </w:pPr>
      <w:r>
        <w:rPr>
          <w:rFonts w:hint="eastAsia" w:ascii="宋体" w:hAnsi="宋体"/>
        </w:rPr>
        <w:t>材质：碳化硅。</w:t>
      </w:r>
    </w:p>
    <w:p>
      <w:pPr>
        <w:spacing w:before="203" w:beforeLines="50" w:after="203" w:afterLines="50" w:line="320" w:lineRule="exact"/>
        <w:ind w:firstLine="500" w:firstLineChars="200"/>
        <w:rPr>
          <w:rFonts w:ascii="宋体" w:hAnsi="宋体" w:cs="楷体"/>
        </w:rPr>
      </w:pPr>
      <w:r>
        <w:rPr>
          <w:rFonts w:hint="eastAsia" w:ascii="宋体" w:hAnsi="宋体" w:cs="楷体"/>
        </w:rPr>
        <w:t>(4)减速电机</w:t>
      </w:r>
    </w:p>
    <w:p>
      <w:pPr>
        <w:pStyle w:val="1156"/>
        <w:numPr>
          <w:ilvl w:val="0"/>
          <w:numId w:val="127"/>
        </w:numPr>
        <w:ind w:firstLineChars="0"/>
        <w:rPr>
          <w:rFonts w:ascii="宋体" w:hAnsi="宋体"/>
        </w:rPr>
      </w:pPr>
      <w:r>
        <w:rPr>
          <w:rFonts w:hint="eastAsia" w:ascii="宋体" w:hAnsi="宋体"/>
        </w:rPr>
        <w:t>结构：IMB5</w:t>
      </w:r>
    </w:p>
    <w:p>
      <w:pPr>
        <w:pStyle w:val="1156"/>
        <w:numPr>
          <w:ilvl w:val="0"/>
          <w:numId w:val="127"/>
        </w:numPr>
        <w:ind w:firstLineChars="0"/>
        <w:rPr>
          <w:rFonts w:ascii="宋体" w:hAnsi="宋体"/>
        </w:rPr>
      </w:pPr>
      <w:r>
        <w:rPr>
          <w:rFonts w:hint="eastAsia" w:ascii="宋体" w:hAnsi="宋体"/>
        </w:rPr>
        <w:t>电压/相速/频率：380V/3Phase/50Hz</w:t>
      </w:r>
    </w:p>
    <w:p>
      <w:pPr>
        <w:pStyle w:val="1156"/>
        <w:numPr>
          <w:ilvl w:val="0"/>
          <w:numId w:val="127"/>
        </w:numPr>
        <w:ind w:firstLineChars="0"/>
        <w:rPr>
          <w:rFonts w:ascii="宋体" w:hAnsi="宋体"/>
        </w:rPr>
      </w:pPr>
      <w:r>
        <w:rPr>
          <w:rFonts w:hint="eastAsia" w:ascii="宋体" w:hAnsi="宋体"/>
        </w:rPr>
        <w:t>转速：小于210r/m</w:t>
      </w:r>
    </w:p>
    <w:p>
      <w:pPr>
        <w:pStyle w:val="1156"/>
        <w:numPr>
          <w:ilvl w:val="0"/>
          <w:numId w:val="127"/>
        </w:numPr>
        <w:ind w:firstLineChars="0"/>
        <w:rPr>
          <w:rFonts w:ascii="宋体" w:hAnsi="宋体"/>
        </w:rPr>
      </w:pPr>
      <w:r>
        <w:rPr>
          <w:rFonts w:hint="eastAsia" w:ascii="宋体" w:hAnsi="宋体"/>
        </w:rPr>
        <w:t>频率可调范围：15～50Hz</w:t>
      </w:r>
    </w:p>
    <w:p>
      <w:pPr>
        <w:pStyle w:val="1156"/>
        <w:numPr>
          <w:ilvl w:val="0"/>
          <w:numId w:val="127"/>
        </w:numPr>
        <w:ind w:firstLineChars="0"/>
        <w:rPr>
          <w:rFonts w:ascii="宋体" w:hAnsi="宋体"/>
        </w:rPr>
      </w:pPr>
      <w:r>
        <w:rPr>
          <w:rFonts w:hint="eastAsia" w:ascii="宋体" w:hAnsi="宋体"/>
        </w:rPr>
        <w:t>绝缘/防护等级：IP55/F</w:t>
      </w:r>
    </w:p>
    <w:p>
      <w:pPr>
        <w:pStyle w:val="1156"/>
        <w:numPr>
          <w:ilvl w:val="0"/>
          <w:numId w:val="127"/>
        </w:numPr>
        <w:ind w:firstLineChars="0"/>
        <w:rPr>
          <w:rFonts w:ascii="宋体" w:hAnsi="宋体"/>
        </w:rPr>
      </w:pPr>
      <w:r>
        <w:rPr>
          <w:rFonts w:hint="eastAsia" w:ascii="宋体" w:hAnsi="宋体"/>
        </w:rPr>
        <w:t>其他：3PTC热保护</w:t>
      </w:r>
    </w:p>
    <w:p>
      <w:pPr>
        <w:pStyle w:val="1156"/>
        <w:numPr>
          <w:ilvl w:val="0"/>
          <w:numId w:val="127"/>
        </w:numPr>
        <w:ind w:firstLineChars="0"/>
        <w:rPr>
          <w:rFonts w:ascii="宋体" w:hAnsi="宋体"/>
        </w:rPr>
      </w:pPr>
      <w:r>
        <w:rPr>
          <w:rFonts w:hint="eastAsia" w:ascii="宋体" w:hAnsi="宋体"/>
        </w:rPr>
        <w:t>底座：槽钢。</w:t>
      </w:r>
    </w:p>
    <w:p>
      <w:pPr>
        <w:pStyle w:val="1156"/>
        <w:numPr>
          <w:ilvl w:val="0"/>
          <w:numId w:val="121"/>
        </w:numPr>
        <w:ind w:firstLineChars="0"/>
        <w:rPr>
          <w:rFonts w:ascii="宋体" w:hAnsi="宋体"/>
          <w:b/>
        </w:rPr>
      </w:pPr>
      <w:r>
        <w:rPr>
          <w:rFonts w:hint="eastAsia" w:ascii="宋体" w:hAnsi="宋体"/>
          <w:b/>
        </w:rPr>
        <w:t>电磁流量计</w:t>
      </w:r>
    </w:p>
    <w:p>
      <w:pPr>
        <w:spacing w:before="203" w:beforeLines="50" w:after="203" w:afterLines="50" w:line="320" w:lineRule="exact"/>
        <w:ind w:firstLine="500" w:firstLineChars="200"/>
        <w:rPr>
          <w:rFonts w:ascii="宋体" w:hAnsi="宋体" w:cs="楷体"/>
        </w:rPr>
      </w:pPr>
      <w:r>
        <w:rPr>
          <w:rFonts w:hint="eastAsia" w:ascii="宋体" w:hAnsi="宋体" w:cs="楷体"/>
        </w:rPr>
        <w:t>连接方式：法兰连接，分体型</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精度：0.5%；</w:t>
      </w:r>
    </w:p>
    <w:p>
      <w:pPr>
        <w:spacing w:before="203" w:beforeLines="50" w:after="203" w:afterLines="50" w:line="320" w:lineRule="exact"/>
        <w:ind w:firstLine="500" w:firstLineChars="200"/>
        <w:rPr>
          <w:rFonts w:ascii="宋体" w:hAnsi="宋体" w:cs="楷体"/>
        </w:rPr>
      </w:pPr>
      <w:r>
        <w:rPr>
          <w:rFonts w:hint="eastAsia" w:ascii="宋体" w:hAnsi="宋体" w:cs="楷体"/>
        </w:rPr>
        <w:t>测量范围：-12～12m/s；</w:t>
      </w:r>
    </w:p>
    <w:p>
      <w:pPr>
        <w:spacing w:before="203" w:beforeLines="50" w:after="203" w:afterLines="50" w:line="320" w:lineRule="exact"/>
        <w:ind w:firstLine="500" w:firstLineChars="200"/>
        <w:rPr>
          <w:rFonts w:ascii="宋体" w:hAnsi="宋体" w:cs="楷体"/>
        </w:rPr>
      </w:pPr>
      <w:r>
        <w:rPr>
          <w:rFonts w:hint="eastAsia" w:ascii="宋体" w:hAnsi="宋体" w:cs="楷体"/>
        </w:rPr>
        <w:t>★电极材料：不锈钢；</w:t>
      </w:r>
    </w:p>
    <w:p>
      <w:pPr>
        <w:spacing w:before="203" w:beforeLines="50" w:after="203" w:afterLines="50" w:line="320" w:lineRule="exact"/>
        <w:ind w:firstLine="500" w:firstLineChars="200"/>
        <w:rPr>
          <w:rFonts w:ascii="宋体" w:hAnsi="宋体" w:cs="楷体"/>
        </w:rPr>
      </w:pPr>
      <w:r>
        <w:rPr>
          <w:rFonts w:hint="eastAsia" w:ascii="宋体" w:hAnsi="宋体" w:cs="楷体"/>
        </w:rPr>
        <w:t>衬里：橡胶；</w:t>
      </w:r>
    </w:p>
    <w:p>
      <w:pPr>
        <w:spacing w:before="203" w:beforeLines="50" w:after="203" w:afterLines="50" w:line="320" w:lineRule="exact"/>
        <w:ind w:firstLine="500" w:firstLineChars="200"/>
        <w:rPr>
          <w:rFonts w:ascii="宋体" w:hAnsi="宋体" w:cs="楷体"/>
        </w:rPr>
      </w:pPr>
      <w:r>
        <w:rPr>
          <w:rFonts w:hint="eastAsia" w:ascii="宋体" w:hAnsi="宋体" w:cs="楷体"/>
        </w:rPr>
        <w:t>传感器防护等级:IP68；</w:t>
      </w:r>
    </w:p>
    <w:p>
      <w:pPr>
        <w:spacing w:before="203" w:beforeLines="50" w:after="203" w:afterLines="50" w:line="320" w:lineRule="exact"/>
        <w:ind w:firstLine="500" w:firstLineChars="200"/>
        <w:rPr>
          <w:rFonts w:ascii="宋体" w:hAnsi="宋体" w:cs="楷体"/>
        </w:rPr>
      </w:pPr>
      <w:r>
        <w:rPr>
          <w:rFonts w:hint="eastAsia" w:ascii="宋体" w:hAnsi="宋体" w:cs="楷体"/>
        </w:rPr>
        <w:t>介质最高温度：最大180°C；</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环境温度：-40°C～+65°C；</w:t>
      </w:r>
    </w:p>
    <w:p>
      <w:pPr>
        <w:spacing w:before="203" w:beforeLines="50" w:after="203" w:afterLines="50" w:line="320" w:lineRule="exact"/>
        <w:ind w:firstLine="500" w:firstLineChars="200"/>
        <w:rPr>
          <w:rFonts w:ascii="宋体" w:hAnsi="宋体" w:cs="楷体"/>
        </w:rPr>
      </w:pPr>
      <w:r>
        <w:rPr>
          <w:rFonts w:hint="eastAsia" w:ascii="宋体" w:hAnsi="宋体" w:cs="楷体"/>
        </w:rPr>
        <w:t>输出信号：4-20mA电流信号，脉冲输出，HART通讯。</w:t>
      </w:r>
    </w:p>
    <w:p>
      <w:pPr>
        <w:pStyle w:val="1156"/>
        <w:numPr>
          <w:ilvl w:val="0"/>
          <w:numId w:val="121"/>
        </w:numPr>
        <w:ind w:firstLineChars="0"/>
        <w:rPr>
          <w:rFonts w:ascii="宋体" w:hAnsi="宋体"/>
          <w:b/>
        </w:rPr>
      </w:pPr>
      <w:r>
        <w:rPr>
          <w:rFonts w:hint="eastAsia" w:ascii="宋体" w:hAnsi="宋体"/>
          <w:b/>
        </w:rPr>
        <w:t>手动球阀</w:t>
      </w:r>
    </w:p>
    <w:p>
      <w:pPr>
        <w:spacing w:before="203" w:beforeLines="50" w:after="203" w:afterLines="50" w:line="320" w:lineRule="exact"/>
        <w:ind w:firstLine="500" w:firstLineChars="200"/>
        <w:rPr>
          <w:rFonts w:ascii="宋体" w:hAnsi="宋体" w:cs="楷体"/>
        </w:rPr>
      </w:pPr>
      <w:r>
        <w:rPr>
          <w:rFonts w:hint="eastAsia" w:ascii="宋体" w:hAnsi="宋体" w:cs="楷体"/>
        </w:rPr>
        <w:t>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压力等级</w:t>
      </w:r>
      <w:r>
        <w:rPr>
          <w:rFonts w:ascii="宋体" w:hAnsi="宋体" w:cs="楷体"/>
        </w:rPr>
        <w:t>：</w:t>
      </w:r>
      <w:r>
        <w:rPr>
          <w:rFonts w:hint="eastAsia" w:ascii="宋体" w:hAnsi="宋体" w:cs="楷体"/>
        </w:rPr>
        <w:t>PN1.0</w:t>
      </w:r>
    </w:p>
    <w:p>
      <w:pPr>
        <w:spacing w:before="203" w:beforeLines="50" w:after="203" w:afterLines="50" w:line="320" w:lineRule="exact"/>
        <w:ind w:firstLine="500" w:firstLineChars="200"/>
        <w:rPr>
          <w:rFonts w:ascii="宋体" w:hAnsi="宋体" w:cs="楷体"/>
        </w:rPr>
      </w:pPr>
      <w:r>
        <w:rPr>
          <w:rFonts w:hint="eastAsia" w:ascii="宋体" w:hAnsi="宋体" w:cs="楷体"/>
        </w:rPr>
        <w:t>标准：DIN/ANSI/JIS/CNS</w:t>
      </w:r>
    </w:p>
    <w:p>
      <w:pPr>
        <w:spacing w:before="203" w:beforeLines="50" w:after="203" w:afterLines="50" w:line="320" w:lineRule="exact"/>
        <w:ind w:firstLine="500" w:firstLineChars="200"/>
        <w:rPr>
          <w:rFonts w:ascii="宋体" w:hAnsi="宋体" w:cs="楷体"/>
        </w:rPr>
      </w:pPr>
      <w:r>
        <w:rPr>
          <w:rFonts w:hint="eastAsia" w:ascii="宋体" w:hAnsi="宋体" w:cs="楷体"/>
        </w:rPr>
        <w:t>接口：承插接口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双由令球阀，可同时当由令及阀门使用。可在前段设备管路不必停工的状态下，关闭球阀，卸下由令，进行后段工程维修。在由令端有FPM或EPDM O"环，配合PTFE垫座之使用，能防止多数化学物质之腐蚀。不需使用特殊之工具，即可快速装配。</w:t>
      </w:r>
    </w:p>
    <w:p>
      <w:pPr>
        <w:pStyle w:val="1156"/>
        <w:numPr>
          <w:ilvl w:val="0"/>
          <w:numId w:val="121"/>
        </w:numPr>
        <w:ind w:firstLineChars="0"/>
        <w:rPr>
          <w:rFonts w:ascii="宋体" w:hAnsi="宋体"/>
          <w:b/>
        </w:rPr>
      </w:pPr>
      <w:r>
        <w:rPr>
          <w:rFonts w:hint="eastAsia" w:ascii="宋体" w:hAnsi="宋体"/>
          <w:b/>
        </w:rPr>
        <w:t>电动球阀</w:t>
      </w:r>
    </w:p>
    <w:p>
      <w:pPr>
        <w:spacing w:before="203" w:beforeLines="50" w:after="203" w:afterLines="50" w:line="320" w:lineRule="exact"/>
        <w:ind w:firstLine="500" w:firstLineChars="200"/>
        <w:rPr>
          <w:rFonts w:ascii="宋体" w:hAnsi="宋体" w:cs="楷体"/>
        </w:rPr>
      </w:pPr>
      <w:r>
        <w:rPr>
          <w:rFonts w:hint="eastAsia" w:ascii="宋体" w:hAnsi="宋体" w:cs="楷体"/>
        </w:rPr>
        <w:t>可远程控制阀门的开关；通过触点反馈，自动切换阀门的开关。</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密封材质：EPDM／PTFE；</w:t>
      </w:r>
    </w:p>
    <w:p>
      <w:pPr>
        <w:spacing w:before="203" w:beforeLines="50" w:after="203" w:afterLines="50" w:line="320" w:lineRule="exact"/>
        <w:ind w:firstLine="500" w:firstLineChars="200"/>
        <w:rPr>
          <w:rFonts w:ascii="宋体" w:hAnsi="宋体" w:cs="楷体"/>
        </w:rPr>
      </w:pPr>
      <w:r>
        <w:rPr>
          <w:rFonts w:hint="eastAsia" w:ascii="宋体" w:hAnsi="宋体" w:cs="楷体"/>
        </w:rPr>
        <w:t>传动方式：回转电动驱动；</w:t>
      </w:r>
    </w:p>
    <w:p>
      <w:pPr>
        <w:spacing w:before="203" w:beforeLines="50" w:after="203" w:afterLines="50" w:line="320" w:lineRule="exact"/>
        <w:ind w:firstLine="500" w:firstLineChars="200"/>
        <w:rPr>
          <w:rFonts w:ascii="宋体" w:hAnsi="宋体" w:cs="楷体"/>
        </w:rPr>
      </w:pPr>
      <w:r>
        <w:rPr>
          <w:rFonts w:hint="eastAsia" w:ascii="宋体" w:hAnsi="宋体" w:cs="楷体"/>
        </w:rPr>
        <w:t>执行器材质：塑料外壳；</w:t>
      </w:r>
    </w:p>
    <w:p>
      <w:pPr>
        <w:spacing w:before="203" w:beforeLines="50" w:after="203" w:afterLines="50" w:line="320" w:lineRule="exact"/>
        <w:ind w:firstLine="500" w:firstLineChars="200"/>
        <w:rPr>
          <w:rFonts w:ascii="宋体" w:hAnsi="宋体" w:cs="楷体"/>
        </w:rPr>
      </w:pPr>
      <w:r>
        <w:rPr>
          <w:rFonts w:hint="eastAsia" w:ascii="宋体" w:hAnsi="宋体" w:cs="楷体"/>
        </w:rPr>
        <w:t>保护装置：过热保护；</w:t>
      </w:r>
    </w:p>
    <w:p>
      <w:pPr>
        <w:spacing w:before="203" w:beforeLines="50" w:after="203" w:afterLines="50" w:line="320" w:lineRule="exact"/>
        <w:ind w:firstLine="500" w:firstLineChars="200"/>
        <w:rPr>
          <w:rFonts w:ascii="宋体" w:hAnsi="宋体" w:cs="楷体"/>
        </w:rPr>
      </w:pPr>
      <w:r>
        <w:rPr>
          <w:rFonts w:hint="eastAsia" w:ascii="宋体" w:hAnsi="宋体" w:cs="楷体"/>
        </w:rPr>
        <w:t>动作时间：4－30秒；</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流体温度：-15℃－60℃（无冻结）；</w:t>
      </w:r>
    </w:p>
    <w:p>
      <w:pPr>
        <w:spacing w:before="203" w:beforeLines="50" w:after="203" w:afterLines="50" w:line="320" w:lineRule="exact"/>
        <w:ind w:firstLine="500" w:firstLineChars="200"/>
        <w:rPr>
          <w:rFonts w:ascii="宋体" w:hAnsi="宋体"/>
          <w:szCs w:val="21"/>
        </w:rPr>
      </w:pPr>
      <w:r>
        <w:rPr>
          <w:rFonts w:hint="eastAsia" w:ascii="宋体" w:hAnsi="宋体" w:cs="楷体"/>
        </w:rPr>
        <w:t>环境温度：-25℃－55℃。</w:t>
      </w:r>
    </w:p>
    <w:p>
      <w:pPr>
        <w:pStyle w:val="1156"/>
        <w:numPr>
          <w:ilvl w:val="0"/>
          <w:numId w:val="121"/>
        </w:numPr>
        <w:ind w:firstLineChars="0"/>
        <w:rPr>
          <w:rFonts w:ascii="宋体" w:hAnsi="宋体"/>
          <w:b/>
        </w:rPr>
      </w:pPr>
      <w:r>
        <w:rPr>
          <w:rFonts w:hint="eastAsia" w:ascii="宋体" w:hAnsi="宋体"/>
          <w:b/>
        </w:rPr>
        <w:t>电气控制柜</w:t>
      </w:r>
    </w:p>
    <w:p>
      <w:pPr>
        <w:spacing w:before="203" w:beforeLines="50" w:after="203" w:afterLines="50" w:line="320" w:lineRule="exact"/>
        <w:ind w:firstLine="500" w:firstLineChars="200"/>
        <w:rPr>
          <w:rFonts w:ascii="宋体" w:hAnsi="宋体" w:cs="楷体"/>
        </w:rPr>
      </w:pPr>
      <w:r>
        <w:rPr>
          <w:rFonts w:hint="eastAsia" w:ascii="宋体" w:hAnsi="宋体" w:cs="楷体"/>
        </w:rPr>
        <w:t>数量：1 套。</w:t>
      </w:r>
    </w:p>
    <w:p>
      <w:pPr>
        <w:spacing w:before="203" w:beforeLines="50" w:after="203" w:afterLines="50" w:line="320" w:lineRule="exact"/>
        <w:ind w:firstLine="500" w:firstLineChars="200"/>
        <w:rPr>
          <w:rFonts w:ascii="宋体" w:hAnsi="宋体" w:cs="楷体"/>
        </w:rPr>
      </w:pPr>
      <w:r>
        <w:rPr>
          <w:rFonts w:hint="eastAsia" w:ascii="宋体" w:hAnsi="宋体" w:cs="楷体"/>
        </w:rPr>
        <w:t>整套系统应包括一套控制柜，防护等级IP55，环境腐蚀类别0类。采用PLC控制，现场控制柜包括触摸显示屏，可以实时显示、设置、修改工艺参数，控制粉碳溶液的制备及投加。泵的流量可以通过4-20mA信号调节。</w:t>
      </w:r>
    </w:p>
    <w:p>
      <w:pPr>
        <w:spacing w:before="203" w:beforeLines="50" w:after="203" w:afterLines="50" w:line="320" w:lineRule="exact"/>
        <w:ind w:firstLine="500" w:firstLineChars="200"/>
        <w:rPr>
          <w:rFonts w:ascii="宋体" w:hAnsi="宋体" w:cs="楷体"/>
        </w:rPr>
      </w:pPr>
      <w:r>
        <w:rPr>
          <w:rFonts w:hint="eastAsia" w:ascii="宋体" w:hAnsi="宋体" w:cs="楷体"/>
        </w:rPr>
        <w:t>用于加药系统的制备及投加装置，配置以太网方式接入全厂自控系统传输设备手动自动状态、开停情况以及故障等常规工况状态信号，并且在自动控制方式下可通过该以太网接口或现场总线接口接受厂区自动控制系统信号控制各加药系统的开停。所选用的现场总线通讯协议与厂区系统相一致，保证与厂区自控系统不经任何转换即可正常通讯端口。同时控制柜内配备所需的变频器。终端提供运行及报警端子接口。</w:t>
      </w:r>
    </w:p>
    <w:p>
      <w:pPr>
        <w:spacing w:before="203" w:beforeLines="50" w:after="203" w:afterLines="50" w:line="320" w:lineRule="exact"/>
        <w:ind w:firstLine="500" w:firstLineChars="200"/>
        <w:rPr>
          <w:rFonts w:ascii="宋体" w:hAnsi="宋体" w:cs="楷体"/>
        </w:rPr>
      </w:pPr>
      <w:r>
        <w:rPr>
          <w:rFonts w:hint="eastAsia" w:ascii="宋体" w:hAnsi="宋体" w:cs="楷体"/>
        </w:rPr>
        <w:t>系统还应具备以下功能：</w:t>
      </w:r>
    </w:p>
    <w:p>
      <w:pPr>
        <w:pStyle w:val="1156"/>
        <w:numPr>
          <w:ilvl w:val="0"/>
          <w:numId w:val="128"/>
        </w:numPr>
        <w:spacing w:before="203" w:beforeLines="50" w:after="203" w:afterLines="50" w:line="320" w:lineRule="exact"/>
        <w:ind w:firstLineChars="0"/>
        <w:rPr>
          <w:rFonts w:ascii="宋体" w:hAnsi="宋体" w:cs="楷体"/>
        </w:rPr>
      </w:pPr>
      <w:r>
        <w:rPr>
          <w:rFonts w:hint="eastAsia" w:ascii="宋体" w:hAnsi="宋体" w:cs="楷体"/>
        </w:rPr>
        <w:t>全套系统PLC控制。</w:t>
      </w:r>
    </w:p>
    <w:p>
      <w:pPr>
        <w:pStyle w:val="1156"/>
        <w:numPr>
          <w:ilvl w:val="0"/>
          <w:numId w:val="128"/>
        </w:numPr>
        <w:spacing w:before="203" w:beforeLines="50" w:after="203" w:afterLines="50" w:line="320" w:lineRule="exact"/>
        <w:ind w:firstLineChars="0"/>
        <w:rPr>
          <w:rFonts w:ascii="宋体" w:hAnsi="宋体" w:cs="楷体"/>
        </w:rPr>
      </w:pPr>
      <w:r>
        <w:rPr>
          <w:rFonts w:hint="eastAsia" w:ascii="宋体" w:hAnsi="宋体" w:cs="楷体"/>
        </w:rPr>
        <w:t>系统各设备的运行及报警显示。</w:t>
      </w:r>
    </w:p>
    <w:p>
      <w:pPr>
        <w:pStyle w:val="1156"/>
        <w:numPr>
          <w:ilvl w:val="0"/>
          <w:numId w:val="128"/>
        </w:numPr>
        <w:spacing w:before="203" w:beforeLines="50" w:after="203" w:afterLines="50" w:line="320" w:lineRule="exact"/>
        <w:ind w:firstLineChars="0"/>
        <w:rPr>
          <w:rFonts w:ascii="宋体" w:hAnsi="宋体" w:cs="楷体"/>
        </w:rPr>
      </w:pPr>
      <w:r>
        <w:rPr>
          <w:rFonts w:hint="eastAsia" w:ascii="宋体" w:hAnsi="宋体" w:cs="楷体"/>
        </w:rPr>
        <w:t>相关信号的远程输出。</w:t>
      </w:r>
    </w:p>
    <w:p>
      <w:pPr>
        <w:pStyle w:val="1156"/>
        <w:numPr>
          <w:ilvl w:val="0"/>
          <w:numId w:val="128"/>
        </w:numPr>
        <w:spacing w:before="203" w:beforeLines="50" w:after="203" w:afterLines="50" w:line="320" w:lineRule="exact"/>
        <w:ind w:firstLineChars="0"/>
        <w:rPr>
          <w:rFonts w:ascii="宋体" w:hAnsi="宋体" w:cs="楷体"/>
        </w:rPr>
      </w:pPr>
      <w:r>
        <w:rPr>
          <w:rFonts w:hint="eastAsia" w:ascii="宋体" w:hAnsi="宋体" w:cs="楷体"/>
        </w:rPr>
        <w:t>配以太网接口，与水厂现有控制系统兼容，实现上位机监控。</w:t>
      </w:r>
    </w:p>
    <w:p>
      <w:pPr>
        <w:pStyle w:val="1156"/>
        <w:numPr>
          <w:ilvl w:val="0"/>
          <w:numId w:val="128"/>
        </w:numPr>
        <w:spacing w:before="203" w:beforeLines="50" w:after="203" w:afterLines="50" w:line="320" w:lineRule="exact"/>
        <w:ind w:firstLineChars="0"/>
        <w:rPr>
          <w:rFonts w:ascii="宋体" w:hAnsi="宋体" w:cs="楷体"/>
        </w:rPr>
      </w:pPr>
      <w:r>
        <w:rPr>
          <w:rFonts w:hint="eastAsia" w:ascii="宋体" w:hAnsi="宋体" w:cs="楷体"/>
        </w:rPr>
        <w:t>按设定浓度自动配料。</w:t>
      </w:r>
    </w:p>
    <w:p>
      <w:pPr>
        <w:pStyle w:val="1156"/>
        <w:numPr>
          <w:ilvl w:val="0"/>
          <w:numId w:val="128"/>
        </w:numPr>
        <w:spacing w:before="203" w:beforeLines="50" w:after="203" w:afterLines="50" w:line="320" w:lineRule="exact"/>
        <w:ind w:firstLineChars="0"/>
        <w:rPr>
          <w:rFonts w:ascii="宋体" w:hAnsi="宋体" w:cs="楷体"/>
        </w:rPr>
      </w:pPr>
      <w:r>
        <w:rPr>
          <w:rFonts w:hint="eastAsia" w:ascii="宋体" w:hAnsi="宋体" w:cs="楷体"/>
        </w:rPr>
        <w:t>根据信号自动闭环投加。(信号由用户提供)</w:t>
      </w:r>
    </w:p>
    <w:p>
      <w:pPr>
        <w:keepNext/>
        <w:adjustRightInd w:val="0"/>
        <w:snapToGrid w:val="0"/>
        <w:spacing w:before="203" w:beforeLines="50" w:after="203" w:afterLines="50"/>
        <w:outlineLvl w:val="0"/>
        <w:rPr>
          <w:rFonts w:ascii="宋体" w:hAnsi="宋体" w:cs="楷体"/>
          <w:b/>
        </w:rPr>
      </w:pPr>
      <w:bookmarkStart w:id="6679" w:name="_Toc76405760"/>
      <w:bookmarkStart w:id="6680" w:name="_Toc106883737"/>
      <w:r>
        <w:rPr>
          <w:rFonts w:hint="eastAsia" w:ascii="宋体" w:hAnsi="宋体" w:cs="楷体"/>
          <w:b/>
        </w:rPr>
        <w:t>8.20.8石灰投加系统</w:t>
      </w:r>
      <w:bookmarkEnd w:id="6679"/>
      <w:bookmarkEnd w:id="6680"/>
      <w:bookmarkStart w:id="6681" w:name="_Toc4100"/>
      <w:bookmarkStart w:id="6682" w:name="_Toc14201"/>
    </w:p>
    <w:p>
      <w:pPr>
        <w:pStyle w:val="1156"/>
        <w:numPr>
          <w:ilvl w:val="0"/>
          <w:numId w:val="129"/>
        </w:numPr>
        <w:ind w:firstLineChars="0"/>
        <w:rPr>
          <w:rFonts w:ascii="宋体" w:hAnsi="宋体"/>
          <w:b/>
        </w:rPr>
      </w:pPr>
      <w:r>
        <w:rPr>
          <w:rFonts w:hint="eastAsia" w:ascii="宋体" w:hAnsi="宋体"/>
          <w:b/>
        </w:rPr>
        <w:t>料仓及支架</w:t>
      </w:r>
      <w:bookmarkEnd w:id="6681"/>
      <w:bookmarkEnd w:id="6682"/>
    </w:p>
    <w:p>
      <w:pPr>
        <w:spacing w:before="203" w:beforeLines="50" w:after="203" w:afterLines="50" w:line="320" w:lineRule="exact"/>
        <w:ind w:firstLine="500" w:firstLineChars="200"/>
        <w:rPr>
          <w:rFonts w:ascii="宋体" w:hAnsi="宋体" w:cs="楷体"/>
        </w:rPr>
      </w:pPr>
      <w:r>
        <w:rPr>
          <w:rFonts w:hint="eastAsia" w:ascii="宋体" w:hAnsi="宋体" w:cs="楷体"/>
        </w:rPr>
        <w:t>数量：1套</w:t>
      </w:r>
    </w:p>
    <w:p>
      <w:pPr>
        <w:spacing w:before="203" w:beforeLines="50" w:after="203" w:afterLines="50" w:line="320" w:lineRule="exact"/>
        <w:ind w:firstLine="500" w:firstLineChars="200"/>
        <w:rPr>
          <w:rFonts w:ascii="宋体" w:hAnsi="宋体" w:cs="楷体"/>
        </w:rPr>
      </w:pPr>
      <w:r>
        <w:rPr>
          <w:rFonts w:hint="eastAsia" w:ascii="宋体" w:hAnsi="宋体" w:cs="楷体"/>
        </w:rPr>
        <w:t>直径：2</w:t>
      </w:r>
      <w:r>
        <w:rPr>
          <w:rFonts w:ascii="宋体" w:hAnsi="宋体" w:cs="楷体"/>
        </w:rPr>
        <w:t>.6</w:t>
      </w:r>
      <w:r>
        <w:rPr>
          <w:rFonts w:hint="eastAsia" w:ascii="宋体" w:hAnsi="宋体" w:cs="楷体"/>
        </w:rPr>
        <w:t>m</w:t>
      </w:r>
    </w:p>
    <w:p>
      <w:pPr>
        <w:spacing w:before="203" w:beforeLines="50" w:after="203" w:afterLines="50" w:line="320" w:lineRule="exact"/>
        <w:ind w:firstLine="500" w:firstLineChars="200"/>
        <w:rPr>
          <w:rFonts w:ascii="宋体" w:hAnsi="宋体" w:cs="楷体"/>
        </w:rPr>
      </w:pPr>
      <w:r>
        <w:rPr>
          <w:rFonts w:hint="eastAsia" w:ascii="宋体" w:hAnsi="宋体" w:cs="楷体"/>
        </w:rPr>
        <w:t>体积：</w:t>
      </w:r>
      <w:r>
        <w:rPr>
          <w:rFonts w:ascii="宋体" w:hAnsi="宋体" w:cs="楷体"/>
        </w:rPr>
        <w:t>8</w:t>
      </w:r>
      <w:r>
        <w:rPr>
          <w:rFonts w:hint="eastAsia" w:ascii="宋体" w:hAnsi="宋体" w:cs="楷体"/>
        </w:rPr>
        <w:t>m</w:t>
      </w:r>
      <w:r>
        <w:rPr>
          <w:rFonts w:ascii="宋体" w:hAnsi="宋体" w:cs="Calibri"/>
        </w:rPr>
        <w:t>³</w:t>
      </w:r>
    </w:p>
    <w:p>
      <w:pPr>
        <w:spacing w:before="203" w:beforeLines="50" w:after="203" w:afterLines="50" w:line="320" w:lineRule="exact"/>
        <w:ind w:firstLine="500" w:firstLineChars="200"/>
        <w:rPr>
          <w:rFonts w:ascii="宋体" w:hAnsi="宋体" w:cs="楷体"/>
        </w:rPr>
      </w:pPr>
      <w:r>
        <w:rPr>
          <w:rFonts w:hint="eastAsia" w:ascii="宋体" w:hAnsi="宋体" w:cs="楷体"/>
        </w:rPr>
        <w:t>壁厚：不小于8mm</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料仓材质：Q235B </w:t>
      </w:r>
    </w:p>
    <w:p>
      <w:pPr>
        <w:spacing w:before="203" w:beforeLines="50" w:after="203" w:afterLines="50" w:line="320" w:lineRule="exact"/>
        <w:ind w:firstLine="500" w:firstLineChars="200"/>
        <w:rPr>
          <w:rFonts w:ascii="宋体" w:hAnsi="宋体" w:cs="楷体"/>
        </w:rPr>
      </w:pPr>
      <w:r>
        <w:rPr>
          <w:rFonts w:hint="eastAsia" w:ascii="宋体" w:hAnsi="宋体" w:cs="楷体"/>
        </w:rPr>
        <w:t>料仓采用户外全封闭安装形式。配套锥斗、支撑架、后防护的爬梯、顶部平台、护栏。护栏高度不低于1.2m，料仓包括人孔、进料管、粉料过滤器及手动截止阀。</w:t>
      </w:r>
    </w:p>
    <w:p>
      <w:pPr>
        <w:spacing w:before="203" w:beforeLines="50" w:after="203" w:afterLines="50" w:line="320" w:lineRule="exact"/>
        <w:ind w:firstLine="500" w:firstLineChars="200"/>
        <w:rPr>
          <w:rFonts w:ascii="宋体" w:hAnsi="宋体" w:cs="楷体"/>
        </w:rPr>
      </w:pPr>
      <w:r>
        <w:rPr>
          <w:rFonts w:hint="eastAsia" w:ascii="宋体" w:hAnsi="宋体" w:cs="楷体"/>
        </w:rPr>
        <w:t>料仓外表面经过喷涂环氧漆处理，内表面涂食品级环氧漆2层，表面维护周期两年以上。</w:t>
      </w:r>
    </w:p>
    <w:p>
      <w:pPr>
        <w:spacing w:before="203" w:beforeLines="50" w:after="203" w:afterLines="50" w:line="320" w:lineRule="exact"/>
        <w:ind w:firstLine="500" w:firstLineChars="200"/>
        <w:rPr>
          <w:rFonts w:ascii="宋体" w:hAnsi="宋体" w:cs="楷体"/>
        </w:rPr>
      </w:pPr>
      <w:r>
        <w:rPr>
          <w:rFonts w:hint="eastAsia" w:ascii="宋体" w:hAnsi="宋体" w:cs="楷体"/>
        </w:rPr>
        <w:t>送料管口及其它料仓口部平时可保证石灰粉料在料仓内的密封性，防止与空气的长时间接触产生结块。</w:t>
      </w:r>
    </w:p>
    <w:p>
      <w:pPr>
        <w:spacing w:before="203" w:beforeLines="50" w:after="203" w:afterLines="50" w:line="320" w:lineRule="exact"/>
        <w:ind w:firstLine="500" w:firstLineChars="200"/>
        <w:rPr>
          <w:rFonts w:ascii="宋体" w:hAnsi="宋体" w:cs="楷体"/>
        </w:rPr>
      </w:pPr>
      <w:r>
        <w:rPr>
          <w:rFonts w:hint="eastAsia" w:ascii="宋体" w:hAnsi="宋体" w:cs="楷体"/>
        </w:rPr>
        <w:t>料仓顶部装配过压安全阀，避免料仓过压及粉尘堵塞，以此起到对料仓的双重保护。</w:t>
      </w:r>
    </w:p>
    <w:p>
      <w:pPr>
        <w:spacing w:before="203" w:beforeLines="50" w:after="203" w:afterLines="50" w:line="320" w:lineRule="exact"/>
        <w:ind w:firstLine="500" w:firstLineChars="200"/>
        <w:rPr>
          <w:rFonts w:ascii="宋体" w:hAnsi="宋体" w:cs="楷体"/>
        </w:rPr>
      </w:pPr>
      <w:r>
        <w:rPr>
          <w:rFonts w:hint="eastAsia" w:ascii="宋体" w:hAnsi="宋体" w:cs="楷体"/>
        </w:rPr>
        <w:t>料仓支脚部安装有称重元件，对进出料仓的粉料量进行实时监控（进料管与过滤器之间采用软连接，保证称重系统的准确性）。</w:t>
      </w:r>
    </w:p>
    <w:p>
      <w:pPr>
        <w:spacing w:before="203" w:beforeLines="50" w:after="203" w:afterLines="50" w:line="320" w:lineRule="exact"/>
        <w:ind w:firstLine="500" w:firstLineChars="200"/>
        <w:rPr>
          <w:rFonts w:ascii="宋体" w:hAnsi="宋体" w:cs="楷体"/>
        </w:rPr>
      </w:pPr>
      <w:r>
        <w:rPr>
          <w:rFonts w:hint="eastAsia" w:ascii="宋体" w:hAnsi="宋体" w:cs="楷体"/>
        </w:rPr>
        <w:t>料仓平台顶部配套仓顶除尘器，除尘量远大于物料输送量。</w:t>
      </w:r>
    </w:p>
    <w:p>
      <w:pPr>
        <w:spacing w:before="203" w:beforeLines="50" w:after="203" w:afterLines="50" w:line="320" w:lineRule="exact"/>
        <w:ind w:firstLine="500" w:firstLineChars="200"/>
        <w:rPr>
          <w:rFonts w:ascii="宋体" w:hAnsi="宋体" w:cs="楷体"/>
        </w:rPr>
      </w:pPr>
      <w:r>
        <w:rPr>
          <w:rFonts w:hint="eastAsia" w:ascii="宋体" w:hAnsi="宋体" w:cs="楷体"/>
        </w:rPr>
        <w:t>料仓锥斗装配有震动式破拱装置等，可有效避免料仓内物料结拱。</w:t>
      </w:r>
    </w:p>
    <w:p>
      <w:pPr>
        <w:pStyle w:val="1156"/>
        <w:numPr>
          <w:ilvl w:val="0"/>
          <w:numId w:val="129"/>
        </w:numPr>
        <w:ind w:firstLineChars="0"/>
        <w:rPr>
          <w:rFonts w:ascii="宋体" w:hAnsi="宋体"/>
          <w:b/>
        </w:rPr>
      </w:pPr>
      <w:bookmarkStart w:id="6683" w:name="_Toc347"/>
      <w:bookmarkStart w:id="6684" w:name="_Toc7251"/>
      <w:r>
        <w:rPr>
          <w:rFonts w:hint="eastAsia" w:ascii="宋体" w:hAnsi="宋体"/>
          <w:b/>
        </w:rPr>
        <w:t>阻旋式料位计</w:t>
      </w:r>
      <w:bookmarkEnd w:id="6683"/>
      <w:bookmarkEnd w:id="6684"/>
    </w:p>
    <w:p>
      <w:pPr>
        <w:spacing w:before="203" w:beforeLines="50" w:after="203" w:afterLines="50" w:line="320" w:lineRule="exact"/>
        <w:ind w:firstLine="500" w:firstLineChars="200"/>
        <w:rPr>
          <w:rFonts w:ascii="宋体" w:hAnsi="宋体" w:cs="楷体"/>
        </w:rPr>
      </w:pPr>
      <w:r>
        <w:rPr>
          <w:rFonts w:hint="eastAsia" w:ascii="宋体" w:hAnsi="宋体" w:cs="楷体"/>
        </w:rPr>
        <w:t>供电电源：220VAC/24VDC</w:t>
      </w:r>
    </w:p>
    <w:p>
      <w:pPr>
        <w:spacing w:before="203" w:beforeLines="50" w:after="203" w:afterLines="50" w:line="320" w:lineRule="exact"/>
        <w:ind w:firstLine="500" w:firstLineChars="200"/>
        <w:rPr>
          <w:rFonts w:ascii="宋体" w:hAnsi="宋体" w:cs="楷体"/>
        </w:rPr>
      </w:pPr>
      <w:r>
        <w:rPr>
          <w:rFonts w:hint="eastAsia" w:ascii="宋体" w:hAnsi="宋体" w:cs="楷体"/>
        </w:rPr>
        <w:t>功率：4W</w:t>
      </w:r>
    </w:p>
    <w:p>
      <w:pPr>
        <w:spacing w:before="203" w:beforeLines="50" w:after="203" w:afterLines="50" w:line="320" w:lineRule="exact"/>
        <w:ind w:firstLine="500" w:firstLineChars="200"/>
        <w:rPr>
          <w:rFonts w:ascii="宋体" w:hAnsi="宋体" w:cs="楷体"/>
        </w:rPr>
      </w:pPr>
      <w:r>
        <w:rPr>
          <w:rFonts w:hint="eastAsia" w:ascii="宋体" w:hAnsi="宋体" w:cs="楷体"/>
        </w:rPr>
        <w:t>触点容量：10A/250VACSPDT（单刀双掷）</w:t>
      </w:r>
    </w:p>
    <w:p>
      <w:pPr>
        <w:spacing w:before="203" w:beforeLines="50" w:after="203" w:afterLines="50" w:line="320" w:lineRule="exact"/>
        <w:ind w:firstLine="500" w:firstLineChars="200"/>
        <w:rPr>
          <w:rFonts w:ascii="宋体" w:hAnsi="宋体" w:cs="楷体"/>
        </w:rPr>
      </w:pPr>
      <w:r>
        <w:rPr>
          <w:rFonts w:hint="eastAsia" w:ascii="宋体" w:hAnsi="宋体" w:cs="楷体"/>
        </w:rPr>
        <w:t>叶片转速：1r/m（转/分）</w:t>
      </w:r>
    </w:p>
    <w:p>
      <w:pPr>
        <w:spacing w:before="203" w:beforeLines="50" w:after="203" w:afterLines="50" w:line="320" w:lineRule="exact"/>
        <w:ind w:firstLine="500" w:firstLineChars="200"/>
        <w:rPr>
          <w:rFonts w:ascii="宋体" w:hAnsi="宋体" w:cs="楷体"/>
        </w:rPr>
      </w:pPr>
      <w:r>
        <w:rPr>
          <w:rFonts w:hint="eastAsia" w:ascii="宋体" w:hAnsi="宋体" w:cs="楷体"/>
        </w:rPr>
        <w:t>力矩：1.0kg×cm</w:t>
      </w:r>
    </w:p>
    <w:p>
      <w:pPr>
        <w:spacing w:before="203" w:beforeLines="50" w:after="203" w:afterLines="50" w:line="320" w:lineRule="exact"/>
        <w:ind w:firstLine="500" w:firstLineChars="200"/>
        <w:rPr>
          <w:rFonts w:ascii="宋体" w:hAnsi="宋体" w:cs="楷体"/>
        </w:rPr>
      </w:pPr>
      <w:r>
        <w:rPr>
          <w:rFonts w:hint="eastAsia" w:ascii="宋体" w:hAnsi="宋体" w:cs="楷体"/>
        </w:rPr>
        <w:t>工作温度：-20～80℃</w:t>
      </w:r>
    </w:p>
    <w:p>
      <w:pPr>
        <w:spacing w:before="203" w:beforeLines="50" w:after="203" w:afterLines="50" w:line="320" w:lineRule="exact"/>
        <w:ind w:firstLine="500" w:firstLineChars="200"/>
        <w:rPr>
          <w:rFonts w:ascii="宋体" w:hAnsi="宋体" w:cs="楷体"/>
        </w:rPr>
      </w:pPr>
      <w:r>
        <w:rPr>
          <w:rFonts w:hint="eastAsia" w:ascii="宋体" w:hAnsi="宋体" w:cs="楷体"/>
        </w:rPr>
        <w:t>绝缘电阻：≥100MΩ</w:t>
      </w:r>
    </w:p>
    <w:p>
      <w:pPr>
        <w:spacing w:before="203" w:beforeLines="50" w:after="203" w:afterLines="50" w:line="320" w:lineRule="exact"/>
        <w:ind w:firstLine="500" w:firstLineChars="200"/>
        <w:rPr>
          <w:rFonts w:ascii="宋体" w:hAnsi="宋体" w:cs="楷体"/>
        </w:rPr>
      </w:pPr>
      <w:r>
        <w:rPr>
          <w:rFonts w:hint="eastAsia" w:ascii="宋体" w:hAnsi="宋体" w:cs="楷体"/>
        </w:rPr>
        <w:t>介电强度：1500V*1min</w:t>
      </w:r>
    </w:p>
    <w:p>
      <w:pPr>
        <w:spacing w:before="203" w:beforeLines="50" w:after="203" w:afterLines="50" w:line="320" w:lineRule="exact"/>
        <w:ind w:firstLine="500" w:firstLineChars="200"/>
        <w:rPr>
          <w:rFonts w:ascii="宋体" w:hAnsi="宋体" w:cs="楷体"/>
        </w:rPr>
      </w:pPr>
      <w:r>
        <w:rPr>
          <w:rFonts w:hint="eastAsia" w:ascii="宋体" w:hAnsi="宋体" w:cs="楷体"/>
        </w:rPr>
        <w:t>防护等级：IP65</w:t>
      </w:r>
    </w:p>
    <w:p>
      <w:pPr>
        <w:spacing w:before="203" w:beforeLines="50" w:after="203" w:afterLines="50" w:line="320" w:lineRule="exact"/>
        <w:ind w:firstLine="500" w:firstLineChars="200"/>
        <w:rPr>
          <w:rFonts w:ascii="宋体" w:hAnsi="宋体" w:cs="楷体"/>
        </w:rPr>
      </w:pPr>
      <w:r>
        <w:rPr>
          <w:rFonts w:hint="eastAsia" w:ascii="宋体" w:hAnsi="宋体" w:cs="楷体"/>
        </w:rPr>
        <w:t>叶片材质：SUS304</w:t>
      </w:r>
    </w:p>
    <w:p>
      <w:pPr>
        <w:spacing w:before="203" w:beforeLines="50" w:after="203" w:afterLines="50" w:line="320" w:lineRule="exact"/>
        <w:ind w:firstLine="500" w:firstLineChars="200"/>
        <w:rPr>
          <w:rFonts w:ascii="宋体" w:hAnsi="宋体" w:cs="楷体"/>
        </w:rPr>
      </w:pPr>
      <w:r>
        <w:rPr>
          <w:rFonts w:hint="eastAsia" w:ascii="宋体" w:hAnsi="宋体" w:cs="楷体"/>
        </w:rPr>
        <w:t>ILT 型料箱料位指示器通过料箱、料斗或料仓内最低或最高料位的旋转动实现电气化指示。</w:t>
      </w:r>
    </w:p>
    <w:p>
      <w:pPr>
        <w:spacing w:before="203" w:beforeLines="50" w:after="203" w:afterLines="50" w:line="320" w:lineRule="exact"/>
        <w:ind w:firstLine="500" w:firstLineChars="200"/>
        <w:rPr>
          <w:rFonts w:ascii="宋体" w:hAnsi="宋体" w:cs="楷体"/>
        </w:rPr>
      </w:pPr>
      <w:r>
        <w:rPr>
          <w:rFonts w:hint="eastAsia" w:ascii="宋体" w:hAnsi="宋体" w:cs="楷体"/>
        </w:rPr>
        <w:t>工作原理：如果物料在桨片之上，ILT型箱式料位指示器的桨片便不会转动。料位一旦下降到桨片旋转范围以下，旋转运动启动，并带动指示器的其他部件。顶部或侧部安装的指示器通常用于密度范围在0.5t/m</w:t>
      </w:r>
      <w:r>
        <w:rPr>
          <w:rFonts w:ascii="宋体" w:hAnsi="宋体" w:cs="Calibri"/>
        </w:rPr>
        <w:t>³</w:t>
      </w:r>
      <w:r>
        <w:rPr>
          <w:rFonts w:hint="eastAsia" w:ascii="宋体" w:hAnsi="宋体" w:cs="楷体"/>
        </w:rPr>
        <w:t>到 2t/m</w:t>
      </w:r>
      <w:r>
        <w:rPr>
          <w:rFonts w:ascii="宋体" w:hAnsi="宋体" w:cs="Calibri"/>
        </w:rPr>
        <w:t>³</w:t>
      </w:r>
      <w:r>
        <w:rPr>
          <w:rFonts w:hint="eastAsia" w:ascii="宋体" w:hAnsi="宋体" w:cs="楷体"/>
        </w:rPr>
        <w:t>的物料。</w:t>
      </w:r>
    </w:p>
    <w:p>
      <w:pPr>
        <w:spacing w:before="203" w:beforeLines="50" w:after="203" w:afterLines="50" w:line="320" w:lineRule="exact"/>
        <w:ind w:firstLine="500" w:firstLineChars="200"/>
        <w:rPr>
          <w:rFonts w:ascii="宋体" w:hAnsi="宋体" w:cs="楷体"/>
        </w:rPr>
      </w:pPr>
      <w:r>
        <w:rPr>
          <w:rFonts w:hint="eastAsia" w:ascii="宋体" w:hAnsi="宋体" w:cs="楷体"/>
        </w:rPr>
        <w:t>标准连接：1</w:t>
      </w:r>
      <w:r>
        <w:rPr>
          <w:rFonts w:ascii="宋体" w:hAnsi="宋体" w:cs="Calibri"/>
        </w:rPr>
        <w:t>½</w:t>
      </w:r>
      <w:r>
        <w:rPr>
          <w:rFonts w:hint="eastAsia" w:ascii="宋体" w:hAnsi="宋体" w:cs="楷体"/>
        </w:rPr>
        <w:t>”</w:t>
      </w:r>
    </w:p>
    <w:p>
      <w:pPr>
        <w:pStyle w:val="1156"/>
        <w:numPr>
          <w:ilvl w:val="0"/>
          <w:numId w:val="129"/>
        </w:numPr>
        <w:ind w:firstLineChars="0"/>
        <w:rPr>
          <w:rFonts w:ascii="宋体" w:hAnsi="宋体"/>
          <w:b/>
        </w:rPr>
      </w:pPr>
      <w:bookmarkStart w:id="6685" w:name="_Toc29697"/>
      <w:bookmarkStart w:id="6686" w:name="_Toc29591"/>
      <w:r>
        <w:rPr>
          <w:rFonts w:hint="eastAsia" w:ascii="宋体" w:hAnsi="宋体"/>
          <w:b/>
        </w:rPr>
        <w:t>过压安全阀</w:t>
      </w:r>
      <w:bookmarkEnd w:id="6685"/>
      <w:bookmarkEnd w:id="6686"/>
    </w:p>
    <w:p>
      <w:pPr>
        <w:spacing w:before="203" w:beforeLines="50" w:after="203" w:afterLines="50" w:line="320" w:lineRule="exact"/>
        <w:ind w:firstLine="500" w:firstLineChars="200"/>
        <w:rPr>
          <w:rFonts w:ascii="宋体" w:hAnsi="宋体" w:cs="楷体"/>
        </w:rPr>
      </w:pPr>
      <w:r>
        <w:rPr>
          <w:rFonts w:hint="eastAsia" w:ascii="宋体" w:hAnsi="宋体" w:cs="楷体"/>
        </w:rPr>
        <w:t>阀体材质：不锈钢</w:t>
      </w:r>
    </w:p>
    <w:p>
      <w:pPr>
        <w:spacing w:before="203" w:beforeLines="50" w:after="203" w:afterLines="50" w:line="320" w:lineRule="exact"/>
        <w:ind w:firstLine="500" w:firstLineChars="200"/>
        <w:rPr>
          <w:rFonts w:ascii="宋体" w:hAnsi="宋体" w:cs="楷体"/>
        </w:rPr>
      </w:pPr>
      <w:r>
        <w:rPr>
          <w:rFonts w:hint="eastAsia" w:ascii="宋体" w:hAnsi="宋体" w:cs="楷体"/>
        </w:rPr>
        <w:t>法兰材质：碳钢</w:t>
      </w:r>
    </w:p>
    <w:p>
      <w:pPr>
        <w:spacing w:before="203" w:beforeLines="50" w:after="203" w:afterLines="50" w:line="320" w:lineRule="exact"/>
        <w:ind w:firstLine="500" w:firstLineChars="200"/>
        <w:rPr>
          <w:rFonts w:ascii="宋体" w:hAnsi="宋体" w:cs="楷体"/>
        </w:rPr>
      </w:pPr>
      <w:r>
        <w:rPr>
          <w:rFonts w:hint="eastAsia" w:ascii="宋体" w:hAnsi="宋体" w:cs="楷体"/>
        </w:rPr>
        <w:t>直径：Φ273mm</w:t>
      </w:r>
    </w:p>
    <w:p>
      <w:pPr>
        <w:spacing w:before="203" w:beforeLines="50" w:after="203" w:afterLines="50" w:line="320" w:lineRule="exact"/>
        <w:ind w:firstLine="500" w:firstLineChars="200"/>
        <w:rPr>
          <w:rFonts w:ascii="宋体" w:hAnsi="宋体" w:cs="楷体"/>
        </w:rPr>
      </w:pPr>
      <w:r>
        <w:rPr>
          <w:rFonts w:hint="eastAsia" w:ascii="宋体" w:hAnsi="宋体" w:cs="楷体"/>
        </w:rPr>
        <w:t>料仓顶部配有过压安全阀，它的作用是在异常压力状态下（当散装气动送料时，如果料仓除尘器堵住，导致压力升高）料仓结构受到危害时的最后安保措施。</w:t>
      </w:r>
    </w:p>
    <w:p>
      <w:pPr>
        <w:spacing w:before="203" w:beforeLines="50" w:after="203" w:afterLines="50" w:line="320" w:lineRule="exact"/>
        <w:ind w:firstLine="500" w:firstLineChars="200"/>
        <w:rPr>
          <w:rFonts w:ascii="宋体" w:hAnsi="宋体" w:cs="楷体"/>
        </w:rPr>
      </w:pPr>
      <w:r>
        <w:rPr>
          <w:rFonts w:hint="eastAsia" w:ascii="宋体" w:hAnsi="宋体" w:cs="楷体"/>
        </w:rPr>
        <w:t>尽管在理想状况下，不得使用卸压阀，但即使是安全压力阀处于从未启用过的理想状态下，也必须保证在需要使用时，它是高效且可靠的，故配备安全阀以保证料仓的稳定性和安全性是十分必要的。</w:t>
      </w:r>
    </w:p>
    <w:p>
      <w:pPr>
        <w:spacing w:before="203" w:beforeLines="50" w:after="203" w:afterLines="50" w:line="320" w:lineRule="exact"/>
        <w:ind w:firstLine="500" w:firstLineChars="200"/>
        <w:rPr>
          <w:rFonts w:ascii="宋体" w:hAnsi="宋体" w:cs="楷体"/>
        </w:rPr>
      </w:pPr>
      <w:r>
        <w:rPr>
          <w:rFonts w:hint="eastAsia" w:ascii="宋体" w:hAnsi="宋体" w:cs="楷体"/>
        </w:rPr>
        <w:t>（1）安全阀结构</w:t>
      </w:r>
    </w:p>
    <w:p>
      <w:pPr>
        <w:spacing w:before="203" w:beforeLines="50" w:after="203" w:afterLines="50" w:line="320" w:lineRule="exact"/>
        <w:ind w:firstLine="500" w:firstLineChars="200"/>
        <w:rPr>
          <w:rFonts w:ascii="宋体" w:hAnsi="宋体" w:cs="楷体"/>
        </w:rPr>
      </w:pPr>
      <w:r>
        <w:rPr>
          <w:rFonts w:hint="eastAsia" w:ascii="宋体" w:hAnsi="宋体" w:cs="楷体"/>
        </w:rPr>
        <w:t>安全压力阀的组成为：一个圆柱形外壳，带有用于连接焊接在料仓顶部套管上的底部法兰；盘状铁制内盖，在负压情况下，中心的弹簧杆工作；在过压情况下，外铁环工作，通过三根弹簧杆、垫圈和一个防腐蚀护罩来对外铁环进行定位。</w:t>
      </w:r>
    </w:p>
    <w:p>
      <w:pPr>
        <w:spacing w:before="203" w:beforeLines="50" w:after="203" w:afterLines="50" w:line="320" w:lineRule="exact"/>
        <w:ind w:firstLine="500" w:firstLineChars="200"/>
        <w:rPr>
          <w:rFonts w:ascii="宋体" w:hAnsi="宋体" w:cs="楷体"/>
        </w:rPr>
      </w:pPr>
      <w:r>
        <w:rPr>
          <w:rFonts w:hint="eastAsia" w:ascii="宋体" w:hAnsi="宋体" w:cs="楷体"/>
        </w:rPr>
        <w:t>（2）安全阀功能</w:t>
      </w:r>
    </w:p>
    <w:p>
      <w:pPr>
        <w:spacing w:before="203" w:beforeLines="50" w:after="203" w:afterLines="50" w:line="320" w:lineRule="exact"/>
        <w:ind w:firstLine="500" w:firstLineChars="200"/>
        <w:rPr>
          <w:rFonts w:ascii="宋体" w:hAnsi="宋体" w:cs="楷体"/>
        </w:rPr>
      </w:pPr>
      <w:r>
        <w:rPr>
          <w:rFonts w:hint="eastAsia" w:ascii="宋体" w:hAnsi="宋体" w:cs="楷体"/>
        </w:rPr>
        <w:t>对于安全压力阀，当压力值在预置范围内时，螺旋弹簧使阀盖保持关闭状态。三根外部的弹簧杆使外部环形阀盖保持紧密闭合直至筒仓内产生的压力小于弹簧力。</w:t>
      </w:r>
    </w:p>
    <w:p>
      <w:pPr>
        <w:spacing w:before="203" w:beforeLines="50" w:after="203" w:afterLines="50" w:line="320" w:lineRule="exact"/>
        <w:ind w:firstLine="500" w:firstLineChars="200"/>
        <w:rPr>
          <w:rFonts w:ascii="宋体" w:hAnsi="宋体" w:cs="楷体"/>
        </w:rPr>
      </w:pPr>
      <w:r>
        <w:rPr>
          <w:rFonts w:hint="eastAsia" w:ascii="宋体" w:hAnsi="宋体" w:cs="楷体"/>
        </w:rPr>
        <w:t>一旦压力值超过预置范围，阀盖便上推使压力释放。较小的阀盖从下方罩住外部阀盖的中心圆形开口。较小的阀盖通过单根弹簧杆固定，并通过筒仓内的标准大气加压到外部阀盖上。</w:t>
      </w:r>
    </w:p>
    <w:p>
      <w:pPr>
        <w:spacing w:before="203" w:beforeLines="50" w:after="203" w:afterLines="50" w:line="320" w:lineRule="exact"/>
        <w:ind w:firstLine="500" w:firstLineChars="200"/>
        <w:rPr>
          <w:rFonts w:ascii="宋体" w:hAnsi="宋体" w:cs="楷体"/>
        </w:rPr>
      </w:pPr>
      <w:r>
        <w:rPr>
          <w:rFonts w:hint="eastAsia" w:ascii="宋体" w:hAnsi="宋体" w:cs="楷体"/>
        </w:rPr>
        <w:t>抽压时，弹簧压缩并使阀盖下降。空气从筒仓外部进入，此时确保了快速的压力平衡并将中心阀盖推入关闭位。</w:t>
      </w:r>
    </w:p>
    <w:p>
      <w:pPr>
        <w:spacing w:before="203" w:beforeLines="50" w:after="203" w:afterLines="50" w:line="320" w:lineRule="exact"/>
        <w:ind w:firstLine="500" w:firstLineChars="200"/>
        <w:rPr>
          <w:rFonts w:ascii="宋体" w:hAnsi="宋体" w:cs="楷体"/>
        </w:rPr>
      </w:pPr>
      <w:r>
        <w:rPr>
          <w:rFonts w:hint="eastAsia" w:ascii="宋体" w:hAnsi="宋体" w:cs="楷体"/>
        </w:rPr>
        <w:t>（3）产品参数</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不锈钢的防腐蚀护罩</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阀体直径= 273mm (10 in)</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最大空气容积13,000m3/h</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感应式信号传感设备</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最大预置负压值- 0.005 bar；最大压力+ 0.05 bar</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根据选择不同的安全阀可以设置最大正压范围从+ 0.03 bar至 + 0.08 bar；同时最大负压为- 0.001 bar</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重量： 273mm (10 in)为9.5 kg (21 lbs)</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轻质设计，减小了整体尺寸，便于搬运</w:t>
      </w:r>
    </w:p>
    <w:p>
      <w:pPr>
        <w:pStyle w:val="1156"/>
        <w:numPr>
          <w:ilvl w:val="2"/>
          <w:numId w:val="130"/>
        </w:numPr>
        <w:spacing w:before="203" w:beforeLines="50" w:after="203" w:afterLines="50" w:line="320" w:lineRule="exact"/>
        <w:ind w:firstLineChars="0"/>
        <w:rPr>
          <w:rFonts w:ascii="宋体" w:hAnsi="宋体" w:cs="楷体"/>
        </w:rPr>
      </w:pPr>
      <w:r>
        <w:rPr>
          <w:rFonts w:hint="eastAsia" w:ascii="宋体" w:hAnsi="宋体" w:cs="楷体"/>
        </w:rPr>
        <w:t>高度抗气压干扰、易于安装。</w:t>
      </w:r>
    </w:p>
    <w:p>
      <w:pPr>
        <w:pStyle w:val="1156"/>
        <w:numPr>
          <w:ilvl w:val="0"/>
          <w:numId w:val="129"/>
        </w:numPr>
        <w:ind w:firstLineChars="0"/>
        <w:rPr>
          <w:rFonts w:ascii="宋体" w:hAnsi="宋体"/>
          <w:b/>
        </w:rPr>
      </w:pPr>
      <w:bookmarkStart w:id="6687" w:name="_Toc17555"/>
      <w:bookmarkStart w:id="6688" w:name="_Toc5580"/>
      <w:r>
        <w:rPr>
          <w:rFonts w:hint="eastAsia" w:ascii="宋体" w:hAnsi="宋体"/>
          <w:b/>
        </w:rPr>
        <w:t>仓顶除尘器</w:t>
      </w:r>
      <w:bookmarkEnd w:id="6687"/>
      <w:bookmarkEnd w:id="6688"/>
    </w:p>
    <w:p>
      <w:pPr>
        <w:spacing w:before="203" w:beforeLines="50" w:after="203" w:afterLines="50" w:line="320" w:lineRule="exact"/>
        <w:ind w:firstLine="500" w:firstLineChars="200"/>
        <w:rPr>
          <w:rFonts w:ascii="宋体" w:hAnsi="宋体" w:cs="楷体"/>
        </w:rPr>
      </w:pPr>
      <w:r>
        <w:rPr>
          <w:rFonts w:hint="eastAsia" w:ascii="宋体" w:hAnsi="宋体" w:cs="楷体"/>
        </w:rPr>
        <w:t>过滤面积：24m</w:t>
      </w:r>
      <w:r>
        <w:rPr>
          <w:rFonts w:hint="eastAsia" w:ascii="宋体" w:hAnsi="宋体" w:cs="楷体"/>
          <w:vertAlign w:val="superscript"/>
        </w:rPr>
        <w:t>2</w:t>
      </w:r>
    </w:p>
    <w:p>
      <w:pPr>
        <w:spacing w:before="203" w:beforeLines="50" w:after="203" w:afterLines="50" w:line="320" w:lineRule="exact"/>
        <w:ind w:firstLine="500" w:firstLineChars="200"/>
        <w:rPr>
          <w:rFonts w:ascii="宋体" w:hAnsi="宋体" w:cs="楷体"/>
        </w:rPr>
      </w:pPr>
      <w:r>
        <w:rPr>
          <w:rFonts w:hint="eastAsia" w:ascii="宋体" w:hAnsi="宋体" w:cs="楷体"/>
        </w:rPr>
        <w:t>材质：不锈钢</w:t>
      </w:r>
    </w:p>
    <w:p>
      <w:pPr>
        <w:spacing w:before="203" w:beforeLines="50" w:after="203" w:afterLines="50" w:line="320" w:lineRule="exact"/>
        <w:ind w:firstLine="500" w:firstLineChars="200"/>
        <w:rPr>
          <w:rFonts w:ascii="宋体" w:hAnsi="宋体" w:cs="楷体"/>
        </w:rPr>
      </w:pPr>
      <w:r>
        <w:rPr>
          <w:rFonts w:hint="eastAsia" w:ascii="宋体" w:hAnsi="宋体" w:cs="楷体"/>
        </w:rPr>
        <w:t>电源：380VAC</w:t>
      </w:r>
    </w:p>
    <w:p>
      <w:pPr>
        <w:spacing w:before="203" w:beforeLines="50" w:after="203" w:afterLines="50" w:line="320" w:lineRule="exact"/>
        <w:ind w:firstLine="500" w:firstLineChars="200"/>
        <w:rPr>
          <w:rFonts w:ascii="宋体" w:hAnsi="宋体" w:cs="楷体"/>
        </w:rPr>
      </w:pPr>
      <w:r>
        <w:rPr>
          <w:rFonts w:hint="eastAsia" w:ascii="宋体" w:hAnsi="宋体" w:cs="楷体"/>
        </w:rPr>
        <w:t>除尘方式：气动脉冲除尘</w:t>
      </w:r>
    </w:p>
    <w:p>
      <w:pPr>
        <w:spacing w:before="203" w:beforeLines="50" w:after="203" w:afterLines="50" w:line="320" w:lineRule="exact"/>
        <w:ind w:firstLine="500" w:firstLineChars="200"/>
        <w:rPr>
          <w:rFonts w:ascii="宋体" w:hAnsi="宋体" w:cs="楷体"/>
        </w:rPr>
      </w:pPr>
      <w:r>
        <w:rPr>
          <w:rFonts w:hint="eastAsia" w:ascii="宋体" w:hAnsi="宋体" w:cs="楷体"/>
        </w:rPr>
        <w:t>操作温度：-10～+60</w:t>
      </w:r>
      <w:r>
        <w:rPr>
          <w:rFonts w:ascii="宋体" w:hAnsi="宋体" w:cs="Calibri"/>
        </w:rPr>
        <w:t>º</w:t>
      </w:r>
      <w:r>
        <w:rPr>
          <w:rFonts w:hint="eastAsia" w:ascii="宋体" w:hAnsi="宋体" w:cs="楷体"/>
        </w:rPr>
        <w:t>C</w:t>
      </w:r>
    </w:p>
    <w:p>
      <w:pPr>
        <w:spacing w:before="203" w:beforeLines="50" w:after="203" w:afterLines="50" w:line="320" w:lineRule="exact"/>
        <w:ind w:firstLine="500" w:firstLineChars="200"/>
        <w:rPr>
          <w:rFonts w:ascii="宋体" w:hAnsi="宋体" w:cs="楷体"/>
        </w:rPr>
      </w:pPr>
      <w:r>
        <w:rPr>
          <w:rFonts w:hint="eastAsia" w:ascii="宋体" w:hAnsi="宋体" w:cs="楷体"/>
        </w:rPr>
        <w:t>标准大气压流量1700m3/h</w:t>
      </w:r>
    </w:p>
    <w:p>
      <w:pPr>
        <w:spacing w:before="203" w:beforeLines="50" w:after="203" w:afterLines="50" w:line="320" w:lineRule="exact"/>
        <w:ind w:firstLine="500" w:firstLineChars="200"/>
        <w:rPr>
          <w:rFonts w:ascii="宋体" w:hAnsi="宋体" w:cs="楷体"/>
        </w:rPr>
      </w:pPr>
      <w:r>
        <w:rPr>
          <w:rFonts w:hint="eastAsia" w:ascii="宋体" w:hAnsi="宋体" w:cs="楷体"/>
        </w:rPr>
        <w:t>滤芯材料：PP滤芯</w:t>
      </w:r>
    </w:p>
    <w:p>
      <w:pPr>
        <w:spacing w:before="203" w:beforeLines="50" w:after="203" w:afterLines="50" w:line="320" w:lineRule="exact"/>
        <w:ind w:firstLine="500" w:firstLineChars="200"/>
        <w:rPr>
          <w:rFonts w:ascii="宋体" w:hAnsi="宋体" w:cs="楷体"/>
        </w:rPr>
      </w:pPr>
      <w:r>
        <w:rPr>
          <w:rFonts w:hint="eastAsia" w:ascii="宋体" w:hAnsi="宋体" w:cs="楷体"/>
        </w:rPr>
        <w:t>压力：5-6bar</w:t>
      </w:r>
    </w:p>
    <w:p>
      <w:pPr>
        <w:spacing w:before="203" w:beforeLines="50" w:after="203" w:afterLines="50" w:line="320" w:lineRule="exact"/>
        <w:ind w:firstLine="500" w:firstLineChars="200"/>
        <w:rPr>
          <w:rFonts w:ascii="宋体" w:hAnsi="宋体" w:cs="楷体"/>
        </w:rPr>
      </w:pPr>
      <w:r>
        <w:rPr>
          <w:rFonts w:hint="eastAsia" w:ascii="宋体" w:hAnsi="宋体" w:cs="楷体"/>
        </w:rPr>
        <w:t>除尘器拥有圆柱形的不锈钢制机身，机身带有连接法兰并装配有立式过滤元件。空气喷射清理系统集成在顶盖上。收尘机的通风风扇可以根据需要进行选择。</w:t>
      </w:r>
    </w:p>
    <w:p>
      <w:pPr>
        <w:spacing w:before="203" w:beforeLines="50" w:after="203" w:afterLines="50" w:line="320" w:lineRule="exact"/>
        <w:ind w:firstLine="500" w:firstLineChars="200"/>
        <w:rPr>
          <w:rFonts w:ascii="宋体" w:hAnsi="宋体" w:cs="楷体"/>
        </w:rPr>
      </w:pPr>
      <w:r>
        <w:rPr>
          <w:rFonts w:hint="eastAsia" w:ascii="宋体" w:hAnsi="宋体" w:cs="楷体"/>
        </w:rPr>
        <w:t>当粉料由槽车向料仓泵送粉料时，料仓内容易形成粉末扬尘，此时可开启除尘器对料仓进行除尘，保证料仓内压力气体排放和操作环境的清洁，减少对操作场地及空气的污染。内置滤芯，与料仓接口尺寸不小于Φ800mm或相当面积。</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功能：收尘机既可以用于过滤，又可以用于通风。法兰连接的机身、不同类型滤芯和过滤元件的多种组合，以及单独集成的气动清理系统设计，确保了模块化系统具有极高的安全性。 </w:t>
      </w:r>
    </w:p>
    <w:p>
      <w:pPr>
        <w:pStyle w:val="1156"/>
        <w:numPr>
          <w:ilvl w:val="0"/>
          <w:numId w:val="129"/>
        </w:numPr>
        <w:ind w:firstLineChars="0"/>
        <w:rPr>
          <w:rFonts w:ascii="宋体" w:hAnsi="宋体"/>
          <w:b/>
        </w:rPr>
      </w:pPr>
      <w:bookmarkStart w:id="6689" w:name="_Toc3642"/>
      <w:bookmarkStart w:id="6690" w:name="_Toc30595"/>
      <w:r>
        <w:rPr>
          <w:rFonts w:hint="eastAsia" w:ascii="宋体" w:hAnsi="宋体"/>
          <w:b/>
        </w:rPr>
        <w:t>称重系统</w:t>
      </w:r>
      <w:bookmarkEnd w:id="6689"/>
      <w:bookmarkEnd w:id="6690"/>
    </w:p>
    <w:p>
      <w:pPr>
        <w:spacing w:before="203" w:beforeLines="50" w:after="203" w:afterLines="50" w:line="320" w:lineRule="exact"/>
        <w:ind w:firstLine="500" w:firstLineChars="200"/>
        <w:rPr>
          <w:rFonts w:ascii="宋体" w:hAnsi="宋体" w:cs="楷体"/>
        </w:rPr>
      </w:pPr>
      <w:r>
        <w:rPr>
          <w:rFonts w:hint="eastAsia" w:ascii="宋体" w:hAnsi="宋体" w:cs="楷体"/>
        </w:rPr>
        <w:t>称重系统主要有显示系统和称重模块组成。</w:t>
      </w:r>
    </w:p>
    <w:p>
      <w:pPr>
        <w:spacing w:before="203" w:beforeLines="50" w:after="203" w:afterLines="50" w:line="320" w:lineRule="exact"/>
        <w:ind w:firstLine="500" w:firstLineChars="200"/>
        <w:rPr>
          <w:rFonts w:ascii="宋体" w:hAnsi="宋体" w:cs="楷体"/>
        </w:rPr>
      </w:pPr>
      <w:r>
        <w:rPr>
          <w:rFonts w:hint="eastAsia" w:ascii="宋体" w:hAnsi="宋体" w:cs="楷体"/>
        </w:rPr>
        <w:t>数量：1套</w:t>
      </w:r>
    </w:p>
    <w:p>
      <w:pPr>
        <w:spacing w:before="203" w:beforeLines="50" w:after="203" w:afterLines="50" w:line="320" w:lineRule="exact"/>
        <w:ind w:firstLine="500" w:firstLineChars="200"/>
        <w:rPr>
          <w:rFonts w:ascii="宋体" w:hAnsi="宋体" w:cs="楷体"/>
        </w:rPr>
      </w:pPr>
      <w:r>
        <w:rPr>
          <w:rFonts w:hint="eastAsia" w:ascii="宋体" w:hAnsi="宋体" w:cs="楷体"/>
        </w:rPr>
        <w:t>(1)显示器</w:t>
      </w:r>
    </w:p>
    <w:p>
      <w:pPr>
        <w:spacing w:before="203" w:beforeLines="50" w:after="203" w:afterLines="50" w:line="320" w:lineRule="exact"/>
        <w:ind w:firstLine="500" w:firstLineChars="200"/>
        <w:rPr>
          <w:rFonts w:ascii="宋体" w:hAnsi="宋体" w:cs="楷体"/>
        </w:rPr>
      </w:pPr>
      <w:r>
        <w:rPr>
          <w:rFonts w:hint="eastAsia" w:ascii="宋体" w:hAnsi="宋体" w:cs="楷体"/>
        </w:rPr>
        <w:t>A：性能-特性-益处</w:t>
      </w:r>
    </w:p>
    <w:p>
      <w:pPr>
        <w:spacing w:before="203" w:beforeLines="50" w:after="203" w:afterLines="50" w:line="320" w:lineRule="exact"/>
        <w:ind w:firstLine="500" w:firstLineChars="200"/>
        <w:rPr>
          <w:rFonts w:ascii="宋体" w:hAnsi="宋体" w:cs="楷体"/>
        </w:rPr>
      </w:pPr>
      <w:r>
        <w:rPr>
          <w:rFonts w:hint="eastAsia" w:ascii="宋体" w:hAnsi="宋体" w:cs="楷体"/>
        </w:rPr>
        <w:t>1）标准工业衡器</w:t>
      </w:r>
    </w:p>
    <w:p>
      <w:pPr>
        <w:spacing w:before="203" w:beforeLines="50" w:after="203" w:afterLines="50" w:line="320" w:lineRule="exact"/>
        <w:ind w:firstLine="500" w:firstLineChars="200"/>
        <w:rPr>
          <w:rFonts w:ascii="宋体" w:hAnsi="宋体" w:cs="楷体"/>
        </w:rPr>
      </w:pPr>
      <w:r>
        <w:rPr>
          <w:rFonts w:hint="eastAsia" w:ascii="宋体" w:hAnsi="宋体" w:cs="楷体"/>
        </w:rPr>
        <w:t>2）快速，经济，易用</w:t>
      </w:r>
    </w:p>
    <w:p>
      <w:pPr>
        <w:spacing w:before="203" w:beforeLines="50" w:after="203" w:afterLines="50" w:line="320" w:lineRule="exact"/>
        <w:ind w:firstLine="500" w:firstLineChars="200"/>
        <w:rPr>
          <w:rFonts w:ascii="宋体" w:hAnsi="宋体" w:cs="楷体"/>
        </w:rPr>
      </w:pPr>
      <w:r>
        <w:rPr>
          <w:rFonts w:hint="eastAsia" w:ascii="宋体" w:hAnsi="宋体" w:cs="楷体"/>
        </w:rPr>
        <w:t>3）具有超大LED显示屏，支持检重/分选、计数、x10和单位转换功能。</w:t>
      </w:r>
    </w:p>
    <w:p>
      <w:pPr>
        <w:spacing w:before="203" w:beforeLines="50" w:after="203" w:afterLines="50" w:line="320" w:lineRule="exact"/>
        <w:ind w:firstLine="500" w:firstLineChars="200"/>
        <w:rPr>
          <w:rFonts w:ascii="宋体" w:hAnsi="宋体" w:cs="楷体"/>
        </w:rPr>
      </w:pPr>
      <w:r>
        <w:rPr>
          <w:rFonts w:hint="eastAsia" w:ascii="宋体" w:hAnsi="宋体" w:cs="楷体"/>
        </w:rPr>
        <w:t>4）有一个标准RS232接口。</w:t>
      </w:r>
    </w:p>
    <w:p>
      <w:pPr>
        <w:spacing w:before="203" w:beforeLines="50" w:after="203" w:afterLines="50" w:line="320" w:lineRule="exact"/>
        <w:ind w:firstLine="500" w:firstLineChars="200"/>
        <w:rPr>
          <w:rFonts w:ascii="宋体" w:hAnsi="宋体" w:cs="楷体"/>
        </w:rPr>
      </w:pPr>
      <w:r>
        <w:rPr>
          <w:rFonts w:hint="eastAsia" w:ascii="宋体" w:hAnsi="宋体" w:cs="楷体"/>
        </w:rPr>
        <w:t>B：技术参数</w:t>
      </w:r>
    </w:p>
    <w:p>
      <w:pPr>
        <w:spacing w:before="203" w:beforeLines="50" w:after="203" w:afterLines="50" w:line="320" w:lineRule="exact"/>
        <w:ind w:firstLine="500" w:firstLineChars="200"/>
        <w:rPr>
          <w:rFonts w:ascii="宋体" w:hAnsi="宋体" w:cs="楷体"/>
        </w:rPr>
      </w:pPr>
      <w:r>
        <w:rPr>
          <w:rFonts w:hint="eastAsia" w:ascii="宋体" w:hAnsi="宋体" w:cs="楷体"/>
        </w:rPr>
        <w:t>1）安装尺寸：220mm×150mm×156mm</w:t>
      </w:r>
    </w:p>
    <w:p>
      <w:pPr>
        <w:spacing w:before="203" w:beforeLines="50" w:after="203" w:afterLines="50" w:line="320" w:lineRule="exact"/>
        <w:ind w:firstLine="500" w:firstLineChars="200"/>
        <w:rPr>
          <w:rFonts w:ascii="宋体" w:hAnsi="宋体" w:cs="楷体"/>
        </w:rPr>
      </w:pPr>
      <w:r>
        <w:rPr>
          <w:rFonts w:hint="eastAsia" w:ascii="宋体" w:hAnsi="宋体" w:cs="楷体"/>
        </w:rPr>
        <w:t>2）外壳：塑料IP54防护</w:t>
      </w:r>
    </w:p>
    <w:p>
      <w:pPr>
        <w:spacing w:before="203" w:beforeLines="50" w:after="203" w:afterLines="50" w:line="320" w:lineRule="exact"/>
        <w:ind w:firstLine="500" w:firstLineChars="200"/>
        <w:rPr>
          <w:rFonts w:ascii="宋体" w:hAnsi="宋体" w:cs="楷体"/>
        </w:rPr>
      </w:pPr>
      <w:r>
        <w:rPr>
          <w:rFonts w:hint="eastAsia" w:ascii="宋体" w:hAnsi="宋体" w:cs="楷体"/>
        </w:rPr>
        <w:t>3）显示：6位1.2英吋超大高亮绿色LED显示。固态显示器防撞击</w:t>
      </w:r>
    </w:p>
    <w:p>
      <w:pPr>
        <w:spacing w:before="203" w:beforeLines="50" w:after="203" w:afterLines="50" w:line="320" w:lineRule="exact"/>
        <w:ind w:firstLine="500" w:firstLineChars="200"/>
        <w:rPr>
          <w:rFonts w:ascii="宋体" w:hAnsi="宋体" w:cs="楷体"/>
        </w:rPr>
      </w:pPr>
      <w:r>
        <w:rPr>
          <w:rFonts w:hint="eastAsia" w:ascii="宋体" w:hAnsi="宋体" w:cs="楷体"/>
        </w:rPr>
        <w:t>4）按键：6个功能键</w:t>
      </w:r>
    </w:p>
    <w:p>
      <w:pPr>
        <w:spacing w:before="203" w:beforeLines="50" w:after="203" w:afterLines="50" w:line="320" w:lineRule="exact"/>
        <w:ind w:firstLine="500" w:firstLineChars="200"/>
        <w:rPr>
          <w:rFonts w:ascii="宋体" w:hAnsi="宋体" w:cs="楷体"/>
        </w:rPr>
      </w:pPr>
      <w:r>
        <w:rPr>
          <w:rFonts w:hint="eastAsia" w:ascii="宋体" w:hAnsi="宋体" w:cs="楷体"/>
        </w:rPr>
        <w:t>5）准确度：OIML 6000e，NTEP 10000d</w:t>
      </w:r>
    </w:p>
    <w:p>
      <w:pPr>
        <w:spacing w:before="203" w:beforeLines="50" w:after="203" w:afterLines="50" w:line="320" w:lineRule="exact"/>
        <w:ind w:firstLine="500" w:firstLineChars="200"/>
        <w:rPr>
          <w:rFonts w:ascii="宋体" w:hAnsi="宋体" w:cs="楷体"/>
        </w:rPr>
      </w:pPr>
      <w:r>
        <w:rPr>
          <w:rFonts w:hint="eastAsia" w:ascii="宋体" w:hAnsi="宋体" w:cs="楷体"/>
        </w:rPr>
        <w:t>6）量程：双量程</w:t>
      </w:r>
    </w:p>
    <w:p>
      <w:pPr>
        <w:spacing w:before="203" w:beforeLines="50" w:after="203" w:afterLines="50" w:line="320" w:lineRule="exact"/>
        <w:ind w:firstLine="500" w:firstLineChars="200"/>
        <w:rPr>
          <w:rFonts w:ascii="宋体" w:hAnsi="宋体" w:cs="楷体"/>
        </w:rPr>
      </w:pPr>
      <w:r>
        <w:rPr>
          <w:rFonts w:hint="eastAsia" w:ascii="宋体" w:hAnsi="宋体" w:cs="楷体"/>
        </w:rPr>
        <w:t>7）分度数：1,000－30,000分度</w:t>
      </w:r>
    </w:p>
    <w:p>
      <w:pPr>
        <w:spacing w:before="203" w:beforeLines="50" w:after="203" w:afterLines="50" w:line="320" w:lineRule="exact"/>
        <w:ind w:firstLine="500" w:firstLineChars="200"/>
        <w:rPr>
          <w:rFonts w:ascii="宋体" w:hAnsi="宋体" w:cs="楷体"/>
        </w:rPr>
      </w:pPr>
      <w:r>
        <w:rPr>
          <w:rFonts w:hint="eastAsia" w:ascii="宋体" w:hAnsi="宋体" w:cs="楷体"/>
        </w:rPr>
        <w:t>8）A/D 速率：27次/秒</w:t>
      </w:r>
    </w:p>
    <w:p>
      <w:pPr>
        <w:spacing w:before="203" w:beforeLines="50" w:after="203" w:afterLines="50" w:line="320" w:lineRule="exact"/>
        <w:ind w:firstLine="500" w:firstLineChars="200"/>
        <w:rPr>
          <w:rFonts w:ascii="宋体" w:hAnsi="宋体" w:cs="楷体"/>
        </w:rPr>
      </w:pPr>
      <w:r>
        <w:rPr>
          <w:rFonts w:hint="eastAsia" w:ascii="宋体" w:hAnsi="宋体" w:cs="楷体"/>
        </w:rPr>
        <w:t>9）传感器驱动能力：最多可接4个350欧姆传感器</w:t>
      </w:r>
    </w:p>
    <w:p>
      <w:pPr>
        <w:spacing w:before="203" w:beforeLines="50" w:after="203" w:afterLines="50" w:line="320" w:lineRule="exact"/>
        <w:ind w:firstLine="500" w:firstLineChars="200"/>
        <w:rPr>
          <w:rFonts w:ascii="宋体" w:hAnsi="宋体" w:cs="楷体"/>
        </w:rPr>
      </w:pPr>
      <w:r>
        <w:rPr>
          <w:rFonts w:hint="eastAsia" w:ascii="宋体" w:hAnsi="宋体" w:cs="楷体"/>
        </w:rPr>
        <w:t>10）交流电源：100－240VAC 50/60Hz 宽电压输入</w:t>
      </w:r>
    </w:p>
    <w:p>
      <w:pPr>
        <w:spacing w:before="203" w:beforeLines="50" w:after="203" w:afterLines="50" w:line="320" w:lineRule="exact"/>
        <w:ind w:firstLine="500" w:firstLineChars="200"/>
        <w:rPr>
          <w:rFonts w:ascii="宋体" w:hAnsi="宋体" w:cs="楷体"/>
        </w:rPr>
      </w:pPr>
      <w:r>
        <w:rPr>
          <w:rFonts w:hint="eastAsia" w:ascii="宋体" w:hAnsi="宋体" w:cs="楷体"/>
        </w:rPr>
        <w:t>11）直流电源：镍氢可充电池(选件)/干电池</w:t>
      </w:r>
    </w:p>
    <w:p>
      <w:pPr>
        <w:spacing w:before="203" w:beforeLines="50" w:after="203" w:afterLines="50" w:line="320" w:lineRule="exact"/>
        <w:ind w:firstLine="500" w:firstLineChars="200"/>
        <w:rPr>
          <w:rFonts w:ascii="宋体" w:hAnsi="宋体" w:cs="楷体"/>
        </w:rPr>
      </w:pPr>
      <w:r>
        <w:rPr>
          <w:rFonts w:hint="eastAsia" w:ascii="宋体" w:hAnsi="宋体" w:cs="楷体"/>
        </w:rPr>
        <w:t>12）单位转换：kg、lb。</w:t>
      </w:r>
    </w:p>
    <w:p>
      <w:pPr>
        <w:spacing w:before="203" w:beforeLines="50" w:after="203" w:afterLines="50" w:line="320" w:lineRule="exact"/>
        <w:ind w:firstLine="500" w:firstLineChars="200"/>
        <w:rPr>
          <w:rFonts w:ascii="宋体" w:hAnsi="宋体" w:cs="楷体"/>
        </w:rPr>
      </w:pPr>
      <w:r>
        <w:rPr>
          <w:rFonts w:hint="eastAsia" w:ascii="宋体" w:hAnsi="宋体" w:cs="楷体"/>
        </w:rPr>
        <w:t>(2)称重模块</w:t>
      </w:r>
    </w:p>
    <w:p>
      <w:pPr>
        <w:spacing w:before="203" w:beforeLines="50" w:after="203" w:afterLines="50" w:line="320" w:lineRule="exact"/>
        <w:ind w:firstLine="500" w:firstLineChars="200"/>
        <w:rPr>
          <w:rFonts w:ascii="宋体" w:hAnsi="宋体" w:cs="楷体"/>
        </w:rPr>
      </w:pPr>
      <w:r>
        <w:rPr>
          <w:rFonts w:hint="eastAsia" w:ascii="宋体" w:hAnsi="宋体" w:cs="楷体"/>
        </w:rPr>
        <w:t>A：性能-特性-益处</w:t>
      </w:r>
    </w:p>
    <w:p>
      <w:pPr>
        <w:spacing w:before="203" w:beforeLines="50" w:after="203" w:afterLines="50" w:line="320" w:lineRule="exact"/>
        <w:ind w:firstLine="500" w:firstLineChars="200"/>
        <w:rPr>
          <w:rFonts w:ascii="宋体" w:hAnsi="宋体" w:cs="楷体"/>
        </w:rPr>
      </w:pPr>
      <w:r>
        <w:rPr>
          <w:rFonts w:hint="eastAsia" w:ascii="宋体" w:hAnsi="宋体" w:cs="楷体"/>
        </w:rPr>
        <w:t>1）防倾覆保护</w:t>
      </w:r>
    </w:p>
    <w:p>
      <w:pPr>
        <w:spacing w:before="203" w:beforeLines="50" w:after="203" w:afterLines="50" w:line="320" w:lineRule="exact"/>
        <w:ind w:firstLine="500" w:firstLineChars="200"/>
        <w:rPr>
          <w:rFonts w:ascii="宋体" w:hAnsi="宋体" w:cs="楷体"/>
        </w:rPr>
      </w:pPr>
      <w:r>
        <w:rPr>
          <w:rFonts w:hint="eastAsia" w:ascii="宋体" w:hAnsi="宋体" w:cs="楷体"/>
        </w:rPr>
        <w:t>2）防过载保护</w:t>
      </w:r>
    </w:p>
    <w:p>
      <w:pPr>
        <w:spacing w:before="203" w:beforeLines="50" w:after="203" w:afterLines="50" w:line="320" w:lineRule="exact"/>
        <w:ind w:firstLine="500" w:firstLineChars="200"/>
        <w:rPr>
          <w:rFonts w:ascii="宋体" w:hAnsi="宋体" w:cs="楷体"/>
        </w:rPr>
      </w:pPr>
      <w:r>
        <w:rPr>
          <w:rFonts w:hint="eastAsia" w:ascii="宋体" w:hAnsi="宋体" w:cs="楷体"/>
        </w:rPr>
        <w:t>3）360°水平拉杆稳定设备的晃动</w:t>
      </w:r>
    </w:p>
    <w:p>
      <w:pPr>
        <w:spacing w:before="203" w:beforeLines="50" w:after="203" w:afterLines="50" w:line="320" w:lineRule="exact"/>
        <w:ind w:firstLine="500" w:firstLineChars="200"/>
        <w:rPr>
          <w:rFonts w:ascii="宋体" w:hAnsi="宋体" w:cs="楷体"/>
        </w:rPr>
      </w:pPr>
      <w:r>
        <w:rPr>
          <w:rFonts w:hint="eastAsia" w:ascii="宋体" w:hAnsi="宋体" w:cs="楷体"/>
        </w:rPr>
        <w:t>4）适合动、静态两种称重应用</w:t>
      </w:r>
    </w:p>
    <w:p>
      <w:pPr>
        <w:spacing w:before="203" w:beforeLines="50" w:after="203" w:afterLines="50" w:line="320" w:lineRule="exact"/>
        <w:ind w:firstLine="500" w:firstLineChars="200"/>
        <w:rPr>
          <w:rFonts w:ascii="宋体" w:hAnsi="宋体" w:cs="楷体"/>
        </w:rPr>
      </w:pPr>
      <w:r>
        <w:rPr>
          <w:rFonts w:hint="eastAsia" w:ascii="宋体" w:hAnsi="宋体" w:cs="楷体"/>
        </w:rPr>
        <w:t>5）支持现场传感器安装，保护传感器</w:t>
      </w:r>
    </w:p>
    <w:p>
      <w:pPr>
        <w:spacing w:before="203" w:beforeLines="50" w:after="203" w:afterLines="50" w:line="320" w:lineRule="exact"/>
        <w:ind w:firstLine="500" w:firstLineChars="200"/>
        <w:rPr>
          <w:rFonts w:ascii="宋体" w:hAnsi="宋体" w:cs="楷体"/>
        </w:rPr>
      </w:pPr>
      <w:r>
        <w:rPr>
          <w:rFonts w:hint="eastAsia" w:ascii="宋体" w:hAnsi="宋体" w:cs="楷体"/>
        </w:rPr>
        <w:t>6）不锈钢传感器和碳钢传感器两种</w:t>
      </w:r>
    </w:p>
    <w:p>
      <w:pPr>
        <w:spacing w:before="203" w:beforeLines="50" w:after="203" w:afterLines="50" w:line="320" w:lineRule="exact"/>
        <w:ind w:firstLine="500" w:firstLineChars="200"/>
        <w:rPr>
          <w:rFonts w:ascii="宋体" w:hAnsi="宋体" w:cs="楷体"/>
        </w:rPr>
      </w:pPr>
      <w:r>
        <w:rPr>
          <w:rFonts w:hint="eastAsia" w:ascii="宋体" w:hAnsi="宋体" w:cs="楷体"/>
        </w:rPr>
        <w:t>7）传感器具有自复位功能，计量性能精确可靠</w:t>
      </w:r>
    </w:p>
    <w:p>
      <w:pPr>
        <w:spacing w:before="203" w:beforeLines="50" w:after="203" w:afterLines="50" w:line="320" w:lineRule="exact"/>
        <w:ind w:firstLine="500" w:firstLineChars="200"/>
        <w:rPr>
          <w:rFonts w:ascii="宋体" w:hAnsi="宋体" w:cs="楷体"/>
        </w:rPr>
      </w:pPr>
      <w:r>
        <w:rPr>
          <w:rFonts w:hint="eastAsia" w:ascii="宋体" w:hAnsi="宋体" w:cs="楷体"/>
        </w:rPr>
        <w:t>8）维护方便，节约停机维护时间。</w:t>
      </w:r>
    </w:p>
    <w:p>
      <w:pPr>
        <w:spacing w:before="203" w:beforeLines="50" w:after="203" w:afterLines="50" w:line="320" w:lineRule="exact"/>
        <w:ind w:firstLine="500" w:firstLineChars="200"/>
        <w:rPr>
          <w:rFonts w:ascii="宋体" w:hAnsi="宋体" w:cs="楷体"/>
        </w:rPr>
      </w:pPr>
      <w:r>
        <w:rPr>
          <w:rFonts w:hint="eastAsia" w:ascii="宋体" w:hAnsi="宋体" w:cs="楷体"/>
        </w:rPr>
        <w:t>B：技术参数</w:t>
      </w:r>
    </w:p>
    <w:p>
      <w:pPr>
        <w:spacing w:before="203" w:beforeLines="50" w:after="203" w:afterLines="50" w:line="320" w:lineRule="exact"/>
        <w:ind w:firstLine="500" w:firstLineChars="200"/>
        <w:rPr>
          <w:rFonts w:ascii="宋体" w:hAnsi="宋体" w:cs="楷体"/>
        </w:rPr>
      </w:pPr>
      <w:r>
        <w:rPr>
          <w:rFonts w:hint="eastAsia" w:ascii="宋体" w:hAnsi="宋体" w:cs="楷体"/>
        </w:rPr>
        <w:t>每个脚额定称重量：15t</w:t>
      </w:r>
    </w:p>
    <w:p>
      <w:pPr>
        <w:spacing w:before="203" w:beforeLines="50" w:after="203" w:afterLines="50" w:line="320" w:lineRule="exact"/>
        <w:ind w:firstLine="500" w:firstLineChars="200"/>
        <w:rPr>
          <w:rFonts w:ascii="宋体" w:hAnsi="宋体" w:cs="楷体"/>
        </w:rPr>
      </w:pPr>
      <w:r>
        <w:rPr>
          <w:rFonts w:hint="eastAsia" w:ascii="宋体" w:hAnsi="宋体" w:cs="楷体"/>
        </w:rPr>
        <w:t>灵敏度：2.0+0.002mV/V</w:t>
      </w:r>
    </w:p>
    <w:p>
      <w:pPr>
        <w:spacing w:before="203" w:beforeLines="50" w:after="203" w:afterLines="50" w:line="320" w:lineRule="exact"/>
        <w:ind w:firstLine="500" w:firstLineChars="200"/>
        <w:rPr>
          <w:rFonts w:ascii="宋体" w:hAnsi="宋体" w:cs="楷体"/>
        </w:rPr>
      </w:pPr>
      <w:r>
        <w:rPr>
          <w:rFonts w:hint="eastAsia" w:ascii="宋体" w:hAnsi="宋体" w:cs="楷体"/>
        </w:rPr>
        <w:t>不重复性：≤0.01%FS</w:t>
      </w:r>
    </w:p>
    <w:p>
      <w:pPr>
        <w:spacing w:before="203" w:beforeLines="50" w:after="203" w:afterLines="50" w:line="320" w:lineRule="exact"/>
        <w:ind w:firstLine="500" w:firstLineChars="200"/>
        <w:rPr>
          <w:rFonts w:ascii="宋体" w:hAnsi="宋体" w:cs="楷体"/>
        </w:rPr>
      </w:pPr>
      <w:r>
        <w:rPr>
          <w:rFonts w:hint="eastAsia" w:ascii="宋体" w:hAnsi="宋体" w:cs="楷体"/>
        </w:rPr>
        <w:t>滞后：≤0.02%FS</w:t>
      </w:r>
    </w:p>
    <w:p>
      <w:pPr>
        <w:spacing w:before="203" w:beforeLines="50" w:after="203" w:afterLines="50" w:line="320" w:lineRule="exact"/>
        <w:ind w:firstLine="500" w:firstLineChars="200"/>
        <w:rPr>
          <w:rFonts w:ascii="宋体" w:hAnsi="宋体" w:cs="楷体"/>
        </w:rPr>
      </w:pPr>
      <w:r>
        <w:rPr>
          <w:rFonts w:hint="eastAsia" w:ascii="宋体" w:hAnsi="宋体" w:cs="楷体"/>
        </w:rPr>
        <w:t>零点输出：≤1</w:t>
      </w:r>
    </w:p>
    <w:p>
      <w:pPr>
        <w:spacing w:before="203" w:beforeLines="50" w:after="203" w:afterLines="50" w:line="320" w:lineRule="exact"/>
        <w:ind w:firstLine="500" w:firstLineChars="200"/>
        <w:rPr>
          <w:rFonts w:ascii="宋体" w:hAnsi="宋体" w:cs="楷体"/>
        </w:rPr>
      </w:pPr>
      <w:r>
        <w:rPr>
          <w:rFonts w:hint="eastAsia" w:ascii="宋体" w:hAnsi="宋体" w:cs="楷体"/>
        </w:rPr>
        <w:t>工作温度：-40～80℃。</w:t>
      </w:r>
    </w:p>
    <w:p>
      <w:pPr>
        <w:spacing w:before="203" w:beforeLines="50" w:after="203" w:afterLines="50" w:line="320" w:lineRule="exact"/>
        <w:ind w:firstLine="500" w:firstLineChars="200"/>
        <w:rPr>
          <w:rFonts w:ascii="宋体" w:hAnsi="宋体" w:cs="楷体"/>
        </w:rPr>
      </w:pPr>
      <w:r>
        <w:rPr>
          <w:rFonts w:hint="eastAsia" w:ascii="宋体" w:hAnsi="宋体" w:cs="楷体"/>
        </w:rPr>
        <w:t>传感器误差补偿数字模型补偿</w:t>
      </w:r>
    </w:p>
    <w:p>
      <w:pPr>
        <w:spacing w:before="203" w:beforeLines="50" w:after="203" w:afterLines="50" w:line="320" w:lineRule="exact"/>
        <w:ind w:firstLine="500" w:firstLineChars="200"/>
        <w:rPr>
          <w:rFonts w:ascii="宋体" w:hAnsi="宋体" w:cs="楷体"/>
        </w:rPr>
      </w:pPr>
      <w:r>
        <w:rPr>
          <w:rFonts w:hint="eastAsia" w:ascii="宋体" w:hAnsi="宋体" w:cs="楷体"/>
        </w:rPr>
        <w:t>每只传感器有单独的信号，可预诊断每只传感器健康状况</w:t>
      </w:r>
    </w:p>
    <w:p>
      <w:pPr>
        <w:pStyle w:val="1156"/>
        <w:numPr>
          <w:ilvl w:val="0"/>
          <w:numId w:val="129"/>
        </w:numPr>
        <w:ind w:firstLineChars="0"/>
        <w:rPr>
          <w:rFonts w:ascii="宋体" w:hAnsi="宋体"/>
          <w:b/>
        </w:rPr>
      </w:pPr>
      <w:bookmarkStart w:id="6691" w:name="_Toc23986"/>
      <w:bookmarkStart w:id="6692" w:name="_Toc17974"/>
      <w:r>
        <w:rPr>
          <w:rFonts w:hint="eastAsia" w:ascii="宋体" w:hAnsi="宋体"/>
          <w:b/>
        </w:rPr>
        <w:t>精确给料机</w:t>
      </w:r>
      <w:bookmarkEnd w:id="6691"/>
      <w:bookmarkEnd w:id="6692"/>
    </w:p>
    <w:p>
      <w:pPr>
        <w:spacing w:before="203" w:beforeLines="50" w:after="203" w:afterLines="50" w:line="320" w:lineRule="exact"/>
        <w:ind w:firstLine="500" w:firstLineChars="200"/>
        <w:rPr>
          <w:rFonts w:ascii="宋体" w:hAnsi="宋体" w:cs="楷体"/>
        </w:rPr>
      </w:pPr>
      <w:r>
        <w:rPr>
          <w:rFonts w:hint="eastAsia" w:ascii="宋体" w:hAnsi="宋体" w:cs="楷体"/>
        </w:rPr>
        <w:t>材质：不锈钢外壳，工程塑料内衬</w:t>
      </w:r>
    </w:p>
    <w:p>
      <w:pPr>
        <w:spacing w:before="203" w:beforeLines="50" w:after="203" w:afterLines="50" w:line="320" w:lineRule="exact"/>
        <w:ind w:firstLine="500" w:firstLineChars="200"/>
        <w:rPr>
          <w:rFonts w:ascii="宋体" w:hAnsi="宋体" w:cs="楷体"/>
        </w:rPr>
      </w:pPr>
      <w:r>
        <w:rPr>
          <w:rFonts w:hint="eastAsia" w:ascii="宋体" w:hAnsi="宋体" w:cs="楷体"/>
        </w:rPr>
        <w:t>最大输送量：1000L/h</w:t>
      </w:r>
    </w:p>
    <w:p>
      <w:pPr>
        <w:spacing w:before="203" w:beforeLines="50" w:after="203" w:afterLines="50" w:line="320" w:lineRule="exact"/>
        <w:ind w:firstLine="500" w:firstLineChars="200"/>
        <w:rPr>
          <w:rFonts w:ascii="宋体" w:hAnsi="宋体" w:cs="楷体"/>
        </w:rPr>
      </w:pPr>
      <w:r>
        <w:rPr>
          <w:rFonts w:hint="eastAsia" w:ascii="宋体" w:hAnsi="宋体" w:cs="楷体"/>
        </w:rPr>
        <w:t>微型喂料机特别适合喂入流动性较差的粉末和容易受阻的颗粒材料。</w:t>
      </w:r>
    </w:p>
    <w:p>
      <w:pPr>
        <w:spacing w:before="203" w:beforeLines="50" w:after="203" w:afterLines="50" w:line="320" w:lineRule="exact"/>
        <w:ind w:firstLine="500" w:firstLineChars="200"/>
        <w:rPr>
          <w:rFonts w:ascii="宋体" w:hAnsi="宋体" w:cs="楷体"/>
        </w:rPr>
      </w:pPr>
      <w:r>
        <w:rPr>
          <w:rFonts w:hint="eastAsia" w:ascii="宋体" w:hAnsi="宋体" w:cs="楷体"/>
        </w:rPr>
        <w:t>用于散装物料容积测量式连续喂料的精确配料喂料机由下列部件组成：金属骨架SINT工程聚合体材料机身（机身全部由不锈钢制成），水平安装的旋转搅拌器，位于搅拌器下的喂料螺旋，突出螺旋喂料机管道，驱动搅拌器和喂料机螺旋的两个驱动器单元。用于散装物料处理的精确配料喂料机尤其适应于流动性差、跟粘性物体混在一起、容易引起阻塞的物料。通过袋式料斗、散装袋式卸料器或者其他进料设施，搅拌器能够保持物料流动并降低物料结团或搭桥的概率。</w:t>
      </w:r>
    </w:p>
    <w:p>
      <w:pPr>
        <w:spacing w:before="203" w:beforeLines="50" w:after="203" w:afterLines="50" w:line="320" w:lineRule="exact"/>
        <w:ind w:firstLine="500" w:firstLineChars="200"/>
        <w:rPr>
          <w:rFonts w:ascii="宋体" w:hAnsi="宋体" w:cs="楷体"/>
        </w:rPr>
      </w:pPr>
      <w:r>
        <w:rPr>
          <w:rFonts w:hint="eastAsia" w:ascii="宋体" w:hAnsi="宋体" w:cs="楷体"/>
        </w:rPr>
        <w:t>带有不锈钢端板的SINT工程聚合体制机身，铸造工艺。（喂料机上所有不锈钢制零件都可以用SINT工程聚合体制零件代替）</w:t>
      </w:r>
    </w:p>
    <w:p>
      <w:pPr>
        <w:spacing w:before="203" w:beforeLines="50" w:after="203" w:afterLines="50" w:line="320" w:lineRule="exact"/>
        <w:ind w:firstLine="500" w:firstLineChars="200"/>
        <w:rPr>
          <w:rFonts w:ascii="宋体" w:hAnsi="宋体" w:cs="楷体"/>
        </w:rPr>
      </w:pPr>
      <w:r>
        <w:rPr>
          <w:rFonts w:hint="eastAsia" w:ascii="宋体" w:hAnsi="宋体" w:cs="楷体"/>
        </w:rPr>
        <w:t>搅拌器和喂料工具各带有独立驱动单元</w:t>
      </w:r>
    </w:p>
    <w:p>
      <w:pPr>
        <w:spacing w:before="203" w:beforeLines="50" w:after="203" w:afterLines="50" w:line="320" w:lineRule="exact"/>
        <w:ind w:firstLine="500" w:firstLineChars="200"/>
        <w:rPr>
          <w:rFonts w:ascii="宋体" w:hAnsi="宋体" w:cs="楷体"/>
        </w:rPr>
      </w:pPr>
      <w:r>
        <w:rPr>
          <w:rFonts w:hint="eastAsia" w:ascii="宋体" w:hAnsi="宋体" w:cs="楷体"/>
        </w:rPr>
        <w:t>机身的内部形状确保复杂物料的顺畅流动</w:t>
      </w:r>
    </w:p>
    <w:p>
      <w:pPr>
        <w:spacing w:before="203" w:beforeLines="50" w:after="203" w:afterLines="50" w:line="320" w:lineRule="exact"/>
        <w:ind w:firstLine="500" w:firstLineChars="200"/>
        <w:rPr>
          <w:rFonts w:ascii="宋体" w:hAnsi="宋体" w:cs="楷体"/>
        </w:rPr>
      </w:pPr>
      <w:r>
        <w:rPr>
          <w:rFonts w:hint="eastAsia" w:ascii="宋体" w:hAnsi="宋体" w:cs="楷体"/>
        </w:rPr>
        <w:t>螺旋叶片和喂料机管的最小间隔确保了很高的喂料精度</w:t>
      </w:r>
    </w:p>
    <w:p>
      <w:pPr>
        <w:spacing w:before="203" w:beforeLines="50" w:after="203" w:afterLines="50" w:line="320" w:lineRule="exact"/>
        <w:ind w:firstLine="500" w:firstLineChars="200"/>
        <w:rPr>
          <w:rFonts w:ascii="宋体" w:hAnsi="宋体" w:cs="楷体"/>
        </w:rPr>
      </w:pPr>
      <w:r>
        <w:rPr>
          <w:rFonts w:hint="eastAsia" w:ascii="宋体" w:hAnsi="宋体" w:cs="楷体"/>
        </w:rPr>
        <w:t>采用单独的驱动单元，可以为配料轴和喂料螺旋选择不同的驱动功率和速度</w:t>
      </w:r>
    </w:p>
    <w:p>
      <w:pPr>
        <w:spacing w:before="203" w:beforeLines="50" w:after="203" w:afterLines="50" w:line="320" w:lineRule="exact"/>
        <w:ind w:firstLine="500" w:firstLineChars="200"/>
        <w:rPr>
          <w:rFonts w:ascii="宋体" w:hAnsi="宋体" w:cs="楷体"/>
        </w:rPr>
      </w:pPr>
      <w:r>
        <w:rPr>
          <w:rFonts w:hint="eastAsia" w:ascii="宋体" w:hAnsi="宋体" w:cs="楷体"/>
        </w:rPr>
        <w:t>精确配料喂料机适应物料的柔韧性好</w:t>
      </w:r>
    </w:p>
    <w:p>
      <w:pPr>
        <w:spacing w:before="203" w:beforeLines="50" w:after="203" w:afterLines="50" w:line="320" w:lineRule="exact"/>
        <w:ind w:firstLine="500" w:firstLineChars="200"/>
        <w:rPr>
          <w:rFonts w:ascii="宋体" w:hAnsi="宋体" w:cs="楷体"/>
        </w:rPr>
      </w:pPr>
      <w:r>
        <w:rPr>
          <w:rFonts w:hint="eastAsia" w:ascii="宋体" w:hAnsi="宋体" w:cs="楷体"/>
        </w:rPr>
        <w:t>喂料速度高度均匀</w:t>
      </w:r>
    </w:p>
    <w:p>
      <w:pPr>
        <w:spacing w:before="203" w:beforeLines="50" w:after="203" w:afterLines="50" w:line="320" w:lineRule="exact"/>
        <w:ind w:firstLine="500" w:firstLineChars="200"/>
        <w:rPr>
          <w:rFonts w:ascii="宋体" w:hAnsi="宋体" w:cs="楷体"/>
        </w:rPr>
      </w:pPr>
      <w:r>
        <w:rPr>
          <w:rFonts w:hint="eastAsia" w:ascii="宋体" w:hAnsi="宋体" w:cs="楷体"/>
        </w:rPr>
        <w:t>由于工程材料的不粘特性和快速通道面板，可轻松迅速进行清洁。</w:t>
      </w:r>
    </w:p>
    <w:p>
      <w:pPr>
        <w:pStyle w:val="1156"/>
        <w:numPr>
          <w:ilvl w:val="0"/>
          <w:numId w:val="129"/>
        </w:numPr>
        <w:ind w:firstLineChars="0"/>
        <w:rPr>
          <w:rFonts w:ascii="宋体" w:hAnsi="宋体"/>
          <w:b/>
        </w:rPr>
      </w:pPr>
      <w:r>
        <w:rPr>
          <w:rFonts w:hint="eastAsia" w:ascii="宋体" w:hAnsi="宋体"/>
          <w:b/>
        </w:rPr>
        <w:t>精确计量输送机</w:t>
      </w:r>
    </w:p>
    <w:p>
      <w:pPr>
        <w:spacing w:before="203" w:beforeLines="50" w:after="203" w:afterLines="50" w:line="320" w:lineRule="exact"/>
        <w:ind w:firstLine="500" w:firstLineChars="200"/>
        <w:rPr>
          <w:rFonts w:ascii="宋体" w:hAnsi="宋体" w:cs="楷体"/>
        </w:rPr>
      </w:pPr>
      <w:r>
        <w:rPr>
          <w:rFonts w:hint="eastAsia" w:ascii="宋体" w:hAnsi="宋体" w:cs="楷体"/>
        </w:rPr>
        <w:t>产品名称： 变频计量螺旋输送机</w:t>
      </w:r>
    </w:p>
    <w:p>
      <w:pPr>
        <w:spacing w:before="203" w:beforeLines="50" w:after="203" w:afterLines="50" w:line="320" w:lineRule="exact"/>
        <w:ind w:firstLine="500" w:firstLineChars="200"/>
        <w:rPr>
          <w:rFonts w:ascii="宋体" w:hAnsi="宋体" w:cs="楷体"/>
        </w:rPr>
      </w:pPr>
      <w:r>
        <w:rPr>
          <w:rFonts w:hint="eastAsia" w:ascii="宋体" w:hAnsi="宋体" w:cs="楷体"/>
        </w:rPr>
        <w:t>材    质：  碳钢</w:t>
      </w:r>
    </w:p>
    <w:p>
      <w:pPr>
        <w:spacing w:before="203" w:beforeLines="50" w:after="203" w:afterLines="50" w:line="320" w:lineRule="exact"/>
        <w:ind w:firstLine="500" w:firstLineChars="200"/>
        <w:rPr>
          <w:rFonts w:ascii="宋体" w:hAnsi="宋体" w:cs="楷体"/>
        </w:rPr>
      </w:pPr>
      <w:r>
        <w:rPr>
          <w:rFonts w:hint="eastAsia" w:ascii="宋体" w:hAnsi="宋体" w:cs="楷体"/>
        </w:rPr>
        <w:t>技术要求：</w:t>
      </w:r>
    </w:p>
    <w:p>
      <w:pPr>
        <w:spacing w:before="203" w:beforeLines="50" w:after="203" w:afterLines="50" w:line="320" w:lineRule="exact"/>
        <w:ind w:firstLine="500" w:firstLineChars="200"/>
        <w:rPr>
          <w:rFonts w:ascii="宋体" w:hAnsi="宋体" w:cs="楷体"/>
        </w:rPr>
      </w:pPr>
      <w:r>
        <w:rPr>
          <w:rFonts w:hint="eastAsia" w:ascii="宋体" w:hAnsi="宋体" w:cs="楷体"/>
        </w:rPr>
        <w:t>变频计量螺旋输送机，每台包括变频计量螺旋输送机与喂料机相连，计量输送粉料至混合储液罐。</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电源电压：380VAC, 50hz</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绝缘等级：F级</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防护等级：IP55</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精    度：±1%</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计量能力：</w:t>
      </w:r>
      <w:r>
        <w:rPr>
          <w:rFonts w:ascii="宋体" w:hAnsi="宋体" w:cs="楷体_GB2312"/>
          <w:bCs/>
          <w:szCs w:val="21"/>
        </w:rPr>
        <w:t>23</w:t>
      </w:r>
      <w:r>
        <w:rPr>
          <w:rFonts w:hint="eastAsia" w:ascii="宋体" w:hAnsi="宋体" w:cs="楷体_GB2312"/>
          <w:bCs/>
          <w:szCs w:val="21"/>
        </w:rPr>
        <w:t>0kg/h</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输送管长度：7m，长度可调</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倾    角：15°</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与给料机出口相连，输送计量后的活性炭、石灰至溶解罐;</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螺旋输送器由进口、出口、取样点、检查孔、紧急卸料口及驱动电机等组成;</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1个入口连接管</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1个输送机管固定法兰</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1条硬金属的定量输送管</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1条定量螺旋，加强正方区域，</w:t>
      </w:r>
      <w:r>
        <w:rPr>
          <w:rFonts w:ascii="宋体" w:hAnsi="宋体" w:cs="楷体_GB2312"/>
          <w:bCs/>
          <w:szCs w:val="21"/>
        </w:rPr>
        <w:t>100SC.F</w:t>
      </w:r>
      <w:r>
        <w:rPr>
          <w:rFonts w:hint="eastAsia" w:ascii="宋体" w:hAnsi="宋体" w:cs="楷体_GB2312"/>
          <w:bCs/>
          <w:szCs w:val="21"/>
        </w:rPr>
        <w:t>类型</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1条出口软连接管，直径</w:t>
      </w:r>
      <w:r>
        <w:rPr>
          <w:rFonts w:ascii="宋体" w:hAnsi="宋体" w:cs="楷体_GB2312"/>
          <w:bCs/>
          <w:szCs w:val="21"/>
        </w:rPr>
        <w:t>200mm</w:t>
      </w:r>
      <w:r>
        <w:rPr>
          <w:rFonts w:hint="eastAsia" w:ascii="宋体" w:hAnsi="宋体" w:cs="楷体_GB2312"/>
          <w:bCs/>
          <w:szCs w:val="21"/>
        </w:rPr>
        <w:t>，</w:t>
      </w:r>
      <w:r>
        <w:rPr>
          <w:rFonts w:ascii="宋体" w:hAnsi="宋体" w:cs="楷体_GB2312"/>
          <w:bCs/>
          <w:szCs w:val="21"/>
        </w:rPr>
        <w:t>GU</w:t>
      </w:r>
      <w:r>
        <w:rPr>
          <w:rFonts w:hint="eastAsia" w:ascii="宋体" w:hAnsi="宋体" w:cs="楷体_GB2312"/>
          <w:bCs/>
          <w:szCs w:val="21"/>
        </w:rPr>
        <w:t>类型</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1个防堵探测器（光阑感应）</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1个Nord齿轮减速电机，带强冷风机</w:t>
      </w:r>
    </w:p>
    <w:p>
      <w:pPr>
        <w:pStyle w:val="1156"/>
        <w:widowControl/>
        <w:numPr>
          <w:ilvl w:val="0"/>
          <w:numId w:val="131"/>
        </w:numPr>
        <w:adjustRightInd w:val="0"/>
        <w:snapToGrid w:val="0"/>
        <w:ind w:firstLineChars="0"/>
        <w:jc w:val="left"/>
        <w:textAlignment w:val="baseline"/>
        <w:rPr>
          <w:rFonts w:ascii="宋体" w:hAnsi="宋体" w:cs="楷体_GB2312"/>
          <w:bCs/>
          <w:szCs w:val="21"/>
        </w:rPr>
      </w:pPr>
      <w:r>
        <w:rPr>
          <w:rFonts w:hint="eastAsia" w:ascii="宋体" w:hAnsi="宋体" w:cs="楷体_GB2312"/>
          <w:bCs/>
          <w:szCs w:val="21"/>
        </w:rPr>
        <w:t>螺旋输送机与溶解罐连接出料口需配套安装阀门以及除湿装置，确保在不配药时防止溶解罐内水汽对螺杆侵润而产生结块造成堵</w:t>
      </w:r>
      <w:r>
        <w:rPr>
          <w:rFonts w:hint="eastAsia" w:ascii="宋体" w:hAnsi="宋体" w:cs="宋体"/>
          <w:spacing w:val="8"/>
          <w:szCs w:val="21"/>
        </w:rPr>
        <w:t>塞。</w:t>
      </w:r>
    </w:p>
    <w:p>
      <w:pPr>
        <w:pStyle w:val="1156"/>
        <w:numPr>
          <w:ilvl w:val="0"/>
          <w:numId w:val="129"/>
        </w:numPr>
        <w:ind w:firstLineChars="0"/>
        <w:rPr>
          <w:rFonts w:ascii="宋体" w:hAnsi="宋体"/>
          <w:b/>
        </w:rPr>
      </w:pPr>
      <w:r>
        <w:rPr>
          <w:rFonts w:hint="eastAsia" w:ascii="宋体" w:hAnsi="宋体"/>
          <w:b/>
        </w:rPr>
        <w:t>制备罐</w:t>
      </w:r>
    </w:p>
    <w:p>
      <w:pPr>
        <w:spacing w:before="203" w:beforeLines="50" w:after="203" w:afterLines="50" w:line="320" w:lineRule="exact"/>
        <w:ind w:firstLine="500" w:firstLineChars="200"/>
        <w:rPr>
          <w:rFonts w:ascii="宋体" w:hAnsi="宋体" w:cs="楷体"/>
        </w:rPr>
      </w:pPr>
      <w:r>
        <w:rPr>
          <w:rFonts w:hint="eastAsia" w:ascii="宋体" w:hAnsi="宋体" w:cs="楷体"/>
        </w:rPr>
        <w:t>材质：AISI304不锈钢，5mm</w:t>
      </w:r>
    </w:p>
    <w:p>
      <w:pPr>
        <w:spacing w:before="203" w:beforeLines="50" w:after="203" w:afterLines="50" w:line="320" w:lineRule="exact"/>
        <w:ind w:firstLine="500" w:firstLineChars="200"/>
        <w:rPr>
          <w:rFonts w:ascii="宋体" w:hAnsi="宋体" w:cs="楷体"/>
        </w:rPr>
      </w:pPr>
      <w:r>
        <w:rPr>
          <w:rFonts w:hint="eastAsia" w:ascii="宋体" w:hAnsi="宋体" w:cs="楷体"/>
        </w:rPr>
        <w:t>罐体形式：配套检修人孔</w:t>
      </w:r>
    </w:p>
    <w:p>
      <w:pPr>
        <w:spacing w:before="203" w:beforeLines="50" w:after="203" w:afterLines="50" w:line="320" w:lineRule="exact"/>
        <w:ind w:firstLine="500" w:firstLineChars="200"/>
        <w:rPr>
          <w:rFonts w:ascii="宋体" w:hAnsi="宋体" w:cs="楷体"/>
        </w:rPr>
      </w:pPr>
      <w:r>
        <w:rPr>
          <w:rFonts w:hint="eastAsia" w:ascii="宋体" w:hAnsi="宋体" w:cs="楷体"/>
        </w:rPr>
        <w:t>实现石灰与水充分混合溶解，形成0-5%石灰溶液。</w:t>
      </w:r>
    </w:p>
    <w:p>
      <w:pPr>
        <w:spacing w:before="203" w:beforeLines="50" w:after="203" w:afterLines="50" w:line="320" w:lineRule="exact"/>
        <w:ind w:firstLine="500" w:firstLineChars="200"/>
        <w:rPr>
          <w:rFonts w:ascii="宋体" w:hAnsi="宋体" w:cs="楷体"/>
        </w:rPr>
      </w:pPr>
      <w:r>
        <w:rPr>
          <w:rFonts w:hint="eastAsia" w:ascii="宋体" w:hAnsi="宋体" w:cs="楷体"/>
        </w:rPr>
        <w:t>制备罐配置有粉尘吸收器，可有效防尘。</w:t>
      </w:r>
    </w:p>
    <w:p>
      <w:pPr>
        <w:spacing w:before="203" w:beforeLines="50" w:after="203" w:afterLines="50" w:line="320" w:lineRule="exact"/>
        <w:ind w:firstLine="500" w:firstLineChars="200"/>
        <w:rPr>
          <w:rFonts w:ascii="宋体" w:hAnsi="宋体" w:cs="楷体"/>
        </w:rPr>
      </w:pPr>
      <w:r>
        <w:rPr>
          <w:rFonts w:hint="eastAsia" w:ascii="宋体" w:hAnsi="宋体" w:cs="楷体"/>
        </w:rPr>
        <w:t>制备罐含溢流、放空、人孔、搅拌机，除尘装置（水幕除尘器）及电动阀等；储液罐含放空、人孔、搅拌机、静压式液位计等。制备罐至储液罐设混合器，用于二次混合。配套的搅拌机，应保证一定的排液量和循环体积，确保混合搅拌均匀。</w:t>
      </w:r>
    </w:p>
    <w:p>
      <w:pPr>
        <w:spacing w:before="203" w:beforeLines="50" w:after="203" w:afterLines="50" w:line="320" w:lineRule="exact"/>
        <w:ind w:firstLine="500" w:firstLineChars="200"/>
        <w:rPr>
          <w:rFonts w:ascii="宋体" w:hAnsi="宋体" w:cs="楷体"/>
        </w:rPr>
      </w:pPr>
      <w:r>
        <w:rPr>
          <w:rFonts w:hint="eastAsia" w:ascii="宋体" w:hAnsi="宋体" w:cs="楷体"/>
        </w:rPr>
        <w:t>搅拌器：搅拌器位于制备箱的中央位置。搅拌器的叶片和轴的材质均为AISI304。</w:t>
      </w:r>
    </w:p>
    <w:p>
      <w:pPr>
        <w:spacing w:before="203" w:beforeLines="50" w:after="203" w:afterLines="50" w:line="320" w:lineRule="exact"/>
        <w:ind w:firstLine="500" w:firstLineChars="200"/>
        <w:rPr>
          <w:rFonts w:ascii="宋体" w:hAnsi="宋体" w:cs="楷体"/>
        </w:rPr>
      </w:pPr>
      <w:r>
        <w:rPr>
          <w:rFonts w:hint="eastAsia" w:ascii="宋体" w:hAnsi="宋体" w:cs="楷体"/>
        </w:rPr>
        <w:t>系统配套静压式液位计探测罐内的液位，并将4～20mA的液位信号传送给系统。同时具有现场显示及远程4-20mA信号输出。</w:t>
      </w:r>
    </w:p>
    <w:p>
      <w:pPr>
        <w:spacing w:before="203" w:beforeLines="50" w:after="203" w:afterLines="50" w:line="320" w:lineRule="exact"/>
        <w:ind w:firstLine="500" w:firstLineChars="200"/>
        <w:rPr>
          <w:rFonts w:ascii="宋体" w:hAnsi="宋体" w:cs="楷体"/>
        </w:rPr>
      </w:pPr>
      <w:r>
        <w:rPr>
          <w:rFonts w:hint="eastAsia" w:ascii="宋体" w:hAnsi="宋体" w:cs="楷体"/>
        </w:rPr>
        <w:t>当系统达到低液位时，系统自动启动；当系统达到高液位时，系统自动停止；当系统达到低低液位时，系统输出报警信号，停止外输泵的运行。溶解水系统包括调节阀、电动阀、电磁流量计、搅拌机等，部件为AISI304不锈钢材质，管路为UPVC管。罐底配有排空口。</w:t>
      </w:r>
    </w:p>
    <w:p>
      <w:pPr>
        <w:pStyle w:val="1156"/>
        <w:numPr>
          <w:ilvl w:val="0"/>
          <w:numId w:val="129"/>
        </w:numPr>
        <w:ind w:firstLineChars="0"/>
        <w:rPr>
          <w:rFonts w:ascii="宋体" w:hAnsi="宋体"/>
          <w:b/>
        </w:rPr>
      </w:pPr>
      <w:bookmarkStart w:id="6693" w:name="_Toc19337"/>
      <w:bookmarkStart w:id="6694" w:name="_Toc628"/>
      <w:r>
        <w:rPr>
          <w:rFonts w:hint="eastAsia" w:ascii="宋体" w:hAnsi="宋体"/>
          <w:b/>
        </w:rPr>
        <w:t>搅拌机</w:t>
      </w:r>
      <w:bookmarkEnd w:id="6693"/>
      <w:bookmarkEnd w:id="6694"/>
    </w:p>
    <w:p>
      <w:pPr>
        <w:spacing w:before="203" w:beforeLines="50" w:after="203" w:afterLines="50" w:line="320" w:lineRule="exact"/>
        <w:ind w:firstLine="500" w:firstLineChars="200"/>
        <w:rPr>
          <w:rFonts w:ascii="宋体" w:hAnsi="宋体" w:cs="楷体"/>
        </w:rPr>
      </w:pPr>
      <w:r>
        <w:rPr>
          <w:rFonts w:hint="eastAsia" w:ascii="宋体" w:hAnsi="宋体" w:cs="楷体"/>
        </w:rPr>
        <w:t>搅拌器位于溶解池中，搅拌器的叶片和轴的材质均为不锈钢AISI304；轴加工时要进行矫直、磨光和表面或退火处理。搅拌轴有足够的扭转和弯曲刚度；搅拌轴全长不设联轴器，不设水上水下辅助轴承。法兰联轴器材质为不锈钢AISI304，轮壳与叶片的连接应考虑到拆卸方便和防腐效果。安装底板材质为碳钢Q235B，机架材质为45号钢。</w:t>
      </w:r>
    </w:p>
    <w:p>
      <w:pPr>
        <w:spacing w:before="203" w:beforeLines="50" w:after="203" w:afterLines="50" w:line="320" w:lineRule="exact"/>
        <w:ind w:firstLine="500" w:firstLineChars="200"/>
        <w:rPr>
          <w:rFonts w:ascii="宋体" w:hAnsi="宋体" w:cs="楷体"/>
        </w:rPr>
      </w:pPr>
      <w:r>
        <w:rPr>
          <w:rFonts w:hint="eastAsia" w:ascii="宋体" w:hAnsi="宋体" w:cs="楷体"/>
        </w:rPr>
        <w:t>机械搅拌混合器的制造及供货应符合ISO、 IEC、 GB、 ZB标准或一般技术规定。</w:t>
      </w:r>
    </w:p>
    <w:p>
      <w:pPr>
        <w:spacing w:before="203" w:beforeLines="50" w:after="203" w:afterLines="50" w:line="320" w:lineRule="exact"/>
        <w:ind w:firstLine="500" w:firstLineChars="200"/>
        <w:rPr>
          <w:rFonts w:ascii="宋体" w:hAnsi="宋体" w:cs="楷体"/>
        </w:rPr>
      </w:pPr>
      <w:r>
        <w:rPr>
          <w:rFonts w:hint="eastAsia" w:ascii="宋体" w:hAnsi="宋体" w:cs="楷体"/>
        </w:rPr>
        <w:t>搅拌机应能在环境温度－10℃～40℃满负荷连续运行。在额定负荷条件下运行，本机的故障工作时数累计不少于2万小时，使用寿命10年以上。</w:t>
      </w:r>
    </w:p>
    <w:p>
      <w:pPr>
        <w:spacing w:before="203" w:beforeLines="50" w:after="203" w:afterLines="50" w:line="320" w:lineRule="exact"/>
        <w:ind w:firstLine="500" w:firstLineChars="200"/>
        <w:rPr>
          <w:rFonts w:ascii="宋体" w:hAnsi="宋体" w:cs="楷体"/>
        </w:rPr>
      </w:pPr>
      <w:r>
        <w:rPr>
          <w:rFonts w:hint="eastAsia" w:ascii="宋体" w:hAnsi="宋体" w:cs="楷体"/>
        </w:rPr>
        <w:t>启动为慢慢逐渐加速，物流流向为顺时针。配ORD减速机。</w:t>
      </w:r>
    </w:p>
    <w:p>
      <w:pPr>
        <w:pStyle w:val="1156"/>
        <w:numPr>
          <w:ilvl w:val="0"/>
          <w:numId w:val="129"/>
        </w:numPr>
        <w:ind w:firstLineChars="0"/>
        <w:rPr>
          <w:rFonts w:ascii="宋体" w:hAnsi="宋体"/>
          <w:b/>
        </w:rPr>
      </w:pPr>
      <w:bookmarkStart w:id="6695" w:name="_Toc10394"/>
      <w:bookmarkStart w:id="6696" w:name="_Toc19986"/>
      <w:r>
        <w:rPr>
          <w:rFonts w:hint="eastAsia" w:ascii="宋体" w:hAnsi="宋体"/>
          <w:b/>
        </w:rPr>
        <w:t>水幕除尘器</w:t>
      </w:r>
      <w:bookmarkEnd w:id="6695"/>
      <w:bookmarkEnd w:id="6696"/>
    </w:p>
    <w:p>
      <w:pPr>
        <w:spacing w:before="203" w:beforeLines="50" w:after="203" w:afterLines="50" w:line="320" w:lineRule="exact"/>
        <w:ind w:firstLine="500" w:firstLineChars="200"/>
        <w:rPr>
          <w:rFonts w:ascii="宋体" w:hAnsi="宋体" w:cs="楷体"/>
        </w:rPr>
      </w:pPr>
      <w:r>
        <w:rPr>
          <w:rFonts w:hint="eastAsia" w:ascii="宋体" w:hAnsi="宋体" w:cs="楷体"/>
        </w:rPr>
        <w:t>材质为不锈钢AISI304。安装于制备罐上，保持罐内压力和大气相通，去除罐内粉尘。装配有调节阀及喷嘴。可以通过冲洗将粉尘冲回到溶液中。水量可以调节达到最佳除尘效果。此种设计可以有效去除制备过程中的粉尘，同时在罐内形成轻微负压，从而避免粉尘从搅拌罐的其他接口扩散。</w:t>
      </w:r>
    </w:p>
    <w:p>
      <w:pPr>
        <w:pStyle w:val="1156"/>
        <w:numPr>
          <w:ilvl w:val="0"/>
          <w:numId w:val="129"/>
        </w:numPr>
        <w:ind w:firstLineChars="0"/>
        <w:rPr>
          <w:rFonts w:ascii="宋体" w:hAnsi="宋体"/>
          <w:b/>
        </w:rPr>
      </w:pPr>
      <w:bookmarkStart w:id="6697" w:name="_Toc25786"/>
      <w:bookmarkStart w:id="6698" w:name="_Toc20410"/>
      <w:r>
        <w:rPr>
          <w:rFonts w:hint="eastAsia" w:ascii="宋体" w:hAnsi="宋体"/>
          <w:b/>
        </w:rPr>
        <w:t>螺杆泵</w:t>
      </w:r>
      <w:bookmarkEnd w:id="6697"/>
      <w:bookmarkEnd w:id="6698"/>
    </w:p>
    <w:p>
      <w:pPr>
        <w:spacing w:before="203" w:beforeLines="50" w:after="203" w:afterLines="50" w:line="320" w:lineRule="exact"/>
        <w:ind w:firstLine="500" w:firstLineChars="200"/>
        <w:rPr>
          <w:rFonts w:ascii="宋体" w:hAnsi="宋体" w:cs="楷体"/>
        </w:rPr>
      </w:pPr>
      <w:r>
        <w:rPr>
          <w:rFonts w:hint="eastAsia" w:ascii="宋体" w:hAnsi="宋体" w:cs="楷体"/>
        </w:rPr>
        <w:t>为准确输送，使用正位2级螺杆泵，通过安装于泵控制柜中的变频器调节流量。螺杆泵输送介质时扰动小、泵压稳、吸入性好，可以输送粘稠的非牛顿液体及含有机械杂质和固体颗粒的浓缩物，泵量调节性好，效率高且高效区宽。螺旋齿轮马达驱动，变频调节流量。含干运行保护装置。</w:t>
      </w:r>
    </w:p>
    <w:p>
      <w:pPr>
        <w:spacing w:before="203" w:beforeLines="50" w:after="203" w:afterLines="50" w:line="320" w:lineRule="exact"/>
        <w:ind w:firstLine="500" w:firstLineChars="200"/>
        <w:rPr>
          <w:rFonts w:ascii="宋体" w:hAnsi="宋体" w:cs="楷体"/>
        </w:rPr>
      </w:pPr>
      <w:r>
        <w:rPr>
          <w:rFonts w:hint="eastAsia" w:ascii="宋体" w:hAnsi="宋体" w:cs="楷体"/>
        </w:rPr>
        <w:t>(1)技术参数</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类型：偏心螺杆泵</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安装位置：室内</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输送介质：石灰</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含固量：约1-5%</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温度：常温</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流量：见清单</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输出压力：6bar</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进料方式：重力流入</w:t>
      </w:r>
    </w:p>
    <w:p>
      <w:pPr>
        <w:pStyle w:val="1156"/>
        <w:numPr>
          <w:ilvl w:val="0"/>
          <w:numId w:val="132"/>
        </w:numPr>
        <w:spacing w:before="203" w:beforeLines="50" w:after="203" w:afterLines="50" w:line="320" w:lineRule="exact"/>
        <w:ind w:firstLineChars="0"/>
        <w:rPr>
          <w:rFonts w:ascii="宋体" w:hAnsi="宋体" w:cs="楷体"/>
        </w:rPr>
      </w:pPr>
      <w:r>
        <w:rPr>
          <w:rFonts w:hint="eastAsia" w:ascii="宋体" w:hAnsi="宋体" w:cs="楷体"/>
        </w:rPr>
        <w:t>转速：74</w:t>
      </w:r>
      <w:r>
        <w:rPr>
          <w:rFonts w:ascii="宋体" w:hAnsi="宋体" w:cs="楷体"/>
        </w:rPr>
        <w:t>-</w:t>
      </w:r>
      <w:r>
        <w:rPr>
          <w:rFonts w:hint="eastAsia" w:ascii="宋体" w:hAnsi="宋体" w:cs="楷体"/>
        </w:rPr>
        <w:t>215r/m。</w:t>
      </w:r>
    </w:p>
    <w:p>
      <w:pPr>
        <w:spacing w:before="203" w:beforeLines="50" w:after="203" w:afterLines="50" w:line="320" w:lineRule="exact"/>
        <w:ind w:firstLine="500" w:firstLineChars="200"/>
        <w:rPr>
          <w:rFonts w:ascii="宋体" w:hAnsi="宋体" w:cs="楷体"/>
        </w:rPr>
      </w:pPr>
      <w:r>
        <w:rPr>
          <w:rFonts w:hint="eastAsia" w:ascii="宋体" w:hAnsi="宋体" w:cs="楷体"/>
        </w:rPr>
        <w:t>(2)产品结构</w:t>
      </w:r>
    </w:p>
    <w:p>
      <w:pPr>
        <w:pStyle w:val="1156"/>
        <w:numPr>
          <w:ilvl w:val="0"/>
          <w:numId w:val="133"/>
        </w:numPr>
        <w:spacing w:before="203" w:beforeLines="50" w:after="203" w:afterLines="50" w:line="320" w:lineRule="exact"/>
        <w:ind w:firstLineChars="0"/>
        <w:rPr>
          <w:rFonts w:ascii="宋体" w:hAnsi="宋体" w:cs="楷体"/>
        </w:rPr>
      </w:pPr>
      <w:r>
        <w:rPr>
          <w:rFonts w:hint="eastAsia" w:ascii="宋体" w:hAnsi="宋体" w:cs="楷体"/>
        </w:rPr>
        <w:t>法兰规格：DN80/PN16，DN65/PN16。</w:t>
      </w:r>
    </w:p>
    <w:p>
      <w:pPr>
        <w:spacing w:before="203" w:beforeLines="50" w:after="203" w:afterLines="50" w:line="320" w:lineRule="exact"/>
        <w:ind w:firstLine="500" w:firstLineChars="200"/>
        <w:rPr>
          <w:rFonts w:ascii="宋体" w:hAnsi="宋体" w:cs="楷体"/>
        </w:rPr>
      </w:pPr>
      <w:r>
        <w:rPr>
          <w:rFonts w:hint="eastAsia" w:ascii="宋体" w:hAnsi="宋体" w:cs="楷体"/>
        </w:rPr>
        <w:t>(3)材质</w:t>
      </w:r>
    </w:p>
    <w:p>
      <w:pPr>
        <w:pStyle w:val="1156"/>
        <w:numPr>
          <w:ilvl w:val="0"/>
          <w:numId w:val="134"/>
        </w:numPr>
        <w:spacing w:before="203" w:beforeLines="50" w:after="203" w:afterLines="50" w:line="320" w:lineRule="exact"/>
        <w:ind w:firstLineChars="0"/>
        <w:rPr>
          <w:rFonts w:ascii="宋体" w:hAnsi="宋体" w:cs="楷体"/>
        </w:rPr>
      </w:pPr>
      <w:r>
        <w:rPr>
          <w:rFonts w:hint="eastAsia" w:ascii="宋体" w:hAnsi="宋体" w:cs="楷体"/>
        </w:rPr>
        <w:t>泵体：GG25铸铁</w:t>
      </w:r>
    </w:p>
    <w:p>
      <w:pPr>
        <w:pStyle w:val="1156"/>
        <w:numPr>
          <w:ilvl w:val="0"/>
          <w:numId w:val="134"/>
        </w:numPr>
        <w:spacing w:before="203" w:beforeLines="50" w:after="203" w:afterLines="50" w:line="320" w:lineRule="exact"/>
        <w:ind w:firstLineChars="0"/>
        <w:rPr>
          <w:rFonts w:ascii="宋体" w:hAnsi="宋体" w:cs="楷体"/>
        </w:rPr>
      </w:pPr>
      <w:r>
        <w:rPr>
          <w:rFonts w:hint="eastAsia" w:ascii="宋体" w:hAnsi="宋体" w:cs="楷体"/>
        </w:rPr>
        <w:t>转动部件材质：不锈钢304</w:t>
      </w:r>
    </w:p>
    <w:p>
      <w:pPr>
        <w:pStyle w:val="1156"/>
        <w:numPr>
          <w:ilvl w:val="0"/>
          <w:numId w:val="134"/>
        </w:numPr>
        <w:spacing w:before="203" w:beforeLines="50" w:after="203" w:afterLines="50" w:line="320" w:lineRule="exact"/>
        <w:ind w:firstLineChars="0"/>
        <w:rPr>
          <w:rFonts w:ascii="宋体" w:hAnsi="宋体" w:cs="楷体"/>
        </w:rPr>
      </w:pPr>
      <w:r>
        <w:rPr>
          <w:rFonts w:hint="eastAsia" w:ascii="宋体" w:hAnsi="宋体" w:cs="楷体"/>
        </w:rPr>
        <w:t>联轴杆结构：销式连接</w:t>
      </w:r>
    </w:p>
    <w:p>
      <w:pPr>
        <w:pStyle w:val="1156"/>
        <w:numPr>
          <w:ilvl w:val="0"/>
          <w:numId w:val="134"/>
        </w:numPr>
        <w:spacing w:before="203" w:beforeLines="50" w:after="203" w:afterLines="50" w:line="320" w:lineRule="exact"/>
        <w:ind w:firstLineChars="0"/>
        <w:rPr>
          <w:rFonts w:ascii="宋体" w:hAnsi="宋体" w:cs="楷体"/>
        </w:rPr>
      </w:pPr>
      <w:r>
        <w:rPr>
          <w:rFonts w:hint="eastAsia" w:ascii="宋体" w:hAnsi="宋体" w:cs="楷体"/>
        </w:rPr>
        <w:t>润滑：专业油脂润滑</w:t>
      </w:r>
    </w:p>
    <w:p>
      <w:pPr>
        <w:pStyle w:val="1156"/>
        <w:numPr>
          <w:ilvl w:val="0"/>
          <w:numId w:val="134"/>
        </w:numPr>
        <w:spacing w:before="203" w:beforeLines="50" w:after="203" w:afterLines="50" w:line="320" w:lineRule="exact"/>
        <w:ind w:firstLineChars="0"/>
        <w:rPr>
          <w:rFonts w:ascii="宋体" w:hAnsi="宋体" w:cs="楷体"/>
        </w:rPr>
      </w:pPr>
      <w:r>
        <w:rPr>
          <w:rFonts w:hint="eastAsia" w:ascii="宋体" w:hAnsi="宋体" w:cs="楷体"/>
        </w:rPr>
        <w:t>转子材质：不锈钢304</w:t>
      </w:r>
    </w:p>
    <w:p>
      <w:pPr>
        <w:pStyle w:val="1156"/>
        <w:numPr>
          <w:ilvl w:val="0"/>
          <w:numId w:val="134"/>
        </w:numPr>
        <w:spacing w:before="203" w:beforeLines="50" w:after="203" w:afterLines="50" w:line="320" w:lineRule="exact"/>
        <w:ind w:firstLineChars="0"/>
        <w:rPr>
          <w:rFonts w:ascii="宋体" w:hAnsi="宋体" w:cs="楷体"/>
        </w:rPr>
      </w:pPr>
      <w:r>
        <w:rPr>
          <w:rFonts w:hint="eastAsia" w:ascii="宋体" w:hAnsi="宋体" w:cs="楷体"/>
        </w:rPr>
        <w:t>定子材质：耐磨丁腈橡胶</w:t>
      </w:r>
    </w:p>
    <w:p>
      <w:pPr>
        <w:pStyle w:val="1156"/>
        <w:numPr>
          <w:ilvl w:val="0"/>
          <w:numId w:val="134"/>
        </w:numPr>
        <w:spacing w:before="203" w:beforeLines="50" w:after="203" w:afterLines="50" w:line="320" w:lineRule="exact"/>
        <w:ind w:firstLineChars="0"/>
        <w:rPr>
          <w:rFonts w:ascii="宋体" w:hAnsi="宋体" w:cs="楷体"/>
        </w:rPr>
      </w:pPr>
      <w:r>
        <w:rPr>
          <w:rFonts w:hint="eastAsia" w:ascii="宋体" w:hAnsi="宋体" w:cs="楷体"/>
        </w:rPr>
        <w:t>轴封形式：机械密封带水冲洗</w:t>
      </w:r>
    </w:p>
    <w:p>
      <w:pPr>
        <w:pStyle w:val="1156"/>
        <w:numPr>
          <w:ilvl w:val="0"/>
          <w:numId w:val="134"/>
        </w:numPr>
        <w:spacing w:before="203" w:beforeLines="50" w:after="203" w:afterLines="50" w:line="320" w:lineRule="exact"/>
        <w:ind w:firstLineChars="0"/>
        <w:rPr>
          <w:rFonts w:ascii="宋体" w:hAnsi="宋体" w:cs="楷体"/>
        </w:rPr>
      </w:pPr>
      <w:r>
        <w:rPr>
          <w:rFonts w:hint="eastAsia" w:ascii="宋体" w:hAnsi="宋体" w:cs="楷体"/>
        </w:rPr>
        <w:t>材质：碳化硅。</w:t>
      </w:r>
    </w:p>
    <w:p>
      <w:pPr>
        <w:spacing w:before="203" w:beforeLines="50" w:after="203" w:afterLines="50" w:line="320" w:lineRule="exact"/>
        <w:ind w:firstLine="500" w:firstLineChars="200"/>
        <w:rPr>
          <w:rFonts w:ascii="宋体" w:hAnsi="宋体" w:cs="楷体"/>
        </w:rPr>
      </w:pPr>
      <w:r>
        <w:rPr>
          <w:rFonts w:hint="eastAsia" w:ascii="宋体" w:hAnsi="宋体" w:cs="楷体"/>
        </w:rPr>
        <w:t>(4)减速电机</w:t>
      </w:r>
    </w:p>
    <w:p>
      <w:pPr>
        <w:pStyle w:val="1156"/>
        <w:numPr>
          <w:ilvl w:val="0"/>
          <w:numId w:val="135"/>
        </w:numPr>
        <w:spacing w:before="203" w:beforeLines="50" w:after="203" w:afterLines="50" w:line="320" w:lineRule="exact"/>
        <w:ind w:firstLineChars="0"/>
        <w:rPr>
          <w:rFonts w:ascii="宋体" w:hAnsi="宋体" w:cs="楷体"/>
        </w:rPr>
      </w:pPr>
      <w:r>
        <w:rPr>
          <w:rFonts w:hint="eastAsia" w:ascii="宋体" w:hAnsi="宋体" w:cs="楷体"/>
        </w:rPr>
        <w:t>结构：IMB5</w:t>
      </w:r>
    </w:p>
    <w:p>
      <w:pPr>
        <w:pStyle w:val="1156"/>
        <w:numPr>
          <w:ilvl w:val="0"/>
          <w:numId w:val="135"/>
        </w:numPr>
        <w:spacing w:before="203" w:beforeLines="50" w:after="203" w:afterLines="50" w:line="320" w:lineRule="exact"/>
        <w:ind w:firstLineChars="0"/>
        <w:rPr>
          <w:rFonts w:ascii="宋体" w:hAnsi="宋体" w:cs="楷体"/>
        </w:rPr>
      </w:pPr>
      <w:r>
        <w:rPr>
          <w:rFonts w:hint="eastAsia" w:ascii="宋体" w:hAnsi="宋体" w:cs="楷体"/>
        </w:rPr>
        <w:t>电压/相速/频率：380V/3Phase/50Hz</w:t>
      </w:r>
    </w:p>
    <w:p>
      <w:pPr>
        <w:pStyle w:val="1156"/>
        <w:numPr>
          <w:ilvl w:val="0"/>
          <w:numId w:val="135"/>
        </w:numPr>
        <w:spacing w:before="203" w:beforeLines="50" w:after="203" w:afterLines="50" w:line="320" w:lineRule="exact"/>
        <w:ind w:firstLineChars="0"/>
        <w:rPr>
          <w:rFonts w:ascii="宋体" w:hAnsi="宋体" w:cs="楷体"/>
        </w:rPr>
      </w:pPr>
      <w:r>
        <w:rPr>
          <w:rFonts w:hint="eastAsia" w:ascii="宋体" w:hAnsi="宋体" w:cs="楷体"/>
        </w:rPr>
        <w:t>转速：小于210r/m</w:t>
      </w:r>
    </w:p>
    <w:p>
      <w:pPr>
        <w:pStyle w:val="1156"/>
        <w:numPr>
          <w:ilvl w:val="0"/>
          <w:numId w:val="135"/>
        </w:numPr>
        <w:spacing w:before="203" w:beforeLines="50" w:after="203" w:afterLines="50" w:line="320" w:lineRule="exact"/>
        <w:ind w:firstLineChars="0"/>
        <w:rPr>
          <w:rFonts w:ascii="宋体" w:hAnsi="宋体" w:cs="楷体"/>
        </w:rPr>
      </w:pPr>
      <w:r>
        <w:rPr>
          <w:rFonts w:hint="eastAsia" w:ascii="宋体" w:hAnsi="宋体" w:cs="楷体"/>
        </w:rPr>
        <w:t>频率可调范围：15～50Hz</w:t>
      </w:r>
    </w:p>
    <w:p>
      <w:pPr>
        <w:pStyle w:val="1156"/>
        <w:numPr>
          <w:ilvl w:val="0"/>
          <w:numId w:val="135"/>
        </w:numPr>
        <w:spacing w:before="203" w:beforeLines="50" w:after="203" w:afterLines="50" w:line="320" w:lineRule="exact"/>
        <w:ind w:firstLineChars="0"/>
        <w:rPr>
          <w:rFonts w:ascii="宋体" w:hAnsi="宋体" w:cs="楷体"/>
        </w:rPr>
      </w:pPr>
      <w:r>
        <w:rPr>
          <w:rFonts w:hint="eastAsia" w:ascii="宋体" w:hAnsi="宋体" w:cs="楷体"/>
        </w:rPr>
        <w:t>绝缘/防护等级：IP55/F</w:t>
      </w:r>
    </w:p>
    <w:p>
      <w:pPr>
        <w:pStyle w:val="1156"/>
        <w:numPr>
          <w:ilvl w:val="0"/>
          <w:numId w:val="135"/>
        </w:numPr>
        <w:spacing w:before="203" w:beforeLines="50" w:after="203" w:afterLines="50" w:line="320" w:lineRule="exact"/>
        <w:ind w:firstLineChars="0"/>
        <w:rPr>
          <w:rFonts w:ascii="宋体" w:hAnsi="宋体" w:cs="楷体"/>
        </w:rPr>
      </w:pPr>
      <w:r>
        <w:rPr>
          <w:rFonts w:hint="eastAsia" w:ascii="宋体" w:hAnsi="宋体" w:cs="楷体"/>
        </w:rPr>
        <w:t>其他：3PTC热保护</w:t>
      </w:r>
    </w:p>
    <w:p>
      <w:pPr>
        <w:pStyle w:val="1156"/>
        <w:numPr>
          <w:ilvl w:val="0"/>
          <w:numId w:val="135"/>
        </w:numPr>
        <w:spacing w:before="203" w:beforeLines="50" w:after="203" w:afterLines="50" w:line="320" w:lineRule="exact"/>
        <w:ind w:firstLineChars="0"/>
        <w:rPr>
          <w:rFonts w:ascii="宋体" w:hAnsi="宋体" w:cs="楷体"/>
        </w:rPr>
      </w:pPr>
      <w:r>
        <w:rPr>
          <w:rFonts w:hint="eastAsia" w:ascii="宋体" w:hAnsi="宋体" w:cs="楷体"/>
        </w:rPr>
        <w:t>底座：槽钢。</w:t>
      </w:r>
    </w:p>
    <w:p>
      <w:pPr>
        <w:pStyle w:val="1156"/>
        <w:numPr>
          <w:ilvl w:val="0"/>
          <w:numId w:val="129"/>
        </w:numPr>
        <w:ind w:firstLineChars="0"/>
        <w:rPr>
          <w:rFonts w:ascii="宋体" w:hAnsi="宋体"/>
          <w:b/>
        </w:rPr>
      </w:pPr>
      <w:bookmarkStart w:id="6699" w:name="_Toc29513"/>
      <w:bookmarkStart w:id="6700" w:name="_Toc28182"/>
      <w:r>
        <w:rPr>
          <w:rFonts w:hint="eastAsia" w:ascii="宋体" w:hAnsi="宋体"/>
          <w:b/>
        </w:rPr>
        <w:t>电磁流量计</w:t>
      </w:r>
      <w:bookmarkEnd w:id="6699"/>
      <w:bookmarkEnd w:id="6700"/>
    </w:p>
    <w:p>
      <w:pPr>
        <w:spacing w:before="203" w:beforeLines="50" w:after="203" w:afterLines="50" w:line="320" w:lineRule="exact"/>
        <w:ind w:firstLine="500" w:firstLineChars="200"/>
        <w:rPr>
          <w:rFonts w:ascii="宋体" w:hAnsi="宋体" w:cs="楷体"/>
        </w:rPr>
      </w:pPr>
      <w:r>
        <w:rPr>
          <w:rFonts w:hint="eastAsia" w:ascii="宋体" w:hAnsi="宋体" w:cs="楷体"/>
        </w:rPr>
        <w:t>连接方式：法兰连接，分体型</w:t>
      </w:r>
    </w:p>
    <w:p>
      <w:pPr>
        <w:spacing w:before="203" w:beforeLines="50" w:after="203" w:afterLines="50" w:line="320" w:lineRule="exact"/>
        <w:ind w:firstLine="500" w:firstLineChars="200"/>
        <w:rPr>
          <w:rFonts w:ascii="宋体" w:hAnsi="宋体" w:cs="楷体"/>
        </w:rPr>
      </w:pPr>
      <w:r>
        <w:rPr>
          <w:rFonts w:hint="eastAsia" w:ascii="宋体" w:hAnsi="宋体" w:cs="楷体"/>
        </w:rPr>
        <w:t>连接口径：根据设备清单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精度：0.5%；</w:t>
      </w:r>
    </w:p>
    <w:p>
      <w:pPr>
        <w:spacing w:before="203" w:beforeLines="50" w:after="203" w:afterLines="50" w:line="320" w:lineRule="exact"/>
        <w:ind w:firstLine="500" w:firstLineChars="200"/>
        <w:rPr>
          <w:rFonts w:ascii="宋体" w:hAnsi="宋体" w:cs="楷体"/>
        </w:rPr>
      </w:pPr>
      <w:r>
        <w:rPr>
          <w:rFonts w:hint="eastAsia" w:ascii="宋体" w:hAnsi="宋体" w:cs="楷体"/>
        </w:rPr>
        <w:t>测量范围：-12～12m/s；</w:t>
      </w:r>
    </w:p>
    <w:p>
      <w:pPr>
        <w:spacing w:before="203" w:beforeLines="50" w:after="203" w:afterLines="50" w:line="320" w:lineRule="exact"/>
        <w:ind w:firstLine="500" w:firstLineChars="200"/>
        <w:rPr>
          <w:rFonts w:ascii="宋体" w:hAnsi="宋体" w:cs="楷体"/>
        </w:rPr>
      </w:pPr>
      <w:r>
        <w:rPr>
          <w:rFonts w:hint="eastAsia" w:ascii="宋体" w:hAnsi="宋体" w:cs="楷体"/>
        </w:rPr>
        <w:t>电极材料：不锈钢；</w:t>
      </w:r>
    </w:p>
    <w:p>
      <w:pPr>
        <w:spacing w:before="203" w:beforeLines="50" w:after="203" w:afterLines="50" w:line="320" w:lineRule="exact"/>
        <w:ind w:firstLine="500" w:firstLineChars="200"/>
        <w:rPr>
          <w:rFonts w:ascii="宋体" w:hAnsi="宋体" w:cs="楷体"/>
        </w:rPr>
      </w:pPr>
      <w:r>
        <w:rPr>
          <w:rFonts w:hint="eastAsia" w:ascii="宋体" w:hAnsi="宋体" w:cs="楷体"/>
        </w:rPr>
        <w:t>衬里：橡胶；</w:t>
      </w:r>
    </w:p>
    <w:p>
      <w:pPr>
        <w:spacing w:before="203" w:beforeLines="50" w:after="203" w:afterLines="50" w:line="320" w:lineRule="exact"/>
        <w:ind w:firstLine="500" w:firstLineChars="200"/>
        <w:rPr>
          <w:rFonts w:ascii="宋体" w:hAnsi="宋体" w:cs="楷体"/>
        </w:rPr>
      </w:pPr>
      <w:r>
        <w:rPr>
          <w:rFonts w:hint="eastAsia" w:ascii="宋体" w:hAnsi="宋体" w:cs="楷体"/>
        </w:rPr>
        <w:t>传感器防护等级:IP68；</w:t>
      </w:r>
    </w:p>
    <w:p>
      <w:pPr>
        <w:spacing w:before="203" w:beforeLines="50" w:after="203" w:afterLines="50" w:line="320" w:lineRule="exact"/>
        <w:ind w:firstLine="500" w:firstLineChars="200"/>
        <w:rPr>
          <w:rFonts w:ascii="宋体" w:hAnsi="宋体" w:cs="楷体"/>
        </w:rPr>
      </w:pPr>
      <w:r>
        <w:rPr>
          <w:rFonts w:hint="eastAsia" w:ascii="宋体" w:hAnsi="宋体" w:cs="楷体"/>
        </w:rPr>
        <w:t>介质最高温度：最大180°C；</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环境温度：-40°C～+65°C；</w:t>
      </w:r>
    </w:p>
    <w:p>
      <w:pPr>
        <w:spacing w:before="203" w:beforeLines="50" w:after="203" w:afterLines="50" w:line="320" w:lineRule="exact"/>
        <w:ind w:firstLine="500" w:firstLineChars="200"/>
        <w:rPr>
          <w:rFonts w:ascii="宋体" w:hAnsi="宋体" w:cs="楷体"/>
        </w:rPr>
      </w:pPr>
      <w:r>
        <w:rPr>
          <w:rFonts w:hint="eastAsia" w:ascii="宋体" w:hAnsi="宋体" w:cs="楷体"/>
        </w:rPr>
        <w:t>输出信号：4-20mA电流信号，脉冲输出，HART通讯。</w:t>
      </w:r>
    </w:p>
    <w:p>
      <w:pPr>
        <w:pStyle w:val="1156"/>
        <w:numPr>
          <w:ilvl w:val="0"/>
          <w:numId w:val="129"/>
        </w:numPr>
        <w:ind w:firstLineChars="0"/>
        <w:rPr>
          <w:rFonts w:ascii="宋体" w:hAnsi="宋体"/>
          <w:b/>
        </w:rPr>
      </w:pPr>
      <w:r>
        <w:rPr>
          <w:rFonts w:hint="eastAsia" w:ascii="宋体" w:hAnsi="宋体"/>
          <w:b/>
        </w:rPr>
        <w:t>手动球阀</w:t>
      </w:r>
    </w:p>
    <w:p>
      <w:pPr>
        <w:spacing w:before="203" w:beforeLines="50" w:after="203" w:afterLines="50" w:line="320" w:lineRule="exact"/>
        <w:ind w:firstLine="500" w:firstLineChars="200"/>
        <w:rPr>
          <w:rFonts w:ascii="宋体" w:hAnsi="宋体" w:cs="楷体"/>
        </w:rPr>
      </w:pPr>
      <w:r>
        <w:rPr>
          <w:rFonts w:hint="eastAsia" w:ascii="宋体" w:hAnsi="宋体" w:cs="楷体"/>
        </w:rPr>
        <w:t>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压力等级</w:t>
      </w:r>
      <w:r>
        <w:rPr>
          <w:rFonts w:ascii="宋体" w:hAnsi="宋体" w:cs="楷体"/>
        </w:rPr>
        <w:t>：</w:t>
      </w:r>
      <w:r>
        <w:rPr>
          <w:rFonts w:hint="eastAsia" w:ascii="宋体" w:hAnsi="宋体" w:cs="楷体"/>
        </w:rPr>
        <w:t>PN1.0</w:t>
      </w:r>
    </w:p>
    <w:p>
      <w:pPr>
        <w:spacing w:before="203" w:beforeLines="50" w:after="203" w:afterLines="50" w:line="320" w:lineRule="exact"/>
        <w:ind w:firstLine="500" w:firstLineChars="200"/>
        <w:rPr>
          <w:rFonts w:ascii="宋体" w:hAnsi="宋体" w:cs="楷体"/>
        </w:rPr>
      </w:pPr>
      <w:r>
        <w:rPr>
          <w:rFonts w:hint="eastAsia" w:ascii="宋体" w:hAnsi="宋体" w:cs="楷体"/>
        </w:rPr>
        <w:t>标准：DIN/ANSI/JIS/CNS</w:t>
      </w:r>
    </w:p>
    <w:p>
      <w:pPr>
        <w:spacing w:before="203" w:beforeLines="50" w:after="203" w:afterLines="50" w:line="320" w:lineRule="exact"/>
        <w:ind w:firstLine="500" w:firstLineChars="200"/>
        <w:rPr>
          <w:rFonts w:ascii="宋体" w:hAnsi="宋体" w:cs="楷体"/>
        </w:rPr>
      </w:pPr>
      <w:r>
        <w:rPr>
          <w:rFonts w:hint="eastAsia" w:ascii="宋体" w:hAnsi="宋体" w:cs="楷体"/>
        </w:rPr>
        <w:t>接口：承插接口</w:t>
      </w:r>
    </w:p>
    <w:p>
      <w:pPr>
        <w:spacing w:before="203" w:beforeLines="50" w:after="203" w:afterLines="50" w:line="320" w:lineRule="exact"/>
        <w:ind w:firstLine="500" w:firstLineChars="200"/>
        <w:rPr>
          <w:rFonts w:ascii="宋体" w:hAnsi="宋体" w:cs="楷体"/>
        </w:rPr>
      </w:pPr>
      <w:r>
        <w:rPr>
          <w:rFonts w:hint="eastAsia" w:ascii="宋体" w:hAnsi="宋体" w:cs="楷体"/>
        </w:rPr>
        <w:t>双由令球阀，可同时当由令及阀门使用。可在前段设备管路不必停工的状态下，关闭球阀，卸下由令，进行后段工程维修。在由令端有FPM或EPDM O"环，配合PTFE垫座之使用，能防止多数化学物质之腐蚀。不需使用特殊之工具，即可快速装配。</w:t>
      </w:r>
    </w:p>
    <w:p>
      <w:pPr>
        <w:pStyle w:val="1156"/>
        <w:numPr>
          <w:ilvl w:val="0"/>
          <w:numId w:val="129"/>
        </w:numPr>
        <w:ind w:firstLineChars="0"/>
        <w:rPr>
          <w:rFonts w:ascii="宋体" w:hAnsi="宋体"/>
          <w:b/>
        </w:rPr>
      </w:pPr>
      <w:r>
        <w:rPr>
          <w:rFonts w:hint="eastAsia" w:ascii="宋体" w:hAnsi="宋体"/>
          <w:b/>
        </w:rPr>
        <w:t>电动球阀</w:t>
      </w:r>
    </w:p>
    <w:p>
      <w:pPr>
        <w:spacing w:before="203" w:beforeLines="50" w:after="203" w:afterLines="50" w:line="320" w:lineRule="exact"/>
        <w:ind w:firstLine="500" w:firstLineChars="200"/>
        <w:rPr>
          <w:rFonts w:ascii="宋体" w:hAnsi="宋体" w:cs="楷体"/>
        </w:rPr>
      </w:pPr>
      <w:r>
        <w:rPr>
          <w:rFonts w:hint="eastAsia" w:ascii="宋体" w:hAnsi="宋体" w:cs="楷体"/>
        </w:rPr>
        <w:t>可远程控制阀门的开关；通过触点反馈，自动切换阀门的开关。</w:t>
      </w:r>
    </w:p>
    <w:p>
      <w:pPr>
        <w:spacing w:before="203" w:beforeLines="50" w:after="203" w:afterLines="50" w:line="320" w:lineRule="exact"/>
        <w:ind w:firstLine="500" w:firstLineChars="200"/>
        <w:rPr>
          <w:rFonts w:ascii="宋体" w:hAnsi="宋体" w:cs="楷体"/>
        </w:rPr>
      </w:pPr>
      <w:r>
        <w:rPr>
          <w:rFonts w:hint="eastAsia" w:ascii="宋体" w:hAnsi="宋体" w:cs="楷体"/>
        </w:rPr>
        <w:t>阀体材质：UPVC；</w:t>
      </w:r>
    </w:p>
    <w:p>
      <w:pPr>
        <w:spacing w:before="203" w:beforeLines="50" w:after="203" w:afterLines="50" w:line="320" w:lineRule="exact"/>
        <w:ind w:firstLine="500" w:firstLineChars="200"/>
        <w:rPr>
          <w:rFonts w:ascii="宋体" w:hAnsi="宋体" w:cs="楷体"/>
        </w:rPr>
      </w:pPr>
      <w:r>
        <w:rPr>
          <w:rFonts w:hint="eastAsia" w:ascii="宋体" w:hAnsi="宋体" w:cs="楷体"/>
        </w:rPr>
        <w:t>口径：根据设备清单；</w:t>
      </w:r>
    </w:p>
    <w:p>
      <w:pPr>
        <w:spacing w:before="203" w:beforeLines="50" w:after="203" w:afterLines="50" w:line="320" w:lineRule="exact"/>
        <w:ind w:firstLine="500" w:firstLineChars="200"/>
        <w:rPr>
          <w:rFonts w:ascii="宋体" w:hAnsi="宋体" w:cs="楷体"/>
        </w:rPr>
      </w:pPr>
      <w:r>
        <w:rPr>
          <w:rFonts w:hint="eastAsia" w:ascii="宋体" w:hAnsi="宋体" w:cs="楷体"/>
        </w:rPr>
        <w:t xml:space="preserve"> 密封材质：EPDM／PTFE；</w:t>
      </w:r>
    </w:p>
    <w:p>
      <w:pPr>
        <w:spacing w:before="203" w:beforeLines="50" w:after="203" w:afterLines="50" w:line="320" w:lineRule="exact"/>
        <w:ind w:firstLine="500" w:firstLineChars="200"/>
        <w:rPr>
          <w:rFonts w:ascii="宋体" w:hAnsi="宋体" w:cs="楷体"/>
        </w:rPr>
      </w:pPr>
      <w:r>
        <w:rPr>
          <w:rFonts w:hint="eastAsia" w:ascii="宋体" w:hAnsi="宋体" w:cs="楷体"/>
        </w:rPr>
        <w:t>传动方式：回转电动驱动；</w:t>
      </w:r>
    </w:p>
    <w:p>
      <w:pPr>
        <w:spacing w:before="203" w:beforeLines="50" w:after="203" w:afterLines="50" w:line="320" w:lineRule="exact"/>
        <w:ind w:firstLine="500" w:firstLineChars="200"/>
        <w:rPr>
          <w:rFonts w:ascii="宋体" w:hAnsi="宋体" w:cs="楷体"/>
        </w:rPr>
      </w:pPr>
      <w:r>
        <w:rPr>
          <w:rFonts w:hint="eastAsia" w:ascii="宋体" w:hAnsi="宋体" w:cs="楷体"/>
        </w:rPr>
        <w:t>执行器材质：塑料外壳；</w:t>
      </w:r>
    </w:p>
    <w:p>
      <w:pPr>
        <w:spacing w:before="203" w:beforeLines="50" w:after="203" w:afterLines="50" w:line="320" w:lineRule="exact"/>
        <w:ind w:firstLine="500" w:firstLineChars="200"/>
        <w:rPr>
          <w:rFonts w:ascii="宋体" w:hAnsi="宋体" w:cs="楷体"/>
        </w:rPr>
      </w:pPr>
      <w:r>
        <w:rPr>
          <w:rFonts w:hint="eastAsia" w:ascii="宋体" w:hAnsi="宋体" w:cs="楷体"/>
        </w:rPr>
        <w:t>保护装置：过热保护；</w:t>
      </w:r>
    </w:p>
    <w:p>
      <w:pPr>
        <w:spacing w:before="203" w:beforeLines="50" w:after="203" w:afterLines="50" w:line="320" w:lineRule="exact"/>
        <w:ind w:firstLine="500" w:firstLineChars="200"/>
        <w:rPr>
          <w:rFonts w:ascii="宋体" w:hAnsi="宋体" w:cs="楷体"/>
        </w:rPr>
      </w:pPr>
      <w:r>
        <w:rPr>
          <w:rFonts w:hint="eastAsia" w:ascii="宋体" w:hAnsi="宋体" w:cs="楷体"/>
        </w:rPr>
        <w:t>动作时间：4－30秒；</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公称压力：1.0Mpa；</w:t>
      </w:r>
    </w:p>
    <w:p>
      <w:pPr>
        <w:spacing w:before="203" w:beforeLines="50" w:after="203" w:afterLines="50" w:line="320" w:lineRule="exact"/>
        <w:ind w:firstLine="500" w:firstLineChars="200"/>
        <w:rPr>
          <w:rFonts w:ascii="宋体" w:hAnsi="宋体" w:cs="楷体"/>
        </w:rPr>
      </w:pPr>
      <w:r>
        <w:rPr>
          <w:rFonts w:hint="eastAsia" w:ascii="宋体" w:hAnsi="宋体" w:cs="楷体"/>
        </w:rPr>
        <w:t>流体温度：-15℃－60℃（无冻结）；</w:t>
      </w:r>
    </w:p>
    <w:p>
      <w:pPr>
        <w:spacing w:before="203" w:beforeLines="50" w:after="203" w:afterLines="50" w:line="320" w:lineRule="exact"/>
        <w:ind w:firstLine="500" w:firstLineChars="200"/>
        <w:rPr>
          <w:rFonts w:ascii="宋体" w:hAnsi="宋体" w:cs="楷体"/>
        </w:rPr>
      </w:pPr>
      <w:r>
        <w:rPr>
          <w:rFonts w:hint="eastAsia" w:ascii="宋体" w:hAnsi="宋体" w:cs="楷体"/>
        </w:rPr>
        <w:t>环境温度：-25℃－55℃。</w:t>
      </w:r>
    </w:p>
    <w:p>
      <w:pPr>
        <w:pStyle w:val="1156"/>
        <w:numPr>
          <w:ilvl w:val="0"/>
          <w:numId w:val="129"/>
        </w:numPr>
        <w:ind w:firstLineChars="0"/>
        <w:rPr>
          <w:rFonts w:ascii="宋体" w:hAnsi="宋体"/>
          <w:b/>
        </w:rPr>
      </w:pPr>
      <w:r>
        <w:rPr>
          <w:rFonts w:hint="eastAsia" w:ascii="宋体" w:hAnsi="宋体"/>
          <w:b/>
        </w:rPr>
        <w:t>电气控制柜</w:t>
      </w:r>
    </w:p>
    <w:p>
      <w:pPr>
        <w:spacing w:before="203" w:beforeLines="50" w:after="203" w:afterLines="50" w:line="320" w:lineRule="exact"/>
        <w:ind w:firstLine="500" w:firstLineChars="200"/>
        <w:rPr>
          <w:rFonts w:ascii="宋体" w:hAnsi="宋体" w:cs="楷体"/>
        </w:rPr>
      </w:pPr>
      <w:r>
        <w:rPr>
          <w:rFonts w:hint="eastAsia" w:ascii="宋体" w:hAnsi="宋体" w:cs="楷体"/>
        </w:rPr>
        <w:t>数量：1 套。</w:t>
      </w:r>
    </w:p>
    <w:p>
      <w:pPr>
        <w:spacing w:before="203" w:beforeLines="50" w:after="203" w:afterLines="50" w:line="320" w:lineRule="exact"/>
        <w:ind w:firstLine="500" w:firstLineChars="200"/>
        <w:rPr>
          <w:rFonts w:ascii="宋体" w:hAnsi="宋体" w:cs="楷体"/>
        </w:rPr>
      </w:pPr>
      <w:r>
        <w:rPr>
          <w:rFonts w:hint="eastAsia" w:ascii="宋体" w:hAnsi="宋体" w:cs="楷体"/>
        </w:rPr>
        <w:t>整套系统应包括一套控制柜，防护等级IP55，环境腐蚀类别0类。采用PLC控制，现场控制柜包括触摸显示屏，可以实时显示、设置、修改工艺参数，控制粉碳溶液的制备及投加。泵的流量可以通过4-20mA信号调节。</w:t>
      </w:r>
    </w:p>
    <w:p>
      <w:pPr>
        <w:spacing w:before="203" w:beforeLines="50" w:after="203" w:afterLines="50" w:line="320" w:lineRule="exact"/>
        <w:ind w:firstLine="500" w:firstLineChars="200"/>
        <w:rPr>
          <w:rFonts w:ascii="宋体" w:hAnsi="宋体" w:cs="楷体"/>
        </w:rPr>
      </w:pPr>
      <w:r>
        <w:rPr>
          <w:rFonts w:hint="eastAsia" w:ascii="宋体" w:hAnsi="宋体" w:cs="楷体"/>
        </w:rPr>
        <w:t>用于加药系统的制备及投加装置，配置以太网方式接入全厂自控系统传输设备手动自动状态、开停情况以及故障等常规工况状态信号，并且在自动控制方式下可通过该以太网接口或现场总线接口接受厂区自动控制系统信号控制各加药系统的开停。所选用的现场总线通讯协议与厂区系统相一致，保证与厂区自控系统不经任何转换即可正常通讯端口。同时控制柜内配备所需的变频器。终端提供运行及报警端子接口。</w:t>
      </w:r>
    </w:p>
    <w:p>
      <w:pPr>
        <w:spacing w:before="203" w:beforeLines="50" w:after="203" w:afterLines="50" w:line="320" w:lineRule="exact"/>
        <w:ind w:firstLine="500" w:firstLineChars="200"/>
        <w:rPr>
          <w:rFonts w:ascii="宋体" w:hAnsi="宋体" w:cs="楷体"/>
        </w:rPr>
      </w:pPr>
      <w:r>
        <w:rPr>
          <w:rFonts w:hint="eastAsia" w:ascii="宋体" w:hAnsi="宋体" w:cs="楷体"/>
        </w:rPr>
        <w:t>系统还应具备以下功能：</w:t>
      </w:r>
    </w:p>
    <w:p>
      <w:pPr>
        <w:pStyle w:val="1156"/>
        <w:numPr>
          <w:ilvl w:val="0"/>
          <w:numId w:val="136"/>
        </w:numPr>
        <w:spacing w:before="203" w:beforeLines="50" w:after="203" w:afterLines="50" w:line="320" w:lineRule="exact"/>
        <w:ind w:firstLineChars="0"/>
        <w:rPr>
          <w:rFonts w:ascii="宋体" w:hAnsi="宋体" w:cs="楷体"/>
        </w:rPr>
      </w:pPr>
      <w:r>
        <w:rPr>
          <w:rFonts w:hint="eastAsia" w:ascii="宋体" w:hAnsi="宋体" w:cs="楷体"/>
        </w:rPr>
        <w:t>全套系统PLC控制。</w:t>
      </w:r>
    </w:p>
    <w:p>
      <w:pPr>
        <w:pStyle w:val="1156"/>
        <w:numPr>
          <w:ilvl w:val="0"/>
          <w:numId w:val="136"/>
        </w:numPr>
        <w:spacing w:before="203" w:beforeLines="50" w:after="203" w:afterLines="50" w:line="320" w:lineRule="exact"/>
        <w:ind w:firstLineChars="0"/>
        <w:rPr>
          <w:rFonts w:ascii="宋体" w:hAnsi="宋体" w:cs="楷体"/>
        </w:rPr>
      </w:pPr>
      <w:r>
        <w:rPr>
          <w:rFonts w:hint="eastAsia" w:ascii="宋体" w:hAnsi="宋体" w:cs="楷体"/>
        </w:rPr>
        <w:t>系统各设备的运行及报警显示。</w:t>
      </w:r>
    </w:p>
    <w:p>
      <w:pPr>
        <w:pStyle w:val="1156"/>
        <w:numPr>
          <w:ilvl w:val="0"/>
          <w:numId w:val="136"/>
        </w:numPr>
        <w:spacing w:before="203" w:beforeLines="50" w:after="203" w:afterLines="50" w:line="320" w:lineRule="exact"/>
        <w:ind w:firstLineChars="0"/>
        <w:rPr>
          <w:rFonts w:ascii="宋体" w:hAnsi="宋体" w:cs="楷体"/>
        </w:rPr>
      </w:pPr>
      <w:r>
        <w:rPr>
          <w:rFonts w:hint="eastAsia" w:ascii="宋体" w:hAnsi="宋体" w:cs="楷体"/>
        </w:rPr>
        <w:t>相关信号的远程输出。</w:t>
      </w:r>
    </w:p>
    <w:p>
      <w:pPr>
        <w:pStyle w:val="1156"/>
        <w:numPr>
          <w:ilvl w:val="0"/>
          <w:numId w:val="136"/>
        </w:numPr>
        <w:spacing w:before="203" w:beforeLines="50" w:after="203" w:afterLines="50" w:line="320" w:lineRule="exact"/>
        <w:ind w:firstLineChars="0"/>
        <w:rPr>
          <w:rFonts w:ascii="宋体" w:hAnsi="宋体" w:cs="楷体"/>
        </w:rPr>
      </w:pPr>
      <w:r>
        <w:rPr>
          <w:rFonts w:hint="eastAsia" w:ascii="宋体" w:hAnsi="宋体" w:cs="楷体"/>
        </w:rPr>
        <w:t>配以太网接口，与水厂现有控制系统兼容，实现上位机监控。</w:t>
      </w:r>
    </w:p>
    <w:p>
      <w:pPr>
        <w:pStyle w:val="1156"/>
        <w:numPr>
          <w:ilvl w:val="0"/>
          <w:numId w:val="136"/>
        </w:numPr>
        <w:spacing w:before="203" w:beforeLines="50" w:after="203" w:afterLines="50" w:line="320" w:lineRule="exact"/>
        <w:ind w:firstLineChars="0"/>
        <w:rPr>
          <w:rFonts w:ascii="宋体" w:hAnsi="宋体" w:cs="楷体"/>
        </w:rPr>
      </w:pPr>
      <w:r>
        <w:rPr>
          <w:rFonts w:hint="eastAsia" w:ascii="宋体" w:hAnsi="宋体" w:cs="楷体"/>
        </w:rPr>
        <w:t>按设定浓度自动配料。</w:t>
      </w:r>
    </w:p>
    <w:p>
      <w:pPr>
        <w:pStyle w:val="1156"/>
        <w:numPr>
          <w:ilvl w:val="0"/>
          <w:numId w:val="136"/>
        </w:numPr>
        <w:spacing w:before="203" w:beforeLines="50" w:after="203" w:afterLines="50" w:line="320" w:lineRule="exact"/>
        <w:ind w:firstLineChars="0"/>
        <w:rPr>
          <w:rFonts w:ascii="宋体" w:hAnsi="宋体" w:cs="楷体"/>
        </w:rPr>
      </w:pPr>
      <w:r>
        <w:rPr>
          <w:rFonts w:hint="eastAsia" w:ascii="宋体" w:hAnsi="宋体" w:cs="楷体"/>
        </w:rPr>
        <w:t>根据信号自动闭环投加。(信号由用户提供)</w:t>
      </w:r>
    </w:p>
    <w:p>
      <w:pPr>
        <w:keepNext/>
        <w:adjustRightInd w:val="0"/>
        <w:snapToGrid w:val="0"/>
        <w:spacing w:before="203" w:beforeLines="50" w:after="203" w:afterLines="50"/>
        <w:outlineLvl w:val="1"/>
        <w:rPr>
          <w:rFonts w:ascii="宋体" w:hAnsi="宋体" w:cs="楷体"/>
          <w:b/>
        </w:rPr>
      </w:pPr>
      <w:bookmarkStart w:id="6701" w:name="_Toc86356717"/>
      <w:bookmarkStart w:id="6702" w:name="_Toc106883738"/>
      <w:r>
        <w:rPr>
          <w:rFonts w:hint="eastAsia" w:ascii="宋体" w:hAnsi="宋体" w:cs="楷体"/>
          <w:b/>
        </w:rPr>
        <w:t>8.21起重机</w:t>
      </w:r>
      <w:bookmarkEnd w:id="6701"/>
      <w:bookmarkEnd w:id="6702"/>
    </w:p>
    <w:p>
      <w:pPr>
        <w:keepNext/>
        <w:adjustRightInd w:val="0"/>
        <w:snapToGrid w:val="0"/>
        <w:spacing w:before="203" w:beforeLines="50" w:after="203" w:afterLines="50"/>
        <w:outlineLvl w:val="2"/>
        <w:rPr>
          <w:rFonts w:ascii="宋体" w:hAnsi="宋体" w:cs="楷体"/>
          <w:b/>
        </w:rPr>
      </w:pPr>
      <w:bookmarkStart w:id="6703" w:name="_Toc106883739"/>
      <w:r>
        <w:rPr>
          <w:rFonts w:hint="eastAsia" w:ascii="宋体" w:hAnsi="宋体" w:cs="楷体"/>
          <w:b/>
        </w:rPr>
        <w:t>8.21.1概述</w:t>
      </w:r>
      <w:bookmarkEnd w:id="6703"/>
    </w:p>
    <w:p>
      <w:pPr>
        <w:adjustRightInd w:val="0"/>
        <w:snapToGrid w:val="0"/>
        <w:spacing w:before="203" w:beforeLines="50" w:after="203" w:afterLines="50"/>
        <w:ind w:firstLine="420"/>
        <w:rPr>
          <w:rFonts w:ascii="宋体" w:hAnsi="宋体" w:cs="楷体"/>
        </w:rPr>
      </w:pPr>
      <w:r>
        <w:rPr>
          <w:rFonts w:hint="eastAsia" w:ascii="宋体" w:hAnsi="宋体" w:cs="楷体"/>
        </w:rPr>
        <w:t>本工程在砂滤池及反冲洗泵房、送水泵房、污泥脱水机房分别配置安装起重机设备，为方便设备的吊装移动。</w:t>
      </w:r>
    </w:p>
    <w:p>
      <w:pPr>
        <w:keepNext/>
        <w:adjustRightInd w:val="0"/>
        <w:snapToGrid w:val="0"/>
        <w:spacing w:before="203" w:beforeLines="50" w:after="203" w:afterLines="50"/>
        <w:outlineLvl w:val="0"/>
        <w:rPr>
          <w:rFonts w:ascii="宋体" w:hAnsi="宋体" w:cs="楷体"/>
          <w:b/>
        </w:rPr>
      </w:pPr>
      <w:bookmarkStart w:id="6704" w:name="_Toc106883740"/>
      <w:r>
        <w:rPr>
          <w:rFonts w:hint="eastAsia" w:ascii="宋体" w:hAnsi="宋体" w:cs="楷体"/>
          <w:b/>
        </w:rPr>
        <w:t>8.21.2设备清单</w:t>
      </w:r>
      <w:bookmarkEnd w:id="6704"/>
    </w:p>
    <w:tbl>
      <w:tblPr>
        <w:tblStyle w:val="77"/>
        <w:tblW w:w="5000" w:type="pct"/>
        <w:tblInd w:w="0" w:type="dxa"/>
        <w:tblLayout w:type="autofit"/>
        <w:tblCellMar>
          <w:top w:w="0" w:type="dxa"/>
          <w:left w:w="108" w:type="dxa"/>
          <w:bottom w:w="0" w:type="dxa"/>
          <w:right w:w="108" w:type="dxa"/>
        </w:tblCellMar>
      </w:tblPr>
      <w:tblGrid>
        <w:gridCol w:w="659"/>
        <w:gridCol w:w="1639"/>
        <w:gridCol w:w="2658"/>
        <w:gridCol w:w="657"/>
        <w:gridCol w:w="657"/>
        <w:gridCol w:w="1596"/>
        <w:gridCol w:w="854"/>
      </w:tblGrid>
      <w:tr>
        <w:tblPrEx>
          <w:tblCellMar>
            <w:top w:w="0" w:type="dxa"/>
            <w:left w:w="108" w:type="dxa"/>
            <w:bottom w:w="0" w:type="dxa"/>
            <w:right w:w="108" w:type="dxa"/>
          </w:tblCellMar>
        </w:tblPrEx>
        <w:trPr>
          <w:trHeight w:val="227" w:hRule="atLeast"/>
        </w:trPr>
        <w:tc>
          <w:tcPr>
            <w:tcW w:w="37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序号</w:t>
            </w:r>
          </w:p>
        </w:tc>
        <w:tc>
          <w:tcPr>
            <w:tcW w:w="94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名称</w:t>
            </w:r>
          </w:p>
        </w:tc>
        <w:tc>
          <w:tcPr>
            <w:tcW w:w="152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规格参数</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单位</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数量</w:t>
            </w:r>
          </w:p>
        </w:tc>
        <w:tc>
          <w:tcPr>
            <w:tcW w:w="91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安装位置</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kern w:val="0"/>
              </w:rPr>
              <w:t>备注</w:t>
            </w:r>
          </w:p>
        </w:tc>
      </w:tr>
      <w:tr>
        <w:tblPrEx>
          <w:tblCellMar>
            <w:top w:w="0" w:type="dxa"/>
            <w:left w:w="108" w:type="dxa"/>
            <w:bottom w:w="0" w:type="dxa"/>
            <w:right w:w="108" w:type="dxa"/>
          </w:tblCellMar>
        </w:tblPrEx>
        <w:trPr>
          <w:trHeight w:val="227" w:hRule="atLeast"/>
        </w:trPr>
        <w:tc>
          <w:tcPr>
            <w:tcW w:w="37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94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电动葫芦</w:t>
            </w:r>
          </w:p>
        </w:tc>
        <w:tc>
          <w:tcPr>
            <w:tcW w:w="152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MD</w:t>
            </w:r>
            <w:r>
              <w:rPr>
                <w:rFonts w:ascii="宋体" w:hAnsi="宋体" w:cs="楷体"/>
              </w:rPr>
              <w:t>1</w:t>
            </w:r>
            <w:r>
              <w:rPr>
                <w:rFonts w:hint="eastAsia" w:ascii="宋体" w:hAnsi="宋体" w:cs="楷体"/>
              </w:rPr>
              <w:t xml:space="preserve"> 1-9D  N=1.5+2X0.2kw</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91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V型滤池</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滤池管廊</w:t>
            </w:r>
          </w:p>
        </w:tc>
      </w:tr>
      <w:tr>
        <w:tblPrEx>
          <w:tblCellMar>
            <w:top w:w="0" w:type="dxa"/>
            <w:left w:w="108" w:type="dxa"/>
            <w:bottom w:w="0" w:type="dxa"/>
            <w:right w:w="108" w:type="dxa"/>
          </w:tblCellMar>
        </w:tblPrEx>
        <w:trPr>
          <w:trHeight w:val="227" w:hRule="atLeast"/>
        </w:trPr>
        <w:tc>
          <w:tcPr>
            <w:tcW w:w="37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2</w:t>
            </w:r>
          </w:p>
        </w:tc>
        <w:tc>
          <w:tcPr>
            <w:tcW w:w="94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电动单梁悬挂起重机</w:t>
            </w:r>
          </w:p>
        </w:tc>
        <w:tc>
          <w:tcPr>
            <w:tcW w:w="152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Gn=3t，Lk=6m，N=2X0.4kw</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91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反冲洗泵房</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r>
      <w:tr>
        <w:tblPrEx>
          <w:tblCellMar>
            <w:top w:w="0" w:type="dxa"/>
            <w:left w:w="108" w:type="dxa"/>
            <w:bottom w:w="0" w:type="dxa"/>
            <w:right w:w="108" w:type="dxa"/>
          </w:tblCellMar>
        </w:tblPrEx>
        <w:trPr>
          <w:trHeight w:val="227" w:hRule="atLeast"/>
        </w:trPr>
        <w:tc>
          <w:tcPr>
            <w:tcW w:w="37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3</w:t>
            </w:r>
          </w:p>
        </w:tc>
        <w:tc>
          <w:tcPr>
            <w:tcW w:w="94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配套电动葫芦</w:t>
            </w:r>
          </w:p>
        </w:tc>
        <w:tc>
          <w:tcPr>
            <w:tcW w:w="152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MD3-11D，  N=4.5+2X0.4kw</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91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bottom"/>
              <w:rPr>
                <w:rFonts w:ascii="宋体" w:hAnsi="宋体" w:cs="楷体"/>
              </w:rPr>
            </w:pPr>
            <w:r>
              <w:rPr>
                <w:rFonts w:hint="eastAsia" w:ascii="宋体" w:hAnsi="宋体" w:cs="楷体"/>
              </w:rPr>
              <w:t>反冲洗泵房</w:t>
            </w:r>
          </w:p>
        </w:tc>
        <w:tc>
          <w:tcPr>
            <w:tcW w:w="489"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p>
        </w:tc>
      </w:tr>
      <w:tr>
        <w:tblPrEx>
          <w:tblCellMar>
            <w:top w:w="0" w:type="dxa"/>
            <w:left w:w="108" w:type="dxa"/>
            <w:bottom w:w="0" w:type="dxa"/>
            <w:right w:w="108" w:type="dxa"/>
          </w:tblCellMar>
        </w:tblPrEx>
        <w:trPr>
          <w:trHeight w:val="227" w:hRule="atLeast"/>
        </w:trPr>
        <w:tc>
          <w:tcPr>
            <w:tcW w:w="37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4</w:t>
            </w:r>
          </w:p>
        </w:tc>
        <w:tc>
          <w:tcPr>
            <w:tcW w:w="94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LX型电动单梁起重机</w:t>
            </w:r>
          </w:p>
        </w:tc>
        <w:tc>
          <w:tcPr>
            <w:tcW w:w="152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hint="eastAsia" w:ascii="宋体" w:hAnsi="宋体" w:eastAsia="宋体" w:cs="楷体"/>
                <w:lang w:eastAsia="zh-CN"/>
              </w:rPr>
            </w:pPr>
            <w:r>
              <w:rPr>
                <w:rFonts w:hint="eastAsia" w:ascii="宋体" w:hAnsi="宋体" w:cs="楷体"/>
              </w:rPr>
              <w:t xml:space="preserve">G=2T，Lk=6m N=2x1.5KW，  </w:t>
            </w:r>
          </w:p>
          <w:p>
            <w:pPr>
              <w:widowControl/>
              <w:adjustRightInd w:val="0"/>
              <w:snapToGrid w:val="0"/>
              <w:jc w:val="center"/>
              <w:textAlignment w:val="center"/>
              <w:rPr>
                <w:rFonts w:ascii="宋体" w:hAnsi="宋体" w:cs="楷体"/>
              </w:rPr>
            </w:pPr>
            <w:r>
              <w:rPr>
                <w:rFonts w:hint="eastAsia" w:ascii="宋体" w:hAnsi="宋体" w:cs="楷体"/>
              </w:rPr>
              <w:t>配套MD1电动葫芦5-9D，P=7.5+0.8kW</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915"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送水泵房</w:t>
            </w:r>
          </w:p>
        </w:tc>
        <w:tc>
          <w:tcPr>
            <w:tcW w:w="48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p>
        </w:tc>
      </w:tr>
      <w:tr>
        <w:tblPrEx>
          <w:tblCellMar>
            <w:top w:w="0" w:type="dxa"/>
            <w:left w:w="108" w:type="dxa"/>
            <w:bottom w:w="0" w:type="dxa"/>
            <w:right w:w="108" w:type="dxa"/>
          </w:tblCellMar>
        </w:tblPrEx>
        <w:trPr>
          <w:trHeight w:val="227" w:hRule="atLeast"/>
        </w:trPr>
        <w:tc>
          <w:tcPr>
            <w:tcW w:w="37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5</w:t>
            </w:r>
          </w:p>
        </w:tc>
        <w:tc>
          <w:tcPr>
            <w:tcW w:w="94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电动单梁悬挂起重机</w:t>
            </w:r>
          </w:p>
        </w:tc>
        <w:tc>
          <w:tcPr>
            <w:tcW w:w="152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Gn=2T，S=9m，N=2X0.4kw，</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915"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cs="楷体"/>
              </w:rPr>
              <w:t>污泥脱水机房</w:t>
            </w:r>
          </w:p>
        </w:tc>
        <w:tc>
          <w:tcPr>
            <w:tcW w:w="48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p>
        </w:tc>
      </w:tr>
      <w:tr>
        <w:tblPrEx>
          <w:tblCellMar>
            <w:top w:w="0" w:type="dxa"/>
            <w:left w:w="108" w:type="dxa"/>
            <w:bottom w:w="0" w:type="dxa"/>
            <w:right w:w="108" w:type="dxa"/>
          </w:tblCellMar>
        </w:tblPrEx>
        <w:trPr>
          <w:trHeight w:val="227" w:hRule="atLeast"/>
        </w:trPr>
        <w:tc>
          <w:tcPr>
            <w:tcW w:w="378"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6</w:t>
            </w:r>
          </w:p>
        </w:tc>
        <w:tc>
          <w:tcPr>
            <w:tcW w:w="940"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配套电动葫芦</w:t>
            </w:r>
          </w:p>
        </w:tc>
        <w:tc>
          <w:tcPr>
            <w:tcW w:w="1524"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MD1 2-12D，N=3.0+2X0.8kw</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套</w:t>
            </w:r>
          </w:p>
        </w:tc>
        <w:tc>
          <w:tcPr>
            <w:tcW w:w="377" w:type="pc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宋体" w:hAnsi="宋体" w:cs="楷体"/>
              </w:rPr>
            </w:pPr>
            <w:r>
              <w:rPr>
                <w:rFonts w:hint="eastAsia" w:ascii="宋体" w:hAnsi="宋体" w:cs="楷体"/>
              </w:rPr>
              <w:t>1</w:t>
            </w:r>
          </w:p>
        </w:tc>
        <w:tc>
          <w:tcPr>
            <w:tcW w:w="915" w:type="pct"/>
            <w:tcBorders>
              <w:top w:val="single" w:color="000000" w:sz="4" w:space="0"/>
              <w:left w:val="single" w:color="000000" w:sz="4" w:space="0"/>
              <w:bottom w:val="single" w:color="000000" w:sz="4" w:space="0"/>
              <w:right w:val="single" w:color="000000" w:sz="4" w:space="0"/>
            </w:tcBorders>
          </w:tcPr>
          <w:p>
            <w:pPr>
              <w:widowControl/>
              <w:adjustRightInd w:val="0"/>
              <w:snapToGrid w:val="0"/>
              <w:jc w:val="center"/>
              <w:textAlignment w:val="center"/>
              <w:rPr>
                <w:rFonts w:ascii="宋体" w:hAnsi="宋体" w:cs="楷体"/>
              </w:rPr>
            </w:pPr>
            <w:r>
              <w:rPr>
                <w:rFonts w:hint="eastAsia" w:ascii="宋体" w:hAnsi="宋体" w:cs="楷体"/>
              </w:rPr>
              <w:t>污泥脱水机房</w:t>
            </w:r>
          </w:p>
        </w:tc>
        <w:tc>
          <w:tcPr>
            <w:tcW w:w="489"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cs="楷体"/>
              </w:rPr>
            </w:pPr>
          </w:p>
        </w:tc>
      </w:tr>
    </w:tbl>
    <w:p>
      <w:pPr>
        <w:keepNext/>
        <w:adjustRightInd w:val="0"/>
        <w:snapToGrid w:val="0"/>
        <w:spacing w:before="203" w:beforeLines="50" w:after="203" w:afterLines="50"/>
        <w:outlineLvl w:val="2"/>
        <w:rPr>
          <w:rFonts w:ascii="宋体" w:hAnsi="宋体" w:cs="楷体"/>
          <w:b/>
        </w:rPr>
      </w:pPr>
      <w:bookmarkStart w:id="6705" w:name="_Toc106883741"/>
      <w:r>
        <w:rPr>
          <w:rFonts w:hint="eastAsia" w:ascii="宋体" w:hAnsi="宋体" w:cs="楷体"/>
          <w:b/>
        </w:rPr>
        <w:t>8.21.3供货范围</w:t>
      </w:r>
      <w:bookmarkEnd w:id="6705"/>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承包商提供的电动单梁悬挂式起重机应为成套设备，主要应包括：控制箱、地面操纵按钮、大车安全型滑触线、钢轨、大车梁、端梁、双速电动葫芦、电动葫芦移动电缆、钢绳、吊钩、通电指示灯、行程开关及固定件等有效和安全运行所需的附件。</w:t>
      </w:r>
    </w:p>
    <w:p>
      <w:pPr>
        <w:keepNext/>
        <w:adjustRightInd w:val="0"/>
        <w:snapToGrid w:val="0"/>
        <w:spacing w:before="203" w:beforeLines="50" w:after="203" w:afterLines="50"/>
        <w:outlineLvl w:val="0"/>
        <w:rPr>
          <w:rFonts w:ascii="宋体" w:hAnsi="宋体" w:cs="楷体"/>
          <w:b/>
          <w:bCs/>
        </w:rPr>
      </w:pPr>
      <w:bookmarkStart w:id="6706" w:name="_Toc106883742"/>
      <w:r>
        <w:rPr>
          <w:rFonts w:hint="eastAsia" w:ascii="宋体" w:hAnsi="宋体" w:cs="楷体"/>
          <w:b/>
          <w:bCs/>
        </w:rPr>
        <w:t>8.21.4技术要求</w:t>
      </w:r>
      <w:bookmarkEnd w:id="6706"/>
    </w:p>
    <w:p>
      <w:pPr>
        <w:adjustRightInd w:val="0"/>
        <w:snapToGrid w:val="0"/>
        <w:spacing w:before="203" w:beforeLines="50" w:after="203" w:afterLines="50"/>
        <w:outlineLvl w:val="0"/>
        <w:rPr>
          <w:rFonts w:ascii="宋体" w:hAnsi="宋体" w:cs="楷体"/>
          <w:b/>
          <w:bCs/>
        </w:rPr>
      </w:pPr>
      <w:bookmarkStart w:id="6707" w:name="_Toc106050508"/>
      <w:bookmarkStart w:id="6708" w:name="_Toc106883743"/>
      <w:r>
        <w:rPr>
          <w:rFonts w:hint="eastAsia" w:ascii="宋体" w:hAnsi="宋体" w:cs="楷体"/>
          <w:b/>
          <w:bCs/>
        </w:rPr>
        <w:t>8.21</w:t>
      </w:r>
      <w:r>
        <w:rPr>
          <w:rFonts w:ascii="宋体" w:hAnsi="宋体" w:cs="楷体"/>
          <w:b/>
          <w:bCs/>
        </w:rPr>
        <w:t>.</w:t>
      </w:r>
      <w:r>
        <w:rPr>
          <w:rFonts w:hint="eastAsia" w:ascii="宋体" w:hAnsi="宋体" w:cs="楷体"/>
          <w:b/>
          <w:bCs/>
        </w:rPr>
        <w:t>4.1 工艺条件</w:t>
      </w:r>
      <w:bookmarkEnd w:id="6707"/>
      <w:bookmarkEnd w:id="6708"/>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电动单梁桥式起重机安装在跨度较大的厂房或车间内，以装配、检修、起吊和运输重物。电动单梁桥式起重机使用的环境温度为-10～40C°。</w:t>
      </w:r>
    </w:p>
    <w:p>
      <w:pPr>
        <w:adjustRightInd w:val="0"/>
        <w:snapToGrid w:val="0"/>
        <w:spacing w:before="203" w:beforeLines="50" w:after="203" w:afterLines="50"/>
        <w:rPr>
          <w:rFonts w:ascii="宋体" w:hAnsi="宋体" w:cs="楷体"/>
          <w:b/>
          <w:bCs/>
        </w:rPr>
      </w:pPr>
      <w:r>
        <w:rPr>
          <w:rFonts w:hint="eastAsia" w:ascii="宋体" w:hAnsi="宋体" w:cs="楷体"/>
          <w:b/>
          <w:bCs/>
        </w:rPr>
        <w:t>8.21</w:t>
      </w:r>
      <w:r>
        <w:rPr>
          <w:rFonts w:ascii="宋体" w:hAnsi="宋体" w:cs="楷体"/>
          <w:b/>
          <w:bCs/>
        </w:rPr>
        <w:t>.</w:t>
      </w:r>
      <w:r>
        <w:rPr>
          <w:rFonts w:hint="eastAsia" w:ascii="宋体" w:hAnsi="宋体" w:cs="楷体"/>
          <w:b/>
          <w:bCs/>
        </w:rPr>
        <w:t>4.2 一般要求</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电动单梁悬挂式起重机的设计制造应符合JB2603《单梁起重机设计规范》。</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电动单梁悬挂式起重机的安全规程应符合GB6067 《起重机械安全规程》。</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电动单梁悬挂式起重机的试验规程应符合GB5905《起重机试验规范和程序》。</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电动单梁悬挂式起重机的电气装置应符合GB50257《电气装置安装工程施工及验收规范》。</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起重机为电动单梁悬挂结构，起重机应在高频调质的轨道下悬挂行走，操作方式为地面操作式。为了节能、安全、美观，起重机应采用安全滑触线导电。</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起重机应能顺利地起吊额定重量，并保证在静负荷下达到额定重量的1.25倍</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起重机应保证日常运行，确保25%的工作制。</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起重机在运行过程和起吊过程中大梁不应出现变形，大车不应出现越轨现象。</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起重机在规定的范围内不应出现吊钩下滑和钢丝绳断裂的现象。</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起重机在操作疏忽时应有安全保护装置，确保对起重机不造成损坏。</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起重机应能连续运行，同时也能间断运行或长时间停机后正常起动运行。</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起重机在设计工作范围内，大车必须做动、静负荷实验，起吊必须调整制动滑行距离。</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起重机所采用的所有板材应进行抛光预处理，进行除锈和刷防腐漆。主梁腹板等结构件应采用微机放样以保证起重机主梁的拱度。同时，主焊缝应全部采用CO</w:t>
      </w:r>
      <w:r>
        <w:rPr>
          <w:rFonts w:hint="eastAsia" w:ascii="宋体" w:hAnsi="宋体" w:cs="楷体"/>
          <w:vertAlign w:val="subscript"/>
        </w:rPr>
        <w:t>2</w:t>
      </w:r>
      <w:r>
        <w:rPr>
          <w:rFonts w:hint="eastAsia" w:ascii="宋体" w:hAnsi="宋体" w:cs="楷体"/>
        </w:rPr>
        <w:t>气体保护焊，各种车轮、车轮轴应全部进行调质处理。</w:t>
      </w:r>
    </w:p>
    <w:p>
      <w:pPr>
        <w:adjustRightInd w:val="0"/>
        <w:snapToGrid w:val="0"/>
        <w:spacing w:before="203" w:beforeLines="50" w:after="203" w:afterLines="50"/>
        <w:outlineLvl w:val="0"/>
        <w:rPr>
          <w:rFonts w:ascii="宋体" w:hAnsi="宋体" w:cs="楷体"/>
          <w:b/>
          <w:bCs/>
        </w:rPr>
      </w:pPr>
      <w:bookmarkStart w:id="6709" w:name="_Toc106050509"/>
      <w:bookmarkStart w:id="6710" w:name="_Toc106883744"/>
      <w:r>
        <w:rPr>
          <w:rFonts w:hint="eastAsia" w:ascii="宋体" w:hAnsi="宋体" w:cs="楷体"/>
          <w:b/>
          <w:bCs/>
        </w:rPr>
        <w:t>8.21</w:t>
      </w:r>
      <w:r>
        <w:rPr>
          <w:rFonts w:ascii="宋体" w:hAnsi="宋体" w:cs="楷体"/>
          <w:b/>
          <w:bCs/>
        </w:rPr>
        <w:t>.</w:t>
      </w:r>
      <w:r>
        <w:rPr>
          <w:rFonts w:hint="eastAsia" w:ascii="宋体" w:hAnsi="宋体" w:cs="楷体"/>
          <w:b/>
          <w:bCs/>
        </w:rPr>
        <w:t>4.</w:t>
      </w:r>
      <w:r>
        <w:rPr>
          <w:rFonts w:ascii="宋体" w:hAnsi="宋体" w:cs="楷体"/>
          <w:b/>
          <w:bCs/>
        </w:rPr>
        <w:t>3</w:t>
      </w:r>
      <w:r>
        <w:rPr>
          <w:rFonts w:hint="eastAsia" w:ascii="宋体" w:hAnsi="宋体" w:cs="楷体"/>
          <w:b/>
          <w:bCs/>
        </w:rPr>
        <w:t xml:space="preserve"> 结构</w:t>
      </w:r>
      <w:bookmarkEnd w:id="6709"/>
      <w:bookmarkEnd w:id="6710"/>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起重机主要包括控制箱、地面操纵按钮、大车安全型滑触线、钢轨、大车梁、端梁、双速电动葫芦、电动葫芦移动电缆、钢绳、吊钩、通电指示灯、行程开关及固定件等。</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大车车体应为刚性结构,不能有不正常弯曲。大车驱动应靠电动机通过减速机驱动小车驱动轴完成。单梁车体要有一个滚轴稳定器,防止大车在工作时倾斜。大车轮子的材料为热处理的轧钢、锻钢。轮轴材料经过精制加工和磨光，能装配内轴承垫圈。当使用旋转轴时，轮子要安装压力器和键，或单独安装键。所有齿轮均是螺旋齿、直齿或人字形齿，齿轮由轧钢或铸钢制造，并加工成20度压力齿合角。轴承为径向和止推型、双排，角接触球轴承，或为排推型滚子轴承。轴承在安装前要润滑和封密。大车的制动器按所指定的工作等级装配，大车还要配备脉动阻尼器。起重设备上的所有部件如小车车轮、轮轴、减速机、轴承等都要符合GB/T14405-93标准或等同标准。</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吊葫芦机械部分由卷筒、驱动设备、负载箱、吊钩、钢索、滑轮和制动器组成。当吊钩在最低点时，卷筒上至少有两圈钢索。卷筒尺寸和钢索长度依据设计图纸确定。负载箱采用封闭式，要防止干扰。钢索应有足够的柔性和韧性。吊钩符合GB/T10051.1-1988标准或等同标准。要求有足够的韧性，使过载时，吊钩失效前有足够的自由度，吊钩要装设安全门。在额定荷载下，吊钩可旋转360°起重机要配备电动制动和机械制动，两种制动均符合GB3811-1983《起重机设计规范》标准，并能调节以补偿耗损。</w:t>
      </w:r>
    </w:p>
    <w:p>
      <w:pPr>
        <w:adjustRightInd w:val="0"/>
        <w:snapToGrid w:val="0"/>
        <w:spacing w:before="203" w:beforeLines="50" w:after="203" w:afterLines="50"/>
        <w:ind w:firstLine="500" w:firstLineChars="200"/>
        <w:rPr>
          <w:rFonts w:ascii="宋体" w:hAnsi="宋体" w:cs="楷体"/>
        </w:rPr>
      </w:pPr>
      <w:r>
        <w:rPr>
          <w:rFonts w:hint="eastAsia" w:ascii="宋体" w:hAnsi="宋体" w:cs="楷体"/>
        </w:rPr>
        <w:t>起重机制造商要在起重机上装配电气装置，包括电机、电机启动器、悬挂控制及导线管等。电机为鼠笼式，符合GB755-87《旋转电机基本技术要求》标准。运转30min以上，温升符合GB4942.1-85标准。鼠笼式电机应配有抗磨轴承，设计符合GB76165标准。在全负荷时，具有低启动电流和高启动扭矩。交流电机各相均需配备过载继电器。轨道导线为滑阻线型。当建筑物系统设计电压的偏差为5%时，轨道和大车导线从控制起重机的电机轨道电源到运行之间的偏差为10%。滑阻导线为封闭在绝缘材料箱中的镀锌钢带组成，集电器为滑块式，弹簧压紧。电缆筒导线为柔性电缆，并有一个反向弹簧回收轮。电缆的最大垂量不超过1.0m。起重机应配备瞬时接触按钮的控制器，当任意一根电线断电时，它可以使所有的电机停止工作，直到重新操作为止。每个电机还应配备低电压保护器。大车应设有慢起动装置。起重机要配备控制器，控制器由电缆垂下，控制器上有控制起重机、轴道、大车停止和起动等按钮。</w:t>
      </w:r>
    </w:p>
    <w:p>
      <w:pPr>
        <w:adjustRightInd w:val="0"/>
        <w:snapToGrid w:val="0"/>
        <w:spacing w:before="203" w:beforeLines="50" w:after="203" w:afterLines="50"/>
        <w:outlineLvl w:val="0"/>
        <w:rPr>
          <w:rFonts w:ascii="宋体" w:hAnsi="宋体" w:cs="楷体"/>
          <w:b/>
          <w:bCs/>
        </w:rPr>
      </w:pPr>
      <w:bookmarkStart w:id="6711" w:name="_Toc106050510"/>
      <w:bookmarkStart w:id="6712" w:name="_Toc106883745"/>
      <w:r>
        <w:rPr>
          <w:rFonts w:hint="eastAsia" w:ascii="宋体" w:hAnsi="宋体" w:cs="楷体"/>
          <w:b/>
          <w:bCs/>
        </w:rPr>
        <w:t>8.21</w:t>
      </w:r>
      <w:r>
        <w:rPr>
          <w:rFonts w:ascii="宋体" w:hAnsi="宋体" w:cs="楷体"/>
          <w:b/>
          <w:bCs/>
        </w:rPr>
        <w:t>.</w:t>
      </w:r>
      <w:r>
        <w:rPr>
          <w:rFonts w:hint="eastAsia" w:ascii="宋体" w:hAnsi="宋体" w:cs="楷体"/>
          <w:b/>
          <w:bCs/>
        </w:rPr>
        <w:t>4.</w:t>
      </w:r>
      <w:r>
        <w:rPr>
          <w:rFonts w:ascii="宋体" w:hAnsi="宋体" w:cs="楷体"/>
          <w:b/>
          <w:bCs/>
        </w:rPr>
        <w:t>4</w:t>
      </w:r>
      <w:r>
        <w:rPr>
          <w:rFonts w:hint="eastAsia" w:ascii="宋体" w:hAnsi="宋体" w:cs="楷体"/>
          <w:b/>
          <w:bCs/>
        </w:rPr>
        <w:t xml:space="preserve"> 测试、检查、验收和寿命</w:t>
      </w:r>
      <w:bookmarkEnd w:id="6711"/>
      <w:bookmarkEnd w:id="6712"/>
    </w:p>
    <w:p>
      <w:pPr>
        <w:adjustRightInd w:val="0"/>
        <w:snapToGrid w:val="0"/>
        <w:spacing w:before="203" w:beforeLines="50" w:after="203" w:afterLines="50"/>
        <w:ind w:firstLine="500" w:firstLineChars="200"/>
        <w:rPr>
          <w:rFonts w:ascii="宋体" w:hAnsi="宋体" w:cs="楷体"/>
          <w:bCs/>
        </w:rPr>
      </w:pPr>
      <w:r>
        <w:rPr>
          <w:rFonts w:hint="eastAsia" w:ascii="宋体" w:hAnsi="宋体" w:cs="楷体"/>
        </w:rPr>
        <w:t>应符合招标文件规定的有关条款规定，并</w:t>
      </w:r>
      <w:r>
        <w:rPr>
          <w:rFonts w:hint="eastAsia" w:ascii="宋体" w:hAnsi="宋体" w:cs="楷体"/>
          <w:bCs/>
        </w:rPr>
        <w:t>应按GB50278《起重设备安装工程施工和验收规范》进行安装和现场荷载试验。</w:t>
      </w:r>
    </w:p>
    <w:p>
      <w:pPr>
        <w:keepNext/>
        <w:spacing w:line="480" w:lineRule="auto"/>
        <w:jc w:val="center"/>
        <w:outlineLvl w:val="0"/>
        <w:rPr>
          <w:rFonts w:ascii="宋体" w:hAnsi="宋体"/>
          <w:b/>
          <w:sz w:val="32"/>
        </w:rPr>
      </w:pPr>
      <w:r>
        <w:rPr>
          <w:rFonts w:ascii="宋体" w:hAnsi="宋体"/>
          <w:bCs/>
        </w:rPr>
        <w:br w:type="page"/>
      </w:r>
      <w:bookmarkStart w:id="6713" w:name="_Toc86356718"/>
      <w:bookmarkStart w:id="6714" w:name="_Toc106883746"/>
      <w:r>
        <w:rPr>
          <w:rFonts w:hint="eastAsia" w:ascii="宋体" w:hAnsi="宋体"/>
          <w:b/>
          <w:sz w:val="32"/>
        </w:rPr>
        <w:t>9</w:t>
      </w:r>
      <w:r>
        <w:rPr>
          <w:rFonts w:ascii="宋体" w:hAnsi="宋体"/>
          <w:b/>
          <w:sz w:val="32"/>
        </w:rPr>
        <w:t>低压电气设备</w:t>
      </w:r>
      <w:bookmarkEnd w:id="6713"/>
      <w:r>
        <w:rPr>
          <w:rFonts w:hint="eastAsia" w:ascii="宋体" w:hAnsi="宋体"/>
          <w:b/>
          <w:sz w:val="32"/>
        </w:rPr>
        <w:t>详细技术要求</w:t>
      </w:r>
      <w:bookmarkEnd w:id="6714"/>
    </w:p>
    <w:p>
      <w:pPr>
        <w:keepNext/>
        <w:tabs>
          <w:tab w:val="left" w:pos="993"/>
        </w:tabs>
        <w:adjustRightInd w:val="0"/>
        <w:snapToGrid w:val="0"/>
        <w:spacing w:before="203" w:beforeLines="50" w:after="203" w:afterLines="50"/>
        <w:outlineLvl w:val="0"/>
        <w:rPr>
          <w:rFonts w:ascii="宋体" w:hAnsi="宋体"/>
          <w:b/>
          <w:bCs/>
        </w:rPr>
      </w:pPr>
      <w:bookmarkStart w:id="6715" w:name="_Toc451019063"/>
      <w:bookmarkStart w:id="6716" w:name="_Toc267907179"/>
      <w:bookmarkStart w:id="6717" w:name="_Toc342643001"/>
      <w:bookmarkStart w:id="6718" w:name="_Toc456692009"/>
      <w:bookmarkStart w:id="6719" w:name="_Toc269721506"/>
      <w:bookmarkStart w:id="6720" w:name="_Toc230517880"/>
      <w:bookmarkStart w:id="6721" w:name="_Toc216499827"/>
      <w:bookmarkStart w:id="6722" w:name="_Toc153717190"/>
      <w:bookmarkStart w:id="6723" w:name="_Toc230516740"/>
      <w:bookmarkStart w:id="6724" w:name="_Toc267906675"/>
      <w:bookmarkStart w:id="6725" w:name="_Toc261105228"/>
      <w:bookmarkStart w:id="6726" w:name="_Toc299629430"/>
      <w:bookmarkStart w:id="6727" w:name="_Toc405665285"/>
      <w:bookmarkStart w:id="6728" w:name="_Toc300754159"/>
      <w:bookmarkStart w:id="6729" w:name="_Toc216776479"/>
      <w:bookmarkStart w:id="6730" w:name="_Toc304901180"/>
      <w:bookmarkStart w:id="6731" w:name="_Toc267907718"/>
      <w:bookmarkStart w:id="6732" w:name="_Toc106883747"/>
      <w:r>
        <w:rPr>
          <w:rFonts w:hint="eastAsia" w:ascii="宋体" w:hAnsi="宋体"/>
          <w:b/>
          <w:bCs/>
        </w:rPr>
        <w:t>9.1</w:t>
      </w:r>
      <w:r>
        <w:rPr>
          <w:rFonts w:ascii="宋体" w:hAnsi="宋体"/>
          <w:b/>
          <w:bCs/>
        </w:rPr>
        <w:t>功能概述</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p>
    <w:p>
      <w:pPr>
        <w:adjustRightInd w:val="0"/>
        <w:snapToGrid w:val="0"/>
        <w:spacing w:before="203" w:beforeLines="50" w:after="203" w:afterLines="50"/>
        <w:ind w:firstLine="500" w:firstLineChars="200"/>
        <w:rPr>
          <w:rFonts w:ascii="宋体" w:hAnsi="宋体"/>
        </w:rPr>
      </w:pPr>
      <w:r>
        <w:rPr>
          <w:rFonts w:ascii="宋体" w:hAnsi="宋体"/>
        </w:rPr>
        <w:t>本章节招标内容包括开关柜、动力配电柜、</w:t>
      </w:r>
      <w:r>
        <w:rPr>
          <w:rFonts w:hint="eastAsia" w:ascii="宋体" w:hAnsi="宋体"/>
        </w:rPr>
        <w:t>变频柜</w:t>
      </w:r>
      <w:r>
        <w:rPr>
          <w:rFonts w:ascii="宋体" w:hAnsi="宋体"/>
        </w:rPr>
        <w:t>、</w:t>
      </w:r>
      <w:r>
        <w:rPr>
          <w:rFonts w:hint="eastAsia" w:ascii="宋体" w:hAnsi="宋体"/>
        </w:rPr>
        <w:t>电容器柜</w:t>
      </w:r>
      <w:r>
        <w:rPr>
          <w:rFonts w:ascii="宋体" w:hAnsi="宋体"/>
        </w:rPr>
        <w:t>及就地箱等。涉及水厂各低压配电系统，包括</w:t>
      </w:r>
      <w:r>
        <w:rPr>
          <w:rFonts w:hint="eastAsia" w:ascii="宋体" w:hAnsi="宋体"/>
        </w:rPr>
        <w:t>混合絮凝、平流沉淀池及叠合清水池、加药间</w:t>
      </w:r>
      <w:r>
        <w:rPr>
          <w:rFonts w:ascii="宋体" w:hAnsi="宋体"/>
        </w:rPr>
        <w:t>、</w:t>
      </w:r>
      <w:r>
        <w:rPr>
          <w:rFonts w:hint="eastAsia" w:ascii="宋体" w:hAnsi="宋体"/>
        </w:rPr>
        <w:t>砂滤池及反冲洗泵房、送水泵房及变电所、回收水池及排泥池、污泥浓缩池、脱水机房</w:t>
      </w:r>
      <w:r>
        <w:rPr>
          <w:rFonts w:ascii="宋体" w:hAnsi="宋体"/>
        </w:rPr>
        <w:t>等建（构）筑物内的配电设备。</w:t>
      </w:r>
    </w:p>
    <w:p>
      <w:pPr>
        <w:keepNext/>
        <w:tabs>
          <w:tab w:val="left" w:pos="993"/>
        </w:tabs>
        <w:adjustRightInd w:val="0"/>
        <w:snapToGrid w:val="0"/>
        <w:spacing w:before="203" w:beforeLines="50" w:after="203" w:afterLines="50"/>
        <w:outlineLvl w:val="0"/>
        <w:rPr>
          <w:rFonts w:ascii="宋体" w:hAnsi="宋体"/>
          <w:b/>
          <w:bCs/>
        </w:rPr>
      </w:pPr>
      <w:bookmarkStart w:id="6733" w:name="_Toc405665286"/>
      <w:bookmarkStart w:id="6734" w:name="_Toc300754160"/>
      <w:bookmarkStart w:id="6735" w:name="_Toc267907719"/>
      <w:bookmarkStart w:id="6736" w:name="_Toc230516741"/>
      <w:bookmarkStart w:id="6737" w:name="_Toc269721507"/>
      <w:bookmarkStart w:id="6738" w:name="_Toc299629431"/>
      <w:bookmarkStart w:id="6739" w:name="_Toc342643002"/>
      <w:bookmarkStart w:id="6740" w:name="_Toc216776480"/>
      <w:bookmarkStart w:id="6741" w:name="_Toc456692010"/>
      <w:bookmarkStart w:id="6742" w:name="_Toc267906676"/>
      <w:bookmarkStart w:id="6743" w:name="_Toc267907180"/>
      <w:bookmarkStart w:id="6744" w:name="_Toc261105229"/>
      <w:bookmarkStart w:id="6745" w:name="_Toc451019064"/>
      <w:bookmarkStart w:id="6746" w:name="_Toc230517881"/>
      <w:bookmarkStart w:id="6747" w:name="_Toc155167972"/>
      <w:bookmarkStart w:id="6748" w:name="_Toc304901181"/>
      <w:bookmarkStart w:id="6749" w:name="_Toc216499828"/>
      <w:bookmarkStart w:id="6750" w:name="_Toc106883748"/>
      <w:r>
        <w:rPr>
          <w:rFonts w:hint="eastAsia" w:ascii="宋体" w:hAnsi="宋体"/>
          <w:b/>
          <w:bCs/>
        </w:rPr>
        <w:t>9.2</w:t>
      </w:r>
      <w:r>
        <w:rPr>
          <w:rFonts w:ascii="宋体" w:hAnsi="宋体"/>
          <w:b/>
          <w:bCs/>
        </w:rPr>
        <w:t>供货范围</w:t>
      </w:r>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pPr>
        <w:adjustRightInd w:val="0"/>
        <w:snapToGrid w:val="0"/>
        <w:spacing w:before="203" w:beforeLines="50" w:after="203" w:afterLines="50"/>
        <w:ind w:firstLine="500" w:firstLineChars="200"/>
        <w:rPr>
          <w:rFonts w:ascii="宋体" w:hAnsi="宋体"/>
        </w:rPr>
      </w:pPr>
      <w:r>
        <w:rPr>
          <w:rFonts w:ascii="宋体" w:hAnsi="宋体"/>
        </w:rPr>
        <w:t>凡是没有说明不要的、与所供设备相关的配套辅件、安装底座、备品备件、专用及维修工具等都应包括在供货范围内。</w:t>
      </w:r>
    </w:p>
    <w:p>
      <w:pPr>
        <w:adjustRightInd w:val="0"/>
        <w:snapToGrid w:val="0"/>
        <w:spacing w:before="203" w:beforeLines="50" w:after="203" w:afterLines="50"/>
        <w:ind w:firstLine="500" w:firstLineChars="200"/>
        <w:rPr>
          <w:rFonts w:ascii="宋体" w:hAnsi="宋体"/>
        </w:rPr>
      </w:pPr>
      <w:r>
        <w:rPr>
          <w:rFonts w:ascii="宋体" w:hAnsi="宋体"/>
        </w:rPr>
        <w:t>本采购设备清单应与投标人须知、合同规定的一般条款、专用条款、电气设备技术规格数据表、招标图纸及技术规范同时阅读。设备清单如下：</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026"/>
        <w:gridCol w:w="2888"/>
        <w:gridCol w:w="682"/>
        <w:gridCol w:w="831"/>
        <w:gridCol w:w="1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b/>
                <w:bCs/>
              </w:rPr>
            </w:pPr>
            <w:r>
              <w:rPr>
                <w:rFonts w:ascii="宋体" w:hAnsi="宋体"/>
                <w:b/>
                <w:bCs/>
              </w:rPr>
              <w:t>序号</w:t>
            </w:r>
          </w:p>
        </w:tc>
        <w:tc>
          <w:tcPr>
            <w:tcW w:w="2026" w:type="dxa"/>
            <w:shd w:val="clear" w:color="auto" w:fill="auto"/>
          </w:tcPr>
          <w:p>
            <w:pPr>
              <w:adjustRightInd w:val="0"/>
              <w:snapToGrid w:val="0"/>
              <w:jc w:val="center"/>
              <w:rPr>
                <w:rFonts w:ascii="宋体" w:hAnsi="宋体"/>
                <w:b/>
                <w:bCs/>
              </w:rPr>
            </w:pPr>
            <w:r>
              <w:rPr>
                <w:rFonts w:ascii="宋体" w:hAnsi="宋体"/>
                <w:b/>
                <w:bCs/>
              </w:rPr>
              <w:t>名称</w:t>
            </w:r>
          </w:p>
        </w:tc>
        <w:tc>
          <w:tcPr>
            <w:tcW w:w="2888" w:type="dxa"/>
            <w:shd w:val="clear" w:color="auto" w:fill="auto"/>
          </w:tcPr>
          <w:p>
            <w:pPr>
              <w:adjustRightInd w:val="0"/>
              <w:snapToGrid w:val="0"/>
              <w:jc w:val="center"/>
              <w:rPr>
                <w:rFonts w:ascii="宋体" w:hAnsi="宋体"/>
                <w:b/>
                <w:bCs/>
              </w:rPr>
            </w:pPr>
            <w:r>
              <w:rPr>
                <w:rFonts w:ascii="宋体" w:hAnsi="宋体"/>
                <w:b/>
                <w:bCs/>
              </w:rPr>
              <w:t>型号</w:t>
            </w:r>
          </w:p>
        </w:tc>
        <w:tc>
          <w:tcPr>
            <w:tcW w:w="682" w:type="dxa"/>
            <w:shd w:val="clear" w:color="auto" w:fill="auto"/>
          </w:tcPr>
          <w:p>
            <w:pPr>
              <w:adjustRightInd w:val="0"/>
              <w:snapToGrid w:val="0"/>
              <w:jc w:val="center"/>
              <w:rPr>
                <w:rFonts w:ascii="宋体" w:hAnsi="宋体"/>
                <w:b/>
                <w:bCs/>
              </w:rPr>
            </w:pPr>
            <w:r>
              <w:rPr>
                <w:rFonts w:ascii="宋体" w:hAnsi="宋体"/>
                <w:b/>
                <w:bCs/>
              </w:rPr>
              <w:t>单位</w:t>
            </w:r>
          </w:p>
        </w:tc>
        <w:tc>
          <w:tcPr>
            <w:tcW w:w="831" w:type="dxa"/>
            <w:shd w:val="clear" w:color="auto" w:fill="auto"/>
          </w:tcPr>
          <w:p>
            <w:pPr>
              <w:adjustRightInd w:val="0"/>
              <w:snapToGrid w:val="0"/>
              <w:jc w:val="center"/>
              <w:rPr>
                <w:rFonts w:ascii="宋体" w:hAnsi="宋体"/>
                <w:b/>
                <w:bCs/>
              </w:rPr>
            </w:pPr>
            <w:r>
              <w:rPr>
                <w:rFonts w:ascii="宋体" w:hAnsi="宋体"/>
                <w:b/>
                <w:bCs/>
              </w:rPr>
              <w:t>数量</w:t>
            </w:r>
          </w:p>
        </w:tc>
        <w:tc>
          <w:tcPr>
            <w:tcW w:w="1388" w:type="dxa"/>
            <w:shd w:val="clear" w:color="auto" w:fill="auto"/>
          </w:tcPr>
          <w:p>
            <w:pPr>
              <w:adjustRightInd w:val="0"/>
              <w:snapToGrid w:val="0"/>
              <w:jc w:val="center"/>
              <w:rPr>
                <w:rFonts w:ascii="宋体" w:hAnsi="宋体"/>
                <w:b/>
                <w:bCs/>
              </w:rPr>
            </w:pPr>
            <w:r>
              <w:rPr>
                <w:rFonts w:ascii="宋体" w:hAnsi="宋体"/>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tcPr>
          <w:p>
            <w:pPr>
              <w:adjustRightInd w:val="0"/>
              <w:snapToGrid w:val="0"/>
              <w:jc w:val="center"/>
              <w:rPr>
                <w:rFonts w:ascii="宋体" w:hAnsi="宋体"/>
                <w:b/>
                <w:bCs/>
              </w:rPr>
            </w:pPr>
            <w:r>
              <w:rPr>
                <w:rFonts w:hint="eastAsia" w:ascii="宋体" w:hAnsi="宋体"/>
                <w:b/>
                <w:bCs/>
              </w:rPr>
              <w:t>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sz w:val="22"/>
                <w:szCs w:val="22"/>
              </w:rPr>
              <w:t>1</w:t>
            </w:r>
          </w:p>
        </w:tc>
        <w:tc>
          <w:tcPr>
            <w:tcW w:w="2026" w:type="dxa"/>
            <w:shd w:val="clear" w:color="auto" w:fill="auto"/>
            <w:vAlign w:val="center"/>
          </w:tcPr>
          <w:p>
            <w:pPr>
              <w:adjustRightInd w:val="0"/>
              <w:snapToGrid w:val="0"/>
              <w:jc w:val="center"/>
              <w:rPr>
                <w:rFonts w:ascii="宋体" w:hAnsi="宋体"/>
              </w:rPr>
            </w:pPr>
            <w:r>
              <w:rPr>
                <w:rFonts w:hint="eastAsia" w:ascii="宋体" w:hAnsi="宋体"/>
              </w:rPr>
              <w:t>厂区路灯</w:t>
            </w:r>
          </w:p>
        </w:tc>
        <w:tc>
          <w:tcPr>
            <w:tcW w:w="2888" w:type="dxa"/>
            <w:shd w:val="clear" w:color="auto" w:fill="auto"/>
            <w:vAlign w:val="center"/>
          </w:tcPr>
          <w:p>
            <w:pPr>
              <w:adjustRightInd w:val="0"/>
              <w:snapToGrid w:val="0"/>
              <w:jc w:val="center"/>
              <w:rPr>
                <w:rFonts w:ascii="宋体" w:hAnsi="宋体"/>
              </w:rPr>
            </w:pPr>
            <w:r>
              <w:rPr>
                <w:rFonts w:hint="eastAsia" w:ascii="宋体" w:hAnsi="宋体"/>
              </w:rPr>
              <w:t>70W LED灯 IP65</w:t>
            </w:r>
          </w:p>
        </w:tc>
        <w:tc>
          <w:tcPr>
            <w:tcW w:w="682" w:type="dxa"/>
            <w:shd w:val="clear" w:color="auto" w:fill="auto"/>
            <w:vAlign w:val="center"/>
          </w:tcPr>
          <w:p>
            <w:pPr>
              <w:adjustRightInd w:val="0"/>
              <w:snapToGrid w:val="0"/>
              <w:jc w:val="center"/>
              <w:rPr>
                <w:rFonts w:ascii="宋体" w:hAnsi="宋体"/>
              </w:rPr>
            </w:pPr>
            <w:r>
              <w:rPr>
                <w:rFonts w:hint="eastAsia" w:ascii="宋体" w:hAnsi="宋体"/>
              </w:rPr>
              <w:t>盏</w:t>
            </w:r>
          </w:p>
        </w:tc>
        <w:tc>
          <w:tcPr>
            <w:tcW w:w="831" w:type="dxa"/>
            <w:shd w:val="clear" w:color="auto" w:fill="auto"/>
            <w:vAlign w:val="center"/>
          </w:tcPr>
          <w:p>
            <w:pPr>
              <w:adjustRightInd w:val="0"/>
              <w:snapToGrid w:val="0"/>
              <w:jc w:val="center"/>
              <w:rPr>
                <w:rFonts w:ascii="宋体" w:hAnsi="宋体"/>
              </w:rPr>
            </w:pPr>
            <w:r>
              <w:rPr>
                <w:rFonts w:hint="eastAsia" w:ascii="宋体" w:hAnsi="宋体"/>
              </w:rPr>
              <w:t>18</w:t>
            </w:r>
          </w:p>
        </w:tc>
        <w:tc>
          <w:tcPr>
            <w:tcW w:w="1388" w:type="dxa"/>
            <w:shd w:val="clear" w:color="auto" w:fill="auto"/>
            <w:vAlign w:val="center"/>
          </w:tcPr>
          <w:p>
            <w:pPr>
              <w:adjustRightInd w:val="0"/>
              <w:snapToGrid w:val="0"/>
              <w:jc w:val="center"/>
              <w:rPr>
                <w:rFonts w:ascii="宋体" w:hAnsi="宋体"/>
              </w:rPr>
            </w:pPr>
            <w:r>
              <w:rPr>
                <w:rFonts w:hint="eastAsia" w:ascii="宋体" w:hAnsi="宋体"/>
              </w:rPr>
              <w:t>H=4m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sz w:val="22"/>
                <w:szCs w:val="22"/>
              </w:rPr>
              <w:t>2</w:t>
            </w:r>
          </w:p>
        </w:tc>
        <w:tc>
          <w:tcPr>
            <w:tcW w:w="2026" w:type="dxa"/>
            <w:shd w:val="clear" w:color="auto" w:fill="auto"/>
            <w:vAlign w:val="center"/>
          </w:tcPr>
          <w:p>
            <w:pPr>
              <w:adjustRightInd w:val="0"/>
              <w:snapToGrid w:val="0"/>
              <w:jc w:val="center"/>
              <w:rPr>
                <w:rFonts w:ascii="宋体" w:hAnsi="宋体"/>
              </w:rPr>
            </w:pPr>
            <w:r>
              <w:rPr>
                <w:rFonts w:hint="eastAsia" w:ascii="宋体" w:hAnsi="宋体"/>
              </w:rPr>
              <w:t>电力电缆</w:t>
            </w:r>
          </w:p>
        </w:tc>
        <w:tc>
          <w:tcPr>
            <w:tcW w:w="2888" w:type="dxa"/>
            <w:shd w:val="clear" w:color="auto" w:fill="auto"/>
            <w:vAlign w:val="center"/>
          </w:tcPr>
          <w:p>
            <w:pPr>
              <w:adjustRightInd w:val="0"/>
              <w:snapToGrid w:val="0"/>
              <w:jc w:val="center"/>
              <w:rPr>
                <w:rFonts w:ascii="宋体" w:hAnsi="宋体"/>
              </w:rPr>
            </w:pPr>
            <w:r>
              <w:rPr>
                <w:rFonts w:hint="eastAsia" w:ascii="宋体" w:hAnsi="宋体"/>
              </w:rPr>
              <w:t>YJV-0.6/1KV-3X120+2X70</w:t>
            </w:r>
          </w:p>
        </w:tc>
        <w:tc>
          <w:tcPr>
            <w:tcW w:w="682" w:type="dxa"/>
            <w:shd w:val="clear" w:color="auto" w:fill="auto"/>
            <w:vAlign w:val="center"/>
          </w:tcPr>
          <w:p>
            <w:pPr>
              <w:adjustRightInd w:val="0"/>
              <w:snapToGrid w:val="0"/>
              <w:jc w:val="center"/>
              <w:rPr>
                <w:rFonts w:ascii="宋体" w:hAnsi="宋体"/>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rPr>
            </w:pPr>
            <w:r>
              <w:rPr>
                <w:rFonts w:hint="eastAsia" w:ascii="宋体" w:hAnsi="宋体"/>
              </w:rPr>
              <w:t>860</w:t>
            </w:r>
          </w:p>
        </w:tc>
        <w:tc>
          <w:tcPr>
            <w:tcW w:w="1388" w:type="dxa"/>
            <w:shd w:val="clear" w:color="auto" w:fill="auto"/>
            <w:vAlign w:val="center"/>
          </w:tcPr>
          <w:p>
            <w:pPr>
              <w:adjustRightInd w:val="0"/>
              <w:snapToGrid w:val="0"/>
              <w:jc w:val="center"/>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sz w:val="22"/>
                <w:szCs w:val="22"/>
              </w:rPr>
              <w:t>3</w:t>
            </w:r>
          </w:p>
        </w:tc>
        <w:tc>
          <w:tcPr>
            <w:tcW w:w="2026" w:type="dxa"/>
            <w:shd w:val="clear" w:color="auto" w:fill="auto"/>
            <w:vAlign w:val="center"/>
          </w:tcPr>
          <w:p>
            <w:pPr>
              <w:adjustRightInd w:val="0"/>
              <w:snapToGrid w:val="0"/>
              <w:jc w:val="center"/>
              <w:rPr>
                <w:rFonts w:ascii="宋体" w:hAnsi="宋体"/>
              </w:rPr>
            </w:pPr>
            <w:r>
              <w:rPr>
                <w:rFonts w:hint="eastAsia" w:ascii="宋体" w:hAnsi="宋体"/>
              </w:rPr>
              <w:t>电力电缆</w:t>
            </w:r>
          </w:p>
        </w:tc>
        <w:tc>
          <w:tcPr>
            <w:tcW w:w="2888" w:type="dxa"/>
            <w:shd w:val="clear" w:color="auto" w:fill="auto"/>
            <w:vAlign w:val="center"/>
          </w:tcPr>
          <w:p>
            <w:pPr>
              <w:adjustRightInd w:val="0"/>
              <w:snapToGrid w:val="0"/>
              <w:jc w:val="center"/>
              <w:rPr>
                <w:rFonts w:ascii="宋体" w:hAnsi="宋体"/>
              </w:rPr>
            </w:pPr>
            <w:r>
              <w:rPr>
                <w:rFonts w:hint="eastAsia" w:ascii="宋体" w:hAnsi="宋体"/>
              </w:rPr>
              <w:t>YJV-0.6/1KV-3x50+2x25</w:t>
            </w:r>
          </w:p>
        </w:tc>
        <w:tc>
          <w:tcPr>
            <w:tcW w:w="682" w:type="dxa"/>
            <w:shd w:val="clear" w:color="auto" w:fill="auto"/>
            <w:vAlign w:val="center"/>
          </w:tcPr>
          <w:p>
            <w:pPr>
              <w:adjustRightInd w:val="0"/>
              <w:snapToGrid w:val="0"/>
              <w:jc w:val="center"/>
              <w:rPr>
                <w:rFonts w:ascii="宋体" w:hAnsi="宋体"/>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rPr>
            </w:pPr>
            <w:r>
              <w:rPr>
                <w:rFonts w:hint="eastAsia" w:ascii="宋体" w:hAnsi="宋体"/>
              </w:rPr>
              <w:t>240</w:t>
            </w:r>
          </w:p>
        </w:tc>
        <w:tc>
          <w:tcPr>
            <w:tcW w:w="1388" w:type="dxa"/>
            <w:shd w:val="clear" w:color="auto" w:fill="auto"/>
            <w:vAlign w:val="center"/>
          </w:tcPr>
          <w:p>
            <w:pPr>
              <w:adjustRightInd w:val="0"/>
              <w:snapToGrid w:val="0"/>
              <w:jc w:val="center"/>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sz w:val="22"/>
                <w:szCs w:val="22"/>
              </w:rPr>
              <w:t>4</w:t>
            </w:r>
          </w:p>
        </w:tc>
        <w:tc>
          <w:tcPr>
            <w:tcW w:w="202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YJV-0.6/1KV-5x10</w:t>
            </w:r>
          </w:p>
        </w:tc>
        <w:tc>
          <w:tcPr>
            <w:tcW w:w="682"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600</w:t>
            </w:r>
          </w:p>
        </w:tc>
        <w:tc>
          <w:tcPr>
            <w:tcW w:w="1388"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sz w:val="22"/>
                <w:szCs w:val="22"/>
              </w:rPr>
              <w:t>5</w:t>
            </w:r>
          </w:p>
        </w:tc>
        <w:tc>
          <w:tcPr>
            <w:tcW w:w="202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YJV-0.6/1KV-5x6</w:t>
            </w:r>
          </w:p>
        </w:tc>
        <w:tc>
          <w:tcPr>
            <w:tcW w:w="682"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150</w:t>
            </w:r>
          </w:p>
        </w:tc>
        <w:tc>
          <w:tcPr>
            <w:tcW w:w="1388"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sz w:val="22"/>
                <w:szCs w:val="22"/>
              </w:rPr>
              <w:t>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360</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tcPr>
          <w:p>
            <w:pPr>
              <w:widowControl/>
              <w:adjustRightInd w:val="0"/>
              <w:snapToGrid w:val="0"/>
              <w:jc w:val="center"/>
              <w:textAlignment w:val="bottom"/>
              <w:rPr>
                <w:rFonts w:ascii="宋体" w:hAnsi="宋体"/>
                <w:b/>
                <w:bCs/>
                <w:kern w:val="0"/>
              </w:rPr>
            </w:pPr>
            <w:r>
              <w:rPr>
                <w:rFonts w:hint="eastAsia" w:ascii="宋体" w:hAnsi="宋体"/>
                <w:b/>
                <w:bCs/>
                <w:kern w:val="0"/>
              </w:rPr>
              <w:t>混合絮凝、平流沉淀池及叠合清水池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ascii="宋体" w:hAnsi="宋体"/>
                <w:sz w:val="22"/>
                <w:szCs w:val="22"/>
              </w:rPr>
              <w:t>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刮泥机控制箱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刮泥机厂家附带,内设PLC，并预留RJ45接口</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w:t>
            </w:r>
          </w:p>
        </w:tc>
        <w:tc>
          <w:tcPr>
            <w:tcW w:w="2026" w:type="dxa"/>
            <w:shd w:val="clear" w:color="auto" w:fill="auto"/>
            <w:vAlign w:val="center"/>
          </w:tcPr>
          <w:p>
            <w:pPr>
              <w:adjustRightInd w:val="0"/>
              <w:snapToGrid w:val="0"/>
              <w:jc w:val="center"/>
              <w:rPr>
                <w:rFonts w:ascii="宋体" w:hAnsi="宋体"/>
                <w:kern w:val="0"/>
              </w:rPr>
            </w:pPr>
            <w:r>
              <w:rPr>
                <w:rFonts w:hint="eastAsia" w:ascii="宋体" w:hAnsi="宋体"/>
              </w:rPr>
              <w:t>刮泥机接线箱</w:t>
            </w:r>
          </w:p>
        </w:tc>
        <w:tc>
          <w:tcPr>
            <w:tcW w:w="2888" w:type="dxa"/>
            <w:shd w:val="clear" w:color="auto" w:fill="auto"/>
            <w:vAlign w:val="center"/>
          </w:tcPr>
          <w:p>
            <w:pPr>
              <w:adjustRightInd w:val="0"/>
              <w:snapToGrid w:val="0"/>
              <w:jc w:val="center"/>
              <w:rPr>
                <w:rFonts w:ascii="宋体" w:hAnsi="宋体"/>
                <w:kern w:val="0"/>
              </w:rPr>
            </w:pPr>
            <w:r>
              <w:rPr>
                <w:rFonts w:hint="eastAsia" w:ascii="宋体" w:hAnsi="宋体"/>
              </w:rPr>
              <w:t>刮泥机厂家附带</w:t>
            </w:r>
          </w:p>
        </w:tc>
        <w:tc>
          <w:tcPr>
            <w:tcW w:w="682" w:type="dxa"/>
            <w:shd w:val="clear" w:color="auto" w:fill="auto"/>
            <w:vAlign w:val="center"/>
          </w:tcPr>
          <w:p>
            <w:pPr>
              <w:adjustRightInd w:val="0"/>
              <w:snapToGrid w:val="0"/>
              <w:jc w:val="center"/>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XD1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搅拌器控制箱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搅拌器厂家附带</w:t>
            </w:r>
          </w:p>
        </w:tc>
        <w:tc>
          <w:tcPr>
            <w:tcW w:w="682" w:type="dxa"/>
            <w:shd w:val="clear" w:color="auto" w:fill="auto"/>
            <w:vAlign w:val="center"/>
          </w:tcPr>
          <w:p>
            <w:pPr>
              <w:adjustRightInd w:val="0"/>
              <w:snapToGrid w:val="0"/>
              <w:jc w:val="center"/>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HW1S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w:t>
            </w:r>
            <w:r>
              <w:rPr>
                <w:rFonts w:ascii="宋体" w:hAnsi="宋体"/>
              </w:rPr>
              <w:t>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沉淀池排泥阀控制箱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非标，内设PLC</w:t>
            </w:r>
          </w:p>
        </w:tc>
        <w:tc>
          <w:tcPr>
            <w:tcW w:w="682" w:type="dxa"/>
            <w:shd w:val="clear" w:color="auto" w:fill="auto"/>
            <w:vAlign w:val="center"/>
          </w:tcPr>
          <w:p>
            <w:pPr>
              <w:adjustRightInd w:val="0"/>
              <w:snapToGrid w:val="0"/>
              <w:jc w:val="center"/>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V1S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w:t>
            </w:r>
            <w:r>
              <w:rPr>
                <w:rFonts w:ascii="宋体" w:hAnsi="宋体"/>
              </w:rPr>
              <w:t>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YJV-0.6/1kV-5X6</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220</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w:t>
            </w:r>
            <w:r>
              <w:rPr>
                <w:rFonts w:ascii="宋体" w:hAnsi="宋体"/>
              </w:rPr>
              <w:t>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YJV-0.6/1kV-4X4</w:t>
            </w:r>
          </w:p>
        </w:tc>
        <w:tc>
          <w:tcPr>
            <w:tcW w:w="682" w:type="dxa"/>
            <w:shd w:val="clear" w:color="auto" w:fill="auto"/>
            <w:vAlign w:val="center"/>
          </w:tcPr>
          <w:p>
            <w:pPr>
              <w:adjustRightInd w:val="0"/>
              <w:snapToGrid w:val="0"/>
              <w:jc w:val="center"/>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10</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w:t>
            </w:r>
            <w:r>
              <w:rPr>
                <w:rFonts w:ascii="宋体" w:hAnsi="宋体"/>
              </w:rPr>
              <w:t>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KVV-10X1.0</w:t>
            </w:r>
          </w:p>
        </w:tc>
        <w:tc>
          <w:tcPr>
            <w:tcW w:w="682" w:type="dxa"/>
            <w:shd w:val="clear" w:color="auto" w:fill="auto"/>
            <w:vAlign w:val="center"/>
          </w:tcPr>
          <w:p>
            <w:pPr>
              <w:adjustRightInd w:val="0"/>
              <w:snapToGrid w:val="0"/>
              <w:jc w:val="center"/>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10</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w:t>
            </w:r>
            <w:r>
              <w:rPr>
                <w:rFonts w:ascii="宋体" w:hAnsi="宋体"/>
              </w:rPr>
              <w:t>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250</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w:t>
            </w:r>
            <w:r>
              <w:rPr>
                <w:rFonts w:ascii="宋体" w:hAnsi="宋体"/>
              </w:rPr>
              <w:t>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DLP布线槽</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75x50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18</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tcPr>
          <w:p>
            <w:pPr>
              <w:adjustRightInd w:val="0"/>
              <w:snapToGrid w:val="0"/>
              <w:jc w:val="center"/>
              <w:rPr>
                <w:rFonts w:ascii="宋体" w:hAnsi="宋体"/>
                <w:b/>
                <w:bCs/>
                <w:kern w:val="0"/>
              </w:rPr>
            </w:pPr>
            <w:r>
              <w:rPr>
                <w:rFonts w:hint="eastAsia" w:ascii="宋体" w:hAnsi="宋体"/>
                <w:b/>
                <w:bCs/>
                <w:kern w:val="0"/>
              </w:rPr>
              <w:t>砂滤池及反冲洗泵房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16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双电源切换箱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非标 </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17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风机软启柜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45kWx2 一控二型 风机厂家配套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GS1S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18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反冲洗水泵变频柜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22kWx3 一控三型离心泵厂家配套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GB1S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19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电动蝶阀控制箱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3</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QL1S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空压机控制箱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7.5kWx2 一控二型 空压机厂家配套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GQ1S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集水坑潜污泵控制箱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一控二型 潜污泵厂家配套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GB4S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 不锈钢制作 防护等级IP44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AP1、AP2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照明配电箱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PZ30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电缆桥架</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槽式铝合金500x150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壁式防水防尘灯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1X70W LED(单颗大功率LED灯型)</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12</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暗装一位单控开关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AE101-10A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12</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YJV-0.6/1KV-4x16</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90</w:t>
            </w:r>
          </w:p>
        </w:tc>
        <w:tc>
          <w:tcPr>
            <w:tcW w:w="1388"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YJV-0.6/1KV-3x35+1x16</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60</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29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YJV-0.6/1KV-5x10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30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YJV-0.6/1KV-5x6</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60</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31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adjustRightInd w:val="0"/>
              <w:snapToGrid w:val="0"/>
              <w:jc w:val="center"/>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32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KVV-14x0.75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33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KVV-10x1.0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34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KVV-4x1.5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35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36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37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tcPr>
          <w:p>
            <w:pPr>
              <w:widowControl/>
              <w:adjustRightInd w:val="0"/>
              <w:snapToGrid w:val="0"/>
              <w:jc w:val="center"/>
              <w:textAlignment w:val="bottom"/>
              <w:rPr>
                <w:rFonts w:ascii="宋体" w:hAnsi="宋体"/>
                <w:b/>
                <w:bCs/>
                <w:kern w:val="0"/>
              </w:rPr>
            </w:pPr>
            <w:r>
              <w:rPr>
                <w:rFonts w:hint="eastAsia" w:ascii="宋体" w:hAnsi="宋体"/>
                <w:b/>
                <w:bCs/>
                <w:kern w:val="0"/>
              </w:rPr>
              <w:t>加药间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38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照明配电箱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PZ30 耐腐蚀</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39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 耐腐蚀</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AP1～AP2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 耐腐蚀、隔爆型</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AP3～AP4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轴流风机防爆控制箱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1.1kWx9 非标</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GA1S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液下泵控制箱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4.5kWx2 一控二型 液下泵厂家配套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GB1S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浮球开关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液下泵厂家配套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LS1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等电位联结端子箱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XLD-DF</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一位单控开关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耐腐 AE101-10A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二位单控开关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耐腐 AE102-10A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防爆二位单控开关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耐腐 AE102-10A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耐腐壁式防水防尘灯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1x70W LED(单颗大功率LED灯型)</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49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耐腐防爆壁式防水防尘灯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1x70W LED(单颗大功率LED灯型)</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tcPr>
          <w:p>
            <w:pPr>
              <w:adjustRightInd w:val="0"/>
              <w:snapToGrid w:val="0"/>
              <w:jc w:val="center"/>
              <w:rPr>
                <w:rFonts w:ascii="宋体" w:hAnsi="宋体"/>
              </w:rPr>
            </w:pPr>
            <w:r>
              <w:rPr>
                <w:rFonts w:ascii="宋体" w:hAnsi="宋体"/>
              </w:rPr>
              <w:t>50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耐腐壁式防水防尘灯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1x30W LED(单颗大功率LED灯型)</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YJV-0.6/1KV-5x10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BV-4x2.5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tcPr>
          <w:p>
            <w:pPr>
              <w:widowControl/>
              <w:adjustRightInd w:val="0"/>
              <w:snapToGrid w:val="0"/>
              <w:jc w:val="center"/>
              <w:textAlignment w:val="bottom"/>
              <w:rPr>
                <w:rFonts w:ascii="宋体" w:hAnsi="宋体"/>
                <w:b/>
                <w:bCs/>
                <w:kern w:val="0"/>
              </w:rPr>
            </w:pPr>
            <w:r>
              <w:rPr>
                <w:rFonts w:hint="eastAsia" w:ascii="宋体" w:hAnsi="宋体"/>
                <w:b/>
                <w:bCs/>
                <w:kern w:val="0"/>
              </w:rPr>
              <w:t>送水泵房及变电所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高压配电柜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KYN28-12</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AH1～AH12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户内变压器柜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SCB NX-2 630KVA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T1～T2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低压电容器柜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300Kvar</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C1～C2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59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低压开关柜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MNS-</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N1～N8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排风机控制箱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非标(配套风机)</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AK1S～AK2S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轴流风机控制箱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 0.55kWX4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GA1S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母线桥</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1250A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总等电位联结端子箱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XLD-DF</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MEB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离心泵变频柜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55kW 离心泵厂家配套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GB1S～GB2S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离心泵软启柜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55kW 离心泵厂家配套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GB3S～GB4S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电动阀及离心泵控制按钮箱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0.55kW 非标</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QL1S～QL2S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电动阀及离心泵控制按钮箱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0.55kW 非标</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QL3S～QL4S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真空泵控制箱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4kWx2 一控二型 真空泵厂家配套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GQ1S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69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电动阀控制箱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0.55kW 电动阀厂家配套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QL5S～QL7S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潜水泵控制箱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1.5kWx2 一控二型 潜水泵厂家配套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GB5S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非标，配套稳压源、UPS</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AP1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AP2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照明配电箱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PZ30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应急照明配电箱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HZ-PD-C8，1500W，IP44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PD1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应急双管LED灯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2x25W LED 24V</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供电时间不小于120分钟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单管LED灯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2x25W LED</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壁式防水防尘灯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1x70W LED(单颗大功率LED灯型)</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壁式防水防尘灯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1x50W LED(单颗大功率LED灯型)</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79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槽式铝合金电缆桥架</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500x150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安全出口照明灯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HZ-BLZC-Ⅱ1LROE2W-E</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供电时间120分钟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应急疏散指示灯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HZ-BLZC-Ⅱ1LROE2W-E</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供电时间120分钟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YJV-8.7/15kV/3x70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YJV-0.6/1kV-3x50+2x25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YJV-0.6/1kV-3x50+1x25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YJV-0.6/1kV-5x10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YJV-0.6/1kV-4x4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BV-4x2.5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89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BV-5x4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KVV-19x0.75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KVV-14x0.75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KVV-10x1.0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KVV-4x1.5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RVVP-2x1.5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RVVP-3x1.5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99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tcPr>
          <w:p>
            <w:pPr>
              <w:widowControl/>
              <w:adjustRightInd w:val="0"/>
              <w:snapToGrid w:val="0"/>
              <w:jc w:val="center"/>
              <w:textAlignment w:val="bottom"/>
              <w:rPr>
                <w:rFonts w:ascii="宋体" w:hAnsi="宋体"/>
                <w:b/>
                <w:bCs/>
                <w:kern w:val="0"/>
              </w:rPr>
            </w:pPr>
            <w:r>
              <w:rPr>
                <w:rFonts w:hint="eastAsia" w:ascii="宋体" w:hAnsi="宋体"/>
                <w:b/>
                <w:bCs/>
                <w:kern w:val="0"/>
              </w:rPr>
              <w:t>回收水池及排泥池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潜水泵变频柜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一控二型，不锈钢制作，IP56,潜水泵厂家附带</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GB1S，GB3S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潜污泵控制箱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一控二型，不锈钢制作，IP56,潜污泵厂家附带</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GB5S，GB7S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搅拌器控制箱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搅拌器厂家附带</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HW1S～HW4S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路灯电缆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YJV-0.6/1kV-5x6</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vAlign w:val="center"/>
          </w:tcPr>
          <w:p>
            <w:pPr>
              <w:widowControl/>
              <w:adjustRightInd w:val="0"/>
              <w:snapToGrid w:val="0"/>
              <w:jc w:val="center"/>
              <w:textAlignment w:val="bottom"/>
              <w:rPr>
                <w:rFonts w:ascii="宋体" w:hAnsi="宋体"/>
                <w:b/>
                <w:bCs/>
                <w:kern w:val="0"/>
              </w:rPr>
            </w:pPr>
            <w:r>
              <w:rPr>
                <w:rFonts w:hint="eastAsia" w:ascii="宋体" w:hAnsi="宋体"/>
                <w:b/>
                <w:bCs/>
                <w:kern w:val="0"/>
              </w:rPr>
              <w:t>污泥浓缩池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潜水泵变频柜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一控二型，不锈钢制作，IP56,潜水泵厂家附带</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GB1S，GB3S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潜污泵控制箱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一控二型，不锈钢制作，IP56,潜污泵厂家附带</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GB5S，GB7S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搅拌器控制箱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搅拌器厂家附带</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HW1S～HW4S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tcPr>
          <w:p>
            <w:pPr>
              <w:widowControl/>
              <w:adjustRightInd w:val="0"/>
              <w:snapToGrid w:val="0"/>
              <w:jc w:val="center"/>
              <w:textAlignment w:val="bottom"/>
              <w:rPr>
                <w:rFonts w:ascii="宋体" w:hAnsi="宋体"/>
                <w:b/>
                <w:bCs/>
                <w:kern w:val="0"/>
              </w:rPr>
            </w:pPr>
            <w:r>
              <w:rPr>
                <w:rFonts w:hint="eastAsia" w:ascii="宋体" w:hAnsi="宋体"/>
                <w:b/>
                <w:bCs/>
                <w:kern w:val="0"/>
              </w:rPr>
              <w:t>污泥浓缩池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浓缩机控制箱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浓缩机厂家配套，不锈钢制作 防护等级IP56</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HX1S,HX2S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金属柱灯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70W LED灯</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H=3.5m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109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路灯电缆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YJV-0.6/1kV-5x6</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vAlign w:val="center"/>
          </w:tcPr>
          <w:p>
            <w:pPr>
              <w:widowControl/>
              <w:adjustRightInd w:val="0"/>
              <w:snapToGrid w:val="0"/>
              <w:jc w:val="center"/>
              <w:textAlignment w:val="bottom"/>
              <w:rPr>
                <w:rFonts w:ascii="宋体" w:hAnsi="宋体"/>
                <w:b/>
                <w:bCs/>
                <w:kern w:val="0"/>
              </w:rPr>
            </w:pPr>
            <w:r>
              <w:rPr>
                <w:rFonts w:hint="eastAsia" w:ascii="宋体" w:hAnsi="宋体"/>
                <w:b/>
                <w:bCs/>
                <w:kern w:val="0"/>
              </w:rPr>
              <w:t>脱水机房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双电源切换柜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MNS</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低压配电柜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MNS</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N1～N2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脱水机控制柜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脱水机配套</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HM1S,HM2S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照明配电箱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PZ30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应急照明配电箱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HZ-PD-C4，500W，IP44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PD1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 不锈钢制作 防护等级IP44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AP1～AP4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风机控制箱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 不锈钢制作 防护等级IP44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GA1S,GA8S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等电位联结端子箱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XLD-DF</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119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槽式铝合金桥架</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600x150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25</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壁式防水防尘灯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1x70w LED(单颗LED灯型)</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应急单管荧光灯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24V 1x50w LED</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蓄电池放电时间不小于120分钟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应急疏散指示灯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HZ-BLZC-Ⅱ1LROE2W-E</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蓄电池放电时间不小于90分钟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安全出口指示灯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LED光源  24V   12W 900lm</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蓄电池放电时间不小于90分钟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暗装一位单控开关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AE101-10A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暗装三位单控开关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AE102-10A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YJV-0.6/1KV-3x50+2x25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YJV-0.6/1KV-5x10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YJV-0.6/1KV-5x6</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129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BV-4x2.5</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200</w:t>
            </w:r>
          </w:p>
        </w:tc>
        <w:tc>
          <w:tcPr>
            <w:tcW w:w="1388"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04" w:type="dxa"/>
            <w:gridSpan w:val="6"/>
            <w:shd w:val="clear" w:color="auto" w:fill="auto"/>
            <w:vAlign w:val="center"/>
          </w:tcPr>
          <w:p>
            <w:pPr>
              <w:widowControl/>
              <w:adjustRightInd w:val="0"/>
              <w:snapToGrid w:val="0"/>
              <w:jc w:val="center"/>
              <w:textAlignment w:val="bottom"/>
              <w:rPr>
                <w:rFonts w:ascii="宋体" w:hAnsi="宋体"/>
                <w:b/>
                <w:bCs/>
                <w:kern w:val="0"/>
              </w:rPr>
            </w:pPr>
            <w:r>
              <w:rPr>
                <w:rFonts w:hint="eastAsia" w:ascii="宋体" w:hAnsi="宋体"/>
                <w:b/>
                <w:bCs/>
                <w:kern w:val="0"/>
              </w:rPr>
              <w:t>生产辅助用房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配电柜</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800x450x1600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N1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槽式铝合金电缆桥架</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槽式铝合金桥架400x150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90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照明配电箱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PZ30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B1AL～B3AL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插座箱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XZ(R)-05-54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AX1～AX5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应急照明配电箱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HZ-PD-C4，IP44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B1PD～B3PD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139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总等电位联结端子箱</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XLD-DF</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MEB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局部等电位联结端子箱</w:t>
            </w:r>
          </w:p>
        </w:tc>
        <w:tc>
          <w:tcPr>
            <w:tcW w:w="2888" w:type="dxa"/>
            <w:shd w:val="clear" w:color="auto" w:fill="auto"/>
            <w:vAlign w:val="center"/>
          </w:tcPr>
          <w:p>
            <w:pPr>
              <w:widowControl/>
              <w:adjustRightInd w:val="0"/>
              <w:snapToGrid w:val="0"/>
              <w:jc w:val="center"/>
              <w:textAlignment w:val="bottom"/>
              <w:rPr>
                <w:rFonts w:ascii="宋体" w:hAnsi="宋体"/>
                <w:kern w:val="0"/>
              </w:rPr>
            </w:pP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LEB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双管LED灯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2x25W LED</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52</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单管LED灯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25W LED</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11</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A类应急双管LED灯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2x25W LED 24V</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17</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自带蓄电池供电时间120分钟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LED疏散照明灯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7W LED 24V</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自带蓄电池供电时间120分钟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安全出口标志灯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HZ-BLZC-Ⅱ1LROE2W-E</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自带蓄电池供电时间120分钟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疏散出口标志灯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HZ-BLZC-Ⅰ1OE2W-E</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自带蓄电池供电时间120分钟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应急疏散指示灯</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HZ-BLZC-Ⅱ1LROE2W-E</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盏</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24</w:t>
            </w:r>
          </w:p>
        </w:tc>
        <w:tc>
          <w:tcPr>
            <w:tcW w:w="13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自带蓄电池供电时间120分钟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暗装一位单控开关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AE101-10A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11</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149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暗装二位单控开关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AE102-10A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31</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暗装三位单控开关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AE103-10A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暗装四位单控开关</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安全型3+2孔暗插座</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AE205-10A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54</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3孔带开关挂机空调插座</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AE223-20A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32</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154</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安全型3+2孔地插座</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10A</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155</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2孔信息插座</w:t>
            </w:r>
          </w:p>
        </w:tc>
        <w:tc>
          <w:tcPr>
            <w:tcW w:w="2888" w:type="dxa"/>
            <w:shd w:val="clear" w:color="auto" w:fill="auto"/>
            <w:vAlign w:val="center"/>
          </w:tcPr>
          <w:p>
            <w:pPr>
              <w:widowControl/>
              <w:adjustRightInd w:val="0"/>
              <w:snapToGrid w:val="0"/>
              <w:jc w:val="center"/>
              <w:textAlignment w:val="bottom"/>
              <w:rPr>
                <w:rFonts w:ascii="宋体" w:hAnsi="宋体"/>
                <w:kern w:val="0"/>
              </w:rPr>
            </w:pP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24</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156</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地装2孔信息插座</w:t>
            </w:r>
          </w:p>
        </w:tc>
        <w:tc>
          <w:tcPr>
            <w:tcW w:w="2888" w:type="dxa"/>
            <w:shd w:val="clear" w:color="auto" w:fill="auto"/>
            <w:vAlign w:val="center"/>
          </w:tcPr>
          <w:p>
            <w:pPr>
              <w:widowControl/>
              <w:adjustRightInd w:val="0"/>
              <w:snapToGrid w:val="0"/>
              <w:jc w:val="center"/>
              <w:textAlignment w:val="bottom"/>
              <w:rPr>
                <w:rFonts w:ascii="宋体" w:hAnsi="宋体"/>
                <w:kern w:val="0"/>
              </w:rPr>
            </w:pP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157</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电话信号防雷器</w:t>
            </w:r>
          </w:p>
        </w:tc>
        <w:tc>
          <w:tcPr>
            <w:tcW w:w="2888" w:type="dxa"/>
            <w:shd w:val="clear" w:color="auto" w:fill="auto"/>
            <w:vAlign w:val="center"/>
          </w:tcPr>
          <w:p>
            <w:pPr>
              <w:widowControl/>
              <w:adjustRightInd w:val="0"/>
              <w:snapToGrid w:val="0"/>
              <w:jc w:val="center"/>
              <w:textAlignment w:val="bottom"/>
              <w:rPr>
                <w:rFonts w:ascii="宋体" w:hAnsi="宋体"/>
                <w:kern w:val="0"/>
              </w:rPr>
            </w:pP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158</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YJV-0.6/1kV-5x10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159</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WDZN-BV-3x4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160</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电力电缆</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BV-3x4</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161</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162</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SC50</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89" w:type="dxa"/>
            <w:shd w:val="clear" w:color="auto" w:fill="auto"/>
            <w:vAlign w:val="center"/>
          </w:tcPr>
          <w:p>
            <w:pPr>
              <w:adjustRightInd w:val="0"/>
              <w:snapToGrid w:val="0"/>
              <w:jc w:val="center"/>
              <w:rPr>
                <w:rFonts w:ascii="宋体" w:hAnsi="宋体"/>
              </w:rPr>
            </w:pPr>
            <w:r>
              <w:rPr>
                <w:rFonts w:hint="eastAsia" w:ascii="宋体" w:hAnsi="宋体"/>
              </w:rPr>
              <w:t>163</w:t>
            </w:r>
          </w:p>
        </w:tc>
        <w:tc>
          <w:tcPr>
            <w:tcW w:w="202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88"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82"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83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200</w:t>
            </w:r>
          </w:p>
        </w:tc>
        <w:tc>
          <w:tcPr>
            <w:tcW w:w="1388" w:type="dxa"/>
            <w:shd w:val="clear" w:color="auto" w:fill="auto"/>
            <w:vAlign w:val="center"/>
          </w:tcPr>
          <w:p>
            <w:pPr>
              <w:widowControl/>
              <w:adjustRightInd w:val="0"/>
              <w:snapToGrid w:val="0"/>
              <w:jc w:val="center"/>
              <w:textAlignment w:val="bottom"/>
              <w:rPr>
                <w:rFonts w:ascii="宋体" w:hAnsi="宋体"/>
                <w:kern w:val="0"/>
              </w:rPr>
            </w:pPr>
          </w:p>
        </w:tc>
      </w:tr>
    </w:tbl>
    <w:p>
      <w:pPr>
        <w:adjustRightInd w:val="0"/>
        <w:snapToGrid w:val="0"/>
        <w:spacing w:after="203" w:afterLines="50"/>
        <w:rPr>
          <w:rFonts w:ascii="宋体" w:hAnsi="宋体"/>
          <w:b/>
          <w:bCs/>
          <w:i/>
          <w:iCs/>
        </w:rPr>
      </w:pPr>
      <w:bookmarkStart w:id="6751" w:name="_Toc216776483"/>
      <w:bookmarkStart w:id="6752" w:name="_Toc42970179"/>
      <w:bookmarkStart w:id="6753" w:name="_Toc342643005"/>
      <w:bookmarkStart w:id="6754" w:name="_Toc230517884"/>
      <w:bookmarkStart w:id="6755" w:name="_Toc261105232"/>
      <w:bookmarkStart w:id="6756" w:name="_Toc456692011"/>
      <w:bookmarkStart w:id="6757" w:name="_Toc299629434"/>
      <w:bookmarkStart w:id="6758" w:name="_Toc300754163"/>
      <w:bookmarkStart w:id="6759" w:name="_Toc267907183"/>
      <w:bookmarkStart w:id="6760" w:name="_Toc267906679"/>
      <w:bookmarkStart w:id="6761" w:name="_Toc216499831"/>
      <w:bookmarkStart w:id="6762" w:name="_Toc155167976"/>
      <w:bookmarkStart w:id="6763" w:name="_Toc269721510"/>
      <w:bookmarkStart w:id="6764" w:name="_Toc230516744"/>
      <w:bookmarkStart w:id="6765" w:name="_Toc451019065"/>
      <w:bookmarkStart w:id="6766" w:name="_Toc304901184"/>
      <w:bookmarkStart w:id="6767" w:name="_Toc405665289"/>
      <w:bookmarkStart w:id="6768" w:name="_Toc267907722"/>
      <w:r>
        <w:rPr>
          <w:rFonts w:hint="eastAsia" w:ascii="宋体" w:hAnsi="宋体" w:cs="楷体"/>
          <w:i/>
          <w:iCs/>
        </w:rPr>
        <w:t>注：本“采购设备清单”不得被认为是详尽无遗的，无论规定与否，承包商应提供所有业主未提及的必要的元件、器件、附件、配套设备和相应材料，并包含在合同价中。</w:t>
      </w:r>
    </w:p>
    <w:p>
      <w:pPr>
        <w:keepNext/>
        <w:tabs>
          <w:tab w:val="left" w:pos="993"/>
        </w:tabs>
        <w:adjustRightInd w:val="0"/>
        <w:snapToGrid w:val="0"/>
        <w:spacing w:before="203" w:beforeLines="50" w:after="203" w:afterLines="50"/>
        <w:outlineLvl w:val="2"/>
        <w:rPr>
          <w:rFonts w:ascii="宋体" w:hAnsi="宋体"/>
          <w:b/>
          <w:bCs/>
        </w:rPr>
      </w:pPr>
      <w:bookmarkStart w:id="6769" w:name="_Toc106883749"/>
      <w:r>
        <w:rPr>
          <w:rFonts w:hint="eastAsia" w:ascii="宋体" w:hAnsi="宋体"/>
          <w:b/>
          <w:bCs/>
        </w:rPr>
        <w:t>9.3</w:t>
      </w:r>
      <w:r>
        <w:rPr>
          <w:rFonts w:ascii="宋体" w:hAnsi="宋体"/>
          <w:b/>
          <w:bCs/>
        </w:rPr>
        <w:t>工地仓储条件</w:t>
      </w:r>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p>
    <w:p>
      <w:pPr>
        <w:adjustRightInd w:val="0"/>
        <w:snapToGrid w:val="0"/>
        <w:spacing w:before="203" w:beforeLines="50" w:after="203" w:afterLines="50"/>
        <w:ind w:firstLine="500" w:firstLineChars="200"/>
        <w:rPr>
          <w:rFonts w:ascii="宋体" w:hAnsi="宋体"/>
        </w:rPr>
      </w:pPr>
      <w:r>
        <w:rPr>
          <w:rFonts w:ascii="宋体" w:hAnsi="宋体"/>
        </w:rPr>
        <w:t>根据设备仓储需要向招标人提出货物储存在室内或室外要求，由招标人安排。</w:t>
      </w:r>
    </w:p>
    <w:p>
      <w:pPr>
        <w:keepNext/>
        <w:tabs>
          <w:tab w:val="left" w:pos="993"/>
        </w:tabs>
        <w:adjustRightInd w:val="0"/>
        <w:snapToGrid w:val="0"/>
        <w:spacing w:before="203" w:beforeLines="50" w:after="203" w:afterLines="50"/>
        <w:outlineLvl w:val="0"/>
        <w:rPr>
          <w:rFonts w:ascii="宋体" w:hAnsi="宋体"/>
          <w:b/>
          <w:bCs/>
        </w:rPr>
      </w:pPr>
      <w:bookmarkStart w:id="6770" w:name="_Toc106883750"/>
      <w:bookmarkStart w:id="6771" w:name="_Toc405665290"/>
      <w:bookmarkStart w:id="6772" w:name="_Toc267906680"/>
      <w:bookmarkStart w:id="6773" w:name="_Toc300754164"/>
      <w:bookmarkStart w:id="6774" w:name="_Toc456692012"/>
      <w:bookmarkStart w:id="6775" w:name="_Toc216776484"/>
      <w:bookmarkStart w:id="6776" w:name="_Toc299629435"/>
      <w:bookmarkStart w:id="6777" w:name="_Toc342643006"/>
      <w:bookmarkStart w:id="6778" w:name="_Toc261105233"/>
      <w:bookmarkStart w:id="6779" w:name="_Toc304901185"/>
      <w:bookmarkStart w:id="6780" w:name="_Toc216499832"/>
      <w:bookmarkStart w:id="6781" w:name="_Toc230516745"/>
      <w:bookmarkStart w:id="6782" w:name="_Toc267907723"/>
      <w:bookmarkStart w:id="6783" w:name="_Toc230517885"/>
      <w:bookmarkStart w:id="6784" w:name="_Toc267907184"/>
      <w:bookmarkStart w:id="6785" w:name="_Toc451019066"/>
      <w:bookmarkStart w:id="6786" w:name="_Toc269721511"/>
      <w:r>
        <w:rPr>
          <w:rFonts w:hint="eastAsia" w:ascii="宋体" w:hAnsi="宋体"/>
          <w:b/>
          <w:bCs/>
        </w:rPr>
        <w:t>9.4</w:t>
      </w:r>
      <w:r>
        <w:rPr>
          <w:rFonts w:ascii="宋体" w:hAnsi="宋体"/>
          <w:b/>
          <w:bCs/>
        </w:rPr>
        <w:t>运行要求</w:t>
      </w:r>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p>
    <w:p>
      <w:pPr>
        <w:adjustRightInd w:val="0"/>
        <w:snapToGrid w:val="0"/>
        <w:spacing w:before="203" w:beforeLines="50" w:after="203" w:afterLines="50"/>
        <w:ind w:firstLine="500" w:firstLineChars="200"/>
        <w:rPr>
          <w:rFonts w:ascii="宋体" w:hAnsi="宋体"/>
        </w:rPr>
      </w:pPr>
      <w:r>
        <w:rPr>
          <w:rFonts w:ascii="宋体" w:hAnsi="宋体"/>
        </w:rPr>
        <w:t>承包商对所供设备应提交详细的运行要求。运行要求应包括正常操作步骤、保护功能、联锁要求、安全措施、运行规程、技术数据等。</w:t>
      </w:r>
    </w:p>
    <w:p>
      <w:pPr>
        <w:adjustRightInd w:val="0"/>
        <w:snapToGrid w:val="0"/>
        <w:spacing w:before="203" w:beforeLines="50" w:after="203" w:afterLines="50"/>
        <w:ind w:firstLine="500" w:firstLineChars="200"/>
        <w:rPr>
          <w:rFonts w:ascii="宋体" w:hAnsi="宋体"/>
        </w:rPr>
      </w:pPr>
      <w:r>
        <w:rPr>
          <w:rFonts w:ascii="宋体" w:hAnsi="宋体"/>
        </w:rPr>
        <w:t>承包商所供设备必须满足中华人民共和国现行的各种技术规范、技术规程以及技术标准。</w:t>
      </w:r>
    </w:p>
    <w:p>
      <w:pPr>
        <w:adjustRightInd w:val="0"/>
        <w:snapToGrid w:val="0"/>
        <w:spacing w:before="203" w:beforeLines="50" w:after="203" w:afterLines="50"/>
        <w:ind w:firstLine="500" w:firstLineChars="200"/>
        <w:rPr>
          <w:rFonts w:ascii="宋体" w:hAnsi="宋体"/>
        </w:rPr>
      </w:pPr>
      <w:r>
        <w:rPr>
          <w:rFonts w:ascii="宋体" w:hAnsi="宋体"/>
        </w:rPr>
        <w:t>承包商在中标后，应根据施工现场情况，选派合格的工程师，对所供电气设备进行试运行技术服务工作，直至电气设备符合规定的技术性能指标和全工程运行要求，正常地投入生产性运行为止。</w:t>
      </w:r>
    </w:p>
    <w:p>
      <w:pPr>
        <w:adjustRightInd w:val="0"/>
        <w:snapToGrid w:val="0"/>
        <w:spacing w:before="203" w:beforeLines="50" w:after="203" w:afterLines="50"/>
        <w:ind w:firstLine="500" w:firstLineChars="200"/>
        <w:rPr>
          <w:rFonts w:ascii="宋体" w:hAnsi="宋体"/>
        </w:rPr>
      </w:pPr>
      <w:r>
        <w:rPr>
          <w:rFonts w:ascii="宋体" w:hAnsi="宋体"/>
        </w:rPr>
        <w:t>承包商在中标后委派到工作现场指导安装、调试运行的工程师，必须是取得国家认证机构上岗资格的技术人员，必须熟悉所供电气设备的性能及运行，操作及维护，熟悉资料、图纸，国家规范规程及标准。</w:t>
      </w:r>
    </w:p>
    <w:p>
      <w:pPr>
        <w:adjustRightInd w:val="0"/>
        <w:snapToGrid w:val="0"/>
        <w:spacing w:before="203" w:beforeLines="50" w:after="203" w:afterLines="50"/>
        <w:ind w:firstLine="500" w:firstLineChars="200"/>
        <w:rPr>
          <w:rFonts w:ascii="宋体" w:hAnsi="宋体"/>
        </w:rPr>
      </w:pPr>
      <w:r>
        <w:rPr>
          <w:rFonts w:ascii="宋体" w:hAnsi="宋体"/>
        </w:rPr>
        <w:t>如有标书未列的设备，但属系统构成必需的，承包商应予以提供，以达到系统应有的功能和安全可靠运行的要求。</w:t>
      </w:r>
    </w:p>
    <w:p>
      <w:pPr>
        <w:keepNext/>
        <w:tabs>
          <w:tab w:val="left" w:pos="993"/>
        </w:tabs>
        <w:adjustRightInd w:val="0"/>
        <w:snapToGrid w:val="0"/>
        <w:spacing w:before="203" w:beforeLines="50" w:after="203" w:afterLines="50"/>
        <w:outlineLvl w:val="0"/>
        <w:rPr>
          <w:rFonts w:ascii="宋体" w:hAnsi="宋体"/>
          <w:b/>
          <w:bCs/>
        </w:rPr>
      </w:pPr>
      <w:bookmarkStart w:id="6787" w:name="_Toc451019067"/>
      <w:bookmarkStart w:id="6788" w:name="_Toc405665291"/>
      <w:bookmarkStart w:id="6789" w:name="_Toc318190228"/>
      <w:bookmarkStart w:id="6790" w:name="_Toc106883751"/>
      <w:bookmarkStart w:id="6791" w:name="_Toc456692013"/>
      <w:bookmarkStart w:id="6792" w:name="_Toc342643007"/>
      <w:r>
        <w:rPr>
          <w:rFonts w:hint="eastAsia" w:ascii="宋体" w:hAnsi="宋体"/>
          <w:b/>
          <w:bCs/>
        </w:rPr>
        <w:t>9.5</w:t>
      </w:r>
      <w:r>
        <w:rPr>
          <w:rFonts w:ascii="宋体" w:hAnsi="宋体"/>
          <w:b/>
          <w:bCs/>
        </w:rPr>
        <w:t>特别说明</w:t>
      </w:r>
      <w:bookmarkEnd w:id="6787"/>
      <w:bookmarkEnd w:id="6788"/>
      <w:bookmarkEnd w:id="6789"/>
      <w:bookmarkEnd w:id="6790"/>
      <w:bookmarkEnd w:id="6791"/>
      <w:bookmarkEnd w:id="6792"/>
    </w:p>
    <w:p>
      <w:pPr>
        <w:adjustRightInd w:val="0"/>
        <w:snapToGrid w:val="0"/>
        <w:spacing w:before="203" w:beforeLines="50" w:after="203" w:afterLines="50"/>
        <w:ind w:firstLine="500" w:firstLineChars="200"/>
        <w:rPr>
          <w:rFonts w:ascii="宋体" w:hAnsi="宋体"/>
        </w:rPr>
      </w:pPr>
      <w:r>
        <w:rPr>
          <w:rFonts w:ascii="宋体" w:hAnsi="宋体"/>
        </w:rPr>
        <w:t>承包商所供设备必须能适合当地气象条件和现场使用环境。</w:t>
      </w:r>
    </w:p>
    <w:p>
      <w:pPr>
        <w:keepNext/>
        <w:tabs>
          <w:tab w:val="left" w:pos="993"/>
        </w:tabs>
        <w:adjustRightInd w:val="0"/>
        <w:snapToGrid w:val="0"/>
        <w:spacing w:before="203" w:beforeLines="50" w:after="203" w:afterLines="50"/>
        <w:outlineLvl w:val="2"/>
        <w:rPr>
          <w:rFonts w:ascii="宋体" w:hAnsi="宋体"/>
          <w:b/>
          <w:bCs/>
        </w:rPr>
      </w:pPr>
      <w:bookmarkStart w:id="6793" w:name="_Toc106883752"/>
      <w:bookmarkStart w:id="6794" w:name="_Toc405665292"/>
      <w:bookmarkStart w:id="6795" w:name="_Toc451019068"/>
      <w:bookmarkStart w:id="6796" w:name="_Toc342643008"/>
      <w:bookmarkStart w:id="6797" w:name="_Toc456692014"/>
      <w:r>
        <w:rPr>
          <w:rFonts w:hint="eastAsia" w:ascii="宋体" w:hAnsi="宋体"/>
          <w:b/>
          <w:bCs/>
        </w:rPr>
        <w:t>9.6</w:t>
      </w:r>
      <w:r>
        <w:rPr>
          <w:rFonts w:ascii="宋体" w:hAnsi="宋体"/>
          <w:b/>
          <w:bCs/>
        </w:rPr>
        <w:t>组合式低压开关柜</w:t>
      </w:r>
      <w:bookmarkEnd w:id="6793"/>
      <w:bookmarkEnd w:id="6794"/>
      <w:bookmarkEnd w:id="6795"/>
      <w:bookmarkEnd w:id="6796"/>
      <w:bookmarkEnd w:id="6797"/>
    </w:p>
    <w:p>
      <w:pPr>
        <w:adjustRightInd w:val="0"/>
        <w:snapToGrid w:val="0"/>
        <w:spacing w:before="203" w:beforeLines="50" w:after="203" w:afterLines="50"/>
        <w:rPr>
          <w:rFonts w:ascii="宋体" w:hAnsi="宋体"/>
          <w:b/>
        </w:rPr>
      </w:pPr>
      <w:bookmarkStart w:id="6798" w:name="_Toc451019069"/>
      <w:bookmarkStart w:id="6799" w:name="_Toc405665293"/>
      <w:bookmarkStart w:id="6800" w:name="_Toc342643009"/>
      <w:r>
        <w:rPr>
          <w:rFonts w:hint="eastAsia" w:ascii="宋体" w:hAnsi="宋体"/>
          <w:b/>
        </w:rPr>
        <w:t>9.6.1</w:t>
      </w:r>
      <w:r>
        <w:rPr>
          <w:rFonts w:ascii="宋体" w:hAnsi="宋体"/>
          <w:b/>
        </w:rPr>
        <w:t>概述</w:t>
      </w:r>
      <w:bookmarkEnd w:id="6798"/>
      <w:bookmarkEnd w:id="6799"/>
      <w:bookmarkEnd w:id="6800"/>
    </w:p>
    <w:p>
      <w:pPr>
        <w:adjustRightInd w:val="0"/>
        <w:snapToGrid w:val="0"/>
        <w:spacing w:before="203" w:beforeLines="50" w:after="203" w:afterLines="50"/>
        <w:ind w:firstLine="500" w:firstLineChars="200"/>
        <w:rPr>
          <w:rFonts w:ascii="宋体" w:hAnsi="宋体"/>
        </w:rPr>
      </w:pPr>
      <w:r>
        <w:rPr>
          <w:rFonts w:ascii="宋体" w:hAnsi="宋体"/>
        </w:rPr>
        <w:t>投标人需按招标文件要求提供设备制造商的授权委托书和售后服务承诺书。</w:t>
      </w:r>
    </w:p>
    <w:p>
      <w:pPr>
        <w:adjustRightInd w:val="0"/>
        <w:snapToGrid w:val="0"/>
        <w:spacing w:before="203" w:beforeLines="50" w:after="203" w:afterLines="50"/>
        <w:ind w:firstLine="500" w:firstLineChars="200"/>
        <w:rPr>
          <w:rFonts w:ascii="宋体" w:hAnsi="宋体"/>
        </w:rPr>
      </w:pPr>
      <w:r>
        <w:rPr>
          <w:rFonts w:ascii="宋体" w:hAnsi="宋体"/>
        </w:rPr>
        <w:t>本技术条件书对组合式低压开关柜（以下简称开关柜）的电气参数、结构和出厂试验等方面都提出了具体要求，其要求如下：</w:t>
      </w:r>
    </w:p>
    <w:p>
      <w:pPr>
        <w:adjustRightInd w:val="0"/>
        <w:snapToGrid w:val="0"/>
        <w:spacing w:before="203" w:beforeLines="50" w:after="203" w:afterLines="50"/>
        <w:ind w:firstLine="500" w:firstLineChars="200"/>
        <w:rPr>
          <w:rFonts w:ascii="宋体" w:hAnsi="宋体"/>
        </w:rPr>
      </w:pPr>
      <w:r>
        <w:rPr>
          <w:rFonts w:ascii="宋体" w:hAnsi="宋体"/>
        </w:rPr>
        <w:t>（1）承包商提供的设备应是符合本技术条件要求，适用于交流380/220V，频率50Hz电力系统，完整的成套开关设备，在符合使用环境条件情况下，接通电源即能使用。</w:t>
      </w:r>
    </w:p>
    <w:p>
      <w:pPr>
        <w:adjustRightInd w:val="0"/>
        <w:snapToGrid w:val="0"/>
        <w:spacing w:before="203" w:beforeLines="50" w:after="203" w:afterLines="50"/>
        <w:ind w:firstLine="500" w:firstLineChars="200"/>
        <w:rPr>
          <w:rFonts w:ascii="宋体" w:hAnsi="宋体"/>
        </w:rPr>
      </w:pPr>
      <w:r>
        <w:rPr>
          <w:rFonts w:ascii="宋体" w:hAnsi="宋体"/>
        </w:rPr>
        <w:t>（2）本文件提出的技术条件是低压成套开关设备的最低技术要求。承包商应保证提供的产品是符合本技术条件和产品标准的优质产品。</w:t>
      </w:r>
    </w:p>
    <w:p>
      <w:pPr>
        <w:adjustRightInd w:val="0"/>
        <w:snapToGrid w:val="0"/>
        <w:spacing w:before="203" w:beforeLines="50" w:after="203" w:afterLines="50"/>
        <w:ind w:firstLine="500" w:firstLineChars="200"/>
        <w:rPr>
          <w:rFonts w:ascii="宋体" w:hAnsi="宋体"/>
        </w:rPr>
      </w:pPr>
      <w:r>
        <w:rPr>
          <w:rFonts w:ascii="宋体" w:hAnsi="宋体"/>
        </w:rPr>
        <w:t>（3）本文件在投标截止日期前，承包商没有对文件条文提出书面异议，即认为承包商提供的产品完全满足本技术条件的要求。</w:t>
      </w:r>
    </w:p>
    <w:p>
      <w:pPr>
        <w:adjustRightInd w:val="0"/>
        <w:snapToGrid w:val="0"/>
        <w:spacing w:before="203" w:beforeLines="50" w:after="203" w:afterLines="50"/>
        <w:ind w:firstLine="500" w:firstLineChars="200"/>
        <w:rPr>
          <w:rFonts w:ascii="宋体" w:hAnsi="宋体"/>
        </w:rPr>
      </w:pPr>
      <w:r>
        <w:rPr>
          <w:rFonts w:ascii="宋体" w:hAnsi="宋体"/>
        </w:rPr>
        <w:t>（4）未经注明，本文件条文应适用于供货范围内所有设备。</w:t>
      </w:r>
    </w:p>
    <w:p>
      <w:pPr>
        <w:adjustRightInd w:val="0"/>
        <w:snapToGrid w:val="0"/>
        <w:spacing w:before="203" w:beforeLines="50" w:after="203" w:afterLines="50"/>
        <w:outlineLvl w:val="0"/>
        <w:rPr>
          <w:rFonts w:ascii="宋体" w:hAnsi="宋体"/>
          <w:b/>
          <w:bCs/>
        </w:rPr>
      </w:pPr>
      <w:bookmarkStart w:id="6801" w:name="_Toc106883753"/>
      <w:bookmarkStart w:id="6802" w:name="_Toc405665294"/>
      <w:bookmarkStart w:id="6803" w:name="_Toc342643010"/>
      <w:bookmarkStart w:id="6804" w:name="_Toc451019070"/>
      <w:r>
        <w:rPr>
          <w:rFonts w:hint="eastAsia" w:ascii="宋体" w:hAnsi="宋体"/>
          <w:b/>
          <w:bCs/>
        </w:rPr>
        <w:t>9.6.2</w:t>
      </w:r>
      <w:r>
        <w:rPr>
          <w:rFonts w:ascii="宋体" w:hAnsi="宋体"/>
          <w:b/>
          <w:bCs/>
        </w:rPr>
        <w:t>生产和验收标准</w:t>
      </w:r>
      <w:bookmarkEnd w:id="6801"/>
      <w:bookmarkEnd w:id="6802"/>
      <w:bookmarkEnd w:id="6803"/>
      <w:bookmarkEnd w:id="6804"/>
    </w:p>
    <w:p>
      <w:pPr>
        <w:adjustRightInd w:val="0"/>
        <w:snapToGrid w:val="0"/>
        <w:spacing w:before="203" w:beforeLines="50" w:after="203" w:afterLines="50"/>
        <w:ind w:firstLine="500" w:firstLineChars="200"/>
        <w:rPr>
          <w:rFonts w:ascii="宋体" w:hAnsi="宋体"/>
        </w:rPr>
      </w:pPr>
      <w:r>
        <w:rPr>
          <w:rFonts w:ascii="宋体" w:hAnsi="宋体"/>
        </w:rPr>
        <w:t>GB7251-2005     低压成套开关设备和控制设备</w:t>
      </w:r>
    </w:p>
    <w:p>
      <w:pPr>
        <w:adjustRightInd w:val="0"/>
        <w:snapToGrid w:val="0"/>
        <w:spacing w:before="203" w:beforeLines="50" w:after="203" w:afterLines="50"/>
        <w:ind w:firstLine="500" w:firstLineChars="200"/>
        <w:rPr>
          <w:rFonts w:ascii="宋体" w:hAnsi="宋体"/>
        </w:rPr>
      </w:pPr>
      <w:r>
        <w:rPr>
          <w:rFonts w:ascii="宋体" w:hAnsi="宋体"/>
        </w:rPr>
        <w:t>IEC-439         低压成套开关设备及控制设备</w:t>
      </w:r>
    </w:p>
    <w:p>
      <w:pPr>
        <w:adjustRightInd w:val="0"/>
        <w:snapToGrid w:val="0"/>
        <w:spacing w:before="203" w:beforeLines="50" w:after="203" w:afterLines="50"/>
        <w:ind w:firstLine="500" w:firstLineChars="200"/>
        <w:rPr>
          <w:rFonts w:ascii="宋体" w:hAnsi="宋体"/>
        </w:rPr>
      </w:pPr>
      <w:r>
        <w:rPr>
          <w:rFonts w:ascii="宋体" w:hAnsi="宋体"/>
        </w:rPr>
        <w:t>GB4942.2-2006   低压电器外壳防护等级</w:t>
      </w:r>
    </w:p>
    <w:p>
      <w:pPr>
        <w:adjustRightInd w:val="0"/>
        <w:snapToGrid w:val="0"/>
        <w:spacing w:before="203" w:beforeLines="50" w:after="203" w:afterLines="50"/>
        <w:ind w:firstLine="500" w:firstLineChars="200"/>
        <w:rPr>
          <w:rFonts w:ascii="宋体" w:hAnsi="宋体"/>
        </w:rPr>
      </w:pPr>
      <w:r>
        <w:rPr>
          <w:rFonts w:ascii="宋体" w:hAnsi="宋体"/>
        </w:rPr>
        <w:t>GB14048.2-2001  低压开关设备和控制设备  低压断路器</w:t>
      </w:r>
    </w:p>
    <w:p>
      <w:pPr>
        <w:adjustRightInd w:val="0"/>
        <w:snapToGrid w:val="0"/>
        <w:spacing w:before="203" w:beforeLines="50" w:after="203" w:afterLines="50"/>
        <w:ind w:firstLine="500" w:firstLineChars="200"/>
        <w:rPr>
          <w:rFonts w:ascii="宋体" w:hAnsi="宋体"/>
        </w:rPr>
      </w:pPr>
      <w:r>
        <w:rPr>
          <w:rFonts w:ascii="宋体" w:hAnsi="宋体"/>
        </w:rPr>
        <w:t>GB9466-1998     低压成套开关设备基本试验方法</w:t>
      </w:r>
    </w:p>
    <w:p>
      <w:pPr>
        <w:adjustRightInd w:val="0"/>
        <w:snapToGrid w:val="0"/>
        <w:spacing w:before="203" w:beforeLines="50" w:after="203" w:afterLines="50"/>
        <w:ind w:firstLine="500" w:firstLineChars="200"/>
        <w:rPr>
          <w:rFonts w:ascii="宋体" w:hAnsi="宋体"/>
        </w:rPr>
      </w:pPr>
      <w:r>
        <w:rPr>
          <w:rFonts w:ascii="宋体" w:hAnsi="宋体"/>
        </w:rPr>
        <w:t>GB2681-81       电工成套装置中的导线颜色</w:t>
      </w:r>
    </w:p>
    <w:p>
      <w:pPr>
        <w:adjustRightInd w:val="0"/>
        <w:snapToGrid w:val="0"/>
        <w:spacing w:before="203" w:beforeLines="50" w:after="203" w:afterLines="50"/>
        <w:ind w:firstLine="500" w:firstLineChars="200"/>
        <w:rPr>
          <w:rFonts w:ascii="宋体" w:hAnsi="宋体"/>
        </w:rPr>
      </w:pPr>
      <w:r>
        <w:rPr>
          <w:rFonts w:ascii="宋体" w:hAnsi="宋体"/>
        </w:rPr>
        <w:t>GB/T4026-2004   人机界面标志标识的基本方法和安全规则设备端子和特定导体终端标识及字母数字系统的应用通则</w:t>
      </w:r>
    </w:p>
    <w:p>
      <w:pPr>
        <w:adjustRightInd w:val="0"/>
        <w:snapToGrid w:val="0"/>
        <w:spacing w:before="203" w:beforeLines="50" w:after="203" w:afterLines="50"/>
        <w:rPr>
          <w:rFonts w:ascii="宋体" w:hAnsi="宋体"/>
          <w:b/>
          <w:bCs/>
        </w:rPr>
      </w:pPr>
      <w:bookmarkStart w:id="6805" w:name="_Toc342643011"/>
      <w:bookmarkStart w:id="6806" w:name="_Toc451019071"/>
      <w:bookmarkStart w:id="6807" w:name="_Toc405665295"/>
      <w:r>
        <w:rPr>
          <w:rFonts w:hint="eastAsia" w:ascii="宋体" w:hAnsi="宋体"/>
          <w:b/>
          <w:bCs/>
        </w:rPr>
        <w:t>9.6.3</w:t>
      </w:r>
      <w:r>
        <w:rPr>
          <w:rFonts w:ascii="宋体" w:hAnsi="宋体"/>
          <w:b/>
          <w:bCs/>
        </w:rPr>
        <w:t>技术要求</w:t>
      </w:r>
      <w:bookmarkEnd w:id="6805"/>
      <w:bookmarkEnd w:id="6806"/>
      <w:bookmarkEnd w:id="6807"/>
    </w:p>
    <w:p>
      <w:pPr>
        <w:adjustRightInd w:val="0"/>
        <w:snapToGrid w:val="0"/>
        <w:spacing w:before="203" w:beforeLines="50" w:after="203" w:afterLines="50"/>
        <w:ind w:firstLine="500" w:firstLineChars="200"/>
        <w:rPr>
          <w:rFonts w:ascii="宋体" w:hAnsi="宋体"/>
        </w:rPr>
      </w:pPr>
      <w:r>
        <w:rPr>
          <w:rFonts w:ascii="宋体" w:hAnsi="宋体"/>
        </w:rPr>
        <w:t>（1） 名称</w:t>
      </w:r>
      <w:r>
        <w:rPr>
          <w:rFonts w:hint="eastAsia" w:ascii="宋体" w:hAnsi="宋体"/>
        </w:rPr>
        <w:t>：</w:t>
      </w:r>
      <w:r>
        <w:rPr>
          <w:rFonts w:ascii="宋体" w:hAnsi="宋体"/>
        </w:rPr>
        <w:t>组合式低压开关柜</w:t>
      </w:r>
    </w:p>
    <w:p>
      <w:pPr>
        <w:adjustRightInd w:val="0"/>
        <w:snapToGrid w:val="0"/>
        <w:spacing w:before="203" w:beforeLines="50" w:after="203" w:afterLines="50"/>
        <w:ind w:firstLine="500" w:firstLineChars="200"/>
        <w:rPr>
          <w:rFonts w:ascii="宋体" w:hAnsi="宋体"/>
        </w:rPr>
      </w:pPr>
      <w:r>
        <w:rPr>
          <w:rFonts w:ascii="宋体" w:hAnsi="宋体"/>
        </w:rPr>
        <w:t>（2） 规格</w:t>
      </w:r>
      <w:r>
        <w:rPr>
          <w:rFonts w:hint="eastAsia" w:ascii="宋体" w:hAnsi="宋体"/>
        </w:rPr>
        <w:t>：</w:t>
      </w:r>
      <w:r>
        <w:rPr>
          <w:rFonts w:ascii="宋体" w:hAnsi="宋体"/>
        </w:rPr>
        <w:t>详见招标图。</w:t>
      </w:r>
    </w:p>
    <w:p>
      <w:pPr>
        <w:adjustRightInd w:val="0"/>
        <w:snapToGrid w:val="0"/>
        <w:spacing w:before="203" w:beforeLines="50" w:after="203" w:afterLines="50"/>
        <w:ind w:firstLine="500" w:firstLineChars="200"/>
        <w:rPr>
          <w:rFonts w:ascii="宋体" w:hAnsi="宋体"/>
        </w:rPr>
      </w:pPr>
      <w:r>
        <w:rPr>
          <w:rFonts w:ascii="宋体" w:hAnsi="宋体"/>
        </w:rPr>
        <w:t>（3） 电气参数</w:t>
      </w:r>
      <w:r>
        <w:rPr>
          <w:rFonts w:hint="eastAsia" w:ascii="宋体" w:hAnsi="宋体"/>
        </w:rPr>
        <w:t>：</w:t>
      </w:r>
      <w:r>
        <w:rPr>
          <w:rFonts w:ascii="宋体" w:hAnsi="宋体"/>
        </w:rPr>
        <w:t>开关柜电气参数详见低压电气设备技术规格数据表。</w:t>
      </w:r>
    </w:p>
    <w:p>
      <w:pPr>
        <w:adjustRightInd w:val="0"/>
        <w:snapToGrid w:val="0"/>
        <w:spacing w:before="203" w:beforeLines="50" w:after="203" w:afterLines="50"/>
        <w:ind w:firstLine="500" w:firstLineChars="200"/>
        <w:rPr>
          <w:rFonts w:ascii="宋体" w:hAnsi="宋体"/>
        </w:rPr>
      </w:pPr>
      <w:r>
        <w:rPr>
          <w:rFonts w:ascii="宋体" w:hAnsi="宋体"/>
        </w:rPr>
        <w:t>（4） 防护等级</w:t>
      </w:r>
      <w:r>
        <w:rPr>
          <w:rFonts w:hint="eastAsia" w:ascii="宋体" w:hAnsi="宋体"/>
        </w:rPr>
        <w:t>：</w:t>
      </w:r>
      <w:r>
        <w:rPr>
          <w:rFonts w:ascii="宋体" w:hAnsi="宋体"/>
        </w:rPr>
        <w:t>外壳的防护等级：组合式低压开关柜IP40。</w:t>
      </w:r>
    </w:p>
    <w:p>
      <w:pPr>
        <w:adjustRightInd w:val="0"/>
        <w:snapToGrid w:val="0"/>
        <w:spacing w:before="203" w:beforeLines="50" w:after="203" w:afterLines="50"/>
        <w:outlineLvl w:val="0"/>
        <w:rPr>
          <w:rFonts w:ascii="宋体" w:hAnsi="宋体"/>
          <w:b/>
          <w:bCs/>
        </w:rPr>
      </w:pPr>
      <w:bookmarkStart w:id="6808" w:name="_Toc106883754"/>
      <w:bookmarkStart w:id="6809" w:name="_Toc342643012"/>
      <w:bookmarkStart w:id="6810" w:name="_Toc451019072"/>
      <w:bookmarkStart w:id="6811" w:name="_Toc405665296"/>
      <w:r>
        <w:rPr>
          <w:rFonts w:hint="eastAsia" w:ascii="宋体" w:hAnsi="宋体"/>
          <w:b/>
          <w:bCs/>
        </w:rPr>
        <w:t>9.6.4</w:t>
      </w:r>
      <w:r>
        <w:rPr>
          <w:rFonts w:ascii="宋体" w:hAnsi="宋体"/>
          <w:b/>
          <w:bCs/>
        </w:rPr>
        <w:t>结构</w:t>
      </w:r>
      <w:bookmarkEnd w:id="6808"/>
      <w:bookmarkEnd w:id="6809"/>
      <w:bookmarkEnd w:id="6810"/>
      <w:bookmarkEnd w:id="6811"/>
    </w:p>
    <w:p>
      <w:pPr>
        <w:adjustRightInd w:val="0"/>
        <w:snapToGrid w:val="0"/>
        <w:spacing w:before="203" w:beforeLines="50" w:after="203" w:afterLines="50"/>
        <w:ind w:firstLine="500" w:firstLineChars="200"/>
        <w:rPr>
          <w:rFonts w:ascii="宋体" w:hAnsi="宋体"/>
        </w:rPr>
      </w:pPr>
      <w:r>
        <w:rPr>
          <w:rFonts w:ascii="宋体" w:hAnsi="宋体"/>
        </w:rPr>
        <w:t>（1）设备的框架和外壳应有足够的强度和刚度，除应满足内部元器件的安装要求外，还应能承受短路时所产生的电动应力和热应力，同时也应不因成套设备搬运、吊装、运输过程由于受潮、冷冻、撞击等因素造成设备变形、损坏及降低使用条件。</w:t>
      </w:r>
    </w:p>
    <w:p>
      <w:pPr>
        <w:adjustRightInd w:val="0"/>
        <w:snapToGrid w:val="0"/>
        <w:spacing w:before="203" w:beforeLines="50" w:after="203" w:afterLines="50"/>
        <w:ind w:firstLine="500" w:firstLineChars="200"/>
        <w:rPr>
          <w:rFonts w:ascii="宋体" w:hAnsi="宋体"/>
          <w:kern w:val="0"/>
        </w:rPr>
      </w:pPr>
      <w:r>
        <w:rPr>
          <w:rFonts w:ascii="宋体" w:hAnsi="宋体"/>
        </w:rPr>
        <w:t>（2）外壳的顶部应盖板，防止异物、水滴落下造成母线短路。盖板的设置不应影响正常运行时的通风和散热，以及外壳防护等级。</w:t>
      </w:r>
    </w:p>
    <w:p>
      <w:pPr>
        <w:adjustRightInd w:val="0"/>
        <w:snapToGrid w:val="0"/>
        <w:spacing w:before="203" w:beforeLines="50" w:after="203" w:afterLines="50"/>
        <w:ind w:firstLine="500" w:firstLineChars="200"/>
        <w:rPr>
          <w:rFonts w:ascii="宋体" w:hAnsi="宋体"/>
        </w:rPr>
      </w:pPr>
      <w:r>
        <w:rPr>
          <w:rFonts w:ascii="宋体" w:hAnsi="宋体"/>
        </w:rPr>
        <w:t>（3） 柜体的背面应设置金属板门，且开闭灵活。</w:t>
      </w:r>
    </w:p>
    <w:p>
      <w:pPr>
        <w:adjustRightInd w:val="0"/>
        <w:snapToGrid w:val="0"/>
        <w:spacing w:before="203" w:beforeLines="50" w:after="203" w:afterLines="50"/>
        <w:ind w:firstLine="500" w:firstLineChars="200"/>
        <w:rPr>
          <w:rFonts w:ascii="宋体" w:hAnsi="宋体"/>
        </w:rPr>
      </w:pPr>
      <w:r>
        <w:rPr>
          <w:rFonts w:ascii="宋体" w:hAnsi="宋体"/>
        </w:rPr>
        <w:t>（4） 为避免事故扩大，开关柜之间应有隔板。</w:t>
      </w:r>
    </w:p>
    <w:p>
      <w:pPr>
        <w:adjustRightInd w:val="0"/>
        <w:snapToGrid w:val="0"/>
        <w:spacing w:before="203" w:beforeLines="50" w:after="203" w:afterLines="50"/>
        <w:ind w:firstLine="500" w:firstLineChars="200"/>
        <w:rPr>
          <w:rFonts w:ascii="宋体" w:hAnsi="宋体"/>
        </w:rPr>
      </w:pPr>
      <w:r>
        <w:rPr>
          <w:rFonts w:ascii="宋体" w:hAnsi="宋体"/>
        </w:rPr>
        <w:t>（5）柜体的结构应使得断路器或其它电气设备正常操作产生的振动不会引起继电器等二次设备误动作。</w:t>
      </w:r>
    </w:p>
    <w:p>
      <w:pPr>
        <w:adjustRightInd w:val="0"/>
        <w:snapToGrid w:val="0"/>
        <w:spacing w:before="203" w:beforeLines="50" w:after="203" w:afterLines="50"/>
        <w:ind w:firstLine="500" w:firstLineChars="200"/>
        <w:rPr>
          <w:rFonts w:ascii="宋体" w:hAnsi="宋体"/>
        </w:rPr>
      </w:pPr>
      <w:r>
        <w:rPr>
          <w:rFonts w:ascii="宋体" w:hAnsi="宋体"/>
        </w:rPr>
        <w:t>（6）所有外接一次导线端子，均应同时对铝导线和铜导线都适用。功能单元内的一次导线截面应与订货图中所接导线（电缆）截面相适应，任何情况下端子均应和外接导线可靠连接。</w:t>
      </w:r>
    </w:p>
    <w:p>
      <w:pPr>
        <w:adjustRightInd w:val="0"/>
        <w:snapToGrid w:val="0"/>
        <w:spacing w:before="203" w:beforeLines="50" w:after="203" w:afterLines="50"/>
        <w:ind w:firstLine="500" w:firstLineChars="200"/>
        <w:rPr>
          <w:rFonts w:ascii="宋体" w:hAnsi="宋体"/>
        </w:rPr>
      </w:pPr>
      <w:r>
        <w:rPr>
          <w:rFonts w:ascii="宋体" w:hAnsi="宋体"/>
        </w:rPr>
        <w:t>（7） 柜内应同时设置中性点工作母线（N）和接地保护母线（PE）。中性点工作母线和接地保护母线贯穿开关柜组全长，其截面中性点工作母线应不小于主母线的100%，接地保护母线应不小于主母线的50%。</w:t>
      </w:r>
    </w:p>
    <w:p>
      <w:pPr>
        <w:adjustRightInd w:val="0"/>
        <w:snapToGrid w:val="0"/>
        <w:spacing w:before="203" w:beforeLines="50" w:after="203" w:afterLines="50"/>
        <w:ind w:firstLine="500" w:firstLineChars="200"/>
        <w:rPr>
          <w:rFonts w:ascii="宋体" w:hAnsi="宋体"/>
        </w:rPr>
      </w:pPr>
      <w:r>
        <w:rPr>
          <w:rFonts w:ascii="宋体" w:hAnsi="宋体"/>
        </w:rPr>
        <w:t>（8） 保护接地母线的颜色应符合GB2681-81电工成套装置中的导线颜色的规定，其标志清楚而永久性地识别。</w:t>
      </w:r>
    </w:p>
    <w:p>
      <w:pPr>
        <w:adjustRightInd w:val="0"/>
        <w:snapToGrid w:val="0"/>
        <w:spacing w:before="203" w:beforeLines="50" w:after="203" w:afterLines="50"/>
        <w:ind w:firstLine="500" w:firstLineChars="200"/>
        <w:rPr>
          <w:rFonts w:ascii="宋体" w:hAnsi="宋体"/>
        </w:rPr>
      </w:pPr>
      <w:r>
        <w:rPr>
          <w:rFonts w:ascii="宋体" w:hAnsi="宋体"/>
        </w:rPr>
        <w:t>（9）中性点母线和保护接地母线应在开关柜组两端设置专用接地引线端子板，引线端子板应为双螺栓型，且设有明显的符号标志。接地保护引线端子板当罩壳或任何其它可拆卸的部件移去时，其位置仍能保证电器与接地保护之间的连接。</w:t>
      </w:r>
    </w:p>
    <w:p>
      <w:pPr>
        <w:adjustRightInd w:val="0"/>
        <w:snapToGrid w:val="0"/>
        <w:spacing w:before="203" w:beforeLines="50" w:after="203" w:afterLines="50"/>
        <w:ind w:firstLine="500" w:firstLineChars="200"/>
        <w:rPr>
          <w:rFonts w:ascii="宋体" w:hAnsi="宋体"/>
        </w:rPr>
      </w:pPr>
      <w:r>
        <w:rPr>
          <w:rFonts w:ascii="宋体" w:hAnsi="宋体"/>
        </w:rPr>
        <w:t>（10） 柜体活动部件（如门）上若装有信号灯、操作开关，则应用专用的保护软导线与柜内保护接地母线连接。</w:t>
      </w:r>
    </w:p>
    <w:p>
      <w:pPr>
        <w:adjustRightInd w:val="0"/>
        <w:snapToGrid w:val="0"/>
        <w:spacing w:before="203" w:beforeLines="50" w:after="203" w:afterLines="50"/>
        <w:ind w:firstLine="500" w:firstLineChars="200"/>
        <w:rPr>
          <w:rFonts w:ascii="宋体" w:hAnsi="宋体"/>
        </w:rPr>
      </w:pPr>
      <w:r>
        <w:rPr>
          <w:rFonts w:ascii="宋体" w:hAnsi="宋体"/>
        </w:rPr>
        <w:t>（11） 组合式开关柜的底部应设有安装外接电缆的安装支架，还应设置安装零序电流互感器的支架，高度应保证上述设备的安装，但电缆支架距柜低的高度应不小于300毫米。</w:t>
      </w:r>
    </w:p>
    <w:p>
      <w:pPr>
        <w:adjustRightInd w:val="0"/>
        <w:snapToGrid w:val="0"/>
        <w:spacing w:before="203" w:beforeLines="50" w:after="203" w:afterLines="50"/>
        <w:ind w:firstLine="500" w:firstLineChars="200"/>
        <w:rPr>
          <w:rFonts w:ascii="宋体" w:hAnsi="宋体"/>
        </w:rPr>
      </w:pPr>
      <w:r>
        <w:rPr>
          <w:rFonts w:ascii="宋体" w:hAnsi="宋体"/>
        </w:rPr>
        <w:t>（12） 所有不带电的金属部件应有效地接到开关柜的保护接地母线上。</w:t>
      </w:r>
    </w:p>
    <w:p>
      <w:pPr>
        <w:adjustRightInd w:val="0"/>
        <w:snapToGrid w:val="0"/>
        <w:spacing w:before="203" w:beforeLines="50" w:after="203" w:afterLines="50"/>
        <w:ind w:firstLine="500" w:firstLineChars="200"/>
        <w:rPr>
          <w:rFonts w:ascii="宋体" w:hAnsi="宋体"/>
        </w:rPr>
      </w:pPr>
      <w:r>
        <w:rPr>
          <w:rFonts w:ascii="宋体" w:hAnsi="宋体"/>
        </w:rPr>
        <w:t>（13） 组合式开关柜应设置有各自独立的功能单元小室、电缆室和母线室。各室之间应用封闭型金属隔板完全隔离。在正常运行时，各小室的门和隔板应具有和开关柜相同的防护等级。</w:t>
      </w:r>
    </w:p>
    <w:p>
      <w:pPr>
        <w:adjustRightInd w:val="0"/>
        <w:snapToGrid w:val="0"/>
        <w:spacing w:before="203" w:beforeLines="50" w:after="203" w:afterLines="50"/>
        <w:ind w:firstLine="500" w:firstLineChars="200"/>
        <w:rPr>
          <w:rFonts w:ascii="宋体" w:hAnsi="宋体"/>
        </w:rPr>
      </w:pPr>
      <w:r>
        <w:rPr>
          <w:rFonts w:ascii="宋体" w:hAnsi="宋体"/>
        </w:rPr>
        <w:t>（14）组合式开关柜的电缆室内外引电缆的安装支架，零序电流互感器的安装支架，应为可拆卸式，其位置应与各功能单元小室引线端子对应，并可在引线下方适当位置进行调整。</w:t>
      </w:r>
    </w:p>
    <w:p>
      <w:pPr>
        <w:adjustRightInd w:val="0"/>
        <w:snapToGrid w:val="0"/>
        <w:spacing w:before="203" w:beforeLines="50" w:after="203" w:afterLines="50"/>
        <w:ind w:firstLine="500" w:firstLineChars="200"/>
        <w:rPr>
          <w:rFonts w:ascii="宋体" w:hAnsi="宋体"/>
        </w:rPr>
      </w:pPr>
      <w:r>
        <w:rPr>
          <w:rFonts w:ascii="宋体" w:hAnsi="宋体"/>
        </w:rPr>
        <w:t>（15） 抽出式部件不仅应有一个连接位置和一个移出位置，还应有一个分离位置，并且有一个试验位置。在这些位置上应给于明显的区别标志。</w:t>
      </w:r>
    </w:p>
    <w:p>
      <w:pPr>
        <w:adjustRightInd w:val="0"/>
        <w:snapToGrid w:val="0"/>
        <w:spacing w:before="203" w:beforeLines="50" w:after="203" w:afterLines="50"/>
        <w:ind w:firstLine="500" w:firstLineChars="200"/>
        <w:rPr>
          <w:rFonts w:ascii="宋体" w:hAnsi="宋体"/>
        </w:rPr>
      </w:pPr>
      <w:r>
        <w:rPr>
          <w:rFonts w:ascii="宋体" w:hAnsi="宋体"/>
        </w:rPr>
        <w:t>（16） 开关（配电）柜导电母线（水平母线和垂直母线）均为铜质，接头处镀银，螺栓连接时，应有长期运行中保持不变的接触压力。接头处应不少于两颗螺栓。母线上任意一点及母线的支持结构，应能承受与断路器额定开断电流大小相同的，短路电流引起的热应力和电动应力。</w:t>
      </w:r>
    </w:p>
    <w:p>
      <w:pPr>
        <w:adjustRightInd w:val="0"/>
        <w:snapToGrid w:val="0"/>
        <w:spacing w:before="203" w:beforeLines="50" w:after="203" w:afterLines="50"/>
        <w:ind w:firstLine="500" w:firstLineChars="200"/>
        <w:rPr>
          <w:rFonts w:ascii="宋体" w:hAnsi="宋体"/>
        </w:rPr>
      </w:pPr>
      <w:r>
        <w:rPr>
          <w:rFonts w:ascii="宋体" w:hAnsi="宋体"/>
        </w:rPr>
        <w:t xml:space="preserve">（17） 所有水平母线、垂直母线、分支线和主电路接插件带电部位之间及其对接地金属件之间的电气间隙和爬电距离均应不小于20毫米。 </w:t>
      </w:r>
    </w:p>
    <w:p>
      <w:pPr>
        <w:adjustRightInd w:val="0"/>
        <w:snapToGrid w:val="0"/>
        <w:spacing w:before="203" w:beforeLines="50" w:after="203" w:afterLines="50"/>
        <w:ind w:firstLine="500" w:firstLineChars="200"/>
        <w:rPr>
          <w:rFonts w:ascii="宋体" w:hAnsi="宋体"/>
        </w:rPr>
      </w:pPr>
      <w:r>
        <w:rPr>
          <w:rFonts w:ascii="宋体" w:hAnsi="宋体"/>
        </w:rPr>
        <w:t>（18） 母线槽导体材质、截面应与开关柜主母线一致。另须设置专用中性点工作母线，其两端应延伸至开关柜内与中性点工作母线连接。</w:t>
      </w:r>
    </w:p>
    <w:p>
      <w:pPr>
        <w:adjustRightInd w:val="0"/>
        <w:snapToGrid w:val="0"/>
        <w:spacing w:before="203" w:beforeLines="50" w:after="203" w:afterLines="50"/>
        <w:ind w:firstLine="500" w:firstLineChars="200"/>
        <w:rPr>
          <w:rFonts w:ascii="宋体" w:hAnsi="宋体"/>
        </w:rPr>
      </w:pPr>
      <w:r>
        <w:rPr>
          <w:rFonts w:ascii="宋体" w:hAnsi="宋体"/>
        </w:rPr>
        <w:t>（19） 成一列布置的开关柜应在制造车间内拼装，以保证现场拼装时柜面的平整。</w:t>
      </w:r>
    </w:p>
    <w:p>
      <w:pPr>
        <w:adjustRightInd w:val="0"/>
        <w:snapToGrid w:val="0"/>
        <w:spacing w:before="203" w:beforeLines="50" w:after="203" w:afterLines="50"/>
        <w:ind w:firstLine="500" w:firstLineChars="200"/>
        <w:rPr>
          <w:rFonts w:ascii="宋体" w:hAnsi="宋体"/>
        </w:rPr>
      </w:pPr>
      <w:r>
        <w:rPr>
          <w:rFonts w:ascii="宋体" w:hAnsi="宋体"/>
        </w:rPr>
        <w:t>（20） 每台低压配电柜内均需设置温湿度控制器（包括加热、通风设备）一套，安装位置必须保证满足正常的通风散热，并便于维修更换。</w:t>
      </w:r>
    </w:p>
    <w:p>
      <w:pPr>
        <w:adjustRightInd w:val="0"/>
        <w:snapToGrid w:val="0"/>
        <w:spacing w:before="203" w:beforeLines="50" w:after="203" w:afterLines="50"/>
        <w:ind w:firstLine="500" w:firstLineChars="200"/>
        <w:rPr>
          <w:rFonts w:ascii="宋体" w:hAnsi="宋体"/>
        </w:rPr>
      </w:pPr>
      <w:r>
        <w:rPr>
          <w:rFonts w:ascii="宋体" w:hAnsi="宋体"/>
        </w:rPr>
        <w:t>（21）每台电力电容器柜除满足1.6.4（20）条中的规定外，还需满足通风系统良好，环境温度不大于40℃的要求。</w:t>
      </w:r>
    </w:p>
    <w:p>
      <w:pPr>
        <w:adjustRightInd w:val="0"/>
        <w:snapToGrid w:val="0"/>
        <w:spacing w:before="203" w:beforeLines="50" w:after="203" w:afterLines="50"/>
        <w:outlineLvl w:val="0"/>
        <w:rPr>
          <w:rFonts w:ascii="宋体" w:hAnsi="宋体"/>
          <w:b/>
          <w:bCs/>
        </w:rPr>
      </w:pPr>
      <w:bookmarkStart w:id="6812" w:name="_Toc106883755"/>
      <w:bookmarkStart w:id="6813" w:name="_Toc300754202"/>
      <w:bookmarkStart w:id="6814" w:name="_Toc304901250"/>
      <w:bookmarkStart w:id="6815" w:name="_Toc263368952"/>
      <w:bookmarkStart w:id="6816" w:name="_Toc451019073"/>
      <w:bookmarkStart w:id="6817" w:name="_Toc342643013"/>
      <w:bookmarkStart w:id="6818" w:name="_Toc261591177"/>
      <w:bookmarkStart w:id="6819" w:name="_Toc299629491"/>
      <w:bookmarkStart w:id="6820" w:name="_Toc405665297"/>
      <w:r>
        <w:rPr>
          <w:rFonts w:hint="eastAsia" w:ascii="宋体" w:hAnsi="宋体"/>
          <w:b/>
          <w:bCs/>
        </w:rPr>
        <w:t>9.6.5</w:t>
      </w:r>
      <w:r>
        <w:rPr>
          <w:rFonts w:ascii="宋体" w:hAnsi="宋体"/>
          <w:b/>
          <w:bCs/>
        </w:rPr>
        <w:t>元器件要求</w:t>
      </w:r>
      <w:bookmarkEnd w:id="6812"/>
      <w:bookmarkEnd w:id="6813"/>
      <w:bookmarkEnd w:id="6814"/>
      <w:bookmarkEnd w:id="6815"/>
      <w:bookmarkEnd w:id="6816"/>
      <w:bookmarkEnd w:id="6817"/>
      <w:bookmarkEnd w:id="6818"/>
      <w:bookmarkEnd w:id="6819"/>
      <w:bookmarkEnd w:id="6820"/>
    </w:p>
    <w:p>
      <w:pPr>
        <w:adjustRightInd w:val="0"/>
        <w:snapToGrid w:val="0"/>
        <w:spacing w:before="203" w:beforeLines="50" w:after="203" w:afterLines="50"/>
        <w:rPr>
          <w:rFonts w:ascii="宋体" w:hAnsi="宋体"/>
        </w:rPr>
      </w:pPr>
      <w:r>
        <w:rPr>
          <w:rFonts w:ascii="宋体" w:hAnsi="宋体"/>
        </w:rPr>
        <w:t>（1） 断路器</w:t>
      </w:r>
    </w:p>
    <w:p>
      <w:pPr>
        <w:adjustRightInd w:val="0"/>
        <w:snapToGrid w:val="0"/>
        <w:spacing w:before="203" w:beforeLines="50" w:after="203" w:afterLines="50"/>
        <w:ind w:firstLine="500" w:firstLineChars="200"/>
        <w:rPr>
          <w:rFonts w:ascii="宋体" w:hAnsi="宋体"/>
        </w:rPr>
      </w:pPr>
      <w:r>
        <w:rPr>
          <w:rFonts w:ascii="宋体" w:hAnsi="宋体"/>
        </w:rPr>
        <w:t>a低压断路器包括框架式空气断路器和塑壳式空气断路以及微型断路器。这些元器件制造均应符合GB14048.2-2001有关低压断路器标准的规定。</w:t>
      </w:r>
    </w:p>
    <w:p>
      <w:pPr>
        <w:adjustRightInd w:val="0"/>
        <w:snapToGrid w:val="0"/>
        <w:spacing w:before="203" w:beforeLines="50" w:after="203" w:afterLines="50"/>
        <w:ind w:firstLine="500" w:firstLineChars="200"/>
        <w:rPr>
          <w:rFonts w:ascii="宋体" w:hAnsi="宋体"/>
        </w:rPr>
      </w:pPr>
      <w:r>
        <w:rPr>
          <w:rFonts w:ascii="宋体" w:hAnsi="宋体"/>
        </w:rPr>
        <w:t>b这些断路器应具备订货图中要求的保护功能。</w:t>
      </w:r>
    </w:p>
    <w:p>
      <w:pPr>
        <w:adjustRightInd w:val="0"/>
        <w:snapToGrid w:val="0"/>
        <w:spacing w:before="203" w:beforeLines="50" w:after="203" w:afterLines="50"/>
        <w:ind w:firstLine="500" w:firstLineChars="200"/>
        <w:rPr>
          <w:rFonts w:ascii="宋体" w:hAnsi="宋体"/>
        </w:rPr>
      </w:pPr>
      <w:r>
        <w:rPr>
          <w:rFonts w:ascii="宋体" w:hAnsi="宋体"/>
        </w:rPr>
        <w:t>用于低压AC400V的空气开关应具有“合闸”、“分断”，“自由脱扣”和“再扣”四个工作状态位置，并具有明显的机械显示，额定电流400A以上的空气开关，采用电动操作机构，操作电压为AC220V。</w:t>
      </w:r>
    </w:p>
    <w:p>
      <w:pPr>
        <w:adjustRightInd w:val="0"/>
        <w:snapToGrid w:val="0"/>
        <w:spacing w:before="203" w:beforeLines="50" w:after="203" w:afterLines="50"/>
        <w:ind w:firstLine="500" w:firstLineChars="200"/>
        <w:rPr>
          <w:rFonts w:ascii="宋体" w:hAnsi="宋体"/>
        </w:rPr>
      </w:pPr>
      <w:r>
        <w:rPr>
          <w:rFonts w:ascii="宋体" w:hAnsi="宋体"/>
        </w:rPr>
        <w:t>必须是模块化设计，能根据用户需要进行组合，灭弧系统为双旋转式。在25倍额定电流下，能快速脱扣（2ms内）。脱扣单元可根据需要采用电子式，要求其使用电流能在0.4～1.0Ie（额定电流）范围内整定，且短路脱扣倍数可调。塑壳断路器极限分断能力与使用分断能力相同。</w:t>
      </w:r>
    </w:p>
    <w:p>
      <w:pPr>
        <w:adjustRightInd w:val="0"/>
        <w:snapToGrid w:val="0"/>
        <w:spacing w:before="203" w:beforeLines="50" w:after="203" w:afterLines="50"/>
        <w:ind w:firstLine="500" w:firstLineChars="200"/>
        <w:rPr>
          <w:rFonts w:ascii="宋体" w:hAnsi="宋体"/>
        </w:rPr>
      </w:pPr>
      <w:r>
        <w:rPr>
          <w:rFonts w:ascii="宋体" w:hAnsi="宋体"/>
        </w:rPr>
        <w:t>作为低压配电系统的主进线柜和母联柜内的断路器还应符合下列技术要求：</w:t>
      </w:r>
    </w:p>
    <w:p>
      <w:pPr>
        <w:adjustRightInd w:val="0"/>
        <w:snapToGrid w:val="0"/>
        <w:spacing w:before="203" w:beforeLines="50" w:after="203" w:afterLines="50"/>
        <w:ind w:firstLine="500" w:firstLineChars="200"/>
        <w:rPr>
          <w:rFonts w:ascii="宋体" w:hAnsi="宋体"/>
        </w:rPr>
      </w:pPr>
      <w:r>
        <w:rPr>
          <w:rFonts w:ascii="宋体" w:hAnsi="宋体"/>
        </w:rPr>
        <w:t>模块化设计，维修更换方便；</w:t>
      </w:r>
    </w:p>
    <w:p>
      <w:pPr>
        <w:adjustRightInd w:val="0"/>
        <w:snapToGrid w:val="0"/>
        <w:spacing w:before="203" w:beforeLines="50" w:after="203" w:afterLines="50"/>
        <w:ind w:firstLine="500" w:firstLineChars="200"/>
        <w:rPr>
          <w:rFonts w:ascii="宋体" w:hAnsi="宋体"/>
        </w:rPr>
      </w:pPr>
      <w:r>
        <w:rPr>
          <w:rFonts w:ascii="宋体" w:hAnsi="宋体"/>
        </w:rPr>
        <w:t>免维护产品；</w:t>
      </w:r>
    </w:p>
    <w:p>
      <w:pPr>
        <w:adjustRightInd w:val="0"/>
        <w:snapToGrid w:val="0"/>
        <w:spacing w:before="203" w:beforeLines="50" w:after="203" w:afterLines="50"/>
        <w:ind w:firstLine="500" w:firstLineChars="200"/>
        <w:rPr>
          <w:rFonts w:ascii="宋体" w:hAnsi="宋体"/>
        </w:rPr>
      </w:pPr>
      <w:r>
        <w:rPr>
          <w:rFonts w:ascii="宋体" w:hAnsi="宋体"/>
        </w:rPr>
        <w:t>额定电流可调整。</w:t>
      </w:r>
    </w:p>
    <w:p>
      <w:pPr>
        <w:adjustRightInd w:val="0"/>
        <w:snapToGrid w:val="0"/>
        <w:spacing w:before="203" w:beforeLines="50" w:after="203" w:afterLines="50"/>
        <w:ind w:firstLine="500" w:firstLineChars="200"/>
        <w:rPr>
          <w:rFonts w:ascii="宋体" w:hAnsi="宋体"/>
        </w:rPr>
      </w:pPr>
      <w:r>
        <w:rPr>
          <w:rFonts w:ascii="宋体" w:hAnsi="宋体"/>
        </w:rPr>
        <w:t>（2）交流接触器</w:t>
      </w:r>
    </w:p>
    <w:p>
      <w:pPr>
        <w:adjustRightInd w:val="0"/>
        <w:snapToGrid w:val="0"/>
        <w:spacing w:before="203" w:beforeLines="50" w:after="203" w:afterLines="50"/>
        <w:ind w:firstLine="500" w:firstLineChars="200"/>
        <w:rPr>
          <w:rFonts w:ascii="宋体" w:hAnsi="宋体"/>
        </w:rPr>
      </w:pPr>
      <w:r>
        <w:rPr>
          <w:rFonts w:ascii="宋体" w:hAnsi="宋体"/>
        </w:rPr>
        <w:t>交流接触器用于交流50Hz、电压400V的电路中，作为接通和开断电路、启动控制三相交流电动机之控制元件。接触器为空气断路型电磁机械开关，应符合下列标准：</w:t>
      </w:r>
    </w:p>
    <w:p>
      <w:pPr>
        <w:adjustRightInd w:val="0"/>
        <w:snapToGrid w:val="0"/>
        <w:spacing w:before="203" w:beforeLines="50" w:after="203" w:afterLines="50"/>
        <w:ind w:firstLine="500" w:firstLineChars="200"/>
        <w:rPr>
          <w:rFonts w:ascii="宋体" w:hAnsi="宋体"/>
        </w:rPr>
      </w:pPr>
      <w:r>
        <w:rPr>
          <w:rFonts w:ascii="宋体" w:hAnsi="宋体"/>
        </w:rPr>
        <w:t>IEC947-4接触器和电机起动器</w:t>
      </w:r>
    </w:p>
    <w:p>
      <w:pPr>
        <w:adjustRightInd w:val="0"/>
        <w:snapToGrid w:val="0"/>
        <w:spacing w:before="203" w:beforeLines="50" w:after="203" w:afterLines="50"/>
        <w:ind w:firstLine="500" w:firstLineChars="200"/>
        <w:rPr>
          <w:rFonts w:ascii="宋体" w:hAnsi="宋体"/>
        </w:rPr>
      </w:pPr>
      <w:r>
        <w:rPr>
          <w:rFonts w:ascii="宋体" w:hAnsi="宋体"/>
        </w:rPr>
        <w:t>IEC445端子记号</w:t>
      </w:r>
    </w:p>
    <w:p>
      <w:pPr>
        <w:adjustRightInd w:val="0"/>
        <w:snapToGrid w:val="0"/>
        <w:spacing w:before="203" w:beforeLines="50" w:after="203" w:afterLines="50"/>
        <w:ind w:firstLine="500" w:firstLineChars="200"/>
        <w:rPr>
          <w:rFonts w:ascii="宋体" w:hAnsi="宋体"/>
        </w:rPr>
      </w:pPr>
      <w:r>
        <w:rPr>
          <w:rFonts w:ascii="宋体" w:hAnsi="宋体"/>
        </w:rPr>
        <w:t>触点操作功率符合IEC947-5</w:t>
      </w:r>
    </w:p>
    <w:p>
      <w:pPr>
        <w:adjustRightInd w:val="0"/>
        <w:snapToGrid w:val="0"/>
        <w:spacing w:before="203" w:beforeLines="50" w:after="203" w:afterLines="50"/>
        <w:ind w:firstLine="500" w:firstLineChars="200"/>
        <w:rPr>
          <w:rFonts w:ascii="宋体" w:hAnsi="宋体"/>
        </w:rPr>
      </w:pPr>
      <w:r>
        <w:rPr>
          <w:rFonts w:ascii="宋体" w:hAnsi="宋体"/>
        </w:rPr>
        <w:t>额定绝缘电压符合IEC337-1和BS4794</w:t>
      </w:r>
    </w:p>
    <w:p>
      <w:pPr>
        <w:adjustRightInd w:val="0"/>
        <w:snapToGrid w:val="0"/>
        <w:spacing w:before="203" w:beforeLines="50" w:after="203" w:afterLines="50"/>
        <w:ind w:firstLine="500" w:firstLineChars="200"/>
        <w:rPr>
          <w:rFonts w:ascii="宋体" w:hAnsi="宋体"/>
        </w:rPr>
      </w:pPr>
      <w:r>
        <w:rPr>
          <w:rFonts w:ascii="宋体" w:hAnsi="宋体"/>
        </w:rPr>
        <w:t>当其在AC-3工作范围（Ue≤440V）时，其操作寿命≮300万次。</w:t>
      </w:r>
    </w:p>
    <w:p>
      <w:pPr>
        <w:adjustRightInd w:val="0"/>
        <w:snapToGrid w:val="0"/>
        <w:spacing w:before="203" w:beforeLines="50" w:after="203" w:afterLines="50"/>
        <w:ind w:firstLine="500" w:firstLineChars="200"/>
        <w:rPr>
          <w:rFonts w:ascii="宋体" w:hAnsi="宋体"/>
        </w:rPr>
      </w:pPr>
      <w:bookmarkStart w:id="6821" w:name="_Toc106050521"/>
      <w:r>
        <w:rPr>
          <w:rFonts w:ascii="宋体" w:hAnsi="宋体"/>
        </w:rPr>
        <w:t>（3）热过载继电器</w:t>
      </w:r>
      <w:bookmarkEnd w:id="6821"/>
    </w:p>
    <w:p>
      <w:pPr>
        <w:adjustRightInd w:val="0"/>
        <w:snapToGrid w:val="0"/>
        <w:spacing w:before="203" w:beforeLines="50" w:after="203" w:afterLines="50"/>
        <w:ind w:firstLine="500" w:firstLineChars="200"/>
        <w:rPr>
          <w:rFonts w:ascii="宋体" w:hAnsi="宋体"/>
        </w:rPr>
      </w:pPr>
      <w:r>
        <w:rPr>
          <w:rFonts w:ascii="宋体" w:hAnsi="宋体"/>
        </w:rPr>
        <w:t>热过载继电器与接触器结合使用，以便于在操作电压下保护电动机。</w:t>
      </w:r>
    </w:p>
    <w:p>
      <w:pPr>
        <w:adjustRightInd w:val="0"/>
        <w:snapToGrid w:val="0"/>
        <w:spacing w:before="203" w:beforeLines="50" w:after="203" w:afterLines="50"/>
        <w:ind w:firstLine="500" w:firstLineChars="200"/>
        <w:rPr>
          <w:rFonts w:ascii="宋体" w:hAnsi="宋体"/>
        </w:rPr>
      </w:pPr>
      <w:r>
        <w:rPr>
          <w:rFonts w:ascii="宋体" w:hAnsi="宋体"/>
        </w:rPr>
        <w:t>热过载继电器及其附件应符合IEC947-4、BS4941标准，其保护等级应符合VDE0106，跳闸等级需遵照IEC947-4。</w:t>
      </w:r>
    </w:p>
    <w:p>
      <w:pPr>
        <w:adjustRightInd w:val="0"/>
        <w:snapToGrid w:val="0"/>
        <w:spacing w:before="203" w:beforeLines="50" w:after="203" w:afterLines="50"/>
        <w:ind w:firstLine="500" w:firstLineChars="200"/>
        <w:rPr>
          <w:rFonts w:ascii="宋体" w:hAnsi="宋体"/>
        </w:rPr>
      </w:pPr>
      <w:r>
        <w:rPr>
          <w:rFonts w:ascii="宋体" w:hAnsi="宋体"/>
        </w:rPr>
        <w:t>热过载继电器是三极，具有手动或自动复位功能，其复位按钮也可用于分断电路。</w:t>
      </w:r>
    </w:p>
    <w:p>
      <w:pPr>
        <w:adjustRightInd w:val="0"/>
        <w:snapToGrid w:val="0"/>
        <w:spacing w:before="203" w:beforeLines="50" w:after="203" w:afterLines="50"/>
        <w:ind w:firstLine="500" w:firstLineChars="200"/>
        <w:rPr>
          <w:rFonts w:ascii="宋体" w:hAnsi="宋体"/>
        </w:rPr>
      </w:pPr>
      <w:bookmarkStart w:id="6822" w:name="_Toc106050522"/>
      <w:r>
        <w:rPr>
          <w:rFonts w:ascii="宋体" w:hAnsi="宋体"/>
        </w:rPr>
        <w:t>（4）电流互感器</w:t>
      </w:r>
      <w:bookmarkEnd w:id="6822"/>
    </w:p>
    <w:p>
      <w:pPr>
        <w:adjustRightInd w:val="0"/>
        <w:snapToGrid w:val="0"/>
        <w:spacing w:before="203" w:beforeLines="50" w:after="203" w:afterLines="50"/>
        <w:ind w:firstLine="500" w:firstLineChars="200"/>
        <w:rPr>
          <w:rFonts w:ascii="宋体" w:hAnsi="宋体"/>
        </w:rPr>
      </w:pPr>
      <w:r>
        <w:rPr>
          <w:rFonts w:ascii="宋体" w:hAnsi="宋体"/>
        </w:rPr>
        <w:t>按IEC185标准的有关要求进行选用，也应考虑到使用处的特殊要求，电流互感器应满足初级额定短路电流和初级额定负载电流，电流互感器设置在馈电回路侧。</w:t>
      </w:r>
    </w:p>
    <w:p>
      <w:pPr>
        <w:adjustRightInd w:val="0"/>
        <w:snapToGrid w:val="0"/>
        <w:spacing w:before="203" w:beforeLines="50" w:after="203" w:afterLines="50"/>
        <w:ind w:firstLine="500" w:firstLineChars="200"/>
        <w:rPr>
          <w:rFonts w:ascii="宋体" w:hAnsi="宋体"/>
        </w:rPr>
      </w:pPr>
      <w:bookmarkStart w:id="6823" w:name="_Toc106050523"/>
      <w:r>
        <w:rPr>
          <w:rFonts w:ascii="宋体" w:hAnsi="宋体"/>
        </w:rPr>
        <w:t>（5）熔断器、熔断器式刀开关及隔离开关</w:t>
      </w:r>
      <w:bookmarkEnd w:id="6823"/>
    </w:p>
    <w:p>
      <w:pPr>
        <w:adjustRightInd w:val="0"/>
        <w:snapToGrid w:val="0"/>
        <w:spacing w:before="203" w:beforeLines="50" w:after="203" w:afterLines="50"/>
        <w:ind w:firstLine="500" w:firstLineChars="200"/>
        <w:rPr>
          <w:rFonts w:ascii="宋体" w:hAnsi="宋体"/>
        </w:rPr>
      </w:pPr>
      <w:r>
        <w:rPr>
          <w:rFonts w:ascii="宋体" w:hAnsi="宋体"/>
        </w:rPr>
        <w:t>产品应符合IEC408、IEC241、IEC269、GB13539标准。</w:t>
      </w:r>
    </w:p>
    <w:p>
      <w:pPr>
        <w:adjustRightInd w:val="0"/>
        <w:snapToGrid w:val="0"/>
        <w:spacing w:before="203" w:beforeLines="50" w:after="203" w:afterLines="50"/>
        <w:ind w:firstLine="500" w:firstLineChars="200"/>
        <w:rPr>
          <w:rFonts w:ascii="宋体" w:hAnsi="宋体"/>
        </w:rPr>
      </w:pPr>
      <w:r>
        <w:rPr>
          <w:rFonts w:ascii="宋体" w:hAnsi="宋体"/>
        </w:rPr>
        <w:t>所有应用于低压交流系统及与控制回路相连接的熔丝，其额定电压不小于415V，并应满足以下要求：</w:t>
      </w:r>
    </w:p>
    <w:p>
      <w:pPr>
        <w:adjustRightInd w:val="0"/>
        <w:snapToGrid w:val="0"/>
        <w:spacing w:before="203" w:beforeLines="50" w:after="203" w:afterLines="50"/>
        <w:ind w:firstLine="500" w:firstLineChars="200"/>
        <w:rPr>
          <w:rFonts w:ascii="宋体" w:hAnsi="宋体"/>
        </w:rPr>
      </w:pPr>
      <w:r>
        <w:rPr>
          <w:rFonts w:ascii="宋体" w:hAnsi="宋体"/>
        </w:rPr>
        <w:t>IEC269-1  管式熔断器，一般要求</w:t>
      </w:r>
    </w:p>
    <w:p>
      <w:pPr>
        <w:adjustRightInd w:val="0"/>
        <w:snapToGrid w:val="0"/>
        <w:spacing w:before="203" w:beforeLines="50" w:after="203" w:afterLines="50"/>
        <w:ind w:firstLine="500" w:firstLineChars="200"/>
        <w:rPr>
          <w:rFonts w:ascii="宋体" w:hAnsi="宋体"/>
        </w:rPr>
      </w:pPr>
      <w:r>
        <w:rPr>
          <w:rFonts w:ascii="宋体" w:hAnsi="宋体"/>
        </w:rPr>
        <w:t>IEC269-2  管式熔断器，附件</w:t>
      </w:r>
    </w:p>
    <w:p>
      <w:pPr>
        <w:adjustRightInd w:val="0"/>
        <w:snapToGrid w:val="0"/>
        <w:spacing w:before="203" w:beforeLines="50" w:after="203" w:afterLines="50"/>
        <w:ind w:firstLine="500" w:firstLineChars="200"/>
        <w:rPr>
          <w:rFonts w:ascii="宋体" w:hAnsi="宋体"/>
        </w:rPr>
      </w:pPr>
      <w:r>
        <w:rPr>
          <w:rFonts w:ascii="宋体" w:hAnsi="宋体"/>
        </w:rPr>
        <w:t>应用于电动机回路的熔丝支持件及底座应具有与熔丝最大额定值相匹配的分断能力，并可调节。</w:t>
      </w:r>
    </w:p>
    <w:p>
      <w:pPr>
        <w:adjustRightInd w:val="0"/>
        <w:snapToGrid w:val="0"/>
        <w:spacing w:before="203" w:beforeLines="50" w:after="203" w:afterLines="50"/>
        <w:ind w:firstLine="500" w:firstLineChars="200"/>
        <w:rPr>
          <w:rFonts w:ascii="宋体" w:hAnsi="宋体"/>
        </w:rPr>
      </w:pPr>
      <w:r>
        <w:rPr>
          <w:rFonts w:ascii="宋体" w:hAnsi="宋体"/>
        </w:rPr>
        <w:t>短路试验应具备ASTA，KEMA及PEHLA的测试证书。</w:t>
      </w:r>
    </w:p>
    <w:p>
      <w:pPr>
        <w:adjustRightInd w:val="0"/>
        <w:snapToGrid w:val="0"/>
        <w:spacing w:before="203" w:beforeLines="50" w:after="203" w:afterLines="50"/>
        <w:ind w:firstLine="500" w:firstLineChars="200"/>
        <w:rPr>
          <w:rFonts w:ascii="宋体" w:hAnsi="宋体"/>
        </w:rPr>
      </w:pPr>
      <w:r>
        <w:rPr>
          <w:rFonts w:ascii="宋体" w:hAnsi="宋体"/>
        </w:rPr>
        <w:t>熔断器应依照IEC269进行操作试验及绝缘试验等定期试验。</w:t>
      </w:r>
    </w:p>
    <w:p>
      <w:pPr>
        <w:adjustRightInd w:val="0"/>
        <w:snapToGrid w:val="0"/>
        <w:spacing w:before="203" w:beforeLines="50" w:after="203" w:afterLines="50"/>
        <w:ind w:firstLine="500" w:firstLineChars="200"/>
        <w:rPr>
          <w:rFonts w:ascii="宋体" w:hAnsi="宋体"/>
        </w:rPr>
      </w:pPr>
      <w:r>
        <w:rPr>
          <w:rFonts w:ascii="宋体" w:hAnsi="宋体"/>
        </w:rPr>
        <w:t>以上元件应符合低压开关柜的操作要求。</w:t>
      </w:r>
    </w:p>
    <w:p>
      <w:pPr>
        <w:adjustRightInd w:val="0"/>
        <w:snapToGrid w:val="0"/>
        <w:spacing w:before="203" w:beforeLines="50" w:after="203" w:afterLines="50"/>
        <w:ind w:firstLine="500" w:firstLineChars="200"/>
        <w:rPr>
          <w:rFonts w:ascii="宋体" w:hAnsi="宋体"/>
        </w:rPr>
      </w:pPr>
      <w:r>
        <w:rPr>
          <w:rFonts w:ascii="宋体" w:hAnsi="宋体"/>
        </w:rPr>
        <w:t>熔断器由基座和熔体管组成，熔体管上装有醒目的指示器，能在熔体熔断后立即显示动作，从而识别故障线路。</w:t>
      </w:r>
    </w:p>
    <w:p>
      <w:pPr>
        <w:adjustRightInd w:val="0"/>
        <w:snapToGrid w:val="0"/>
        <w:spacing w:before="203" w:beforeLines="50" w:after="203" w:afterLines="50"/>
        <w:ind w:firstLine="500" w:firstLineChars="200"/>
        <w:rPr>
          <w:rFonts w:ascii="宋体" w:hAnsi="宋体"/>
        </w:rPr>
      </w:pPr>
      <w:r>
        <w:rPr>
          <w:rFonts w:ascii="宋体" w:hAnsi="宋体"/>
        </w:rPr>
        <w:t>所有熔断器都应使熔丝从开关处或基座上快速拆装，并且有标志，承包商应提供附加熔体。</w:t>
      </w:r>
    </w:p>
    <w:p>
      <w:pPr>
        <w:adjustRightInd w:val="0"/>
        <w:snapToGrid w:val="0"/>
        <w:spacing w:before="203" w:beforeLines="50" w:after="203" w:afterLines="50"/>
        <w:ind w:firstLine="500" w:firstLineChars="200"/>
        <w:rPr>
          <w:rFonts w:ascii="宋体" w:hAnsi="宋体"/>
        </w:rPr>
      </w:pPr>
      <w:r>
        <w:rPr>
          <w:rFonts w:ascii="宋体" w:hAnsi="宋体"/>
        </w:rPr>
        <w:t>熔断器式刀开关为双断型，应符合IEC408标准，固定触点带护罩，触点表面镀银。开断和闭合应借助于弹簧进行手动操作，并带动相同单元在断开或闭合位置进行联锁。开关安装于柜体内，操作手柄通小室门，在柜前门上操作。柜前门上应有明显的操作标志。</w:t>
      </w:r>
    </w:p>
    <w:p>
      <w:pPr>
        <w:adjustRightInd w:val="0"/>
        <w:snapToGrid w:val="0"/>
        <w:spacing w:before="203" w:beforeLines="50" w:after="203" w:afterLines="50"/>
        <w:ind w:firstLine="500" w:firstLineChars="200"/>
        <w:rPr>
          <w:rFonts w:ascii="宋体" w:hAnsi="宋体"/>
        </w:rPr>
      </w:pPr>
      <w:r>
        <w:rPr>
          <w:rFonts w:ascii="宋体" w:hAnsi="宋体"/>
        </w:rPr>
        <w:t xml:space="preserve"> </w:t>
      </w:r>
      <w:bookmarkStart w:id="6824" w:name="_Toc106050524"/>
      <w:r>
        <w:rPr>
          <w:rFonts w:ascii="宋体" w:hAnsi="宋体"/>
        </w:rPr>
        <w:t>（6）变频器</w:t>
      </w:r>
      <w:bookmarkEnd w:id="6824"/>
    </w:p>
    <w:p>
      <w:pPr>
        <w:adjustRightInd w:val="0"/>
        <w:snapToGrid w:val="0"/>
        <w:spacing w:before="203" w:beforeLines="50" w:after="203" w:afterLines="50"/>
        <w:ind w:firstLine="500" w:firstLineChars="200"/>
        <w:rPr>
          <w:rFonts w:ascii="宋体" w:hAnsi="宋体"/>
        </w:rPr>
      </w:pPr>
      <w:r>
        <w:rPr>
          <w:rFonts w:ascii="宋体" w:hAnsi="宋体"/>
        </w:rPr>
        <w:t>1）</w:t>
      </w:r>
      <w:r>
        <w:rPr>
          <w:rFonts w:ascii="宋体" w:hAnsi="宋体"/>
        </w:rPr>
        <w:tab/>
      </w:r>
      <w:r>
        <w:rPr>
          <w:rFonts w:ascii="宋体" w:hAnsi="宋体"/>
        </w:rPr>
        <w:t>变频器必须符合下列有关电子工业控制装置的标准及规范：</w:t>
      </w:r>
    </w:p>
    <w:p>
      <w:pPr>
        <w:adjustRightInd w:val="0"/>
        <w:snapToGrid w:val="0"/>
        <w:spacing w:before="203" w:beforeLines="50" w:after="203" w:afterLines="50"/>
        <w:ind w:firstLine="500" w:firstLineChars="200"/>
        <w:rPr>
          <w:rFonts w:ascii="宋体" w:hAnsi="宋体"/>
        </w:rPr>
      </w:pPr>
      <w:bookmarkStart w:id="6825" w:name="_Hlk89263234"/>
      <w:r>
        <w:rPr>
          <w:rFonts w:ascii="宋体" w:hAnsi="宋体"/>
        </w:rPr>
        <w:t>低压EN50178</w:t>
      </w:r>
    </w:p>
    <w:p>
      <w:pPr>
        <w:adjustRightInd w:val="0"/>
        <w:snapToGrid w:val="0"/>
        <w:spacing w:before="203" w:beforeLines="50" w:after="203" w:afterLines="50"/>
        <w:ind w:firstLine="500" w:firstLineChars="200"/>
        <w:rPr>
          <w:rFonts w:ascii="宋体" w:hAnsi="宋体"/>
        </w:rPr>
      </w:pPr>
      <w:r>
        <w:rPr>
          <w:rFonts w:ascii="宋体" w:hAnsi="宋体"/>
        </w:rPr>
        <w:t>EMC抗扰性：</w:t>
      </w:r>
    </w:p>
    <w:p>
      <w:pPr>
        <w:adjustRightInd w:val="0"/>
        <w:snapToGrid w:val="0"/>
        <w:spacing w:before="203" w:beforeLines="50" w:after="203" w:afterLines="50"/>
        <w:ind w:firstLine="500" w:firstLineChars="200"/>
        <w:rPr>
          <w:rFonts w:ascii="宋体" w:hAnsi="宋体"/>
        </w:rPr>
      </w:pPr>
      <w:r>
        <w:rPr>
          <w:rFonts w:ascii="宋体" w:hAnsi="宋体"/>
        </w:rPr>
        <w:t>IEC1000-4-2/EN61000-4-2第3级</w:t>
      </w:r>
    </w:p>
    <w:p>
      <w:pPr>
        <w:adjustRightInd w:val="0"/>
        <w:snapToGrid w:val="0"/>
        <w:spacing w:before="203" w:beforeLines="50" w:after="203" w:afterLines="50"/>
        <w:ind w:firstLine="500" w:firstLineChars="200"/>
        <w:rPr>
          <w:rFonts w:ascii="宋体" w:hAnsi="宋体"/>
        </w:rPr>
      </w:pPr>
      <w:r>
        <w:rPr>
          <w:rFonts w:ascii="宋体" w:hAnsi="宋体"/>
        </w:rPr>
        <w:t>IEC1000-4-3/EN61000-4-3第3级</w:t>
      </w:r>
    </w:p>
    <w:p>
      <w:pPr>
        <w:adjustRightInd w:val="0"/>
        <w:snapToGrid w:val="0"/>
        <w:spacing w:before="203" w:beforeLines="50" w:after="203" w:afterLines="50"/>
        <w:ind w:firstLine="500" w:firstLineChars="200"/>
        <w:rPr>
          <w:rFonts w:ascii="宋体" w:hAnsi="宋体"/>
        </w:rPr>
      </w:pPr>
      <w:r>
        <w:rPr>
          <w:rFonts w:ascii="宋体" w:hAnsi="宋体"/>
        </w:rPr>
        <w:t>IEC1000-4-4/EN61000-4-4第3级</w:t>
      </w:r>
    </w:p>
    <w:p>
      <w:pPr>
        <w:adjustRightInd w:val="0"/>
        <w:snapToGrid w:val="0"/>
        <w:spacing w:before="203" w:beforeLines="50" w:after="203" w:afterLines="50"/>
        <w:ind w:firstLine="500" w:firstLineChars="200"/>
        <w:rPr>
          <w:rFonts w:ascii="宋体" w:hAnsi="宋体"/>
        </w:rPr>
      </w:pPr>
      <w:r>
        <w:rPr>
          <w:rFonts w:ascii="宋体" w:hAnsi="宋体"/>
        </w:rPr>
        <w:t>IEC1000-4-5/EN61000-4-5第3级</w:t>
      </w:r>
    </w:p>
    <w:p>
      <w:pPr>
        <w:adjustRightInd w:val="0"/>
        <w:snapToGrid w:val="0"/>
        <w:spacing w:before="203" w:beforeLines="50" w:after="203" w:afterLines="50"/>
        <w:ind w:firstLine="500" w:firstLineChars="200"/>
        <w:rPr>
          <w:rFonts w:ascii="宋体" w:hAnsi="宋体"/>
        </w:rPr>
      </w:pPr>
      <w:r>
        <w:rPr>
          <w:rFonts w:ascii="宋体" w:hAnsi="宋体"/>
        </w:rPr>
        <w:t>抗振符合IEC68-2-6</w:t>
      </w:r>
    </w:p>
    <w:p>
      <w:pPr>
        <w:adjustRightInd w:val="0"/>
        <w:snapToGrid w:val="0"/>
        <w:spacing w:before="203" w:beforeLines="50" w:after="203" w:afterLines="50"/>
        <w:ind w:firstLine="500" w:firstLineChars="200"/>
        <w:rPr>
          <w:rFonts w:ascii="宋体" w:hAnsi="宋体"/>
        </w:rPr>
      </w:pPr>
      <w:r>
        <w:rPr>
          <w:rFonts w:ascii="宋体" w:hAnsi="宋体"/>
        </w:rPr>
        <w:t>抗冲击符合IEC68-2-27</w:t>
      </w:r>
    </w:p>
    <w:p>
      <w:pPr>
        <w:adjustRightInd w:val="0"/>
        <w:snapToGrid w:val="0"/>
        <w:spacing w:before="203" w:beforeLines="50" w:after="203" w:afterLines="50"/>
        <w:ind w:firstLine="500" w:firstLineChars="200"/>
        <w:rPr>
          <w:rFonts w:ascii="宋体" w:hAnsi="宋体"/>
        </w:rPr>
      </w:pPr>
      <w:r>
        <w:rPr>
          <w:rFonts w:ascii="宋体" w:hAnsi="宋体"/>
        </w:rPr>
        <w:t>电磁兼容性符合EN61800-3/IEC1800-3</w:t>
      </w:r>
    </w:p>
    <w:bookmarkEnd w:id="6825"/>
    <w:p>
      <w:pPr>
        <w:adjustRightInd w:val="0"/>
        <w:snapToGrid w:val="0"/>
        <w:spacing w:before="203" w:beforeLines="50" w:after="203" w:afterLines="50"/>
        <w:ind w:firstLine="500" w:firstLineChars="200"/>
        <w:rPr>
          <w:rFonts w:ascii="宋体" w:hAnsi="宋体"/>
        </w:rPr>
      </w:pPr>
      <w:r>
        <w:rPr>
          <w:rFonts w:ascii="宋体" w:hAnsi="宋体"/>
        </w:rPr>
        <w:t>2）变频传动控制器为恒转矩，脉冲调制型，带数控微处理器设备，控制器将380V 50Hz电源变换可调电压0～380V可调频率0.1～62.5Hz的三相交流电路，用于电动机无级变速控制。其瞬时过力矩范围：电机额定力矩200%，2s；电机额定力矩170%，60s。变频器需内置EMC滤波器。</w:t>
      </w:r>
    </w:p>
    <w:p>
      <w:pPr>
        <w:adjustRightInd w:val="0"/>
        <w:snapToGrid w:val="0"/>
        <w:spacing w:before="203" w:beforeLines="50" w:after="203" w:afterLines="50"/>
        <w:ind w:firstLine="500" w:firstLineChars="200"/>
        <w:rPr>
          <w:rFonts w:ascii="宋体" w:hAnsi="宋体"/>
        </w:rPr>
      </w:pPr>
      <w:r>
        <w:rPr>
          <w:rFonts w:ascii="宋体" w:hAnsi="宋体"/>
        </w:rPr>
        <w:t>3）变频器对地绝缘电阻应不小于500M（电气绝缘）。</w:t>
      </w:r>
    </w:p>
    <w:p>
      <w:pPr>
        <w:adjustRightInd w:val="0"/>
        <w:snapToGrid w:val="0"/>
        <w:spacing w:before="203" w:beforeLines="50" w:after="203" w:afterLines="50"/>
        <w:ind w:firstLine="500" w:firstLineChars="200"/>
        <w:rPr>
          <w:rFonts w:ascii="宋体" w:hAnsi="宋体"/>
        </w:rPr>
      </w:pPr>
      <w:r>
        <w:rPr>
          <w:rFonts w:ascii="宋体" w:hAnsi="宋体"/>
        </w:rPr>
        <w:t>4）变频控制器的容量规格应使配用的机械设备正常运转，承包商对变频控制器所负担的电动机必须进行计算，本标书电气设计图所提供的电动机规格容量为估算值，仅供参考。其变频控制器的容量规格应根据机械设备承包商提供的技术资料来核准决定。</w:t>
      </w:r>
    </w:p>
    <w:p>
      <w:pPr>
        <w:adjustRightInd w:val="0"/>
        <w:snapToGrid w:val="0"/>
        <w:spacing w:before="203" w:beforeLines="50" w:after="203" w:afterLines="50"/>
        <w:ind w:firstLine="500" w:firstLineChars="200"/>
        <w:rPr>
          <w:rFonts w:ascii="宋体" w:hAnsi="宋体"/>
        </w:rPr>
      </w:pPr>
      <w:r>
        <w:rPr>
          <w:rFonts w:ascii="宋体" w:hAnsi="宋体"/>
        </w:rPr>
        <w:t>变频控制器由外部提供三相AC380V电源，在其外部供电正常时，控制器运行时，其谐波电压畸变不应大于5％，电磁控制范围不应超过BS800标准专门规定和范围，噪音在距离控制器1 米处不应超过68dB，在规定的速度范围内，其功率因数不得低于0.93。</w:t>
      </w:r>
    </w:p>
    <w:p>
      <w:pPr>
        <w:adjustRightInd w:val="0"/>
        <w:snapToGrid w:val="0"/>
        <w:spacing w:before="203" w:beforeLines="50" w:after="203" w:afterLines="50"/>
        <w:ind w:firstLine="500" w:firstLineChars="200"/>
        <w:rPr>
          <w:rFonts w:ascii="宋体" w:hAnsi="宋体"/>
        </w:rPr>
      </w:pPr>
      <w:r>
        <w:rPr>
          <w:rFonts w:ascii="宋体" w:hAnsi="宋体"/>
        </w:rPr>
        <w:t>5）变频控制器为单台控制器控制单台电动机，控制器安装在低压屏内，配有进线电源开关，其防护等级IP21。</w:t>
      </w:r>
    </w:p>
    <w:p>
      <w:pPr>
        <w:adjustRightInd w:val="0"/>
        <w:snapToGrid w:val="0"/>
        <w:spacing w:before="203" w:beforeLines="50" w:after="203" w:afterLines="50"/>
        <w:ind w:firstLine="500" w:firstLineChars="200"/>
        <w:rPr>
          <w:rFonts w:ascii="宋体" w:hAnsi="宋体"/>
        </w:rPr>
      </w:pPr>
      <w:r>
        <w:rPr>
          <w:rFonts w:ascii="宋体" w:hAnsi="宋体"/>
        </w:rPr>
        <w:t>6）安装变频控制器的控制屏应配有终端器，用于：</w:t>
      </w:r>
    </w:p>
    <w:p>
      <w:pPr>
        <w:adjustRightInd w:val="0"/>
        <w:snapToGrid w:val="0"/>
        <w:spacing w:before="203" w:beforeLines="50" w:after="203" w:afterLines="50"/>
        <w:ind w:firstLine="500" w:firstLineChars="200"/>
        <w:rPr>
          <w:rFonts w:ascii="宋体" w:hAnsi="宋体"/>
        </w:rPr>
      </w:pPr>
      <w:r>
        <w:rPr>
          <w:rFonts w:ascii="宋体" w:hAnsi="宋体"/>
        </w:rPr>
        <w:t>控制、调节、和设置变频器参数；</w:t>
      </w:r>
    </w:p>
    <w:p>
      <w:pPr>
        <w:adjustRightInd w:val="0"/>
        <w:snapToGrid w:val="0"/>
        <w:spacing w:before="203" w:beforeLines="50" w:after="203" w:afterLines="50"/>
        <w:ind w:firstLine="500" w:firstLineChars="200"/>
        <w:rPr>
          <w:rFonts w:ascii="宋体" w:hAnsi="宋体"/>
        </w:rPr>
      </w:pPr>
      <w:r>
        <w:rPr>
          <w:rFonts w:ascii="宋体" w:hAnsi="宋体"/>
        </w:rPr>
        <w:t>远程信号显示；</w:t>
      </w:r>
    </w:p>
    <w:p>
      <w:pPr>
        <w:adjustRightInd w:val="0"/>
        <w:snapToGrid w:val="0"/>
        <w:spacing w:before="203" w:beforeLines="50" w:after="203" w:afterLines="50"/>
        <w:ind w:firstLine="500" w:firstLineChars="200"/>
        <w:rPr>
          <w:rFonts w:ascii="宋体" w:hAnsi="宋体"/>
        </w:rPr>
      </w:pPr>
      <w:r>
        <w:rPr>
          <w:rFonts w:ascii="宋体" w:hAnsi="宋体"/>
        </w:rPr>
        <w:t>存储或下载配置。</w:t>
      </w:r>
    </w:p>
    <w:p>
      <w:pPr>
        <w:adjustRightInd w:val="0"/>
        <w:snapToGrid w:val="0"/>
        <w:spacing w:before="203" w:beforeLines="50" w:after="203" w:afterLines="50"/>
        <w:ind w:firstLine="500" w:firstLineChars="200"/>
        <w:rPr>
          <w:rFonts w:ascii="宋体" w:hAnsi="宋体"/>
        </w:rPr>
      </w:pPr>
      <w:r>
        <w:rPr>
          <w:rFonts w:ascii="宋体" w:hAnsi="宋体"/>
        </w:rPr>
        <w:t>其终端器可以在低压屏面上操作，变频器带无源接点信号及4～20mA信号。</w:t>
      </w:r>
    </w:p>
    <w:p>
      <w:pPr>
        <w:adjustRightInd w:val="0"/>
        <w:snapToGrid w:val="0"/>
        <w:spacing w:before="203" w:beforeLines="50" w:after="203" w:afterLines="50"/>
        <w:ind w:firstLine="476" w:firstLineChars="200"/>
        <w:rPr>
          <w:rFonts w:ascii="宋体" w:hAnsi="宋体"/>
          <w:spacing w:val="-6"/>
        </w:rPr>
      </w:pPr>
      <w:r>
        <w:rPr>
          <w:rFonts w:ascii="宋体" w:hAnsi="宋体"/>
          <w:spacing w:val="-6"/>
        </w:rPr>
        <w:t>7）</w:t>
      </w:r>
      <w:r>
        <w:rPr>
          <w:rFonts w:ascii="宋体" w:hAnsi="宋体"/>
          <w:spacing w:val="-6"/>
        </w:rPr>
        <w:tab/>
      </w:r>
      <w:r>
        <w:rPr>
          <w:rFonts w:ascii="宋体" w:hAnsi="宋体"/>
        </w:rPr>
        <w:t>变频器主要保护及安全特性：</w:t>
      </w:r>
    </w:p>
    <w:p>
      <w:pPr>
        <w:adjustRightInd w:val="0"/>
        <w:snapToGrid w:val="0"/>
        <w:spacing w:before="203" w:beforeLines="50" w:after="203" w:afterLines="50"/>
        <w:ind w:firstLine="500" w:firstLineChars="200"/>
        <w:rPr>
          <w:rFonts w:ascii="宋体" w:hAnsi="宋体"/>
        </w:rPr>
      </w:pPr>
      <w:r>
        <w:rPr>
          <w:rFonts w:ascii="宋体" w:hAnsi="宋体"/>
        </w:rPr>
        <w:t>短路保护；</w:t>
      </w:r>
    </w:p>
    <w:p>
      <w:pPr>
        <w:adjustRightInd w:val="0"/>
        <w:snapToGrid w:val="0"/>
        <w:spacing w:before="203" w:beforeLines="50" w:after="203" w:afterLines="50"/>
        <w:ind w:firstLine="500" w:firstLineChars="200"/>
        <w:rPr>
          <w:rFonts w:ascii="宋体" w:hAnsi="宋体"/>
        </w:rPr>
      </w:pPr>
      <w:r>
        <w:rPr>
          <w:rFonts w:ascii="宋体" w:hAnsi="宋体"/>
        </w:rPr>
        <w:t>输出相之间</w:t>
      </w:r>
    </w:p>
    <w:p>
      <w:pPr>
        <w:adjustRightInd w:val="0"/>
        <w:snapToGrid w:val="0"/>
        <w:spacing w:before="203" w:beforeLines="50" w:after="203" w:afterLines="50"/>
        <w:ind w:firstLine="500" w:firstLineChars="200"/>
        <w:rPr>
          <w:rFonts w:ascii="宋体" w:hAnsi="宋体"/>
        </w:rPr>
      </w:pPr>
      <w:r>
        <w:rPr>
          <w:rFonts w:ascii="宋体" w:hAnsi="宋体"/>
        </w:rPr>
        <w:t>输出相和地之间</w:t>
      </w:r>
    </w:p>
    <w:p>
      <w:pPr>
        <w:adjustRightInd w:val="0"/>
        <w:snapToGrid w:val="0"/>
        <w:spacing w:before="203" w:beforeLines="50" w:after="203" w:afterLines="50"/>
        <w:ind w:firstLine="500" w:firstLineChars="200"/>
        <w:rPr>
          <w:rFonts w:ascii="宋体" w:hAnsi="宋体"/>
        </w:rPr>
      </w:pPr>
      <w:r>
        <w:rPr>
          <w:rFonts w:ascii="宋体" w:hAnsi="宋体"/>
        </w:rPr>
        <w:t>内部电源的输出端</w:t>
      </w:r>
    </w:p>
    <w:p>
      <w:pPr>
        <w:adjustRightInd w:val="0"/>
        <w:snapToGrid w:val="0"/>
        <w:spacing w:before="203" w:beforeLines="50" w:after="203" w:afterLines="50"/>
        <w:ind w:firstLine="500" w:firstLineChars="200"/>
        <w:rPr>
          <w:rFonts w:ascii="宋体" w:hAnsi="宋体"/>
        </w:rPr>
      </w:pPr>
      <w:r>
        <w:rPr>
          <w:rFonts w:ascii="宋体" w:hAnsi="宋体"/>
        </w:rPr>
        <w:t>过热和过流保护；</w:t>
      </w:r>
    </w:p>
    <w:p>
      <w:pPr>
        <w:adjustRightInd w:val="0"/>
        <w:snapToGrid w:val="0"/>
        <w:spacing w:before="203" w:beforeLines="50" w:after="203" w:afterLines="50"/>
        <w:ind w:firstLine="500" w:firstLineChars="200"/>
        <w:rPr>
          <w:rFonts w:ascii="宋体" w:hAnsi="宋体"/>
        </w:rPr>
      </w:pPr>
      <w:r>
        <w:rPr>
          <w:rFonts w:ascii="宋体" w:hAnsi="宋体"/>
        </w:rPr>
        <w:t>主电源欠压及过压保护；</w:t>
      </w:r>
    </w:p>
    <w:p>
      <w:pPr>
        <w:adjustRightInd w:val="0"/>
        <w:snapToGrid w:val="0"/>
        <w:spacing w:before="203" w:beforeLines="50" w:after="203" w:afterLines="50"/>
        <w:ind w:firstLine="500" w:firstLineChars="200"/>
        <w:rPr>
          <w:rFonts w:ascii="宋体" w:hAnsi="宋体"/>
        </w:rPr>
      </w:pPr>
      <w:r>
        <w:rPr>
          <w:rFonts w:ascii="宋体" w:hAnsi="宋体"/>
        </w:rPr>
        <w:t>主电源缺相保护；</w:t>
      </w:r>
    </w:p>
    <w:p>
      <w:pPr>
        <w:adjustRightInd w:val="0"/>
        <w:snapToGrid w:val="0"/>
        <w:spacing w:before="203" w:beforeLines="50" w:after="203" w:afterLines="50"/>
        <w:ind w:firstLine="500" w:firstLineChars="200"/>
        <w:rPr>
          <w:rFonts w:ascii="宋体" w:hAnsi="宋体"/>
        </w:rPr>
      </w:pPr>
      <w:r>
        <w:rPr>
          <w:rFonts w:ascii="宋体" w:hAnsi="宋体"/>
        </w:rPr>
        <w:t>电机缺相保护。</w:t>
      </w:r>
    </w:p>
    <w:p>
      <w:pPr>
        <w:adjustRightInd w:val="0"/>
        <w:snapToGrid w:val="0"/>
        <w:spacing w:before="203" w:beforeLines="50" w:after="203" w:afterLines="50"/>
        <w:ind w:firstLine="500" w:firstLineChars="200"/>
        <w:rPr>
          <w:rFonts w:ascii="宋体" w:hAnsi="宋体"/>
        </w:rPr>
      </w:pPr>
      <w:r>
        <w:rPr>
          <w:rFonts w:ascii="宋体" w:hAnsi="宋体"/>
        </w:rPr>
        <w:t>8）变频控制器内部计算机设备应具有可编程序和系统自我诊断功能，准许使用人员在现场，根据承包商提供的使用指导用户手册等技术文件，对变频传动控制器进行编程。如果需要，应提供配套软件的小型手持式编程器。</w:t>
      </w:r>
    </w:p>
    <w:p>
      <w:pPr>
        <w:adjustRightInd w:val="0"/>
        <w:snapToGrid w:val="0"/>
        <w:spacing w:before="203" w:beforeLines="50" w:after="203" w:afterLines="50"/>
        <w:ind w:firstLine="500" w:firstLineChars="200"/>
        <w:rPr>
          <w:rFonts w:ascii="宋体" w:hAnsi="宋体"/>
        </w:rPr>
      </w:pPr>
      <w:r>
        <w:rPr>
          <w:rFonts w:ascii="宋体" w:hAnsi="宋体"/>
        </w:rPr>
        <w:t>9）变频控制器对本身系统的功能、运行状态、软件程序的执行有逻辑控制、储存、显示功能，并能进行监督、检查、故障处理、报警记录的功能。</w:t>
      </w:r>
    </w:p>
    <w:p>
      <w:pPr>
        <w:adjustRightInd w:val="0"/>
        <w:snapToGrid w:val="0"/>
        <w:spacing w:before="203" w:beforeLines="50" w:after="203" w:afterLines="50"/>
        <w:ind w:firstLine="500" w:firstLineChars="200"/>
        <w:rPr>
          <w:rFonts w:ascii="宋体" w:hAnsi="宋体"/>
        </w:rPr>
      </w:pPr>
      <w:r>
        <w:rPr>
          <w:rFonts w:ascii="宋体" w:hAnsi="宋体"/>
        </w:rPr>
        <w:t>10）变频器应具有自校正速度功能，对瞬时出现的过载或轻载时速度变化，可以自动校正到设定值。当外部故障引起控制器脱扣后，可以自动恢复到准备再启动状态，除内部故障有显示报警以外，对外部故障引起的分闸脱扣，也应显示报警，并应有记录。</w:t>
      </w:r>
    </w:p>
    <w:p>
      <w:pPr>
        <w:adjustRightInd w:val="0"/>
        <w:snapToGrid w:val="0"/>
        <w:spacing w:before="203" w:beforeLines="50" w:after="203" w:afterLines="50"/>
        <w:ind w:firstLine="500" w:firstLineChars="200"/>
        <w:rPr>
          <w:rFonts w:ascii="宋体" w:hAnsi="宋体"/>
        </w:rPr>
      </w:pPr>
      <w:r>
        <w:rPr>
          <w:rFonts w:ascii="宋体" w:hAnsi="宋体"/>
        </w:rPr>
        <w:t>11）</w:t>
      </w:r>
      <w:r>
        <w:rPr>
          <w:rFonts w:ascii="宋体" w:hAnsi="宋体"/>
        </w:rPr>
        <w:tab/>
      </w:r>
      <w:r>
        <w:rPr>
          <w:rFonts w:ascii="宋体" w:hAnsi="宋体"/>
        </w:rPr>
        <w:t>变频控制器组成的控制屏至少应包括以下设备，但不限于以下设备：电动机的主回路开关、起动设备以及保护元件、变频调压调速元件、控制回路元件以及信号输入输出元件、无源触点输出继电器、运行指示以及报警显示等元件、制动电阻器、微处理器、可编程程序控制器设备。</w:t>
      </w:r>
    </w:p>
    <w:p>
      <w:pPr>
        <w:adjustRightInd w:val="0"/>
        <w:snapToGrid w:val="0"/>
        <w:spacing w:before="203" w:beforeLines="50" w:after="203" w:afterLines="50"/>
        <w:ind w:firstLine="500" w:firstLineChars="200"/>
        <w:rPr>
          <w:rFonts w:ascii="宋体" w:hAnsi="宋体"/>
        </w:rPr>
      </w:pPr>
      <w:r>
        <w:rPr>
          <w:rFonts w:ascii="宋体" w:hAnsi="宋体"/>
        </w:rPr>
        <w:t>12）</w:t>
      </w:r>
      <w:r>
        <w:rPr>
          <w:rFonts w:ascii="宋体" w:hAnsi="宋体"/>
        </w:rPr>
        <w:tab/>
      </w:r>
      <w:r>
        <w:rPr>
          <w:rFonts w:ascii="宋体" w:hAnsi="宋体"/>
        </w:rPr>
        <w:t>变频控制器应自带RS485通讯接口，且应具备与本工程监测控制系统相适应的通信协议（待仪表自控系统包招标完成后确定），否则必须配套提供相应的通讯附件（含硬件和软件），以实现正常的通讯功能。</w:t>
      </w:r>
    </w:p>
    <w:p>
      <w:pPr>
        <w:adjustRightInd w:val="0"/>
        <w:snapToGrid w:val="0"/>
        <w:spacing w:before="203" w:beforeLines="50" w:after="203" w:afterLines="50"/>
        <w:ind w:firstLine="500" w:firstLineChars="200"/>
        <w:rPr>
          <w:rFonts w:ascii="宋体" w:hAnsi="宋体"/>
        </w:rPr>
      </w:pPr>
      <w:r>
        <w:rPr>
          <w:rFonts w:ascii="宋体" w:hAnsi="宋体"/>
        </w:rPr>
        <w:t>13）</w:t>
      </w:r>
      <w:r>
        <w:rPr>
          <w:rFonts w:ascii="宋体" w:hAnsi="宋体"/>
        </w:rPr>
        <w:tab/>
      </w:r>
      <w:r>
        <w:rPr>
          <w:rFonts w:ascii="宋体" w:hAnsi="宋体"/>
        </w:rPr>
        <w:t>附件：小型手持式编程器、终端器。</w:t>
      </w:r>
    </w:p>
    <w:p>
      <w:pPr>
        <w:adjustRightInd w:val="0"/>
        <w:snapToGrid w:val="0"/>
        <w:spacing w:before="203" w:beforeLines="50" w:after="203" w:afterLines="50"/>
        <w:ind w:firstLine="500" w:firstLineChars="200"/>
        <w:rPr>
          <w:rFonts w:ascii="宋体" w:hAnsi="宋体"/>
        </w:rPr>
      </w:pPr>
      <w:r>
        <w:rPr>
          <w:rFonts w:ascii="宋体" w:hAnsi="宋体"/>
        </w:rPr>
        <w:t>（7）软启动器</w:t>
      </w:r>
    </w:p>
    <w:p>
      <w:pPr>
        <w:adjustRightInd w:val="0"/>
        <w:snapToGrid w:val="0"/>
        <w:spacing w:before="203" w:beforeLines="50" w:after="203" w:afterLines="50"/>
        <w:ind w:firstLine="500" w:firstLineChars="200"/>
        <w:rPr>
          <w:rFonts w:ascii="宋体" w:hAnsi="宋体"/>
        </w:rPr>
      </w:pPr>
      <w:r>
        <w:rPr>
          <w:rFonts w:ascii="宋体" w:hAnsi="宋体"/>
        </w:rPr>
        <w:t>软启动器的设计和制造应符合GB14048.6-1998标准和EN/IEC60947－4－2标准，符合中国国家强制性产品3C认证，防护等级IP2X。</w:t>
      </w:r>
    </w:p>
    <w:p>
      <w:pPr>
        <w:adjustRightInd w:val="0"/>
        <w:snapToGrid w:val="0"/>
        <w:spacing w:before="203" w:beforeLines="50" w:after="203" w:afterLines="50"/>
        <w:ind w:firstLine="500" w:firstLineChars="200"/>
        <w:rPr>
          <w:rFonts w:ascii="宋体" w:hAnsi="宋体"/>
        </w:rPr>
      </w:pPr>
      <w:r>
        <w:rPr>
          <w:rFonts w:ascii="宋体" w:hAnsi="宋体"/>
        </w:rPr>
        <w:t>环境温度：工作温度-10～+40℃，环境温度-25～+70℃。</w:t>
      </w:r>
    </w:p>
    <w:p>
      <w:pPr>
        <w:adjustRightInd w:val="0"/>
        <w:snapToGrid w:val="0"/>
        <w:spacing w:before="203" w:beforeLines="50" w:after="203" w:afterLines="50"/>
        <w:ind w:firstLine="500" w:firstLineChars="200"/>
        <w:rPr>
          <w:rFonts w:ascii="宋体" w:hAnsi="宋体"/>
        </w:rPr>
      </w:pPr>
      <w:r>
        <w:rPr>
          <w:rFonts w:ascii="宋体" w:hAnsi="宋体"/>
        </w:rPr>
        <w:t>最大相对温度：符合IEC68-2-3标准，95%无冷凝或滴水。</w:t>
      </w:r>
    </w:p>
    <w:p>
      <w:pPr>
        <w:adjustRightInd w:val="0"/>
        <w:snapToGrid w:val="0"/>
        <w:spacing w:before="203" w:beforeLines="50" w:after="203" w:afterLines="50"/>
        <w:ind w:firstLine="500" w:firstLineChars="200"/>
        <w:rPr>
          <w:rFonts w:ascii="宋体" w:hAnsi="宋体"/>
        </w:rPr>
      </w:pPr>
      <w:r>
        <w:rPr>
          <w:rFonts w:ascii="宋体" w:hAnsi="宋体"/>
        </w:rPr>
        <w:t>海拔：不小于1000 m。</w:t>
      </w:r>
    </w:p>
    <w:p>
      <w:pPr>
        <w:adjustRightInd w:val="0"/>
        <w:snapToGrid w:val="0"/>
        <w:spacing w:before="203" w:beforeLines="50" w:after="203" w:afterLines="50"/>
        <w:ind w:firstLine="500" w:firstLineChars="200"/>
        <w:rPr>
          <w:rFonts w:ascii="宋体" w:hAnsi="宋体"/>
        </w:rPr>
      </w:pPr>
      <w:r>
        <w:rPr>
          <w:rFonts w:ascii="宋体" w:hAnsi="宋体"/>
        </w:rPr>
        <w:t>电压：～380V±10%，频率：50Hz。</w:t>
      </w:r>
    </w:p>
    <w:p>
      <w:pPr>
        <w:adjustRightInd w:val="0"/>
        <w:snapToGrid w:val="0"/>
        <w:spacing w:before="203" w:beforeLines="50" w:after="203" w:afterLines="50"/>
        <w:ind w:firstLine="500" w:firstLineChars="200"/>
        <w:rPr>
          <w:rFonts w:ascii="宋体" w:hAnsi="宋体"/>
        </w:rPr>
      </w:pPr>
      <w:r>
        <w:rPr>
          <w:rFonts w:ascii="宋体" w:hAnsi="宋体"/>
        </w:rPr>
        <w:t>采用转矩控制型智能软启动器，在起动和停车过程期间可根据负载类型提供逐渐变化或恒定的转矩，使电机和负载转速线性上升和下降。</w:t>
      </w:r>
    </w:p>
    <w:p>
      <w:pPr>
        <w:adjustRightInd w:val="0"/>
        <w:snapToGrid w:val="0"/>
        <w:spacing w:before="203" w:beforeLines="50" w:after="203" w:afterLines="50"/>
        <w:ind w:firstLine="500" w:firstLineChars="200"/>
        <w:rPr>
          <w:rFonts w:ascii="宋体" w:hAnsi="宋体"/>
        </w:rPr>
      </w:pPr>
      <w:r>
        <w:rPr>
          <w:rFonts w:ascii="宋体" w:hAnsi="宋体"/>
        </w:rPr>
        <w:t>软起动器应具备对电机的过载、堵转、过流、欠载、缺相、PTC等保护，并具备起动时间监测和电机预热等功能，并且在旁路输出时候不需要外加保护设备。在起动结束时，软起动器可控制旁路接触器吸合，从而减少软起动器的损耗，延长使用寿命，但必须维持所有的电子保护。</w:t>
      </w:r>
    </w:p>
    <w:p>
      <w:pPr>
        <w:adjustRightInd w:val="0"/>
        <w:snapToGrid w:val="0"/>
        <w:spacing w:before="203" w:beforeLines="50" w:after="203" w:afterLines="50"/>
        <w:ind w:firstLine="500" w:firstLineChars="200"/>
        <w:rPr>
          <w:rFonts w:ascii="宋体" w:hAnsi="宋体"/>
        </w:rPr>
      </w:pPr>
      <w:r>
        <w:rPr>
          <w:rFonts w:ascii="宋体" w:hAnsi="宋体"/>
        </w:rPr>
        <w:t>软起动器的参数通过标配的操作面板，可设置起动初始转矩、软起动时间、启动电流限幅以及起动电压提升。停车方式可通过参数设置为自由停车、软停车或动力制动。</w:t>
      </w:r>
    </w:p>
    <w:p>
      <w:pPr>
        <w:adjustRightInd w:val="0"/>
        <w:snapToGrid w:val="0"/>
        <w:spacing w:before="203" w:beforeLines="50" w:after="203" w:afterLines="50"/>
        <w:ind w:firstLine="500" w:firstLineChars="200"/>
        <w:rPr>
          <w:rFonts w:ascii="宋体" w:hAnsi="宋体"/>
        </w:rPr>
      </w:pPr>
      <w:r>
        <w:rPr>
          <w:rFonts w:ascii="宋体" w:hAnsi="宋体"/>
        </w:rPr>
        <w:t>软起动器应具有插入式I/O端子，以便安装和维护。具有4个以上逻辑输入，以便进行起停，参数切换，电机预热、强迫自由停车、外部故障监测和处理、故障复位、禁止保护等功能配置。应具有两个以上逻辑输出，3个以上继电器输出，以便进行故障报警、旁路控制、多种状态输出等功能配置。应具有模拟输出端子，可编程输出电机电流、电机转矩、有功功率等。</w:t>
      </w:r>
    </w:p>
    <w:p>
      <w:pPr>
        <w:adjustRightInd w:val="0"/>
        <w:snapToGrid w:val="0"/>
        <w:spacing w:before="203" w:beforeLines="50" w:after="203" w:afterLines="50"/>
        <w:ind w:firstLine="500" w:firstLineChars="200"/>
        <w:rPr>
          <w:rFonts w:ascii="宋体" w:hAnsi="宋体"/>
        </w:rPr>
      </w:pPr>
      <w:r>
        <w:rPr>
          <w:rFonts w:ascii="宋体" w:hAnsi="宋体"/>
        </w:rPr>
        <w:t>软启动器应支持总线通讯，应内置RS485接口，并驻留标准的Modbus协议，也可通过网络附件与国际流行的总线和工业一太网进行通讯，以便通过上位机进行监控。</w:t>
      </w:r>
    </w:p>
    <w:p>
      <w:pPr>
        <w:adjustRightInd w:val="0"/>
        <w:snapToGrid w:val="0"/>
        <w:spacing w:before="203" w:beforeLines="50" w:after="203" w:afterLines="50"/>
        <w:ind w:firstLine="500" w:firstLineChars="200"/>
        <w:rPr>
          <w:rFonts w:ascii="宋体" w:hAnsi="宋体"/>
        </w:rPr>
      </w:pPr>
      <w:r>
        <w:rPr>
          <w:rFonts w:ascii="宋体" w:hAnsi="宋体"/>
        </w:rPr>
        <w:t>（8）无源谐波保护器</w:t>
      </w:r>
    </w:p>
    <w:p>
      <w:pPr>
        <w:adjustRightInd w:val="0"/>
        <w:snapToGrid w:val="0"/>
        <w:spacing w:before="203" w:beforeLines="50" w:after="203" w:afterLines="50"/>
        <w:ind w:firstLine="500" w:firstLineChars="200"/>
        <w:rPr>
          <w:rFonts w:ascii="宋体" w:hAnsi="宋体"/>
        </w:rPr>
      </w:pPr>
      <w:r>
        <w:rPr>
          <w:rFonts w:ascii="宋体" w:hAnsi="宋体"/>
        </w:rPr>
        <w:t>对2000H</w:t>
      </w:r>
      <w:r>
        <w:rPr>
          <w:rFonts w:ascii="宋体" w:hAnsi="宋体"/>
          <w:vertAlign w:val="subscript"/>
        </w:rPr>
        <w:t>Z</w:t>
      </w:r>
      <w:r>
        <w:rPr>
          <w:rFonts w:ascii="宋体" w:hAnsi="宋体"/>
        </w:rPr>
        <w:t>—10MH</w:t>
      </w:r>
      <w:r>
        <w:rPr>
          <w:rFonts w:ascii="宋体" w:hAnsi="宋体"/>
          <w:vertAlign w:val="subscript"/>
        </w:rPr>
        <w:t>Z</w:t>
      </w:r>
      <w:r>
        <w:rPr>
          <w:rFonts w:ascii="宋体" w:hAnsi="宋体"/>
        </w:rPr>
        <w:t>范围的谐波保护器要求采用无源方式，能够减少了仪器设备的故障率和机器误操作，提高了设备的运行效率和使用寿命，全面克服了由于高次谐波造成的电能质量恶劣，导致设备损耗，性能失常，造成不必要的损失。对2000H</w:t>
      </w:r>
      <w:r>
        <w:rPr>
          <w:rFonts w:ascii="宋体" w:hAnsi="宋体"/>
          <w:vertAlign w:val="subscript"/>
        </w:rPr>
        <w:t>Z</w:t>
      </w:r>
      <w:r>
        <w:rPr>
          <w:rFonts w:ascii="宋体" w:hAnsi="宋体"/>
        </w:rPr>
        <w:t>—10MH</w:t>
      </w:r>
      <w:r>
        <w:rPr>
          <w:rFonts w:ascii="宋体" w:hAnsi="宋体"/>
          <w:vertAlign w:val="subscript"/>
        </w:rPr>
        <w:t>Z</w:t>
      </w:r>
      <w:r>
        <w:rPr>
          <w:rFonts w:ascii="宋体" w:hAnsi="宋体"/>
        </w:rPr>
        <w:t>范围的谐波保护器必须完全符合以下标准：</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IEC61000-4-5，</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IEC60939-1-2</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GB/T 14549-93《电能质量公用电网谐波》</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IEC61000-4-5，IEC60939-1-2</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UI1449 2nd Edition TVSS Testing</w:t>
      </w:r>
      <w:r>
        <w:rPr>
          <w:rFonts w:hint="eastAsia" w:ascii="宋体" w:hAnsi="宋体"/>
        </w:rPr>
        <w:t>t</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CSA Standards Class 9091 01&amp;9091 81</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CSA std.C22</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NEMA LS-1, NEC Surge Suppression</w:t>
      </w:r>
    </w:p>
    <w:p>
      <w:pPr>
        <w:numPr>
          <w:ilvl w:val="0"/>
          <w:numId w:val="137"/>
        </w:numPr>
        <w:tabs>
          <w:tab w:val="left" w:pos="1134"/>
        </w:tabs>
        <w:adjustRightInd w:val="0"/>
        <w:snapToGrid w:val="0"/>
        <w:spacing w:before="203" w:beforeLines="50" w:after="203" w:afterLines="50"/>
        <w:ind w:left="1134" w:hanging="567"/>
        <w:rPr>
          <w:rFonts w:ascii="宋体" w:hAnsi="宋体"/>
        </w:rPr>
      </w:pPr>
      <w:r>
        <w:rPr>
          <w:rFonts w:ascii="宋体" w:hAnsi="宋体"/>
        </w:rPr>
        <w:t>Standards, Electrical Notice 516</w:t>
      </w:r>
    </w:p>
    <w:p>
      <w:pPr>
        <w:adjustRightInd w:val="0"/>
        <w:snapToGrid w:val="0"/>
        <w:spacing w:before="203" w:beforeLines="50" w:after="203" w:afterLines="50"/>
        <w:ind w:firstLine="420"/>
        <w:rPr>
          <w:rFonts w:ascii="宋体" w:hAnsi="宋体"/>
        </w:rPr>
      </w:pPr>
      <w:r>
        <w:rPr>
          <w:rFonts w:ascii="宋体" w:hAnsi="宋体"/>
        </w:rPr>
        <w:t>谐波保护器必须完全符合以下标准技术参数：</w:t>
      </w:r>
    </w:p>
    <w:p>
      <w:pPr>
        <w:adjustRightInd w:val="0"/>
        <w:snapToGrid w:val="0"/>
        <w:spacing w:before="203" w:beforeLines="50" w:after="203" w:afterLines="50"/>
        <w:ind w:firstLine="500" w:firstLineChars="200"/>
        <w:rPr>
          <w:rFonts w:ascii="宋体" w:hAnsi="宋体"/>
        </w:rPr>
      </w:pPr>
      <w:r>
        <w:rPr>
          <w:rFonts w:ascii="宋体" w:hAnsi="宋体"/>
        </w:rPr>
        <w:t>1）电路连接方式：三相星形</w:t>
      </w:r>
    </w:p>
    <w:p>
      <w:pPr>
        <w:adjustRightInd w:val="0"/>
        <w:snapToGrid w:val="0"/>
        <w:spacing w:before="203" w:beforeLines="50" w:after="203" w:afterLines="50"/>
        <w:ind w:firstLine="500" w:firstLineChars="200"/>
        <w:rPr>
          <w:rFonts w:ascii="宋体" w:hAnsi="宋体"/>
        </w:rPr>
      </w:pPr>
      <w:r>
        <w:rPr>
          <w:rFonts w:ascii="宋体" w:hAnsi="宋体"/>
        </w:rPr>
        <w:t>2）额定电压：额定相电压250V</w:t>
      </w:r>
    </w:p>
    <w:p>
      <w:pPr>
        <w:adjustRightInd w:val="0"/>
        <w:snapToGrid w:val="0"/>
        <w:spacing w:before="203" w:beforeLines="50" w:after="203" w:afterLines="50"/>
        <w:ind w:firstLine="500" w:firstLineChars="200"/>
        <w:rPr>
          <w:rFonts w:ascii="宋体" w:hAnsi="宋体"/>
        </w:rPr>
      </w:pPr>
      <w:r>
        <w:rPr>
          <w:rFonts w:ascii="宋体" w:hAnsi="宋体"/>
        </w:rPr>
        <w:t>3）最大脉冲电流值：12000A</w:t>
      </w:r>
    </w:p>
    <w:p>
      <w:pPr>
        <w:adjustRightInd w:val="0"/>
        <w:snapToGrid w:val="0"/>
        <w:spacing w:before="203" w:beforeLines="50" w:after="203" w:afterLines="50"/>
        <w:ind w:firstLine="500" w:firstLineChars="200"/>
        <w:rPr>
          <w:rFonts w:ascii="宋体" w:hAnsi="宋体"/>
        </w:rPr>
      </w:pPr>
      <w:r>
        <w:rPr>
          <w:rFonts w:ascii="宋体" w:hAnsi="宋体"/>
        </w:rPr>
        <w:t>4）钳位电压值：对2500V（1.2μs/50μs）的浪涌电压,可限制在1000V以下。</w:t>
      </w:r>
    </w:p>
    <w:p>
      <w:pPr>
        <w:adjustRightInd w:val="0"/>
        <w:snapToGrid w:val="0"/>
        <w:spacing w:before="203" w:beforeLines="50" w:after="203" w:afterLines="50"/>
        <w:ind w:firstLine="500" w:firstLineChars="200"/>
        <w:rPr>
          <w:rFonts w:ascii="宋体" w:hAnsi="宋体"/>
        </w:rPr>
      </w:pPr>
      <w:r>
        <w:rPr>
          <w:rFonts w:ascii="宋体" w:hAnsi="宋体"/>
        </w:rPr>
        <w:t>5）抗浪涌电流：对2500V（1.2μs/50μs）的浪涌电压，浪涌电流不超过1000A（80μs/20μs）</w:t>
      </w:r>
    </w:p>
    <w:p>
      <w:pPr>
        <w:adjustRightInd w:val="0"/>
        <w:snapToGrid w:val="0"/>
        <w:spacing w:before="203" w:beforeLines="50" w:after="203" w:afterLines="50"/>
        <w:ind w:firstLine="500" w:firstLineChars="200"/>
        <w:rPr>
          <w:rFonts w:ascii="宋体" w:hAnsi="宋体"/>
        </w:rPr>
      </w:pPr>
      <w:bookmarkStart w:id="6826" w:name="_Toc106050525"/>
      <w:r>
        <w:rPr>
          <w:rFonts w:ascii="宋体" w:hAnsi="宋体"/>
        </w:rPr>
        <w:t>6）保护频率：2KHZ～10MHZ</w:t>
      </w:r>
      <w:bookmarkEnd w:id="6826"/>
    </w:p>
    <w:p>
      <w:pPr>
        <w:adjustRightInd w:val="0"/>
        <w:snapToGrid w:val="0"/>
        <w:spacing w:before="203" w:beforeLines="50" w:after="203" w:afterLines="50"/>
        <w:ind w:firstLine="500" w:firstLineChars="200"/>
        <w:rPr>
          <w:rFonts w:ascii="宋体" w:hAnsi="宋体"/>
        </w:rPr>
      </w:pPr>
      <w:r>
        <w:rPr>
          <w:rFonts w:ascii="宋体" w:hAnsi="宋体"/>
        </w:rPr>
        <w:t>7）滤波效能：100KHZ附近 40DB衰减, 对网电源中的尖峰瞬变和2KHZ～10MHZ杂波有明显的滤波效果。</w:t>
      </w:r>
    </w:p>
    <w:p>
      <w:pPr>
        <w:adjustRightInd w:val="0"/>
        <w:snapToGrid w:val="0"/>
        <w:spacing w:before="203" w:beforeLines="50" w:after="203" w:afterLines="50"/>
        <w:ind w:firstLine="500" w:firstLineChars="200"/>
        <w:rPr>
          <w:rFonts w:ascii="宋体" w:hAnsi="宋体"/>
        </w:rPr>
      </w:pPr>
      <w:r>
        <w:rPr>
          <w:rFonts w:ascii="宋体" w:hAnsi="宋体"/>
        </w:rPr>
        <w:t>8）泄露电流：1.527mA</w:t>
      </w:r>
    </w:p>
    <w:p>
      <w:pPr>
        <w:adjustRightInd w:val="0"/>
        <w:snapToGrid w:val="0"/>
        <w:spacing w:before="203" w:beforeLines="50" w:after="203" w:afterLines="50"/>
        <w:ind w:firstLine="500" w:firstLineChars="200"/>
        <w:rPr>
          <w:rFonts w:ascii="宋体" w:hAnsi="宋体"/>
        </w:rPr>
      </w:pPr>
      <w:r>
        <w:rPr>
          <w:rFonts w:ascii="宋体" w:hAnsi="宋体"/>
        </w:rPr>
        <w:t>9）安装方式：  卡式导轨安装或者底部螺丝固定</w:t>
      </w:r>
    </w:p>
    <w:p>
      <w:pPr>
        <w:adjustRightInd w:val="0"/>
        <w:snapToGrid w:val="0"/>
        <w:spacing w:before="203" w:beforeLines="50" w:after="203" w:afterLines="50"/>
        <w:ind w:left="426"/>
        <w:jc w:val="left"/>
        <w:rPr>
          <w:rFonts w:hint="eastAsia" w:ascii="宋体" w:hAnsi="宋体" w:eastAsia="宋体"/>
          <w:lang w:eastAsia="zh-CN"/>
        </w:rPr>
      </w:pPr>
      <w:r>
        <w:rPr>
          <w:rFonts w:ascii="宋体" w:hAnsi="宋体"/>
        </w:rPr>
        <w:t>10）温度范围：  -30℃～ 70℃</w:t>
      </w:r>
    </w:p>
    <w:p>
      <w:pPr>
        <w:adjustRightInd w:val="0"/>
        <w:snapToGrid w:val="0"/>
        <w:spacing w:before="203" w:beforeLines="50" w:after="203" w:afterLines="50"/>
        <w:ind w:left="426"/>
        <w:jc w:val="left"/>
        <w:rPr>
          <w:rFonts w:hint="eastAsia" w:ascii="宋体" w:hAnsi="宋体" w:eastAsia="宋体"/>
          <w:lang w:eastAsia="zh-CN"/>
        </w:rPr>
      </w:pPr>
      <w:r>
        <w:rPr>
          <w:rFonts w:ascii="宋体" w:hAnsi="宋体"/>
        </w:rPr>
        <w:t>存贮温度：  -40℃～85℃</w:t>
      </w:r>
    </w:p>
    <w:p>
      <w:pPr>
        <w:adjustRightInd w:val="0"/>
        <w:snapToGrid w:val="0"/>
        <w:spacing w:before="203" w:beforeLines="50" w:after="203" w:afterLines="50"/>
        <w:ind w:left="426"/>
        <w:jc w:val="left"/>
        <w:rPr>
          <w:rFonts w:hint="eastAsia" w:ascii="宋体" w:hAnsi="宋体" w:eastAsia="宋体"/>
          <w:lang w:eastAsia="zh-CN"/>
        </w:rPr>
      </w:pPr>
      <w:r>
        <w:rPr>
          <w:rFonts w:ascii="宋体" w:hAnsi="宋体"/>
        </w:rPr>
        <w:t>相对湿度：   ＜85%（20±5℃条件）</w:t>
      </w:r>
    </w:p>
    <w:p>
      <w:pPr>
        <w:adjustRightInd w:val="0"/>
        <w:snapToGrid w:val="0"/>
        <w:spacing w:before="203" w:beforeLines="50" w:after="203" w:afterLines="50"/>
        <w:ind w:left="426"/>
        <w:jc w:val="left"/>
        <w:rPr>
          <w:rFonts w:ascii="宋体" w:hAnsi="宋体"/>
        </w:rPr>
      </w:pPr>
      <w:r>
        <w:rPr>
          <w:rFonts w:ascii="宋体" w:hAnsi="宋体"/>
        </w:rPr>
        <w:t>大气压力：   86～108Kpa</w:t>
      </w:r>
    </w:p>
    <w:p>
      <w:pPr>
        <w:adjustRightInd w:val="0"/>
        <w:snapToGrid w:val="0"/>
        <w:spacing w:before="203" w:beforeLines="50" w:after="203" w:afterLines="50"/>
        <w:ind w:firstLine="500" w:firstLineChars="200"/>
        <w:rPr>
          <w:rFonts w:ascii="宋体" w:hAnsi="宋体"/>
        </w:rPr>
      </w:pPr>
      <w:r>
        <w:rPr>
          <w:rFonts w:ascii="宋体" w:hAnsi="宋体"/>
        </w:rPr>
        <w:t>11）绝缘电阻：   &gt;50MΩ</w:t>
      </w:r>
    </w:p>
    <w:p>
      <w:pPr>
        <w:adjustRightInd w:val="0"/>
        <w:snapToGrid w:val="0"/>
        <w:spacing w:before="203" w:beforeLines="50" w:after="203" w:afterLines="50"/>
        <w:ind w:firstLine="500" w:firstLineChars="200"/>
        <w:rPr>
          <w:rFonts w:ascii="宋体" w:hAnsi="宋体"/>
        </w:rPr>
      </w:pPr>
      <w:r>
        <w:rPr>
          <w:rFonts w:ascii="宋体" w:hAnsi="宋体"/>
        </w:rPr>
        <w:t>12）耐压：导电部分与外壳间承受2000V（AC），历时1min，无击穿闪络现象。</w:t>
      </w:r>
    </w:p>
    <w:p>
      <w:pPr>
        <w:adjustRightInd w:val="0"/>
        <w:snapToGrid w:val="0"/>
        <w:spacing w:before="203" w:beforeLines="50" w:after="203" w:afterLines="50"/>
        <w:ind w:firstLine="500" w:firstLineChars="200"/>
        <w:rPr>
          <w:rFonts w:ascii="宋体" w:hAnsi="宋体"/>
        </w:rPr>
      </w:pPr>
      <w:r>
        <w:rPr>
          <w:rFonts w:ascii="宋体" w:hAnsi="宋体"/>
        </w:rPr>
        <w:t>13）电磁兼容性测试：</w:t>
      </w:r>
    </w:p>
    <w:p>
      <w:pPr>
        <w:adjustRightInd w:val="0"/>
        <w:snapToGrid w:val="0"/>
        <w:spacing w:before="203" w:beforeLines="50" w:after="203" w:afterLines="50"/>
        <w:ind w:firstLine="500" w:firstLineChars="200"/>
        <w:rPr>
          <w:rFonts w:ascii="宋体" w:hAnsi="宋体"/>
        </w:rPr>
      </w:pPr>
      <w:r>
        <w:rPr>
          <w:rFonts w:ascii="宋体" w:hAnsi="宋体"/>
        </w:rPr>
        <w:t xml:space="preserve">振荡波抗扰度             IEC60255-22-1    Ш级 </w:t>
      </w:r>
    </w:p>
    <w:p>
      <w:pPr>
        <w:adjustRightInd w:val="0"/>
        <w:snapToGrid w:val="0"/>
        <w:spacing w:before="203" w:beforeLines="50" w:after="203" w:afterLines="50"/>
        <w:ind w:firstLine="500" w:firstLineChars="200"/>
        <w:rPr>
          <w:rFonts w:ascii="宋体" w:hAnsi="宋体"/>
        </w:rPr>
      </w:pPr>
      <w:r>
        <w:rPr>
          <w:rFonts w:ascii="宋体" w:hAnsi="宋体"/>
        </w:rPr>
        <w:t>静电放电抗扰度           IEC60255-22-2    Ш级</w:t>
      </w:r>
    </w:p>
    <w:p>
      <w:pPr>
        <w:adjustRightInd w:val="0"/>
        <w:snapToGrid w:val="0"/>
        <w:spacing w:before="203" w:beforeLines="50" w:after="203" w:afterLines="50"/>
        <w:ind w:firstLine="500" w:firstLineChars="200"/>
        <w:rPr>
          <w:rFonts w:ascii="宋体" w:hAnsi="宋体"/>
        </w:rPr>
      </w:pPr>
      <w:r>
        <w:rPr>
          <w:rFonts w:ascii="宋体" w:hAnsi="宋体"/>
        </w:rPr>
        <w:t>射频电磁场辐射抗扰度     IEC60255-22-3    Ш级</w:t>
      </w:r>
    </w:p>
    <w:p>
      <w:pPr>
        <w:adjustRightInd w:val="0"/>
        <w:snapToGrid w:val="0"/>
        <w:spacing w:before="203" w:beforeLines="50" w:after="203" w:afterLines="50"/>
        <w:ind w:firstLine="500" w:firstLineChars="200"/>
        <w:rPr>
          <w:rFonts w:ascii="宋体" w:hAnsi="宋体"/>
        </w:rPr>
      </w:pPr>
      <w:r>
        <w:rPr>
          <w:rFonts w:ascii="宋体" w:hAnsi="宋体"/>
        </w:rPr>
        <w:t>电快速瞬变脉冲群抗扰度   IEC60255-22-4    Ш级</w:t>
      </w:r>
    </w:p>
    <w:p>
      <w:pPr>
        <w:adjustRightInd w:val="0"/>
        <w:snapToGrid w:val="0"/>
        <w:spacing w:before="203" w:beforeLines="50" w:after="203" w:afterLines="50"/>
        <w:ind w:firstLine="500" w:firstLineChars="200"/>
        <w:rPr>
          <w:rFonts w:ascii="宋体" w:hAnsi="宋体"/>
        </w:rPr>
      </w:pPr>
      <w:r>
        <w:rPr>
          <w:rFonts w:ascii="宋体" w:hAnsi="宋体"/>
        </w:rPr>
        <w:t>14）</w:t>
      </w:r>
      <w:r>
        <w:rPr>
          <w:rFonts w:ascii="宋体" w:hAnsi="宋体"/>
        </w:rPr>
        <w:tab/>
      </w:r>
      <w:r>
        <w:rPr>
          <w:rFonts w:ascii="宋体" w:hAnsi="宋体"/>
        </w:rPr>
        <w:t>接点容量: 50A   耐压: 2000V</w:t>
      </w:r>
    </w:p>
    <w:p>
      <w:pPr>
        <w:adjustRightInd w:val="0"/>
        <w:snapToGrid w:val="0"/>
        <w:spacing w:before="203" w:beforeLines="50" w:after="203" w:afterLines="50"/>
        <w:ind w:firstLine="500" w:firstLineChars="200"/>
        <w:rPr>
          <w:rFonts w:ascii="宋体" w:hAnsi="宋体"/>
        </w:rPr>
      </w:pPr>
      <w:r>
        <w:rPr>
          <w:rFonts w:ascii="宋体" w:hAnsi="宋体"/>
        </w:rPr>
        <w:t>15）</w:t>
      </w:r>
      <w:r>
        <w:rPr>
          <w:rFonts w:ascii="宋体" w:hAnsi="宋体"/>
        </w:rPr>
        <w:tab/>
      </w:r>
      <w:r>
        <w:rPr>
          <w:rFonts w:ascii="宋体" w:hAnsi="宋体"/>
        </w:rPr>
        <w:t>为保证安全，特被要求接线端子采用: 酚醛树脂, 耐高温900℃</w:t>
      </w:r>
    </w:p>
    <w:p>
      <w:pPr>
        <w:adjustRightInd w:val="0"/>
        <w:snapToGrid w:val="0"/>
        <w:spacing w:before="203" w:beforeLines="50" w:after="203" w:afterLines="50"/>
        <w:ind w:firstLine="500" w:firstLineChars="200"/>
        <w:rPr>
          <w:rFonts w:ascii="宋体" w:hAnsi="宋体"/>
        </w:rPr>
      </w:pPr>
      <w:r>
        <w:rPr>
          <w:rFonts w:ascii="宋体" w:hAnsi="宋体"/>
        </w:rPr>
        <w:t>16）</w:t>
      </w:r>
      <w:r>
        <w:rPr>
          <w:rFonts w:ascii="宋体" w:hAnsi="宋体"/>
        </w:rPr>
        <w:tab/>
      </w:r>
      <w:r>
        <w:rPr>
          <w:rFonts w:ascii="宋体" w:hAnsi="宋体"/>
        </w:rPr>
        <w:t>谐波保护器必须采用并联安装方式。</w:t>
      </w:r>
    </w:p>
    <w:p>
      <w:pPr>
        <w:adjustRightInd w:val="0"/>
        <w:snapToGrid w:val="0"/>
        <w:spacing w:before="203" w:beforeLines="50" w:after="203" w:afterLines="50"/>
        <w:ind w:firstLine="500" w:firstLineChars="200"/>
        <w:rPr>
          <w:rFonts w:ascii="宋体" w:hAnsi="宋体"/>
        </w:rPr>
      </w:pPr>
      <w:r>
        <w:rPr>
          <w:rFonts w:ascii="宋体" w:hAnsi="宋体"/>
        </w:rPr>
        <w:t>17）</w:t>
      </w:r>
      <w:r>
        <w:rPr>
          <w:rFonts w:ascii="宋体" w:hAnsi="宋体"/>
        </w:rPr>
        <w:tab/>
      </w:r>
      <w:r>
        <w:rPr>
          <w:rFonts w:ascii="宋体" w:hAnsi="宋体"/>
        </w:rPr>
        <w:t>要求必须提供国家级测试中心的测试报告。</w:t>
      </w:r>
    </w:p>
    <w:p>
      <w:pPr>
        <w:adjustRightInd w:val="0"/>
        <w:snapToGrid w:val="0"/>
        <w:spacing w:before="203" w:beforeLines="50" w:after="203" w:afterLines="50"/>
        <w:ind w:firstLine="500" w:firstLineChars="200"/>
        <w:rPr>
          <w:rFonts w:ascii="宋体" w:hAnsi="宋体"/>
        </w:rPr>
      </w:pPr>
      <w:r>
        <w:rPr>
          <w:rFonts w:ascii="宋体" w:hAnsi="宋体"/>
        </w:rPr>
        <w:t>（9） 电力电容器</w:t>
      </w:r>
    </w:p>
    <w:p>
      <w:pPr>
        <w:adjustRightInd w:val="0"/>
        <w:snapToGrid w:val="0"/>
        <w:spacing w:before="203" w:beforeLines="50" w:after="203" w:afterLines="50"/>
        <w:ind w:firstLine="500" w:firstLineChars="200"/>
        <w:rPr>
          <w:rFonts w:ascii="宋体" w:hAnsi="宋体"/>
        </w:rPr>
      </w:pPr>
      <w:r>
        <w:rPr>
          <w:rFonts w:ascii="宋体" w:hAnsi="宋体"/>
        </w:rPr>
        <w:t>1）总则</w:t>
      </w:r>
    </w:p>
    <w:p>
      <w:pPr>
        <w:adjustRightInd w:val="0"/>
        <w:snapToGrid w:val="0"/>
        <w:spacing w:before="203" w:beforeLines="50" w:after="203" w:afterLines="50"/>
        <w:ind w:firstLine="500" w:firstLineChars="200"/>
        <w:rPr>
          <w:rFonts w:ascii="宋体" w:hAnsi="宋体"/>
        </w:rPr>
      </w:pPr>
      <w:r>
        <w:rPr>
          <w:rFonts w:ascii="宋体" w:hAnsi="宋体"/>
        </w:rPr>
        <w:t>本技术规范适用于本工程的低压调谐滤波电容器组。本规范所要求的低压电容器组、可控硅投切开关、电抗器及功率因数控制器必需由同一品牌产品。</w:t>
      </w:r>
    </w:p>
    <w:p>
      <w:pPr>
        <w:adjustRightInd w:val="0"/>
        <w:snapToGrid w:val="0"/>
        <w:spacing w:before="203" w:beforeLines="50" w:after="203" w:afterLines="50"/>
        <w:ind w:firstLine="500" w:firstLineChars="200"/>
        <w:rPr>
          <w:rFonts w:ascii="宋体" w:hAnsi="宋体"/>
        </w:rPr>
      </w:pPr>
      <w:r>
        <w:rPr>
          <w:rFonts w:ascii="宋体" w:hAnsi="宋体"/>
        </w:rPr>
        <w:t>2）标准与法规</w:t>
      </w:r>
    </w:p>
    <w:p>
      <w:pPr>
        <w:adjustRightInd w:val="0"/>
        <w:snapToGrid w:val="0"/>
        <w:spacing w:before="203" w:beforeLines="50" w:after="203" w:afterLines="50"/>
        <w:ind w:firstLine="500" w:firstLineChars="200"/>
        <w:rPr>
          <w:rFonts w:ascii="宋体" w:hAnsi="宋体"/>
        </w:rPr>
      </w:pPr>
      <w:r>
        <w:rPr>
          <w:rFonts w:ascii="宋体" w:hAnsi="宋体"/>
        </w:rPr>
        <w:t>供货厂家必需提供以下有关认证与产品资料：</w:t>
      </w:r>
    </w:p>
    <w:p>
      <w:pPr>
        <w:adjustRightInd w:val="0"/>
        <w:snapToGrid w:val="0"/>
        <w:spacing w:before="203" w:beforeLines="50" w:after="203" w:afterLines="50"/>
        <w:ind w:firstLine="500" w:firstLineChars="200"/>
        <w:rPr>
          <w:rFonts w:ascii="宋体" w:hAnsi="宋体"/>
        </w:rPr>
      </w:pPr>
      <w:r>
        <w:rPr>
          <w:rFonts w:ascii="宋体" w:hAnsi="宋体"/>
        </w:rPr>
        <w:t>ISO9000质量认证、ISO14000环境认证、安全认证（如美国UL/加拿大CSA）、</w:t>
      </w:r>
    </w:p>
    <w:p>
      <w:pPr>
        <w:adjustRightInd w:val="0"/>
        <w:snapToGrid w:val="0"/>
        <w:spacing w:before="203" w:beforeLines="50" w:after="203" w:afterLines="50"/>
        <w:ind w:firstLine="500" w:firstLineChars="200"/>
        <w:rPr>
          <w:rFonts w:ascii="宋体" w:hAnsi="宋体"/>
        </w:rPr>
      </w:pPr>
      <w:r>
        <w:rPr>
          <w:rFonts w:ascii="宋体" w:hAnsi="宋体"/>
        </w:rPr>
        <w:t>中国《国家电力电容器质量监督检验中心》检验报告等。</w:t>
      </w:r>
    </w:p>
    <w:p>
      <w:pPr>
        <w:adjustRightInd w:val="0"/>
        <w:snapToGrid w:val="0"/>
        <w:spacing w:before="203" w:beforeLines="50" w:after="203" w:afterLines="50"/>
        <w:ind w:firstLine="500" w:firstLineChars="200"/>
        <w:rPr>
          <w:rFonts w:ascii="宋体" w:hAnsi="宋体"/>
        </w:rPr>
      </w:pPr>
      <w:r>
        <w:rPr>
          <w:rFonts w:ascii="宋体" w:hAnsi="宋体"/>
        </w:rPr>
        <w:t>3）调谐滤波电容器组</w:t>
      </w:r>
    </w:p>
    <w:p>
      <w:pPr>
        <w:adjustRightInd w:val="0"/>
        <w:snapToGrid w:val="0"/>
        <w:spacing w:before="203" w:beforeLines="50" w:after="203" w:afterLines="50"/>
        <w:ind w:firstLine="500" w:firstLineChars="200"/>
        <w:rPr>
          <w:rFonts w:ascii="宋体" w:hAnsi="宋体"/>
        </w:rPr>
      </w:pPr>
      <w:r>
        <w:rPr>
          <w:rFonts w:ascii="宋体" w:hAnsi="宋体"/>
        </w:rPr>
        <w:t>调谐滤波电容器组系由优质品牌的充气式环保防爆滤波电容器、调谐滤波电抗器、可控硅、自动功率因数调整器所组合而成，以自动控制电容器的投入与切离，达到所设定的功率因数并有效抑制谐波电流。</w:t>
      </w:r>
    </w:p>
    <w:p>
      <w:pPr>
        <w:adjustRightInd w:val="0"/>
        <w:snapToGrid w:val="0"/>
        <w:spacing w:before="203" w:beforeLines="50" w:after="203" w:afterLines="50"/>
        <w:ind w:firstLine="500" w:firstLineChars="200"/>
        <w:rPr>
          <w:rFonts w:ascii="宋体" w:hAnsi="宋体"/>
        </w:rPr>
      </w:pPr>
      <w:r>
        <w:rPr>
          <w:rFonts w:ascii="宋体" w:hAnsi="宋体"/>
        </w:rPr>
        <w:t>调谐滤波电容器组，自动控制电容器的投入与切离，达到所设定的功率因数。同时有效抑制谐波电流，消除系统谐振。抑制5次及5次以上的谐波，调谐频率设置为189HZ调谐度为7％。</w:t>
      </w:r>
    </w:p>
    <w:p>
      <w:pPr>
        <w:adjustRightInd w:val="0"/>
        <w:snapToGrid w:val="0"/>
        <w:spacing w:before="203" w:beforeLines="50" w:after="203" w:afterLines="50"/>
        <w:ind w:firstLine="500" w:firstLineChars="200"/>
        <w:rPr>
          <w:rFonts w:ascii="宋体" w:hAnsi="宋体"/>
        </w:rPr>
      </w:pPr>
      <w:r>
        <w:rPr>
          <w:rFonts w:ascii="宋体" w:hAnsi="宋体"/>
        </w:rPr>
        <w:t>为了防止出现过补、且避免电容器投切时产生较大的浪涌电流，每步投切的有效输出容量不得大于50Kvar。</w:t>
      </w:r>
    </w:p>
    <w:p>
      <w:pPr>
        <w:adjustRightInd w:val="0"/>
        <w:snapToGrid w:val="0"/>
        <w:spacing w:before="203" w:beforeLines="50" w:after="203" w:afterLines="50"/>
        <w:ind w:firstLine="500" w:firstLineChars="200"/>
        <w:rPr>
          <w:rFonts w:ascii="宋体" w:hAnsi="宋体"/>
        </w:rPr>
      </w:pPr>
      <w:r>
        <w:rPr>
          <w:rFonts w:ascii="宋体" w:hAnsi="宋体"/>
        </w:rPr>
        <w:t>电容器必须是干式自愈合电容器，外涂耐高温散热黑色油漆；内置防火防爆的安全装置，在过压力、过热或过载等情况达到极限前可安全分离，以避免可能由此而产生电容器爆炸和燃烧事故，最大允许故障电流10,000A满足IEC 60831（2003）.VDE 0560-46/47;CSA C22.2 No.190-M1985; UL Standard No.810;及国内GB/T 12747.1-2004 标准。</w:t>
      </w:r>
    </w:p>
    <w:p>
      <w:pPr>
        <w:adjustRightInd w:val="0"/>
        <w:snapToGrid w:val="0"/>
        <w:spacing w:before="203" w:beforeLines="50" w:after="203" w:afterLines="50"/>
        <w:ind w:firstLine="500" w:firstLineChars="200"/>
        <w:rPr>
          <w:rFonts w:ascii="宋体" w:hAnsi="宋体"/>
        </w:rPr>
      </w:pPr>
      <w:r>
        <w:rPr>
          <w:rFonts w:ascii="宋体" w:hAnsi="宋体"/>
        </w:rPr>
        <w:t>电容器的连续过电流能力不小于1.9×IR、抗浪涌电流能力不小于200×IR，额定电压等级不低于440V（对应调谐度7％）。</w:t>
      </w:r>
    </w:p>
    <w:p>
      <w:pPr>
        <w:adjustRightInd w:val="0"/>
        <w:snapToGrid w:val="0"/>
        <w:spacing w:before="203" w:beforeLines="50" w:after="203" w:afterLines="50"/>
        <w:ind w:firstLine="500" w:firstLineChars="200"/>
        <w:rPr>
          <w:rFonts w:ascii="宋体" w:hAnsi="宋体"/>
        </w:rPr>
      </w:pPr>
      <w:r>
        <w:rPr>
          <w:rFonts w:ascii="宋体" w:hAnsi="宋体"/>
        </w:rPr>
        <w:t xml:space="preserve">电容器使用寿命:≥200,000小时；环境温度：-40℃/C/D（+55℃）；                         </w:t>
      </w:r>
    </w:p>
    <w:p>
      <w:pPr>
        <w:adjustRightInd w:val="0"/>
        <w:snapToGrid w:val="0"/>
        <w:spacing w:before="203" w:beforeLines="50" w:after="203" w:afterLines="50"/>
        <w:ind w:firstLine="500" w:firstLineChars="200"/>
        <w:rPr>
          <w:rFonts w:ascii="宋体" w:hAnsi="宋体"/>
        </w:rPr>
      </w:pPr>
      <w:r>
        <w:rPr>
          <w:rFonts w:ascii="宋体" w:hAnsi="宋体"/>
        </w:rPr>
        <w:t>电容器接线端子带防电击保护（IP20）</w:t>
      </w:r>
    </w:p>
    <w:p>
      <w:pPr>
        <w:adjustRightInd w:val="0"/>
        <w:snapToGrid w:val="0"/>
        <w:spacing w:before="203" w:beforeLines="50" w:after="203" w:afterLines="50"/>
        <w:ind w:firstLine="500" w:firstLineChars="200"/>
        <w:rPr>
          <w:rFonts w:ascii="宋体" w:hAnsi="宋体"/>
        </w:rPr>
      </w:pPr>
      <w:r>
        <w:rPr>
          <w:rFonts w:ascii="宋体" w:hAnsi="宋体"/>
        </w:rPr>
        <w:t>电抗器内置过流保护装置，绝缘等级必须在H级（耐温180℃）及以上，在过热和过载情况下可提供安全保护输出，以避免设备过热损坏，且电抗器的线性度不低于1.8×IR ，符合国内GB 10229-1988标准。</w:t>
      </w:r>
    </w:p>
    <w:p>
      <w:pPr>
        <w:adjustRightInd w:val="0"/>
        <w:snapToGrid w:val="0"/>
        <w:spacing w:before="203" w:beforeLines="50" w:after="203" w:afterLines="50"/>
        <w:ind w:firstLine="500" w:firstLineChars="200"/>
        <w:rPr>
          <w:rFonts w:ascii="宋体" w:hAnsi="宋体"/>
        </w:rPr>
      </w:pPr>
      <w:r>
        <w:rPr>
          <w:rFonts w:ascii="宋体" w:hAnsi="宋体"/>
        </w:rPr>
        <w:t>可控硅投切开关为过零投切，响应时间必须小于10 ms，符合国内JB /T 3283-1983标准。</w:t>
      </w:r>
    </w:p>
    <w:p>
      <w:pPr>
        <w:adjustRightInd w:val="0"/>
        <w:snapToGrid w:val="0"/>
        <w:spacing w:before="203" w:beforeLines="50" w:after="203" w:afterLines="50"/>
        <w:ind w:firstLine="500" w:firstLineChars="200"/>
        <w:rPr>
          <w:rFonts w:ascii="宋体" w:hAnsi="宋体"/>
        </w:rPr>
      </w:pPr>
      <w:r>
        <w:rPr>
          <w:rFonts w:ascii="宋体" w:hAnsi="宋体"/>
        </w:rPr>
        <w:t>功率因数控制器具有以下功能：</w:t>
      </w:r>
    </w:p>
    <w:p>
      <w:pPr>
        <w:adjustRightInd w:val="0"/>
        <w:snapToGrid w:val="0"/>
        <w:spacing w:before="203" w:beforeLines="50" w:after="203" w:afterLines="50"/>
        <w:ind w:firstLine="500" w:firstLineChars="200"/>
        <w:rPr>
          <w:rFonts w:ascii="宋体" w:hAnsi="宋体"/>
        </w:rPr>
      </w:pPr>
      <w:r>
        <w:rPr>
          <w:rFonts w:ascii="宋体" w:hAnsi="宋体"/>
        </w:rPr>
        <w:t>控制方式：智能投切，循环、堆栈等；</w:t>
      </w:r>
    </w:p>
    <w:p>
      <w:pPr>
        <w:adjustRightInd w:val="0"/>
        <w:snapToGrid w:val="0"/>
        <w:spacing w:before="203" w:beforeLines="50" w:after="203" w:afterLines="50"/>
        <w:ind w:firstLine="500" w:firstLineChars="200"/>
        <w:rPr>
          <w:rFonts w:ascii="宋体" w:hAnsi="宋体"/>
        </w:rPr>
      </w:pPr>
      <w:r>
        <w:rPr>
          <w:rFonts w:ascii="宋体" w:hAnsi="宋体"/>
        </w:rPr>
        <w:t>测量及显示功能:目标功率因数、实时功率因数、有功、无功、视在功率、系统电压、频率、温度、投入段数，电容器运行时间和投切次数，以及各次谐波电压畸变率THD_V（31th）和谐波电流畸变率THD_I（31th）等参数；</w:t>
      </w:r>
    </w:p>
    <w:p>
      <w:pPr>
        <w:adjustRightInd w:val="0"/>
        <w:snapToGrid w:val="0"/>
        <w:spacing w:before="203" w:beforeLines="50" w:after="203" w:afterLines="50"/>
        <w:ind w:firstLine="500" w:firstLineChars="200"/>
        <w:rPr>
          <w:rFonts w:ascii="宋体" w:hAnsi="宋体"/>
        </w:rPr>
      </w:pPr>
      <w:r>
        <w:rPr>
          <w:rFonts w:ascii="宋体" w:hAnsi="宋体"/>
        </w:rPr>
        <w:t>报警输出功能：欠/过补偿、欠/过电流、欠/过电压、过温度、谐波电压过大等。</w:t>
      </w:r>
    </w:p>
    <w:p>
      <w:pPr>
        <w:adjustRightInd w:val="0"/>
        <w:snapToGrid w:val="0"/>
        <w:spacing w:before="203" w:beforeLines="50" w:after="203" w:afterLines="50"/>
        <w:ind w:firstLine="500" w:firstLineChars="200"/>
        <w:rPr>
          <w:rFonts w:ascii="宋体" w:hAnsi="宋体"/>
        </w:rPr>
      </w:pPr>
      <w:r>
        <w:rPr>
          <w:rFonts w:ascii="宋体" w:hAnsi="宋体"/>
        </w:rPr>
        <w:t>符合标准VDE0110（IEC 600664-1）;</w:t>
      </w:r>
    </w:p>
    <w:p>
      <w:pPr>
        <w:adjustRightInd w:val="0"/>
        <w:snapToGrid w:val="0"/>
        <w:spacing w:before="203" w:beforeLines="50" w:after="203" w:afterLines="50"/>
        <w:ind w:firstLine="500" w:firstLineChars="200"/>
        <w:rPr>
          <w:rFonts w:ascii="宋体" w:hAnsi="宋体"/>
        </w:rPr>
      </w:pPr>
      <w:bookmarkStart w:id="6827" w:name="_Toc106050526"/>
      <w:r>
        <w:rPr>
          <w:rFonts w:ascii="宋体" w:hAnsi="宋体"/>
        </w:rPr>
        <w:t>VDE0411（IEC 61010-1）;</w:t>
      </w:r>
      <w:bookmarkEnd w:id="6827"/>
    </w:p>
    <w:p>
      <w:pPr>
        <w:adjustRightInd w:val="0"/>
        <w:snapToGrid w:val="0"/>
        <w:spacing w:before="203" w:beforeLines="50" w:after="203" w:afterLines="50"/>
        <w:ind w:firstLine="500" w:firstLineChars="200"/>
        <w:rPr>
          <w:rFonts w:ascii="宋体" w:hAnsi="宋体"/>
        </w:rPr>
      </w:pPr>
      <w:bookmarkStart w:id="6828" w:name="_Toc106050527"/>
      <w:r>
        <w:rPr>
          <w:rFonts w:ascii="宋体" w:hAnsi="宋体"/>
        </w:rPr>
        <w:t>VDE0843（IEC 61326）；</w:t>
      </w:r>
      <w:bookmarkEnd w:id="6828"/>
    </w:p>
    <w:p>
      <w:pPr>
        <w:adjustRightInd w:val="0"/>
        <w:snapToGrid w:val="0"/>
        <w:spacing w:before="203" w:beforeLines="50" w:after="203" w:afterLines="50"/>
        <w:ind w:firstLine="500" w:firstLineChars="200"/>
        <w:rPr>
          <w:rFonts w:ascii="宋体" w:hAnsi="宋体"/>
        </w:rPr>
      </w:pPr>
      <w:r>
        <w:rPr>
          <w:rFonts w:ascii="宋体" w:hAnsi="宋体"/>
        </w:rPr>
        <w:t>及国内JB/T 9663-1999。</w:t>
      </w:r>
    </w:p>
    <w:p>
      <w:pPr>
        <w:adjustRightInd w:val="0"/>
        <w:snapToGrid w:val="0"/>
        <w:spacing w:before="203" w:beforeLines="50" w:after="203" w:afterLines="50"/>
        <w:ind w:firstLine="500" w:firstLineChars="200"/>
        <w:rPr>
          <w:rFonts w:ascii="宋体" w:hAnsi="宋体"/>
        </w:rPr>
      </w:pPr>
      <w:r>
        <w:rPr>
          <w:rFonts w:ascii="宋体" w:hAnsi="宋体"/>
        </w:rPr>
        <w:t>单组投切补偿容量需严格按照设计，自动补偿控制器能保证按设定参数自动投切电容组。无功功率补偿主柜、辅柜均设手动/自动投切选择开关，及手动投切时投切段数选择开关，辅柜自动投切时，与主柜同步。</w:t>
      </w:r>
    </w:p>
    <w:p>
      <w:pPr>
        <w:adjustRightInd w:val="0"/>
        <w:snapToGrid w:val="0"/>
        <w:spacing w:before="203" w:beforeLines="50" w:after="203" w:afterLines="50"/>
        <w:ind w:firstLine="500" w:firstLineChars="200"/>
        <w:rPr>
          <w:rFonts w:ascii="宋体" w:hAnsi="宋体"/>
        </w:rPr>
      </w:pPr>
      <w:r>
        <w:rPr>
          <w:rFonts w:ascii="宋体" w:hAnsi="宋体"/>
        </w:rPr>
        <w:t>供货厂家必需提供中国《国家电力电容器质量监督检验中心》检验报告。</w:t>
      </w:r>
    </w:p>
    <w:p>
      <w:pPr>
        <w:adjustRightInd w:val="0"/>
        <w:snapToGrid w:val="0"/>
        <w:spacing w:before="203" w:beforeLines="50" w:after="203" w:afterLines="50"/>
        <w:ind w:firstLine="500" w:firstLineChars="200"/>
        <w:rPr>
          <w:rFonts w:ascii="宋体" w:hAnsi="宋体"/>
        </w:rPr>
      </w:pPr>
      <w:r>
        <w:rPr>
          <w:rFonts w:ascii="宋体" w:hAnsi="宋体"/>
        </w:rPr>
        <w:t xml:space="preserve"> </w:t>
      </w:r>
      <w:bookmarkStart w:id="6829" w:name="_Toc106050528"/>
      <w:r>
        <w:rPr>
          <w:rFonts w:ascii="宋体" w:hAnsi="宋体"/>
        </w:rPr>
        <w:t>（10）数显表</w:t>
      </w:r>
      <w:bookmarkEnd w:id="6829"/>
    </w:p>
    <w:p>
      <w:pPr>
        <w:adjustRightInd w:val="0"/>
        <w:snapToGrid w:val="0"/>
        <w:spacing w:before="203" w:beforeLines="50" w:after="203" w:afterLines="50"/>
        <w:ind w:firstLine="500" w:firstLineChars="200"/>
        <w:rPr>
          <w:rFonts w:ascii="宋体" w:hAnsi="宋体"/>
        </w:rPr>
      </w:pPr>
      <w:r>
        <w:rPr>
          <w:rFonts w:ascii="宋体" w:hAnsi="宋体"/>
        </w:rPr>
        <w:t>测量功能：根据不同的需要，需分别具有三相/线电压、电流、有功功率、无功功率、功率因数、频率、有功电度、无功电度计量等测量功能。</w:t>
      </w:r>
    </w:p>
    <w:p>
      <w:pPr>
        <w:adjustRightInd w:val="0"/>
        <w:snapToGrid w:val="0"/>
        <w:spacing w:before="203" w:beforeLines="50" w:after="203" w:afterLines="50"/>
        <w:ind w:firstLine="500" w:firstLineChars="200"/>
        <w:rPr>
          <w:rFonts w:ascii="宋体" w:hAnsi="宋体"/>
        </w:rPr>
      </w:pPr>
      <w:r>
        <w:rPr>
          <w:rFonts w:ascii="宋体" w:hAnsi="宋体"/>
        </w:rPr>
        <w:t>测量精度：电流/电压不低于0.5％，其他不低于1％（包括有功及无功电能）。</w:t>
      </w:r>
    </w:p>
    <w:p>
      <w:pPr>
        <w:adjustRightInd w:val="0"/>
        <w:snapToGrid w:val="0"/>
        <w:spacing w:before="203" w:beforeLines="50" w:after="203" w:afterLines="50"/>
        <w:ind w:firstLine="500" w:firstLineChars="200"/>
        <w:rPr>
          <w:rFonts w:ascii="宋体" w:hAnsi="宋体"/>
        </w:rPr>
      </w:pPr>
      <w:r>
        <w:rPr>
          <w:rFonts w:ascii="宋体" w:hAnsi="宋体"/>
        </w:rPr>
        <w:t>通讯：采用MODBUS通讯协议，RS485通讯接口。</w:t>
      </w:r>
    </w:p>
    <w:p>
      <w:pPr>
        <w:adjustRightInd w:val="0"/>
        <w:snapToGrid w:val="0"/>
        <w:spacing w:before="203" w:beforeLines="50" w:after="203" w:afterLines="50"/>
        <w:ind w:firstLine="500" w:firstLineChars="200"/>
        <w:rPr>
          <w:rFonts w:ascii="宋体" w:hAnsi="宋体"/>
        </w:rPr>
      </w:pPr>
      <w:r>
        <w:rPr>
          <w:rFonts w:ascii="宋体" w:hAnsi="宋体"/>
        </w:rPr>
        <w:t>装置电源：装置电源具有强抗干扰能力，仪表设置参数及电能表的值具有掉电保持功能；工作电源为220V.AC，整机装置功耗不大于2W。</w:t>
      </w:r>
    </w:p>
    <w:p>
      <w:pPr>
        <w:adjustRightInd w:val="0"/>
        <w:snapToGrid w:val="0"/>
        <w:spacing w:before="203" w:beforeLines="50" w:after="203" w:afterLines="50"/>
        <w:ind w:firstLine="500" w:firstLineChars="200"/>
        <w:rPr>
          <w:rFonts w:ascii="宋体" w:hAnsi="宋体"/>
        </w:rPr>
      </w:pPr>
      <w:r>
        <w:rPr>
          <w:rFonts w:ascii="宋体" w:hAnsi="宋体"/>
        </w:rPr>
        <w:t>外壳：高强度工程塑料外壳。</w:t>
      </w:r>
    </w:p>
    <w:p>
      <w:pPr>
        <w:adjustRightInd w:val="0"/>
        <w:snapToGrid w:val="0"/>
        <w:spacing w:before="203" w:beforeLines="50" w:after="203" w:afterLines="50"/>
        <w:outlineLvl w:val="0"/>
        <w:rPr>
          <w:rFonts w:ascii="宋体" w:hAnsi="宋体"/>
          <w:b/>
          <w:bCs/>
        </w:rPr>
      </w:pPr>
      <w:bookmarkStart w:id="6830" w:name="_Toc304901251"/>
      <w:bookmarkStart w:id="6831" w:name="_Toc451019074"/>
      <w:bookmarkStart w:id="6832" w:name="_Toc300754203"/>
      <w:bookmarkStart w:id="6833" w:name="_Toc342643014"/>
      <w:bookmarkStart w:id="6834" w:name="_Toc299629492"/>
      <w:bookmarkStart w:id="6835" w:name="_Toc263368953"/>
      <w:bookmarkStart w:id="6836" w:name="_Toc261591178"/>
      <w:bookmarkStart w:id="6837" w:name="_Toc405665298"/>
      <w:bookmarkStart w:id="6838" w:name="_Toc106883756"/>
      <w:r>
        <w:rPr>
          <w:rFonts w:hint="eastAsia" w:ascii="宋体" w:hAnsi="宋体"/>
          <w:b/>
          <w:bCs/>
        </w:rPr>
        <w:t>9.6.6</w:t>
      </w:r>
      <w:r>
        <w:rPr>
          <w:rFonts w:ascii="宋体" w:hAnsi="宋体"/>
          <w:b/>
          <w:bCs/>
        </w:rPr>
        <w:t>试验和检验</w:t>
      </w:r>
      <w:bookmarkEnd w:id="6830"/>
      <w:bookmarkEnd w:id="6831"/>
      <w:bookmarkEnd w:id="6832"/>
      <w:bookmarkEnd w:id="6833"/>
      <w:bookmarkEnd w:id="6834"/>
      <w:bookmarkEnd w:id="6835"/>
      <w:bookmarkEnd w:id="6836"/>
      <w:bookmarkEnd w:id="6837"/>
      <w:bookmarkEnd w:id="6838"/>
    </w:p>
    <w:p>
      <w:pPr>
        <w:adjustRightInd w:val="0"/>
        <w:snapToGrid w:val="0"/>
        <w:spacing w:before="203" w:beforeLines="50" w:after="203" w:afterLines="50"/>
        <w:ind w:firstLine="500" w:firstLineChars="200"/>
        <w:rPr>
          <w:rFonts w:ascii="宋体" w:hAnsi="宋体"/>
        </w:rPr>
      </w:pPr>
      <w:r>
        <w:rPr>
          <w:rFonts w:ascii="宋体" w:hAnsi="宋体"/>
        </w:rPr>
        <w:t>承包商应向业主提供同类开关柜完整的试验报告。</w:t>
      </w:r>
    </w:p>
    <w:p>
      <w:pPr>
        <w:adjustRightInd w:val="0"/>
        <w:snapToGrid w:val="0"/>
        <w:spacing w:before="203" w:beforeLines="50" w:after="203" w:afterLines="50"/>
        <w:ind w:firstLine="500" w:firstLineChars="200"/>
        <w:rPr>
          <w:rFonts w:ascii="宋体" w:hAnsi="宋体"/>
        </w:rPr>
      </w:pPr>
      <w:r>
        <w:rPr>
          <w:rFonts w:ascii="宋体" w:hAnsi="宋体"/>
        </w:rPr>
        <w:t>业主有权根据需要派人对低压开关柜的生产进行监督和检查。对关键的试验项目或全部出厂试验，承包商应事先于10天前通知业主参加，若10天内业主不书面答复，承包商可按程序自行安排。</w:t>
      </w:r>
    </w:p>
    <w:p>
      <w:pPr>
        <w:adjustRightInd w:val="0"/>
        <w:snapToGrid w:val="0"/>
        <w:spacing w:before="203" w:beforeLines="50" w:after="203" w:afterLines="50"/>
        <w:outlineLvl w:val="0"/>
        <w:rPr>
          <w:rFonts w:ascii="宋体" w:hAnsi="宋体"/>
          <w:b/>
          <w:bCs/>
        </w:rPr>
      </w:pPr>
      <w:bookmarkStart w:id="6839" w:name="_Toc300754204"/>
      <w:bookmarkStart w:id="6840" w:name="_Toc342643015"/>
      <w:bookmarkStart w:id="6841" w:name="_Toc405665299"/>
      <w:bookmarkStart w:id="6842" w:name="_Toc261591179"/>
      <w:bookmarkStart w:id="6843" w:name="_Toc299629493"/>
      <w:bookmarkStart w:id="6844" w:name="_Toc451019075"/>
      <w:bookmarkStart w:id="6845" w:name="_Toc304901252"/>
      <w:bookmarkStart w:id="6846" w:name="_Toc263368954"/>
      <w:bookmarkStart w:id="6847" w:name="_Toc106883757"/>
      <w:r>
        <w:rPr>
          <w:rFonts w:hint="eastAsia" w:ascii="宋体" w:hAnsi="宋体"/>
          <w:b/>
          <w:bCs/>
        </w:rPr>
        <w:t>9.6.7</w:t>
      </w:r>
      <w:r>
        <w:rPr>
          <w:rFonts w:ascii="宋体" w:hAnsi="宋体"/>
          <w:b/>
          <w:bCs/>
        </w:rPr>
        <w:t>质量保证</w:t>
      </w:r>
      <w:bookmarkEnd w:id="6839"/>
      <w:bookmarkEnd w:id="6840"/>
      <w:bookmarkEnd w:id="6841"/>
      <w:bookmarkEnd w:id="6842"/>
      <w:bookmarkEnd w:id="6843"/>
      <w:bookmarkEnd w:id="6844"/>
      <w:bookmarkEnd w:id="6845"/>
      <w:bookmarkEnd w:id="6846"/>
      <w:bookmarkEnd w:id="6847"/>
    </w:p>
    <w:p>
      <w:pPr>
        <w:adjustRightInd w:val="0"/>
        <w:snapToGrid w:val="0"/>
        <w:spacing w:before="203" w:beforeLines="50" w:after="203" w:afterLines="50"/>
        <w:ind w:firstLine="500" w:firstLineChars="200"/>
        <w:rPr>
          <w:rFonts w:ascii="宋体" w:hAnsi="宋体"/>
        </w:rPr>
      </w:pPr>
      <w:r>
        <w:rPr>
          <w:rFonts w:ascii="宋体" w:hAnsi="宋体"/>
        </w:rPr>
        <w:t>（1） 质量体系</w:t>
      </w:r>
    </w:p>
    <w:p>
      <w:pPr>
        <w:adjustRightInd w:val="0"/>
        <w:snapToGrid w:val="0"/>
        <w:spacing w:before="203" w:beforeLines="50" w:after="203" w:afterLines="50"/>
        <w:ind w:firstLine="500" w:firstLineChars="200"/>
        <w:rPr>
          <w:rFonts w:ascii="宋体" w:hAnsi="宋体"/>
        </w:rPr>
      </w:pPr>
      <w:r>
        <w:rPr>
          <w:rFonts w:ascii="宋体" w:hAnsi="宋体"/>
        </w:rPr>
        <w:t>a合同签订后，承包商应立即在开关柜生产中使用的原材料，元器件的采购及开关柜的设计、制造、检验、包装、贮运、交货等全过程执行GB/T9000/1-1994质量管理和质量保证标准及GB/T19001-1994—GB／T19004-1994质量体系，质量管理及质量体系要素国家标准。</w:t>
      </w:r>
    </w:p>
    <w:p>
      <w:pPr>
        <w:adjustRightInd w:val="0"/>
        <w:snapToGrid w:val="0"/>
        <w:spacing w:before="203" w:beforeLines="50" w:after="203" w:afterLines="50"/>
        <w:ind w:firstLine="500" w:firstLineChars="200"/>
        <w:rPr>
          <w:rFonts w:ascii="宋体" w:hAnsi="宋体"/>
        </w:rPr>
      </w:pPr>
      <w:r>
        <w:rPr>
          <w:rFonts w:ascii="宋体" w:hAnsi="宋体"/>
        </w:rPr>
        <w:t>b 第（a）项的规定同时适用于承包商的供货商。</w:t>
      </w:r>
    </w:p>
    <w:p>
      <w:pPr>
        <w:adjustRightInd w:val="0"/>
        <w:snapToGrid w:val="0"/>
        <w:spacing w:before="203" w:beforeLines="50" w:after="203" w:afterLines="50"/>
        <w:ind w:firstLine="500" w:firstLineChars="200"/>
        <w:rPr>
          <w:rFonts w:ascii="宋体" w:hAnsi="宋体"/>
        </w:rPr>
      </w:pPr>
      <w:r>
        <w:rPr>
          <w:rFonts w:ascii="宋体" w:hAnsi="宋体"/>
        </w:rPr>
        <w:t>（2） 质量保证</w:t>
      </w:r>
    </w:p>
    <w:p>
      <w:pPr>
        <w:adjustRightInd w:val="0"/>
        <w:snapToGrid w:val="0"/>
        <w:spacing w:before="203" w:beforeLines="50" w:after="203" w:afterLines="50"/>
        <w:ind w:firstLine="500" w:firstLineChars="200"/>
        <w:rPr>
          <w:rFonts w:ascii="宋体" w:hAnsi="宋体"/>
        </w:rPr>
      </w:pPr>
      <w:r>
        <w:rPr>
          <w:rFonts w:ascii="宋体" w:hAnsi="宋体"/>
        </w:rPr>
        <w:t>a承包商应提供国家权威机关颁发的执行GB/T19000.1及GB/T19001—19004标准的认证文件及质量手册。</w:t>
      </w:r>
    </w:p>
    <w:p>
      <w:pPr>
        <w:adjustRightInd w:val="0"/>
        <w:snapToGrid w:val="0"/>
        <w:spacing w:before="203" w:beforeLines="50" w:after="203" w:afterLines="50"/>
        <w:ind w:firstLine="500" w:firstLineChars="200"/>
        <w:rPr>
          <w:rFonts w:ascii="宋体" w:hAnsi="宋体"/>
        </w:rPr>
      </w:pPr>
      <w:r>
        <w:rPr>
          <w:rFonts w:ascii="宋体" w:hAnsi="宋体"/>
        </w:rPr>
        <w:t>b承包商应随设备提供从原材料，元器件采购到生产过程的主要质量记录、检验、试验、验收报告等文件。</w:t>
      </w:r>
    </w:p>
    <w:p>
      <w:pPr>
        <w:adjustRightInd w:val="0"/>
        <w:snapToGrid w:val="0"/>
        <w:spacing w:before="203" w:beforeLines="50" w:after="203" w:afterLines="50"/>
        <w:ind w:firstLine="500" w:firstLineChars="200"/>
        <w:rPr>
          <w:rFonts w:ascii="宋体" w:hAnsi="宋体"/>
        </w:rPr>
      </w:pPr>
      <w:r>
        <w:rPr>
          <w:rFonts w:ascii="宋体" w:hAnsi="宋体"/>
        </w:rPr>
        <w:t>c 承包商应提供元器件的产品合格证、样本、安装使用说明书及适用标准和规程的清单。</w:t>
      </w:r>
    </w:p>
    <w:p>
      <w:pPr>
        <w:adjustRightInd w:val="0"/>
        <w:snapToGrid w:val="0"/>
        <w:spacing w:before="203" w:beforeLines="50" w:after="203" w:afterLines="50"/>
        <w:ind w:firstLine="500" w:firstLineChars="200"/>
        <w:rPr>
          <w:rFonts w:ascii="宋体" w:hAnsi="宋体"/>
        </w:rPr>
      </w:pPr>
      <w:bookmarkStart w:id="6848" w:name="_Toc106050531"/>
      <w:r>
        <w:rPr>
          <w:rFonts w:ascii="宋体" w:hAnsi="宋体"/>
        </w:rPr>
        <w:t>（3）责任</w:t>
      </w:r>
      <w:bookmarkEnd w:id="6848"/>
    </w:p>
    <w:p>
      <w:pPr>
        <w:adjustRightInd w:val="0"/>
        <w:snapToGrid w:val="0"/>
        <w:spacing w:before="203" w:beforeLines="50" w:after="203" w:afterLines="50"/>
        <w:ind w:firstLine="500" w:firstLineChars="200"/>
        <w:rPr>
          <w:rFonts w:ascii="宋体" w:hAnsi="宋体"/>
        </w:rPr>
      </w:pPr>
      <w:r>
        <w:rPr>
          <w:rFonts w:ascii="宋体" w:hAnsi="宋体"/>
        </w:rPr>
        <w:t>a 设备必须与合同、图纸资料相符，并能满足现场安装、考核、试运、操作、维护的要求。</w:t>
      </w:r>
    </w:p>
    <w:p>
      <w:pPr>
        <w:adjustRightInd w:val="0"/>
        <w:snapToGrid w:val="0"/>
        <w:spacing w:before="203" w:beforeLines="50" w:after="203" w:afterLines="50"/>
        <w:ind w:firstLine="500" w:firstLineChars="200"/>
        <w:rPr>
          <w:rFonts w:ascii="宋体" w:hAnsi="宋体"/>
        </w:rPr>
      </w:pPr>
      <w:r>
        <w:rPr>
          <w:rFonts w:ascii="宋体" w:hAnsi="宋体"/>
        </w:rPr>
        <w:t>b 质量保证期为设备到货验收安装投运后12个月。保证期内由于承包商的原因（如选材不当、设计错误、制造不良、组装不好等），致使设备到现场在安装和运行过程中出现缺陷和损坏时，承包商应在24小时内自费到现场免费修理或更换。</w:t>
      </w:r>
    </w:p>
    <w:p>
      <w:pPr>
        <w:adjustRightInd w:val="0"/>
        <w:snapToGrid w:val="0"/>
        <w:spacing w:before="203" w:beforeLines="50" w:after="203" w:afterLines="50"/>
        <w:outlineLvl w:val="0"/>
        <w:rPr>
          <w:rFonts w:ascii="宋体" w:hAnsi="宋体"/>
          <w:b/>
          <w:bCs/>
        </w:rPr>
      </w:pPr>
      <w:bookmarkStart w:id="6849" w:name="_Toc342643016"/>
      <w:bookmarkStart w:id="6850" w:name="_Toc405665300"/>
      <w:bookmarkStart w:id="6851" w:name="_Toc299629494"/>
      <w:bookmarkStart w:id="6852" w:name="_Toc304901253"/>
      <w:bookmarkStart w:id="6853" w:name="_Toc300754205"/>
      <w:bookmarkStart w:id="6854" w:name="_Toc263368955"/>
      <w:bookmarkStart w:id="6855" w:name="_Toc261591180"/>
      <w:bookmarkStart w:id="6856" w:name="_Toc451019076"/>
      <w:bookmarkStart w:id="6857" w:name="_Toc106883758"/>
      <w:r>
        <w:rPr>
          <w:rFonts w:hint="eastAsia" w:ascii="宋体" w:hAnsi="宋体"/>
          <w:b/>
          <w:bCs/>
        </w:rPr>
        <w:t>9.6.8</w:t>
      </w:r>
      <w:r>
        <w:rPr>
          <w:rFonts w:ascii="宋体" w:hAnsi="宋体"/>
          <w:b/>
          <w:bCs/>
        </w:rPr>
        <w:t>铭牌和标志</w:t>
      </w:r>
      <w:bookmarkEnd w:id="6849"/>
      <w:bookmarkEnd w:id="6850"/>
      <w:bookmarkEnd w:id="6851"/>
      <w:bookmarkEnd w:id="6852"/>
      <w:bookmarkEnd w:id="6853"/>
      <w:bookmarkEnd w:id="6854"/>
      <w:bookmarkEnd w:id="6855"/>
      <w:bookmarkEnd w:id="6856"/>
      <w:bookmarkEnd w:id="6857"/>
    </w:p>
    <w:p>
      <w:pPr>
        <w:adjustRightInd w:val="0"/>
        <w:snapToGrid w:val="0"/>
        <w:spacing w:before="203" w:beforeLines="50" w:after="203" w:afterLines="50"/>
        <w:ind w:firstLine="500" w:firstLineChars="200"/>
        <w:rPr>
          <w:rFonts w:ascii="宋体" w:hAnsi="宋体"/>
        </w:rPr>
      </w:pPr>
      <w:r>
        <w:rPr>
          <w:rFonts w:ascii="宋体" w:hAnsi="宋体"/>
        </w:rPr>
        <w:t>（1） 每一台开关（配电）柜均应设一个不锈钢铭牌，铭牌应装于每一台柜正面。</w:t>
      </w:r>
    </w:p>
    <w:p>
      <w:pPr>
        <w:adjustRightInd w:val="0"/>
        <w:snapToGrid w:val="0"/>
        <w:spacing w:before="203" w:beforeLines="50" w:after="203" w:afterLines="50"/>
        <w:ind w:firstLine="500" w:firstLineChars="200"/>
        <w:rPr>
          <w:rFonts w:ascii="宋体" w:hAnsi="宋体"/>
        </w:rPr>
      </w:pPr>
      <w:r>
        <w:rPr>
          <w:rFonts w:ascii="宋体" w:hAnsi="宋体"/>
        </w:rPr>
        <w:t>（2）柜内的电器元件，应在尽可能靠近元件的上方标志文字符号，每个电路的导线端头及每一个端子也应标志相应的文字符号。文字符号应用耐擦的颜料书写或打印，所有文字符号应与使用的接线图上的文字符号一致。</w:t>
      </w:r>
    </w:p>
    <w:p>
      <w:pPr>
        <w:adjustRightInd w:val="0"/>
        <w:snapToGrid w:val="0"/>
        <w:spacing w:before="203" w:beforeLines="50" w:after="203" w:afterLines="50"/>
        <w:outlineLvl w:val="0"/>
        <w:rPr>
          <w:rFonts w:ascii="宋体" w:hAnsi="宋体"/>
          <w:b/>
          <w:bCs/>
        </w:rPr>
      </w:pPr>
      <w:bookmarkStart w:id="6858" w:name="_Toc261591181"/>
      <w:bookmarkStart w:id="6859" w:name="_Toc304901254"/>
      <w:bookmarkStart w:id="6860" w:name="_Toc300754206"/>
      <w:bookmarkStart w:id="6861" w:name="_Toc299629495"/>
      <w:bookmarkStart w:id="6862" w:name="_Toc342643017"/>
      <w:bookmarkStart w:id="6863" w:name="_Toc405665301"/>
      <w:bookmarkStart w:id="6864" w:name="_Toc451019077"/>
      <w:bookmarkStart w:id="6865" w:name="_Toc263368956"/>
      <w:bookmarkStart w:id="6866" w:name="_Toc106883759"/>
      <w:r>
        <w:rPr>
          <w:rFonts w:hint="eastAsia" w:ascii="宋体" w:hAnsi="宋体"/>
          <w:b/>
          <w:bCs/>
        </w:rPr>
        <w:t>9.6.9</w:t>
      </w:r>
      <w:r>
        <w:rPr>
          <w:rFonts w:ascii="宋体" w:hAnsi="宋体"/>
          <w:b/>
          <w:bCs/>
        </w:rPr>
        <w:t>供货范围</w:t>
      </w:r>
      <w:bookmarkEnd w:id="6858"/>
      <w:bookmarkEnd w:id="6859"/>
      <w:bookmarkEnd w:id="6860"/>
      <w:bookmarkEnd w:id="6861"/>
      <w:bookmarkEnd w:id="6862"/>
      <w:bookmarkEnd w:id="6863"/>
      <w:bookmarkEnd w:id="6864"/>
      <w:bookmarkEnd w:id="6865"/>
      <w:bookmarkEnd w:id="6866"/>
    </w:p>
    <w:p>
      <w:pPr>
        <w:adjustRightInd w:val="0"/>
        <w:snapToGrid w:val="0"/>
        <w:spacing w:before="203" w:beforeLines="50" w:after="203" w:afterLines="50"/>
        <w:ind w:firstLine="500" w:firstLineChars="200"/>
        <w:rPr>
          <w:rFonts w:ascii="宋体" w:hAnsi="宋体"/>
        </w:rPr>
      </w:pPr>
      <w:r>
        <w:rPr>
          <w:rFonts w:ascii="宋体" w:hAnsi="宋体"/>
        </w:rPr>
        <w:t>（1）组合式低压开关柜、动力配电柜及主母线。</w:t>
      </w:r>
    </w:p>
    <w:p>
      <w:pPr>
        <w:adjustRightInd w:val="0"/>
        <w:snapToGrid w:val="0"/>
        <w:spacing w:before="203" w:beforeLines="50" w:after="203" w:afterLines="50"/>
        <w:ind w:firstLine="500" w:firstLineChars="200"/>
        <w:rPr>
          <w:rFonts w:ascii="宋体" w:hAnsi="宋体"/>
        </w:rPr>
      </w:pPr>
      <w:r>
        <w:rPr>
          <w:rFonts w:ascii="宋体" w:hAnsi="宋体"/>
        </w:rPr>
        <w:t>（2）备品备件。</w:t>
      </w:r>
    </w:p>
    <w:p>
      <w:pPr>
        <w:adjustRightInd w:val="0"/>
        <w:snapToGrid w:val="0"/>
        <w:spacing w:before="203" w:beforeLines="50" w:after="203" w:afterLines="50"/>
        <w:ind w:firstLine="500" w:firstLineChars="200"/>
        <w:rPr>
          <w:rFonts w:ascii="宋体" w:hAnsi="宋体"/>
        </w:rPr>
      </w:pPr>
      <w:r>
        <w:rPr>
          <w:rFonts w:ascii="宋体" w:hAnsi="宋体"/>
        </w:rPr>
        <w:t>（3）专用工具。</w:t>
      </w:r>
    </w:p>
    <w:p>
      <w:pPr>
        <w:adjustRightInd w:val="0"/>
        <w:snapToGrid w:val="0"/>
        <w:spacing w:before="203" w:beforeLines="50" w:after="203" w:afterLines="50"/>
        <w:ind w:firstLine="500" w:firstLineChars="200"/>
        <w:rPr>
          <w:rFonts w:ascii="宋体" w:hAnsi="宋体"/>
        </w:rPr>
      </w:pPr>
      <w:r>
        <w:rPr>
          <w:rFonts w:ascii="宋体" w:hAnsi="宋体"/>
        </w:rPr>
        <w:t>（4）本技术条件特别要求的项目。</w:t>
      </w:r>
    </w:p>
    <w:p>
      <w:pPr>
        <w:adjustRightInd w:val="0"/>
        <w:snapToGrid w:val="0"/>
        <w:spacing w:before="203" w:beforeLines="50" w:after="203" w:afterLines="50"/>
        <w:ind w:firstLine="500" w:firstLineChars="200"/>
        <w:rPr>
          <w:rFonts w:ascii="宋体" w:hAnsi="宋体"/>
        </w:rPr>
      </w:pPr>
      <w:r>
        <w:rPr>
          <w:rFonts w:ascii="宋体" w:hAnsi="宋体"/>
        </w:rPr>
        <w:t>注：组合式低压开关柜及动力配电柜数量、规格详见订货图。</w:t>
      </w:r>
    </w:p>
    <w:p>
      <w:pPr>
        <w:adjustRightInd w:val="0"/>
        <w:snapToGrid w:val="0"/>
        <w:spacing w:before="203" w:beforeLines="50" w:after="203" w:afterLines="50"/>
        <w:outlineLvl w:val="0"/>
        <w:rPr>
          <w:rFonts w:ascii="宋体" w:hAnsi="宋体"/>
          <w:b/>
          <w:bCs/>
        </w:rPr>
      </w:pPr>
      <w:bookmarkStart w:id="6867" w:name="_Toc263368957"/>
      <w:bookmarkStart w:id="6868" w:name="_Toc299629496"/>
      <w:bookmarkStart w:id="6869" w:name="_Toc451019078"/>
      <w:bookmarkStart w:id="6870" w:name="_Toc261591182"/>
      <w:bookmarkStart w:id="6871" w:name="_Toc300754207"/>
      <w:bookmarkStart w:id="6872" w:name="_Toc342643018"/>
      <w:bookmarkStart w:id="6873" w:name="_Toc304901255"/>
      <w:bookmarkStart w:id="6874" w:name="_Toc405665302"/>
      <w:bookmarkStart w:id="6875" w:name="_Toc106883760"/>
      <w:r>
        <w:rPr>
          <w:rFonts w:hint="eastAsia" w:ascii="宋体" w:hAnsi="宋体"/>
          <w:b/>
          <w:bCs/>
        </w:rPr>
        <w:t>9.6.10</w:t>
      </w:r>
      <w:r>
        <w:rPr>
          <w:rFonts w:ascii="宋体" w:hAnsi="宋体"/>
          <w:b/>
          <w:bCs/>
        </w:rPr>
        <w:t>包装和运输</w:t>
      </w:r>
      <w:bookmarkEnd w:id="6867"/>
      <w:bookmarkEnd w:id="6868"/>
      <w:bookmarkEnd w:id="6869"/>
      <w:bookmarkEnd w:id="6870"/>
      <w:bookmarkEnd w:id="6871"/>
      <w:bookmarkEnd w:id="6872"/>
      <w:bookmarkEnd w:id="6873"/>
      <w:bookmarkEnd w:id="6874"/>
      <w:bookmarkEnd w:id="6875"/>
    </w:p>
    <w:p>
      <w:pPr>
        <w:adjustRightInd w:val="0"/>
        <w:snapToGrid w:val="0"/>
        <w:spacing w:before="203" w:beforeLines="50" w:after="203" w:afterLines="50"/>
        <w:ind w:firstLine="500" w:firstLineChars="200"/>
        <w:rPr>
          <w:rFonts w:ascii="宋体" w:hAnsi="宋体"/>
        </w:rPr>
      </w:pPr>
      <w:r>
        <w:rPr>
          <w:rFonts w:ascii="宋体" w:hAnsi="宋体"/>
        </w:rPr>
        <w:t>（1） 包装和运输应符合GB7251-87标准及JB3084-82标准的规定。</w:t>
      </w:r>
    </w:p>
    <w:p>
      <w:pPr>
        <w:adjustRightInd w:val="0"/>
        <w:snapToGrid w:val="0"/>
        <w:spacing w:before="203" w:beforeLines="50" w:after="203" w:afterLines="50"/>
        <w:ind w:firstLine="500" w:firstLineChars="200"/>
        <w:rPr>
          <w:rFonts w:ascii="宋体" w:hAnsi="宋体"/>
        </w:rPr>
      </w:pPr>
      <w:r>
        <w:rPr>
          <w:rFonts w:ascii="宋体" w:hAnsi="宋体"/>
        </w:rPr>
        <w:t>（2） 货物在发运前一周，承包商应将发运日期、货物名称、箱号、件数、每件重量及体积、合同号、运输方式、总重量、总体积、储运注意事项等信息，以电报、传真、电传等方式通知业主，以便业主及时安排接运和贮存。</w:t>
      </w:r>
    </w:p>
    <w:p>
      <w:pPr>
        <w:adjustRightInd w:val="0"/>
        <w:snapToGrid w:val="0"/>
        <w:spacing w:before="203" w:beforeLines="50" w:after="203" w:afterLines="50"/>
        <w:outlineLvl w:val="0"/>
        <w:rPr>
          <w:rFonts w:ascii="宋体" w:hAnsi="宋体"/>
          <w:b/>
          <w:bCs/>
        </w:rPr>
      </w:pPr>
      <w:bookmarkStart w:id="6876" w:name="_Toc304901256"/>
      <w:bookmarkStart w:id="6877" w:name="_Toc263368958"/>
      <w:bookmarkStart w:id="6878" w:name="_Toc261591184"/>
      <w:bookmarkStart w:id="6879" w:name="_Toc299629497"/>
      <w:bookmarkStart w:id="6880" w:name="_Toc451019079"/>
      <w:bookmarkStart w:id="6881" w:name="_Toc342643019"/>
      <w:bookmarkStart w:id="6882" w:name="_Toc300754208"/>
      <w:bookmarkStart w:id="6883" w:name="_Toc405665303"/>
      <w:bookmarkStart w:id="6884" w:name="_Toc106883761"/>
      <w:r>
        <w:rPr>
          <w:rFonts w:hint="eastAsia" w:ascii="宋体" w:hAnsi="宋体"/>
          <w:b/>
          <w:bCs/>
        </w:rPr>
        <w:t>9.6.11</w:t>
      </w:r>
      <w:r>
        <w:rPr>
          <w:rFonts w:ascii="宋体" w:hAnsi="宋体"/>
          <w:b/>
          <w:bCs/>
        </w:rPr>
        <w:t>现场服务</w:t>
      </w:r>
      <w:bookmarkEnd w:id="6876"/>
      <w:bookmarkEnd w:id="6877"/>
      <w:bookmarkEnd w:id="6878"/>
      <w:bookmarkEnd w:id="6879"/>
      <w:bookmarkEnd w:id="6880"/>
      <w:bookmarkEnd w:id="6881"/>
      <w:bookmarkEnd w:id="6882"/>
      <w:bookmarkEnd w:id="6883"/>
      <w:bookmarkEnd w:id="6884"/>
    </w:p>
    <w:p>
      <w:pPr>
        <w:adjustRightInd w:val="0"/>
        <w:snapToGrid w:val="0"/>
        <w:spacing w:before="203" w:beforeLines="50" w:after="203" w:afterLines="50"/>
        <w:ind w:firstLine="500" w:firstLineChars="200"/>
        <w:rPr>
          <w:rFonts w:ascii="宋体" w:hAnsi="宋体"/>
        </w:rPr>
      </w:pPr>
      <w:r>
        <w:rPr>
          <w:rFonts w:ascii="宋体" w:hAnsi="宋体"/>
        </w:rPr>
        <w:t>按标书</w:t>
      </w:r>
      <w:bookmarkStart w:id="6885" w:name="_Toc261591185"/>
      <w:r>
        <w:rPr>
          <w:rFonts w:ascii="宋体" w:hAnsi="宋体"/>
        </w:rPr>
        <w:t>有关章节的规定执行。</w:t>
      </w:r>
    </w:p>
    <w:p>
      <w:pPr>
        <w:adjustRightInd w:val="0"/>
        <w:snapToGrid w:val="0"/>
        <w:spacing w:before="203" w:beforeLines="50" w:after="203" w:afterLines="50"/>
        <w:outlineLvl w:val="0"/>
        <w:rPr>
          <w:rFonts w:ascii="宋体" w:hAnsi="宋体"/>
          <w:b/>
          <w:bCs/>
        </w:rPr>
      </w:pPr>
      <w:bookmarkStart w:id="6886" w:name="_Toc451019080"/>
      <w:bookmarkStart w:id="6887" w:name="_Toc304901257"/>
      <w:bookmarkStart w:id="6888" w:name="_Toc405665304"/>
      <w:bookmarkStart w:id="6889" w:name="_Toc299629498"/>
      <w:bookmarkStart w:id="6890" w:name="_Toc300754209"/>
      <w:bookmarkStart w:id="6891" w:name="_Toc263368959"/>
      <w:bookmarkStart w:id="6892" w:name="_Toc342643020"/>
      <w:bookmarkStart w:id="6893" w:name="_Toc106883762"/>
      <w:r>
        <w:rPr>
          <w:rFonts w:hint="eastAsia" w:ascii="宋体" w:hAnsi="宋体"/>
          <w:b/>
          <w:bCs/>
        </w:rPr>
        <w:t>9.6.12</w:t>
      </w:r>
      <w:r>
        <w:rPr>
          <w:rFonts w:ascii="宋体" w:hAnsi="宋体"/>
          <w:b/>
          <w:bCs/>
        </w:rPr>
        <w:t>专用工具及备品备件</w:t>
      </w:r>
      <w:bookmarkEnd w:id="6885"/>
      <w:bookmarkEnd w:id="6886"/>
      <w:bookmarkEnd w:id="6887"/>
      <w:bookmarkEnd w:id="6888"/>
      <w:bookmarkEnd w:id="6889"/>
      <w:bookmarkEnd w:id="6890"/>
      <w:bookmarkEnd w:id="6891"/>
      <w:bookmarkEnd w:id="6892"/>
      <w:bookmarkEnd w:id="6893"/>
    </w:p>
    <w:p>
      <w:pPr>
        <w:adjustRightInd w:val="0"/>
        <w:snapToGrid w:val="0"/>
        <w:spacing w:before="203" w:beforeLines="50" w:after="203" w:afterLines="50"/>
        <w:ind w:firstLine="500" w:firstLineChars="200"/>
        <w:rPr>
          <w:rFonts w:ascii="宋体" w:hAnsi="宋体"/>
        </w:rPr>
      </w:pPr>
      <w:r>
        <w:rPr>
          <w:rFonts w:ascii="宋体" w:hAnsi="宋体"/>
        </w:rPr>
        <w:t>（1）提供信号灯罩及易损坏包装。</w:t>
      </w:r>
    </w:p>
    <w:p>
      <w:pPr>
        <w:adjustRightInd w:val="0"/>
        <w:snapToGrid w:val="0"/>
        <w:spacing w:before="203" w:beforeLines="50" w:after="203" w:afterLines="50"/>
        <w:ind w:firstLine="500" w:firstLineChars="200"/>
        <w:rPr>
          <w:rFonts w:ascii="宋体" w:hAnsi="宋体"/>
        </w:rPr>
      </w:pPr>
      <w:r>
        <w:rPr>
          <w:rFonts w:ascii="宋体" w:hAnsi="宋体"/>
        </w:rPr>
        <w:t>（2）各种同类型的把手配6把。</w:t>
      </w:r>
    </w:p>
    <w:p>
      <w:pPr>
        <w:adjustRightInd w:val="0"/>
        <w:snapToGrid w:val="0"/>
        <w:spacing w:before="203" w:beforeLines="50" w:after="203" w:afterLines="50"/>
        <w:ind w:firstLine="500" w:firstLineChars="200"/>
        <w:rPr>
          <w:rFonts w:ascii="宋体" w:hAnsi="宋体"/>
        </w:rPr>
      </w:pPr>
      <w:r>
        <w:rPr>
          <w:rFonts w:ascii="宋体" w:hAnsi="宋体"/>
        </w:rPr>
        <w:t>（3）二次端子专用螺丝刀6把。</w:t>
      </w:r>
    </w:p>
    <w:p>
      <w:pPr>
        <w:adjustRightInd w:val="0"/>
        <w:snapToGrid w:val="0"/>
        <w:spacing w:before="203" w:beforeLines="50" w:after="203" w:afterLines="50"/>
        <w:ind w:firstLine="500" w:firstLineChars="200"/>
        <w:rPr>
          <w:rFonts w:ascii="宋体" w:hAnsi="宋体"/>
        </w:rPr>
      </w:pPr>
      <w:r>
        <w:rPr>
          <w:rFonts w:ascii="宋体" w:hAnsi="宋体"/>
        </w:rPr>
        <w:t>（4）二次端子编号管1 圈。</w:t>
      </w:r>
    </w:p>
    <w:p>
      <w:pPr>
        <w:adjustRightInd w:val="0"/>
        <w:snapToGrid w:val="0"/>
        <w:spacing w:before="203" w:beforeLines="50" w:after="203" w:afterLines="50"/>
        <w:ind w:firstLine="500" w:firstLineChars="200"/>
        <w:rPr>
          <w:rFonts w:ascii="宋体" w:hAnsi="宋体"/>
        </w:rPr>
      </w:pPr>
      <w:r>
        <w:rPr>
          <w:rFonts w:ascii="宋体" w:hAnsi="宋体"/>
        </w:rPr>
        <w:t>所有备品备件应在形式、规范性能等方面与原装元器件具有完全的互换性。</w:t>
      </w:r>
    </w:p>
    <w:p>
      <w:pPr>
        <w:keepNext/>
        <w:tabs>
          <w:tab w:val="left" w:pos="993"/>
        </w:tabs>
        <w:adjustRightInd w:val="0"/>
        <w:snapToGrid w:val="0"/>
        <w:spacing w:before="203" w:beforeLines="50" w:after="203" w:afterLines="50"/>
        <w:outlineLvl w:val="2"/>
        <w:rPr>
          <w:rFonts w:ascii="宋体" w:hAnsi="宋体"/>
          <w:b/>
          <w:bCs/>
        </w:rPr>
      </w:pPr>
      <w:bookmarkStart w:id="6894" w:name="_Toc456692016"/>
      <w:bookmarkStart w:id="6895" w:name="_Toc451019088"/>
      <w:bookmarkStart w:id="6896" w:name="_Toc342643028"/>
      <w:bookmarkStart w:id="6897" w:name="_Toc405665312"/>
      <w:bookmarkStart w:id="6898" w:name="_Toc276993807"/>
      <w:bookmarkStart w:id="6899" w:name="_Toc106883763"/>
      <w:r>
        <w:rPr>
          <w:rFonts w:hint="eastAsia" w:ascii="宋体" w:hAnsi="宋体"/>
          <w:b/>
          <w:bCs/>
        </w:rPr>
        <w:t>9.7</w:t>
      </w:r>
      <w:r>
        <w:rPr>
          <w:rFonts w:ascii="宋体" w:hAnsi="宋体"/>
          <w:b/>
          <w:bCs/>
        </w:rPr>
        <w:t>就地电控箱</w:t>
      </w:r>
      <w:bookmarkEnd w:id="6894"/>
      <w:bookmarkEnd w:id="6895"/>
      <w:bookmarkEnd w:id="6896"/>
      <w:bookmarkEnd w:id="6897"/>
      <w:bookmarkEnd w:id="6898"/>
      <w:bookmarkEnd w:id="6899"/>
    </w:p>
    <w:p>
      <w:pPr>
        <w:adjustRightInd w:val="0"/>
        <w:snapToGrid w:val="0"/>
        <w:spacing w:before="203" w:beforeLines="50" w:after="203" w:afterLines="50"/>
        <w:rPr>
          <w:rFonts w:ascii="宋体" w:hAnsi="宋体"/>
          <w:b/>
          <w:bCs/>
        </w:rPr>
      </w:pPr>
      <w:bookmarkStart w:id="6900" w:name="_Toc276993808"/>
      <w:bookmarkStart w:id="6901" w:name="_Toc342643029"/>
      <w:bookmarkStart w:id="6902" w:name="_Toc405665313"/>
      <w:bookmarkStart w:id="6903" w:name="_Toc451019089"/>
      <w:bookmarkStart w:id="6904" w:name="_Toc228291771"/>
      <w:bookmarkStart w:id="6905" w:name="_Toc243990956"/>
      <w:bookmarkStart w:id="6906" w:name="_Toc239837638"/>
      <w:bookmarkStart w:id="6907" w:name="_Toc163638066"/>
      <w:r>
        <w:rPr>
          <w:rFonts w:hint="eastAsia" w:ascii="宋体" w:hAnsi="宋体"/>
          <w:b/>
          <w:bCs/>
        </w:rPr>
        <w:t>9.7.1</w:t>
      </w:r>
      <w:r>
        <w:rPr>
          <w:rFonts w:ascii="宋体" w:hAnsi="宋体"/>
          <w:b/>
          <w:bCs/>
        </w:rPr>
        <w:t>一般要求</w:t>
      </w:r>
      <w:bookmarkEnd w:id="6900"/>
      <w:bookmarkEnd w:id="6901"/>
      <w:bookmarkEnd w:id="6902"/>
      <w:bookmarkEnd w:id="6903"/>
      <w:bookmarkEnd w:id="6904"/>
      <w:bookmarkEnd w:id="6905"/>
      <w:bookmarkEnd w:id="6906"/>
      <w:bookmarkEnd w:id="6907"/>
    </w:p>
    <w:p>
      <w:pPr>
        <w:adjustRightInd w:val="0"/>
        <w:snapToGrid w:val="0"/>
        <w:spacing w:before="203" w:beforeLines="50" w:after="203" w:afterLines="50"/>
        <w:rPr>
          <w:rFonts w:ascii="宋体" w:hAnsi="宋体"/>
        </w:rPr>
      </w:pPr>
      <w:r>
        <w:rPr>
          <w:rFonts w:hint="eastAsia" w:ascii="宋体" w:hAnsi="宋体"/>
          <w:b/>
        </w:rPr>
        <w:t>9</w:t>
      </w:r>
      <w:r>
        <w:rPr>
          <w:rFonts w:ascii="宋体" w:hAnsi="宋体"/>
          <w:b/>
        </w:rPr>
        <w:t>.7.1.1</w:t>
      </w:r>
      <w:r>
        <w:rPr>
          <w:rFonts w:ascii="宋体" w:hAnsi="宋体"/>
        </w:rPr>
        <w:t xml:space="preserve">  工程中有部分属工艺设备配套的就地电控箱，该部分就地电控箱不在本标书采购范围内。</w:t>
      </w:r>
    </w:p>
    <w:p>
      <w:pPr>
        <w:adjustRightInd w:val="0"/>
        <w:snapToGrid w:val="0"/>
        <w:spacing w:before="203" w:beforeLines="50" w:after="203" w:afterLines="50"/>
        <w:rPr>
          <w:rFonts w:ascii="宋体" w:hAnsi="宋体"/>
        </w:rPr>
      </w:pPr>
      <w:r>
        <w:rPr>
          <w:rFonts w:hint="eastAsia" w:ascii="宋体" w:hAnsi="宋体"/>
          <w:b/>
        </w:rPr>
        <w:t>9</w:t>
      </w:r>
      <w:r>
        <w:rPr>
          <w:rFonts w:ascii="宋体" w:hAnsi="宋体"/>
          <w:b/>
        </w:rPr>
        <w:t>.7.1.2</w:t>
      </w:r>
      <w:r>
        <w:rPr>
          <w:rFonts w:ascii="宋体" w:hAnsi="宋体"/>
        </w:rPr>
        <w:t xml:space="preserve">  凡不属工艺设备随机配套的就地电控箱，应按设计要求进行采购。</w:t>
      </w:r>
    </w:p>
    <w:p>
      <w:pPr>
        <w:adjustRightInd w:val="0"/>
        <w:snapToGrid w:val="0"/>
        <w:spacing w:before="203" w:beforeLines="50" w:after="203" w:afterLines="50"/>
        <w:rPr>
          <w:rFonts w:ascii="宋体" w:hAnsi="宋体"/>
        </w:rPr>
      </w:pPr>
      <w:r>
        <w:rPr>
          <w:rFonts w:hint="eastAsia" w:ascii="宋体" w:hAnsi="宋体"/>
          <w:b/>
        </w:rPr>
        <w:t>9</w:t>
      </w:r>
      <w:r>
        <w:rPr>
          <w:rFonts w:ascii="宋体" w:hAnsi="宋体"/>
          <w:b/>
        </w:rPr>
        <w:t>.7.1.3</w:t>
      </w:r>
      <w:r>
        <w:rPr>
          <w:rFonts w:ascii="宋体" w:hAnsi="宋体"/>
        </w:rPr>
        <w:t xml:space="preserve">  就地电控箱供货商在制造前应将有关技术图纸，资料提交业主、设计单位确认。</w:t>
      </w:r>
    </w:p>
    <w:p>
      <w:pPr>
        <w:adjustRightInd w:val="0"/>
        <w:snapToGrid w:val="0"/>
        <w:spacing w:before="203" w:beforeLines="50" w:after="203" w:afterLines="50"/>
        <w:rPr>
          <w:rFonts w:ascii="宋体" w:hAnsi="宋体"/>
        </w:rPr>
      </w:pPr>
      <w:r>
        <w:rPr>
          <w:rFonts w:hint="eastAsia" w:ascii="宋体" w:hAnsi="宋体"/>
          <w:b/>
        </w:rPr>
        <w:t>9</w:t>
      </w:r>
      <w:r>
        <w:rPr>
          <w:rFonts w:ascii="宋体" w:hAnsi="宋体"/>
          <w:b/>
        </w:rPr>
        <w:t>.7.1.4</w:t>
      </w:r>
      <w:r>
        <w:rPr>
          <w:rFonts w:ascii="宋体" w:hAnsi="宋体"/>
        </w:rPr>
        <w:t xml:space="preserve">  电控箱一般技术要求：</w:t>
      </w:r>
    </w:p>
    <w:p>
      <w:pPr>
        <w:adjustRightInd w:val="0"/>
        <w:snapToGrid w:val="0"/>
        <w:spacing w:before="203" w:beforeLines="50" w:after="203" w:afterLines="50"/>
        <w:ind w:firstLine="500" w:firstLineChars="200"/>
        <w:rPr>
          <w:rFonts w:ascii="宋体" w:hAnsi="宋体"/>
        </w:rPr>
      </w:pPr>
      <w:r>
        <w:rPr>
          <w:rFonts w:ascii="宋体" w:hAnsi="宋体"/>
        </w:rPr>
        <w:t>（1）每台电控箱供电电源一般为一路380/220V低压电源。</w:t>
      </w:r>
    </w:p>
    <w:p>
      <w:pPr>
        <w:adjustRightInd w:val="0"/>
        <w:snapToGrid w:val="0"/>
        <w:spacing w:before="203" w:beforeLines="50" w:after="203" w:afterLines="50"/>
        <w:ind w:firstLine="500" w:firstLineChars="200"/>
        <w:rPr>
          <w:rFonts w:ascii="宋体" w:hAnsi="宋体"/>
        </w:rPr>
      </w:pPr>
      <w:r>
        <w:rPr>
          <w:rFonts w:ascii="宋体" w:hAnsi="宋体"/>
        </w:rPr>
        <w:t>（2） 随机设备配套的电控箱内部所需的控制电源由承包商在箱内自行解决。</w:t>
      </w:r>
    </w:p>
    <w:p>
      <w:pPr>
        <w:adjustRightInd w:val="0"/>
        <w:snapToGrid w:val="0"/>
        <w:spacing w:before="203" w:beforeLines="50" w:after="203" w:afterLines="50"/>
        <w:ind w:firstLine="500" w:firstLineChars="200"/>
        <w:rPr>
          <w:rFonts w:ascii="宋体" w:hAnsi="宋体"/>
        </w:rPr>
      </w:pPr>
      <w:r>
        <w:rPr>
          <w:rFonts w:ascii="宋体" w:hAnsi="宋体"/>
        </w:rPr>
        <w:t>（3）箱内电气设备开断容量不小于25kA。（微型断路器其分断能力应不小于10kA）。</w:t>
      </w:r>
    </w:p>
    <w:p>
      <w:pPr>
        <w:adjustRightInd w:val="0"/>
        <w:snapToGrid w:val="0"/>
        <w:spacing w:before="203" w:beforeLines="50" w:after="203" w:afterLines="50"/>
        <w:ind w:firstLine="500" w:firstLineChars="200"/>
        <w:rPr>
          <w:rFonts w:ascii="宋体" w:hAnsi="宋体"/>
        </w:rPr>
      </w:pPr>
      <w:r>
        <w:rPr>
          <w:rFonts w:ascii="宋体" w:hAnsi="宋体"/>
        </w:rPr>
        <w:t>（4）电控箱接受电源侧应设总进线断路器（带隔离功能），断路器应有短路及过载保护；或接受电源侧设置隔离（负荷）开关，下方再设断路器。</w:t>
      </w:r>
    </w:p>
    <w:p>
      <w:pPr>
        <w:adjustRightInd w:val="0"/>
        <w:snapToGrid w:val="0"/>
        <w:spacing w:before="203" w:beforeLines="50" w:after="203" w:afterLines="50"/>
        <w:ind w:firstLine="500" w:firstLineChars="200"/>
        <w:rPr>
          <w:rFonts w:ascii="宋体" w:hAnsi="宋体"/>
        </w:rPr>
      </w:pPr>
      <w:r>
        <w:rPr>
          <w:rFonts w:ascii="宋体" w:hAnsi="宋体"/>
        </w:rPr>
        <w:t>（5）电控箱应具有短路、过载、断相及温升保护，对用于水下设备（如泵、搅拌机等），还应具有专用（如泄漏，过热等）保护功能。电控箱箱面应设开、停按钮，自动，停止、手动转换开关，紧急停车按钮，开、停、故障、电源信号指示灯。</w:t>
      </w:r>
    </w:p>
    <w:p>
      <w:pPr>
        <w:adjustRightInd w:val="0"/>
        <w:snapToGrid w:val="0"/>
        <w:spacing w:before="203" w:beforeLines="50" w:after="203" w:afterLines="50"/>
        <w:ind w:firstLine="500" w:firstLineChars="200"/>
        <w:rPr>
          <w:rFonts w:ascii="宋体" w:hAnsi="宋体"/>
        </w:rPr>
      </w:pPr>
      <w:r>
        <w:rPr>
          <w:rFonts w:ascii="宋体" w:hAnsi="宋体"/>
        </w:rPr>
        <w:t>（6）电控箱应提供无源触点控制信号：开／停、手动／自动信号、故障及接受PLC控制命令的接口端子。</w:t>
      </w:r>
    </w:p>
    <w:p>
      <w:pPr>
        <w:adjustRightInd w:val="0"/>
        <w:snapToGrid w:val="0"/>
        <w:spacing w:before="203" w:beforeLines="50" w:after="203" w:afterLines="50"/>
        <w:rPr>
          <w:rFonts w:ascii="宋体" w:hAnsi="宋体"/>
          <w:b/>
          <w:bCs/>
        </w:rPr>
      </w:pPr>
      <w:r>
        <w:rPr>
          <w:rFonts w:hint="eastAsia" w:ascii="宋体" w:hAnsi="宋体"/>
          <w:b/>
          <w:bCs/>
        </w:rPr>
        <w:t>9</w:t>
      </w:r>
      <w:r>
        <w:rPr>
          <w:rFonts w:ascii="宋体" w:hAnsi="宋体"/>
          <w:b/>
          <w:bCs/>
        </w:rPr>
        <w:t>.7.1.5  其它要求：</w:t>
      </w:r>
    </w:p>
    <w:p>
      <w:pPr>
        <w:adjustRightInd w:val="0"/>
        <w:snapToGrid w:val="0"/>
        <w:spacing w:before="203" w:beforeLines="50" w:after="203" w:afterLines="50"/>
        <w:ind w:firstLine="500" w:firstLineChars="200"/>
        <w:rPr>
          <w:rFonts w:ascii="宋体" w:hAnsi="宋体"/>
        </w:rPr>
      </w:pPr>
      <w:r>
        <w:rPr>
          <w:rFonts w:ascii="宋体" w:hAnsi="宋体"/>
        </w:rPr>
        <w:t xml:space="preserve"> （1）各就地电控箱的技术要求为对该箱的最低技术要求。该箱承包商有责任提供能满足该工艺设备正常、安全运行所必需的控制和保护功能，不能因该箱内控制和保护功能的欠缺而造成相应的工艺设备不能正常运行和损坏。</w:t>
      </w:r>
    </w:p>
    <w:p>
      <w:pPr>
        <w:adjustRightInd w:val="0"/>
        <w:snapToGrid w:val="0"/>
        <w:spacing w:before="203" w:beforeLines="50" w:after="203" w:afterLines="50"/>
        <w:ind w:firstLine="500" w:firstLineChars="200"/>
        <w:rPr>
          <w:rFonts w:ascii="宋体" w:hAnsi="宋体"/>
        </w:rPr>
      </w:pPr>
      <w:r>
        <w:rPr>
          <w:rFonts w:ascii="宋体" w:hAnsi="宋体"/>
        </w:rPr>
        <w:t>（2）接线端子与接地部件阻值大于500MΩ。</w:t>
      </w:r>
    </w:p>
    <w:p>
      <w:pPr>
        <w:adjustRightInd w:val="0"/>
        <w:snapToGrid w:val="0"/>
        <w:spacing w:before="203" w:beforeLines="50" w:after="203" w:afterLines="50"/>
        <w:ind w:firstLine="500" w:firstLineChars="200"/>
        <w:rPr>
          <w:rFonts w:ascii="宋体" w:hAnsi="宋体"/>
        </w:rPr>
      </w:pPr>
      <w:r>
        <w:rPr>
          <w:rFonts w:ascii="宋体" w:hAnsi="宋体"/>
        </w:rPr>
        <w:t>（3）接线端子与箱体接地部件能受50HZ，2000VAC/1min的高压而不发生闪烁或击穿现象。</w:t>
      </w:r>
    </w:p>
    <w:p>
      <w:pPr>
        <w:adjustRightInd w:val="0"/>
        <w:snapToGrid w:val="0"/>
        <w:spacing w:before="203" w:beforeLines="50" w:after="203" w:afterLines="50"/>
        <w:ind w:firstLine="500" w:firstLineChars="200"/>
        <w:rPr>
          <w:rFonts w:ascii="宋体" w:hAnsi="宋体"/>
        </w:rPr>
      </w:pPr>
      <w:r>
        <w:rPr>
          <w:rFonts w:ascii="宋体" w:hAnsi="宋体"/>
        </w:rPr>
        <w:t>（4）相线、零线和地线端子排，应有明显标志。</w:t>
      </w:r>
    </w:p>
    <w:p>
      <w:pPr>
        <w:adjustRightInd w:val="0"/>
        <w:snapToGrid w:val="0"/>
        <w:spacing w:before="203" w:beforeLines="50" w:after="203" w:afterLines="50"/>
        <w:ind w:firstLine="500" w:firstLineChars="200"/>
        <w:rPr>
          <w:rFonts w:ascii="宋体" w:hAnsi="宋体"/>
        </w:rPr>
      </w:pPr>
      <w:r>
        <w:rPr>
          <w:rFonts w:ascii="宋体" w:hAnsi="宋体"/>
        </w:rPr>
        <w:t>（5）箱面的电器元件应尽可能靠近元件的下方设置中文标字牌,中文字应采用持久耐擦的颜料书写或打印，所有文字内容以图纸为准。</w:t>
      </w:r>
    </w:p>
    <w:p>
      <w:pPr>
        <w:adjustRightInd w:val="0"/>
        <w:snapToGrid w:val="0"/>
        <w:spacing w:before="203" w:beforeLines="50" w:after="203" w:afterLines="50"/>
        <w:ind w:firstLine="500" w:firstLineChars="200"/>
        <w:rPr>
          <w:rFonts w:ascii="宋体" w:hAnsi="宋体"/>
        </w:rPr>
      </w:pPr>
      <w:r>
        <w:rPr>
          <w:rFonts w:ascii="宋体" w:hAnsi="宋体"/>
        </w:rPr>
        <w:t>（6）箱体采用304（2mm厚）不锈钢制作，磨砂面。</w:t>
      </w:r>
    </w:p>
    <w:p>
      <w:pPr>
        <w:adjustRightInd w:val="0"/>
        <w:snapToGrid w:val="0"/>
        <w:spacing w:before="203" w:beforeLines="50" w:after="203" w:afterLines="50"/>
        <w:ind w:firstLine="500" w:firstLineChars="200"/>
        <w:rPr>
          <w:rFonts w:ascii="宋体" w:hAnsi="宋体"/>
        </w:rPr>
      </w:pPr>
      <w:r>
        <w:rPr>
          <w:rFonts w:ascii="宋体" w:hAnsi="宋体"/>
        </w:rPr>
        <w:t>（7）箱内所选用的塑料材料不含CFC或卤素，它具有阻燃和自熄灭的特性。</w:t>
      </w:r>
    </w:p>
    <w:p>
      <w:pPr>
        <w:adjustRightInd w:val="0"/>
        <w:snapToGrid w:val="0"/>
        <w:spacing w:before="203" w:beforeLines="50" w:after="203" w:afterLines="50"/>
        <w:rPr>
          <w:rFonts w:ascii="宋体" w:hAnsi="宋体"/>
          <w:b/>
          <w:bCs/>
        </w:rPr>
      </w:pPr>
      <w:bookmarkStart w:id="6908" w:name="_Toc451019090"/>
      <w:bookmarkStart w:id="6909" w:name="_Toc239837639"/>
      <w:bookmarkStart w:id="6910" w:name="_Toc243990957"/>
      <w:bookmarkStart w:id="6911" w:name="_Toc276993809"/>
      <w:bookmarkStart w:id="6912" w:name="_Toc228291772"/>
      <w:bookmarkStart w:id="6913" w:name="_Toc163638067"/>
      <w:bookmarkStart w:id="6914" w:name="_Toc342643030"/>
      <w:bookmarkStart w:id="6915" w:name="_Toc405665314"/>
      <w:bookmarkStart w:id="6916" w:name="_Toc159230256"/>
      <w:r>
        <w:rPr>
          <w:rFonts w:hint="eastAsia" w:ascii="宋体" w:hAnsi="宋体"/>
          <w:b/>
          <w:bCs/>
        </w:rPr>
        <w:t>9</w:t>
      </w:r>
      <w:r>
        <w:rPr>
          <w:rFonts w:ascii="宋体" w:hAnsi="宋体"/>
          <w:b/>
          <w:bCs/>
        </w:rPr>
        <w:t>.7.2  就地电控箱内元件技术要求</w:t>
      </w:r>
      <w:bookmarkEnd w:id="6908"/>
      <w:bookmarkEnd w:id="6909"/>
      <w:bookmarkEnd w:id="6910"/>
      <w:bookmarkEnd w:id="6911"/>
      <w:bookmarkEnd w:id="6912"/>
      <w:bookmarkEnd w:id="6913"/>
      <w:bookmarkEnd w:id="6914"/>
      <w:bookmarkEnd w:id="6915"/>
      <w:bookmarkEnd w:id="6916"/>
    </w:p>
    <w:p>
      <w:pPr>
        <w:adjustRightInd w:val="0"/>
        <w:snapToGrid w:val="0"/>
        <w:spacing w:before="203" w:beforeLines="50" w:after="203" w:afterLines="50"/>
        <w:ind w:firstLine="500" w:firstLineChars="200"/>
        <w:rPr>
          <w:rFonts w:ascii="宋体" w:hAnsi="宋体"/>
        </w:rPr>
      </w:pPr>
      <w:r>
        <w:rPr>
          <w:rFonts w:ascii="宋体" w:hAnsi="宋体"/>
        </w:rPr>
        <w:t>电控箱内全部低压电器元件应符合中国国家现行标准（GB）或国际电工委员会现行标准（IEC）。所有低压电器元件含断路器，接触器，控制继电器，转换开关，按钮指示灯等，液位开关、箱体型号，规格及安装方式必须具有互换性。未经注明，本文件条文应适用于供货范围内所有设备。</w:t>
      </w:r>
    </w:p>
    <w:p>
      <w:pPr>
        <w:adjustRightInd w:val="0"/>
        <w:snapToGrid w:val="0"/>
        <w:spacing w:before="203" w:beforeLines="50" w:after="203" w:afterLines="50"/>
        <w:rPr>
          <w:rFonts w:ascii="宋体" w:hAnsi="宋体"/>
        </w:rPr>
      </w:pPr>
      <w:r>
        <w:rPr>
          <w:rFonts w:hint="eastAsia" w:ascii="宋体" w:hAnsi="宋体"/>
          <w:b/>
        </w:rPr>
        <w:t>9</w:t>
      </w:r>
      <w:r>
        <w:rPr>
          <w:rFonts w:ascii="宋体" w:hAnsi="宋体"/>
          <w:b/>
        </w:rPr>
        <w:t>.7.2.1</w:t>
      </w:r>
      <w:r>
        <w:rPr>
          <w:rFonts w:ascii="宋体" w:hAnsi="宋体"/>
        </w:rPr>
        <w:t>断路器（塑壳断路器,微型断路器）、接触器和热继电器</w:t>
      </w:r>
      <w:r>
        <w:rPr>
          <w:rFonts w:hint="eastAsia" w:ascii="宋体" w:hAnsi="宋体"/>
        </w:rPr>
        <w:t>，详见9</w:t>
      </w:r>
      <w:r>
        <w:rPr>
          <w:rFonts w:ascii="宋体" w:hAnsi="宋体"/>
        </w:rPr>
        <w:t xml:space="preserve">.6.5章节相关内容。 </w:t>
      </w:r>
    </w:p>
    <w:p>
      <w:pPr>
        <w:adjustRightInd w:val="0"/>
        <w:snapToGrid w:val="0"/>
        <w:spacing w:before="203" w:beforeLines="50" w:after="203" w:afterLines="50"/>
        <w:outlineLvl w:val="0"/>
        <w:rPr>
          <w:rFonts w:ascii="宋体" w:hAnsi="宋体"/>
        </w:rPr>
      </w:pPr>
      <w:bookmarkStart w:id="6917" w:name="_Toc106050538"/>
      <w:bookmarkStart w:id="6918" w:name="_Toc106883764"/>
      <w:r>
        <w:rPr>
          <w:rFonts w:hint="eastAsia" w:ascii="宋体" w:hAnsi="宋体"/>
          <w:b/>
        </w:rPr>
        <w:t>9</w:t>
      </w:r>
      <w:r>
        <w:rPr>
          <w:rFonts w:ascii="宋体" w:hAnsi="宋体"/>
          <w:b/>
        </w:rPr>
        <w:t>.7.2.2</w:t>
      </w:r>
      <w:r>
        <w:rPr>
          <w:rFonts w:ascii="宋体" w:hAnsi="宋体"/>
        </w:rPr>
        <w:t>控制继电器</w:t>
      </w:r>
      <w:bookmarkEnd w:id="6917"/>
      <w:bookmarkEnd w:id="6918"/>
    </w:p>
    <w:p>
      <w:pPr>
        <w:adjustRightInd w:val="0"/>
        <w:snapToGrid w:val="0"/>
        <w:spacing w:before="203" w:beforeLines="50" w:after="203" w:afterLines="50"/>
        <w:ind w:firstLine="500" w:firstLineChars="200"/>
        <w:rPr>
          <w:rFonts w:ascii="宋体" w:hAnsi="宋体"/>
        </w:rPr>
      </w:pPr>
      <w:r>
        <w:rPr>
          <w:rFonts w:ascii="宋体" w:hAnsi="宋体"/>
        </w:rPr>
        <w:t xml:space="preserve">  产品应符合IEC65  IEC435标准。</w:t>
      </w:r>
    </w:p>
    <w:p>
      <w:pPr>
        <w:adjustRightInd w:val="0"/>
        <w:snapToGrid w:val="0"/>
        <w:spacing w:before="203" w:beforeLines="50" w:after="203" w:afterLines="50"/>
        <w:ind w:firstLine="500" w:firstLineChars="200"/>
        <w:rPr>
          <w:rFonts w:ascii="宋体" w:hAnsi="宋体"/>
        </w:rPr>
      </w:pPr>
      <w:r>
        <w:rPr>
          <w:rFonts w:ascii="宋体" w:hAnsi="宋体"/>
        </w:rPr>
        <w:t xml:space="preserve">  控制继电器最小额定工作电压 AC240V</w:t>
      </w:r>
    </w:p>
    <w:p>
      <w:pPr>
        <w:adjustRightInd w:val="0"/>
        <w:snapToGrid w:val="0"/>
        <w:spacing w:before="203" w:beforeLines="50" w:after="203" w:afterLines="50"/>
        <w:ind w:firstLine="500" w:firstLineChars="200"/>
        <w:rPr>
          <w:rFonts w:ascii="宋体" w:hAnsi="宋体"/>
        </w:rPr>
      </w:pPr>
      <w:r>
        <w:rPr>
          <w:rFonts w:ascii="宋体" w:hAnsi="宋体"/>
        </w:rPr>
        <w:t xml:space="preserve">  控制继电器最小额定工作电流 10A</w:t>
      </w:r>
    </w:p>
    <w:p>
      <w:pPr>
        <w:adjustRightInd w:val="0"/>
        <w:snapToGrid w:val="0"/>
        <w:spacing w:before="203" w:beforeLines="50" w:after="203" w:afterLines="50"/>
        <w:ind w:firstLine="500" w:firstLineChars="200"/>
        <w:rPr>
          <w:rFonts w:ascii="宋体" w:hAnsi="宋体"/>
        </w:rPr>
      </w:pPr>
      <w:r>
        <w:rPr>
          <w:rFonts w:ascii="宋体" w:hAnsi="宋体"/>
        </w:rPr>
        <w:t>继电器采用积木式结构，（相似于接触器的结构）继电器带可见指示器，用于指示继电器是否带电。继电器采用导轨安装方式，便于维护和保养，导轨预留25%的空位置以为备用。</w:t>
      </w:r>
    </w:p>
    <w:p>
      <w:pPr>
        <w:adjustRightInd w:val="0"/>
        <w:snapToGrid w:val="0"/>
        <w:spacing w:before="203" w:beforeLines="50" w:after="203" w:afterLines="50"/>
        <w:outlineLvl w:val="0"/>
        <w:rPr>
          <w:rFonts w:ascii="宋体" w:hAnsi="宋体"/>
        </w:rPr>
      </w:pPr>
      <w:bookmarkStart w:id="6919" w:name="_Toc106050539"/>
      <w:bookmarkStart w:id="6920" w:name="_Toc106883765"/>
      <w:r>
        <w:rPr>
          <w:rFonts w:hint="eastAsia" w:ascii="宋体" w:hAnsi="宋体"/>
          <w:b/>
        </w:rPr>
        <w:t>9</w:t>
      </w:r>
      <w:r>
        <w:rPr>
          <w:rFonts w:ascii="宋体" w:hAnsi="宋体"/>
          <w:b/>
        </w:rPr>
        <w:t>.7.2.3</w:t>
      </w:r>
      <w:r>
        <w:rPr>
          <w:rFonts w:ascii="宋体" w:hAnsi="宋体"/>
        </w:rPr>
        <w:t xml:space="preserve">  转换开关</w:t>
      </w:r>
      <w:bookmarkEnd w:id="6919"/>
      <w:bookmarkEnd w:id="6920"/>
    </w:p>
    <w:p>
      <w:pPr>
        <w:adjustRightInd w:val="0"/>
        <w:snapToGrid w:val="0"/>
        <w:spacing w:before="203" w:beforeLines="50" w:after="203" w:afterLines="50"/>
        <w:ind w:firstLine="420"/>
        <w:rPr>
          <w:rFonts w:ascii="宋体" w:hAnsi="宋体"/>
        </w:rPr>
      </w:pPr>
      <w:r>
        <w:rPr>
          <w:rFonts w:ascii="宋体" w:hAnsi="宋体"/>
        </w:rPr>
        <w:t>用于程序选择的转换开关应为防护旋转定位式，触头盒应配备防护罩，转换开关应具有三个及以上的定位位置，其定位位置在开关面板上应有中文标志。</w:t>
      </w:r>
    </w:p>
    <w:p>
      <w:pPr>
        <w:adjustRightInd w:val="0"/>
        <w:snapToGrid w:val="0"/>
        <w:spacing w:before="203" w:beforeLines="50" w:after="203" w:afterLines="50"/>
        <w:ind w:firstLine="420"/>
        <w:rPr>
          <w:rFonts w:ascii="宋体" w:hAnsi="宋体"/>
        </w:rPr>
      </w:pPr>
      <w:r>
        <w:rPr>
          <w:rFonts w:ascii="宋体" w:hAnsi="宋体"/>
        </w:rPr>
        <w:t>转换开关触头最大额定工作电流为10A，控制箱旋转面板上安装。</w:t>
      </w:r>
    </w:p>
    <w:p>
      <w:pPr>
        <w:adjustRightInd w:val="0"/>
        <w:snapToGrid w:val="0"/>
        <w:spacing w:before="203" w:beforeLines="50" w:after="203" w:afterLines="50"/>
        <w:ind w:firstLine="420"/>
        <w:rPr>
          <w:rFonts w:ascii="宋体" w:hAnsi="宋体"/>
        </w:rPr>
      </w:pPr>
      <w:r>
        <w:rPr>
          <w:rFonts w:ascii="宋体" w:hAnsi="宋体"/>
        </w:rPr>
        <w:t>额定工作电压 AC 0.4kV，额定工作频率50Hz。</w:t>
      </w:r>
    </w:p>
    <w:p>
      <w:pPr>
        <w:adjustRightInd w:val="0"/>
        <w:snapToGrid w:val="0"/>
        <w:spacing w:before="203" w:beforeLines="50" w:after="203" w:afterLines="50"/>
        <w:outlineLvl w:val="0"/>
        <w:rPr>
          <w:rFonts w:ascii="宋体" w:hAnsi="宋体"/>
        </w:rPr>
      </w:pPr>
      <w:bookmarkStart w:id="6921" w:name="_Toc106050540"/>
      <w:bookmarkStart w:id="6922" w:name="_Toc106883766"/>
      <w:r>
        <w:rPr>
          <w:rFonts w:hint="eastAsia" w:ascii="宋体" w:hAnsi="宋体"/>
          <w:b/>
        </w:rPr>
        <w:t>9</w:t>
      </w:r>
      <w:r>
        <w:rPr>
          <w:rFonts w:ascii="宋体" w:hAnsi="宋体"/>
          <w:b/>
        </w:rPr>
        <w:t>.7.2.4</w:t>
      </w:r>
      <w:r>
        <w:rPr>
          <w:rFonts w:ascii="宋体" w:hAnsi="宋体"/>
        </w:rPr>
        <w:t xml:space="preserve">  信号指示灯和按钮</w:t>
      </w:r>
      <w:bookmarkEnd w:id="6921"/>
      <w:bookmarkEnd w:id="6922"/>
    </w:p>
    <w:p>
      <w:pPr>
        <w:adjustRightInd w:val="0"/>
        <w:snapToGrid w:val="0"/>
        <w:spacing w:before="203" w:beforeLines="50" w:after="203" w:afterLines="50"/>
        <w:ind w:firstLine="500" w:firstLineChars="200"/>
        <w:rPr>
          <w:rFonts w:ascii="宋体" w:hAnsi="宋体"/>
        </w:rPr>
      </w:pPr>
      <w:r>
        <w:rPr>
          <w:rFonts w:ascii="宋体" w:hAnsi="宋体"/>
        </w:rPr>
        <w:t>指示灯、按钮的颜色应符合GB4025－83“指示灯和按钮的颜色”的规定。指示灯采用高亮度LED为光源。信号灯外壳所采用材料应保证在灯光长期工作时不会出现软化损坏。按钮结构形式为揿压式，急停按钮为自锁型。按钮、信号灯户外型其防护等级为IP65，户内型为IP4X。</w:t>
      </w:r>
    </w:p>
    <w:p>
      <w:pPr>
        <w:adjustRightInd w:val="0"/>
        <w:snapToGrid w:val="0"/>
        <w:spacing w:before="203" w:beforeLines="50" w:after="203" w:afterLines="50"/>
        <w:outlineLvl w:val="0"/>
        <w:rPr>
          <w:rFonts w:ascii="宋体" w:hAnsi="宋体"/>
        </w:rPr>
      </w:pPr>
      <w:bookmarkStart w:id="6923" w:name="_Toc106050541"/>
      <w:bookmarkStart w:id="6924" w:name="_Toc106883767"/>
      <w:r>
        <w:rPr>
          <w:rFonts w:hint="eastAsia" w:ascii="宋体" w:hAnsi="宋体"/>
          <w:b/>
        </w:rPr>
        <w:t>9</w:t>
      </w:r>
      <w:r>
        <w:rPr>
          <w:rFonts w:ascii="宋体" w:hAnsi="宋体"/>
          <w:b/>
        </w:rPr>
        <w:t>.7.2.5</w:t>
      </w:r>
      <w:r>
        <w:rPr>
          <w:rFonts w:ascii="宋体" w:hAnsi="宋体"/>
        </w:rPr>
        <w:t xml:space="preserve">  液位开关</w:t>
      </w:r>
      <w:bookmarkEnd w:id="6923"/>
      <w:bookmarkEnd w:id="6924"/>
    </w:p>
    <w:p>
      <w:pPr>
        <w:adjustRightInd w:val="0"/>
        <w:snapToGrid w:val="0"/>
        <w:spacing w:before="203" w:beforeLines="50" w:after="203" w:afterLines="50"/>
        <w:ind w:firstLine="500" w:firstLineChars="200"/>
        <w:rPr>
          <w:rFonts w:ascii="宋体" w:hAnsi="宋体"/>
        </w:rPr>
      </w:pPr>
      <w:r>
        <w:rPr>
          <w:rFonts w:ascii="宋体" w:hAnsi="宋体"/>
        </w:rPr>
        <w:t>具体要求详见相关电气招标附图。</w:t>
      </w:r>
    </w:p>
    <w:p>
      <w:pPr>
        <w:keepNext/>
        <w:tabs>
          <w:tab w:val="left" w:pos="993"/>
        </w:tabs>
        <w:adjustRightInd w:val="0"/>
        <w:snapToGrid w:val="0"/>
        <w:spacing w:before="203" w:beforeLines="50" w:after="203" w:afterLines="50"/>
        <w:outlineLvl w:val="2"/>
        <w:rPr>
          <w:rFonts w:ascii="宋体" w:hAnsi="宋体"/>
          <w:b/>
          <w:bCs/>
        </w:rPr>
      </w:pPr>
      <w:bookmarkStart w:id="6925" w:name="_Toc299629514"/>
      <w:bookmarkStart w:id="6926" w:name="_Toc263368972"/>
      <w:bookmarkStart w:id="6927" w:name="_Toc456692017"/>
      <w:bookmarkStart w:id="6928" w:name="_Toc451019091"/>
      <w:bookmarkStart w:id="6929" w:name="_Toc300754213"/>
      <w:bookmarkStart w:id="6930" w:name="_Toc304901269"/>
      <w:bookmarkStart w:id="6931" w:name="_Toc405665315"/>
      <w:bookmarkStart w:id="6932" w:name="_Toc342643031"/>
      <w:bookmarkStart w:id="6933" w:name="_Toc106883768"/>
      <w:r>
        <w:rPr>
          <w:rFonts w:hint="eastAsia" w:ascii="宋体" w:hAnsi="宋体"/>
          <w:b/>
          <w:bCs/>
        </w:rPr>
        <w:t>9.8</w:t>
      </w:r>
      <w:r>
        <w:rPr>
          <w:rFonts w:ascii="宋体" w:hAnsi="宋体"/>
          <w:b/>
          <w:bCs/>
        </w:rPr>
        <w:t>对厂家设计图纸、说明书和试验报告的要求</w:t>
      </w:r>
      <w:bookmarkEnd w:id="6925"/>
      <w:bookmarkEnd w:id="6926"/>
      <w:bookmarkEnd w:id="6927"/>
      <w:bookmarkEnd w:id="6928"/>
      <w:bookmarkEnd w:id="6929"/>
      <w:bookmarkEnd w:id="6930"/>
      <w:bookmarkEnd w:id="6931"/>
      <w:bookmarkEnd w:id="6932"/>
      <w:bookmarkEnd w:id="6933"/>
    </w:p>
    <w:p>
      <w:pPr>
        <w:adjustRightInd w:val="0"/>
        <w:snapToGrid w:val="0"/>
        <w:spacing w:before="203" w:beforeLines="50" w:after="203" w:afterLines="50"/>
        <w:rPr>
          <w:rFonts w:ascii="宋体" w:hAnsi="宋体"/>
        </w:rPr>
      </w:pPr>
      <w:bookmarkStart w:id="6934" w:name="_Toc263368973"/>
      <w:bookmarkStart w:id="6935" w:name="_Toc299629515"/>
      <w:bookmarkStart w:id="6936" w:name="_Toc342643032"/>
      <w:bookmarkStart w:id="6937" w:name="_Toc300754214"/>
      <w:bookmarkStart w:id="6938" w:name="_Toc405665316"/>
      <w:bookmarkStart w:id="6939" w:name="_Toc304901270"/>
      <w:bookmarkStart w:id="6940" w:name="_Toc451019092"/>
      <w:r>
        <w:rPr>
          <w:rFonts w:hint="eastAsia" w:ascii="宋体" w:hAnsi="宋体"/>
          <w:b/>
        </w:rPr>
        <w:t>9</w:t>
      </w:r>
      <w:r>
        <w:rPr>
          <w:rFonts w:ascii="宋体" w:hAnsi="宋体"/>
          <w:b/>
        </w:rPr>
        <w:t>.8.1</w:t>
      </w:r>
      <w:r>
        <w:rPr>
          <w:rFonts w:ascii="宋体" w:hAnsi="宋体"/>
        </w:rPr>
        <w:t xml:space="preserve">  图纸及图纸的认可程序</w:t>
      </w:r>
      <w:bookmarkEnd w:id="6934"/>
      <w:bookmarkEnd w:id="6935"/>
      <w:bookmarkEnd w:id="6936"/>
      <w:bookmarkEnd w:id="6937"/>
      <w:bookmarkEnd w:id="6938"/>
      <w:bookmarkEnd w:id="6939"/>
      <w:bookmarkEnd w:id="6940"/>
    </w:p>
    <w:p>
      <w:pPr>
        <w:adjustRightInd w:val="0"/>
        <w:snapToGrid w:val="0"/>
        <w:spacing w:before="203" w:beforeLines="50" w:after="203" w:afterLines="50"/>
        <w:ind w:firstLine="500" w:firstLineChars="200"/>
        <w:rPr>
          <w:rFonts w:ascii="宋体" w:hAnsi="宋体"/>
        </w:rPr>
      </w:pPr>
      <w:r>
        <w:rPr>
          <w:rFonts w:ascii="宋体" w:hAnsi="宋体"/>
        </w:rPr>
        <w:t>（1） 所有需经业主确认的图纸和说明文件，均应由承包商在合同生效前提交给业主进行审定认可。这些资料包括产品的外形图、布置图、组装图、基础图、元器件配置、电气原理图、运输尺寸、运输质量、重心、总质量及二次线布置图等。业主审定时有权提出修改意见。</w:t>
      </w:r>
    </w:p>
    <w:p>
      <w:pPr>
        <w:adjustRightInd w:val="0"/>
        <w:snapToGrid w:val="0"/>
        <w:spacing w:before="203" w:beforeLines="50" w:after="203" w:afterLines="50"/>
        <w:ind w:firstLine="500" w:firstLineChars="200"/>
        <w:rPr>
          <w:rFonts w:ascii="宋体" w:hAnsi="宋体"/>
        </w:rPr>
      </w:pPr>
      <w:r>
        <w:rPr>
          <w:rFonts w:ascii="宋体" w:hAnsi="宋体"/>
        </w:rPr>
        <w:t>在收到以上图纸和资料后，业主将在设计联络会上对承包商提供的图纸和资料签署认可或提出修改意见。业主有权对承包商图纸提出修改意见，对此业主不承担任何附加费用。承包商应对业主的修改意见，在图纸上进行修改。供应的设备必须符合最终审定认可的正式图纸。</w:t>
      </w:r>
    </w:p>
    <w:p>
      <w:pPr>
        <w:adjustRightInd w:val="0"/>
        <w:snapToGrid w:val="0"/>
        <w:spacing w:before="203" w:beforeLines="50" w:after="203" w:afterLines="50"/>
        <w:ind w:firstLine="500" w:firstLineChars="200"/>
        <w:rPr>
          <w:rFonts w:ascii="宋体" w:hAnsi="宋体"/>
        </w:rPr>
      </w:pPr>
      <w:r>
        <w:rPr>
          <w:rFonts w:ascii="宋体" w:hAnsi="宋体"/>
        </w:rPr>
        <w:t>在收到业主对图纸的最终认可之前，承包商提前采购材料或加工制造而发生的任何风险和损失由承包商自行承担。</w:t>
      </w:r>
    </w:p>
    <w:p>
      <w:pPr>
        <w:adjustRightInd w:val="0"/>
        <w:snapToGrid w:val="0"/>
        <w:spacing w:before="203" w:beforeLines="50" w:after="203" w:afterLines="50"/>
        <w:ind w:firstLine="500" w:firstLineChars="200"/>
        <w:rPr>
          <w:rFonts w:ascii="宋体" w:hAnsi="宋体"/>
        </w:rPr>
      </w:pPr>
      <w:r>
        <w:rPr>
          <w:rFonts w:ascii="宋体" w:hAnsi="宋体"/>
        </w:rPr>
        <w:t>（2） 承包商在收到业主确认图纸（包括认可方修正意见）后，应于　2　周内提供最终版的正式图纸和一套供复制用的底图及正式的光盘，正式图纸必须加盖工厂公章或签字。</w:t>
      </w:r>
    </w:p>
    <w:p>
      <w:pPr>
        <w:adjustRightInd w:val="0"/>
        <w:snapToGrid w:val="0"/>
        <w:spacing w:before="203" w:beforeLines="50" w:after="203" w:afterLines="50"/>
        <w:ind w:firstLine="500" w:firstLineChars="200"/>
        <w:rPr>
          <w:rFonts w:ascii="宋体" w:hAnsi="宋体"/>
        </w:rPr>
      </w:pPr>
      <w:r>
        <w:rPr>
          <w:rFonts w:ascii="宋体" w:hAnsi="宋体"/>
        </w:rPr>
        <w:t>（3） 完工后的产品应与最后确认的图纸一致。业主对图纸的认可并不减轻承包商关于其图纸的正确性的责任。设备在现场安装时，如承包商技术人员进一步修改图纸，承包商应对图纸重新收编成册，正式递交业主，并保证安装后的设备与图纸完全相符。</w:t>
      </w:r>
    </w:p>
    <w:p>
      <w:pPr>
        <w:adjustRightInd w:val="0"/>
        <w:snapToGrid w:val="0"/>
        <w:spacing w:before="203" w:beforeLines="50" w:after="203" w:afterLines="50"/>
        <w:ind w:firstLine="500" w:firstLineChars="200"/>
        <w:rPr>
          <w:rFonts w:ascii="宋体" w:hAnsi="宋体"/>
        </w:rPr>
      </w:pPr>
      <w:r>
        <w:rPr>
          <w:rFonts w:ascii="宋体" w:hAnsi="宋体"/>
        </w:rPr>
        <w:t>（4） 图纸的格式：所有图纸均应有标题栏、相应编号、全部符号和部件标志，文字均用中文。对于进口设备以中文为主，当业主对英文局部有疑问时，承包商应进行书面解释。</w:t>
      </w:r>
    </w:p>
    <w:p>
      <w:pPr>
        <w:adjustRightInd w:val="0"/>
        <w:snapToGrid w:val="0"/>
        <w:spacing w:before="203" w:beforeLines="50" w:after="203" w:afterLines="50"/>
        <w:ind w:firstLine="500" w:firstLineChars="200"/>
        <w:rPr>
          <w:rFonts w:ascii="宋体" w:hAnsi="宋体"/>
        </w:rPr>
      </w:pPr>
      <w:r>
        <w:rPr>
          <w:rFonts w:ascii="宋体" w:hAnsi="宋体"/>
        </w:rPr>
        <w:t>承包商免费提供给业主全部最终版的图纸、资料及说明书。其中图纸应包括所涉及的图纸和承包商自带的电缆清册，并且应保证业主可按最终版的图纸资料对所供设备进行维护，并在运行中进行更换零部件等工作。</w:t>
      </w:r>
    </w:p>
    <w:p>
      <w:pPr>
        <w:adjustRightInd w:val="0"/>
        <w:snapToGrid w:val="0"/>
        <w:spacing w:before="203" w:beforeLines="50" w:after="203" w:afterLines="50"/>
        <w:ind w:firstLine="500" w:firstLineChars="200"/>
        <w:rPr>
          <w:rFonts w:ascii="宋体" w:hAnsi="宋体"/>
        </w:rPr>
      </w:pPr>
      <w:r>
        <w:rPr>
          <w:rFonts w:ascii="宋体" w:hAnsi="宋体"/>
        </w:rPr>
        <w:t>（5） 产品所需图纸：</w:t>
      </w:r>
    </w:p>
    <w:p>
      <w:pPr>
        <w:adjustRightInd w:val="0"/>
        <w:snapToGrid w:val="0"/>
        <w:spacing w:before="203" w:beforeLines="50" w:after="203" w:afterLines="50"/>
        <w:ind w:firstLine="500" w:firstLineChars="200"/>
        <w:rPr>
          <w:rFonts w:ascii="宋体" w:hAnsi="宋体"/>
        </w:rPr>
      </w:pPr>
      <w:r>
        <w:rPr>
          <w:rFonts w:ascii="宋体" w:hAnsi="宋体"/>
        </w:rPr>
        <w:t>a、一次接线系统图。</w:t>
      </w:r>
    </w:p>
    <w:p>
      <w:pPr>
        <w:adjustRightInd w:val="0"/>
        <w:snapToGrid w:val="0"/>
        <w:spacing w:before="203" w:beforeLines="50" w:after="203" w:afterLines="50"/>
        <w:ind w:firstLine="500" w:firstLineChars="200"/>
        <w:rPr>
          <w:rFonts w:ascii="宋体" w:hAnsi="宋体"/>
        </w:rPr>
      </w:pPr>
      <w:r>
        <w:rPr>
          <w:rFonts w:ascii="宋体" w:hAnsi="宋体"/>
        </w:rPr>
        <w:t>b、二次接线原理图和接线布置图。</w:t>
      </w:r>
    </w:p>
    <w:p>
      <w:pPr>
        <w:adjustRightInd w:val="0"/>
        <w:snapToGrid w:val="0"/>
        <w:spacing w:before="203" w:beforeLines="50" w:after="203" w:afterLines="50"/>
        <w:ind w:firstLine="500" w:firstLineChars="200"/>
        <w:rPr>
          <w:rFonts w:ascii="宋体" w:hAnsi="宋体"/>
        </w:rPr>
      </w:pPr>
      <w:r>
        <w:rPr>
          <w:rFonts w:ascii="宋体" w:hAnsi="宋体"/>
        </w:rPr>
        <w:t>c、柜体布置图。</w:t>
      </w:r>
    </w:p>
    <w:p>
      <w:pPr>
        <w:adjustRightInd w:val="0"/>
        <w:snapToGrid w:val="0"/>
        <w:spacing w:before="203" w:beforeLines="50" w:after="203" w:afterLines="50"/>
        <w:ind w:firstLine="500" w:firstLineChars="200"/>
        <w:rPr>
          <w:rFonts w:ascii="宋体" w:hAnsi="宋体"/>
        </w:rPr>
      </w:pPr>
      <w:r>
        <w:rPr>
          <w:rFonts w:ascii="宋体" w:hAnsi="宋体"/>
        </w:rPr>
        <w:t>d、设备基础图。</w:t>
      </w:r>
    </w:p>
    <w:p>
      <w:pPr>
        <w:adjustRightInd w:val="0"/>
        <w:snapToGrid w:val="0"/>
        <w:spacing w:before="203" w:beforeLines="50" w:after="203" w:afterLines="50"/>
        <w:rPr>
          <w:rFonts w:ascii="宋体" w:hAnsi="宋体"/>
          <w:b/>
          <w:bCs/>
        </w:rPr>
      </w:pPr>
      <w:bookmarkStart w:id="6941" w:name="_Toc299629516"/>
      <w:bookmarkStart w:id="6942" w:name="_Toc405665317"/>
      <w:bookmarkStart w:id="6943" w:name="_Toc342643033"/>
      <w:bookmarkStart w:id="6944" w:name="_Toc304901271"/>
      <w:bookmarkStart w:id="6945" w:name="_Toc263368974"/>
      <w:bookmarkStart w:id="6946" w:name="_Toc300754215"/>
      <w:bookmarkStart w:id="6947" w:name="_Toc451019093"/>
      <w:r>
        <w:rPr>
          <w:rFonts w:hint="eastAsia" w:ascii="宋体" w:hAnsi="宋体"/>
          <w:b/>
          <w:bCs/>
        </w:rPr>
        <w:t>9</w:t>
      </w:r>
      <w:r>
        <w:rPr>
          <w:rFonts w:ascii="宋体" w:hAnsi="宋体"/>
          <w:b/>
          <w:bCs/>
        </w:rPr>
        <w:t>.8.2  说明书的要求</w:t>
      </w:r>
      <w:bookmarkEnd w:id="6941"/>
      <w:bookmarkEnd w:id="6942"/>
      <w:bookmarkEnd w:id="6943"/>
      <w:bookmarkEnd w:id="6944"/>
      <w:bookmarkEnd w:id="6945"/>
      <w:bookmarkEnd w:id="6946"/>
      <w:bookmarkEnd w:id="6947"/>
    </w:p>
    <w:p>
      <w:pPr>
        <w:adjustRightInd w:val="0"/>
        <w:snapToGrid w:val="0"/>
        <w:spacing w:before="203" w:beforeLines="50" w:after="203" w:afterLines="50"/>
        <w:ind w:firstLine="500" w:firstLineChars="200"/>
        <w:rPr>
          <w:rFonts w:ascii="宋体" w:hAnsi="宋体"/>
        </w:rPr>
      </w:pPr>
      <w:r>
        <w:rPr>
          <w:rFonts w:ascii="宋体" w:hAnsi="宋体"/>
        </w:rPr>
        <w:t>（1）产品结构、安装、调整、运行、维护、检修和全部附件的完整说明和技术数据：</w:t>
      </w:r>
    </w:p>
    <w:p>
      <w:pPr>
        <w:adjustRightInd w:val="0"/>
        <w:snapToGrid w:val="0"/>
        <w:spacing w:before="203" w:beforeLines="50" w:after="203" w:afterLines="50"/>
        <w:ind w:firstLine="500" w:firstLineChars="200"/>
        <w:rPr>
          <w:rFonts w:ascii="宋体" w:hAnsi="宋体"/>
        </w:rPr>
      </w:pPr>
      <w:r>
        <w:rPr>
          <w:rFonts w:ascii="宋体" w:hAnsi="宋体"/>
        </w:rPr>
        <w:t>1） 安装说明书上至少包括：</w:t>
      </w:r>
    </w:p>
    <w:p>
      <w:pPr>
        <w:adjustRightInd w:val="0"/>
        <w:snapToGrid w:val="0"/>
        <w:spacing w:before="203" w:beforeLines="50" w:after="203" w:afterLines="50"/>
        <w:ind w:firstLine="500" w:firstLineChars="200"/>
        <w:rPr>
          <w:rFonts w:ascii="宋体" w:hAnsi="宋体"/>
        </w:rPr>
      </w:pPr>
      <w:r>
        <w:rPr>
          <w:rFonts w:ascii="宋体" w:hAnsi="宋体"/>
        </w:rPr>
        <w:t>a、开箱和起吊：运输单元的质量、起吊和开箱的注意事项及专用的起吊用具等。</w:t>
      </w:r>
    </w:p>
    <w:p>
      <w:pPr>
        <w:adjustRightInd w:val="0"/>
        <w:snapToGrid w:val="0"/>
        <w:spacing w:before="203" w:beforeLines="50" w:after="203" w:afterLines="50"/>
        <w:ind w:firstLine="500" w:firstLineChars="200"/>
        <w:rPr>
          <w:rFonts w:ascii="宋体" w:hAnsi="宋体"/>
        </w:rPr>
      </w:pPr>
      <w:r>
        <w:rPr>
          <w:rFonts w:ascii="宋体" w:hAnsi="宋体"/>
        </w:rPr>
        <w:t>b、组装：不是整体运输的产品，其运输单元应有清楚的标志和代号，并应提供注有运输单元号的组装示意图。</w:t>
      </w:r>
    </w:p>
    <w:p>
      <w:pPr>
        <w:adjustRightInd w:val="0"/>
        <w:snapToGrid w:val="0"/>
        <w:spacing w:before="203" w:beforeLines="50" w:after="203" w:afterLines="50"/>
        <w:ind w:firstLine="500" w:firstLineChars="200"/>
        <w:rPr>
          <w:rFonts w:ascii="宋体" w:hAnsi="宋体"/>
        </w:rPr>
      </w:pPr>
      <w:r>
        <w:rPr>
          <w:rFonts w:ascii="宋体" w:hAnsi="宋体"/>
        </w:rPr>
        <w:t>c、安装准备：基础施工的要求、外部接线端子的尺寸、电缆进入地点位置、接地以及各种管道的连接方式、尺寸和布置等资料。</w:t>
      </w:r>
    </w:p>
    <w:p>
      <w:pPr>
        <w:adjustRightInd w:val="0"/>
        <w:snapToGrid w:val="0"/>
        <w:spacing w:before="203" w:beforeLines="50" w:after="203" w:afterLines="50"/>
        <w:ind w:firstLine="500" w:firstLineChars="200"/>
        <w:rPr>
          <w:rFonts w:ascii="宋体" w:hAnsi="宋体"/>
        </w:rPr>
      </w:pPr>
      <w:r>
        <w:rPr>
          <w:rFonts w:ascii="宋体" w:hAnsi="宋体"/>
        </w:rPr>
        <w:t>d、最后的安装验收：合同要求的在现场进行的试验项目及试验方法。</w:t>
      </w:r>
    </w:p>
    <w:p>
      <w:pPr>
        <w:adjustRightInd w:val="0"/>
        <w:snapToGrid w:val="0"/>
        <w:spacing w:before="203" w:beforeLines="50" w:after="203" w:afterLines="50"/>
        <w:ind w:firstLine="500" w:firstLineChars="200"/>
        <w:rPr>
          <w:rFonts w:ascii="宋体" w:hAnsi="宋体"/>
        </w:rPr>
      </w:pPr>
      <w:r>
        <w:rPr>
          <w:rFonts w:ascii="宋体" w:hAnsi="宋体"/>
        </w:rPr>
        <w:t>2） 维护：至少包括按相关标准的规定，提供主要元件的维护说明以及维修工作的分类、程序和范围。</w:t>
      </w:r>
    </w:p>
    <w:p>
      <w:pPr>
        <w:adjustRightInd w:val="0"/>
        <w:snapToGrid w:val="0"/>
        <w:spacing w:before="203" w:beforeLines="50" w:after="203" w:afterLines="50"/>
        <w:ind w:firstLine="500" w:firstLineChars="200"/>
        <w:rPr>
          <w:rFonts w:ascii="宋体" w:hAnsi="宋体"/>
        </w:rPr>
      </w:pPr>
      <w:r>
        <w:rPr>
          <w:rFonts w:ascii="宋体" w:hAnsi="宋体"/>
        </w:rPr>
        <w:t>3） 运行检修： 提供运行中应注意的事项及控制指标，主要元件的检修周期和检修方案。</w:t>
      </w:r>
    </w:p>
    <w:p>
      <w:pPr>
        <w:adjustRightInd w:val="0"/>
        <w:snapToGrid w:val="0"/>
        <w:spacing w:before="203" w:beforeLines="50" w:after="203" w:afterLines="50"/>
        <w:ind w:firstLine="500" w:firstLineChars="200"/>
        <w:rPr>
          <w:rFonts w:ascii="宋体" w:hAnsi="宋体"/>
        </w:rPr>
      </w:pPr>
      <w:r>
        <w:rPr>
          <w:rFonts w:ascii="宋体" w:hAnsi="宋体"/>
        </w:rPr>
        <w:t>（2）各个元件和所有附件的技术数据。</w:t>
      </w:r>
    </w:p>
    <w:p>
      <w:pPr>
        <w:adjustRightInd w:val="0"/>
        <w:snapToGrid w:val="0"/>
        <w:spacing w:before="203" w:beforeLines="50" w:after="203" w:afterLines="50"/>
        <w:ind w:firstLine="500" w:firstLineChars="200"/>
        <w:rPr>
          <w:rFonts w:ascii="宋体" w:hAnsi="宋体"/>
        </w:rPr>
      </w:pPr>
      <w:r>
        <w:rPr>
          <w:rFonts w:ascii="宋体" w:hAnsi="宋体"/>
        </w:rPr>
        <w:t>（3）结构图及对基础的技术要求的说明。</w:t>
      </w:r>
    </w:p>
    <w:p>
      <w:pPr>
        <w:adjustRightInd w:val="0"/>
        <w:snapToGrid w:val="0"/>
        <w:spacing w:before="203" w:beforeLines="50" w:after="203" w:afterLines="50"/>
        <w:ind w:firstLine="500" w:firstLineChars="200"/>
        <w:rPr>
          <w:rFonts w:ascii="宋体" w:hAnsi="宋体"/>
        </w:rPr>
      </w:pPr>
      <w:r>
        <w:rPr>
          <w:rFonts w:ascii="宋体" w:hAnsi="宋体"/>
        </w:rPr>
        <w:t>（4）结构特征、设备及其元件的更详细的说明。</w:t>
      </w:r>
    </w:p>
    <w:p>
      <w:pPr>
        <w:adjustRightInd w:val="0"/>
        <w:snapToGrid w:val="0"/>
        <w:spacing w:before="203" w:beforeLines="50" w:after="203" w:afterLines="50"/>
        <w:ind w:firstLine="500" w:firstLineChars="200"/>
        <w:rPr>
          <w:rFonts w:ascii="宋体" w:hAnsi="宋体"/>
        </w:rPr>
      </w:pPr>
      <w:r>
        <w:rPr>
          <w:rFonts w:ascii="宋体" w:hAnsi="宋体"/>
        </w:rPr>
        <w:t>（5）备品备件、专用工具和专用仪器仪表的使用说明。</w:t>
      </w:r>
    </w:p>
    <w:p>
      <w:pPr>
        <w:adjustRightInd w:val="0"/>
        <w:snapToGrid w:val="0"/>
        <w:spacing w:before="203" w:beforeLines="50" w:after="203" w:afterLines="50"/>
        <w:ind w:firstLine="500" w:firstLineChars="200"/>
        <w:rPr>
          <w:rFonts w:ascii="宋体" w:hAnsi="宋体"/>
        </w:rPr>
      </w:pPr>
      <w:r>
        <w:rPr>
          <w:rFonts w:ascii="宋体" w:hAnsi="宋体"/>
        </w:rPr>
        <w:t>（6）说明书使用中文。</w:t>
      </w:r>
    </w:p>
    <w:p>
      <w:pPr>
        <w:adjustRightInd w:val="0"/>
        <w:snapToGrid w:val="0"/>
        <w:spacing w:before="203" w:beforeLines="50" w:after="203" w:afterLines="50"/>
        <w:rPr>
          <w:rFonts w:ascii="宋体" w:hAnsi="宋体"/>
          <w:b/>
          <w:bCs/>
        </w:rPr>
      </w:pPr>
      <w:bookmarkStart w:id="6948" w:name="_Toc299629517"/>
      <w:bookmarkStart w:id="6949" w:name="_Toc263368975"/>
      <w:bookmarkStart w:id="6950" w:name="_Toc405665318"/>
      <w:bookmarkStart w:id="6951" w:name="_Toc300754216"/>
      <w:bookmarkStart w:id="6952" w:name="_Toc451019094"/>
      <w:bookmarkStart w:id="6953" w:name="_Toc342643034"/>
      <w:bookmarkStart w:id="6954" w:name="_Toc304901272"/>
      <w:r>
        <w:rPr>
          <w:rFonts w:hint="eastAsia" w:ascii="宋体" w:hAnsi="宋体"/>
          <w:b/>
          <w:bCs/>
        </w:rPr>
        <w:t>9</w:t>
      </w:r>
      <w:r>
        <w:rPr>
          <w:rFonts w:ascii="宋体" w:hAnsi="宋体"/>
          <w:b/>
          <w:bCs/>
        </w:rPr>
        <w:t>.8.3  试验报告</w:t>
      </w:r>
      <w:bookmarkEnd w:id="6948"/>
      <w:bookmarkEnd w:id="6949"/>
      <w:bookmarkEnd w:id="6950"/>
      <w:bookmarkEnd w:id="6951"/>
      <w:bookmarkEnd w:id="6952"/>
      <w:bookmarkEnd w:id="6953"/>
      <w:bookmarkEnd w:id="6954"/>
    </w:p>
    <w:p>
      <w:pPr>
        <w:adjustRightInd w:val="0"/>
        <w:snapToGrid w:val="0"/>
        <w:spacing w:before="203" w:beforeLines="50" w:after="203" w:afterLines="50"/>
        <w:ind w:firstLine="500" w:firstLineChars="200"/>
        <w:rPr>
          <w:rFonts w:ascii="宋体" w:hAnsi="宋体"/>
        </w:rPr>
      </w:pPr>
      <w:r>
        <w:rPr>
          <w:rFonts w:ascii="宋体" w:hAnsi="宋体"/>
        </w:rPr>
        <w:t>承包商应提供下列试验报告：</w:t>
      </w:r>
    </w:p>
    <w:p>
      <w:pPr>
        <w:adjustRightInd w:val="0"/>
        <w:snapToGrid w:val="0"/>
        <w:spacing w:before="203" w:beforeLines="50" w:after="203" w:afterLines="50"/>
        <w:ind w:firstLine="500" w:firstLineChars="200"/>
        <w:rPr>
          <w:rFonts w:ascii="宋体" w:hAnsi="宋体"/>
        </w:rPr>
      </w:pPr>
      <w:r>
        <w:rPr>
          <w:rFonts w:ascii="宋体" w:hAnsi="宋体"/>
        </w:rPr>
        <w:t>（1） 型式试验和出厂试验报告。</w:t>
      </w:r>
    </w:p>
    <w:p>
      <w:pPr>
        <w:adjustRightInd w:val="0"/>
        <w:snapToGrid w:val="0"/>
        <w:spacing w:before="203" w:beforeLines="50" w:after="203" w:afterLines="50"/>
        <w:ind w:firstLine="500" w:firstLineChars="200"/>
        <w:rPr>
          <w:rFonts w:ascii="宋体" w:hAnsi="宋体"/>
        </w:rPr>
      </w:pPr>
      <w:r>
        <w:rPr>
          <w:rFonts w:ascii="宋体" w:hAnsi="宋体"/>
        </w:rPr>
        <w:t>（2） 如果产品进行了局部改进或改变应补充提供相应的验证性试验报告。</w:t>
      </w:r>
    </w:p>
    <w:p>
      <w:pPr>
        <w:keepNext/>
        <w:tabs>
          <w:tab w:val="left" w:pos="993"/>
        </w:tabs>
        <w:adjustRightInd w:val="0"/>
        <w:snapToGrid w:val="0"/>
        <w:spacing w:before="203" w:beforeLines="50" w:after="203" w:afterLines="50"/>
        <w:outlineLvl w:val="2"/>
        <w:rPr>
          <w:rFonts w:ascii="宋体" w:hAnsi="宋体"/>
          <w:b/>
          <w:bCs/>
        </w:rPr>
      </w:pPr>
      <w:bookmarkStart w:id="6955" w:name="_Toc405665319"/>
      <w:bookmarkStart w:id="6956" w:name="_Toc230516831"/>
      <w:bookmarkStart w:id="6957" w:name="_Toc304901273"/>
      <w:bookmarkStart w:id="6958" w:name="_Toc456692018"/>
      <w:bookmarkStart w:id="6959" w:name="_Toc299629518"/>
      <w:bookmarkStart w:id="6960" w:name="_Toc230517971"/>
      <w:bookmarkStart w:id="6961" w:name="_Toc300754217"/>
      <w:bookmarkStart w:id="6962" w:name="_Toc263368976"/>
      <w:bookmarkStart w:id="6963" w:name="_Toc342643035"/>
      <w:bookmarkStart w:id="6964" w:name="_Toc451019095"/>
      <w:bookmarkStart w:id="6965" w:name="_Toc106883769"/>
      <w:r>
        <w:rPr>
          <w:rFonts w:hint="eastAsia" w:ascii="宋体" w:hAnsi="宋体"/>
          <w:b/>
          <w:bCs/>
        </w:rPr>
        <w:t>9.9</w:t>
      </w:r>
      <w:r>
        <w:rPr>
          <w:rFonts w:ascii="宋体" w:hAnsi="宋体"/>
          <w:b/>
          <w:bCs/>
        </w:rPr>
        <w:t>现场测试与验收</w:t>
      </w:r>
      <w:bookmarkEnd w:id="6955"/>
      <w:bookmarkEnd w:id="6956"/>
      <w:bookmarkEnd w:id="6957"/>
      <w:bookmarkEnd w:id="6958"/>
      <w:bookmarkEnd w:id="6959"/>
      <w:bookmarkEnd w:id="6960"/>
      <w:bookmarkEnd w:id="6961"/>
      <w:bookmarkEnd w:id="6962"/>
      <w:bookmarkEnd w:id="6963"/>
      <w:bookmarkEnd w:id="6964"/>
      <w:bookmarkEnd w:id="6965"/>
    </w:p>
    <w:p>
      <w:pPr>
        <w:adjustRightInd w:val="0"/>
        <w:snapToGrid w:val="0"/>
        <w:spacing w:before="203" w:beforeLines="50" w:after="203" w:afterLines="50"/>
        <w:ind w:firstLine="500" w:firstLineChars="200"/>
        <w:rPr>
          <w:rFonts w:ascii="宋体" w:hAnsi="宋体"/>
        </w:rPr>
      </w:pPr>
      <w:r>
        <w:rPr>
          <w:rFonts w:ascii="宋体" w:hAnsi="宋体"/>
        </w:rPr>
        <w:t>承包商提供的所有设备必须通过制造厂内及工程现场的测试、检验和安装现场的验收，并向业主提供测试报告（或在业主的参与下进行测试）。所有设备的验收和测试应符合招标文件有关条款的规定。</w:t>
      </w:r>
    </w:p>
    <w:p>
      <w:pPr>
        <w:adjustRightInd w:val="0"/>
        <w:snapToGrid w:val="0"/>
        <w:spacing w:before="203" w:beforeLines="50" w:after="203" w:afterLines="50"/>
        <w:ind w:firstLine="500" w:firstLineChars="200"/>
        <w:rPr>
          <w:rFonts w:ascii="宋体" w:hAnsi="宋体"/>
        </w:rPr>
      </w:pPr>
      <w:bookmarkStart w:id="6966" w:name="_Toc263357968"/>
      <w:bookmarkStart w:id="6967" w:name="_Toc230516832"/>
      <w:bookmarkStart w:id="6968" w:name="_Toc263367255"/>
      <w:bookmarkStart w:id="6969" w:name="_Toc263368977"/>
      <w:bookmarkStart w:id="6970" w:name="_Toc230517972"/>
      <w:bookmarkStart w:id="6971" w:name="_Toc299629519"/>
      <w:r>
        <w:rPr>
          <w:rFonts w:ascii="宋体" w:hAnsi="宋体"/>
        </w:rPr>
        <w:t>（1）测试</w:t>
      </w:r>
      <w:bookmarkEnd w:id="6966"/>
      <w:bookmarkEnd w:id="6967"/>
      <w:bookmarkEnd w:id="6968"/>
      <w:bookmarkEnd w:id="6969"/>
      <w:bookmarkEnd w:id="6970"/>
      <w:bookmarkEnd w:id="6971"/>
    </w:p>
    <w:p>
      <w:pPr>
        <w:adjustRightInd w:val="0"/>
        <w:snapToGrid w:val="0"/>
        <w:spacing w:before="203" w:beforeLines="50" w:after="203" w:afterLines="50"/>
        <w:ind w:firstLine="500" w:firstLineChars="200"/>
        <w:rPr>
          <w:rFonts w:ascii="宋体" w:hAnsi="宋体"/>
        </w:rPr>
      </w:pPr>
      <w:r>
        <w:rPr>
          <w:rFonts w:ascii="宋体" w:hAnsi="宋体"/>
        </w:rPr>
        <w:t>承包商应根据中华人民共和国验收规范要求，制定出所供电气设备的现场测试方案、测试步骤及方法，并提交监理单位批准。配合设备安装单位完成到现场后的设备测试验收交接工作。对安装过程中安装单位进行的单机测试、联机测试、系统测试的相关工作负责技术支持。</w:t>
      </w:r>
    </w:p>
    <w:p>
      <w:pPr>
        <w:adjustRightInd w:val="0"/>
        <w:snapToGrid w:val="0"/>
        <w:spacing w:before="203" w:beforeLines="50" w:after="203" w:afterLines="50"/>
        <w:ind w:firstLine="500" w:firstLineChars="200"/>
        <w:rPr>
          <w:rFonts w:ascii="宋体" w:hAnsi="宋体"/>
        </w:rPr>
      </w:pPr>
      <w:r>
        <w:rPr>
          <w:rFonts w:ascii="宋体" w:hAnsi="宋体"/>
        </w:rPr>
        <w:t>工程测试是验证合同中的所有设备、系统是否能安全、有效地按合同要求运行，承包商及设备制造商必须到现场进行现场测试。</w:t>
      </w:r>
    </w:p>
    <w:p>
      <w:pPr>
        <w:adjustRightInd w:val="0"/>
        <w:snapToGrid w:val="0"/>
        <w:spacing w:before="203" w:beforeLines="50" w:after="203" w:afterLines="50"/>
        <w:ind w:firstLine="500" w:firstLineChars="200"/>
        <w:rPr>
          <w:rFonts w:ascii="宋体" w:hAnsi="宋体"/>
        </w:rPr>
      </w:pPr>
      <w:bookmarkStart w:id="6972" w:name="_Toc263368978"/>
      <w:bookmarkStart w:id="6973" w:name="_Toc263367256"/>
      <w:bookmarkStart w:id="6974" w:name="_Toc230517973"/>
      <w:bookmarkStart w:id="6975" w:name="_Toc299629520"/>
      <w:bookmarkStart w:id="6976" w:name="_Toc263357969"/>
      <w:bookmarkStart w:id="6977" w:name="_Toc230516833"/>
      <w:r>
        <w:rPr>
          <w:rFonts w:ascii="宋体" w:hAnsi="宋体"/>
        </w:rPr>
        <w:t>（2）验收</w:t>
      </w:r>
      <w:bookmarkEnd w:id="6972"/>
      <w:bookmarkEnd w:id="6973"/>
      <w:bookmarkEnd w:id="6974"/>
      <w:bookmarkEnd w:id="6975"/>
      <w:bookmarkEnd w:id="6976"/>
      <w:bookmarkEnd w:id="6977"/>
    </w:p>
    <w:p>
      <w:pPr>
        <w:adjustRightInd w:val="0"/>
        <w:snapToGrid w:val="0"/>
        <w:spacing w:before="203" w:beforeLines="50" w:after="203" w:afterLines="50"/>
        <w:ind w:firstLine="500" w:firstLineChars="200"/>
        <w:rPr>
          <w:rFonts w:ascii="宋体" w:hAnsi="宋体"/>
        </w:rPr>
      </w:pPr>
      <w:r>
        <w:rPr>
          <w:rFonts w:ascii="宋体" w:hAnsi="宋体"/>
        </w:rPr>
        <w:t>经过现场测试包括现场检查、功能测试、振动测试和接受测试。中标人应对上述测试提出详细的测试要求，并得到招标人的认可，测试完后提交结果。现场测试工具由承包商自备。</w:t>
      </w:r>
    </w:p>
    <w:p>
      <w:pPr>
        <w:adjustRightInd w:val="0"/>
        <w:snapToGrid w:val="0"/>
        <w:spacing w:before="203" w:beforeLines="50" w:after="203" w:afterLines="50"/>
        <w:ind w:firstLine="500" w:firstLineChars="200"/>
        <w:rPr>
          <w:rFonts w:ascii="宋体" w:hAnsi="宋体"/>
        </w:rPr>
      </w:pPr>
      <w:r>
        <w:rPr>
          <w:rFonts w:ascii="宋体" w:hAnsi="宋体"/>
        </w:rPr>
        <w:t>现场检查包括设备设备在仓储、运输或安装时是否损坏，设备安装是否准确，有否机械缺陷，通电后设备是否运转正常，设备的保护及联锁是否可靠。现场检查还包括附属设备的测试及联锁实验。</w:t>
      </w:r>
    </w:p>
    <w:p>
      <w:pPr>
        <w:adjustRightInd w:val="0"/>
        <w:snapToGrid w:val="0"/>
        <w:spacing w:before="203" w:beforeLines="50" w:after="203" w:afterLines="50"/>
        <w:ind w:firstLine="500" w:firstLineChars="200"/>
        <w:rPr>
          <w:rFonts w:ascii="宋体" w:hAnsi="宋体"/>
        </w:rPr>
      </w:pPr>
      <w:r>
        <w:rPr>
          <w:rFonts w:ascii="宋体" w:hAnsi="宋体"/>
        </w:rPr>
        <w:t>设备到货经检查不符合本标书的要求，业主有权提出更换，拒收和索赔的要求，由此所产生的费用和损失由承包商负责。</w:t>
      </w:r>
    </w:p>
    <w:p>
      <w:pPr>
        <w:adjustRightInd w:val="0"/>
        <w:snapToGrid w:val="0"/>
        <w:spacing w:before="203" w:beforeLines="50" w:after="203" w:afterLines="50"/>
        <w:ind w:firstLine="500" w:firstLineChars="200"/>
        <w:rPr>
          <w:rFonts w:ascii="宋体" w:hAnsi="宋体"/>
        </w:rPr>
      </w:pPr>
      <w:r>
        <w:rPr>
          <w:rFonts w:ascii="宋体" w:hAnsi="宋体"/>
        </w:rPr>
        <w:t>最终验收还必需经过工程当地权威供电部门审验通过（由招标人负责）。</w:t>
      </w:r>
    </w:p>
    <w:p>
      <w:pPr>
        <w:keepNext/>
        <w:tabs>
          <w:tab w:val="left" w:pos="993"/>
        </w:tabs>
        <w:adjustRightInd w:val="0"/>
        <w:snapToGrid w:val="0"/>
        <w:spacing w:before="203" w:beforeLines="50" w:after="203" w:afterLines="50"/>
        <w:outlineLvl w:val="0"/>
        <w:rPr>
          <w:rFonts w:ascii="宋体" w:hAnsi="宋体"/>
          <w:b/>
          <w:bCs/>
        </w:rPr>
      </w:pPr>
      <w:bookmarkStart w:id="6978" w:name="_Toc154220634"/>
      <w:bookmarkStart w:id="6979" w:name="_Toc456692019"/>
      <w:bookmarkStart w:id="6980" w:name="_Toc405665321"/>
      <w:bookmarkStart w:id="6981" w:name="_Toc342643037"/>
      <w:bookmarkStart w:id="6982" w:name="_Toc451019096"/>
      <w:bookmarkStart w:id="6983" w:name="_Toc155165169"/>
      <w:bookmarkStart w:id="6984" w:name="_Toc86356720"/>
      <w:bookmarkStart w:id="6985" w:name="_Toc154480561"/>
      <w:bookmarkStart w:id="6986" w:name="_Toc106883770"/>
      <w:r>
        <w:rPr>
          <w:rFonts w:hint="eastAsia" w:ascii="宋体" w:hAnsi="宋体"/>
          <w:b/>
          <w:bCs/>
        </w:rPr>
        <w:t>9.10</w:t>
      </w:r>
      <w:r>
        <w:rPr>
          <w:rFonts w:ascii="宋体" w:hAnsi="宋体"/>
          <w:b/>
          <w:bCs/>
        </w:rPr>
        <w:t>技术资料的提交</w:t>
      </w:r>
      <w:bookmarkEnd w:id="6978"/>
      <w:bookmarkEnd w:id="6979"/>
      <w:bookmarkEnd w:id="6980"/>
      <w:bookmarkEnd w:id="6981"/>
      <w:bookmarkEnd w:id="6982"/>
      <w:bookmarkEnd w:id="6983"/>
      <w:bookmarkEnd w:id="6984"/>
      <w:bookmarkEnd w:id="6985"/>
      <w:bookmarkEnd w:id="6986"/>
    </w:p>
    <w:p>
      <w:pPr>
        <w:adjustRightInd w:val="0"/>
        <w:snapToGrid w:val="0"/>
        <w:spacing w:before="203" w:beforeLines="50" w:after="203" w:afterLines="50"/>
        <w:rPr>
          <w:rFonts w:ascii="宋体" w:hAnsi="宋体"/>
        </w:rPr>
      </w:pPr>
      <w:bookmarkStart w:id="6987" w:name="_Toc155165170"/>
      <w:bookmarkStart w:id="6988" w:name="_Toc154480562"/>
      <w:bookmarkStart w:id="6989" w:name="_Toc44692635"/>
      <w:bookmarkStart w:id="6990" w:name="_Toc451019097"/>
      <w:bookmarkStart w:id="6991" w:name="_Toc456692020"/>
      <w:bookmarkStart w:id="6992" w:name="_Toc405665322"/>
      <w:bookmarkStart w:id="6993" w:name="_Toc342643038"/>
      <w:bookmarkStart w:id="6994" w:name="_Toc154220635"/>
      <w:r>
        <w:rPr>
          <w:rFonts w:hint="eastAsia" w:ascii="宋体" w:hAnsi="宋体"/>
          <w:b/>
        </w:rPr>
        <w:t>9</w:t>
      </w:r>
      <w:r>
        <w:rPr>
          <w:rFonts w:ascii="宋体" w:hAnsi="宋体"/>
          <w:b/>
        </w:rPr>
        <w:t>.10.1</w:t>
      </w:r>
      <w:r>
        <w:rPr>
          <w:rFonts w:ascii="宋体" w:hAnsi="宋体"/>
        </w:rPr>
        <w:t xml:space="preserve"> 概述</w:t>
      </w:r>
      <w:bookmarkEnd w:id="6987"/>
      <w:bookmarkEnd w:id="6988"/>
      <w:bookmarkEnd w:id="6989"/>
      <w:bookmarkEnd w:id="6990"/>
      <w:bookmarkEnd w:id="6991"/>
      <w:bookmarkEnd w:id="6992"/>
      <w:bookmarkEnd w:id="6993"/>
      <w:bookmarkEnd w:id="6994"/>
    </w:p>
    <w:p>
      <w:pPr>
        <w:adjustRightInd w:val="0"/>
        <w:snapToGrid w:val="0"/>
        <w:spacing w:before="203" w:beforeLines="50" w:after="203" w:afterLines="50"/>
        <w:ind w:firstLine="500" w:firstLineChars="200"/>
        <w:rPr>
          <w:rFonts w:ascii="宋体" w:hAnsi="宋体"/>
        </w:rPr>
      </w:pPr>
      <w:r>
        <w:rPr>
          <w:rFonts w:ascii="宋体" w:hAnsi="宋体"/>
        </w:rPr>
        <w:t>承包商所提供的技术资料，应满足设计、施工安装及运行维修的需要，根据提交的时间，可分为以下几部分。</w:t>
      </w:r>
    </w:p>
    <w:p>
      <w:pPr>
        <w:adjustRightInd w:val="0"/>
        <w:snapToGrid w:val="0"/>
        <w:spacing w:before="203" w:beforeLines="50" w:after="203" w:afterLines="50"/>
        <w:ind w:firstLine="500" w:firstLineChars="200"/>
        <w:rPr>
          <w:rFonts w:ascii="宋体" w:hAnsi="宋体"/>
        </w:rPr>
      </w:pPr>
      <w:r>
        <w:rPr>
          <w:rFonts w:ascii="宋体" w:hAnsi="宋体"/>
        </w:rPr>
        <w:t>第一阶段的资料：满足业主对设备的了解、认可及设计方设计需求的资料。</w:t>
      </w:r>
    </w:p>
    <w:p>
      <w:pPr>
        <w:adjustRightInd w:val="0"/>
        <w:snapToGrid w:val="0"/>
        <w:spacing w:before="203" w:beforeLines="50" w:after="203" w:afterLines="50"/>
        <w:ind w:firstLine="500" w:firstLineChars="200"/>
        <w:rPr>
          <w:rFonts w:ascii="宋体" w:hAnsi="宋体"/>
        </w:rPr>
      </w:pPr>
      <w:r>
        <w:rPr>
          <w:rFonts w:ascii="宋体" w:hAnsi="宋体"/>
        </w:rPr>
        <w:t>第二阶段的资料：满足安装需求的资料。</w:t>
      </w:r>
    </w:p>
    <w:p>
      <w:pPr>
        <w:adjustRightInd w:val="0"/>
        <w:snapToGrid w:val="0"/>
        <w:spacing w:before="203" w:beforeLines="50" w:after="203" w:afterLines="50"/>
        <w:ind w:firstLine="500" w:firstLineChars="200"/>
        <w:rPr>
          <w:rFonts w:ascii="宋体" w:hAnsi="宋体"/>
        </w:rPr>
      </w:pPr>
      <w:r>
        <w:rPr>
          <w:rFonts w:ascii="宋体" w:hAnsi="宋体"/>
        </w:rPr>
        <w:t>第三阶段的资料：满足调试、维修的需要。</w:t>
      </w:r>
    </w:p>
    <w:p>
      <w:pPr>
        <w:adjustRightInd w:val="0"/>
        <w:snapToGrid w:val="0"/>
        <w:spacing w:before="203" w:beforeLines="50" w:after="203" w:afterLines="50"/>
        <w:rPr>
          <w:rFonts w:ascii="宋体" w:hAnsi="宋体"/>
        </w:rPr>
      </w:pPr>
      <w:bookmarkStart w:id="6995" w:name="_Toc456692021"/>
      <w:bookmarkStart w:id="6996" w:name="_Toc342643039"/>
      <w:bookmarkStart w:id="6997" w:name="_Toc154220636"/>
      <w:bookmarkStart w:id="6998" w:name="_Toc451019098"/>
      <w:bookmarkStart w:id="6999" w:name="_Toc405665323"/>
      <w:bookmarkStart w:id="7000" w:name="_Toc155165171"/>
      <w:bookmarkStart w:id="7001" w:name="_Toc44692636"/>
      <w:bookmarkStart w:id="7002" w:name="_Toc154480563"/>
      <w:r>
        <w:rPr>
          <w:rFonts w:hint="eastAsia" w:ascii="宋体" w:hAnsi="宋体"/>
          <w:b/>
        </w:rPr>
        <w:t>9</w:t>
      </w:r>
      <w:r>
        <w:rPr>
          <w:rFonts w:ascii="宋体" w:hAnsi="宋体"/>
          <w:b/>
        </w:rPr>
        <w:t>.10.</w:t>
      </w:r>
      <w:r>
        <w:rPr>
          <w:rFonts w:hint="eastAsia" w:ascii="宋体" w:hAnsi="宋体"/>
          <w:b/>
        </w:rPr>
        <w:t>2</w:t>
      </w:r>
      <w:r>
        <w:rPr>
          <w:rFonts w:ascii="宋体" w:hAnsi="宋体"/>
        </w:rPr>
        <w:t xml:space="preserve">  资料内容</w:t>
      </w:r>
      <w:bookmarkEnd w:id="6995"/>
      <w:bookmarkEnd w:id="6996"/>
      <w:bookmarkEnd w:id="6997"/>
      <w:bookmarkEnd w:id="6998"/>
      <w:bookmarkEnd w:id="6999"/>
      <w:bookmarkEnd w:id="7000"/>
      <w:bookmarkEnd w:id="7001"/>
      <w:bookmarkEnd w:id="7002"/>
    </w:p>
    <w:p>
      <w:pPr>
        <w:adjustRightInd w:val="0"/>
        <w:snapToGrid w:val="0"/>
        <w:spacing w:before="203" w:beforeLines="50" w:after="203" w:afterLines="50"/>
        <w:rPr>
          <w:rFonts w:ascii="宋体" w:hAnsi="宋体"/>
        </w:rPr>
      </w:pPr>
      <w:bookmarkStart w:id="7003" w:name="_Toc342643040"/>
      <w:bookmarkStart w:id="7004" w:name="_Toc405665324"/>
      <w:bookmarkStart w:id="7005" w:name="_Toc451019099"/>
      <w:bookmarkStart w:id="7006" w:name="_Toc155165172"/>
      <w:bookmarkStart w:id="7007" w:name="_Toc154480564"/>
      <w:r>
        <w:rPr>
          <w:rFonts w:ascii="宋体" w:hAnsi="宋体"/>
        </w:rPr>
        <w:t>A</w:t>
      </w:r>
      <w:r>
        <w:rPr>
          <w:rFonts w:hint="eastAsia" w:ascii="宋体" w:hAnsi="宋体"/>
        </w:rPr>
        <w:t>．</w:t>
      </w:r>
      <w:r>
        <w:rPr>
          <w:rFonts w:ascii="宋体" w:hAnsi="宋体"/>
        </w:rPr>
        <w:t>第一阶段的资料</w:t>
      </w:r>
      <w:bookmarkEnd w:id="7003"/>
      <w:bookmarkEnd w:id="7004"/>
      <w:bookmarkEnd w:id="7005"/>
      <w:bookmarkEnd w:id="7006"/>
      <w:bookmarkEnd w:id="7007"/>
    </w:p>
    <w:p>
      <w:pPr>
        <w:numPr>
          <w:ilvl w:val="0"/>
          <w:numId w:val="138"/>
        </w:numPr>
        <w:adjustRightInd w:val="0"/>
        <w:snapToGrid w:val="0"/>
        <w:spacing w:before="203" w:beforeLines="50" w:after="203" w:afterLines="50"/>
        <w:rPr>
          <w:rFonts w:ascii="宋体" w:hAnsi="宋体"/>
        </w:rPr>
      </w:pPr>
      <w:r>
        <w:rPr>
          <w:rFonts w:ascii="宋体" w:hAnsi="宋体"/>
        </w:rPr>
        <w:t>设备样本</w:t>
      </w:r>
      <w:r>
        <w:rPr>
          <w:rFonts w:hint="eastAsia" w:ascii="宋体" w:hAnsi="宋体"/>
        </w:rPr>
        <w:t>：</w:t>
      </w:r>
      <w:r>
        <w:rPr>
          <w:rFonts w:ascii="宋体" w:hAnsi="宋体"/>
        </w:rPr>
        <w:t>设备样本应包括能描述清楚设备的概况。</w:t>
      </w:r>
    </w:p>
    <w:p>
      <w:pPr>
        <w:numPr>
          <w:ilvl w:val="0"/>
          <w:numId w:val="139"/>
        </w:numPr>
        <w:adjustRightInd w:val="0"/>
        <w:snapToGrid w:val="0"/>
        <w:spacing w:before="203" w:beforeLines="50" w:after="203" w:afterLines="50"/>
        <w:rPr>
          <w:rFonts w:ascii="宋体" w:hAnsi="宋体"/>
        </w:rPr>
      </w:pPr>
      <w:r>
        <w:rPr>
          <w:rFonts w:ascii="宋体" w:hAnsi="宋体"/>
        </w:rPr>
        <w:t>满足业主对设备的了解、认可及设计方设计需求的资料。</w:t>
      </w:r>
    </w:p>
    <w:p>
      <w:pPr>
        <w:adjustRightInd w:val="0"/>
        <w:snapToGrid w:val="0"/>
        <w:spacing w:before="203" w:beforeLines="50" w:after="203" w:afterLines="50"/>
        <w:rPr>
          <w:rFonts w:ascii="宋体" w:hAnsi="宋体"/>
        </w:rPr>
      </w:pPr>
      <w:r>
        <w:rPr>
          <w:rFonts w:ascii="宋体" w:hAnsi="宋体"/>
        </w:rPr>
        <w:t>有关设备制造商资格和能力的证明文件</w:t>
      </w:r>
    </w:p>
    <w:p>
      <w:pPr>
        <w:adjustRightInd w:val="0"/>
        <w:snapToGrid w:val="0"/>
        <w:spacing w:before="203" w:beforeLines="50" w:after="203" w:afterLines="50"/>
        <w:ind w:firstLine="500" w:firstLineChars="200"/>
        <w:rPr>
          <w:rFonts w:ascii="宋体" w:hAnsi="宋体"/>
        </w:rPr>
      </w:pPr>
      <w:r>
        <w:rPr>
          <w:rFonts w:ascii="宋体" w:hAnsi="宋体"/>
        </w:rPr>
        <w:t>（1） 承包商需按招标文件要求提供组合式低压开关柜制造商的授权委托书。</w:t>
      </w:r>
    </w:p>
    <w:p>
      <w:pPr>
        <w:adjustRightInd w:val="0"/>
        <w:snapToGrid w:val="0"/>
        <w:spacing w:before="203" w:beforeLines="50" w:after="203" w:afterLines="50"/>
        <w:ind w:firstLine="500" w:firstLineChars="200"/>
        <w:rPr>
          <w:rFonts w:ascii="宋体" w:hAnsi="宋体"/>
        </w:rPr>
      </w:pPr>
      <w:r>
        <w:rPr>
          <w:rFonts w:ascii="宋体" w:hAnsi="宋体"/>
        </w:rPr>
        <w:t>（2）承包商需按技术规范要求提供组合式低压开关柜制造商的售后服务承诺书。</w:t>
      </w:r>
    </w:p>
    <w:p>
      <w:pPr>
        <w:adjustRightInd w:val="0"/>
        <w:snapToGrid w:val="0"/>
        <w:spacing w:before="203" w:beforeLines="50" w:after="203" w:afterLines="50"/>
        <w:ind w:firstLine="500" w:firstLineChars="200"/>
        <w:rPr>
          <w:rFonts w:ascii="宋体" w:hAnsi="宋体"/>
        </w:rPr>
      </w:pPr>
      <w:r>
        <w:rPr>
          <w:rFonts w:ascii="宋体" w:hAnsi="宋体"/>
        </w:rPr>
        <w:t>（3） 设备制造商营业执照、组织机构代码证、税务登记证、ISO9000（或等同）复印件（盖设备制造商鲜章）。</w:t>
      </w:r>
    </w:p>
    <w:p>
      <w:pPr>
        <w:adjustRightInd w:val="0"/>
        <w:snapToGrid w:val="0"/>
        <w:spacing w:before="203" w:beforeLines="50" w:after="203" w:afterLines="50"/>
        <w:ind w:firstLine="500" w:firstLineChars="200"/>
        <w:rPr>
          <w:rFonts w:ascii="宋体" w:hAnsi="宋体"/>
        </w:rPr>
      </w:pPr>
      <w:r>
        <w:rPr>
          <w:rFonts w:ascii="宋体" w:hAnsi="宋体"/>
        </w:rPr>
        <w:t>C、满足业主对设备的了解、认可及设计方设计需求的技术资料。</w:t>
      </w:r>
    </w:p>
    <w:p>
      <w:pPr>
        <w:adjustRightInd w:val="0"/>
        <w:snapToGrid w:val="0"/>
        <w:spacing w:before="203" w:beforeLines="50" w:after="203" w:afterLines="50"/>
        <w:ind w:firstLine="500" w:firstLineChars="200"/>
        <w:rPr>
          <w:rFonts w:ascii="宋体" w:hAnsi="宋体"/>
        </w:rPr>
      </w:pPr>
      <w:r>
        <w:rPr>
          <w:rFonts w:ascii="宋体" w:hAnsi="宋体"/>
        </w:rPr>
        <w:t>（1）</w:t>
      </w:r>
      <w:r>
        <w:rPr>
          <w:rFonts w:ascii="宋体" w:hAnsi="宋体"/>
        </w:rPr>
        <w:tab/>
      </w:r>
      <w:r>
        <w:rPr>
          <w:rFonts w:ascii="宋体" w:hAnsi="宋体"/>
        </w:rPr>
        <w:t>合同所供设备的技术性能、外形尺寸、安装尺寸和安装使用要求；</w:t>
      </w:r>
    </w:p>
    <w:p>
      <w:pPr>
        <w:adjustRightInd w:val="0"/>
        <w:snapToGrid w:val="0"/>
        <w:spacing w:before="203" w:beforeLines="50" w:after="203" w:afterLines="50"/>
        <w:ind w:firstLine="500" w:firstLineChars="200"/>
        <w:rPr>
          <w:rFonts w:ascii="宋体" w:hAnsi="宋体"/>
        </w:rPr>
      </w:pPr>
      <w:r>
        <w:rPr>
          <w:rFonts w:ascii="宋体" w:hAnsi="宋体"/>
        </w:rPr>
        <w:t>（2）</w:t>
      </w:r>
      <w:r>
        <w:rPr>
          <w:rFonts w:ascii="宋体" w:hAnsi="宋体"/>
        </w:rPr>
        <w:tab/>
      </w:r>
      <w:r>
        <w:rPr>
          <w:rFonts w:ascii="宋体" w:hAnsi="宋体"/>
        </w:rPr>
        <w:t>合同所供设备的工作原理图；</w:t>
      </w:r>
    </w:p>
    <w:p>
      <w:pPr>
        <w:adjustRightInd w:val="0"/>
        <w:snapToGrid w:val="0"/>
        <w:spacing w:before="203" w:beforeLines="50" w:after="203" w:afterLines="50"/>
        <w:ind w:firstLine="500" w:firstLineChars="200"/>
        <w:rPr>
          <w:rFonts w:ascii="宋体" w:hAnsi="宋体"/>
        </w:rPr>
      </w:pPr>
      <w:r>
        <w:rPr>
          <w:rFonts w:ascii="宋体" w:hAnsi="宋体"/>
        </w:rPr>
        <w:t>（3）</w:t>
      </w:r>
      <w:r>
        <w:rPr>
          <w:rFonts w:ascii="宋体" w:hAnsi="宋体"/>
        </w:rPr>
        <w:tab/>
      </w:r>
      <w:r>
        <w:rPr>
          <w:rFonts w:ascii="宋体" w:hAnsi="宋体"/>
        </w:rPr>
        <w:t>合同所供设备对安装、使用环境的要求，如环境温度、湿度及其它特殊要求，设备供货方提供的电缆标准和要求；</w:t>
      </w:r>
    </w:p>
    <w:p>
      <w:pPr>
        <w:adjustRightInd w:val="0"/>
        <w:snapToGrid w:val="0"/>
        <w:spacing w:before="203" w:beforeLines="50" w:after="203" w:afterLines="50"/>
        <w:ind w:firstLine="500" w:firstLineChars="200"/>
        <w:rPr>
          <w:rFonts w:ascii="宋体" w:hAnsi="宋体"/>
        </w:rPr>
      </w:pPr>
      <w:r>
        <w:rPr>
          <w:rFonts w:ascii="宋体" w:hAnsi="宋体"/>
        </w:rPr>
        <w:t>（4）</w:t>
      </w:r>
      <w:r>
        <w:rPr>
          <w:rFonts w:ascii="宋体" w:hAnsi="宋体"/>
        </w:rPr>
        <w:tab/>
      </w:r>
      <w:r>
        <w:rPr>
          <w:rFonts w:ascii="宋体" w:hAnsi="宋体"/>
        </w:rPr>
        <w:t>起吊方式及要求；</w:t>
      </w:r>
    </w:p>
    <w:p>
      <w:pPr>
        <w:adjustRightInd w:val="0"/>
        <w:snapToGrid w:val="0"/>
        <w:spacing w:before="203" w:beforeLines="50" w:after="203" w:afterLines="50"/>
        <w:ind w:firstLine="500" w:firstLineChars="200"/>
        <w:rPr>
          <w:rFonts w:ascii="宋体" w:hAnsi="宋体"/>
        </w:rPr>
      </w:pPr>
      <w:r>
        <w:rPr>
          <w:rFonts w:ascii="宋体" w:hAnsi="宋体"/>
        </w:rPr>
        <w:t>（5）</w:t>
      </w:r>
      <w:r>
        <w:rPr>
          <w:rFonts w:ascii="宋体" w:hAnsi="宋体"/>
        </w:rPr>
        <w:tab/>
      </w:r>
      <w:r>
        <w:rPr>
          <w:rFonts w:ascii="宋体" w:hAnsi="宋体"/>
        </w:rPr>
        <w:t>设备的使用寿命；</w:t>
      </w:r>
    </w:p>
    <w:p>
      <w:pPr>
        <w:adjustRightInd w:val="0"/>
        <w:snapToGrid w:val="0"/>
        <w:spacing w:before="203" w:beforeLines="50" w:after="203" w:afterLines="50"/>
        <w:ind w:firstLine="500" w:firstLineChars="200"/>
        <w:rPr>
          <w:rFonts w:ascii="宋体" w:hAnsi="宋体"/>
        </w:rPr>
      </w:pPr>
      <w:r>
        <w:rPr>
          <w:rFonts w:ascii="宋体" w:hAnsi="宋体"/>
        </w:rPr>
        <w:t>（6）</w:t>
      </w:r>
      <w:r>
        <w:rPr>
          <w:rFonts w:ascii="宋体" w:hAnsi="宋体"/>
        </w:rPr>
        <w:tab/>
      </w:r>
      <w:r>
        <w:rPr>
          <w:rFonts w:ascii="宋体" w:hAnsi="宋体"/>
        </w:rPr>
        <w:t>合同所供单元（指各处理单元）成套设备的设备、仪表配置图（PiD图）；</w:t>
      </w:r>
    </w:p>
    <w:p>
      <w:pPr>
        <w:adjustRightInd w:val="0"/>
        <w:snapToGrid w:val="0"/>
        <w:spacing w:before="203" w:beforeLines="50" w:after="203" w:afterLines="50"/>
        <w:ind w:firstLine="500" w:firstLineChars="200"/>
        <w:rPr>
          <w:rFonts w:ascii="宋体" w:hAnsi="宋体"/>
        </w:rPr>
      </w:pPr>
      <w:r>
        <w:rPr>
          <w:rFonts w:ascii="宋体" w:hAnsi="宋体"/>
        </w:rPr>
        <w:t>（7）</w:t>
      </w:r>
      <w:r>
        <w:rPr>
          <w:rFonts w:ascii="宋体" w:hAnsi="宋体"/>
        </w:rPr>
        <w:tab/>
      </w:r>
      <w:r>
        <w:rPr>
          <w:rFonts w:ascii="宋体" w:hAnsi="宋体"/>
        </w:rPr>
        <w:t>合同所供单元成套设备及管线的建议的平面、剖面布置图（即土建导图）；</w:t>
      </w:r>
    </w:p>
    <w:p>
      <w:pPr>
        <w:adjustRightInd w:val="0"/>
        <w:snapToGrid w:val="0"/>
        <w:spacing w:before="203" w:beforeLines="50" w:after="203" w:afterLines="50"/>
        <w:ind w:firstLine="500" w:firstLineChars="200"/>
        <w:rPr>
          <w:rFonts w:ascii="宋体" w:hAnsi="宋体"/>
        </w:rPr>
      </w:pPr>
      <w:r>
        <w:rPr>
          <w:rFonts w:ascii="宋体" w:hAnsi="宋体"/>
        </w:rPr>
        <w:t>（8）</w:t>
      </w:r>
      <w:r>
        <w:rPr>
          <w:rFonts w:ascii="宋体" w:hAnsi="宋体"/>
        </w:rPr>
        <w:tab/>
      </w:r>
      <w:r>
        <w:rPr>
          <w:rFonts w:ascii="宋体" w:hAnsi="宋体"/>
        </w:rPr>
        <w:t>设备的安装图及说明；</w:t>
      </w:r>
    </w:p>
    <w:p>
      <w:pPr>
        <w:adjustRightInd w:val="0"/>
        <w:snapToGrid w:val="0"/>
        <w:spacing w:before="203" w:beforeLines="50" w:after="203" w:afterLines="50"/>
        <w:ind w:firstLine="500" w:firstLineChars="200"/>
        <w:rPr>
          <w:rFonts w:ascii="宋体" w:hAnsi="宋体"/>
        </w:rPr>
      </w:pPr>
      <w:r>
        <w:rPr>
          <w:rFonts w:ascii="宋体" w:hAnsi="宋体"/>
        </w:rPr>
        <w:t>（9）</w:t>
      </w:r>
      <w:r>
        <w:rPr>
          <w:rFonts w:ascii="宋体" w:hAnsi="宋体"/>
        </w:rPr>
        <w:tab/>
      </w:r>
      <w:r>
        <w:rPr>
          <w:rFonts w:ascii="宋体" w:hAnsi="宋体"/>
        </w:rPr>
        <w:t>标明设备的运输重量、尺寸和安装的总重量；</w:t>
      </w:r>
    </w:p>
    <w:p>
      <w:pPr>
        <w:adjustRightInd w:val="0"/>
        <w:snapToGrid w:val="0"/>
        <w:spacing w:before="203" w:beforeLines="50" w:after="203" w:afterLines="50"/>
        <w:ind w:firstLine="500" w:firstLineChars="200"/>
        <w:rPr>
          <w:rFonts w:ascii="宋体" w:hAnsi="宋体"/>
        </w:rPr>
      </w:pPr>
      <w:r>
        <w:rPr>
          <w:rFonts w:ascii="宋体" w:hAnsi="宋体"/>
        </w:rPr>
        <w:t>（10）</w:t>
      </w:r>
      <w:r>
        <w:rPr>
          <w:rFonts w:ascii="宋体" w:hAnsi="宋体"/>
        </w:rPr>
        <w:tab/>
      </w:r>
      <w:r>
        <w:rPr>
          <w:rFonts w:ascii="宋体" w:hAnsi="宋体"/>
        </w:rPr>
        <w:t>标明机械设备维修时的最重部件的重量和尺寸；</w:t>
      </w:r>
    </w:p>
    <w:p>
      <w:pPr>
        <w:adjustRightInd w:val="0"/>
        <w:snapToGrid w:val="0"/>
        <w:spacing w:before="203" w:beforeLines="50" w:after="203" w:afterLines="50"/>
        <w:ind w:firstLine="500" w:firstLineChars="200"/>
        <w:rPr>
          <w:rFonts w:ascii="宋体" w:hAnsi="宋体"/>
        </w:rPr>
      </w:pPr>
      <w:r>
        <w:rPr>
          <w:rFonts w:ascii="宋体" w:hAnsi="宋体"/>
        </w:rPr>
        <w:t>（11）</w:t>
      </w:r>
      <w:r>
        <w:rPr>
          <w:rFonts w:ascii="宋体" w:hAnsi="宋体"/>
        </w:rPr>
        <w:tab/>
      </w:r>
      <w:r>
        <w:rPr>
          <w:rFonts w:ascii="宋体" w:hAnsi="宋体"/>
        </w:rPr>
        <w:t>所供设备的主机、辅机、特殊工具及备品备件</w:t>
      </w:r>
    </w:p>
    <w:p>
      <w:pPr>
        <w:adjustRightInd w:val="0"/>
        <w:snapToGrid w:val="0"/>
        <w:spacing w:before="203" w:beforeLines="50" w:after="203" w:afterLines="50"/>
        <w:ind w:firstLine="500" w:firstLineChars="200"/>
        <w:rPr>
          <w:rFonts w:ascii="宋体" w:hAnsi="宋体"/>
        </w:rPr>
      </w:pPr>
      <w:r>
        <w:rPr>
          <w:rFonts w:ascii="宋体" w:hAnsi="宋体"/>
        </w:rPr>
        <w:t>（12）</w:t>
      </w:r>
      <w:r>
        <w:rPr>
          <w:rFonts w:ascii="宋体" w:hAnsi="宋体"/>
        </w:rPr>
        <w:tab/>
      </w:r>
      <w:r>
        <w:rPr>
          <w:rFonts w:ascii="宋体" w:hAnsi="宋体"/>
        </w:rPr>
        <w:t>电气接线图。</w:t>
      </w:r>
    </w:p>
    <w:p>
      <w:pPr>
        <w:adjustRightInd w:val="0"/>
        <w:snapToGrid w:val="0"/>
        <w:spacing w:before="203" w:beforeLines="50" w:after="203" w:afterLines="50"/>
        <w:rPr>
          <w:rFonts w:ascii="宋体" w:hAnsi="宋体"/>
        </w:rPr>
      </w:pPr>
      <w:bookmarkStart w:id="7008" w:name="_Toc155165173"/>
      <w:bookmarkStart w:id="7009" w:name="_Toc451019100"/>
      <w:bookmarkStart w:id="7010" w:name="_Toc342643041"/>
      <w:bookmarkStart w:id="7011" w:name="_Toc154480565"/>
      <w:bookmarkStart w:id="7012" w:name="_Toc405665325"/>
      <w:r>
        <w:rPr>
          <w:rFonts w:hint="eastAsia" w:ascii="宋体" w:hAnsi="宋体"/>
        </w:rPr>
        <w:t>B</w:t>
      </w:r>
      <w:r>
        <w:rPr>
          <w:rFonts w:ascii="宋体" w:hAnsi="宋体"/>
        </w:rPr>
        <w:t>. 第二阶段资料</w:t>
      </w:r>
      <w:bookmarkEnd w:id="7008"/>
      <w:bookmarkEnd w:id="7009"/>
      <w:bookmarkEnd w:id="7010"/>
      <w:bookmarkEnd w:id="7011"/>
      <w:bookmarkEnd w:id="7012"/>
      <w:r>
        <w:rPr>
          <w:rFonts w:hint="eastAsia" w:ascii="宋体" w:hAnsi="宋体"/>
        </w:rPr>
        <w:t>:</w:t>
      </w:r>
      <w:r>
        <w:rPr>
          <w:rFonts w:ascii="宋体" w:hAnsi="宋体"/>
        </w:rPr>
        <w:t>安装手册及与安装有关的资料</w:t>
      </w:r>
    </w:p>
    <w:p>
      <w:pPr>
        <w:adjustRightInd w:val="0"/>
        <w:snapToGrid w:val="0"/>
        <w:spacing w:before="203" w:beforeLines="50" w:after="203" w:afterLines="50"/>
        <w:rPr>
          <w:rFonts w:ascii="宋体" w:hAnsi="宋体"/>
        </w:rPr>
      </w:pPr>
      <w:bookmarkStart w:id="7013" w:name="_Toc154480566"/>
      <w:bookmarkStart w:id="7014" w:name="_Toc405665326"/>
      <w:bookmarkStart w:id="7015" w:name="_Toc451019101"/>
      <w:bookmarkStart w:id="7016" w:name="_Toc342643042"/>
      <w:bookmarkStart w:id="7017" w:name="_Toc155165174"/>
      <w:r>
        <w:rPr>
          <w:rFonts w:ascii="宋体" w:hAnsi="宋体"/>
        </w:rPr>
        <w:t>C. 第三阶段资料</w:t>
      </w:r>
      <w:bookmarkEnd w:id="7013"/>
      <w:bookmarkEnd w:id="7014"/>
      <w:bookmarkEnd w:id="7015"/>
      <w:bookmarkEnd w:id="7016"/>
      <w:bookmarkEnd w:id="7017"/>
    </w:p>
    <w:p>
      <w:pPr>
        <w:adjustRightInd w:val="0"/>
        <w:snapToGrid w:val="0"/>
        <w:spacing w:before="203" w:beforeLines="50" w:after="203" w:afterLines="50"/>
        <w:ind w:firstLine="500" w:firstLineChars="200"/>
        <w:rPr>
          <w:rFonts w:ascii="宋体" w:hAnsi="宋体"/>
        </w:rPr>
      </w:pPr>
      <w:r>
        <w:rPr>
          <w:rFonts w:ascii="宋体" w:hAnsi="宋体"/>
        </w:rPr>
        <w:t>（1）</w:t>
      </w:r>
      <w:r>
        <w:rPr>
          <w:rFonts w:ascii="宋体" w:hAnsi="宋体"/>
        </w:rPr>
        <w:tab/>
      </w:r>
      <w:r>
        <w:rPr>
          <w:rFonts w:ascii="宋体" w:hAnsi="宋体"/>
        </w:rPr>
        <w:t>操作、维护手册</w:t>
      </w:r>
    </w:p>
    <w:p>
      <w:pPr>
        <w:adjustRightInd w:val="0"/>
        <w:snapToGrid w:val="0"/>
        <w:spacing w:before="203" w:beforeLines="50" w:after="203" w:afterLines="50"/>
        <w:ind w:firstLine="500" w:firstLineChars="200"/>
        <w:rPr>
          <w:rFonts w:ascii="宋体" w:hAnsi="宋体"/>
        </w:rPr>
      </w:pPr>
      <w:r>
        <w:rPr>
          <w:rFonts w:ascii="宋体" w:hAnsi="宋体"/>
        </w:rPr>
        <w:t>（2）</w:t>
      </w:r>
      <w:r>
        <w:rPr>
          <w:rFonts w:ascii="宋体" w:hAnsi="宋体"/>
        </w:rPr>
        <w:tab/>
      </w:r>
      <w:r>
        <w:rPr>
          <w:rFonts w:ascii="宋体" w:hAnsi="宋体"/>
        </w:rPr>
        <w:t>培训计划</w:t>
      </w:r>
    </w:p>
    <w:p>
      <w:pPr>
        <w:adjustRightInd w:val="0"/>
        <w:snapToGrid w:val="0"/>
        <w:spacing w:before="203" w:beforeLines="50" w:after="203" w:afterLines="50"/>
        <w:ind w:firstLine="500" w:firstLineChars="200"/>
        <w:rPr>
          <w:rFonts w:ascii="宋体" w:hAnsi="宋体"/>
        </w:rPr>
      </w:pPr>
      <w:r>
        <w:rPr>
          <w:rFonts w:ascii="宋体" w:hAnsi="宋体"/>
        </w:rPr>
        <w:t>试车、测试计划</w:t>
      </w:r>
    </w:p>
    <w:p>
      <w:pPr>
        <w:adjustRightInd w:val="0"/>
        <w:snapToGrid w:val="0"/>
        <w:spacing w:before="203" w:beforeLines="50" w:after="203" w:afterLines="50"/>
        <w:outlineLvl w:val="0"/>
        <w:rPr>
          <w:rFonts w:ascii="宋体" w:hAnsi="宋体"/>
          <w:b/>
          <w:bCs/>
        </w:rPr>
      </w:pPr>
      <w:bookmarkStart w:id="7018" w:name="_Toc155165175"/>
      <w:bookmarkStart w:id="7019" w:name="_Toc342643043"/>
      <w:bookmarkStart w:id="7020" w:name="_Toc154480567"/>
      <w:bookmarkStart w:id="7021" w:name="_Toc456692022"/>
      <w:bookmarkStart w:id="7022" w:name="_Toc44692637"/>
      <w:bookmarkStart w:id="7023" w:name="_Toc405665327"/>
      <w:bookmarkStart w:id="7024" w:name="_Toc154220637"/>
      <w:bookmarkStart w:id="7025" w:name="_Toc451019102"/>
      <w:bookmarkStart w:id="7026" w:name="_Toc106050545"/>
      <w:bookmarkStart w:id="7027" w:name="_Toc106883771"/>
      <w:r>
        <w:rPr>
          <w:rFonts w:hint="eastAsia" w:ascii="宋体" w:hAnsi="宋体"/>
          <w:b/>
          <w:bCs/>
        </w:rPr>
        <w:t>9</w:t>
      </w:r>
      <w:r>
        <w:rPr>
          <w:rFonts w:ascii="宋体" w:hAnsi="宋体"/>
          <w:b/>
          <w:bCs/>
        </w:rPr>
        <w:t>.10.</w:t>
      </w:r>
      <w:r>
        <w:rPr>
          <w:rFonts w:hint="eastAsia" w:ascii="宋体" w:hAnsi="宋体"/>
          <w:b/>
          <w:bCs/>
        </w:rPr>
        <w:t>2.</w:t>
      </w:r>
      <w:r>
        <w:rPr>
          <w:rFonts w:ascii="宋体" w:hAnsi="宋体"/>
          <w:b/>
          <w:bCs/>
        </w:rPr>
        <w:t>1 资料提交时间及程序</w:t>
      </w:r>
      <w:bookmarkEnd w:id="7018"/>
      <w:bookmarkEnd w:id="7019"/>
      <w:bookmarkEnd w:id="7020"/>
      <w:bookmarkEnd w:id="7021"/>
      <w:bookmarkEnd w:id="7022"/>
      <w:bookmarkEnd w:id="7023"/>
      <w:bookmarkEnd w:id="7024"/>
      <w:bookmarkEnd w:id="7025"/>
      <w:bookmarkEnd w:id="7026"/>
      <w:bookmarkEnd w:id="7027"/>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1"/>
        <w:gridCol w:w="1866"/>
        <w:gridCol w:w="3000"/>
        <w:gridCol w:w="2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tblHeader/>
          <w:jc w:val="center"/>
        </w:trPr>
        <w:tc>
          <w:tcPr>
            <w:tcW w:w="695" w:type="dxa"/>
            <w:vAlign w:val="center"/>
          </w:tcPr>
          <w:p>
            <w:pPr>
              <w:keepNext/>
              <w:adjustRightInd w:val="0"/>
              <w:snapToGrid w:val="0"/>
              <w:jc w:val="center"/>
              <w:rPr>
                <w:rFonts w:ascii="宋体" w:hAnsi="宋体"/>
              </w:rPr>
            </w:pPr>
            <w:r>
              <w:rPr>
                <w:rFonts w:ascii="宋体" w:hAnsi="宋体"/>
              </w:rPr>
              <w:t>序号</w:t>
            </w:r>
          </w:p>
        </w:tc>
        <w:tc>
          <w:tcPr>
            <w:tcW w:w="1852" w:type="dxa"/>
            <w:vAlign w:val="center"/>
          </w:tcPr>
          <w:p>
            <w:pPr>
              <w:keepNext/>
              <w:adjustRightInd w:val="0"/>
              <w:snapToGrid w:val="0"/>
              <w:jc w:val="center"/>
              <w:rPr>
                <w:rFonts w:ascii="宋体" w:hAnsi="宋体"/>
              </w:rPr>
            </w:pPr>
            <w:r>
              <w:rPr>
                <w:rFonts w:ascii="宋体" w:hAnsi="宋体"/>
              </w:rPr>
              <w:t>资料名称</w:t>
            </w:r>
          </w:p>
        </w:tc>
        <w:tc>
          <w:tcPr>
            <w:tcW w:w="2977" w:type="dxa"/>
            <w:vAlign w:val="center"/>
          </w:tcPr>
          <w:p>
            <w:pPr>
              <w:keepNext/>
              <w:adjustRightInd w:val="0"/>
              <w:snapToGrid w:val="0"/>
              <w:jc w:val="center"/>
              <w:rPr>
                <w:rFonts w:ascii="宋体" w:hAnsi="宋体"/>
              </w:rPr>
            </w:pPr>
            <w:r>
              <w:rPr>
                <w:rFonts w:ascii="宋体" w:hAnsi="宋体"/>
              </w:rPr>
              <w:t>提交时间</w:t>
            </w:r>
          </w:p>
        </w:tc>
        <w:tc>
          <w:tcPr>
            <w:tcW w:w="2970" w:type="dxa"/>
            <w:vAlign w:val="center"/>
          </w:tcPr>
          <w:p>
            <w:pPr>
              <w:keepNext/>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695" w:type="dxa"/>
            <w:vAlign w:val="center"/>
          </w:tcPr>
          <w:p>
            <w:pPr>
              <w:adjustRightInd w:val="0"/>
              <w:snapToGrid w:val="0"/>
              <w:jc w:val="center"/>
              <w:rPr>
                <w:rFonts w:ascii="宋体" w:hAnsi="宋体"/>
              </w:rPr>
            </w:pPr>
            <w:r>
              <w:rPr>
                <w:rFonts w:ascii="宋体" w:hAnsi="宋体"/>
              </w:rPr>
              <w:t>1</w:t>
            </w:r>
          </w:p>
        </w:tc>
        <w:tc>
          <w:tcPr>
            <w:tcW w:w="1852" w:type="dxa"/>
            <w:vAlign w:val="center"/>
          </w:tcPr>
          <w:p>
            <w:pPr>
              <w:adjustRightInd w:val="0"/>
              <w:snapToGrid w:val="0"/>
              <w:jc w:val="center"/>
              <w:rPr>
                <w:rFonts w:ascii="宋体" w:hAnsi="宋体"/>
              </w:rPr>
            </w:pPr>
            <w:r>
              <w:rPr>
                <w:rFonts w:ascii="宋体" w:hAnsi="宋体"/>
              </w:rPr>
              <w:t>第一阶段资料</w:t>
            </w:r>
          </w:p>
        </w:tc>
        <w:tc>
          <w:tcPr>
            <w:tcW w:w="2977" w:type="dxa"/>
            <w:vAlign w:val="center"/>
          </w:tcPr>
          <w:p>
            <w:pPr>
              <w:adjustRightInd w:val="0"/>
              <w:snapToGrid w:val="0"/>
              <w:jc w:val="center"/>
              <w:rPr>
                <w:rFonts w:ascii="宋体" w:hAnsi="宋体"/>
              </w:rPr>
            </w:pPr>
            <w:r>
              <w:rPr>
                <w:rFonts w:ascii="宋体" w:hAnsi="宋体"/>
              </w:rPr>
              <w:t>作为投标文件的组成部分</w:t>
            </w:r>
          </w:p>
        </w:tc>
        <w:tc>
          <w:tcPr>
            <w:tcW w:w="2970" w:type="dxa"/>
            <w:vAlign w:val="center"/>
          </w:tcPr>
          <w:p>
            <w:pPr>
              <w:adjustRightInd w:val="0"/>
              <w:snapToGrid w:val="0"/>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695" w:type="dxa"/>
            <w:vAlign w:val="center"/>
          </w:tcPr>
          <w:p>
            <w:pPr>
              <w:adjustRightInd w:val="0"/>
              <w:snapToGrid w:val="0"/>
              <w:jc w:val="center"/>
              <w:rPr>
                <w:rFonts w:ascii="宋体" w:hAnsi="宋体"/>
              </w:rPr>
            </w:pPr>
            <w:r>
              <w:rPr>
                <w:rFonts w:ascii="宋体" w:hAnsi="宋体"/>
              </w:rPr>
              <w:t>2</w:t>
            </w:r>
          </w:p>
        </w:tc>
        <w:tc>
          <w:tcPr>
            <w:tcW w:w="1852" w:type="dxa"/>
            <w:vAlign w:val="center"/>
          </w:tcPr>
          <w:p>
            <w:pPr>
              <w:adjustRightInd w:val="0"/>
              <w:snapToGrid w:val="0"/>
              <w:jc w:val="center"/>
              <w:rPr>
                <w:rFonts w:ascii="宋体" w:hAnsi="宋体"/>
              </w:rPr>
            </w:pPr>
            <w:r>
              <w:rPr>
                <w:rFonts w:ascii="宋体" w:hAnsi="宋体"/>
              </w:rPr>
              <w:t>第二阶段资料</w:t>
            </w:r>
          </w:p>
        </w:tc>
        <w:tc>
          <w:tcPr>
            <w:tcW w:w="2977" w:type="dxa"/>
            <w:vAlign w:val="center"/>
          </w:tcPr>
          <w:p>
            <w:pPr>
              <w:adjustRightInd w:val="0"/>
              <w:snapToGrid w:val="0"/>
              <w:jc w:val="center"/>
              <w:rPr>
                <w:rFonts w:ascii="宋体" w:hAnsi="宋体"/>
              </w:rPr>
            </w:pPr>
            <w:r>
              <w:rPr>
                <w:rFonts w:ascii="宋体" w:hAnsi="宋体"/>
              </w:rPr>
              <w:t>签合同后1个月内</w:t>
            </w:r>
          </w:p>
        </w:tc>
        <w:tc>
          <w:tcPr>
            <w:tcW w:w="2970" w:type="dxa"/>
            <w:vAlign w:val="center"/>
          </w:tcPr>
          <w:p>
            <w:pPr>
              <w:adjustRightInd w:val="0"/>
              <w:snapToGrid w:val="0"/>
              <w:jc w:val="center"/>
              <w:rPr>
                <w:rFonts w:ascii="宋体" w:hAnsi="宋体"/>
              </w:rPr>
            </w:pPr>
            <w:r>
              <w:rPr>
                <w:rFonts w:ascii="宋体" w:hAnsi="宋体"/>
              </w:rPr>
              <w:t>包括征求业意见，并进行修改后的最终版本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695" w:type="dxa"/>
            <w:vAlign w:val="center"/>
          </w:tcPr>
          <w:p>
            <w:pPr>
              <w:adjustRightInd w:val="0"/>
              <w:snapToGrid w:val="0"/>
              <w:jc w:val="center"/>
              <w:rPr>
                <w:rFonts w:ascii="宋体" w:hAnsi="宋体"/>
              </w:rPr>
            </w:pPr>
            <w:r>
              <w:rPr>
                <w:rFonts w:ascii="宋体" w:hAnsi="宋体"/>
              </w:rPr>
              <w:t>3</w:t>
            </w:r>
          </w:p>
        </w:tc>
        <w:tc>
          <w:tcPr>
            <w:tcW w:w="1852" w:type="dxa"/>
            <w:vAlign w:val="center"/>
          </w:tcPr>
          <w:p>
            <w:pPr>
              <w:adjustRightInd w:val="0"/>
              <w:snapToGrid w:val="0"/>
              <w:jc w:val="center"/>
              <w:rPr>
                <w:rFonts w:ascii="宋体" w:hAnsi="宋体"/>
              </w:rPr>
            </w:pPr>
            <w:r>
              <w:rPr>
                <w:rFonts w:ascii="宋体" w:hAnsi="宋体"/>
              </w:rPr>
              <w:t>第三阶段资料</w:t>
            </w:r>
          </w:p>
        </w:tc>
        <w:tc>
          <w:tcPr>
            <w:tcW w:w="2977" w:type="dxa"/>
            <w:vAlign w:val="center"/>
          </w:tcPr>
          <w:p>
            <w:pPr>
              <w:adjustRightInd w:val="0"/>
              <w:snapToGrid w:val="0"/>
              <w:jc w:val="center"/>
              <w:rPr>
                <w:rFonts w:ascii="宋体" w:hAnsi="宋体"/>
              </w:rPr>
            </w:pPr>
            <w:r>
              <w:rPr>
                <w:rFonts w:ascii="宋体" w:hAnsi="宋体"/>
              </w:rPr>
              <w:t>签合同后5个月内</w:t>
            </w:r>
          </w:p>
        </w:tc>
        <w:tc>
          <w:tcPr>
            <w:tcW w:w="2970" w:type="dxa"/>
            <w:vAlign w:val="center"/>
          </w:tcPr>
          <w:p>
            <w:pPr>
              <w:adjustRightInd w:val="0"/>
              <w:snapToGrid w:val="0"/>
              <w:jc w:val="center"/>
              <w:rPr>
                <w:rFonts w:ascii="宋体" w:hAnsi="宋体"/>
              </w:rPr>
            </w:pPr>
            <w:r>
              <w:rPr>
                <w:rFonts w:ascii="宋体" w:hAnsi="宋体"/>
              </w:rPr>
              <w:t>包括征求业意见，并进行修改后的最终版本</w:t>
            </w:r>
          </w:p>
        </w:tc>
      </w:tr>
    </w:tbl>
    <w:p>
      <w:pPr>
        <w:adjustRightInd w:val="0"/>
        <w:snapToGrid w:val="0"/>
        <w:spacing w:before="203" w:beforeLines="50" w:after="203" w:afterLines="50"/>
        <w:rPr>
          <w:rFonts w:ascii="宋体" w:hAnsi="宋体"/>
          <w:b/>
          <w:bCs/>
        </w:rPr>
      </w:pPr>
      <w:bookmarkStart w:id="7028" w:name="_Toc154480568"/>
      <w:bookmarkStart w:id="7029" w:name="_Toc405665328"/>
      <w:bookmarkStart w:id="7030" w:name="_Toc342643044"/>
      <w:bookmarkStart w:id="7031" w:name="_Toc44692638"/>
      <w:bookmarkStart w:id="7032" w:name="_Toc451019103"/>
      <w:bookmarkStart w:id="7033" w:name="_Toc456692023"/>
      <w:bookmarkStart w:id="7034" w:name="_Toc154220638"/>
      <w:bookmarkStart w:id="7035" w:name="_Toc155165176"/>
      <w:bookmarkStart w:id="7036" w:name="_Hlt154222684"/>
      <w:r>
        <w:rPr>
          <w:rFonts w:hint="eastAsia" w:ascii="宋体" w:hAnsi="宋体"/>
          <w:b/>
          <w:bCs/>
        </w:rPr>
        <w:t>9</w:t>
      </w:r>
      <w:r>
        <w:rPr>
          <w:rFonts w:ascii="宋体" w:hAnsi="宋体"/>
          <w:b/>
          <w:bCs/>
        </w:rPr>
        <w:t>.10.2</w:t>
      </w:r>
      <w:r>
        <w:rPr>
          <w:rFonts w:hint="eastAsia" w:ascii="宋体" w:hAnsi="宋体"/>
          <w:b/>
          <w:bCs/>
        </w:rPr>
        <w:t>.2</w:t>
      </w:r>
      <w:r>
        <w:rPr>
          <w:rFonts w:ascii="宋体" w:hAnsi="宋体"/>
          <w:b/>
          <w:bCs/>
        </w:rPr>
        <w:t xml:space="preserve"> 资料提交的份数及语种</w:t>
      </w:r>
      <w:bookmarkEnd w:id="7028"/>
      <w:bookmarkEnd w:id="7029"/>
      <w:bookmarkEnd w:id="7030"/>
      <w:bookmarkEnd w:id="7031"/>
      <w:bookmarkEnd w:id="7032"/>
      <w:bookmarkEnd w:id="7033"/>
      <w:bookmarkEnd w:id="7034"/>
      <w:bookmarkEnd w:id="7035"/>
    </w:p>
    <w:bookmarkEnd w:id="7036"/>
    <w:p>
      <w:pPr>
        <w:numPr>
          <w:ilvl w:val="0"/>
          <w:numId w:val="140"/>
        </w:numPr>
        <w:adjustRightInd w:val="0"/>
        <w:snapToGrid w:val="0"/>
        <w:spacing w:before="203" w:beforeLines="50" w:after="203" w:afterLines="50"/>
        <w:rPr>
          <w:rFonts w:ascii="宋体" w:hAnsi="宋体"/>
        </w:rPr>
      </w:pPr>
      <w:bookmarkStart w:id="7037" w:name="_Toc451019104"/>
      <w:bookmarkStart w:id="7038" w:name="_Toc155165177"/>
      <w:bookmarkStart w:id="7039" w:name="_Toc405665329"/>
      <w:bookmarkStart w:id="7040" w:name="_Toc342643045"/>
      <w:bookmarkStart w:id="7041" w:name="_Toc154480569"/>
      <w:r>
        <w:rPr>
          <w:rFonts w:ascii="宋体" w:hAnsi="宋体"/>
        </w:rPr>
        <w:t>份数</w:t>
      </w:r>
      <w:bookmarkEnd w:id="7037"/>
      <w:bookmarkEnd w:id="7038"/>
      <w:bookmarkEnd w:id="7039"/>
      <w:bookmarkEnd w:id="7040"/>
      <w:bookmarkEnd w:id="7041"/>
      <w:r>
        <w:rPr>
          <w:rFonts w:hint="eastAsia" w:ascii="宋体" w:hAnsi="宋体"/>
        </w:rPr>
        <w:t>:</w:t>
      </w:r>
      <w:r>
        <w:rPr>
          <w:rFonts w:ascii="宋体" w:hAnsi="宋体"/>
        </w:rPr>
        <w:t>所有资料应向业主提交8份。</w:t>
      </w:r>
    </w:p>
    <w:p>
      <w:pPr>
        <w:numPr>
          <w:ilvl w:val="0"/>
          <w:numId w:val="140"/>
        </w:numPr>
        <w:adjustRightInd w:val="0"/>
        <w:snapToGrid w:val="0"/>
        <w:spacing w:before="203" w:beforeLines="50" w:after="203" w:afterLines="50"/>
        <w:rPr>
          <w:rFonts w:ascii="宋体" w:hAnsi="宋体"/>
        </w:rPr>
      </w:pPr>
      <w:bookmarkStart w:id="7042" w:name="_Toc154480570"/>
      <w:bookmarkStart w:id="7043" w:name="_Toc155165178"/>
      <w:bookmarkStart w:id="7044" w:name="_Toc405665330"/>
      <w:bookmarkStart w:id="7045" w:name="_Toc451019105"/>
      <w:bookmarkStart w:id="7046" w:name="_Toc342643046"/>
      <w:r>
        <w:rPr>
          <w:rFonts w:ascii="宋体" w:hAnsi="宋体"/>
        </w:rPr>
        <w:t>语种</w:t>
      </w:r>
      <w:bookmarkEnd w:id="7042"/>
      <w:bookmarkEnd w:id="7043"/>
      <w:bookmarkEnd w:id="7044"/>
      <w:bookmarkEnd w:id="7045"/>
      <w:bookmarkEnd w:id="7046"/>
      <w:r>
        <w:rPr>
          <w:rFonts w:hint="eastAsia" w:ascii="宋体" w:hAnsi="宋体"/>
        </w:rPr>
        <w:t>:</w:t>
      </w:r>
      <w:r>
        <w:rPr>
          <w:rFonts w:ascii="宋体" w:hAnsi="宋体"/>
        </w:rPr>
        <w:t xml:space="preserve"> 所有资料必须有中文版本及电子文档。如是进口设备，除提供外文资料外，须提供中文翻译资料，并保证翻译无误，由于翻译错误而带来的责任由承包商负责。</w:t>
      </w:r>
      <w:r>
        <w:rPr>
          <w:rFonts w:ascii="宋体" w:hAnsi="宋体"/>
        </w:rPr>
        <w:br w:type="page"/>
      </w:r>
    </w:p>
    <w:p>
      <w:pPr>
        <w:keepNext/>
        <w:spacing w:line="480" w:lineRule="auto"/>
        <w:jc w:val="center"/>
        <w:outlineLvl w:val="0"/>
        <w:rPr>
          <w:rFonts w:ascii="宋体" w:hAnsi="宋体"/>
          <w:b/>
          <w:sz w:val="32"/>
        </w:rPr>
      </w:pPr>
      <w:bookmarkStart w:id="7047" w:name="_Toc450584985"/>
      <w:bookmarkStart w:id="7048" w:name="_Toc86356726"/>
      <w:bookmarkStart w:id="7049" w:name="_Toc456692050"/>
      <w:bookmarkStart w:id="7050" w:name="_Toc106883772"/>
      <w:r>
        <w:rPr>
          <w:rFonts w:hint="eastAsia" w:ascii="宋体" w:hAnsi="宋体"/>
          <w:b/>
          <w:sz w:val="32"/>
        </w:rPr>
        <w:t>10</w:t>
      </w:r>
      <w:r>
        <w:rPr>
          <w:rFonts w:ascii="宋体" w:hAnsi="宋体"/>
          <w:b/>
          <w:sz w:val="32"/>
        </w:rPr>
        <w:t>自动化</w:t>
      </w:r>
      <w:r>
        <w:rPr>
          <w:rFonts w:hint="eastAsia" w:ascii="宋体" w:hAnsi="宋体"/>
          <w:b/>
          <w:sz w:val="32"/>
        </w:rPr>
        <w:t>、监控及仪表</w:t>
      </w:r>
      <w:r>
        <w:rPr>
          <w:rFonts w:ascii="宋体" w:hAnsi="宋体"/>
          <w:b/>
          <w:sz w:val="32"/>
        </w:rPr>
        <w:t>系统</w:t>
      </w:r>
      <w:bookmarkEnd w:id="7047"/>
      <w:bookmarkEnd w:id="7048"/>
      <w:bookmarkEnd w:id="7049"/>
      <w:r>
        <w:rPr>
          <w:rFonts w:hint="eastAsia" w:ascii="宋体" w:hAnsi="宋体"/>
          <w:b/>
          <w:sz w:val="32"/>
        </w:rPr>
        <w:t>详细技术要求</w:t>
      </w:r>
      <w:bookmarkEnd w:id="7050"/>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51" w:name="_Toc106050547"/>
      <w:bookmarkEnd w:id="7051"/>
      <w:bookmarkStart w:id="7052" w:name="_Toc106883773"/>
      <w:bookmarkEnd w:id="7052"/>
      <w:bookmarkStart w:id="7053" w:name="_Toc456692051"/>
      <w:bookmarkStart w:id="7054" w:name="_Toc450584986"/>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55" w:name="_Toc106050548"/>
      <w:bookmarkEnd w:id="7055"/>
      <w:bookmarkStart w:id="7056" w:name="_Toc106883774"/>
      <w:bookmarkEnd w:id="7056"/>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57" w:name="_Toc106050549"/>
      <w:bookmarkEnd w:id="7057"/>
      <w:bookmarkStart w:id="7058" w:name="_Toc106883775"/>
      <w:bookmarkEnd w:id="7058"/>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59" w:name="_Toc106050550"/>
      <w:bookmarkEnd w:id="7059"/>
      <w:bookmarkStart w:id="7060" w:name="_Toc106883776"/>
      <w:bookmarkEnd w:id="7060"/>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61" w:name="_Toc106050551"/>
      <w:bookmarkEnd w:id="7061"/>
      <w:bookmarkStart w:id="7062" w:name="_Toc106883777"/>
      <w:bookmarkEnd w:id="7062"/>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63" w:name="_Toc106050552"/>
      <w:bookmarkEnd w:id="7063"/>
      <w:bookmarkStart w:id="7064" w:name="_Toc106883778"/>
      <w:bookmarkEnd w:id="7064"/>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65" w:name="_Toc106050553"/>
      <w:bookmarkEnd w:id="7065"/>
      <w:bookmarkStart w:id="7066" w:name="_Toc106883779"/>
      <w:bookmarkEnd w:id="7066"/>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67" w:name="_Toc106050554"/>
      <w:bookmarkEnd w:id="7067"/>
      <w:bookmarkStart w:id="7068" w:name="_Toc106883780"/>
      <w:bookmarkEnd w:id="7068"/>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69" w:name="_Toc106050555"/>
      <w:bookmarkEnd w:id="7069"/>
      <w:bookmarkStart w:id="7070" w:name="_Toc106883781"/>
      <w:bookmarkEnd w:id="7070"/>
    </w:p>
    <w:p>
      <w:pPr>
        <w:pStyle w:val="1156"/>
        <w:keepNext/>
        <w:numPr>
          <w:ilvl w:val="0"/>
          <w:numId w:val="141"/>
        </w:numPr>
        <w:adjustRightInd w:val="0"/>
        <w:snapToGrid w:val="0"/>
        <w:spacing w:before="203" w:beforeLines="50" w:after="203" w:afterLines="50" w:line="240" w:lineRule="auto"/>
        <w:ind w:firstLineChars="0"/>
        <w:outlineLvl w:val="1"/>
        <w:rPr>
          <w:rFonts w:ascii="宋体" w:hAnsi="宋体" w:cs="楷体"/>
          <w:b/>
          <w:vanish/>
          <w:szCs w:val="24"/>
        </w:rPr>
      </w:pPr>
      <w:bookmarkStart w:id="7071" w:name="_Toc106050556"/>
      <w:bookmarkEnd w:id="7071"/>
      <w:bookmarkStart w:id="7072" w:name="_Toc106883782"/>
      <w:bookmarkEnd w:id="7072"/>
    </w:p>
    <w:p>
      <w:pPr>
        <w:keepNext/>
        <w:adjustRightInd w:val="0"/>
        <w:snapToGrid w:val="0"/>
        <w:spacing w:before="203" w:beforeLines="50" w:after="203" w:afterLines="50"/>
        <w:outlineLvl w:val="1"/>
        <w:rPr>
          <w:rFonts w:ascii="宋体" w:hAnsi="宋体" w:cs="楷体"/>
          <w:b/>
        </w:rPr>
      </w:pPr>
      <w:bookmarkStart w:id="7073" w:name="_Toc106883783"/>
      <w:r>
        <w:rPr>
          <w:rFonts w:hint="eastAsia" w:ascii="宋体" w:hAnsi="宋体" w:cs="楷体"/>
          <w:b/>
        </w:rPr>
        <w:t>10.1</w:t>
      </w:r>
      <w:r>
        <w:rPr>
          <w:rFonts w:ascii="宋体" w:hAnsi="宋体" w:cs="楷体"/>
          <w:b/>
        </w:rPr>
        <w:t>要求</w:t>
      </w:r>
      <w:bookmarkEnd w:id="7053"/>
      <w:bookmarkEnd w:id="7054"/>
      <w:bookmarkEnd w:id="7073"/>
    </w:p>
    <w:p>
      <w:pPr>
        <w:keepNext/>
        <w:tabs>
          <w:tab w:val="left" w:pos="993"/>
        </w:tabs>
        <w:adjustRightInd w:val="0"/>
        <w:snapToGrid w:val="0"/>
        <w:spacing w:before="203" w:beforeLines="50" w:after="203" w:afterLines="50"/>
        <w:outlineLvl w:val="2"/>
        <w:rPr>
          <w:rFonts w:ascii="宋体" w:hAnsi="宋体"/>
          <w:b/>
          <w:bCs/>
        </w:rPr>
      </w:pPr>
      <w:bookmarkStart w:id="7074" w:name="_Toc450584987"/>
      <w:bookmarkStart w:id="7075" w:name="_Toc106883784"/>
      <w:r>
        <w:rPr>
          <w:rFonts w:hint="eastAsia" w:ascii="宋体" w:hAnsi="宋体"/>
          <w:b/>
          <w:bCs/>
        </w:rPr>
        <w:t>10.1.1</w:t>
      </w:r>
      <w:r>
        <w:rPr>
          <w:rFonts w:ascii="宋体" w:hAnsi="宋体"/>
          <w:b/>
          <w:bCs/>
        </w:rPr>
        <w:t>特别说明</w:t>
      </w:r>
      <w:bookmarkEnd w:id="7074"/>
      <w:bookmarkEnd w:id="7075"/>
    </w:p>
    <w:p>
      <w:pPr>
        <w:adjustRightInd w:val="0"/>
        <w:snapToGrid w:val="0"/>
        <w:spacing w:before="203" w:beforeLines="50" w:after="203" w:afterLines="50"/>
        <w:ind w:firstLine="500" w:firstLineChars="200"/>
        <w:rPr>
          <w:rFonts w:ascii="宋体" w:hAnsi="宋体"/>
        </w:rPr>
      </w:pPr>
      <w:r>
        <w:rPr>
          <w:rFonts w:ascii="宋体" w:hAnsi="宋体"/>
        </w:rPr>
        <w:t>技术规定不得被认为是详尽无遗的，无论规定与否，承包商应提供所有业主未提及的必要的元件、器件、附件、配套设备和相应材料等，并在投标报价表中一一列明。</w:t>
      </w:r>
    </w:p>
    <w:p>
      <w:pPr>
        <w:adjustRightInd w:val="0"/>
        <w:snapToGrid w:val="0"/>
        <w:spacing w:before="203" w:beforeLines="50" w:after="203" w:afterLines="50"/>
        <w:ind w:firstLine="500" w:firstLineChars="200"/>
        <w:rPr>
          <w:rFonts w:ascii="宋体" w:hAnsi="宋体"/>
        </w:rPr>
      </w:pPr>
      <w:r>
        <w:rPr>
          <w:rFonts w:ascii="宋体" w:hAnsi="宋体"/>
        </w:rPr>
        <w:t>技术规定、设计资料、工程计划、设备材料一览表及安装图纸等仅对本合同的一些特定特征作了说明，并非意欲涵盖所有细节。承包商应提供自动化控制系统、仪表、闭路监视系统正常运行所必需的全部设备。承包商在完成了本系统后，应能达到生产过程无人值守和全系统微机化管理。承包商应有相应的资质和相关的业绩。</w:t>
      </w:r>
    </w:p>
    <w:p>
      <w:pPr>
        <w:adjustRightInd w:val="0"/>
        <w:snapToGrid w:val="0"/>
        <w:spacing w:before="203" w:beforeLines="50" w:after="203" w:afterLines="50"/>
        <w:ind w:firstLine="500" w:firstLineChars="200"/>
        <w:rPr>
          <w:rFonts w:ascii="宋体" w:hAnsi="宋体"/>
        </w:rPr>
      </w:pPr>
      <w:r>
        <w:rPr>
          <w:rFonts w:ascii="宋体" w:hAnsi="宋体"/>
        </w:rPr>
        <w:t>承包商应完成整个系统的二次设计、设备采购、软件编制、安装调试、竣工图设计、人员培训，并交付业主使用。</w:t>
      </w:r>
    </w:p>
    <w:p>
      <w:pPr>
        <w:adjustRightInd w:val="0"/>
        <w:snapToGrid w:val="0"/>
        <w:spacing w:before="203" w:beforeLines="50" w:after="203" w:afterLines="50"/>
        <w:ind w:firstLine="500" w:firstLineChars="200"/>
        <w:rPr>
          <w:rFonts w:ascii="宋体" w:hAnsi="宋体"/>
        </w:rPr>
      </w:pPr>
      <w:r>
        <w:rPr>
          <w:rFonts w:ascii="宋体" w:hAnsi="宋体"/>
        </w:rPr>
        <w:t>承包商提供的自控系统应符合有关技术规定，并具有良好的售后服务，服务响应时间不超过24小时。</w:t>
      </w:r>
    </w:p>
    <w:p>
      <w:pPr>
        <w:keepNext/>
        <w:tabs>
          <w:tab w:val="left" w:pos="993"/>
        </w:tabs>
        <w:adjustRightInd w:val="0"/>
        <w:snapToGrid w:val="0"/>
        <w:spacing w:before="203" w:beforeLines="50" w:after="203" w:afterLines="50"/>
        <w:outlineLvl w:val="0"/>
        <w:rPr>
          <w:rFonts w:ascii="宋体" w:hAnsi="宋体"/>
          <w:b/>
          <w:bCs/>
        </w:rPr>
      </w:pPr>
      <w:bookmarkStart w:id="7076" w:name="_Toc106883785"/>
      <w:r>
        <w:rPr>
          <w:rFonts w:hint="eastAsia" w:ascii="宋体" w:hAnsi="宋体"/>
          <w:b/>
          <w:bCs/>
        </w:rPr>
        <w:t>10.1.2</w:t>
      </w:r>
      <w:r>
        <w:rPr>
          <w:rFonts w:ascii="宋体" w:hAnsi="宋体"/>
          <w:b/>
          <w:bCs/>
        </w:rPr>
        <w:t>供货范围</w:t>
      </w:r>
      <w:bookmarkEnd w:id="7076"/>
    </w:p>
    <w:p>
      <w:pPr>
        <w:adjustRightInd w:val="0"/>
        <w:snapToGrid w:val="0"/>
        <w:spacing w:before="203" w:beforeLines="50" w:after="203" w:afterLines="50"/>
        <w:ind w:firstLine="500" w:firstLineChars="200"/>
        <w:rPr>
          <w:rFonts w:ascii="宋体" w:hAnsi="宋体"/>
        </w:rPr>
      </w:pPr>
      <w:r>
        <w:rPr>
          <w:rFonts w:ascii="宋体" w:hAnsi="宋体"/>
        </w:rPr>
        <w:t>承包商应依照合同所指定的设备规格及技术要求进行设备的设计、制造、试验及装运。承包商应完成合同所规定的全部工作内容。</w:t>
      </w:r>
    </w:p>
    <w:p>
      <w:pPr>
        <w:adjustRightInd w:val="0"/>
        <w:snapToGrid w:val="0"/>
        <w:spacing w:before="203" w:beforeLines="50" w:after="203" w:afterLines="50"/>
        <w:ind w:firstLine="500" w:firstLineChars="200"/>
        <w:rPr>
          <w:rFonts w:ascii="宋体" w:hAnsi="宋体"/>
        </w:rPr>
      </w:pPr>
      <w:r>
        <w:rPr>
          <w:rFonts w:ascii="宋体" w:hAnsi="宋体"/>
        </w:rPr>
        <w:t>对于合同中未提及的或未详细叙述的设备及其附件，若控制系统的组成需要，承包商均应在方案设计时予以考虑，并在合同的设备采购清单中详细列出。本技术规范中所列的设备及其性能指标和参数为控制系统的最低要求，合同所提供的设备及软件应为不低于本规范的目前世界上技术先进的最新产品。</w:t>
      </w:r>
    </w:p>
    <w:p>
      <w:pPr>
        <w:adjustRightInd w:val="0"/>
        <w:snapToGrid w:val="0"/>
        <w:spacing w:before="203" w:beforeLines="50" w:after="203" w:afterLines="50"/>
        <w:ind w:firstLine="500" w:firstLineChars="200"/>
        <w:rPr>
          <w:rFonts w:ascii="宋体" w:hAnsi="宋体"/>
        </w:rPr>
      </w:pPr>
      <w:r>
        <w:rPr>
          <w:rFonts w:ascii="宋体" w:hAnsi="宋体"/>
        </w:rPr>
        <w:t>合同价格分为几个部分：自动化控制系统、仪表、视频监控及安防系统。</w:t>
      </w:r>
    </w:p>
    <w:p>
      <w:pPr>
        <w:adjustRightInd w:val="0"/>
        <w:snapToGrid w:val="0"/>
        <w:spacing w:before="203" w:beforeLines="50" w:after="203" w:afterLines="50"/>
        <w:ind w:firstLine="500" w:firstLineChars="200"/>
        <w:rPr>
          <w:rFonts w:ascii="宋体" w:hAnsi="宋体"/>
        </w:rPr>
      </w:pPr>
      <w:r>
        <w:rPr>
          <w:rFonts w:ascii="宋体" w:hAnsi="宋体"/>
        </w:rPr>
        <w:t>主要内容包括：系统所用硬件设备的单价、分站合计、设备总价，工程实施费用单项及合计，软件开发费用的单项及合计，技术协调及现场服务费，培训费等。</w:t>
      </w:r>
    </w:p>
    <w:p>
      <w:pPr>
        <w:adjustRightInd w:val="0"/>
        <w:snapToGrid w:val="0"/>
        <w:spacing w:before="203" w:beforeLines="50" w:after="203" w:afterLines="50"/>
        <w:ind w:firstLine="500" w:firstLineChars="200"/>
        <w:rPr>
          <w:rFonts w:ascii="宋体" w:hAnsi="宋体"/>
        </w:rPr>
      </w:pPr>
      <w:r>
        <w:rPr>
          <w:rFonts w:ascii="宋体" w:hAnsi="宋体"/>
        </w:rPr>
        <w:t>凡是没有说明不要的、与所供设备相关的配套辅件、安装底座、备品备件、专用及维修工具等都应包括在供货范围内。</w:t>
      </w:r>
    </w:p>
    <w:p>
      <w:pPr>
        <w:adjustRightInd w:val="0"/>
        <w:snapToGrid w:val="0"/>
        <w:spacing w:before="203" w:beforeLines="50" w:after="203" w:afterLines="50"/>
        <w:ind w:firstLine="500" w:firstLineChars="200"/>
        <w:rPr>
          <w:rFonts w:ascii="宋体" w:hAnsi="宋体"/>
        </w:rPr>
      </w:pPr>
      <w:r>
        <w:rPr>
          <w:rFonts w:ascii="宋体" w:hAnsi="宋体"/>
        </w:rPr>
        <w:t>本采购设备清单应与投标人须知、合同规定的一般条款、专用条款、</w:t>
      </w:r>
      <w:r>
        <w:rPr>
          <w:rFonts w:hint="eastAsia" w:ascii="宋体" w:hAnsi="宋体"/>
        </w:rPr>
        <w:t>自控</w:t>
      </w:r>
      <w:r>
        <w:rPr>
          <w:rFonts w:ascii="宋体" w:hAnsi="宋体"/>
        </w:rPr>
        <w:t>设备技术规格数据表、招标图纸及技术规范同时阅读。设备清单如下：</w:t>
      </w:r>
    </w:p>
    <w:p>
      <w:pPr>
        <w:adjustRightInd w:val="0"/>
        <w:snapToGrid w:val="0"/>
        <w:spacing w:before="203" w:beforeLines="50" w:after="203" w:afterLines="50"/>
        <w:ind w:firstLine="500" w:firstLineChars="200"/>
        <w:rPr>
          <w:rFonts w:ascii="宋体" w:hAnsi="宋体"/>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575"/>
        <w:gridCol w:w="2850"/>
        <w:gridCol w:w="606"/>
        <w:gridCol w:w="791"/>
        <w:gridCol w:w="2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tcPr>
          <w:p>
            <w:pPr>
              <w:adjustRightInd w:val="0"/>
              <w:snapToGrid w:val="0"/>
              <w:jc w:val="center"/>
              <w:rPr>
                <w:rFonts w:ascii="宋体" w:hAnsi="宋体"/>
                <w:b/>
                <w:bCs/>
              </w:rPr>
            </w:pPr>
            <w:r>
              <w:rPr>
                <w:rFonts w:ascii="宋体" w:hAnsi="宋体"/>
                <w:b/>
                <w:bCs/>
              </w:rPr>
              <w:t>序号</w:t>
            </w:r>
          </w:p>
        </w:tc>
        <w:tc>
          <w:tcPr>
            <w:tcW w:w="1575" w:type="dxa"/>
            <w:shd w:val="clear" w:color="auto" w:fill="auto"/>
          </w:tcPr>
          <w:p>
            <w:pPr>
              <w:adjustRightInd w:val="0"/>
              <w:snapToGrid w:val="0"/>
              <w:jc w:val="center"/>
              <w:rPr>
                <w:rFonts w:ascii="宋体" w:hAnsi="宋体"/>
                <w:b/>
                <w:bCs/>
              </w:rPr>
            </w:pPr>
            <w:r>
              <w:rPr>
                <w:rFonts w:ascii="宋体" w:hAnsi="宋体"/>
                <w:b/>
                <w:bCs/>
              </w:rPr>
              <w:t>名称</w:t>
            </w:r>
          </w:p>
        </w:tc>
        <w:tc>
          <w:tcPr>
            <w:tcW w:w="2850" w:type="dxa"/>
            <w:shd w:val="clear" w:color="auto" w:fill="auto"/>
          </w:tcPr>
          <w:p>
            <w:pPr>
              <w:adjustRightInd w:val="0"/>
              <w:snapToGrid w:val="0"/>
              <w:jc w:val="center"/>
              <w:rPr>
                <w:rFonts w:ascii="宋体" w:hAnsi="宋体"/>
                <w:b/>
                <w:bCs/>
              </w:rPr>
            </w:pPr>
            <w:r>
              <w:rPr>
                <w:rFonts w:ascii="宋体" w:hAnsi="宋体"/>
                <w:b/>
                <w:bCs/>
              </w:rPr>
              <w:t>型号</w:t>
            </w:r>
          </w:p>
        </w:tc>
        <w:tc>
          <w:tcPr>
            <w:tcW w:w="606" w:type="dxa"/>
            <w:shd w:val="clear" w:color="auto" w:fill="auto"/>
          </w:tcPr>
          <w:p>
            <w:pPr>
              <w:adjustRightInd w:val="0"/>
              <w:snapToGrid w:val="0"/>
              <w:jc w:val="center"/>
              <w:rPr>
                <w:rFonts w:ascii="宋体" w:hAnsi="宋体"/>
                <w:b/>
                <w:bCs/>
              </w:rPr>
            </w:pPr>
            <w:r>
              <w:rPr>
                <w:rFonts w:ascii="宋体" w:hAnsi="宋体"/>
                <w:b/>
                <w:bCs/>
              </w:rPr>
              <w:t>单位</w:t>
            </w:r>
          </w:p>
        </w:tc>
        <w:tc>
          <w:tcPr>
            <w:tcW w:w="791" w:type="dxa"/>
            <w:shd w:val="clear" w:color="auto" w:fill="auto"/>
          </w:tcPr>
          <w:p>
            <w:pPr>
              <w:adjustRightInd w:val="0"/>
              <w:snapToGrid w:val="0"/>
              <w:jc w:val="center"/>
              <w:rPr>
                <w:rFonts w:ascii="宋体" w:hAnsi="宋体"/>
                <w:b/>
                <w:bCs/>
              </w:rPr>
            </w:pPr>
            <w:r>
              <w:rPr>
                <w:rFonts w:ascii="宋体" w:hAnsi="宋体"/>
                <w:b/>
                <w:bCs/>
              </w:rPr>
              <w:t>数量</w:t>
            </w:r>
          </w:p>
        </w:tc>
        <w:tc>
          <w:tcPr>
            <w:tcW w:w="2025" w:type="dxa"/>
            <w:shd w:val="clear" w:color="auto" w:fill="auto"/>
          </w:tcPr>
          <w:p>
            <w:pPr>
              <w:adjustRightInd w:val="0"/>
              <w:snapToGrid w:val="0"/>
              <w:jc w:val="center"/>
              <w:rPr>
                <w:rFonts w:ascii="宋体" w:hAnsi="宋体"/>
                <w:b/>
                <w:bCs/>
              </w:rPr>
            </w:pPr>
            <w:r>
              <w:rPr>
                <w:rFonts w:ascii="宋体" w:hAnsi="宋体"/>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tcPr>
          <w:p>
            <w:pPr>
              <w:adjustRightInd w:val="0"/>
              <w:snapToGrid w:val="0"/>
              <w:jc w:val="center"/>
              <w:rPr>
                <w:rFonts w:ascii="宋体" w:hAnsi="宋体"/>
                <w:b/>
                <w:bCs/>
              </w:rPr>
            </w:pPr>
            <w:r>
              <w:rPr>
                <w:rFonts w:hint="eastAsia" w:ascii="宋体" w:hAnsi="宋体"/>
                <w:b/>
                <w:bCs/>
              </w:rPr>
              <w:t>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w:t>
            </w:r>
          </w:p>
        </w:tc>
        <w:tc>
          <w:tcPr>
            <w:tcW w:w="1575" w:type="dxa"/>
            <w:shd w:val="clear" w:color="auto" w:fill="auto"/>
            <w:vAlign w:val="center"/>
          </w:tcPr>
          <w:p>
            <w:pPr>
              <w:adjustRightInd w:val="0"/>
              <w:snapToGrid w:val="0"/>
              <w:jc w:val="center"/>
              <w:rPr>
                <w:rFonts w:ascii="宋体" w:hAnsi="宋体"/>
              </w:rPr>
            </w:pPr>
            <w:r>
              <w:rPr>
                <w:rFonts w:hint="eastAsia" w:ascii="宋体" w:hAnsi="宋体"/>
              </w:rPr>
              <w:t>高清网络红外球型摄像机</w:t>
            </w:r>
          </w:p>
        </w:tc>
        <w:tc>
          <w:tcPr>
            <w:tcW w:w="2850" w:type="dxa"/>
            <w:shd w:val="clear" w:color="auto" w:fill="auto"/>
            <w:vAlign w:val="center"/>
          </w:tcPr>
          <w:p>
            <w:pPr>
              <w:adjustRightInd w:val="0"/>
              <w:snapToGrid w:val="0"/>
              <w:jc w:val="center"/>
              <w:rPr>
                <w:rFonts w:ascii="宋体" w:hAnsi="宋体"/>
              </w:rPr>
            </w:pPr>
            <w:r>
              <w:rPr>
                <w:rFonts w:hint="eastAsia" w:ascii="宋体" w:hAnsi="宋体"/>
              </w:rPr>
              <w:t>130万像素</w:t>
            </w:r>
          </w:p>
        </w:tc>
        <w:tc>
          <w:tcPr>
            <w:tcW w:w="606" w:type="dxa"/>
            <w:shd w:val="clear" w:color="auto" w:fill="auto"/>
            <w:vAlign w:val="center"/>
          </w:tcPr>
          <w:p>
            <w:pPr>
              <w:adjustRightInd w:val="0"/>
              <w:snapToGrid w:val="0"/>
              <w:jc w:val="center"/>
              <w:rPr>
                <w:rFonts w:ascii="宋体" w:hAnsi="宋体"/>
              </w:rPr>
            </w:pPr>
            <w:r>
              <w:rPr>
                <w:rFonts w:hint="eastAsia" w:ascii="宋体" w:hAnsi="宋体"/>
              </w:rPr>
              <w:t>台</w:t>
            </w:r>
          </w:p>
        </w:tc>
        <w:tc>
          <w:tcPr>
            <w:tcW w:w="791" w:type="dxa"/>
            <w:shd w:val="clear" w:color="auto" w:fill="auto"/>
            <w:vAlign w:val="center"/>
          </w:tcPr>
          <w:p>
            <w:pPr>
              <w:adjustRightInd w:val="0"/>
              <w:snapToGrid w:val="0"/>
              <w:jc w:val="center"/>
              <w:rPr>
                <w:rFonts w:ascii="宋体" w:hAnsi="宋体"/>
              </w:rPr>
            </w:pPr>
            <w:r>
              <w:rPr>
                <w:rFonts w:hint="eastAsia" w:ascii="宋体" w:hAnsi="宋体"/>
              </w:rPr>
              <w:t>6</w:t>
            </w:r>
          </w:p>
        </w:tc>
        <w:tc>
          <w:tcPr>
            <w:tcW w:w="2025" w:type="dxa"/>
            <w:shd w:val="clear" w:color="auto" w:fill="auto"/>
            <w:vAlign w:val="center"/>
          </w:tcPr>
          <w:p>
            <w:pPr>
              <w:adjustRightInd w:val="0"/>
              <w:snapToGrid w:val="0"/>
              <w:jc w:val="center"/>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w:t>
            </w:r>
          </w:p>
        </w:tc>
        <w:tc>
          <w:tcPr>
            <w:tcW w:w="1575" w:type="dxa"/>
            <w:shd w:val="clear" w:color="auto" w:fill="auto"/>
            <w:vAlign w:val="center"/>
          </w:tcPr>
          <w:p>
            <w:pPr>
              <w:adjustRightInd w:val="0"/>
              <w:snapToGrid w:val="0"/>
              <w:jc w:val="center"/>
              <w:rPr>
                <w:rFonts w:ascii="宋体" w:hAnsi="宋体"/>
              </w:rPr>
            </w:pPr>
            <w:r>
              <w:rPr>
                <w:rFonts w:hint="eastAsia" w:ascii="宋体" w:hAnsi="宋体"/>
              </w:rPr>
              <w:t>高清网络红外枪式摄像机</w:t>
            </w:r>
          </w:p>
        </w:tc>
        <w:tc>
          <w:tcPr>
            <w:tcW w:w="2850" w:type="dxa"/>
            <w:shd w:val="clear" w:color="auto" w:fill="auto"/>
            <w:vAlign w:val="center"/>
          </w:tcPr>
          <w:p>
            <w:pPr>
              <w:adjustRightInd w:val="0"/>
              <w:snapToGrid w:val="0"/>
              <w:jc w:val="center"/>
              <w:rPr>
                <w:rFonts w:ascii="宋体" w:hAnsi="宋体"/>
              </w:rPr>
            </w:pPr>
            <w:r>
              <w:rPr>
                <w:rFonts w:hint="eastAsia" w:ascii="宋体" w:hAnsi="宋体"/>
              </w:rPr>
              <w:t>130万像素</w:t>
            </w:r>
          </w:p>
        </w:tc>
        <w:tc>
          <w:tcPr>
            <w:tcW w:w="606" w:type="dxa"/>
            <w:shd w:val="clear" w:color="auto" w:fill="auto"/>
            <w:vAlign w:val="center"/>
          </w:tcPr>
          <w:p>
            <w:pPr>
              <w:adjustRightInd w:val="0"/>
              <w:snapToGrid w:val="0"/>
              <w:jc w:val="center"/>
              <w:rPr>
                <w:rFonts w:ascii="宋体" w:hAnsi="宋体"/>
              </w:rPr>
            </w:pPr>
            <w:r>
              <w:rPr>
                <w:rFonts w:hint="eastAsia" w:ascii="宋体" w:hAnsi="宋体"/>
              </w:rPr>
              <w:t>台</w:t>
            </w:r>
          </w:p>
        </w:tc>
        <w:tc>
          <w:tcPr>
            <w:tcW w:w="791" w:type="dxa"/>
            <w:shd w:val="clear" w:color="auto" w:fill="auto"/>
            <w:vAlign w:val="center"/>
          </w:tcPr>
          <w:p>
            <w:pPr>
              <w:adjustRightInd w:val="0"/>
              <w:snapToGrid w:val="0"/>
              <w:jc w:val="center"/>
              <w:rPr>
                <w:rFonts w:ascii="宋体" w:hAnsi="宋体"/>
              </w:rPr>
            </w:pPr>
            <w:r>
              <w:rPr>
                <w:rFonts w:hint="eastAsia" w:ascii="宋体" w:hAnsi="宋体"/>
              </w:rPr>
              <w:t>10</w:t>
            </w:r>
          </w:p>
        </w:tc>
        <w:tc>
          <w:tcPr>
            <w:tcW w:w="2025" w:type="dxa"/>
            <w:shd w:val="clear" w:color="auto" w:fill="auto"/>
            <w:vAlign w:val="center"/>
          </w:tcPr>
          <w:p>
            <w:pPr>
              <w:adjustRightInd w:val="0"/>
              <w:snapToGrid w:val="0"/>
              <w:jc w:val="center"/>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w:t>
            </w:r>
          </w:p>
        </w:tc>
        <w:tc>
          <w:tcPr>
            <w:tcW w:w="1575" w:type="dxa"/>
            <w:shd w:val="clear" w:color="auto" w:fill="auto"/>
            <w:vAlign w:val="center"/>
          </w:tcPr>
          <w:p>
            <w:pPr>
              <w:adjustRightInd w:val="0"/>
              <w:snapToGrid w:val="0"/>
              <w:jc w:val="center"/>
              <w:rPr>
                <w:rFonts w:ascii="宋体" w:hAnsi="宋体"/>
              </w:rPr>
            </w:pPr>
            <w:r>
              <w:rPr>
                <w:rFonts w:hint="eastAsia" w:ascii="宋体" w:hAnsi="宋体"/>
              </w:rPr>
              <w:t>光电转换器</w:t>
            </w:r>
          </w:p>
        </w:tc>
        <w:tc>
          <w:tcPr>
            <w:tcW w:w="2850" w:type="dxa"/>
            <w:shd w:val="clear" w:color="auto" w:fill="auto"/>
            <w:vAlign w:val="center"/>
          </w:tcPr>
          <w:p>
            <w:pPr>
              <w:adjustRightInd w:val="0"/>
              <w:snapToGrid w:val="0"/>
              <w:jc w:val="center"/>
              <w:rPr>
                <w:rFonts w:ascii="宋体" w:hAnsi="宋体"/>
              </w:rPr>
            </w:pPr>
            <w:r>
              <w:rPr>
                <w:rFonts w:hint="eastAsia" w:ascii="宋体" w:hAnsi="宋体"/>
              </w:rPr>
              <w:t>工业级，1光2电</w:t>
            </w:r>
          </w:p>
        </w:tc>
        <w:tc>
          <w:tcPr>
            <w:tcW w:w="606" w:type="dxa"/>
            <w:shd w:val="clear" w:color="auto" w:fill="auto"/>
            <w:vAlign w:val="center"/>
          </w:tcPr>
          <w:p>
            <w:pPr>
              <w:adjustRightInd w:val="0"/>
              <w:snapToGrid w:val="0"/>
              <w:jc w:val="center"/>
              <w:rPr>
                <w:rFonts w:ascii="宋体" w:hAnsi="宋体"/>
              </w:rPr>
            </w:pPr>
            <w:r>
              <w:rPr>
                <w:rFonts w:hint="eastAsia" w:ascii="宋体" w:hAnsi="宋体"/>
              </w:rPr>
              <w:t>对</w:t>
            </w:r>
          </w:p>
        </w:tc>
        <w:tc>
          <w:tcPr>
            <w:tcW w:w="791" w:type="dxa"/>
            <w:shd w:val="clear" w:color="auto" w:fill="auto"/>
            <w:vAlign w:val="center"/>
          </w:tcPr>
          <w:p>
            <w:pPr>
              <w:adjustRightInd w:val="0"/>
              <w:snapToGrid w:val="0"/>
              <w:jc w:val="center"/>
              <w:rPr>
                <w:rFonts w:ascii="宋体" w:hAnsi="宋体"/>
              </w:rPr>
            </w:pPr>
            <w:r>
              <w:rPr>
                <w:rFonts w:hint="eastAsia" w:ascii="宋体" w:hAnsi="宋体"/>
              </w:rPr>
              <w:t>16</w:t>
            </w:r>
          </w:p>
        </w:tc>
        <w:tc>
          <w:tcPr>
            <w:tcW w:w="2025" w:type="dxa"/>
            <w:shd w:val="clear" w:color="auto" w:fill="auto"/>
            <w:vAlign w:val="center"/>
          </w:tcPr>
          <w:p>
            <w:pPr>
              <w:adjustRightInd w:val="0"/>
              <w:snapToGrid w:val="0"/>
              <w:jc w:val="center"/>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网络视频防雷器</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网络视频二合一防雷器</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个</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16</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光缆</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2芯单模，铠装</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1200</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电源电缆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RVV 3*1.5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1200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安装辅材</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电子脉冲式探测器</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基础型前端</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报警主机</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A5报警主机</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液晶中心控制键盘 </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TK600</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铠装控制电缆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KVV22-4x2.5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1200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铠装通讯电缆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DJYVP22-2x2x1.5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1200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13</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14</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电磁流量计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DN500 4</w:t>
            </w:r>
            <w:r>
              <w:rPr>
                <w:rFonts w:ascii="宋体" w:hAnsi="宋体"/>
              </w:rPr>
              <w:t>-</w:t>
            </w:r>
            <w:r>
              <w:rPr>
                <w:rFonts w:hint="eastAsia" w:ascii="宋体" w:hAnsi="宋体"/>
              </w:rPr>
              <w:t xml:space="preserve">20mA Hart协议 </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Z-FT1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电磁流量计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DN600 4</w:t>
            </w:r>
            <w:r>
              <w:rPr>
                <w:rFonts w:ascii="宋体" w:hAnsi="宋体"/>
              </w:rPr>
              <w:t>-</w:t>
            </w:r>
            <w:r>
              <w:rPr>
                <w:rFonts w:hint="eastAsia" w:ascii="宋体" w:hAnsi="宋体"/>
              </w:rPr>
              <w:t xml:space="preserve">20mA Hart协议 </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Z-FT2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压力变送器</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1.0MPa 4～20mA</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2</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Z-PT1,Z-PT2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KVV-3x1.5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1400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KVV-7x1.5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200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KVV-10x1.0</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350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KVV-19x0.75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KVV-24x0.75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KVV-37x0.75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23</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DJYPV-2x1.5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1500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24</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DJYPVP-10x2x1.5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总线电缆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RS485 Belden 9841</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600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四芯单模铠装光缆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62.5μm</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600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400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600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29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PE50</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200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tcPr>
          <w:p>
            <w:pPr>
              <w:widowControl/>
              <w:adjustRightInd w:val="0"/>
              <w:snapToGrid w:val="0"/>
              <w:jc w:val="center"/>
              <w:textAlignment w:val="bottom"/>
              <w:rPr>
                <w:rFonts w:ascii="宋体" w:hAnsi="宋体"/>
                <w:b/>
                <w:bCs/>
                <w:kern w:val="0"/>
              </w:rPr>
            </w:pPr>
            <w:r>
              <w:rPr>
                <w:rFonts w:hint="eastAsia" w:ascii="宋体" w:hAnsi="宋体"/>
                <w:b/>
                <w:bCs/>
                <w:kern w:val="0"/>
              </w:rPr>
              <w:t>混合絮凝、平流沉淀池及叠合清水池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浊度仪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10NTU Modbus</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AT1/NTU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31</w:t>
            </w:r>
          </w:p>
        </w:tc>
        <w:tc>
          <w:tcPr>
            <w:tcW w:w="1575" w:type="dxa"/>
            <w:shd w:val="clear" w:color="auto" w:fill="auto"/>
            <w:vAlign w:val="center"/>
          </w:tcPr>
          <w:p>
            <w:pPr>
              <w:adjustRightInd w:val="0"/>
              <w:snapToGrid w:val="0"/>
              <w:jc w:val="center"/>
              <w:rPr>
                <w:rFonts w:ascii="宋体" w:hAnsi="宋体"/>
                <w:kern w:val="0"/>
              </w:rPr>
            </w:pPr>
            <w:r>
              <w:rPr>
                <w:rFonts w:hint="eastAsia" w:ascii="宋体" w:hAnsi="宋体"/>
              </w:rPr>
              <w:t>酸碱度/温度检测仪</w:t>
            </w:r>
          </w:p>
        </w:tc>
        <w:tc>
          <w:tcPr>
            <w:tcW w:w="2850" w:type="dxa"/>
            <w:shd w:val="clear" w:color="auto" w:fill="auto"/>
            <w:vAlign w:val="center"/>
          </w:tcPr>
          <w:p>
            <w:pPr>
              <w:adjustRightInd w:val="0"/>
              <w:snapToGrid w:val="0"/>
              <w:jc w:val="center"/>
              <w:rPr>
                <w:rFonts w:ascii="宋体" w:hAnsi="宋体"/>
                <w:kern w:val="0"/>
              </w:rPr>
            </w:pPr>
            <w:r>
              <w:rPr>
                <w:rFonts w:hint="eastAsia" w:ascii="宋体" w:hAnsi="宋体"/>
              </w:rPr>
              <w:t>0</w:t>
            </w:r>
            <w:r>
              <w:rPr>
                <w:rFonts w:ascii="宋体" w:hAnsi="宋体"/>
              </w:rPr>
              <w:t>-</w:t>
            </w:r>
            <w:r>
              <w:rPr>
                <w:rFonts w:hint="eastAsia" w:ascii="宋体" w:hAnsi="宋体"/>
              </w:rPr>
              <w:t>14PH  Modbus</w:t>
            </w:r>
          </w:p>
        </w:tc>
        <w:tc>
          <w:tcPr>
            <w:tcW w:w="606" w:type="dxa"/>
            <w:shd w:val="clear" w:color="auto" w:fill="auto"/>
            <w:vAlign w:val="center"/>
          </w:tcPr>
          <w:p>
            <w:pPr>
              <w:adjustRightInd w:val="0"/>
              <w:snapToGrid w:val="0"/>
              <w:jc w:val="center"/>
              <w:rPr>
                <w:rFonts w:ascii="宋体" w:hAnsi="宋体"/>
                <w:kern w:val="0"/>
              </w:rPr>
            </w:pPr>
            <w:r>
              <w:rPr>
                <w:rFonts w:hint="eastAsia" w:ascii="宋体" w:hAnsi="宋体"/>
              </w:rPr>
              <w:t>台</w:t>
            </w:r>
          </w:p>
        </w:tc>
        <w:tc>
          <w:tcPr>
            <w:tcW w:w="79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2025" w:type="dxa"/>
            <w:shd w:val="clear" w:color="auto" w:fill="auto"/>
            <w:vAlign w:val="center"/>
          </w:tcPr>
          <w:p>
            <w:pPr>
              <w:adjustRightInd w:val="0"/>
              <w:snapToGrid w:val="0"/>
              <w:jc w:val="center"/>
              <w:rPr>
                <w:rFonts w:ascii="宋体" w:hAnsi="宋体"/>
                <w:kern w:val="0"/>
              </w:rPr>
            </w:pPr>
            <w:r>
              <w:rPr>
                <w:rFonts w:hint="eastAsia" w:ascii="宋体" w:hAnsi="宋体"/>
              </w:rPr>
              <w:t>AT2/pH/T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余氯检测仪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5mg/L Modbus</w:t>
            </w:r>
          </w:p>
        </w:tc>
        <w:tc>
          <w:tcPr>
            <w:tcW w:w="606" w:type="dxa"/>
            <w:shd w:val="clear" w:color="auto" w:fill="auto"/>
            <w:vAlign w:val="center"/>
          </w:tcPr>
          <w:p>
            <w:pPr>
              <w:adjustRightInd w:val="0"/>
              <w:snapToGrid w:val="0"/>
              <w:jc w:val="center"/>
              <w:rPr>
                <w:rFonts w:ascii="宋体" w:hAnsi="宋体"/>
                <w:kern w:val="0"/>
              </w:rPr>
            </w:pPr>
            <w:r>
              <w:rPr>
                <w:rFonts w:hint="eastAsia" w:ascii="宋体" w:hAnsi="宋体"/>
              </w:rPr>
              <w:t>台</w:t>
            </w:r>
          </w:p>
        </w:tc>
        <w:tc>
          <w:tcPr>
            <w:tcW w:w="79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AT3/CL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33</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06" w:type="dxa"/>
            <w:shd w:val="clear" w:color="auto" w:fill="auto"/>
            <w:vAlign w:val="center"/>
          </w:tcPr>
          <w:p>
            <w:pPr>
              <w:adjustRightInd w:val="0"/>
              <w:snapToGrid w:val="0"/>
              <w:jc w:val="center"/>
              <w:rPr>
                <w:rFonts w:ascii="宋体" w:hAnsi="宋体"/>
                <w:kern w:val="0"/>
              </w:rPr>
            </w:pPr>
            <w:r>
              <w:rPr>
                <w:rFonts w:hint="eastAsia" w:ascii="宋体" w:hAnsi="宋体"/>
              </w:rPr>
              <w:t>米</w:t>
            </w:r>
          </w:p>
        </w:tc>
        <w:tc>
          <w:tcPr>
            <w:tcW w:w="791" w:type="dxa"/>
            <w:shd w:val="clear" w:color="auto" w:fill="auto"/>
            <w:vAlign w:val="center"/>
          </w:tcPr>
          <w:p>
            <w:pPr>
              <w:adjustRightInd w:val="0"/>
              <w:snapToGrid w:val="0"/>
              <w:jc w:val="center"/>
              <w:rPr>
                <w:rFonts w:ascii="宋体" w:hAnsi="宋体"/>
                <w:kern w:val="0"/>
              </w:rPr>
            </w:pPr>
            <w:r>
              <w:rPr>
                <w:rFonts w:hint="eastAsia" w:ascii="宋体" w:hAnsi="宋体"/>
              </w:rPr>
              <w:t>50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34</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SC20</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水质仪表取样管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adjustRightInd w:val="0"/>
              <w:snapToGrid w:val="0"/>
              <w:jc w:val="center"/>
              <w:rPr>
                <w:rFonts w:ascii="宋体" w:hAnsi="宋体"/>
                <w:kern w:val="0"/>
              </w:rPr>
            </w:pPr>
            <w:r>
              <w:rPr>
                <w:rFonts w:hint="eastAsia" w:ascii="宋体" w:hAnsi="宋体"/>
              </w:rPr>
              <w:t>15</w:t>
            </w:r>
          </w:p>
        </w:tc>
        <w:tc>
          <w:tcPr>
            <w:tcW w:w="2025"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取样泵</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仪表厂家配套</w:t>
            </w:r>
          </w:p>
        </w:tc>
        <w:tc>
          <w:tcPr>
            <w:tcW w:w="606" w:type="dxa"/>
            <w:shd w:val="clear" w:color="auto" w:fill="auto"/>
            <w:vAlign w:val="center"/>
          </w:tcPr>
          <w:p>
            <w:pPr>
              <w:adjustRightInd w:val="0"/>
              <w:snapToGrid w:val="0"/>
              <w:jc w:val="center"/>
              <w:rPr>
                <w:rFonts w:ascii="宋体" w:hAnsi="宋体"/>
                <w:kern w:val="0"/>
              </w:rPr>
            </w:pPr>
            <w:r>
              <w:rPr>
                <w:rFonts w:hint="eastAsia" w:ascii="宋体" w:hAnsi="宋体"/>
              </w:rPr>
              <w:t>套</w:t>
            </w:r>
          </w:p>
        </w:tc>
        <w:tc>
          <w:tcPr>
            <w:tcW w:w="791" w:type="dxa"/>
            <w:shd w:val="clear" w:color="auto" w:fill="auto"/>
            <w:vAlign w:val="center"/>
          </w:tcPr>
          <w:p>
            <w:pPr>
              <w:adjustRightInd w:val="0"/>
              <w:snapToGrid w:val="0"/>
              <w:jc w:val="center"/>
              <w:rPr>
                <w:rFonts w:ascii="宋体" w:hAnsi="宋体"/>
                <w:kern w:val="0"/>
              </w:rPr>
            </w:pPr>
            <w:r>
              <w:rPr>
                <w:rFonts w:hint="eastAsia" w:ascii="宋体" w:hAnsi="宋体"/>
              </w:rPr>
              <w:t>1</w:t>
            </w:r>
          </w:p>
        </w:tc>
        <w:tc>
          <w:tcPr>
            <w:tcW w:w="2025" w:type="dxa"/>
            <w:shd w:val="clear" w:color="auto" w:fill="auto"/>
            <w:vAlign w:val="center"/>
          </w:tcPr>
          <w:p>
            <w:pPr>
              <w:adjustRightInd w:val="0"/>
              <w:snapToGrid w:val="0"/>
              <w:jc w:val="center"/>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w:t>
            </w:r>
            <w:r>
              <w:rPr>
                <w:rFonts w:ascii="宋体" w:hAnsi="宋体"/>
              </w:rPr>
              <w:t>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KVVP-3x1.5</w:t>
            </w:r>
          </w:p>
        </w:tc>
        <w:tc>
          <w:tcPr>
            <w:tcW w:w="606" w:type="dxa"/>
            <w:shd w:val="clear" w:color="auto" w:fill="auto"/>
            <w:vAlign w:val="center"/>
          </w:tcPr>
          <w:p>
            <w:pPr>
              <w:adjustRightInd w:val="0"/>
              <w:snapToGrid w:val="0"/>
              <w:jc w:val="center"/>
              <w:rPr>
                <w:rFonts w:ascii="宋体" w:hAnsi="宋体"/>
                <w:kern w:val="0"/>
              </w:rPr>
            </w:pPr>
            <w:r>
              <w:rPr>
                <w:rFonts w:hint="eastAsia" w:ascii="宋体" w:hAnsi="宋体"/>
              </w:rPr>
              <w:t>米</w:t>
            </w:r>
          </w:p>
        </w:tc>
        <w:tc>
          <w:tcPr>
            <w:tcW w:w="791" w:type="dxa"/>
            <w:shd w:val="clear" w:color="auto" w:fill="auto"/>
            <w:vAlign w:val="center"/>
          </w:tcPr>
          <w:p>
            <w:pPr>
              <w:adjustRightInd w:val="0"/>
              <w:snapToGrid w:val="0"/>
              <w:jc w:val="center"/>
              <w:rPr>
                <w:rFonts w:ascii="宋体" w:hAnsi="宋体"/>
                <w:kern w:val="0"/>
              </w:rPr>
            </w:pPr>
            <w:r>
              <w:rPr>
                <w:rFonts w:hint="eastAsia" w:ascii="宋体" w:hAnsi="宋体"/>
              </w:rPr>
              <w:t>120</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tcPr>
          <w:p>
            <w:pPr>
              <w:adjustRightInd w:val="0"/>
              <w:snapToGrid w:val="0"/>
              <w:jc w:val="center"/>
              <w:rPr>
                <w:rFonts w:ascii="宋体" w:hAnsi="宋体"/>
                <w:b/>
                <w:bCs/>
                <w:kern w:val="0"/>
              </w:rPr>
            </w:pPr>
            <w:r>
              <w:rPr>
                <w:rFonts w:hint="eastAsia" w:ascii="宋体" w:hAnsi="宋体"/>
                <w:b/>
                <w:bCs/>
                <w:kern w:val="0"/>
              </w:rPr>
              <w:t>砂滤池及反冲洗泵房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砂滤池自控总柜</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非标 </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PLC2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39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砂滤池自控柜</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非标 800x400x1200</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PLC2.1</w:t>
            </w:r>
            <w:r>
              <w:rPr>
                <w:rFonts w:ascii="宋体" w:hAnsi="宋体"/>
              </w:rPr>
              <w:t>-</w:t>
            </w:r>
            <w:r>
              <w:rPr>
                <w:rFonts w:hint="eastAsia" w:ascii="宋体" w:hAnsi="宋体"/>
              </w:rPr>
              <w:t>PLC2.4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一体式超声波液位计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10m 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LT1</w:t>
            </w:r>
            <w:r>
              <w:rPr>
                <w:rFonts w:ascii="宋体" w:hAnsi="宋体"/>
              </w:rPr>
              <w:t>-</w:t>
            </w:r>
            <w:r>
              <w:rPr>
                <w:rFonts w:hint="eastAsia" w:ascii="宋体" w:hAnsi="宋体"/>
              </w:rPr>
              <w:t>LT5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浊度仪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10NTU 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AT1</w:t>
            </w:r>
            <w:r>
              <w:rPr>
                <w:rFonts w:ascii="宋体" w:hAnsi="宋体"/>
              </w:rPr>
              <w:t>-</w:t>
            </w:r>
            <w:r>
              <w:rPr>
                <w:rFonts w:hint="eastAsia" w:ascii="宋体" w:hAnsi="宋体"/>
              </w:rPr>
              <w:t>AT4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热式气体流量计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DN200 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FTI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43</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电磁流量计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DN350 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FT2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44</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压力变送器</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1.0MPa 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PT1</w:t>
            </w:r>
            <w:r>
              <w:rPr>
                <w:rFonts w:ascii="宋体" w:hAnsi="宋体"/>
              </w:rPr>
              <w:t>-</w:t>
            </w:r>
            <w:r>
              <w:rPr>
                <w:rFonts w:hint="eastAsia" w:ascii="宋体" w:hAnsi="宋体"/>
              </w:rPr>
              <w:t>PT2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仪表安装支架</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不锈钢材质</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DJYPV-2x1.5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200</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KVV-3×1.5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KVVP-7x1.0</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600</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49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SC25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500</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80</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SC50</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vAlign w:val="center"/>
          </w:tcPr>
          <w:p>
            <w:pPr>
              <w:widowControl/>
              <w:adjustRightInd w:val="0"/>
              <w:snapToGrid w:val="0"/>
              <w:jc w:val="center"/>
              <w:textAlignment w:val="bottom"/>
              <w:rPr>
                <w:rFonts w:ascii="宋体" w:hAnsi="宋体"/>
                <w:b/>
                <w:bCs/>
              </w:rPr>
            </w:pPr>
            <w:r>
              <w:rPr>
                <w:rFonts w:hint="eastAsia" w:ascii="宋体" w:hAnsi="宋体"/>
                <w:b/>
                <w:bCs/>
              </w:rPr>
              <w:t>加药间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w:t>
            </w:r>
            <w:r>
              <w:rPr>
                <w:rFonts w:ascii="宋体" w:hAnsi="宋体"/>
              </w:rPr>
              <w:t>3</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超声波液位传感器</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0</w:t>
            </w:r>
            <w:r>
              <w:rPr>
                <w:rFonts w:ascii="宋体" w:hAnsi="宋体"/>
              </w:rPr>
              <w:t>-</w:t>
            </w:r>
            <w:r>
              <w:rPr>
                <w:rFonts w:hint="eastAsia" w:ascii="宋体" w:hAnsi="宋体"/>
              </w:rPr>
              <w:t>10m，4</w:t>
            </w:r>
            <w:r>
              <w:rPr>
                <w:rFonts w:ascii="宋体" w:hAnsi="宋体"/>
              </w:rPr>
              <w:t>-2</w:t>
            </w:r>
            <w:r>
              <w:rPr>
                <w:rFonts w:hint="eastAsia" w:ascii="宋体" w:hAnsi="宋体"/>
              </w:rPr>
              <w:t>0mA 二线制</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LT1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tcPr>
          <w:p>
            <w:pPr>
              <w:widowControl/>
              <w:adjustRightInd w:val="0"/>
              <w:snapToGrid w:val="0"/>
              <w:jc w:val="center"/>
              <w:textAlignment w:val="bottom"/>
              <w:rPr>
                <w:rFonts w:ascii="宋体" w:hAnsi="宋体"/>
                <w:b/>
                <w:bCs/>
                <w:kern w:val="0"/>
              </w:rPr>
            </w:pPr>
            <w:r>
              <w:rPr>
                <w:rFonts w:hint="eastAsia" w:ascii="宋体" w:hAnsi="宋体"/>
                <w:b/>
                <w:bCs/>
                <w:kern w:val="0"/>
              </w:rPr>
              <w:t>送水泵房及变电所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w:t>
            </w:r>
            <w:r>
              <w:rPr>
                <w:rFonts w:ascii="宋体" w:hAnsi="宋体"/>
              </w:rPr>
              <w:t>4</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自控柜</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800x600x2000</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PLC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w:t>
            </w:r>
            <w:r>
              <w:rPr>
                <w:rFonts w:ascii="宋体" w:hAnsi="宋体"/>
              </w:rPr>
              <w:t>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一体式超声波液位计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10m，4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个</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LT1</w:t>
            </w:r>
            <w:r>
              <w:rPr>
                <w:rFonts w:ascii="宋体" w:hAnsi="宋体"/>
              </w:rPr>
              <w:t>-</w:t>
            </w:r>
            <w:r>
              <w:rPr>
                <w:rFonts w:hint="eastAsia" w:ascii="宋体" w:hAnsi="宋体"/>
              </w:rPr>
              <w:t>LT2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w:t>
            </w:r>
            <w:r>
              <w:rPr>
                <w:rFonts w:ascii="宋体" w:hAnsi="宋体"/>
              </w:rPr>
              <w:t>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进水pH+T仪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14pH，4</w:t>
            </w:r>
            <w:r>
              <w:rPr>
                <w:rFonts w:ascii="宋体" w:hAnsi="宋体"/>
              </w:rPr>
              <w:t>-</w:t>
            </w:r>
            <w:r>
              <w:rPr>
                <w:rFonts w:hint="eastAsia" w:ascii="宋体" w:hAnsi="宋体"/>
              </w:rPr>
              <w:t xml:space="preserve">20mA </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w:t>
            </w:r>
            <w:r>
              <w:rPr>
                <w:rFonts w:ascii="宋体" w:hAnsi="宋体"/>
              </w:rPr>
              <w:t>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进水NH3-N检测仪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20mg/l，4</w:t>
            </w:r>
            <w:r>
              <w:rPr>
                <w:rFonts w:ascii="宋体" w:hAnsi="宋体"/>
              </w:rPr>
              <w:t>-</w:t>
            </w:r>
            <w:r>
              <w:rPr>
                <w:rFonts w:hint="eastAsia" w:ascii="宋体" w:hAnsi="宋体"/>
              </w:rPr>
              <w:t xml:space="preserve">20mA </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进水CODMn检测仪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500mg/l，4</w:t>
            </w:r>
            <w:r>
              <w:rPr>
                <w:rFonts w:ascii="宋体" w:hAnsi="宋体"/>
              </w:rPr>
              <w:t>-</w:t>
            </w:r>
            <w:r>
              <w:rPr>
                <w:rFonts w:hint="eastAsia" w:ascii="宋体" w:hAnsi="宋体"/>
              </w:rPr>
              <w:t xml:space="preserve">20mA </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59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进水浊度仪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1NTU，4</w:t>
            </w:r>
            <w:r>
              <w:rPr>
                <w:rFonts w:ascii="宋体" w:hAnsi="宋体"/>
              </w:rPr>
              <w:t>-</w:t>
            </w:r>
            <w:r>
              <w:rPr>
                <w:rFonts w:hint="eastAsia" w:ascii="宋体" w:hAnsi="宋体"/>
              </w:rPr>
              <w:t xml:space="preserve">20mA </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进水生物毒性预警系统</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毒性范围0</w:t>
            </w:r>
            <w:r>
              <w:rPr>
                <w:rFonts w:ascii="宋体" w:hAnsi="宋体"/>
              </w:rPr>
              <w:t>-</w:t>
            </w:r>
            <w:r>
              <w:rPr>
                <w:rFonts w:hint="eastAsia" w:ascii="宋体" w:hAnsi="宋体"/>
              </w:rPr>
              <w:t>100%，4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进水ORP检测仪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 0.1-2000μs/cm，4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仪表柜</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800x600x2000mm</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IP1</w:t>
            </w:r>
            <w:r>
              <w:rPr>
                <w:rFonts w:ascii="宋体" w:hAnsi="宋体"/>
              </w:rPr>
              <w:t>-</w:t>
            </w:r>
            <w:r>
              <w:rPr>
                <w:rFonts w:hint="eastAsia" w:ascii="宋体" w:hAnsi="宋体"/>
              </w:rPr>
              <w:t>IP5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63</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 仪表安装支架</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不锈钢材质</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64</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 KVV-19x0.75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KVV-10x1.0</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KVV-7x1.5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60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KVV-3x1.5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220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DJYPVP-4x2x1.5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150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69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DJYPVP-2x2x1.5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75</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DJYPV-2x1.5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380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信号电缆</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RS485</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300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SC32</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73</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SC100</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100</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vAlign w:val="center"/>
          </w:tcPr>
          <w:p>
            <w:pPr>
              <w:widowControl/>
              <w:adjustRightInd w:val="0"/>
              <w:snapToGrid w:val="0"/>
              <w:jc w:val="center"/>
              <w:textAlignment w:val="bottom"/>
              <w:rPr>
                <w:rFonts w:ascii="宋体" w:hAnsi="宋体"/>
                <w:b/>
                <w:bCs/>
              </w:rPr>
            </w:pPr>
            <w:r>
              <w:rPr>
                <w:rFonts w:hint="eastAsia" w:ascii="宋体" w:hAnsi="宋体"/>
                <w:b/>
                <w:bCs/>
              </w:rPr>
              <w:t>回收水池及排泥池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w:t>
            </w:r>
            <w:r>
              <w:rPr>
                <w:rFonts w:ascii="宋体" w:hAnsi="宋体"/>
              </w:rPr>
              <w:t>4</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一体式超声波液位计</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0</w:t>
            </w:r>
            <w:r>
              <w:rPr>
                <w:rFonts w:ascii="宋体" w:hAnsi="宋体"/>
              </w:rPr>
              <w:t>-</w:t>
            </w:r>
            <w:r>
              <w:rPr>
                <w:rFonts w:hint="eastAsia" w:ascii="宋体" w:hAnsi="宋体"/>
              </w:rPr>
              <w:t>10m，4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4</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LT1</w:t>
            </w:r>
            <w:r>
              <w:rPr>
                <w:rFonts w:ascii="宋体" w:hAnsi="宋体"/>
              </w:rPr>
              <w:t>-</w:t>
            </w:r>
            <w:r>
              <w:rPr>
                <w:rFonts w:hint="eastAsia" w:ascii="宋体" w:hAnsi="宋体"/>
              </w:rPr>
              <w:t>LT4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w:t>
            </w:r>
            <w:r>
              <w:rPr>
                <w:rFonts w:ascii="宋体" w:hAnsi="宋体"/>
              </w:rPr>
              <w:t>5</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SC32</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left"/>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tcPr>
          <w:p>
            <w:pPr>
              <w:widowControl/>
              <w:adjustRightInd w:val="0"/>
              <w:snapToGrid w:val="0"/>
              <w:jc w:val="center"/>
              <w:textAlignment w:val="bottom"/>
              <w:rPr>
                <w:rFonts w:ascii="宋体" w:hAnsi="宋体"/>
                <w:b/>
                <w:bCs/>
                <w:kern w:val="0"/>
              </w:rPr>
            </w:pPr>
            <w:r>
              <w:rPr>
                <w:rFonts w:hint="eastAsia" w:ascii="宋体" w:hAnsi="宋体"/>
                <w:b/>
                <w:bCs/>
                <w:kern w:val="0"/>
              </w:rPr>
              <w:t>污泥浓缩池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ascii="宋体" w:hAnsi="宋体"/>
              </w:rPr>
              <w:t>76</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污泥界面仪</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0.5</w:t>
            </w:r>
            <w:r>
              <w:rPr>
                <w:rFonts w:ascii="宋体" w:hAnsi="宋体"/>
              </w:rPr>
              <w:t>-</w:t>
            </w:r>
            <w:r>
              <w:rPr>
                <w:rFonts w:hint="eastAsia" w:ascii="宋体" w:hAnsi="宋体"/>
              </w:rPr>
              <w:t>10m Modbus</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2</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AT1/SS</w:t>
            </w:r>
            <w:r>
              <w:rPr>
                <w:rFonts w:ascii="宋体" w:hAnsi="宋体"/>
              </w:rPr>
              <w:t>-</w:t>
            </w:r>
            <w:r>
              <w:rPr>
                <w:rFonts w:hint="eastAsia" w:ascii="宋体" w:hAnsi="宋体"/>
              </w:rPr>
              <w:t>AT2/SS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ascii="宋体" w:hAnsi="宋体"/>
              </w:rPr>
              <w:t>77</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SC32</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60</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vAlign w:val="center"/>
          </w:tcPr>
          <w:p>
            <w:pPr>
              <w:widowControl/>
              <w:adjustRightInd w:val="0"/>
              <w:snapToGrid w:val="0"/>
              <w:jc w:val="center"/>
              <w:textAlignment w:val="bottom"/>
              <w:rPr>
                <w:rFonts w:ascii="宋体" w:hAnsi="宋体"/>
                <w:b/>
                <w:bCs/>
                <w:kern w:val="0"/>
              </w:rPr>
            </w:pPr>
            <w:r>
              <w:rPr>
                <w:rFonts w:hint="eastAsia" w:ascii="宋体" w:hAnsi="宋体"/>
                <w:b/>
                <w:bCs/>
                <w:kern w:val="0"/>
              </w:rPr>
              <w:t>污泥脱水机房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w:t>
            </w:r>
            <w:r>
              <w:rPr>
                <w:rFonts w:ascii="宋体" w:hAnsi="宋体"/>
              </w:rPr>
              <w:t>8</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PLC柜</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800x1000x2000</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2</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AT1/H2S</w:t>
            </w:r>
            <w:r>
              <w:rPr>
                <w:rFonts w:ascii="宋体" w:hAnsi="宋体"/>
              </w:rPr>
              <w:t>-</w:t>
            </w:r>
            <w:r>
              <w:rPr>
                <w:rFonts w:hint="eastAsia" w:ascii="宋体" w:hAnsi="宋体"/>
              </w:rPr>
              <w:t>AT2/H2S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7</w:t>
            </w:r>
            <w:r>
              <w:rPr>
                <w:rFonts w:ascii="宋体" w:hAnsi="宋体"/>
              </w:rPr>
              <w:t>9</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硫化氢检测仪</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4</w:t>
            </w:r>
            <w:r>
              <w:rPr>
                <w:rFonts w:ascii="宋体" w:hAnsi="宋体"/>
              </w:rPr>
              <w:t>-</w:t>
            </w:r>
            <w:r>
              <w:rPr>
                <w:rFonts w:hint="eastAsia" w:ascii="宋体" w:hAnsi="宋体"/>
              </w:rPr>
              <w:t>20mA</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70</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0</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KVV-7x1.5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1</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控制电缆</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KVV-3x1.5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2</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信号电缆</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DJYPVP-2x2x1.5</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50</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3</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总线电缆</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RS485 Belden 9841</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80</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SC100</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米</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100</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4</w:t>
            </w:r>
          </w:p>
        </w:tc>
        <w:tc>
          <w:tcPr>
            <w:tcW w:w="157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镀锌钢管</w:t>
            </w:r>
          </w:p>
        </w:tc>
        <w:tc>
          <w:tcPr>
            <w:tcW w:w="2850"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SC32</w:t>
            </w:r>
          </w:p>
        </w:tc>
        <w:tc>
          <w:tcPr>
            <w:tcW w:w="606"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2</w:t>
            </w:r>
          </w:p>
        </w:tc>
        <w:tc>
          <w:tcPr>
            <w:tcW w:w="2025" w:type="dxa"/>
            <w:shd w:val="clear" w:color="auto" w:fill="auto"/>
            <w:vAlign w:val="center"/>
          </w:tcPr>
          <w:p>
            <w:pPr>
              <w:widowControl/>
              <w:adjustRightInd w:val="0"/>
              <w:snapToGrid w:val="0"/>
              <w:jc w:val="center"/>
              <w:textAlignment w:val="bottom"/>
              <w:rPr>
                <w:rFonts w:ascii="宋体" w:hAnsi="宋体"/>
              </w:rPr>
            </w:pPr>
            <w:r>
              <w:rPr>
                <w:rFonts w:hint="eastAsia" w:ascii="宋体" w:hAnsi="宋体"/>
              </w:rPr>
              <w:t>AT1/H2S</w:t>
            </w:r>
            <w:r>
              <w:rPr>
                <w:rFonts w:ascii="宋体" w:hAnsi="宋体"/>
              </w:rPr>
              <w:t>-</w:t>
            </w:r>
            <w:r>
              <w:rPr>
                <w:rFonts w:hint="eastAsia" w:ascii="宋体" w:hAnsi="宋体"/>
              </w:rPr>
              <w:t>AT2/H2S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495" w:type="dxa"/>
            <w:gridSpan w:val="6"/>
            <w:shd w:val="clear" w:color="auto" w:fill="auto"/>
            <w:vAlign w:val="center"/>
          </w:tcPr>
          <w:p>
            <w:pPr>
              <w:widowControl/>
              <w:adjustRightInd w:val="0"/>
              <w:snapToGrid w:val="0"/>
              <w:jc w:val="center"/>
              <w:textAlignment w:val="bottom"/>
              <w:rPr>
                <w:rFonts w:ascii="宋体" w:hAnsi="宋体"/>
                <w:b/>
                <w:bCs/>
              </w:rPr>
            </w:pPr>
            <w:r>
              <w:rPr>
                <w:rFonts w:hint="eastAsia" w:ascii="宋体" w:hAnsi="宋体"/>
                <w:b/>
                <w:bCs/>
              </w:rPr>
              <w:t>中控室设备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监控计算机</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Core i7 3.4GHz(up to 3.8GHz，8M Cache，64 位，四核) 4G内存/1T硬盘/1G独立显卡 /声卡 /10</w:t>
            </w:r>
            <w:r>
              <w:rPr>
                <w:rFonts w:ascii="宋体" w:hAnsi="宋体"/>
              </w:rPr>
              <w:t>-</w:t>
            </w:r>
            <w:r>
              <w:rPr>
                <w:rFonts w:hint="eastAsia" w:ascii="宋体" w:hAnsi="宋体"/>
              </w:rPr>
              <w:t>100M LAN/DVD-ROM/350W POWER</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配24寸LCD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服务器</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Nematron AE413NH/Core I7 3.4GHz/4G DDR3/2*1T/动态分配显存/板载声卡/2*1000M网口/DVD/350W POWER</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工程师站</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Core i7 3.4GHz(up to 3.8GHz,8M Cache，64 位，四核) 1.44MB3.5' /15'LCD/100M以太网卡  (便携式计算机)</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网络硬盘录像机</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H.265，支持40路1080P网络视频接入，8个SATA接口</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8</w:t>
            </w:r>
            <w:r>
              <w:rPr>
                <w:rFonts w:ascii="宋体" w:hAnsi="宋体"/>
              </w:rPr>
              <w:t>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视频专用硬盘</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4TB硬盘，7200转</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ascii="宋体" w:hAnsi="宋体"/>
              </w:rPr>
              <w:t>90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网络控制键盘</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  三维立体摇杆控制 液晶屏幕菜单显示</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高清解码器</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  支持8路1080视频图像解码输出</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安防工作站</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I7四核 8G内存 1G独显 24”显示器，安装Easy 7管理软件</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3</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视频管理软件</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Easy 7 Client</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4</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机架式网管型交换机</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xml:space="preserve">  2个千兆光口，24个千兆电口 背板宽带：128Gpbs</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大屏幕系统</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DLP,55寸，6块，大屏厂家配套,含控制器、安装底座等全套</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激光打印机</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A3/A4</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组态软件</w:t>
            </w:r>
          </w:p>
        </w:tc>
        <w:tc>
          <w:tcPr>
            <w:tcW w:w="2850" w:type="dxa"/>
            <w:shd w:val="clear" w:color="auto" w:fill="auto"/>
            <w:vAlign w:val="center"/>
          </w:tcPr>
          <w:p>
            <w:pPr>
              <w:widowControl/>
              <w:adjustRightInd w:val="0"/>
              <w:snapToGrid w:val="0"/>
              <w:jc w:val="center"/>
              <w:textAlignment w:val="bottom"/>
              <w:rPr>
                <w:rFonts w:hint="eastAsia" w:ascii="宋体" w:hAnsi="宋体" w:eastAsia="宋体"/>
                <w:lang w:eastAsia="zh-CN"/>
              </w:rPr>
            </w:pPr>
            <w:r>
              <w:rPr>
                <w:rFonts w:hint="eastAsia" w:ascii="宋体" w:hAnsi="宋体"/>
              </w:rPr>
              <w:t xml:space="preserve">Development Studio 2017无限点 ，开发版  </w:t>
            </w:r>
          </w:p>
          <w:p>
            <w:pPr>
              <w:widowControl/>
              <w:adjustRightInd w:val="0"/>
              <w:snapToGrid w:val="0"/>
              <w:jc w:val="center"/>
              <w:textAlignment w:val="bottom"/>
              <w:rPr>
                <w:rFonts w:ascii="宋体" w:hAnsi="宋体"/>
                <w:kern w:val="0"/>
              </w:rPr>
            </w:pPr>
            <w:r>
              <w:rPr>
                <w:rFonts w:hint="eastAsia" w:ascii="宋体" w:hAnsi="宋体"/>
              </w:rPr>
              <w:t>InTouch 2017无限点，运行版</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数据库软件</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Historian 2017</w:t>
            </w:r>
            <w:r>
              <w:rPr>
                <w:rFonts w:ascii="宋体" w:hAnsi="宋体"/>
              </w:rPr>
              <w:t>,</w:t>
            </w:r>
            <w:r>
              <w:rPr>
                <w:rFonts w:hint="eastAsia" w:ascii="宋体" w:hAnsi="宋体"/>
              </w:rPr>
              <w:t>5,000 Tag</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9</w:t>
            </w:r>
            <w:r>
              <w:rPr>
                <w:rFonts w:ascii="宋体" w:hAnsi="宋体"/>
              </w:rPr>
              <w:t>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局部等电位联结端子板</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LEB</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控制台</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3600x1000mm钢木结合材质</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网络机柜</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42U</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102</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服务器柜</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AE1，AE2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103</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不间断电源柜</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5kW 60min</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104</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出水水质检测设备</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　</w:t>
            </w:r>
          </w:p>
        </w:tc>
        <w:tc>
          <w:tcPr>
            <w:tcW w:w="2025" w:type="dxa"/>
            <w:shd w:val="clear" w:color="auto" w:fill="auto"/>
            <w:vAlign w:val="center"/>
          </w:tcPr>
          <w:p>
            <w:pPr>
              <w:widowControl/>
              <w:adjustRightInd w:val="0"/>
              <w:snapToGrid w:val="0"/>
              <w:jc w:val="center"/>
              <w:textAlignment w:val="bottom"/>
              <w:rPr>
                <w:rFonts w:ascii="宋体" w:hAns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105</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酸碱度/温度检测仪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14PH，Modbus</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AT/pH/T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106</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出水浊度仪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低量程0</w:t>
            </w:r>
            <w:r>
              <w:rPr>
                <w:rFonts w:ascii="宋体" w:hAnsi="宋体"/>
              </w:rPr>
              <w:t>-</w:t>
            </w:r>
            <w:r>
              <w:rPr>
                <w:rFonts w:hint="eastAsia" w:ascii="宋体" w:hAnsi="宋体"/>
              </w:rPr>
              <w:t>10NTU，Modbus</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AT/NTU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107</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出水铝离子分析仪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20mg/L，Modbus</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AT/AL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108</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出水CODMn检测仪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0.02</w:t>
            </w:r>
            <w:r>
              <w:rPr>
                <w:rFonts w:ascii="宋体" w:hAnsi="宋体"/>
              </w:rPr>
              <w:t>-</w:t>
            </w:r>
            <w:r>
              <w:rPr>
                <w:rFonts w:hint="eastAsia" w:ascii="宋体" w:hAnsi="宋体"/>
              </w:rPr>
              <w:t>5mg/L，Modbus</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AT/CODMn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109</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出水余氯检测仪</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0</w:t>
            </w:r>
            <w:r>
              <w:rPr>
                <w:rFonts w:ascii="宋体" w:hAnsi="宋体"/>
              </w:rPr>
              <w:t>-</w:t>
            </w:r>
            <w:r>
              <w:rPr>
                <w:rFonts w:hint="eastAsia" w:ascii="宋体" w:hAnsi="宋体"/>
              </w:rPr>
              <w:t>5mg/L，Modbus</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台</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AT/CL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110</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仪表安装支架</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不锈钢材质</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1</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48" w:type="dxa"/>
            <w:shd w:val="clear" w:color="auto" w:fill="auto"/>
            <w:vAlign w:val="center"/>
          </w:tcPr>
          <w:p>
            <w:pPr>
              <w:adjustRightInd w:val="0"/>
              <w:snapToGrid w:val="0"/>
              <w:jc w:val="center"/>
              <w:rPr>
                <w:rFonts w:ascii="宋体" w:hAnsi="宋体"/>
              </w:rPr>
            </w:pPr>
            <w:r>
              <w:rPr>
                <w:rFonts w:hint="eastAsia" w:ascii="宋体" w:hAnsi="宋体"/>
              </w:rPr>
              <w:t>111</w:t>
            </w:r>
          </w:p>
        </w:tc>
        <w:tc>
          <w:tcPr>
            <w:tcW w:w="1575"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仪表柜</w:t>
            </w:r>
          </w:p>
        </w:tc>
        <w:tc>
          <w:tcPr>
            <w:tcW w:w="2850"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2000x800x600mm</w:t>
            </w:r>
          </w:p>
        </w:tc>
        <w:tc>
          <w:tcPr>
            <w:tcW w:w="606"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套</w:t>
            </w:r>
          </w:p>
        </w:tc>
        <w:tc>
          <w:tcPr>
            <w:tcW w:w="791" w:type="dxa"/>
            <w:shd w:val="clear" w:color="auto" w:fill="auto"/>
            <w:vAlign w:val="center"/>
          </w:tcPr>
          <w:p>
            <w:pPr>
              <w:widowControl/>
              <w:adjustRightInd w:val="0"/>
              <w:snapToGrid w:val="0"/>
              <w:jc w:val="center"/>
              <w:textAlignment w:val="bottom"/>
              <w:rPr>
                <w:rFonts w:ascii="宋体" w:hAnsi="宋体"/>
                <w:kern w:val="0"/>
              </w:rPr>
            </w:pPr>
            <w:r>
              <w:rPr>
                <w:rFonts w:hint="eastAsia" w:ascii="宋体" w:hAnsi="宋体"/>
              </w:rPr>
              <w:t>4</w:t>
            </w:r>
          </w:p>
        </w:tc>
        <w:tc>
          <w:tcPr>
            <w:tcW w:w="2025" w:type="dxa"/>
            <w:shd w:val="clear" w:color="auto" w:fill="auto"/>
            <w:vAlign w:val="center"/>
          </w:tcPr>
          <w:p>
            <w:pPr>
              <w:widowControl/>
              <w:adjustRightInd w:val="0"/>
              <w:snapToGrid w:val="0"/>
              <w:jc w:val="left"/>
              <w:textAlignment w:val="bottom"/>
              <w:rPr>
                <w:rFonts w:ascii="宋体" w:hAnsi="宋体"/>
                <w:kern w:val="0"/>
              </w:rPr>
            </w:pPr>
            <w:r>
              <w:rPr>
                <w:rFonts w:hint="eastAsia" w:ascii="宋体" w:hAnsi="宋体"/>
              </w:rPr>
              <w:t>　</w:t>
            </w:r>
          </w:p>
        </w:tc>
      </w:tr>
    </w:tbl>
    <w:p>
      <w:pPr>
        <w:keepNext/>
        <w:tabs>
          <w:tab w:val="left" w:pos="993"/>
        </w:tabs>
        <w:adjustRightInd w:val="0"/>
        <w:snapToGrid w:val="0"/>
        <w:spacing w:before="203" w:beforeLines="50" w:after="203" w:afterLines="50"/>
        <w:outlineLvl w:val="2"/>
        <w:rPr>
          <w:rFonts w:ascii="宋体" w:hAnsi="宋体"/>
          <w:b/>
          <w:bCs/>
        </w:rPr>
      </w:pPr>
      <w:bookmarkStart w:id="7077" w:name="_Toc106883786"/>
      <w:r>
        <w:rPr>
          <w:rFonts w:hint="eastAsia" w:ascii="宋体" w:hAnsi="宋体"/>
          <w:b/>
          <w:bCs/>
        </w:rPr>
        <w:t>10.1.3</w:t>
      </w:r>
      <w:r>
        <w:rPr>
          <w:rFonts w:ascii="宋体" w:hAnsi="宋体"/>
          <w:b/>
          <w:bCs/>
        </w:rPr>
        <w:t>技术说明</w:t>
      </w:r>
      <w:bookmarkEnd w:id="7077"/>
    </w:p>
    <w:p>
      <w:pPr>
        <w:adjustRightInd w:val="0"/>
        <w:snapToGrid w:val="0"/>
        <w:spacing w:before="203" w:beforeLines="50" w:after="203" w:afterLines="50"/>
        <w:ind w:firstLine="500" w:firstLineChars="200"/>
        <w:rPr>
          <w:rFonts w:ascii="宋体" w:hAnsi="宋体"/>
        </w:rPr>
      </w:pPr>
      <w:r>
        <w:rPr>
          <w:rFonts w:ascii="宋体" w:hAnsi="宋体"/>
        </w:rPr>
        <w:t>文件中已提供了系统总体结构及主要设备的技术指标，并在施工图中分站列出了所有被控设备。承包商在投标时应根据标书的要求，随投标书同时附上自动化系统的总体技术方案。承包商必须具备相当的工程经验及技术力量，为考察承包商的工程技术实力，承包商必须以文字和图形的方式提供各部分的技术说明。</w:t>
      </w:r>
    </w:p>
    <w:p>
      <w:pPr>
        <w:adjustRightInd w:val="0"/>
        <w:snapToGrid w:val="0"/>
        <w:spacing w:before="203" w:beforeLines="50" w:after="203" w:afterLines="50"/>
        <w:ind w:firstLine="500" w:firstLineChars="200"/>
        <w:rPr>
          <w:rFonts w:ascii="宋体" w:hAnsi="宋体"/>
        </w:rPr>
      </w:pPr>
      <w:r>
        <w:rPr>
          <w:rFonts w:ascii="宋体" w:hAnsi="宋体"/>
        </w:rPr>
        <w:t>所采用的产品系统的配置图及配置说明。</w:t>
      </w:r>
    </w:p>
    <w:p>
      <w:pPr>
        <w:adjustRightInd w:val="0"/>
        <w:snapToGrid w:val="0"/>
        <w:spacing w:before="203" w:beforeLines="50" w:after="203" w:afterLines="50"/>
        <w:ind w:firstLine="500" w:firstLineChars="200"/>
        <w:rPr>
          <w:rFonts w:ascii="宋体" w:hAnsi="宋体"/>
        </w:rPr>
      </w:pPr>
      <w:r>
        <w:rPr>
          <w:rFonts w:ascii="宋体" w:hAnsi="宋体"/>
        </w:rPr>
        <w:t>控制流程图及各部分的功能详述、控制条件详述。</w:t>
      </w:r>
    </w:p>
    <w:p>
      <w:pPr>
        <w:adjustRightInd w:val="0"/>
        <w:snapToGrid w:val="0"/>
        <w:spacing w:before="203" w:beforeLines="50" w:after="203" w:afterLines="50"/>
        <w:ind w:firstLine="500" w:firstLineChars="200"/>
        <w:rPr>
          <w:rFonts w:ascii="宋体" w:hAnsi="宋体"/>
        </w:rPr>
      </w:pPr>
      <w:r>
        <w:rPr>
          <w:rFonts w:ascii="宋体" w:hAnsi="宋体"/>
        </w:rPr>
        <w:t>设备的控制模式，详细的I/O清单及总点数，须考虑20%的余量。</w:t>
      </w:r>
    </w:p>
    <w:p>
      <w:pPr>
        <w:adjustRightInd w:val="0"/>
        <w:snapToGrid w:val="0"/>
        <w:spacing w:before="203" w:beforeLines="50" w:after="203" w:afterLines="50"/>
        <w:ind w:firstLine="500" w:firstLineChars="200"/>
        <w:rPr>
          <w:rFonts w:ascii="宋体" w:hAnsi="宋体"/>
        </w:rPr>
      </w:pPr>
      <w:r>
        <w:rPr>
          <w:rFonts w:ascii="宋体" w:hAnsi="宋体"/>
        </w:rPr>
        <w:t>施工组织设计</w:t>
      </w:r>
      <w:r>
        <w:rPr>
          <w:rFonts w:hint="eastAsia" w:ascii="宋体" w:hAnsi="宋体"/>
        </w:rPr>
        <w:t>：</w:t>
      </w:r>
      <w:r>
        <w:rPr>
          <w:rFonts w:ascii="宋体" w:hAnsi="宋体"/>
        </w:rPr>
        <w:t>承包商应提供与施工地条件相符的详细合理的施工组织设计。</w:t>
      </w:r>
    </w:p>
    <w:p>
      <w:pPr>
        <w:adjustRightInd w:val="0"/>
        <w:snapToGrid w:val="0"/>
        <w:spacing w:before="203" w:beforeLines="50" w:after="203" w:afterLines="50"/>
        <w:ind w:firstLine="500" w:firstLineChars="200"/>
        <w:rPr>
          <w:rFonts w:ascii="宋体" w:hAnsi="宋体"/>
        </w:rPr>
      </w:pPr>
      <w:r>
        <w:rPr>
          <w:rFonts w:ascii="宋体" w:hAnsi="宋体"/>
        </w:rPr>
        <w:t>招标图纸中的设备与材料表如与工程量清单中的内容有矛盾，且影响投标人的投标文件，应提出澄清要求，否则认为满足工程建设需要。</w:t>
      </w:r>
    </w:p>
    <w:p>
      <w:pPr>
        <w:keepNext/>
        <w:tabs>
          <w:tab w:val="left" w:pos="993"/>
        </w:tabs>
        <w:adjustRightInd w:val="0"/>
        <w:snapToGrid w:val="0"/>
        <w:spacing w:before="203" w:beforeLines="50" w:after="203" w:afterLines="50"/>
        <w:outlineLvl w:val="0"/>
        <w:rPr>
          <w:rFonts w:ascii="宋体" w:hAnsi="宋体"/>
          <w:b/>
          <w:bCs/>
        </w:rPr>
      </w:pPr>
      <w:bookmarkStart w:id="7078" w:name="_Toc301178768"/>
      <w:bookmarkStart w:id="7079" w:name="_Toc98142996"/>
      <w:bookmarkStart w:id="7080" w:name="_Toc301171341"/>
      <w:bookmarkStart w:id="7081" w:name="_Toc450584989"/>
      <w:bookmarkStart w:id="7082" w:name="_Toc401327943"/>
      <w:bookmarkStart w:id="7083" w:name="_Toc106883787"/>
      <w:r>
        <w:rPr>
          <w:rFonts w:hint="eastAsia" w:ascii="宋体" w:hAnsi="宋体"/>
          <w:b/>
          <w:bCs/>
        </w:rPr>
        <w:t>10.1.4</w:t>
      </w:r>
      <w:r>
        <w:rPr>
          <w:rFonts w:ascii="宋体" w:hAnsi="宋体"/>
          <w:b/>
          <w:bCs/>
        </w:rPr>
        <w:t>作范围及要求</w:t>
      </w:r>
      <w:bookmarkEnd w:id="7078"/>
      <w:bookmarkEnd w:id="7079"/>
      <w:bookmarkEnd w:id="7080"/>
      <w:bookmarkEnd w:id="7081"/>
      <w:bookmarkEnd w:id="7082"/>
      <w:bookmarkEnd w:id="7083"/>
    </w:p>
    <w:p>
      <w:pPr>
        <w:adjustRightInd w:val="0"/>
        <w:snapToGrid w:val="0"/>
        <w:spacing w:before="203" w:beforeLines="50" w:after="203" w:afterLines="50"/>
        <w:ind w:firstLine="500" w:firstLineChars="200"/>
        <w:rPr>
          <w:rFonts w:ascii="宋体" w:hAnsi="宋体"/>
          <w:bCs/>
        </w:rPr>
      </w:pPr>
      <w:bookmarkStart w:id="7084" w:name="_Toc301178769"/>
      <w:bookmarkStart w:id="7085" w:name="_Toc301171342"/>
      <w:bookmarkStart w:id="7086" w:name="_Toc98142997"/>
      <w:r>
        <w:rPr>
          <w:rFonts w:ascii="宋体" w:hAnsi="宋体"/>
          <w:bCs/>
        </w:rPr>
        <w:t>1、工作范围</w:t>
      </w:r>
      <w:bookmarkEnd w:id="7084"/>
      <w:bookmarkEnd w:id="7085"/>
      <w:bookmarkEnd w:id="7086"/>
    </w:p>
    <w:p>
      <w:pPr>
        <w:adjustRightInd w:val="0"/>
        <w:snapToGrid w:val="0"/>
        <w:spacing w:before="203" w:beforeLines="50" w:after="203" w:afterLines="50"/>
        <w:ind w:firstLine="500" w:firstLineChars="200"/>
        <w:rPr>
          <w:rFonts w:ascii="宋体" w:hAnsi="宋体"/>
        </w:rPr>
      </w:pPr>
      <w:r>
        <w:rPr>
          <w:rFonts w:ascii="宋体" w:hAnsi="宋体"/>
        </w:rPr>
        <w:t>工作范围包括：自动化系统、仪表、全厂视频监控及安防设备、全部电缆、通信光缆等的供货和系统集成。对于系统中各控制站硬件的具体配置、与相关工艺及电气设备的技术配合与协调工作以及电缆、保护管敷设、预埋预留，均应由承包商完成，承包商应对整个工程完全负责。此部分的内容应在报价部分予以体现。</w:t>
      </w:r>
    </w:p>
    <w:p>
      <w:pPr>
        <w:adjustRightInd w:val="0"/>
        <w:snapToGrid w:val="0"/>
        <w:spacing w:before="203" w:beforeLines="50" w:after="203" w:afterLines="50"/>
        <w:ind w:firstLine="500" w:firstLineChars="200"/>
        <w:rPr>
          <w:rFonts w:ascii="宋体" w:hAnsi="宋体"/>
        </w:rPr>
      </w:pPr>
      <w:r>
        <w:rPr>
          <w:rFonts w:ascii="宋体" w:hAnsi="宋体"/>
        </w:rPr>
        <w:t>承包商所购买的设备应符合ISO、IEC、DIN标准和设备生产厂家所在国的现行标准，或其它与之等效的标准，还应符合有毒气体、腐蚀性气体、易燃易爆气体等专业标准、安全标准等。</w:t>
      </w:r>
    </w:p>
    <w:p>
      <w:pPr>
        <w:adjustRightInd w:val="0"/>
        <w:snapToGrid w:val="0"/>
        <w:spacing w:before="203" w:beforeLines="50" w:after="203" w:afterLines="50"/>
        <w:ind w:firstLine="500" w:firstLineChars="200"/>
        <w:outlineLvl w:val="0"/>
        <w:rPr>
          <w:rFonts w:ascii="宋体" w:hAnsi="宋体"/>
          <w:bCs/>
        </w:rPr>
      </w:pPr>
      <w:bookmarkStart w:id="7087" w:name="_Toc301178770"/>
      <w:bookmarkStart w:id="7088" w:name="_Toc98142998"/>
      <w:bookmarkStart w:id="7089" w:name="_Toc301171343"/>
      <w:bookmarkStart w:id="7090" w:name="_Toc106050562"/>
      <w:bookmarkStart w:id="7091" w:name="_Toc106883788"/>
      <w:r>
        <w:rPr>
          <w:rFonts w:ascii="宋体" w:hAnsi="宋体"/>
          <w:bCs/>
        </w:rPr>
        <w:t>2、工作内容</w:t>
      </w:r>
      <w:bookmarkEnd w:id="7087"/>
      <w:bookmarkEnd w:id="7088"/>
      <w:bookmarkEnd w:id="7089"/>
      <w:bookmarkEnd w:id="7090"/>
      <w:bookmarkEnd w:id="7091"/>
    </w:p>
    <w:p>
      <w:pPr>
        <w:adjustRightInd w:val="0"/>
        <w:snapToGrid w:val="0"/>
        <w:spacing w:before="203" w:beforeLines="50" w:after="203" w:afterLines="50"/>
        <w:ind w:firstLine="500" w:firstLineChars="200"/>
        <w:rPr>
          <w:rFonts w:ascii="宋体" w:hAnsi="宋体"/>
        </w:rPr>
      </w:pPr>
      <w:r>
        <w:rPr>
          <w:rFonts w:ascii="宋体" w:hAnsi="宋体"/>
        </w:rPr>
        <w:t>（1）提供系统组成方案、系统布置、设备选型、设备报价、中标签约后的工程实施安排。</w:t>
      </w:r>
    </w:p>
    <w:p>
      <w:pPr>
        <w:adjustRightInd w:val="0"/>
        <w:snapToGrid w:val="0"/>
        <w:spacing w:before="203" w:beforeLines="50" w:after="203" w:afterLines="50"/>
        <w:ind w:firstLine="500" w:firstLineChars="200"/>
        <w:rPr>
          <w:rFonts w:ascii="宋体" w:hAnsi="宋体"/>
        </w:rPr>
      </w:pPr>
      <w:r>
        <w:rPr>
          <w:rFonts w:ascii="宋体" w:hAnsi="宋体"/>
        </w:rPr>
        <w:t>（2）自动化系统包括各级网络上连接的所有设备和相关在线检测仪表的供货、安装、编程、调试。</w:t>
      </w:r>
    </w:p>
    <w:p>
      <w:pPr>
        <w:adjustRightInd w:val="0"/>
        <w:snapToGrid w:val="0"/>
        <w:spacing w:before="203" w:beforeLines="50" w:after="203" w:afterLines="50"/>
        <w:ind w:firstLine="500" w:firstLineChars="200"/>
        <w:rPr>
          <w:rFonts w:ascii="宋体" w:hAnsi="宋体"/>
        </w:rPr>
      </w:pPr>
      <w:r>
        <w:rPr>
          <w:rFonts w:ascii="宋体" w:hAnsi="宋体"/>
        </w:rPr>
        <w:t>（3）自动化系统及相关部分电控箱柜供货、安装、编程、调试、培训、指导。</w:t>
      </w:r>
    </w:p>
    <w:p>
      <w:pPr>
        <w:adjustRightInd w:val="0"/>
        <w:snapToGrid w:val="0"/>
        <w:spacing w:before="203" w:beforeLines="50" w:after="203" w:afterLines="50"/>
        <w:ind w:firstLine="500" w:firstLineChars="200"/>
        <w:rPr>
          <w:rFonts w:ascii="宋体" w:hAnsi="宋体"/>
        </w:rPr>
      </w:pPr>
      <w:r>
        <w:rPr>
          <w:rFonts w:ascii="宋体" w:hAnsi="宋体"/>
        </w:rPr>
        <w:t>（4）视频监控及安防系统的设备供货、安装调试及编程。</w:t>
      </w:r>
    </w:p>
    <w:p>
      <w:pPr>
        <w:adjustRightInd w:val="0"/>
        <w:snapToGrid w:val="0"/>
        <w:spacing w:before="203" w:beforeLines="50" w:after="203" w:afterLines="50"/>
        <w:ind w:firstLine="500" w:firstLineChars="200"/>
        <w:rPr>
          <w:rFonts w:ascii="宋体" w:hAnsi="宋体"/>
        </w:rPr>
      </w:pPr>
      <w:r>
        <w:rPr>
          <w:rFonts w:ascii="宋体" w:hAnsi="宋体"/>
        </w:rPr>
        <w:t>（5）电缆及保护管敷设，配合土建、安装的整体进度、及时完成控制系统内的所有管线预埋、电缆敷设、接线工作。</w:t>
      </w:r>
    </w:p>
    <w:p>
      <w:pPr>
        <w:adjustRightInd w:val="0"/>
        <w:snapToGrid w:val="0"/>
        <w:spacing w:before="203" w:beforeLines="50" w:after="203" w:afterLines="50"/>
        <w:ind w:firstLine="500" w:firstLineChars="200"/>
        <w:rPr>
          <w:rFonts w:ascii="宋体" w:hAnsi="宋体"/>
        </w:rPr>
      </w:pPr>
      <w:r>
        <w:rPr>
          <w:rFonts w:ascii="宋体" w:hAnsi="宋体"/>
        </w:rPr>
        <w:t>（6）负责与设备厂家配套提供的子系统（如：脱水系统、配电的检测保护和计量、低压柜的电力仪表等）的网络、线路连接和软件开发，实现数据、信息的交换。</w:t>
      </w:r>
    </w:p>
    <w:p>
      <w:pPr>
        <w:adjustRightInd w:val="0"/>
        <w:snapToGrid w:val="0"/>
        <w:spacing w:before="203" w:beforeLines="50" w:after="203" w:afterLines="50"/>
        <w:ind w:firstLine="500" w:firstLineChars="200"/>
        <w:rPr>
          <w:rFonts w:ascii="宋体" w:hAnsi="宋体"/>
        </w:rPr>
      </w:pPr>
      <w:r>
        <w:rPr>
          <w:rFonts w:ascii="宋体" w:hAnsi="宋体"/>
        </w:rPr>
        <w:t>（7）对系统的操作及维护人员的培训。</w:t>
      </w:r>
    </w:p>
    <w:p>
      <w:pPr>
        <w:adjustRightInd w:val="0"/>
        <w:snapToGrid w:val="0"/>
        <w:spacing w:before="203" w:beforeLines="50" w:after="203" w:afterLines="50"/>
        <w:ind w:firstLine="500" w:firstLineChars="200"/>
        <w:rPr>
          <w:rFonts w:ascii="宋体" w:hAnsi="宋体"/>
        </w:rPr>
      </w:pPr>
      <w:r>
        <w:rPr>
          <w:rFonts w:ascii="宋体" w:hAnsi="宋体"/>
        </w:rPr>
        <w:t>（8）系统投运后的保障与服务。</w:t>
      </w:r>
    </w:p>
    <w:p>
      <w:pPr>
        <w:adjustRightInd w:val="0"/>
        <w:snapToGrid w:val="0"/>
        <w:spacing w:before="203" w:beforeLines="50" w:after="203" w:afterLines="50"/>
        <w:ind w:firstLine="500" w:firstLineChars="200"/>
        <w:rPr>
          <w:rFonts w:ascii="宋体" w:hAnsi="宋体"/>
          <w:bCs/>
        </w:rPr>
      </w:pPr>
      <w:bookmarkStart w:id="7092" w:name="_Toc301171344"/>
      <w:bookmarkStart w:id="7093" w:name="_Toc301178771"/>
      <w:bookmarkStart w:id="7094" w:name="_Toc50177529"/>
      <w:bookmarkStart w:id="7095" w:name="_Toc98142999"/>
      <w:r>
        <w:rPr>
          <w:rFonts w:ascii="宋体" w:hAnsi="宋体"/>
          <w:bCs/>
        </w:rPr>
        <w:t>3、包装、运输和质量担保</w:t>
      </w:r>
      <w:bookmarkEnd w:id="7092"/>
      <w:bookmarkEnd w:id="7093"/>
      <w:bookmarkEnd w:id="7094"/>
      <w:bookmarkEnd w:id="7095"/>
    </w:p>
    <w:p>
      <w:pPr>
        <w:adjustRightInd w:val="0"/>
        <w:snapToGrid w:val="0"/>
        <w:spacing w:before="203" w:beforeLines="50" w:after="203" w:afterLines="50"/>
        <w:ind w:firstLine="500" w:firstLineChars="200"/>
        <w:rPr>
          <w:rFonts w:ascii="宋体" w:hAnsi="宋体"/>
        </w:rPr>
      </w:pPr>
      <w:r>
        <w:rPr>
          <w:rFonts w:ascii="宋体" w:hAnsi="宋体"/>
        </w:rPr>
        <w:t>承包商应负责将设备进行妥善的包装，然后完整无损的运抵合同指定的交货地点。设备自现场最终验收合格之日算起2年之内为质量担保期。担保期内出现的任何由质量原因造成的维修直到更换均由承包商负责解决，并承担所需的一切费用。</w:t>
      </w:r>
    </w:p>
    <w:p>
      <w:pPr>
        <w:adjustRightInd w:val="0"/>
        <w:snapToGrid w:val="0"/>
        <w:spacing w:before="203" w:beforeLines="50" w:after="203" w:afterLines="50"/>
        <w:ind w:firstLine="500" w:firstLineChars="200"/>
        <w:rPr>
          <w:rFonts w:ascii="宋体" w:hAnsi="宋体"/>
        </w:rPr>
      </w:pPr>
      <w:r>
        <w:rPr>
          <w:rFonts w:ascii="宋体" w:hAnsi="宋体"/>
        </w:rPr>
        <w:t>承包商应保证供货的质量和性能满足本技术条件的要求，并对设备的主要参数出具《性能参数保证书》和提供检测标准，各项保证条款在工厂和现场进行的试验中得到证实。进口设备应符合国际标准或国内有正式代理商的产品。</w:t>
      </w:r>
    </w:p>
    <w:p>
      <w:pPr>
        <w:adjustRightInd w:val="0"/>
        <w:snapToGrid w:val="0"/>
        <w:spacing w:before="203" w:beforeLines="50" w:after="203" w:afterLines="50"/>
        <w:ind w:firstLine="500" w:firstLineChars="200"/>
        <w:rPr>
          <w:rFonts w:ascii="宋体" w:hAnsi="宋体"/>
        </w:rPr>
      </w:pPr>
      <w:r>
        <w:rPr>
          <w:rFonts w:ascii="宋体" w:hAnsi="宋体"/>
        </w:rPr>
        <w:t>承包商应保证按本技术条件要求提供文件，所交付的技术文件应清晰、完整、准确、当发现文件不符合要求时，应立即修正或补充。</w:t>
      </w:r>
    </w:p>
    <w:p>
      <w:pPr>
        <w:adjustRightInd w:val="0"/>
        <w:snapToGrid w:val="0"/>
        <w:spacing w:before="203" w:beforeLines="50" w:after="203" w:afterLines="50"/>
        <w:ind w:firstLine="500" w:firstLineChars="200"/>
        <w:rPr>
          <w:rFonts w:ascii="宋体" w:hAnsi="宋体"/>
          <w:bCs/>
        </w:rPr>
      </w:pPr>
      <w:bookmarkStart w:id="7096" w:name="_Toc301171345"/>
      <w:bookmarkStart w:id="7097" w:name="_Toc8202536"/>
      <w:bookmarkStart w:id="7098" w:name="_Toc18483681"/>
      <w:bookmarkStart w:id="7099" w:name="_Toc98143000"/>
      <w:bookmarkStart w:id="7100" w:name="_Toc301178772"/>
      <w:bookmarkStart w:id="7101" w:name="_Toc50177530"/>
      <w:bookmarkStart w:id="7102" w:name="_Toc7248865"/>
      <w:r>
        <w:rPr>
          <w:rFonts w:ascii="宋体" w:hAnsi="宋体"/>
          <w:bCs/>
        </w:rPr>
        <w:t>4、 技术文件和图纸资料</w:t>
      </w:r>
      <w:bookmarkEnd w:id="7096"/>
      <w:bookmarkEnd w:id="7097"/>
      <w:bookmarkEnd w:id="7098"/>
      <w:bookmarkEnd w:id="7099"/>
      <w:bookmarkEnd w:id="7100"/>
      <w:bookmarkEnd w:id="7101"/>
      <w:bookmarkEnd w:id="7102"/>
    </w:p>
    <w:p>
      <w:pPr>
        <w:adjustRightInd w:val="0"/>
        <w:snapToGrid w:val="0"/>
        <w:spacing w:before="203" w:beforeLines="50" w:after="203" w:afterLines="50"/>
        <w:ind w:firstLine="500" w:firstLineChars="200"/>
        <w:rPr>
          <w:rFonts w:ascii="宋体" w:hAnsi="宋体"/>
        </w:rPr>
      </w:pPr>
      <w:r>
        <w:rPr>
          <w:rFonts w:ascii="宋体" w:hAnsi="宋体"/>
        </w:rPr>
        <w:t>（1）投标时应提供的资料：</w:t>
      </w:r>
    </w:p>
    <w:p>
      <w:pPr>
        <w:adjustRightInd w:val="0"/>
        <w:snapToGrid w:val="0"/>
        <w:spacing w:before="203" w:beforeLines="50" w:after="203" w:afterLines="50"/>
        <w:ind w:firstLine="500" w:firstLineChars="200"/>
        <w:rPr>
          <w:rFonts w:ascii="宋体" w:hAnsi="宋体"/>
        </w:rPr>
      </w:pPr>
      <w:r>
        <w:rPr>
          <w:rFonts w:ascii="宋体" w:hAnsi="宋体"/>
        </w:rPr>
        <w:t>承包商应提供下列资料，但不限于以下内容：</w:t>
      </w:r>
    </w:p>
    <w:p>
      <w:pPr>
        <w:adjustRightInd w:val="0"/>
        <w:snapToGrid w:val="0"/>
        <w:spacing w:before="203" w:beforeLines="50" w:after="203" w:afterLines="50"/>
        <w:ind w:firstLine="500" w:firstLineChars="200"/>
        <w:rPr>
          <w:rFonts w:ascii="宋体" w:hAnsi="宋体"/>
        </w:rPr>
      </w:pPr>
      <w:r>
        <w:rPr>
          <w:rFonts w:ascii="宋体" w:hAnsi="宋体"/>
        </w:rPr>
        <w:t>a）详细说明设备、仪表的性能。b）描述系统、设备、性能、材料的技术资料。</w:t>
      </w:r>
    </w:p>
    <w:p>
      <w:pPr>
        <w:adjustRightInd w:val="0"/>
        <w:snapToGrid w:val="0"/>
        <w:spacing w:before="203" w:beforeLines="50" w:after="203" w:afterLines="50"/>
        <w:ind w:firstLine="500" w:firstLineChars="200"/>
        <w:rPr>
          <w:rFonts w:ascii="宋体" w:hAnsi="宋体"/>
        </w:rPr>
      </w:pPr>
      <w:r>
        <w:rPr>
          <w:rFonts w:ascii="宋体" w:hAnsi="宋体"/>
        </w:rPr>
        <w:t>c）承包商认为必须提供的和业主认为必要的其它技术资料。</w:t>
      </w:r>
    </w:p>
    <w:p>
      <w:pPr>
        <w:adjustRightInd w:val="0"/>
        <w:snapToGrid w:val="0"/>
        <w:spacing w:before="203" w:beforeLines="50" w:after="203" w:afterLines="50"/>
        <w:ind w:firstLine="500" w:firstLineChars="200"/>
        <w:rPr>
          <w:rFonts w:ascii="宋体" w:hAnsi="宋体"/>
        </w:rPr>
      </w:pPr>
      <w:r>
        <w:rPr>
          <w:rFonts w:ascii="宋体" w:hAnsi="宋体"/>
        </w:rPr>
        <w:t>d）制造及质量保证设施。</w:t>
      </w:r>
    </w:p>
    <w:p>
      <w:pPr>
        <w:adjustRightInd w:val="0"/>
        <w:snapToGrid w:val="0"/>
        <w:spacing w:before="203" w:beforeLines="50" w:after="203" w:afterLines="50"/>
        <w:ind w:firstLine="500" w:firstLineChars="200"/>
        <w:rPr>
          <w:rFonts w:ascii="宋体" w:hAnsi="宋体"/>
        </w:rPr>
      </w:pPr>
      <w:r>
        <w:rPr>
          <w:rFonts w:ascii="宋体" w:hAnsi="宋体"/>
        </w:rPr>
        <w:t>（2）合同实施中应提供的资料：</w:t>
      </w:r>
    </w:p>
    <w:p>
      <w:pPr>
        <w:adjustRightInd w:val="0"/>
        <w:snapToGrid w:val="0"/>
        <w:spacing w:before="203" w:beforeLines="50" w:after="203" w:afterLines="50"/>
        <w:ind w:firstLine="500" w:firstLineChars="200"/>
        <w:rPr>
          <w:rFonts w:ascii="宋体" w:hAnsi="宋体"/>
        </w:rPr>
      </w:pPr>
      <w:r>
        <w:rPr>
          <w:rFonts w:ascii="宋体" w:hAnsi="宋体"/>
        </w:rPr>
        <w:t>承包商应提供下列资料（中文8套，电子文档2套）但不限于以下内容：</w:t>
      </w:r>
    </w:p>
    <w:p>
      <w:pPr>
        <w:adjustRightInd w:val="0"/>
        <w:snapToGrid w:val="0"/>
        <w:spacing w:before="203" w:beforeLines="50" w:after="203" w:afterLines="50"/>
        <w:ind w:firstLine="500" w:firstLineChars="200"/>
        <w:rPr>
          <w:rFonts w:ascii="宋体" w:hAnsi="宋体"/>
        </w:rPr>
      </w:pPr>
      <w:r>
        <w:rPr>
          <w:rFonts w:ascii="宋体" w:hAnsi="宋体"/>
        </w:rPr>
        <w:t>a）设备、仪表合格证书和测试报告。</w:t>
      </w:r>
    </w:p>
    <w:p>
      <w:pPr>
        <w:adjustRightInd w:val="0"/>
        <w:snapToGrid w:val="0"/>
        <w:spacing w:before="203" w:beforeLines="50" w:after="203" w:afterLines="50"/>
        <w:ind w:firstLine="500" w:firstLineChars="200"/>
        <w:rPr>
          <w:rFonts w:ascii="宋体" w:hAnsi="宋体"/>
        </w:rPr>
      </w:pPr>
      <w:r>
        <w:rPr>
          <w:rFonts w:ascii="宋体" w:hAnsi="宋体"/>
        </w:rPr>
        <w:t>b）设备、仪表安装方案的详细描述及安装精度规定。</w:t>
      </w:r>
    </w:p>
    <w:p>
      <w:pPr>
        <w:adjustRightInd w:val="0"/>
        <w:snapToGrid w:val="0"/>
        <w:spacing w:before="203" w:beforeLines="50" w:after="203" w:afterLines="50"/>
        <w:ind w:firstLine="500" w:firstLineChars="200"/>
        <w:rPr>
          <w:rFonts w:ascii="宋体" w:hAnsi="宋体"/>
        </w:rPr>
      </w:pPr>
      <w:r>
        <w:rPr>
          <w:rFonts w:ascii="宋体" w:hAnsi="宋体"/>
        </w:rPr>
        <w:t>c）设备、仪表各部分的重量、平台土建荷载。</w:t>
      </w:r>
    </w:p>
    <w:p>
      <w:pPr>
        <w:adjustRightInd w:val="0"/>
        <w:snapToGrid w:val="0"/>
        <w:spacing w:before="203" w:beforeLines="50" w:after="203" w:afterLines="50"/>
        <w:ind w:firstLine="500" w:firstLineChars="200"/>
        <w:rPr>
          <w:rFonts w:ascii="宋体" w:hAnsi="宋体"/>
        </w:rPr>
      </w:pPr>
      <w:r>
        <w:rPr>
          <w:rFonts w:ascii="宋体" w:hAnsi="宋体"/>
        </w:rPr>
        <w:t>d）设备、仪表安装、维修和运行手册。</w:t>
      </w:r>
    </w:p>
    <w:p>
      <w:pPr>
        <w:adjustRightInd w:val="0"/>
        <w:snapToGrid w:val="0"/>
        <w:spacing w:before="203" w:beforeLines="50" w:after="203" w:afterLines="50"/>
        <w:ind w:firstLine="500" w:firstLineChars="200"/>
        <w:rPr>
          <w:rFonts w:ascii="宋体" w:hAnsi="宋体"/>
        </w:rPr>
      </w:pPr>
      <w:r>
        <w:rPr>
          <w:rFonts w:ascii="宋体" w:hAnsi="宋体"/>
        </w:rPr>
        <w:t>e）设备、仪表的装配图，配套箱柜的接线图及原理图。</w:t>
      </w:r>
    </w:p>
    <w:p>
      <w:pPr>
        <w:adjustRightInd w:val="0"/>
        <w:snapToGrid w:val="0"/>
        <w:spacing w:before="203" w:beforeLines="50" w:after="203" w:afterLines="50"/>
        <w:ind w:firstLine="500" w:firstLineChars="200"/>
        <w:rPr>
          <w:rFonts w:ascii="宋体" w:hAnsi="宋体"/>
        </w:rPr>
      </w:pPr>
      <w:r>
        <w:rPr>
          <w:rFonts w:ascii="宋体" w:hAnsi="宋体"/>
        </w:rPr>
        <w:t>f）试运转前的调试及检测要求。</w:t>
      </w:r>
    </w:p>
    <w:p>
      <w:pPr>
        <w:adjustRightInd w:val="0"/>
        <w:snapToGrid w:val="0"/>
        <w:spacing w:before="203" w:beforeLines="50" w:after="203" w:afterLines="50"/>
        <w:ind w:firstLine="500" w:firstLineChars="200"/>
        <w:rPr>
          <w:rFonts w:ascii="宋体" w:hAnsi="宋体"/>
        </w:rPr>
      </w:pPr>
      <w:r>
        <w:rPr>
          <w:rFonts w:ascii="宋体" w:hAnsi="宋体"/>
        </w:rPr>
        <w:t>g）安装调试后的竣工图纸和技术说明资料。</w:t>
      </w:r>
    </w:p>
    <w:p>
      <w:pPr>
        <w:adjustRightInd w:val="0"/>
        <w:snapToGrid w:val="0"/>
        <w:spacing w:before="203" w:beforeLines="50" w:after="203" w:afterLines="50"/>
        <w:ind w:firstLine="500" w:firstLineChars="200"/>
        <w:rPr>
          <w:rFonts w:ascii="宋体" w:hAnsi="宋体"/>
        </w:rPr>
      </w:pPr>
      <w:r>
        <w:rPr>
          <w:rFonts w:ascii="宋体" w:hAnsi="宋体"/>
        </w:rPr>
        <w:t>h）应用软件和随机配套的编程器。</w:t>
      </w:r>
    </w:p>
    <w:p>
      <w:pPr>
        <w:adjustRightInd w:val="0"/>
        <w:snapToGrid w:val="0"/>
        <w:spacing w:before="203" w:beforeLines="50" w:after="203" w:afterLines="50"/>
        <w:ind w:firstLine="500" w:firstLineChars="200"/>
        <w:rPr>
          <w:rFonts w:ascii="宋体" w:hAnsi="宋体"/>
        </w:rPr>
      </w:pPr>
      <w:r>
        <w:rPr>
          <w:rFonts w:ascii="宋体" w:hAnsi="宋体"/>
        </w:rPr>
        <w:t>i）PLC产品资料（包括说明书和编程指令集等）。</w:t>
      </w:r>
    </w:p>
    <w:p>
      <w:pPr>
        <w:adjustRightInd w:val="0"/>
        <w:snapToGrid w:val="0"/>
        <w:spacing w:before="203" w:beforeLines="50" w:after="203" w:afterLines="50"/>
        <w:ind w:firstLine="500" w:firstLineChars="200"/>
        <w:rPr>
          <w:rFonts w:ascii="宋体" w:hAnsi="宋体"/>
        </w:rPr>
      </w:pPr>
      <w:r>
        <w:rPr>
          <w:rFonts w:ascii="宋体" w:hAnsi="宋体"/>
        </w:rPr>
        <w:t>j）程序清单、程序备份。</w:t>
      </w:r>
    </w:p>
    <w:p>
      <w:pPr>
        <w:adjustRightInd w:val="0"/>
        <w:snapToGrid w:val="0"/>
        <w:spacing w:before="203" w:beforeLines="50" w:after="203" w:afterLines="50"/>
        <w:ind w:firstLine="500" w:firstLineChars="200"/>
        <w:rPr>
          <w:rFonts w:ascii="宋体" w:hAnsi="宋体"/>
        </w:rPr>
      </w:pPr>
      <w:r>
        <w:rPr>
          <w:rFonts w:ascii="宋体" w:hAnsi="宋体"/>
        </w:rPr>
        <w:t>k）程序流程图，详细的注释。</w:t>
      </w:r>
    </w:p>
    <w:p>
      <w:pPr>
        <w:adjustRightInd w:val="0"/>
        <w:snapToGrid w:val="0"/>
        <w:spacing w:before="203" w:beforeLines="50" w:after="203" w:afterLines="50"/>
        <w:ind w:firstLine="500" w:firstLineChars="200"/>
        <w:rPr>
          <w:rFonts w:ascii="宋体" w:hAnsi="宋体"/>
        </w:rPr>
      </w:pPr>
      <w:r>
        <w:rPr>
          <w:rFonts w:ascii="宋体" w:hAnsi="宋体"/>
        </w:rPr>
        <w:t>l）地址表。包括：I/O、中间量、设置值，从设备端至操作终端及监控计算机的所用内容。</w:t>
      </w:r>
      <w:bookmarkStart w:id="7103" w:name="_Toc50177504"/>
    </w:p>
    <w:p>
      <w:pPr>
        <w:keepNext/>
        <w:adjustRightInd w:val="0"/>
        <w:snapToGrid w:val="0"/>
        <w:spacing w:before="203" w:beforeLines="50" w:after="203" w:afterLines="50"/>
        <w:outlineLvl w:val="1"/>
        <w:rPr>
          <w:rFonts w:ascii="宋体" w:hAnsi="宋体" w:cs="楷体"/>
          <w:b/>
        </w:rPr>
      </w:pPr>
      <w:bookmarkStart w:id="7104" w:name="_Toc456692052"/>
      <w:bookmarkStart w:id="7105" w:name="_Toc301171346"/>
      <w:bookmarkStart w:id="7106" w:name="_Toc450584990"/>
      <w:bookmarkStart w:id="7107" w:name="_Toc98143001"/>
      <w:bookmarkStart w:id="7108" w:name="_Toc401327944"/>
      <w:bookmarkStart w:id="7109" w:name="_Toc301178773"/>
      <w:bookmarkStart w:id="7110" w:name="_Toc106883789"/>
      <w:r>
        <w:rPr>
          <w:rFonts w:hint="eastAsia" w:ascii="宋体" w:hAnsi="宋体" w:cs="楷体"/>
          <w:b/>
        </w:rPr>
        <w:t>10.2</w:t>
      </w:r>
      <w:r>
        <w:rPr>
          <w:rFonts w:ascii="宋体" w:hAnsi="宋体" w:cs="楷体"/>
          <w:b/>
        </w:rPr>
        <w:t>自动化控制系统</w:t>
      </w:r>
      <w:bookmarkEnd w:id="7103"/>
      <w:bookmarkEnd w:id="7104"/>
      <w:bookmarkEnd w:id="7105"/>
      <w:bookmarkEnd w:id="7106"/>
      <w:bookmarkEnd w:id="7107"/>
      <w:bookmarkEnd w:id="7108"/>
      <w:bookmarkEnd w:id="7109"/>
      <w:bookmarkEnd w:id="7110"/>
    </w:p>
    <w:p>
      <w:pPr>
        <w:keepNext/>
        <w:tabs>
          <w:tab w:val="left" w:pos="993"/>
        </w:tabs>
        <w:adjustRightInd w:val="0"/>
        <w:snapToGrid w:val="0"/>
        <w:spacing w:before="203" w:beforeLines="50" w:after="203" w:afterLines="50"/>
        <w:outlineLvl w:val="2"/>
        <w:rPr>
          <w:rFonts w:ascii="宋体" w:hAnsi="宋体"/>
          <w:b/>
          <w:bCs/>
        </w:rPr>
      </w:pPr>
      <w:bookmarkStart w:id="7111" w:name="_Toc401327945"/>
      <w:bookmarkStart w:id="7112" w:name="_Toc450584991"/>
      <w:bookmarkStart w:id="7113" w:name="_Toc301171347"/>
      <w:bookmarkStart w:id="7114" w:name="_Toc98143002"/>
      <w:bookmarkStart w:id="7115" w:name="_Toc301178774"/>
      <w:bookmarkStart w:id="7116" w:name="_Toc106883790"/>
      <w:r>
        <w:rPr>
          <w:rFonts w:hint="eastAsia" w:ascii="宋体" w:hAnsi="宋体"/>
          <w:b/>
          <w:bCs/>
        </w:rPr>
        <w:t>10.2.1</w:t>
      </w:r>
      <w:r>
        <w:rPr>
          <w:rFonts w:ascii="宋体" w:hAnsi="宋体"/>
          <w:b/>
          <w:bCs/>
        </w:rPr>
        <w:t>概述</w:t>
      </w:r>
      <w:bookmarkEnd w:id="7111"/>
      <w:bookmarkEnd w:id="7112"/>
      <w:bookmarkEnd w:id="7113"/>
      <w:bookmarkEnd w:id="7114"/>
      <w:bookmarkEnd w:id="7115"/>
      <w:bookmarkEnd w:id="7116"/>
    </w:p>
    <w:p>
      <w:pPr>
        <w:adjustRightInd w:val="0"/>
        <w:snapToGrid w:val="0"/>
        <w:spacing w:before="203" w:beforeLines="50" w:after="203" w:afterLines="50"/>
        <w:ind w:firstLine="500" w:firstLineChars="200"/>
        <w:rPr>
          <w:rFonts w:ascii="宋体" w:hAnsi="宋体"/>
        </w:rPr>
      </w:pPr>
      <w:r>
        <w:rPr>
          <w:rFonts w:ascii="宋体" w:hAnsi="宋体"/>
        </w:rPr>
        <w:t>本节叙述了自动化系统的组成、总体及各部分的功能和相应的技术指标，对系统构成的框架作出了原则性的要求。对于系统中各控制站硬件的具体配置、与相关工艺及电气设备的技术配合与协调工作以及电缆敷设，均应由承包商完成，承包商应对整个工程完全负责。此部分的内容应在报价部分予以体现。</w:t>
      </w:r>
    </w:p>
    <w:p>
      <w:pPr>
        <w:adjustRightInd w:val="0"/>
        <w:snapToGrid w:val="0"/>
        <w:spacing w:before="203" w:beforeLines="50" w:after="203" w:afterLines="50"/>
        <w:ind w:firstLine="500" w:firstLineChars="200"/>
        <w:rPr>
          <w:rFonts w:ascii="宋体" w:hAnsi="宋体"/>
        </w:rPr>
      </w:pPr>
      <w:r>
        <w:rPr>
          <w:rFonts w:ascii="宋体" w:hAnsi="宋体"/>
        </w:rPr>
        <w:t>承包商应根据本技术规范的要求，随投标书同时附上自动控制系统的总体技术方案、详细的设备供货清单以及能够提供的所有必需的服务内容。合同中仅列出了主要设备的清单及要求。对于技术规范和图纸中未提及的或未详细叙述的设备及其附件，若控制系统的组成需要，承包商均应在方案设计时予以考虑，并视为</w:t>
      </w:r>
      <w:r>
        <w:rPr>
          <w:rFonts w:hint="eastAsia" w:ascii="宋体" w:hAnsi="宋体"/>
        </w:rPr>
        <w:t>包含</w:t>
      </w:r>
      <w:r>
        <w:rPr>
          <w:rFonts w:ascii="宋体" w:hAnsi="宋体"/>
        </w:rPr>
        <w:t>在设备采购清单中。本技术规范中所列的设备及其性能指标和参数为控制系统的最低要求，承包商所提供的设备及软件须不低于本规范。</w:t>
      </w:r>
    </w:p>
    <w:p>
      <w:pPr>
        <w:adjustRightInd w:val="0"/>
        <w:snapToGrid w:val="0"/>
        <w:spacing w:before="203" w:beforeLines="50" w:after="203" w:afterLines="50"/>
        <w:ind w:firstLine="500" w:firstLineChars="200"/>
        <w:rPr>
          <w:rFonts w:ascii="宋体" w:hAnsi="宋体"/>
          <w:bCs/>
        </w:rPr>
      </w:pPr>
      <w:bookmarkStart w:id="7117" w:name="_Hlt19446290"/>
      <w:bookmarkEnd w:id="7117"/>
      <w:bookmarkStart w:id="7118" w:name="_Toc301178775"/>
      <w:bookmarkStart w:id="7119" w:name="_Toc50177533"/>
      <w:bookmarkStart w:id="7120" w:name="_Toc18483683"/>
      <w:bookmarkStart w:id="7121" w:name="_Toc8202539"/>
      <w:bookmarkStart w:id="7122" w:name="_Toc98143003"/>
      <w:bookmarkStart w:id="7123" w:name="_Toc301171348"/>
      <w:bookmarkStart w:id="7124" w:name="_Toc7248868"/>
      <w:r>
        <w:rPr>
          <w:rFonts w:ascii="宋体" w:hAnsi="宋体"/>
          <w:bCs/>
        </w:rPr>
        <w:t>1 、一般</w:t>
      </w:r>
      <w:r>
        <w:rPr>
          <w:rFonts w:ascii="宋体" w:hAnsi="宋体"/>
        </w:rPr>
        <w:t>要求</w:t>
      </w:r>
      <w:bookmarkEnd w:id="7118"/>
      <w:bookmarkEnd w:id="7119"/>
      <w:bookmarkEnd w:id="7120"/>
      <w:bookmarkEnd w:id="7121"/>
      <w:bookmarkEnd w:id="7122"/>
      <w:bookmarkEnd w:id="7123"/>
      <w:bookmarkEnd w:id="7124"/>
    </w:p>
    <w:p>
      <w:pPr>
        <w:adjustRightInd w:val="0"/>
        <w:snapToGrid w:val="0"/>
        <w:spacing w:before="203" w:beforeLines="50" w:after="203" w:afterLines="50"/>
        <w:ind w:firstLine="500" w:firstLineChars="200"/>
        <w:rPr>
          <w:rFonts w:ascii="宋体" w:hAnsi="宋体"/>
        </w:rPr>
      </w:pPr>
      <w:r>
        <w:rPr>
          <w:rFonts w:ascii="宋体" w:hAnsi="宋体"/>
        </w:rPr>
        <w:t>室外安装设备必须加装防护罩/箱；所有自动化设备必须考虑电源及信号配置防雷、防浪涌电流冲击设施，具体要求参见后面描述；设备的连接电缆均应穿管或沿电缆桥架敷设，出桥架端必须穿管，不得有露头在外；所有设备的安装调试应符合相关的GB/GT要求，无相关GB/GT时符合厂家安装调试要求；自动化设备安装时需要的安装附件、连接件及电源、取样泵等应包括在内。</w:t>
      </w:r>
    </w:p>
    <w:p>
      <w:pPr>
        <w:adjustRightInd w:val="0"/>
        <w:snapToGrid w:val="0"/>
        <w:spacing w:before="203" w:beforeLines="50" w:after="203" w:afterLines="50"/>
        <w:ind w:firstLine="500" w:firstLineChars="200"/>
        <w:rPr>
          <w:rFonts w:ascii="宋体" w:hAnsi="宋体"/>
          <w:bCs/>
        </w:rPr>
      </w:pPr>
      <w:bookmarkStart w:id="7125" w:name="_Toc98143004"/>
      <w:bookmarkStart w:id="7126" w:name="_Toc301178776"/>
      <w:bookmarkStart w:id="7127" w:name="_Toc301171349"/>
      <w:bookmarkStart w:id="7128" w:name="_Toc50177534"/>
      <w:r>
        <w:rPr>
          <w:rFonts w:ascii="宋体" w:hAnsi="宋体"/>
          <w:bCs/>
        </w:rPr>
        <w:t>2、环境</w:t>
      </w:r>
      <w:bookmarkEnd w:id="7125"/>
      <w:bookmarkEnd w:id="7126"/>
      <w:bookmarkEnd w:id="7127"/>
      <w:bookmarkEnd w:id="7128"/>
    </w:p>
    <w:p>
      <w:pPr>
        <w:adjustRightInd w:val="0"/>
        <w:snapToGrid w:val="0"/>
        <w:spacing w:before="203" w:beforeLines="50" w:after="203" w:afterLines="50"/>
        <w:ind w:firstLine="500" w:firstLineChars="200"/>
        <w:rPr>
          <w:rFonts w:ascii="宋体" w:hAnsi="宋体"/>
        </w:rPr>
      </w:pPr>
      <w:r>
        <w:rPr>
          <w:rFonts w:ascii="宋体" w:hAnsi="宋体"/>
        </w:rPr>
        <w:t>室内温度：0</w:t>
      </w:r>
      <w:r>
        <w:rPr>
          <w:rFonts w:hint="eastAsia" w:ascii="宋体" w:hAnsi="宋体"/>
        </w:rPr>
        <w:t>℃～</w:t>
      </w:r>
      <w:r>
        <w:rPr>
          <w:rFonts w:ascii="宋体" w:hAnsi="宋体"/>
        </w:rPr>
        <w:t>55</w:t>
      </w:r>
      <w:r>
        <w:rPr>
          <w:rFonts w:hint="eastAsia" w:ascii="宋体" w:hAnsi="宋体"/>
        </w:rPr>
        <w:t>℃</w:t>
      </w:r>
      <w:r>
        <w:rPr>
          <w:rFonts w:ascii="宋体" w:hAnsi="宋体"/>
        </w:rPr>
        <w:t>，湿度：20%～95%无冷凝。</w:t>
      </w:r>
    </w:p>
    <w:p>
      <w:pPr>
        <w:adjustRightInd w:val="0"/>
        <w:snapToGrid w:val="0"/>
        <w:spacing w:before="203" w:beforeLines="50" w:after="203" w:afterLines="50"/>
        <w:ind w:firstLine="500" w:firstLineChars="200"/>
        <w:rPr>
          <w:rFonts w:ascii="宋体" w:hAnsi="宋体"/>
        </w:rPr>
      </w:pPr>
      <w:r>
        <w:rPr>
          <w:rFonts w:ascii="宋体" w:hAnsi="宋体"/>
        </w:rPr>
        <w:t>室外温度：-10</w:t>
      </w:r>
      <w:r>
        <w:rPr>
          <w:rFonts w:hint="eastAsia" w:ascii="宋体" w:hAnsi="宋体"/>
        </w:rPr>
        <w:t>℃～</w:t>
      </w:r>
      <w:r>
        <w:rPr>
          <w:rFonts w:ascii="宋体" w:hAnsi="宋体"/>
        </w:rPr>
        <w:t>60</w:t>
      </w:r>
      <w:r>
        <w:rPr>
          <w:rFonts w:hint="eastAsia" w:ascii="宋体" w:hAnsi="宋体"/>
        </w:rPr>
        <w:t>℃</w:t>
      </w:r>
      <w:r>
        <w:rPr>
          <w:rFonts w:ascii="宋体" w:hAnsi="宋体"/>
        </w:rPr>
        <w:t>，湿度：5%～95%无冷凝。</w:t>
      </w:r>
    </w:p>
    <w:p>
      <w:pPr>
        <w:adjustRightInd w:val="0"/>
        <w:snapToGrid w:val="0"/>
        <w:spacing w:before="203" w:beforeLines="50" w:after="203" w:afterLines="50"/>
        <w:ind w:firstLine="500" w:firstLineChars="200"/>
        <w:rPr>
          <w:rFonts w:ascii="宋体" w:hAnsi="宋体"/>
        </w:rPr>
      </w:pPr>
      <w:r>
        <w:rPr>
          <w:rFonts w:ascii="宋体" w:hAnsi="宋体"/>
        </w:rPr>
        <w:t>在该环境下，所有设备必须能够正常工作，并达到招标文件所规定的可靠性和精度。</w:t>
      </w:r>
    </w:p>
    <w:p>
      <w:pPr>
        <w:adjustRightInd w:val="0"/>
        <w:snapToGrid w:val="0"/>
        <w:spacing w:before="203" w:beforeLines="50" w:after="203" w:afterLines="50"/>
        <w:ind w:firstLine="500" w:firstLineChars="200"/>
        <w:rPr>
          <w:rFonts w:ascii="宋体" w:hAnsi="宋体"/>
          <w:bCs/>
        </w:rPr>
      </w:pPr>
      <w:bookmarkStart w:id="7129" w:name="_Toc50177535"/>
      <w:bookmarkStart w:id="7130" w:name="_Toc301171350"/>
      <w:bookmarkStart w:id="7131" w:name="_Toc301178777"/>
      <w:bookmarkStart w:id="7132" w:name="_Toc98143005"/>
      <w:r>
        <w:rPr>
          <w:rFonts w:ascii="宋体" w:hAnsi="宋体"/>
          <w:bCs/>
        </w:rPr>
        <w:t>3、工作电源</w:t>
      </w:r>
      <w:bookmarkEnd w:id="7129"/>
      <w:bookmarkEnd w:id="7130"/>
      <w:bookmarkEnd w:id="7131"/>
      <w:bookmarkEnd w:id="7132"/>
    </w:p>
    <w:p>
      <w:pPr>
        <w:adjustRightInd w:val="0"/>
        <w:snapToGrid w:val="0"/>
        <w:spacing w:before="203" w:beforeLines="50" w:after="203" w:afterLines="50"/>
        <w:ind w:firstLine="500" w:firstLineChars="200"/>
        <w:rPr>
          <w:rFonts w:ascii="宋体" w:hAnsi="宋体"/>
        </w:rPr>
      </w:pPr>
      <w:r>
        <w:rPr>
          <w:rFonts w:ascii="宋体" w:hAnsi="宋体"/>
        </w:rPr>
        <w:t>（1） 220VAC±10% ，50HZ±1 Hz。</w:t>
      </w:r>
    </w:p>
    <w:p>
      <w:pPr>
        <w:adjustRightInd w:val="0"/>
        <w:snapToGrid w:val="0"/>
        <w:spacing w:before="203" w:beforeLines="50" w:after="203" w:afterLines="50"/>
        <w:ind w:firstLine="500" w:firstLineChars="200"/>
        <w:rPr>
          <w:rFonts w:ascii="宋体" w:hAnsi="宋体"/>
        </w:rPr>
      </w:pPr>
      <w:r>
        <w:rPr>
          <w:rFonts w:ascii="宋体" w:hAnsi="宋体"/>
        </w:rPr>
        <w:t>（2） 24VDC。</w:t>
      </w:r>
    </w:p>
    <w:p>
      <w:pPr>
        <w:adjustRightInd w:val="0"/>
        <w:snapToGrid w:val="0"/>
        <w:spacing w:before="203" w:beforeLines="50" w:after="203" w:afterLines="50"/>
        <w:ind w:firstLine="500" w:firstLineChars="200"/>
        <w:rPr>
          <w:rFonts w:ascii="宋体" w:hAnsi="宋体"/>
          <w:bCs/>
        </w:rPr>
      </w:pPr>
      <w:bookmarkStart w:id="7133" w:name="_Toc98143006"/>
      <w:bookmarkStart w:id="7134" w:name="_Toc50177536"/>
      <w:bookmarkStart w:id="7135" w:name="_Toc301171351"/>
      <w:bookmarkStart w:id="7136" w:name="_Toc301178778"/>
      <w:r>
        <w:rPr>
          <w:rFonts w:ascii="宋体" w:hAnsi="宋体"/>
          <w:bCs/>
        </w:rPr>
        <w:t>4、 UPS 供电</w:t>
      </w:r>
      <w:bookmarkEnd w:id="7133"/>
      <w:bookmarkEnd w:id="7134"/>
      <w:bookmarkEnd w:id="7135"/>
      <w:bookmarkEnd w:id="7136"/>
    </w:p>
    <w:p>
      <w:pPr>
        <w:adjustRightInd w:val="0"/>
        <w:snapToGrid w:val="0"/>
        <w:spacing w:before="203" w:beforeLines="50" w:after="203" w:afterLines="50"/>
        <w:ind w:firstLine="500" w:firstLineChars="200"/>
        <w:rPr>
          <w:rFonts w:ascii="宋体" w:hAnsi="宋体"/>
        </w:rPr>
      </w:pPr>
      <w:r>
        <w:rPr>
          <w:rFonts w:ascii="宋体" w:hAnsi="宋体"/>
        </w:rPr>
        <w:t>所有PLC设备、计算机、通讯设备等必须UPS供电；中控室计算机、PLC控制站设立独立的UPS电源。</w:t>
      </w:r>
    </w:p>
    <w:p>
      <w:pPr>
        <w:adjustRightInd w:val="0"/>
        <w:snapToGrid w:val="0"/>
        <w:spacing w:before="203" w:beforeLines="50" w:after="203" w:afterLines="50"/>
        <w:ind w:firstLine="500" w:firstLineChars="200"/>
        <w:rPr>
          <w:rFonts w:ascii="宋体" w:hAnsi="宋体"/>
          <w:bCs/>
        </w:rPr>
      </w:pPr>
      <w:bookmarkStart w:id="7137" w:name="_Toc301178779"/>
      <w:bookmarkStart w:id="7138" w:name="_Toc301171352"/>
      <w:bookmarkStart w:id="7139" w:name="_Toc50177537"/>
      <w:bookmarkStart w:id="7140" w:name="_Toc98143007"/>
      <w:r>
        <w:rPr>
          <w:rFonts w:ascii="宋体" w:hAnsi="宋体"/>
          <w:bCs/>
        </w:rPr>
        <w:t>5、防护等级</w:t>
      </w:r>
      <w:bookmarkEnd w:id="7137"/>
      <w:bookmarkEnd w:id="7138"/>
      <w:bookmarkEnd w:id="7139"/>
      <w:bookmarkEnd w:id="7140"/>
    </w:p>
    <w:p>
      <w:pPr>
        <w:adjustRightInd w:val="0"/>
        <w:snapToGrid w:val="0"/>
        <w:spacing w:before="203" w:beforeLines="50" w:after="203" w:afterLines="50"/>
        <w:ind w:firstLine="500" w:firstLineChars="200"/>
        <w:rPr>
          <w:rFonts w:ascii="宋体" w:hAnsi="宋体"/>
        </w:rPr>
      </w:pPr>
      <w:r>
        <w:rPr>
          <w:rFonts w:ascii="宋体" w:hAnsi="宋体"/>
        </w:rPr>
        <w:t>机箱设备外壳等级严格按照IEC529标准执行。室内地面上设备等级≥IP54（PLC主机柜考虑防尘通风）；室外地面上设备等级≥IP65。</w:t>
      </w:r>
    </w:p>
    <w:p>
      <w:pPr>
        <w:adjustRightInd w:val="0"/>
        <w:snapToGrid w:val="0"/>
        <w:spacing w:before="203" w:beforeLines="50" w:after="203" w:afterLines="50"/>
        <w:ind w:firstLine="500" w:firstLineChars="200"/>
        <w:rPr>
          <w:rFonts w:ascii="宋体" w:hAnsi="宋体"/>
          <w:bCs/>
        </w:rPr>
      </w:pPr>
      <w:r>
        <w:rPr>
          <w:rFonts w:ascii="宋体" w:hAnsi="宋体"/>
          <w:bCs/>
        </w:rPr>
        <w:t>6、信号接口</w:t>
      </w:r>
    </w:p>
    <w:p>
      <w:pPr>
        <w:adjustRightInd w:val="0"/>
        <w:snapToGrid w:val="0"/>
        <w:spacing w:before="203" w:beforeLines="50" w:after="203" w:afterLines="50"/>
        <w:ind w:firstLine="500" w:firstLineChars="200"/>
        <w:rPr>
          <w:rFonts w:ascii="宋体" w:hAnsi="宋体"/>
          <w:bCs/>
        </w:rPr>
      </w:pPr>
      <w:r>
        <w:rPr>
          <w:rFonts w:ascii="宋体" w:hAnsi="宋体"/>
          <w:bCs/>
        </w:rPr>
        <w:t>所有控制或监测设备应采用以下信号电平：</w:t>
      </w:r>
    </w:p>
    <w:p>
      <w:pPr>
        <w:adjustRightInd w:val="0"/>
        <w:snapToGrid w:val="0"/>
        <w:spacing w:before="203" w:beforeLines="50" w:after="203" w:afterLines="50"/>
        <w:ind w:firstLine="500" w:firstLineChars="200"/>
        <w:rPr>
          <w:rFonts w:ascii="宋体" w:hAnsi="宋体"/>
          <w:bCs/>
        </w:rPr>
      </w:pPr>
      <w:r>
        <w:rPr>
          <w:rFonts w:ascii="宋体" w:hAnsi="宋体"/>
          <w:bCs/>
        </w:rPr>
        <w:t>（1）控制、监测设备的模拟量信号：4</w:t>
      </w:r>
      <w:r>
        <w:rPr>
          <w:rFonts w:hint="eastAsia" w:ascii="宋体" w:hAnsi="宋体"/>
          <w:bCs/>
        </w:rPr>
        <w:t>～</w:t>
      </w:r>
      <w:r>
        <w:rPr>
          <w:rFonts w:ascii="宋体" w:hAnsi="宋体"/>
          <w:bCs/>
        </w:rPr>
        <w:t>20mA直流电流信号；</w:t>
      </w:r>
    </w:p>
    <w:p>
      <w:pPr>
        <w:adjustRightInd w:val="0"/>
        <w:snapToGrid w:val="0"/>
        <w:spacing w:before="203" w:beforeLines="50" w:after="203" w:afterLines="50"/>
        <w:ind w:firstLine="500" w:firstLineChars="200"/>
        <w:rPr>
          <w:rFonts w:ascii="宋体" w:hAnsi="宋体"/>
          <w:bCs/>
        </w:rPr>
      </w:pPr>
      <w:r>
        <w:rPr>
          <w:rFonts w:ascii="宋体" w:hAnsi="宋体"/>
          <w:bCs/>
        </w:rPr>
        <w:t>（2）状态及报警指示数字输入信号：高电平：+24VDC；低电平：0VDC；</w:t>
      </w:r>
    </w:p>
    <w:p>
      <w:pPr>
        <w:adjustRightInd w:val="0"/>
        <w:snapToGrid w:val="0"/>
        <w:spacing w:before="203" w:beforeLines="50" w:after="203" w:afterLines="50"/>
        <w:ind w:firstLine="500" w:firstLineChars="200"/>
        <w:rPr>
          <w:rFonts w:ascii="宋体" w:hAnsi="宋体"/>
          <w:bCs/>
        </w:rPr>
      </w:pPr>
      <w:r>
        <w:rPr>
          <w:rFonts w:ascii="宋体" w:hAnsi="宋体"/>
          <w:bCs/>
        </w:rPr>
        <w:t>（3）控制用数字输出信号：</w:t>
      </w:r>
    </w:p>
    <w:p>
      <w:pPr>
        <w:adjustRightInd w:val="0"/>
        <w:snapToGrid w:val="0"/>
        <w:spacing w:before="203" w:beforeLines="50" w:after="203" w:afterLines="50"/>
        <w:ind w:firstLine="500" w:firstLineChars="200"/>
        <w:rPr>
          <w:rFonts w:ascii="宋体" w:hAnsi="宋体"/>
          <w:bCs/>
        </w:rPr>
      </w:pPr>
      <w:r>
        <w:rPr>
          <w:rFonts w:ascii="宋体" w:hAnsi="宋体"/>
          <w:bCs/>
        </w:rPr>
        <w:t>独立的无源触点，触点容量220VAC/5A</w:t>
      </w:r>
      <w:r>
        <w:rPr>
          <w:rFonts w:hint="eastAsia" w:ascii="宋体" w:hAnsi="宋体"/>
          <w:bCs/>
        </w:rPr>
        <w:t>～</w:t>
      </w:r>
      <w:r>
        <w:rPr>
          <w:rFonts w:ascii="宋体" w:hAnsi="宋体"/>
          <w:bCs/>
        </w:rPr>
        <w:t>10A；PLC输入/输出模块统一用DC24V，且带24VDC小型发光管指示。</w:t>
      </w:r>
    </w:p>
    <w:p>
      <w:pPr>
        <w:adjustRightInd w:val="0"/>
        <w:snapToGrid w:val="0"/>
        <w:spacing w:before="203" w:beforeLines="50" w:after="203" w:afterLines="50"/>
        <w:ind w:firstLine="500" w:firstLineChars="200"/>
        <w:rPr>
          <w:rFonts w:ascii="宋体" w:hAnsi="宋体"/>
          <w:bCs/>
        </w:rPr>
      </w:pPr>
      <w:r>
        <w:rPr>
          <w:rFonts w:ascii="宋体" w:hAnsi="宋体"/>
          <w:bCs/>
        </w:rPr>
        <w:t>（4）室外采集信号和控制信号必须考虑信号屏蔽和防外来干扰。</w:t>
      </w:r>
    </w:p>
    <w:p>
      <w:pPr>
        <w:adjustRightInd w:val="0"/>
        <w:snapToGrid w:val="0"/>
        <w:spacing w:before="203" w:beforeLines="50" w:after="203" w:afterLines="50"/>
        <w:ind w:firstLine="500" w:firstLineChars="200"/>
        <w:rPr>
          <w:rFonts w:ascii="宋体" w:hAnsi="宋体"/>
          <w:bCs/>
        </w:rPr>
      </w:pPr>
      <w:r>
        <w:rPr>
          <w:rFonts w:ascii="宋体" w:hAnsi="宋体"/>
          <w:bCs/>
        </w:rPr>
        <w:t>7、电缆敷设</w:t>
      </w:r>
    </w:p>
    <w:p>
      <w:pPr>
        <w:adjustRightInd w:val="0"/>
        <w:snapToGrid w:val="0"/>
        <w:spacing w:before="203" w:beforeLines="50" w:after="203" w:afterLines="50"/>
        <w:ind w:firstLine="500" w:firstLineChars="200"/>
        <w:rPr>
          <w:rFonts w:ascii="宋体" w:hAnsi="宋体"/>
          <w:bCs/>
        </w:rPr>
      </w:pPr>
      <w:r>
        <w:rPr>
          <w:rFonts w:ascii="宋体" w:hAnsi="宋体"/>
          <w:bCs/>
        </w:rPr>
        <w:t>电源电缆和控制及信号电缆分管敷设。埋地时控制及信号电缆须穿金属管。控制及信号线缆在电缆沟内敷设时，应该与强电保持足够的间距。宜单独放置于一层支架并使用小型金属线槽，不得有露头在外，防止信号干扰。</w:t>
      </w:r>
    </w:p>
    <w:p>
      <w:pPr>
        <w:adjustRightInd w:val="0"/>
        <w:snapToGrid w:val="0"/>
        <w:spacing w:before="203" w:beforeLines="50" w:after="203" w:afterLines="50"/>
        <w:ind w:firstLine="500" w:firstLineChars="200"/>
        <w:rPr>
          <w:rFonts w:ascii="宋体" w:hAnsi="宋体"/>
          <w:bCs/>
        </w:rPr>
      </w:pPr>
      <w:r>
        <w:rPr>
          <w:rFonts w:ascii="宋体" w:hAnsi="宋体"/>
          <w:bCs/>
        </w:rPr>
        <w:t>具体参照《电气装置安装工程施工和验收规范》。</w:t>
      </w:r>
    </w:p>
    <w:p>
      <w:pPr>
        <w:adjustRightInd w:val="0"/>
        <w:snapToGrid w:val="0"/>
        <w:spacing w:before="203" w:beforeLines="50" w:after="203" w:afterLines="50"/>
        <w:ind w:firstLine="500" w:firstLineChars="200"/>
        <w:rPr>
          <w:rFonts w:ascii="宋体" w:hAnsi="宋体"/>
          <w:bCs/>
        </w:rPr>
      </w:pPr>
      <w:r>
        <w:rPr>
          <w:rFonts w:ascii="宋体" w:hAnsi="宋体"/>
          <w:bCs/>
        </w:rPr>
        <w:t>8、避雷措施</w:t>
      </w:r>
    </w:p>
    <w:p>
      <w:pPr>
        <w:adjustRightInd w:val="0"/>
        <w:snapToGrid w:val="0"/>
        <w:spacing w:before="203" w:beforeLines="50" w:after="203" w:afterLines="50"/>
        <w:ind w:firstLine="500" w:firstLineChars="200"/>
        <w:rPr>
          <w:rFonts w:ascii="宋体" w:hAnsi="宋体"/>
        </w:rPr>
      </w:pPr>
      <w:r>
        <w:rPr>
          <w:rFonts w:ascii="宋体" w:hAnsi="宋体"/>
        </w:rPr>
        <w:t>承包商应提供和安装避雷保护装置，以减轻线路受雷击和电气干扰的影。承包商应提供可靠的避雷系统，包括网络避雷、电源避雷、一次仪表避雷等。</w:t>
      </w:r>
    </w:p>
    <w:p>
      <w:pPr>
        <w:adjustRightInd w:val="0"/>
        <w:snapToGrid w:val="0"/>
        <w:spacing w:before="203" w:beforeLines="50" w:after="203" w:afterLines="50"/>
        <w:ind w:firstLine="500" w:firstLineChars="200"/>
        <w:rPr>
          <w:rFonts w:ascii="宋体" w:hAnsi="宋体"/>
        </w:rPr>
      </w:pPr>
      <w:r>
        <w:rPr>
          <w:rFonts w:ascii="宋体" w:hAnsi="宋体"/>
        </w:rPr>
        <w:t>每个户外安装的设备应有经认可的冲击保护装置，以维持户外和控制室终端的电压在一安全值内，所有输入输出回路能承受正负5千伏发生的终端间或终端与地间的脉冲电压。</w:t>
      </w:r>
    </w:p>
    <w:p>
      <w:pPr>
        <w:adjustRightInd w:val="0"/>
        <w:snapToGrid w:val="0"/>
        <w:spacing w:before="203" w:beforeLines="50" w:after="203" w:afterLines="50"/>
        <w:ind w:firstLine="500" w:firstLineChars="200"/>
        <w:rPr>
          <w:rFonts w:ascii="宋体" w:hAnsi="宋体"/>
        </w:rPr>
      </w:pPr>
      <w:r>
        <w:rPr>
          <w:rFonts w:ascii="宋体" w:hAnsi="宋体"/>
        </w:rPr>
        <w:t>承包商应在竣工图纸上详细说明被装配防雷设备制造和技术性能。</w:t>
      </w:r>
    </w:p>
    <w:p>
      <w:pPr>
        <w:adjustRightInd w:val="0"/>
        <w:snapToGrid w:val="0"/>
        <w:spacing w:before="203" w:beforeLines="50" w:after="203" w:afterLines="50"/>
        <w:ind w:firstLine="500" w:firstLineChars="200"/>
        <w:rPr>
          <w:rFonts w:ascii="宋体" w:hAnsi="宋体"/>
        </w:rPr>
      </w:pPr>
      <w:r>
        <w:rPr>
          <w:rFonts w:ascii="宋体" w:hAnsi="宋体"/>
        </w:rPr>
        <w:t>接地系统的设计要考虑能驱散瞬时雷击，并采取一定的预防措施以避免雷击进一步损坏厂内其它设备。</w:t>
      </w:r>
    </w:p>
    <w:p>
      <w:pPr>
        <w:adjustRightInd w:val="0"/>
        <w:snapToGrid w:val="0"/>
        <w:spacing w:before="203" w:beforeLines="50" w:after="203" w:afterLines="50"/>
        <w:ind w:firstLine="500" w:firstLineChars="200"/>
        <w:rPr>
          <w:rFonts w:ascii="宋体" w:hAnsi="宋体"/>
        </w:rPr>
      </w:pPr>
      <w:r>
        <w:rPr>
          <w:rFonts w:ascii="宋体" w:hAnsi="宋体"/>
        </w:rPr>
        <w:t>最小冲击保护接地电缆为多芯6.0平方毫米电缆。</w:t>
      </w:r>
    </w:p>
    <w:p>
      <w:pPr>
        <w:keepNext/>
        <w:tabs>
          <w:tab w:val="left" w:pos="993"/>
        </w:tabs>
        <w:adjustRightInd w:val="0"/>
        <w:snapToGrid w:val="0"/>
        <w:spacing w:before="203" w:beforeLines="50" w:after="203" w:afterLines="50"/>
        <w:outlineLvl w:val="0"/>
        <w:rPr>
          <w:rFonts w:ascii="宋体" w:hAnsi="宋体"/>
          <w:b/>
          <w:bCs/>
        </w:rPr>
      </w:pPr>
      <w:bookmarkStart w:id="7141" w:name="_Toc7248867"/>
      <w:bookmarkStart w:id="7142" w:name="_Toc18483682"/>
      <w:bookmarkStart w:id="7143" w:name="_Toc8202538"/>
      <w:bookmarkStart w:id="7144" w:name="_Toc50177532"/>
      <w:bookmarkStart w:id="7145" w:name="_Toc301171356"/>
      <w:bookmarkStart w:id="7146" w:name="_Toc98143011"/>
      <w:bookmarkStart w:id="7147" w:name="_Toc301178783"/>
      <w:bookmarkStart w:id="7148" w:name="_Toc401327946"/>
      <w:bookmarkStart w:id="7149" w:name="_Toc450584992"/>
      <w:bookmarkStart w:id="7150" w:name="_Toc106883791"/>
      <w:r>
        <w:rPr>
          <w:rFonts w:hint="eastAsia" w:ascii="宋体" w:hAnsi="宋体"/>
          <w:b/>
          <w:bCs/>
        </w:rPr>
        <w:t>10.2.2</w:t>
      </w:r>
      <w:r>
        <w:rPr>
          <w:rFonts w:ascii="宋体" w:hAnsi="宋体"/>
          <w:b/>
          <w:bCs/>
        </w:rPr>
        <w:t>自控系统</w:t>
      </w:r>
      <w:bookmarkEnd w:id="7141"/>
      <w:bookmarkEnd w:id="7142"/>
      <w:bookmarkEnd w:id="7143"/>
      <w:bookmarkEnd w:id="7144"/>
      <w:r>
        <w:rPr>
          <w:rFonts w:ascii="宋体" w:hAnsi="宋体"/>
          <w:b/>
          <w:bCs/>
        </w:rPr>
        <w:t>组成</w:t>
      </w:r>
      <w:bookmarkEnd w:id="7145"/>
      <w:bookmarkEnd w:id="7146"/>
      <w:bookmarkEnd w:id="7147"/>
      <w:bookmarkEnd w:id="7148"/>
      <w:bookmarkEnd w:id="7149"/>
      <w:bookmarkEnd w:id="7150"/>
    </w:p>
    <w:p>
      <w:pPr>
        <w:adjustRightInd w:val="0"/>
        <w:snapToGrid w:val="0"/>
        <w:spacing w:before="203" w:beforeLines="50" w:after="203" w:afterLines="50"/>
        <w:ind w:firstLine="500" w:firstLineChars="200"/>
        <w:rPr>
          <w:rFonts w:ascii="宋体" w:hAnsi="宋体"/>
          <w:bCs/>
        </w:rPr>
      </w:pPr>
      <w:bookmarkStart w:id="7151" w:name="_Toc8202540"/>
      <w:bookmarkStart w:id="7152" w:name="_Toc18483684"/>
      <w:bookmarkStart w:id="7153" w:name="_Toc98143012"/>
      <w:bookmarkStart w:id="7154" w:name="_Toc50177540"/>
      <w:bookmarkStart w:id="7155" w:name="_Toc7248869"/>
      <w:bookmarkStart w:id="7156" w:name="_Toc301171357"/>
      <w:bookmarkStart w:id="7157" w:name="_Toc301178784"/>
      <w:r>
        <w:rPr>
          <w:rFonts w:ascii="宋体" w:hAnsi="宋体"/>
          <w:bCs/>
        </w:rPr>
        <w:t>1、组成原则</w:t>
      </w:r>
      <w:bookmarkEnd w:id="7151"/>
      <w:bookmarkEnd w:id="7152"/>
      <w:bookmarkEnd w:id="7153"/>
      <w:bookmarkEnd w:id="7154"/>
      <w:bookmarkEnd w:id="7155"/>
      <w:bookmarkEnd w:id="7156"/>
      <w:bookmarkEnd w:id="7157"/>
    </w:p>
    <w:p>
      <w:pPr>
        <w:adjustRightInd w:val="0"/>
        <w:snapToGrid w:val="0"/>
        <w:spacing w:before="203" w:beforeLines="50" w:after="203" w:afterLines="50"/>
        <w:ind w:firstLine="500" w:firstLineChars="200"/>
        <w:rPr>
          <w:rFonts w:ascii="宋体" w:hAnsi="宋体"/>
        </w:rPr>
      </w:pPr>
      <w:r>
        <w:rPr>
          <w:rFonts w:hint="eastAsia" w:ascii="宋体" w:hAnsi="宋体"/>
        </w:rPr>
        <w:t>本工程自控系统设计采用以监控计算机、可编程控制器PLC和工业以太网构成的计算机监控系统，系统采用集中管理，</w:t>
      </w:r>
    </w:p>
    <w:p>
      <w:pPr>
        <w:adjustRightInd w:val="0"/>
        <w:snapToGrid w:val="0"/>
        <w:spacing w:before="203" w:beforeLines="50" w:after="203" w:afterLines="50"/>
        <w:ind w:firstLine="500" w:firstLineChars="200"/>
        <w:rPr>
          <w:rFonts w:ascii="宋体" w:hAnsi="宋体"/>
        </w:rPr>
      </w:pPr>
      <w:r>
        <w:rPr>
          <w:rFonts w:hint="eastAsia" w:ascii="宋体" w:hAnsi="宋体"/>
        </w:rPr>
        <w:t>分散控制的模式。</w:t>
      </w:r>
    </w:p>
    <w:p>
      <w:pPr>
        <w:adjustRightInd w:val="0"/>
        <w:snapToGrid w:val="0"/>
        <w:spacing w:before="203" w:beforeLines="50" w:after="203" w:afterLines="50"/>
        <w:ind w:firstLine="500" w:firstLineChars="200"/>
        <w:rPr>
          <w:rFonts w:ascii="宋体" w:hAnsi="宋体"/>
        </w:rPr>
      </w:pPr>
      <w:r>
        <w:rPr>
          <w:rFonts w:hint="eastAsia" w:ascii="宋体" w:hAnsi="宋体"/>
        </w:rPr>
        <w:t>本工程在中控室内设置两台监控计算机，同时工作，互为备用。配两台24"液晶显示器和一台打印机，两台计算机都安装有监控软件，</w:t>
      </w:r>
    </w:p>
    <w:p>
      <w:pPr>
        <w:adjustRightInd w:val="0"/>
        <w:snapToGrid w:val="0"/>
        <w:spacing w:before="203" w:beforeLines="50" w:after="203" w:afterLines="50"/>
        <w:ind w:firstLine="500" w:firstLineChars="200"/>
        <w:rPr>
          <w:rFonts w:ascii="宋体" w:hAnsi="宋体"/>
        </w:rPr>
      </w:pPr>
      <w:r>
        <w:rPr>
          <w:rFonts w:hint="eastAsia" w:ascii="宋体" w:hAnsi="宋体"/>
        </w:rPr>
        <w:t>一旦一台监控计算机出现故障，另一台仍可继续监控整个系统。另设2台服务器和一台工程师站，其中服务器为数据交换中心，</w:t>
      </w:r>
    </w:p>
    <w:p>
      <w:pPr>
        <w:adjustRightInd w:val="0"/>
        <w:snapToGrid w:val="0"/>
        <w:spacing w:before="203" w:beforeLines="50" w:after="203" w:afterLines="50"/>
        <w:ind w:firstLine="500" w:firstLineChars="200"/>
        <w:rPr>
          <w:rFonts w:ascii="宋体" w:hAnsi="宋体"/>
        </w:rPr>
      </w:pPr>
      <w:r>
        <w:rPr>
          <w:rFonts w:hint="eastAsia" w:ascii="宋体" w:hAnsi="宋体"/>
        </w:rPr>
        <w:t>工程师站可离线或在线对整个监控系统进行组态、参数修改、开发等。</w:t>
      </w:r>
    </w:p>
    <w:p>
      <w:pPr>
        <w:adjustRightInd w:val="0"/>
        <w:snapToGrid w:val="0"/>
        <w:spacing w:before="203" w:beforeLines="50" w:after="203" w:afterLines="50"/>
        <w:ind w:firstLine="500" w:firstLineChars="200"/>
        <w:rPr>
          <w:rFonts w:ascii="宋体" w:hAnsi="宋体"/>
        </w:rPr>
      </w:pPr>
      <w:r>
        <w:rPr>
          <w:rFonts w:hint="eastAsia" w:ascii="宋体" w:hAnsi="宋体"/>
        </w:rPr>
        <w:t xml:space="preserve">中控室配置了UPS不间断电源，蓄电池续流能力半个小时以上。 </w:t>
      </w:r>
    </w:p>
    <w:p>
      <w:pPr>
        <w:adjustRightInd w:val="0"/>
        <w:snapToGrid w:val="0"/>
        <w:spacing w:before="203" w:beforeLines="50" w:after="203" w:afterLines="50"/>
        <w:ind w:firstLine="500" w:firstLineChars="200"/>
        <w:rPr>
          <w:rFonts w:ascii="宋体" w:hAnsi="宋体"/>
        </w:rPr>
      </w:pPr>
      <w:r>
        <w:rPr>
          <w:rFonts w:hint="eastAsia" w:ascii="宋体" w:hAnsi="宋体"/>
        </w:rPr>
        <w:t>根据工艺特点、总图的布置和现场控制设备的分布情况，本期工程设置2个PLC控制站，控制站内配置PLC，</w:t>
      </w:r>
    </w:p>
    <w:p>
      <w:pPr>
        <w:adjustRightInd w:val="0"/>
        <w:snapToGrid w:val="0"/>
        <w:spacing w:before="203" w:beforeLines="50" w:after="203" w:afterLines="50"/>
        <w:ind w:firstLine="500" w:firstLineChars="200"/>
        <w:rPr>
          <w:rFonts w:ascii="宋体" w:hAnsi="宋体"/>
        </w:rPr>
      </w:pPr>
      <w:r>
        <w:rPr>
          <w:rFonts w:hint="eastAsia" w:ascii="宋体" w:hAnsi="宋体"/>
        </w:rPr>
        <w:t>PLC为模块化结构，硬件配置较灵活，软件编程方便。</w:t>
      </w:r>
    </w:p>
    <w:p>
      <w:pPr>
        <w:adjustRightInd w:val="0"/>
        <w:snapToGrid w:val="0"/>
        <w:spacing w:before="203" w:beforeLines="50" w:after="203" w:afterLines="50"/>
        <w:ind w:firstLine="500" w:firstLineChars="200"/>
        <w:rPr>
          <w:rFonts w:ascii="宋体" w:hAnsi="宋体"/>
        </w:rPr>
      </w:pPr>
      <w:r>
        <w:rPr>
          <w:rFonts w:hint="eastAsia" w:ascii="宋体" w:hAnsi="宋体"/>
        </w:rPr>
        <w:t>各分站控制区域划分如下：</w:t>
      </w:r>
    </w:p>
    <w:p>
      <w:pPr>
        <w:adjustRightInd w:val="0"/>
        <w:snapToGrid w:val="0"/>
        <w:spacing w:before="203" w:beforeLines="50" w:after="203" w:afterLines="50"/>
        <w:ind w:firstLine="500" w:firstLineChars="200"/>
        <w:rPr>
          <w:rFonts w:ascii="宋体" w:hAnsi="宋体"/>
        </w:rPr>
      </w:pPr>
      <w:r>
        <w:rPr>
          <w:rFonts w:hint="eastAsia" w:ascii="宋体" w:hAnsi="宋体"/>
        </w:rPr>
        <w:t>1、变电所PLC1：负责监视变电所低压电气设备的运行状况，采集送水泵房、混合絮凝、平流沉淀及叠合清水池、砂滤池及反冲洗泵房、综</w:t>
      </w:r>
    </w:p>
    <w:p>
      <w:pPr>
        <w:adjustRightInd w:val="0"/>
        <w:snapToGrid w:val="0"/>
        <w:spacing w:before="203" w:beforeLines="50" w:after="203" w:afterLines="50"/>
        <w:ind w:firstLine="500" w:firstLineChars="200"/>
        <w:rPr>
          <w:rFonts w:ascii="宋体" w:hAnsi="宋体"/>
        </w:rPr>
      </w:pPr>
      <w:r>
        <w:rPr>
          <w:rFonts w:hint="eastAsia" w:ascii="宋体" w:hAnsi="宋体"/>
        </w:rPr>
        <w:t>综合加药间等工艺设备的运行状况并对其进行监控。</w:t>
      </w:r>
    </w:p>
    <w:p>
      <w:pPr>
        <w:adjustRightInd w:val="0"/>
        <w:snapToGrid w:val="0"/>
        <w:spacing w:before="203" w:beforeLines="50" w:after="203" w:afterLines="50"/>
        <w:ind w:firstLine="500" w:firstLineChars="200"/>
        <w:rPr>
          <w:rFonts w:ascii="宋体" w:hAnsi="宋体"/>
        </w:rPr>
      </w:pPr>
      <w:r>
        <w:rPr>
          <w:rFonts w:hint="eastAsia" w:ascii="宋体" w:hAnsi="宋体"/>
        </w:rPr>
        <w:t>2、脱水机房PLC2：负责采集脱水机房、污泥浓缩池、回收水池及排泥池、污水池等工艺设备的运行状况并对其进行监控。</w:t>
      </w:r>
    </w:p>
    <w:p>
      <w:pPr>
        <w:adjustRightInd w:val="0"/>
        <w:snapToGrid w:val="0"/>
        <w:spacing w:before="203" w:beforeLines="50" w:after="203" w:afterLines="50"/>
        <w:ind w:firstLine="500" w:firstLineChars="200"/>
        <w:rPr>
          <w:rFonts w:ascii="宋体" w:hAnsi="宋体"/>
          <w:bCs/>
        </w:rPr>
      </w:pPr>
      <w:bookmarkStart w:id="7158" w:name="_Toc98143013"/>
      <w:bookmarkStart w:id="7159" w:name="_Toc301171358"/>
      <w:bookmarkStart w:id="7160" w:name="_Toc301178785"/>
      <w:r>
        <w:rPr>
          <w:rFonts w:ascii="宋体" w:hAnsi="宋体"/>
          <w:bCs/>
        </w:rPr>
        <w:t>3、</w:t>
      </w:r>
      <w:r>
        <w:rPr>
          <w:rFonts w:ascii="宋体" w:hAnsi="宋体"/>
        </w:rPr>
        <w:t>管理系统</w:t>
      </w:r>
      <w:bookmarkEnd w:id="7158"/>
      <w:bookmarkEnd w:id="7159"/>
      <w:bookmarkEnd w:id="7160"/>
    </w:p>
    <w:p>
      <w:pPr>
        <w:adjustRightInd w:val="0"/>
        <w:snapToGrid w:val="0"/>
        <w:spacing w:before="203" w:beforeLines="50" w:after="203" w:afterLines="50"/>
        <w:ind w:firstLine="500" w:firstLineChars="200"/>
        <w:rPr>
          <w:rFonts w:ascii="宋体" w:hAnsi="宋体"/>
        </w:rPr>
      </w:pPr>
      <w:r>
        <w:rPr>
          <w:rFonts w:ascii="宋体" w:hAnsi="宋体"/>
        </w:rPr>
        <w:t>（1）系统组成</w:t>
      </w:r>
    </w:p>
    <w:p>
      <w:pPr>
        <w:adjustRightInd w:val="0"/>
        <w:snapToGrid w:val="0"/>
        <w:spacing w:before="203" w:beforeLines="50" w:after="203" w:afterLines="50"/>
        <w:ind w:firstLine="500" w:firstLineChars="200"/>
        <w:rPr>
          <w:rFonts w:ascii="宋体" w:hAnsi="宋体"/>
        </w:rPr>
      </w:pPr>
      <w:r>
        <w:rPr>
          <w:rFonts w:ascii="宋体" w:hAnsi="宋体"/>
        </w:rPr>
        <w:t>综合服务器、中心以太网交换机、硬件防火墙、管理计算机及</w:t>
      </w:r>
      <w:r>
        <w:rPr>
          <w:rFonts w:ascii="宋体" w:hAnsi="宋体"/>
          <w:bCs/>
        </w:rPr>
        <w:t>3G VPN接入设备等。</w:t>
      </w:r>
    </w:p>
    <w:p>
      <w:pPr>
        <w:adjustRightInd w:val="0"/>
        <w:snapToGrid w:val="0"/>
        <w:spacing w:before="203" w:beforeLines="50" w:after="203" w:afterLines="50"/>
        <w:ind w:firstLine="500" w:firstLineChars="200"/>
        <w:rPr>
          <w:rFonts w:ascii="宋体" w:hAnsi="宋体"/>
        </w:rPr>
      </w:pPr>
      <w:bookmarkStart w:id="7161" w:name="_Toc106050566"/>
      <w:r>
        <w:rPr>
          <w:rFonts w:ascii="宋体" w:hAnsi="宋体"/>
        </w:rPr>
        <w:t>（2）系统功能</w:t>
      </w:r>
      <w:bookmarkEnd w:id="7161"/>
    </w:p>
    <w:p>
      <w:pPr>
        <w:adjustRightInd w:val="0"/>
        <w:snapToGrid w:val="0"/>
        <w:spacing w:before="203" w:beforeLines="50" w:after="203" w:afterLines="50"/>
        <w:ind w:firstLine="500" w:firstLineChars="200"/>
        <w:rPr>
          <w:rFonts w:ascii="宋体" w:hAnsi="宋体"/>
        </w:rPr>
      </w:pPr>
      <w:r>
        <w:rPr>
          <w:rFonts w:ascii="宋体" w:hAnsi="宋体"/>
        </w:rPr>
        <w:t>a）所有工作站可利用IE浏览器浏览PLC控制系统生产过程、闭路监控系统的现场视频信号；至少5工作站个可同时浏览；</w:t>
      </w:r>
    </w:p>
    <w:p>
      <w:pPr>
        <w:adjustRightInd w:val="0"/>
        <w:snapToGrid w:val="0"/>
        <w:spacing w:before="203" w:beforeLines="50" w:after="203" w:afterLines="50"/>
        <w:ind w:firstLine="500" w:firstLineChars="200"/>
        <w:rPr>
          <w:rFonts w:ascii="宋体" w:hAnsi="宋体"/>
        </w:rPr>
      </w:pPr>
      <w:r>
        <w:rPr>
          <w:rFonts w:ascii="宋体" w:hAnsi="宋体"/>
        </w:rPr>
        <w:t>b）生产过程的全面查询，包括厂内全景、流程、过程参数、各种能耗、物耗、进、出厂水流量以及历史数据；</w:t>
      </w:r>
    </w:p>
    <w:p>
      <w:pPr>
        <w:adjustRightInd w:val="0"/>
        <w:snapToGrid w:val="0"/>
        <w:spacing w:before="203" w:beforeLines="50" w:after="203" w:afterLines="50"/>
        <w:ind w:firstLine="500" w:firstLineChars="200"/>
        <w:rPr>
          <w:rFonts w:ascii="宋体" w:hAnsi="宋体"/>
        </w:rPr>
      </w:pPr>
      <w:r>
        <w:rPr>
          <w:rFonts w:ascii="宋体" w:hAnsi="宋体"/>
        </w:rPr>
        <w:t>c）建立与外部Internet的双向连接，便于对外提供信息发布服务和从外部获取信息。</w:t>
      </w:r>
    </w:p>
    <w:p>
      <w:pPr>
        <w:adjustRightInd w:val="0"/>
        <w:snapToGrid w:val="0"/>
        <w:spacing w:before="203" w:beforeLines="50" w:after="203" w:afterLines="50"/>
        <w:ind w:firstLine="500" w:firstLineChars="200"/>
        <w:rPr>
          <w:rFonts w:ascii="宋体" w:hAnsi="宋体"/>
        </w:rPr>
      </w:pPr>
      <w:r>
        <w:rPr>
          <w:rFonts w:ascii="宋体" w:hAnsi="宋体"/>
        </w:rPr>
        <w:t>d）系统具有延展性，系统的总体结构应合理，容量适度，扩展灵活，使系统资源配置可灵活增加，系统规模便于扩大，预留适当的扩展空间，并可满足用户今后对带宽的更高要求。</w:t>
      </w:r>
    </w:p>
    <w:p>
      <w:pPr>
        <w:adjustRightInd w:val="0"/>
        <w:snapToGrid w:val="0"/>
        <w:spacing w:before="203" w:beforeLines="50" w:after="203" w:afterLines="50"/>
        <w:ind w:firstLine="500" w:firstLineChars="200"/>
        <w:rPr>
          <w:rFonts w:ascii="宋体" w:hAnsi="宋体"/>
        </w:rPr>
      </w:pPr>
      <w:r>
        <w:rPr>
          <w:rFonts w:ascii="宋体" w:hAnsi="宋体"/>
        </w:rPr>
        <w:t>e）网络系统具有高可靠性，出现故障要具有可靠的恢复手段，系统要具有一定的容错能力。</w:t>
      </w:r>
    </w:p>
    <w:p>
      <w:pPr>
        <w:adjustRightInd w:val="0"/>
        <w:snapToGrid w:val="0"/>
        <w:spacing w:before="203" w:beforeLines="50" w:after="203" w:afterLines="50"/>
        <w:ind w:firstLine="500" w:firstLineChars="200"/>
        <w:rPr>
          <w:rFonts w:ascii="宋体" w:hAnsi="宋体"/>
        </w:rPr>
      </w:pPr>
      <w:r>
        <w:rPr>
          <w:rFonts w:ascii="宋体" w:hAnsi="宋体"/>
        </w:rPr>
        <w:t>f）从系统平台的构成到资源的利用均要有超前性，能平滑升级与过渡到更先进的系统。</w:t>
      </w:r>
    </w:p>
    <w:p>
      <w:pPr>
        <w:adjustRightInd w:val="0"/>
        <w:snapToGrid w:val="0"/>
        <w:spacing w:before="203" w:beforeLines="50" w:after="203" w:afterLines="50"/>
        <w:ind w:firstLine="500" w:firstLineChars="200"/>
        <w:rPr>
          <w:rFonts w:ascii="宋体" w:hAnsi="宋体"/>
        </w:rPr>
      </w:pPr>
      <w:bookmarkStart w:id="7162" w:name="_Toc43394686"/>
      <w:bookmarkStart w:id="7163" w:name="_Toc42009854"/>
      <w:bookmarkStart w:id="7164" w:name="_Toc42306587"/>
      <w:bookmarkStart w:id="7165" w:name="_Toc42007890"/>
      <w:r>
        <w:rPr>
          <w:rFonts w:ascii="宋体" w:hAnsi="宋体"/>
        </w:rPr>
        <w:t>（3）</w:t>
      </w:r>
      <w:bookmarkEnd w:id="7162"/>
      <w:bookmarkEnd w:id="7163"/>
      <w:bookmarkEnd w:id="7164"/>
      <w:bookmarkEnd w:id="7165"/>
      <w:bookmarkStart w:id="7166" w:name="_Toc43394687"/>
      <w:bookmarkStart w:id="7167" w:name="_Toc42009855"/>
      <w:bookmarkStart w:id="7168" w:name="_Toc42306588"/>
      <w:bookmarkStart w:id="7169" w:name="_Toc42007891"/>
      <w:r>
        <w:rPr>
          <w:rFonts w:ascii="宋体" w:hAnsi="宋体"/>
        </w:rPr>
        <w:t>网络安全</w:t>
      </w:r>
      <w:bookmarkEnd w:id="7166"/>
      <w:bookmarkEnd w:id="7167"/>
      <w:bookmarkEnd w:id="7168"/>
      <w:bookmarkEnd w:id="7169"/>
    </w:p>
    <w:p>
      <w:pPr>
        <w:adjustRightInd w:val="0"/>
        <w:snapToGrid w:val="0"/>
        <w:spacing w:before="203" w:beforeLines="50" w:after="203" w:afterLines="50"/>
        <w:ind w:firstLine="500" w:firstLineChars="200"/>
        <w:rPr>
          <w:rFonts w:ascii="宋体" w:hAnsi="宋体"/>
        </w:rPr>
      </w:pPr>
      <w:r>
        <w:rPr>
          <w:rFonts w:ascii="宋体" w:hAnsi="宋体"/>
        </w:rPr>
        <w:t>系统需要具有完善的安全保密机制。</w:t>
      </w:r>
    </w:p>
    <w:p>
      <w:pPr>
        <w:adjustRightInd w:val="0"/>
        <w:snapToGrid w:val="0"/>
        <w:spacing w:before="203" w:beforeLines="50" w:after="203" w:afterLines="50"/>
        <w:ind w:firstLine="500" w:firstLineChars="200"/>
        <w:rPr>
          <w:rFonts w:ascii="宋体" w:hAnsi="宋体"/>
        </w:rPr>
      </w:pPr>
      <w:r>
        <w:rPr>
          <w:rFonts w:ascii="宋体" w:hAnsi="宋体"/>
        </w:rPr>
        <w:t>a）硬件安全</w:t>
      </w:r>
    </w:p>
    <w:p>
      <w:pPr>
        <w:adjustRightInd w:val="0"/>
        <w:snapToGrid w:val="0"/>
        <w:spacing w:before="203" w:beforeLines="50" w:after="203" w:afterLines="50"/>
        <w:ind w:firstLine="500" w:firstLineChars="200"/>
        <w:rPr>
          <w:rFonts w:ascii="宋体" w:hAnsi="宋体"/>
        </w:rPr>
      </w:pPr>
      <w:r>
        <w:rPr>
          <w:rFonts w:ascii="宋体" w:hAnsi="宋体"/>
        </w:rPr>
        <w:t>硬件的安全一是考虑硬件本身的可靠性，质量是否符合安全要求。如果硬件本身无法解决，则考虑采用硬件冗余或后备硬件等；二是硬件所处的物理环境是否受到良好的控制，如：防静电温控的机房，强电设备对弱电设备的安全，设备处在不能被人为盗窃、破坏、操作的空间等。为确保系统安全可靠运行，使用在线式长时UPS电源。</w:t>
      </w:r>
    </w:p>
    <w:p>
      <w:pPr>
        <w:adjustRightInd w:val="0"/>
        <w:snapToGrid w:val="0"/>
        <w:spacing w:before="203" w:beforeLines="50" w:after="203" w:afterLines="50"/>
        <w:ind w:firstLine="500" w:firstLineChars="200"/>
        <w:rPr>
          <w:rFonts w:ascii="宋体" w:hAnsi="宋体"/>
        </w:rPr>
      </w:pPr>
      <w:r>
        <w:rPr>
          <w:rFonts w:ascii="宋体" w:hAnsi="宋体"/>
        </w:rPr>
        <w:t>b）网络操作安全</w:t>
      </w:r>
    </w:p>
    <w:p>
      <w:pPr>
        <w:adjustRightInd w:val="0"/>
        <w:snapToGrid w:val="0"/>
        <w:spacing w:before="203" w:beforeLines="50" w:after="203" w:afterLines="50"/>
        <w:ind w:firstLine="500" w:firstLineChars="200"/>
        <w:rPr>
          <w:rFonts w:ascii="宋体" w:hAnsi="宋体"/>
        </w:rPr>
      </w:pPr>
      <w:r>
        <w:rPr>
          <w:rFonts w:ascii="宋体" w:hAnsi="宋体"/>
        </w:rPr>
        <w:t>限制网络的非法访问为网络系统安全提供了基本的保证。其主要措施是用户权限设置、口令加密等。包括：</w:t>
      </w:r>
    </w:p>
    <w:p>
      <w:pPr>
        <w:adjustRightInd w:val="0"/>
        <w:snapToGrid w:val="0"/>
        <w:spacing w:before="203" w:beforeLines="50" w:after="203" w:afterLines="50"/>
        <w:ind w:firstLine="500" w:firstLineChars="200"/>
        <w:rPr>
          <w:rFonts w:ascii="宋体" w:hAnsi="宋体"/>
        </w:rPr>
      </w:pPr>
      <w:r>
        <w:rPr>
          <w:rFonts w:ascii="宋体" w:hAnsi="宋体"/>
        </w:rPr>
        <w:t>建立各级用户名及访问权限</w:t>
      </w:r>
    </w:p>
    <w:p>
      <w:pPr>
        <w:adjustRightInd w:val="0"/>
        <w:snapToGrid w:val="0"/>
        <w:spacing w:before="203" w:beforeLines="50" w:after="203" w:afterLines="50"/>
        <w:ind w:firstLine="500" w:firstLineChars="200"/>
        <w:rPr>
          <w:rFonts w:ascii="宋体" w:hAnsi="宋体"/>
        </w:rPr>
      </w:pPr>
      <w:r>
        <w:rPr>
          <w:rFonts w:ascii="宋体" w:hAnsi="宋体"/>
        </w:rPr>
        <w:t>每一用户口令，根据级别选择口令限制：限制口令长度、不定期更改口令、口令唯一、口令超期宽限。</w:t>
      </w:r>
    </w:p>
    <w:p>
      <w:pPr>
        <w:adjustRightInd w:val="0"/>
        <w:snapToGrid w:val="0"/>
        <w:spacing w:before="203" w:beforeLines="50" w:after="203" w:afterLines="50"/>
        <w:ind w:firstLine="500" w:firstLineChars="200"/>
        <w:rPr>
          <w:rFonts w:ascii="宋体" w:hAnsi="宋体"/>
        </w:rPr>
      </w:pPr>
      <w:r>
        <w:rPr>
          <w:rFonts w:ascii="宋体" w:hAnsi="宋体"/>
        </w:rPr>
        <w:t>建立各种限制：用户限制、站点限制、磁盘卷限制。</w:t>
      </w:r>
    </w:p>
    <w:p>
      <w:pPr>
        <w:adjustRightInd w:val="0"/>
        <w:snapToGrid w:val="0"/>
        <w:spacing w:before="203" w:beforeLines="50" w:after="203" w:afterLines="50"/>
        <w:ind w:firstLine="500" w:firstLineChars="200"/>
        <w:rPr>
          <w:rFonts w:ascii="宋体" w:hAnsi="宋体"/>
        </w:rPr>
      </w:pPr>
      <w:r>
        <w:rPr>
          <w:rFonts w:ascii="宋体" w:hAnsi="宋体"/>
        </w:rPr>
        <w:t>设置登录跟踪安全日志。</w:t>
      </w:r>
    </w:p>
    <w:p>
      <w:pPr>
        <w:adjustRightInd w:val="0"/>
        <w:snapToGrid w:val="0"/>
        <w:spacing w:before="203" w:beforeLines="50" w:after="203" w:afterLines="50"/>
        <w:ind w:firstLine="500" w:firstLineChars="200"/>
        <w:rPr>
          <w:rFonts w:ascii="宋体" w:hAnsi="宋体"/>
        </w:rPr>
      </w:pPr>
      <w:r>
        <w:rPr>
          <w:rFonts w:ascii="宋体" w:hAnsi="宋体"/>
        </w:rPr>
        <w:t>c）防火墙</w:t>
      </w:r>
    </w:p>
    <w:p>
      <w:pPr>
        <w:adjustRightInd w:val="0"/>
        <w:snapToGrid w:val="0"/>
        <w:spacing w:before="203" w:beforeLines="50" w:after="203" w:afterLines="50"/>
        <w:ind w:firstLine="500" w:firstLineChars="200"/>
        <w:rPr>
          <w:rFonts w:ascii="宋体" w:hAnsi="宋体"/>
        </w:rPr>
      </w:pPr>
      <w:r>
        <w:rPr>
          <w:rFonts w:ascii="宋体" w:hAnsi="宋体"/>
        </w:rPr>
        <w:t>由于网络建立了与Internet的通讯，需要采用防火墙技术实现对本地网络的安全保护。</w:t>
      </w:r>
    </w:p>
    <w:p>
      <w:pPr>
        <w:adjustRightInd w:val="0"/>
        <w:snapToGrid w:val="0"/>
        <w:spacing w:before="203" w:beforeLines="50" w:after="203" w:afterLines="50"/>
        <w:ind w:firstLine="500" w:firstLineChars="200"/>
        <w:rPr>
          <w:rFonts w:ascii="宋体" w:hAnsi="宋体"/>
          <w:bCs/>
        </w:rPr>
      </w:pPr>
      <w:bookmarkStart w:id="7170" w:name="_Toc301178786"/>
      <w:bookmarkStart w:id="7171" w:name="_Toc301171359"/>
      <w:bookmarkStart w:id="7172" w:name="_Toc98143014"/>
      <w:r>
        <w:rPr>
          <w:rFonts w:ascii="宋体" w:hAnsi="宋体"/>
          <w:bCs/>
        </w:rPr>
        <w:t>3、中央监控系统</w:t>
      </w:r>
      <w:bookmarkEnd w:id="7170"/>
      <w:bookmarkEnd w:id="7171"/>
      <w:bookmarkEnd w:id="7172"/>
    </w:p>
    <w:p>
      <w:pPr>
        <w:adjustRightInd w:val="0"/>
        <w:snapToGrid w:val="0"/>
        <w:spacing w:before="203" w:beforeLines="50" w:after="203" w:afterLines="50"/>
        <w:ind w:firstLine="500" w:firstLineChars="200"/>
        <w:rPr>
          <w:rFonts w:ascii="宋体" w:hAnsi="宋体"/>
        </w:rPr>
      </w:pPr>
      <w:r>
        <w:rPr>
          <w:rFonts w:ascii="宋体" w:hAnsi="宋体"/>
        </w:rPr>
        <w:t>（1）系统组成</w:t>
      </w:r>
    </w:p>
    <w:p>
      <w:pPr>
        <w:adjustRightInd w:val="0"/>
        <w:snapToGrid w:val="0"/>
        <w:spacing w:before="203" w:beforeLines="50" w:after="203" w:afterLines="50"/>
        <w:ind w:firstLine="500" w:firstLineChars="200"/>
        <w:rPr>
          <w:rFonts w:ascii="宋体" w:hAnsi="宋体"/>
        </w:rPr>
      </w:pPr>
      <w:r>
        <w:rPr>
          <w:rFonts w:ascii="宋体" w:hAnsi="宋体"/>
        </w:rPr>
        <w:t>a）一台配置了实时监控软件的中央监控服务器；</w:t>
      </w:r>
    </w:p>
    <w:p>
      <w:pPr>
        <w:adjustRightInd w:val="0"/>
        <w:snapToGrid w:val="0"/>
        <w:spacing w:before="203" w:beforeLines="50" w:after="203" w:afterLines="50"/>
        <w:ind w:firstLine="500" w:firstLineChars="200"/>
        <w:rPr>
          <w:rFonts w:ascii="宋体" w:hAnsi="宋体"/>
        </w:rPr>
      </w:pPr>
      <w:r>
        <w:rPr>
          <w:rFonts w:ascii="宋体" w:hAnsi="宋体"/>
        </w:rPr>
        <w:t>b）与现场PLC子站相连的网络通讯工业网络交换机；</w:t>
      </w:r>
    </w:p>
    <w:p>
      <w:pPr>
        <w:adjustRightInd w:val="0"/>
        <w:snapToGrid w:val="0"/>
        <w:spacing w:before="203" w:beforeLines="50" w:after="203" w:afterLines="50"/>
        <w:ind w:firstLine="500" w:firstLineChars="200"/>
        <w:rPr>
          <w:rFonts w:ascii="宋体" w:hAnsi="宋体"/>
        </w:rPr>
      </w:pPr>
      <w:r>
        <w:rPr>
          <w:rFonts w:ascii="宋体" w:hAnsi="宋体"/>
        </w:rPr>
        <w:t>c）操作员计算机及工程师站计算机；</w:t>
      </w:r>
    </w:p>
    <w:p>
      <w:pPr>
        <w:adjustRightInd w:val="0"/>
        <w:snapToGrid w:val="0"/>
        <w:spacing w:before="203" w:beforeLines="50" w:after="203" w:afterLines="50"/>
        <w:ind w:firstLine="500" w:firstLineChars="200"/>
        <w:rPr>
          <w:rFonts w:ascii="宋体" w:hAnsi="宋体"/>
        </w:rPr>
      </w:pPr>
      <w:r>
        <w:rPr>
          <w:rFonts w:ascii="宋体" w:hAnsi="宋体"/>
        </w:rPr>
        <w:t>d）报表打印机和事故报警打印机，互为备用；</w:t>
      </w:r>
    </w:p>
    <w:p>
      <w:pPr>
        <w:adjustRightInd w:val="0"/>
        <w:snapToGrid w:val="0"/>
        <w:spacing w:before="203" w:beforeLines="50" w:after="203" w:afterLines="50"/>
        <w:ind w:firstLine="500" w:firstLineChars="200"/>
        <w:rPr>
          <w:rFonts w:ascii="宋体" w:hAnsi="宋体"/>
        </w:rPr>
      </w:pPr>
      <w:r>
        <w:rPr>
          <w:rFonts w:ascii="宋体" w:hAnsi="宋体"/>
        </w:rPr>
        <w:t>e）LED拼接屏；</w:t>
      </w:r>
    </w:p>
    <w:p>
      <w:pPr>
        <w:adjustRightInd w:val="0"/>
        <w:snapToGrid w:val="0"/>
        <w:spacing w:before="203" w:beforeLines="50" w:after="203" w:afterLines="50"/>
        <w:ind w:firstLine="500" w:firstLineChars="200"/>
        <w:rPr>
          <w:rFonts w:ascii="宋体" w:hAnsi="宋体"/>
        </w:rPr>
      </w:pPr>
      <w:r>
        <w:rPr>
          <w:rFonts w:ascii="宋体" w:hAnsi="宋体"/>
        </w:rPr>
        <w:t>f）PLC编程用便编程终端</w:t>
      </w:r>
      <w:r>
        <w:rPr>
          <w:rFonts w:hint="eastAsia" w:ascii="宋体" w:hAnsi="宋体"/>
        </w:rPr>
        <w:t>，</w:t>
      </w:r>
      <w:r>
        <w:rPr>
          <w:rFonts w:ascii="宋体" w:hAnsi="宋体"/>
        </w:rPr>
        <w:t>PLC编程用便编程终端可以是笔记本电脑，用于现场PLC调试用；组态软件开发板安装在工程师工作站内，运行版安装在操作员工作站内；</w:t>
      </w:r>
    </w:p>
    <w:p>
      <w:pPr>
        <w:adjustRightInd w:val="0"/>
        <w:snapToGrid w:val="0"/>
        <w:spacing w:before="203" w:beforeLines="50" w:after="203" w:afterLines="50"/>
        <w:ind w:firstLine="500" w:firstLineChars="200"/>
        <w:rPr>
          <w:rFonts w:ascii="宋体" w:hAnsi="宋体"/>
        </w:rPr>
      </w:pPr>
      <w:r>
        <w:rPr>
          <w:rFonts w:ascii="宋体" w:hAnsi="宋体"/>
        </w:rPr>
        <w:t>g）调度及信息发布控制计算机。</w:t>
      </w:r>
    </w:p>
    <w:p>
      <w:pPr>
        <w:adjustRightInd w:val="0"/>
        <w:snapToGrid w:val="0"/>
        <w:spacing w:before="203" w:beforeLines="50" w:after="203" w:afterLines="50"/>
        <w:ind w:firstLine="500" w:firstLineChars="200"/>
        <w:rPr>
          <w:rFonts w:ascii="宋体" w:hAnsi="宋体"/>
        </w:rPr>
      </w:pPr>
      <w:r>
        <w:rPr>
          <w:rFonts w:ascii="宋体" w:hAnsi="宋体"/>
        </w:rPr>
        <w:t>（2）软硬件功能</w:t>
      </w:r>
    </w:p>
    <w:p>
      <w:pPr>
        <w:adjustRightInd w:val="0"/>
        <w:snapToGrid w:val="0"/>
        <w:spacing w:before="203" w:beforeLines="50" w:after="203" w:afterLines="50"/>
        <w:ind w:firstLine="500" w:firstLineChars="200"/>
        <w:rPr>
          <w:rFonts w:ascii="宋体" w:hAnsi="宋体"/>
        </w:rPr>
      </w:pPr>
      <w:r>
        <w:rPr>
          <w:rFonts w:ascii="宋体" w:hAnsi="宋体"/>
        </w:rPr>
        <w:t>与所有现场I/O通讯（无限点），趋势、报警、报表、数据库连接等；且两台操作站之间互为热备冗余：当主站由于故障不能通讯时，备站立即接管所有功能；当主站恢复正常时，首先要将故障期间系统需存储的历史趋势数据、报警记录等从备站补回，然后再将所有控制功能自动切换到主站，由主站继续控制整个系统，备站重新回到热备状态，并连续地以主站为数据源同步更新所有数据。</w:t>
      </w:r>
    </w:p>
    <w:p>
      <w:pPr>
        <w:adjustRightInd w:val="0"/>
        <w:snapToGrid w:val="0"/>
        <w:spacing w:before="203" w:beforeLines="50" w:after="203" w:afterLines="50"/>
        <w:ind w:firstLine="500" w:firstLineChars="200"/>
        <w:rPr>
          <w:rFonts w:ascii="宋体" w:hAnsi="宋体"/>
        </w:rPr>
      </w:pPr>
      <w:r>
        <w:rPr>
          <w:rFonts w:ascii="宋体" w:hAnsi="宋体"/>
        </w:rPr>
        <w:t>当主站出现故障时，备站能自动继续此任务。它的主要的服务内容如下所示：</w:t>
      </w:r>
    </w:p>
    <w:p>
      <w:pPr>
        <w:adjustRightInd w:val="0"/>
        <w:snapToGrid w:val="0"/>
        <w:spacing w:before="203" w:beforeLines="50" w:after="203" w:afterLines="50"/>
        <w:ind w:firstLine="500" w:firstLineChars="200"/>
        <w:rPr>
          <w:rFonts w:ascii="宋体" w:hAnsi="宋体"/>
        </w:rPr>
      </w:pPr>
      <w:r>
        <w:rPr>
          <w:rFonts w:ascii="宋体" w:hAnsi="宋体"/>
        </w:rPr>
        <w:t>1．服务重连  在分布式系统中，任何数据服务在失去同其它系统的连接后，都会马上进行重新连接直至成功。</w:t>
      </w:r>
    </w:p>
    <w:p>
      <w:pPr>
        <w:adjustRightInd w:val="0"/>
        <w:snapToGrid w:val="0"/>
        <w:spacing w:before="203" w:beforeLines="50" w:after="203" w:afterLines="50"/>
        <w:ind w:firstLine="500" w:firstLineChars="200"/>
        <w:rPr>
          <w:rFonts w:ascii="宋体" w:hAnsi="宋体"/>
        </w:rPr>
      </w:pPr>
      <w:r>
        <w:rPr>
          <w:rFonts w:ascii="宋体" w:hAnsi="宋体"/>
        </w:rPr>
        <w:t>2．事务管理模式  能将事务管理的真实状态返回给控制系统，使设计人员可以开发更完善的错误保护系统。并且可以直接从PLC处理器读取数据。</w:t>
      </w:r>
    </w:p>
    <w:p>
      <w:pPr>
        <w:adjustRightInd w:val="0"/>
        <w:snapToGrid w:val="0"/>
        <w:spacing w:before="203" w:beforeLines="50" w:after="203" w:afterLines="50"/>
        <w:ind w:firstLine="500" w:firstLineChars="200"/>
        <w:rPr>
          <w:rFonts w:ascii="宋体" w:hAnsi="宋体"/>
        </w:rPr>
      </w:pPr>
      <w:r>
        <w:rPr>
          <w:rFonts w:ascii="宋体" w:hAnsi="宋体"/>
        </w:rPr>
        <w:t>3．事务管理缓冲  事务管理器和企业数据库之间的链接，至少具备有两种方式确保数据的完整。</w:t>
      </w:r>
    </w:p>
    <w:p>
      <w:pPr>
        <w:adjustRightInd w:val="0"/>
        <w:snapToGrid w:val="0"/>
        <w:spacing w:before="203" w:beforeLines="50" w:after="203" w:afterLines="50"/>
        <w:ind w:firstLine="500" w:firstLineChars="200"/>
        <w:rPr>
          <w:rFonts w:ascii="宋体" w:hAnsi="宋体"/>
        </w:rPr>
      </w:pPr>
      <w:r>
        <w:rPr>
          <w:rFonts w:ascii="宋体" w:hAnsi="宋体"/>
        </w:rPr>
        <w:t>4．控制连接器排队等待  避免由于数据不完整而导致事务管理失败。</w:t>
      </w:r>
    </w:p>
    <w:p>
      <w:pPr>
        <w:adjustRightInd w:val="0"/>
        <w:snapToGrid w:val="0"/>
        <w:spacing w:before="203" w:beforeLines="50" w:after="203" w:afterLines="50"/>
        <w:ind w:firstLine="500" w:firstLineChars="200"/>
        <w:rPr>
          <w:rFonts w:ascii="宋体" w:hAnsi="宋体"/>
        </w:rPr>
      </w:pPr>
      <w:r>
        <w:rPr>
          <w:rFonts w:ascii="宋体" w:hAnsi="宋体"/>
        </w:rPr>
        <w:t>5．管理，故障处理和诊断。</w:t>
      </w:r>
    </w:p>
    <w:p>
      <w:pPr>
        <w:adjustRightInd w:val="0"/>
        <w:snapToGrid w:val="0"/>
        <w:spacing w:before="203" w:beforeLines="50" w:after="203" w:afterLines="50"/>
        <w:ind w:firstLine="500" w:firstLineChars="200"/>
        <w:rPr>
          <w:rFonts w:ascii="宋体" w:hAnsi="宋体"/>
        </w:rPr>
      </w:pPr>
      <w:r>
        <w:rPr>
          <w:rFonts w:ascii="宋体" w:hAnsi="宋体"/>
        </w:rPr>
        <w:t>6．历史生产数据管理软件：</w:t>
      </w:r>
    </w:p>
    <w:p>
      <w:pPr>
        <w:adjustRightInd w:val="0"/>
        <w:snapToGrid w:val="0"/>
        <w:spacing w:before="203" w:beforeLines="50" w:after="203" w:afterLines="50"/>
        <w:ind w:firstLine="500" w:firstLineChars="200"/>
        <w:rPr>
          <w:rFonts w:ascii="宋体" w:hAnsi="宋体"/>
        </w:rPr>
      </w:pPr>
      <w:r>
        <w:rPr>
          <w:rFonts w:ascii="宋体" w:hAnsi="宋体"/>
        </w:rPr>
        <w:t>软件需提供下列功能：软件模块提供了一套功能强大、操作简单的工具用来分析许多以时间单位变化的过程性数据。此类数据的典型包括温度、压力、和流速等。该软件的工具包提供了一个分析环境， 该软件提供一套完整的数据收集，分析，浏览和报表解决方案，可以把时序数据进行分析，无需数据库知识和语言就可以完成操作和管理，方便用户的历史生产数据进行分析和管理。</w:t>
      </w:r>
    </w:p>
    <w:p>
      <w:pPr>
        <w:adjustRightInd w:val="0"/>
        <w:snapToGrid w:val="0"/>
        <w:spacing w:before="203" w:beforeLines="50" w:after="203" w:afterLines="50"/>
        <w:ind w:firstLine="500" w:firstLineChars="200"/>
        <w:rPr>
          <w:rFonts w:ascii="宋体" w:hAnsi="宋体"/>
        </w:rPr>
      </w:pPr>
      <w:r>
        <w:rPr>
          <w:rFonts w:ascii="宋体" w:hAnsi="宋体"/>
        </w:rPr>
        <w:t>中央操作计算机通过设定其访问权限用安全密码界定。可在线修改系统软件，并且实现在不需重启软件或计算机的前提下，运行版软件新旧版本间的无缝切换。趋势具有无级缩放、在线拷贝趋势数据至粘贴板、趋势备份（存储至文件）和恢复（从文件调至内存）等功能。系统画面数据更新速率&lt;=1秒钟。</w:t>
      </w:r>
    </w:p>
    <w:p>
      <w:pPr>
        <w:adjustRightInd w:val="0"/>
        <w:snapToGrid w:val="0"/>
        <w:spacing w:before="203" w:beforeLines="50" w:after="203" w:afterLines="50"/>
        <w:ind w:firstLine="500" w:firstLineChars="200"/>
        <w:rPr>
          <w:rFonts w:ascii="宋体" w:hAnsi="宋体"/>
        </w:rPr>
      </w:pPr>
      <w:r>
        <w:rPr>
          <w:rFonts w:ascii="宋体" w:hAnsi="宋体"/>
        </w:rPr>
        <w:t>人机交互画面上所有操作都能记录到日志文件中去。</w:t>
      </w:r>
    </w:p>
    <w:p>
      <w:pPr>
        <w:adjustRightInd w:val="0"/>
        <w:snapToGrid w:val="0"/>
        <w:spacing w:before="203" w:beforeLines="50" w:after="203" w:afterLines="50"/>
        <w:ind w:firstLine="500" w:firstLineChars="200"/>
        <w:rPr>
          <w:rFonts w:ascii="宋体" w:hAnsi="宋体"/>
        </w:rPr>
      </w:pPr>
      <w:bookmarkStart w:id="7173" w:name="_Toc106050567"/>
      <w:r>
        <w:rPr>
          <w:rFonts w:ascii="宋体" w:hAnsi="宋体"/>
        </w:rPr>
        <w:t>（3）中央监控系统主要功能</w:t>
      </w:r>
      <w:bookmarkEnd w:id="7173"/>
    </w:p>
    <w:p>
      <w:pPr>
        <w:adjustRightInd w:val="0"/>
        <w:snapToGrid w:val="0"/>
        <w:spacing w:before="203" w:beforeLines="50" w:after="203" w:afterLines="50"/>
        <w:ind w:firstLine="500" w:firstLineChars="200"/>
        <w:rPr>
          <w:rFonts w:ascii="宋体" w:hAnsi="宋体"/>
        </w:rPr>
      </w:pPr>
      <w:r>
        <w:rPr>
          <w:rFonts w:ascii="宋体" w:hAnsi="宋体"/>
        </w:rPr>
        <w:t>a）远控各PLC现场子站，实时接收PLC采集的各种数据，建立全厂检测参数数据库；处理并显示各种数据</w:t>
      </w:r>
    </w:p>
    <w:p>
      <w:pPr>
        <w:adjustRightInd w:val="0"/>
        <w:snapToGrid w:val="0"/>
        <w:spacing w:before="203" w:beforeLines="50" w:after="203" w:afterLines="50"/>
        <w:ind w:firstLine="500" w:firstLineChars="200"/>
        <w:rPr>
          <w:rFonts w:ascii="宋体" w:hAnsi="宋体"/>
        </w:rPr>
      </w:pPr>
      <w:r>
        <w:rPr>
          <w:rFonts w:ascii="宋体" w:hAnsi="宋体"/>
        </w:rPr>
        <w:t>b）监测全厂工艺流程和各细部的动态模拟图形</w:t>
      </w:r>
    </w:p>
    <w:p>
      <w:pPr>
        <w:adjustRightInd w:val="0"/>
        <w:snapToGrid w:val="0"/>
        <w:spacing w:before="203" w:beforeLines="50" w:after="203" w:afterLines="50"/>
        <w:ind w:firstLine="500" w:firstLineChars="200"/>
        <w:rPr>
          <w:rFonts w:ascii="宋体" w:hAnsi="宋体"/>
        </w:rPr>
      </w:pPr>
      <w:r>
        <w:rPr>
          <w:rFonts w:ascii="宋体" w:hAnsi="宋体"/>
        </w:rPr>
        <w:t>c）从检测项目中，按需要显示历史记录和趋势分析曲线</w:t>
      </w:r>
    </w:p>
    <w:p>
      <w:pPr>
        <w:adjustRightInd w:val="0"/>
        <w:snapToGrid w:val="0"/>
        <w:spacing w:before="203" w:beforeLines="50" w:after="203" w:afterLines="50"/>
        <w:ind w:firstLine="500" w:firstLineChars="200"/>
        <w:rPr>
          <w:rFonts w:ascii="宋体" w:hAnsi="宋体"/>
        </w:rPr>
      </w:pPr>
      <w:r>
        <w:rPr>
          <w:rFonts w:ascii="宋体" w:hAnsi="宋体"/>
        </w:rPr>
        <w:t>d）重要设备主要参数的工况及事故报警、打印制表</w:t>
      </w:r>
    </w:p>
    <w:p>
      <w:pPr>
        <w:adjustRightInd w:val="0"/>
        <w:snapToGrid w:val="0"/>
        <w:spacing w:before="203" w:beforeLines="50" w:after="203" w:afterLines="50"/>
        <w:ind w:firstLine="500" w:firstLineChars="200"/>
        <w:rPr>
          <w:rFonts w:ascii="宋体" w:hAnsi="宋体"/>
        </w:rPr>
      </w:pPr>
      <w:r>
        <w:rPr>
          <w:rFonts w:ascii="宋体" w:hAnsi="宋体"/>
        </w:rPr>
        <w:t>e）编制和打印生产日、月、年统计报表</w:t>
      </w:r>
    </w:p>
    <w:p>
      <w:pPr>
        <w:adjustRightInd w:val="0"/>
        <w:snapToGrid w:val="0"/>
        <w:spacing w:before="203" w:beforeLines="50" w:after="203" w:afterLines="50"/>
        <w:ind w:firstLine="500" w:firstLineChars="200"/>
        <w:rPr>
          <w:rFonts w:ascii="宋体" w:hAnsi="宋体"/>
        </w:rPr>
      </w:pPr>
      <w:r>
        <w:rPr>
          <w:rFonts w:ascii="宋体" w:hAnsi="宋体"/>
        </w:rPr>
        <w:t>f）在投影屏上实时显示工艺流程及各种设备的工作状态、报警</w:t>
      </w:r>
    </w:p>
    <w:p>
      <w:pPr>
        <w:adjustRightInd w:val="0"/>
        <w:snapToGrid w:val="0"/>
        <w:spacing w:before="203" w:beforeLines="50" w:after="203" w:afterLines="50"/>
        <w:ind w:firstLine="500" w:firstLineChars="200"/>
        <w:rPr>
          <w:rFonts w:ascii="宋体" w:hAnsi="宋体"/>
        </w:rPr>
      </w:pPr>
      <w:r>
        <w:rPr>
          <w:rFonts w:ascii="宋体" w:hAnsi="宋体"/>
        </w:rPr>
        <w:t>g）对各种数据实时存储</w:t>
      </w:r>
    </w:p>
    <w:p>
      <w:pPr>
        <w:adjustRightInd w:val="0"/>
        <w:snapToGrid w:val="0"/>
        <w:spacing w:before="203" w:beforeLines="50" w:after="203" w:afterLines="50"/>
        <w:ind w:firstLine="500" w:firstLineChars="200"/>
        <w:rPr>
          <w:rFonts w:ascii="宋体" w:hAnsi="宋体"/>
        </w:rPr>
      </w:pPr>
      <w:r>
        <w:rPr>
          <w:rFonts w:ascii="宋体" w:hAnsi="宋体"/>
        </w:rPr>
        <w:t>（4）控制软件</w:t>
      </w:r>
    </w:p>
    <w:p>
      <w:pPr>
        <w:adjustRightInd w:val="0"/>
        <w:snapToGrid w:val="0"/>
        <w:spacing w:before="203" w:beforeLines="50" w:after="203" w:afterLines="50"/>
        <w:ind w:firstLine="500" w:firstLineChars="200"/>
        <w:rPr>
          <w:rFonts w:ascii="宋体" w:hAnsi="宋体"/>
        </w:rPr>
      </w:pPr>
      <w:r>
        <w:rPr>
          <w:rFonts w:ascii="宋体" w:hAnsi="宋体"/>
        </w:rPr>
        <w:t>系统根据工艺的要求，监视和控制软件实时运行，应具如下特点：</w:t>
      </w:r>
    </w:p>
    <w:p>
      <w:pPr>
        <w:adjustRightInd w:val="0"/>
        <w:snapToGrid w:val="0"/>
        <w:spacing w:before="203" w:beforeLines="50" w:after="203" w:afterLines="50"/>
        <w:ind w:firstLine="500" w:firstLineChars="200"/>
        <w:rPr>
          <w:rFonts w:ascii="宋体" w:hAnsi="宋体"/>
        </w:rPr>
      </w:pPr>
      <w:r>
        <w:rPr>
          <w:rFonts w:ascii="宋体" w:hAnsi="宋体"/>
        </w:rPr>
        <w:t>a）基于Windows系统</w:t>
      </w:r>
      <w:r>
        <w:rPr>
          <w:rFonts w:hint="eastAsia" w:ascii="宋体" w:hAnsi="宋体"/>
        </w:rPr>
        <w:t>，</w:t>
      </w:r>
      <w:r>
        <w:rPr>
          <w:rFonts w:ascii="宋体" w:hAnsi="宋体"/>
        </w:rPr>
        <w:t>支持分布式网络结构,各节点可以独立的执行赋给它的任务</w:t>
      </w:r>
      <w:r>
        <w:rPr>
          <w:rFonts w:hint="eastAsia" w:ascii="宋体" w:hAnsi="宋体"/>
        </w:rPr>
        <w:t>，</w:t>
      </w:r>
      <w:r>
        <w:rPr>
          <w:rFonts w:ascii="宋体" w:hAnsi="宋体"/>
        </w:rPr>
        <w:t>节点可以脱机而不会影响网络的运行,节点同样可以在网络上任何地方获取数据.</w:t>
      </w:r>
    </w:p>
    <w:p>
      <w:pPr>
        <w:adjustRightInd w:val="0"/>
        <w:snapToGrid w:val="0"/>
        <w:spacing w:before="203" w:beforeLines="50" w:after="203" w:afterLines="50"/>
        <w:ind w:firstLine="500" w:firstLineChars="200"/>
        <w:rPr>
          <w:rFonts w:ascii="宋体" w:hAnsi="宋体"/>
        </w:rPr>
      </w:pPr>
      <w:r>
        <w:rPr>
          <w:rFonts w:ascii="宋体" w:hAnsi="宋体"/>
        </w:rPr>
        <w:t>b）支持高分辨率彩色图形显示系统。有先进的绘图工具和方便有效的图形编辑功能。</w:t>
      </w:r>
    </w:p>
    <w:p>
      <w:pPr>
        <w:adjustRightInd w:val="0"/>
        <w:snapToGrid w:val="0"/>
        <w:spacing w:before="203" w:beforeLines="50" w:after="203" w:afterLines="50"/>
        <w:ind w:firstLine="500" w:firstLineChars="200"/>
        <w:rPr>
          <w:rFonts w:ascii="宋体" w:hAnsi="宋体"/>
        </w:rPr>
      </w:pPr>
      <w:r>
        <w:rPr>
          <w:rFonts w:ascii="宋体" w:hAnsi="宋体"/>
        </w:rPr>
        <w:t>c）为管理者、编程者、操作者，设置不同的权限。</w:t>
      </w:r>
    </w:p>
    <w:p>
      <w:pPr>
        <w:adjustRightInd w:val="0"/>
        <w:snapToGrid w:val="0"/>
        <w:spacing w:before="203" w:beforeLines="50" w:after="203" w:afterLines="50"/>
        <w:ind w:firstLine="500" w:firstLineChars="200"/>
        <w:rPr>
          <w:rFonts w:ascii="宋体" w:hAnsi="宋体"/>
        </w:rPr>
      </w:pPr>
      <w:r>
        <w:rPr>
          <w:rFonts w:ascii="宋体" w:hAnsi="宋体"/>
        </w:rPr>
        <w:t>d）支持与系统外设的连接。</w:t>
      </w:r>
    </w:p>
    <w:p>
      <w:pPr>
        <w:adjustRightInd w:val="0"/>
        <w:snapToGrid w:val="0"/>
        <w:spacing w:before="203" w:beforeLines="50" w:after="203" w:afterLines="50"/>
        <w:ind w:firstLine="500" w:firstLineChars="200"/>
        <w:rPr>
          <w:rFonts w:ascii="宋体" w:hAnsi="宋体"/>
        </w:rPr>
      </w:pPr>
      <w:r>
        <w:rPr>
          <w:rFonts w:ascii="宋体" w:hAnsi="宋体"/>
        </w:rPr>
        <w:t>e）可对实时数据和历史数据进行分析。</w:t>
      </w:r>
    </w:p>
    <w:p>
      <w:pPr>
        <w:adjustRightInd w:val="0"/>
        <w:snapToGrid w:val="0"/>
        <w:spacing w:before="203" w:beforeLines="50" w:after="203" w:afterLines="50"/>
        <w:ind w:firstLine="500" w:firstLineChars="200"/>
        <w:rPr>
          <w:rFonts w:ascii="宋体" w:hAnsi="宋体"/>
        </w:rPr>
      </w:pPr>
      <w:r>
        <w:rPr>
          <w:rFonts w:ascii="宋体" w:hAnsi="宋体"/>
        </w:rPr>
        <w:t>f）单一场合和多窗口显示。除显示文字、表格、图形、曲线及报警外，还显示各站点主要设备的状态，显示各站点的所用工艺参数及工艺布置图，流程图等。画面上所有标识、附注、参数、菜单文字、报警事件信息等应具有中文表示。</w:t>
      </w:r>
    </w:p>
    <w:p>
      <w:pPr>
        <w:adjustRightInd w:val="0"/>
        <w:snapToGrid w:val="0"/>
        <w:spacing w:before="203" w:beforeLines="50" w:after="203" w:afterLines="50"/>
        <w:ind w:firstLine="500" w:firstLineChars="200"/>
        <w:rPr>
          <w:rFonts w:ascii="宋体" w:hAnsi="宋体"/>
        </w:rPr>
      </w:pPr>
      <w:r>
        <w:rPr>
          <w:rFonts w:ascii="宋体" w:hAnsi="宋体"/>
        </w:rPr>
        <w:t>g）必须配置报警、报表及打印输出。报警记录和数据报表格式的自动生成。系统须应用最新的电子数据处理技术支持信息管理和用户决策。具有数据分类、检索及显示；基本的点状态清单的功能；对下属各子站的数据下载；具有历史数据存档、显示管理功能。全厂成本分析报表打印，事故报警打印，检测量的曲线图显示记录打印事故追忆记录。具有事件登录、检索、事件驱动报表等功能。</w:t>
      </w:r>
    </w:p>
    <w:p>
      <w:pPr>
        <w:adjustRightInd w:val="0"/>
        <w:snapToGrid w:val="0"/>
        <w:spacing w:before="203" w:beforeLines="50" w:after="203" w:afterLines="50"/>
        <w:ind w:firstLine="500" w:firstLineChars="200"/>
        <w:rPr>
          <w:rFonts w:ascii="宋体" w:hAnsi="宋体"/>
        </w:rPr>
      </w:pPr>
      <w:r>
        <w:rPr>
          <w:rFonts w:ascii="宋体" w:hAnsi="宋体"/>
        </w:rPr>
        <w:t>h）为保证监控软件和其他软件的集成应用,数据交换和信息管理系统的连接,监控软件必须和Windows操作系统和运行于其上的其他应用软件完全兼容。</w:t>
      </w:r>
    </w:p>
    <w:p>
      <w:pPr>
        <w:adjustRightInd w:val="0"/>
        <w:snapToGrid w:val="0"/>
        <w:spacing w:before="203" w:beforeLines="50" w:after="203" w:afterLines="50"/>
        <w:ind w:firstLine="500" w:firstLineChars="200"/>
        <w:rPr>
          <w:rFonts w:ascii="宋体" w:hAnsi="宋体"/>
        </w:rPr>
      </w:pPr>
      <w:r>
        <w:rPr>
          <w:rFonts w:ascii="宋体" w:hAnsi="宋体"/>
        </w:rPr>
        <w:t>i）文件的批处理。</w:t>
      </w:r>
    </w:p>
    <w:p>
      <w:pPr>
        <w:adjustRightInd w:val="0"/>
        <w:snapToGrid w:val="0"/>
        <w:spacing w:before="203" w:beforeLines="50" w:after="203" w:afterLines="50"/>
        <w:ind w:firstLine="500" w:firstLineChars="200"/>
        <w:rPr>
          <w:rFonts w:ascii="宋体" w:hAnsi="宋体"/>
        </w:rPr>
      </w:pPr>
      <w:r>
        <w:rPr>
          <w:rFonts w:ascii="宋体" w:hAnsi="宋体"/>
        </w:rPr>
        <w:t>j）在线的开/关控制及数字修改。</w:t>
      </w:r>
    </w:p>
    <w:p>
      <w:pPr>
        <w:adjustRightInd w:val="0"/>
        <w:snapToGrid w:val="0"/>
        <w:spacing w:before="203" w:beforeLines="50" w:after="203" w:afterLines="50"/>
        <w:ind w:firstLine="500" w:firstLineChars="200"/>
        <w:rPr>
          <w:rFonts w:ascii="宋体" w:hAnsi="宋体"/>
        </w:rPr>
      </w:pPr>
      <w:r>
        <w:rPr>
          <w:rFonts w:ascii="宋体" w:hAnsi="宋体"/>
        </w:rPr>
        <w:t>k）支持多媒体语音、声响驱动。当故障发生时，发出声光报警，并记录打印输出。</w:t>
      </w:r>
    </w:p>
    <w:p>
      <w:pPr>
        <w:adjustRightInd w:val="0"/>
        <w:snapToGrid w:val="0"/>
        <w:spacing w:before="203" w:beforeLines="50" w:after="203" w:afterLines="50"/>
        <w:ind w:firstLine="500" w:firstLineChars="200"/>
        <w:rPr>
          <w:rFonts w:ascii="宋体" w:hAnsi="宋体"/>
        </w:rPr>
      </w:pPr>
      <w:r>
        <w:rPr>
          <w:rFonts w:ascii="宋体" w:hAnsi="宋体"/>
        </w:rPr>
        <w:t>l）监视器的抗干扰，要求采用抗干扰电源。</w:t>
      </w:r>
    </w:p>
    <w:p>
      <w:pPr>
        <w:adjustRightInd w:val="0"/>
        <w:snapToGrid w:val="0"/>
        <w:spacing w:before="203" w:beforeLines="50" w:after="203" w:afterLines="50"/>
        <w:ind w:firstLine="500" w:firstLineChars="200"/>
        <w:rPr>
          <w:rFonts w:ascii="宋体" w:hAnsi="宋体"/>
        </w:rPr>
      </w:pPr>
      <w:bookmarkStart w:id="7174" w:name="_Toc301178787"/>
      <w:bookmarkStart w:id="7175" w:name="_Toc301171360"/>
      <w:bookmarkStart w:id="7176" w:name="_Toc98143015"/>
      <w:r>
        <w:rPr>
          <w:rFonts w:ascii="宋体" w:hAnsi="宋体"/>
        </w:rPr>
        <w:t>5、控制站</w:t>
      </w:r>
      <w:bookmarkEnd w:id="7174"/>
      <w:bookmarkEnd w:id="7175"/>
      <w:bookmarkEnd w:id="7176"/>
    </w:p>
    <w:p>
      <w:pPr>
        <w:adjustRightInd w:val="0"/>
        <w:snapToGrid w:val="0"/>
        <w:spacing w:before="203" w:beforeLines="50" w:after="203" w:afterLines="50"/>
        <w:ind w:firstLine="500" w:firstLineChars="200"/>
        <w:rPr>
          <w:rFonts w:ascii="宋体" w:hAnsi="宋体"/>
        </w:rPr>
      </w:pPr>
      <w:r>
        <w:rPr>
          <w:rFonts w:hint="eastAsia" w:ascii="宋体" w:hAnsi="宋体"/>
        </w:rPr>
        <w:t>变电所PLC1：负责监视变电所低压电气设备的运行状况，采集送水泵房、混合絮凝、平流沉淀及叠合清水池、砂滤池及反冲洗泵房、综综合加药间等工艺设备的运行状况并对其进行监控。脱水机房PLC2：负责采集脱水机房、污泥浓缩池、回收水池及排泥池、污水池等工艺设备的运行状况并对其进行监控。</w:t>
      </w:r>
    </w:p>
    <w:p>
      <w:pPr>
        <w:adjustRightInd w:val="0"/>
        <w:snapToGrid w:val="0"/>
        <w:spacing w:before="203" w:beforeLines="50" w:after="203" w:afterLines="50"/>
        <w:rPr>
          <w:rFonts w:ascii="宋体" w:hAnsi="宋体"/>
        </w:rPr>
      </w:pPr>
      <w:r>
        <w:rPr>
          <w:rFonts w:ascii="宋体" w:hAnsi="宋体"/>
        </w:rPr>
        <w:t>主要设备构成：</w:t>
      </w:r>
    </w:p>
    <w:p>
      <w:pPr>
        <w:adjustRightInd w:val="0"/>
        <w:snapToGrid w:val="0"/>
        <w:spacing w:before="203" w:beforeLines="50" w:after="203" w:afterLines="50"/>
        <w:ind w:firstLine="500" w:firstLineChars="200"/>
        <w:rPr>
          <w:rFonts w:ascii="宋体" w:hAnsi="宋体"/>
        </w:rPr>
      </w:pPr>
      <w:r>
        <w:rPr>
          <w:rFonts w:ascii="宋体" w:hAnsi="宋体"/>
        </w:rPr>
        <w:t>a）用于本站自动控制、工艺参数采集和网络连接的PLC系统，包括CPU模块、电源模块、DI、DO、AI、AO模块和各种网络通讯接口适配器等。</w:t>
      </w:r>
    </w:p>
    <w:p>
      <w:pPr>
        <w:adjustRightInd w:val="0"/>
        <w:snapToGrid w:val="0"/>
        <w:spacing w:before="203" w:beforeLines="50" w:after="203" w:afterLines="50"/>
        <w:ind w:firstLine="500" w:firstLineChars="200"/>
        <w:rPr>
          <w:rFonts w:ascii="宋体" w:hAnsi="宋体"/>
        </w:rPr>
      </w:pPr>
      <w:r>
        <w:rPr>
          <w:rFonts w:ascii="宋体" w:hAnsi="宋体"/>
        </w:rPr>
        <w:t>b）电源、信号防雷器以及各种隔离器。</w:t>
      </w:r>
    </w:p>
    <w:p>
      <w:pPr>
        <w:adjustRightInd w:val="0"/>
        <w:snapToGrid w:val="0"/>
        <w:spacing w:before="203" w:beforeLines="50" w:after="203" w:afterLines="50"/>
        <w:ind w:firstLine="500" w:firstLineChars="200"/>
        <w:rPr>
          <w:rFonts w:ascii="宋体" w:hAnsi="宋体"/>
        </w:rPr>
      </w:pPr>
      <w:r>
        <w:rPr>
          <w:rFonts w:ascii="宋体" w:hAnsi="宋体"/>
        </w:rPr>
        <w:t>c）现场操作终端及UPS电源。</w:t>
      </w:r>
    </w:p>
    <w:p>
      <w:pPr>
        <w:adjustRightInd w:val="0"/>
        <w:snapToGrid w:val="0"/>
        <w:spacing w:before="203" w:beforeLines="50" w:after="203" w:afterLines="50"/>
        <w:ind w:firstLine="500" w:firstLineChars="200"/>
        <w:rPr>
          <w:rFonts w:ascii="宋体" w:hAnsi="宋体"/>
        </w:rPr>
      </w:pPr>
      <w:r>
        <w:rPr>
          <w:rFonts w:ascii="宋体" w:hAnsi="宋体"/>
        </w:rPr>
        <w:t>现场可控设备除了可由操作人员通过就地箱控制外，也可交给PLC进行自动控制。现场操作终端作为现场人机接口，操作人员通过对操作终端的按钮的操作，由PLC可完成对相关可控设备的控制。操作人员也通过在操作终端上的操作，修改相关参数的设定。</w:t>
      </w:r>
    </w:p>
    <w:p>
      <w:pPr>
        <w:keepNext/>
        <w:tabs>
          <w:tab w:val="left" w:pos="993"/>
        </w:tabs>
        <w:adjustRightInd w:val="0"/>
        <w:snapToGrid w:val="0"/>
        <w:spacing w:before="203" w:beforeLines="50" w:after="203" w:afterLines="50"/>
        <w:outlineLvl w:val="0"/>
        <w:rPr>
          <w:rFonts w:ascii="宋体" w:hAnsi="宋体"/>
          <w:b/>
          <w:bCs/>
        </w:rPr>
      </w:pPr>
      <w:bookmarkStart w:id="7177" w:name="_Toc401327947"/>
      <w:bookmarkStart w:id="7178" w:name="_Toc98143023"/>
      <w:bookmarkStart w:id="7179" w:name="_Toc301178792"/>
      <w:bookmarkStart w:id="7180" w:name="_Toc450584993"/>
      <w:bookmarkStart w:id="7181" w:name="_Toc301171365"/>
      <w:bookmarkStart w:id="7182" w:name="_Toc106883792"/>
      <w:r>
        <w:rPr>
          <w:rFonts w:hint="eastAsia" w:ascii="宋体" w:hAnsi="宋体"/>
          <w:b/>
          <w:bCs/>
        </w:rPr>
        <w:t>10.2.3</w:t>
      </w:r>
      <w:r>
        <w:rPr>
          <w:rFonts w:ascii="宋体" w:hAnsi="宋体"/>
          <w:b/>
          <w:bCs/>
        </w:rPr>
        <w:t>主要中控室设备技术要求</w:t>
      </w:r>
      <w:bookmarkEnd w:id="7177"/>
      <w:bookmarkEnd w:id="7178"/>
      <w:bookmarkEnd w:id="7179"/>
      <w:bookmarkEnd w:id="7180"/>
      <w:bookmarkEnd w:id="7181"/>
      <w:bookmarkEnd w:id="7182"/>
    </w:p>
    <w:p>
      <w:pPr>
        <w:adjustRightInd w:val="0"/>
        <w:snapToGrid w:val="0"/>
        <w:spacing w:before="203" w:beforeLines="50" w:after="203" w:afterLines="50"/>
        <w:ind w:firstLine="500" w:firstLineChars="200"/>
        <w:rPr>
          <w:rFonts w:ascii="宋体" w:hAnsi="宋体"/>
        </w:rPr>
      </w:pPr>
      <w:r>
        <w:rPr>
          <w:rFonts w:ascii="宋体" w:hAnsi="宋体"/>
        </w:rPr>
        <w:t>计算机及其相关设备，承包商应按照设备采购时市场最新流行的主流配置供货。</w:t>
      </w:r>
    </w:p>
    <w:p>
      <w:pPr>
        <w:adjustRightInd w:val="0"/>
        <w:snapToGrid w:val="0"/>
        <w:spacing w:before="203" w:beforeLines="50" w:after="203" w:afterLines="50"/>
        <w:ind w:firstLine="500" w:firstLineChars="200"/>
        <w:rPr>
          <w:rFonts w:ascii="宋体" w:hAnsi="宋体"/>
        </w:rPr>
      </w:pPr>
      <w:bookmarkStart w:id="7183" w:name="_Toc98143024"/>
      <w:bookmarkStart w:id="7184" w:name="_Toc301178793"/>
      <w:bookmarkStart w:id="7185" w:name="_Toc301171366"/>
      <w:r>
        <w:rPr>
          <w:rFonts w:ascii="宋体" w:hAnsi="宋体"/>
        </w:rPr>
        <w:t>1</w:t>
      </w:r>
      <w:bookmarkEnd w:id="7183"/>
      <w:r>
        <w:rPr>
          <w:rFonts w:ascii="宋体" w:hAnsi="宋体"/>
        </w:rPr>
        <w:t>、服务器</w:t>
      </w:r>
      <w:bookmarkEnd w:id="7184"/>
      <w:bookmarkEnd w:id="7185"/>
    </w:p>
    <w:p>
      <w:pPr>
        <w:adjustRightInd w:val="0"/>
        <w:snapToGrid w:val="0"/>
        <w:spacing w:before="203" w:beforeLines="50" w:after="203" w:afterLines="50"/>
        <w:ind w:firstLine="500" w:firstLineChars="200"/>
        <w:rPr>
          <w:rFonts w:ascii="宋体" w:hAnsi="宋体"/>
        </w:rPr>
      </w:pPr>
      <w:r>
        <w:rPr>
          <w:rFonts w:ascii="宋体" w:hAnsi="宋体"/>
        </w:rPr>
        <w:t xml:space="preserve">处理器：不低于intel </w:t>
      </w:r>
      <w:r>
        <w:rPr>
          <w:rFonts w:hint="eastAsia" w:ascii="宋体" w:hAnsi="宋体"/>
        </w:rPr>
        <w:t>Core</w:t>
      </w:r>
      <w:r>
        <w:rPr>
          <w:rFonts w:ascii="宋体" w:hAnsi="宋体"/>
        </w:rPr>
        <w:t xml:space="preserve"> i7 3.4GHz</w:t>
      </w:r>
    </w:p>
    <w:p>
      <w:pPr>
        <w:adjustRightInd w:val="0"/>
        <w:snapToGrid w:val="0"/>
        <w:spacing w:before="203" w:beforeLines="50" w:after="203" w:afterLines="50"/>
        <w:ind w:firstLine="500" w:firstLineChars="200"/>
        <w:rPr>
          <w:rFonts w:ascii="宋体" w:hAnsi="宋体"/>
        </w:rPr>
      </w:pPr>
      <w:r>
        <w:rPr>
          <w:rFonts w:ascii="宋体" w:hAnsi="宋体"/>
        </w:rPr>
        <w:t>至少两个千兆位以太网口</w:t>
      </w:r>
    </w:p>
    <w:p>
      <w:pPr>
        <w:adjustRightInd w:val="0"/>
        <w:snapToGrid w:val="0"/>
        <w:spacing w:before="203" w:beforeLines="50" w:after="203" w:afterLines="50"/>
        <w:ind w:firstLine="500" w:firstLineChars="200"/>
        <w:rPr>
          <w:rFonts w:ascii="宋体" w:hAnsi="宋体"/>
        </w:rPr>
      </w:pPr>
      <w:r>
        <w:rPr>
          <w:rFonts w:ascii="宋体" w:hAnsi="宋体"/>
        </w:rPr>
        <w:t>硬盘</w:t>
      </w:r>
      <w:r>
        <w:rPr>
          <w:rFonts w:hint="eastAsia" w:ascii="宋体" w:hAnsi="宋体"/>
        </w:rPr>
        <w:t>： 2</w:t>
      </w:r>
      <w:r>
        <w:rPr>
          <w:rFonts w:ascii="宋体" w:hAnsi="宋体"/>
        </w:rPr>
        <w:t>*1T</w:t>
      </w:r>
    </w:p>
    <w:p>
      <w:pPr>
        <w:adjustRightInd w:val="0"/>
        <w:snapToGrid w:val="0"/>
        <w:spacing w:before="203" w:beforeLines="50" w:after="203" w:afterLines="50"/>
        <w:ind w:firstLine="500" w:firstLineChars="200"/>
        <w:rPr>
          <w:rFonts w:ascii="宋体" w:hAnsi="宋体"/>
        </w:rPr>
      </w:pPr>
      <w:r>
        <w:rPr>
          <w:rFonts w:ascii="宋体" w:hAnsi="宋体"/>
        </w:rPr>
        <w:t>内存</w:t>
      </w:r>
      <w:r>
        <w:rPr>
          <w:rFonts w:hint="eastAsia" w:ascii="宋体" w:hAnsi="宋体"/>
        </w:rPr>
        <w:t>：</w:t>
      </w:r>
      <w:r>
        <w:rPr>
          <w:rFonts w:ascii="宋体" w:hAnsi="宋体"/>
        </w:rPr>
        <w:t xml:space="preserve"> </w:t>
      </w:r>
      <w:r>
        <w:rPr>
          <w:rFonts w:hint="eastAsia" w:ascii="宋体" w:hAnsi="宋体"/>
        </w:rPr>
        <w:t>不低于</w:t>
      </w:r>
      <w:r>
        <w:rPr>
          <w:rFonts w:ascii="宋体" w:hAnsi="宋体"/>
        </w:rPr>
        <w:t>4GB</w:t>
      </w:r>
    </w:p>
    <w:p>
      <w:pPr>
        <w:adjustRightInd w:val="0"/>
        <w:snapToGrid w:val="0"/>
        <w:spacing w:before="203" w:beforeLines="50" w:after="203" w:afterLines="50"/>
        <w:ind w:firstLine="500" w:firstLineChars="200"/>
        <w:rPr>
          <w:rFonts w:ascii="宋体" w:hAnsi="宋体"/>
        </w:rPr>
      </w:pPr>
      <w:r>
        <w:rPr>
          <w:rFonts w:ascii="宋体" w:hAnsi="宋体"/>
        </w:rPr>
        <w:t>电源：</w:t>
      </w:r>
      <w:r>
        <w:rPr>
          <w:rFonts w:hint="eastAsia" w:ascii="宋体" w:hAnsi="宋体"/>
        </w:rPr>
        <w:t>不低于350w</w:t>
      </w:r>
    </w:p>
    <w:p>
      <w:pPr>
        <w:adjustRightInd w:val="0"/>
        <w:snapToGrid w:val="0"/>
        <w:spacing w:before="203" w:beforeLines="50" w:after="203" w:afterLines="50"/>
        <w:ind w:firstLine="500" w:firstLineChars="200"/>
        <w:rPr>
          <w:rFonts w:ascii="宋体" w:hAnsi="宋体"/>
        </w:rPr>
      </w:pPr>
      <w:r>
        <w:rPr>
          <w:rFonts w:ascii="宋体" w:hAnsi="宋体"/>
        </w:rPr>
        <w:t>DVD-ROM</w:t>
      </w:r>
    </w:p>
    <w:p>
      <w:pPr>
        <w:adjustRightInd w:val="0"/>
        <w:snapToGrid w:val="0"/>
        <w:spacing w:before="203" w:beforeLines="50" w:after="203" w:afterLines="50"/>
        <w:ind w:firstLine="500" w:firstLineChars="200"/>
        <w:rPr>
          <w:rFonts w:ascii="宋体" w:hAnsi="宋体"/>
        </w:rPr>
      </w:pPr>
      <w:bookmarkStart w:id="7186" w:name="_Toc301178794"/>
      <w:bookmarkStart w:id="7187" w:name="_Toc301171367"/>
      <w:r>
        <w:rPr>
          <w:rFonts w:ascii="宋体" w:hAnsi="宋体"/>
        </w:rPr>
        <w:t>2、工程师站</w:t>
      </w:r>
      <w:bookmarkEnd w:id="7186"/>
      <w:bookmarkEnd w:id="7187"/>
    </w:p>
    <w:p>
      <w:pPr>
        <w:adjustRightInd w:val="0"/>
        <w:snapToGrid w:val="0"/>
        <w:spacing w:before="203" w:beforeLines="50" w:after="203" w:afterLines="50"/>
        <w:ind w:firstLine="500" w:firstLineChars="200"/>
        <w:rPr>
          <w:rFonts w:ascii="宋体" w:hAnsi="宋体"/>
        </w:rPr>
      </w:pPr>
      <w:r>
        <w:rPr>
          <w:rFonts w:ascii="宋体" w:hAnsi="宋体"/>
        </w:rPr>
        <w:t>CPU：</w:t>
      </w:r>
      <w:r>
        <w:rPr>
          <w:rFonts w:hint="eastAsia" w:ascii="宋体" w:hAnsi="宋体"/>
        </w:rPr>
        <w:t>不</w:t>
      </w:r>
      <w:r>
        <w:rPr>
          <w:rFonts w:ascii="宋体" w:hAnsi="宋体"/>
        </w:rPr>
        <w:t xml:space="preserve">低于intel </w:t>
      </w:r>
      <w:r>
        <w:rPr>
          <w:rFonts w:hint="eastAsia" w:ascii="宋体" w:hAnsi="宋体"/>
        </w:rPr>
        <w:t>Core</w:t>
      </w:r>
      <w:r>
        <w:rPr>
          <w:rFonts w:ascii="宋体" w:hAnsi="宋体"/>
        </w:rPr>
        <w:t xml:space="preserve"> i7 3.4GHz</w:t>
      </w:r>
    </w:p>
    <w:p>
      <w:pPr>
        <w:adjustRightInd w:val="0"/>
        <w:snapToGrid w:val="0"/>
        <w:spacing w:before="203" w:beforeLines="50" w:after="203" w:afterLines="50"/>
        <w:ind w:firstLine="500" w:firstLineChars="200"/>
        <w:rPr>
          <w:rFonts w:ascii="宋体" w:hAnsi="宋体"/>
        </w:rPr>
      </w:pPr>
      <w:r>
        <w:rPr>
          <w:rFonts w:ascii="宋体" w:hAnsi="宋体"/>
        </w:rPr>
        <w:t>内存：</w:t>
      </w:r>
      <w:r>
        <w:rPr>
          <w:rFonts w:hint="eastAsia" w:ascii="宋体" w:hAnsi="宋体"/>
        </w:rPr>
        <w:t>不低于</w:t>
      </w:r>
      <w:r>
        <w:rPr>
          <w:rFonts w:ascii="宋体" w:hAnsi="宋体"/>
        </w:rPr>
        <w:t>4GB</w:t>
      </w:r>
    </w:p>
    <w:p>
      <w:pPr>
        <w:adjustRightInd w:val="0"/>
        <w:snapToGrid w:val="0"/>
        <w:spacing w:before="203" w:beforeLines="50" w:after="203" w:afterLines="50"/>
        <w:ind w:firstLine="500" w:firstLineChars="200"/>
        <w:rPr>
          <w:rFonts w:ascii="宋体" w:hAnsi="宋体"/>
        </w:rPr>
      </w:pPr>
      <w:r>
        <w:rPr>
          <w:rFonts w:ascii="宋体" w:hAnsi="宋体"/>
        </w:rPr>
        <w:t xml:space="preserve"> 硬盘驱动器：SATA2 500GB以上</w:t>
      </w:r>
    </w:p>
    <w:p>
      <w:pPr>
        <w:adjustRightInd w:val="0"/>
        <w:snapToGrid w:val="0"/>
        <w:spacing w:before="203" w:beforeLines="50" w:after="203" w:afterLines="50"/>
        <w:ind w:firstLine="500" w:firstLineChars="200"/>
        <w:rPr>
          <w:rFonts w:ascii="宋体" w:hAnsi="宋体"/>
        </w:rPr>
      </w:pPr>
      <w:r>
        <w:rPr>
          <w:rFonts w:ascii="宋体" w:hAnsi="宋体"/>
        </w:rPr>
        <w:t>所有选件均为原厂定制，验收前包装必须完好。</w:t>
      </w:r>
    </w:p>
    <w:p>
      <w:pPr>
        <w:adjustRightInd w:val="0"/>
        <w:snapToGrid w:val="0"/>
        <w:spacing w:before="203" w:beforeLines="50" w:after="203" w:afterLines="50"/>
        <w:ind w:firstLine="500" w:firstLineChars="200"/>
        <w:rPr>
          <w:rFonts w:ascii="宋体" w:hAnsi="宋体"/>
        </w:rPr>
      </w:pPr>
      <w:bookmarkStart w:id="7188" w:name="_Toc301171368"/>
      <w:bookmarkStart w:id="7189" w:name="_Toc301178795"/>
      <w:r>
        <w:rPr>
          <w:rFonts w:ascii="宋体" w:hAnsi="宋体"/>
        </w:rPr>
        <w:t>3 、PLC编程软件</w:t>
      </w:r>
      <w:bookmarkEnd w:id="7188"/>
      <w:bookmarkEnd w:id="7189"/>
    </w:p>
    <w:p>
      <w:pPr>
        <w:adjustRightInd w:val="0"/>
        <w:snapToGrid w:val="0"/>
        <w:spacing w:before="203" w:beforeLines="50" w:after="203" w:afterLines="50"/>
        <w:ind w:firstLine="500" w:firstLineChars="200"/>
        <w:rPr>
          <w:rFonts w:ascii="宋体" w:hAnsi="宋体"/>
        </w:rPr>
      </w:pPr>
      <w:r>
        <w:rPr>
          <w:rFonts w:ascii="宋体" w:hAnsi="宋体"/>
        </w:rPr>
        <w:t>与PLC配套</w:t>
      </w:r>
    </w:p>
    <w:p>
      <w:pPr>
        <w:adjustRightInd w:val="0"/>
        <w:snapToGrid w:val="0"/>
        <w:spacing w:before="203" w:beforeLines="50" w:after="203" w:afterLines="50"/>
        <w:ind w:firstLine="500" w:firstLineChars="200"/>
        <w:rPr>
          <w:rFonts w:ascii="宋体" w:hAnsi="宋体"/>
        </w:rPr>
      </w:pPr>
      <w:r>
        <w:rPr>
          <w:rFonts w:ascii="宋体" w:hAnsi="宋体"/>
        </w:rPr>
        <w:t>编程语言满足IEC-1131，必须支持梯形图、顺序功能块图、功能块图、结构化文本</w:t>
      </w:r>
    </w:p>
    <w:p>
      <w:pPr>
        <w:adjustRightInd w:val="0"/>
        <w:snapToGrid w:val="0"/>
        <w:spacing w:before="203" w:beforeLines="50" w:after="203" w:afterLines="50"/>
        <w:ind w:firstLine="500" w:firstLineChars="200"/>
        <w:rPr>
          <w:rFonts w:ascii="宋体" w:hAnsi="宋体"/>
        </w:rPr>
      </w:pPr>
      <w:r>
        <w:rPr>
          <w:rFonts w:ascii="宋体" w:hAnsi="宋体"/>
        </w:rPr>
        <w:t xml:space="preserve"> 支持自定义功能块</w:t>
      </w:r>
    </w:p>
    <w:p>
      <w:pPr>
        <w:adjustRightInd w:val="0"/>
        <w:snapToGrid w:val="0"/>
        <w:spacing w:before="203" w:beforeLines="50" w:after="203" w:afterLines="50"/>
        <w:ind w:firstLine="500" w:firstLineChars="200"/>
        <w:rPr>
          <w:rFonts w:ascii="宋体" w:hAnsi="宋体"/>
        </w:rPr>
      </w:pPr>
      <w:r>
        <w:rPr>
          <w:rFonts w:ascii="宋体" w:hAnsi="宋体"/>
        </w:rPr>
        <w:t xml:space="preserve"> 支持自定义数据结构</w:t>
      </w:r>
    </w:p>
    <w:p>
      <w:pPr>
        <w:adjustRightInd w:val="0"/>
        <w:snapToGrid w:val="0"/>
        <w:spacing w:before="203" w:beforeLines="50" w:after="203" w:afterLines="50"/>
        <w:ind w:firstLine="500" w:firstLineChars="200"/>
        <w:rPr>
          <w:rFonts w:ascii="宋体" w:hAnsi="宋体"/>
        </w:rPr>
      </w:pPr>
      <w:r>
        <w:rPr>
          <w:rFonts w:ascii="宋体" w:hAnsi="宋体"/>
        </w:rPr>
        <w:t xml:space="preserve"> 支持统一数据库，数据库必须支持导入/导出</w:t>
      </w:r>
    </w:p>
    <w:p>
      <w:pPr>
        <w:adjustRightInd w:val="0"/>
        <w:snapToGrid w:val="0"/>
        <w:spacing w:before="203" w:beforeLines="50" w:after="203" w:afterLines="50"/>
        <w:ind w:firstLine="500" w:firstLineChars="200"/>
        <w:rPr>
          <w:rFonts w:ascii="宋体" w:hAnsi="宋体"/>
        </w:rPr>
      </w:pPr>
      <w:r>
        <w:rPr>
          <w:rFonts w:ascii="宋体" w:hAnsi="宋体"/>
        </w:rPr>
        <w:t xml:space="preserve"> 支持高级语言</w:t>
      </w:r>
    </w:p>
    <w:p>
      <w:pPr>
        <w:adjustRightInd w:val="0"/>
        <w:snapToGrid w:val="0"/>
        <w:spacing w:before="203" w:beforeLines="50" w:after="203" w:afterLines="50"/>
        <w:ind w:firstLine="500" w:firstLineChars="200"/>
        <w:rPr>
          <w:rFonts w:ascii="宋体" w:hAnsi="宋体"/>
        </w:rPr>
      </w:pPr>
      <w:r>
        <w:rPr>
          <w:rFonts w:ascii="宋体" w:hAnsi="宋体"/>
        </w:rPr>
        <w:t>具有简捷的在线帮助</w:t>
      </w:r>
    </w:p>
    <w:p>
      <w:pPr>
        <w:adjustRightInd w:val="0"/>
        <w:snapToGrid w:val="0"/>
        <w:spacing w:before="203" w:beforeLines="50" w:after="203" w:afterLines="50"/>
        <w:ind w:firstLine="500" w:firstLineChars="200"/>
        <w:rPr>
          <w:rFonts w:ascii="宋体" w:hAnsi="宋体"/>
        </w:rPr>
      </w:pPr>
      <w:r>
        <w:rPr>
          <w:rFonts w:ascii="宋体" w:hAnsi="宋体"/>
        </w:rPr>
        <w:t>支持多层口令保护</w:t>
      </w:r>
    </w:p>
    <w:p>
      <w:pPr>
        <w:adjustRightInd w:val="0"/>
        <w:snapToGrid w:val="0"/>
        <w:spacing w:before="203" w:beforeLines="50" w:after="203" w:afterLines="50"/>
        <w:ind w:firstLine="500" w:firstLineChars="200"/>
        <w:rPr>
          <w:rFonts w:ascii="宋体" w:hAnsi="宋体"/>
        </w:rPr>
      </w:pPr>
      <w:r>
        <w:rPr>
          <w:rFonts w:ascii="宋体" w:hAnsi="宋体"/>
        </w:rPr>
        <w:t xml:space="preserve"> 符合IEC-1131标准，在中央控制室和现场子站能够通过光纤环网在线编程与上传下载。</w:t>
      </w:r>
    </w:p>
    <w:p>
      <w:pPr>
        <w:adjustRightInd w:val="0"/>
        <w:snapToGrid w:val="0"/>
        <w:spacing w:before="203" w:beforeLines="50" w:after="203" w:afterLines="50"/>
        <w:ind w:firstLine="500" w:firstLineChars="200"/>
        <w:rPr>
          <w:rFonts w:ascii="宋体" w:hAnsi="宋体"/>
        </w:rPr>
      </w:pPr>
      <w:bookmarkStart w:id="7190" w:name="_Toc301171369"/>
      <w:bookmarkStart w:id="7191" w:name="_Toc301178796"/>
      <w:r>
        <w:rPr>
          <w:rFonts w:ascii="宋体" w:hAnsi="宋体"/>
        </w:rPr>
        <w:t>4 、网络打印机</w:t>
      </w:r>
      <w:bookmarkEnd w:id="7190"/>
      <w:bookmarkEnd w:id="7191"/>
    </w:p>
    <w:p>
      <w:pPr>
        <w:adjustRightInd w:val="0"/>
        <w:snapToGrid w:val="0"/>
        <w:spacing w:before="203" w:beforeLines="50" w:after="203" w:afterLines="50"/>
        <w:ind w:firstLine="500" w:firstLineChars="200"/>
        <w:rPr>
          <w:rFonts w:ascii="宋体" w:hAnsi="宋体"/>
        </w:rPr>
      </w:pPr>
      <w:r>
        <w:rPr>
          <w:rFonts w:ascii="宋体" w:hAnsi="宋体"/>
        </w:rPr>
        <w:t>用作报警/趋势打印</w:t>
      </w:r>
    </w:p>
    <w:p>
      <w:pPr>
        <w:adjustRightInd w:val="0"/>
        <w:snapToGrid w:val="0"/>
        <w:spacing w:before="203" w:beforeLines="50" w:after="203" w:afterLines="50"/>
        <w:ind w:firstLine="500" w:firstLineChars="200"/>
        <w:rPr>
          <w:rFonts w:ascii="宋体" w:hAnsi="宋体"/>
        </w:rPr>
      </w:pPr>
      <w:r>
        <w:rPr>
          <w:rFonts w:ascii="宋体" w:hAnsi="宋体"/>
        </w:rPr>
        <w:t>一台激光单色打印机，一台喷墨彩色打印机，打印速度每分钟不小于18页</w:t>
      </w:r>
    </w:p>
    <w:p>
      <w:pPr>
        <w:adjustRightInd w:val="0"/>
        <w:snapToGrid w:val="0"/>
        <w:spacing w:before="203" w:beforeLines="50" w:after="203" w:afterLines="50"/>
        <w:ind w:firstLine="500" w:firstLineChars="200"/>
        <w:rPr>
          <w:rFonts w:ascii="宋体" w:hAnsi="宋体"/>
        </w:rPr>
      </w:pPr>
      <w:r>
        <w:rPr>
          <w:rFonts w:ascii="宋体" w:hAnsi="宋体"/>
        </w:rPr>
        <w:t>一台针式打印机，具连续走纸功能</w:t>
      </w:r>
    </w:p>
    <w:p>
      <w:pPr>
        <w:adjustRightInd w:val="0"/>
        <w:snapToGrid w:val="0"/>
        <w:spacing w:before="203" w:beforeLines="50" w:after="203" w:afterLines="50"/>
        <w:ind w:firstLine="500" w:firstLineChars="200"/>
        <w:rPr>
          <w:rFonts w:ascii="宋体" w:hAnsi="宋体"/>
        </w:rPr>
      </w:pPr>
      <w:r>
        <w:rPr>
          <w:rFonts w:ascii="宋体" w:hAnsi="宋体"/>
        </w:rPr>
        <w:t>分辨率 1440×1440 dpi</w:t>
      </w:r>
    </w:p>
    <w:p>
      <w:pPr>
        <w:adjustRightInd w:val="0"/>
        <w:snapToGrid w:val="0"/>
        <w:spacing w:before="203" w:beforeLines="50" w:after="203" w:afterLines="50"/>
        <w:ind w:firstLine="500" w:firstLineChars="200"/>
        <w:rPr>
          <w:rFonts w:ascii="宋体" w:hAnsi="宋体"/>
        </w:rPr>
      </w:pPr>
      <w:r>
        <w:rPr>
          <w:rFonts w:ascii="宋体" w:hAnsi="宋体"/>
        </w:rPr>
        <w:t>缓存≥8MB</w:t>
      </w:r>
    </w:p>
    <w:p>
      <w:pPr>
        <w:adjustRightInd w:val="0"/>
        <w:snapToGrid w:val="0"/>
        <w:spacing w:before="203" w:beforeLines="50" w:after="203" w:afterLines="50"/>
        <w:ind w:firstLine="500" w:firstLineChars="200"/>
        <w:rPr>
          <w:rFonts w:ascii="宋体" w:hAnsi="宋体"/>
        </w:rPr>
      </w:pPr>
      <w:r>
        <w:rPr>
          <w:rFonts w:ascii="宋体" w:hAnsi="宋体"/>
        </w:rPr>
        <w:t>带以太网接口： RJ45口，10/100Mbps</w:t>
      </w:r>
    </w:p>
    <w:p>
      <w:pPr>
        <w:adjustRightInd w:val="0"/>
        <w:snapToGrid w:val="0"/>
        <w:spacing w:before="203" w:beforeLines="50" w:after="203" w:afterLines="50"/>
        <w:ind w:firstLine="500" w:firstLineChars="200"/>
        <w:rPr>
          <w:rFonts w:ascii="宋体" w:hAnsi="宋体"/>
        </w:rPr>
      </w:pPr>
      <w:r>
        <w:rPr>
          <w:rFonts w:ascii="宋体" w:hAnsi="宋体"/>
        </w:rPr>
        <w:t>页面A3</w:t>
      </w:r>
    </w:p>
    <w:p>
      <w:pPr>
        <w:adjustRightInd w:val="0"/>
        <w:snapToGrid w:val="0"/>
        <w:spacing w:before="203" w:beforeLines="50" w:after="203" w:afterLines="50"/>
        <w:ind w:firstLine="500" w:firstLineChars="200"/>
        <w:rPr>
          <w:rFonts w:ascii="宋体" w:hAnsi="宋体"/>
        </w:rPr>
      </w:pPr>
      <w:r>
        <w:rPr>
          <w:rFonts w:ascii="宋体" w:hAnsi="宋体"/>
        </w:rPr>
        <w:t>电源：220VAC+10%，50Hz</w:t>
      </w:r>
    </w:p>
    <w:p>
      <w:pPr>
        <w:adjustRightInd w:val="0"/>
        <w:snapToGrid w:val="0"/>
        <w:spacing w:before="203" w:beforeLines="50" w:after="203" w:afterLines="50"/>
        <w:ind w:firstLine="500" w:firstLineChars="200"/>
        <w:rPr>
          <w:rFonts w:ascii="宋体" w:hAnsi="宋体"/>
        </w:rPr>
      </w:pPr>
      <w:bookmarkStart w:id="7192" w:name="_Toc301178798"/>
      <w:bookmarkStart w:id="7193" w:name="_Toc301171371"/>
      <w:r>
        <w:rPr>
          <w:rFonts w:ascii="宋体" w:hAnsi="宋体"/>
        </w:rPr>
        <w:t>5、设备机柜</w:t>
      </w:r>
      <w:bookmarkEnd w:id="7192"/>
      <w:bookmarkEnd w:id="7193"/>
    </w:p>
    <w:p>
      <w:pPr>
        <w:adjustRightInd w:val="0"/>
        <w:snapToGrid w:val="0"/>
        <w:spacing w:before="203" w:beforeLines="50" w:after="203" w:afterLines="50"/>
        <w:ind w:firstLine="500" w:firstLineChars="200"/>
        <w:rPr>
          <w:rFonts w:ascii="宋体" w:hAnsi="宋体"/>
        </w:rPr>
      </w:pPr>
      <w:r>
        <w:rPr>
          <w:rFonts w:ascii="宋体" w:hAnsi="宋体"/>
        </w:rPr>
        <w:t xml:space="preserve">  控制柜及户外柜柜体均配备冷却风扇及过滤网。</w:t>
      </w:r>
    </w:p>
    <w:p>
      <w:pPr>
        <w:adjustRightInd w:val="0"/>
        <w:snapToGrid w:val="0"/>
        <w:spacing w:before="203" w:beforeLines="50" w:after="203" w:afterLines="50"/>
        <w:ind w:firstLine="500" w:firstLineChars="200"/>
        <w:rPr>
          <w:rFonts w:ascii="宋体" w:hAnsi="宋体"/>
        </w:rPr>
      </w:pPr>
      <w:r>
        <w:rPr>
          <w:rFonts w:ascii="宋体" w:hAnsi="宋体"/>
        </w:rPr>
        <w:t>结构：所有箱柜必须为防虫、防尘、防潮的构造，PLC箱柜必须采用强迫通风方式，其它在保障内部设备正常工作的情况下，可以采用自然通风方式。</w:t>
      </w:r>
    </w:p>
    <w:p>
      <w:pPr>
        <w:adjustRightInd w:val="0"/>
        <w:snapToGrid w:val="0"/>
        <w:spacing w:before="203" w:beforeLines="50" w:after="203" w:afterLines="50"/>
        <w:ind w:firstLine="500" w:firstLineChars="200"/>
        <w:rPr>
          <w:rFonts w:ascii="宋体" w:hAnsi="宋体"/>
        </w:rPr>
      </w:pPr>
      <w:r>
        <w:rPr>
          <w:rFonts w:ascii="宋体" w:hAnsi="宋体"/>
        </w:rPr>
        <w:t>柜体：</w:t>
      </w:r>
    </w:p>
    <w:p>
      <w:pPr>
        <w:adjustRightInd w:val="0"/>
        <w:snapToGrid w:val="0"/>
        <w:spacing w:before="203" w:beforeLines="50" w:after="203" w:afterLines="50"/>
        <w:ind w:firstLine="500" w:firstLineChars="200"/>
        <w:rPr>
          <w:rFonts w:ascii="宋体" w:hAnsi="宋体"/>
        </w:rPr>
      </w:pPr>
      <w:r>
        <w:rPr>
          <w:rFonts w:ascii="宋体" w:hAnsi="宋体"/>
        </w:rPr>
        <w:t>材料：薄钢板。</w:t>
      </w:r>
    </w:p>
    <w:p>
      <w:pPr>
        <w:adjustRightInd w:val="0"/>
        <w:snapToGrid w:val="0"/>
        <w:spacing w:before="203" w:beforeLines="50" w:after="203" w:afterLines="50"/>
        <w:ind w:firstLine="500" w:firstLineChars="200"/>
        <w:rPr>
          <w:rFonts w:ascii="宋体" w:hAnsi="宋体"/>
        </w:rPr>
      </w:pPr>
      <w:r>
        <w:rPr>
          <w:rFonts w:ascii="宋体" w:hAnsi="宋体"/>
        </w:rPr>
        <w:t>箱体框架：九电缆夹钳轨：电缆输入时减轻电缆的张力。装入箱柜的深度是可调的</w:t>
      </w:r>
    </w:p>
    <w:p>
      <w:pPr>
        <w:adjustRightInd w:val="0"/>
        <w:snapToGrid w:val="0"/>
        <w:spacing w:before="203" w:beforeLines="50" w:after="203" w:afterLines="50"/>
        <w:ind w:firstLine="500" w:firstLineChars="200"/>
        <w:rPr>
          <w:rFonts w:ascii="宋体" w:hAnsi="宋体"/>
        </w:rPr>
      </w:pPr>
      <w:r>
        <w:rPr>
          <w:rFonts w:ascii="宋体" w:hAnsi="宋体"/>
        </w:rPr>
        <w:t>电缆夹钳轨用的角型电缆夹：薄钢板，镀锌，铬酸钝化</w:t>
      </w:r>
    </w:p>
    <w:p>
      <w:pPr>
        <w:adjustRightInd w:val="0"/>
        <w:snapToGrid w:val="0"/>
        <w:spacing w:before="203" w:beforeLines="50" w:after="203" w:afterLines="50"/>
        <w:ind w:firstLine="500" w:firstLineChars="200"/>
        <w:rPr>
          <w:rFonts w:ascii="宋体" w:hAnsi="宋体"/>
        </w:rPr>
      </w:pPr>
      <w:r>
        <w:rPr>
          <w:rFonts w:ascii="宋体" w:hAnsi="宋体"/>
        </w:rPr>
        <w:t>标准把手系列：符合DIN18254。</w:t>
      </w:r>
    </w:p>
    <w:p>
      <w:pPr>
        <w:adjustRightInd w:val="0"/>
        <w:snapToGrid w:val="0"/>
        <w:spacing w:before="203" w:beforeLines="50" w:after="203" w:afterLines="50"/>
        <w:ind w:firstLine="500" w:firstLineChars="200"/>
        <w:rPr>
          <w:rFonts w:ascii="宋体" w:hAnsi="宋体"/>
        </w:rPr>
      </w:pPr>
      <w:r>
        <w:rPr>
          <w:rFonts w:ascii="宋体" w:hAnsi="宋体"/>
        </w:rPr>
        <w:t>电缆软管和电缆软管夹子：电缆软管采用聚乙烯，电缆软管夹子采用聚酰胺。</w:t>
      </w:r>
    </w:p>
    <w:p>
      <w:pPr>
        <w:adjustRightInd w:val="0"/>
        <w:snapToGrid w:val="0"/>
        <w:spacing w:before="203" w:beforeLines="50" w:after="203" w:afterLines="50"/>
        <w:ind w:firstLine="500" w:firstLineChars="200"/>
        <w:rPr>
          <w:rFonts w:ascii="宋体" w:hAnsi="宋体"/>
        </w:rPr>
      </w:pPr>
      <w:r>
        <w:rPr>
          <w:rFonts w:ascii="宋体" w:hAnsi="宋体"/>
        </w:rPr>
        <w:t>磁盘盒：RAL7033</w:t>
      </w:r>
    </w:p>
    <w:p>
      <w:pPr>
        <w:adjustRightInd w:val="0"/>
        <w:snapToGrid w:val="0"/>
        <w:spacing w:before="203" w:beforeLines="50" w:after="203" w:afterLines="50"/>
        <w:ind w:firstLine="500" w:firstLineChars="200"/>
        <w:rPr>
          <w:rFonts w:ascii="宋体" w:hAnsi="宋体"/>
        </w:rPr>
      </w:pPr>
      <w:r>
        <w:rPr>
          <w:rFonts w:ascii="宋体" w:hAnsi="宋体"/>
        </w:rPr>
        <w:t>折叠式台面：薄钢板，RAL7032，带防滑垫。</w:t>
      </w:r>
    </w:p>
    <w:p>
      <w:pPr>
        <w:adjustRightInd w:val="0"/>
        <w:snapToGrid w:val="0"/>
        <w:spacing w:before="203" w:beforeLines="50" w:after="203" w:afterLines="50"/>
        <w:ind w:firstLine="500" w:firstLineChars="200"/>
        <w:rPr>
          <w:rFonts w:ascii="宋体" w:hAnsi="宋体"/>
        </w:rPr>
      </w:pPr>
      <w:r>
        <w:rPr>
          <w:rFonts w:ascii="宋体" w:hAnsi="宋体"/>
        </w:rPr>
        <w:t>PS薄钢板布线方案图框：类似RAL2000</w:t>
      </w:r>
    </w:p>
    <w:p>
      <w:pPr>
        <w:adjustRightInd w:val="0"/>
        <w:snapToGrid w:val="0"/>
        <w:spacing w:before="203" w:beforeLines="50" w:after="203" w:afterLines="50"/>
        <w:ind w:firstLine="500" w:firstLineChars="200"/>
        <w:rPr>
          <w:rFonts w:ascii="宋体" w:hAnsi="宋体"/>
        </w:rPr>
      </w:pPr>
      <w:r>
        <w:rPr>
          <w:rFonts w:ascii="宋体" w:hAnsi="宋体"/>
        </w:rPr>
        <w:t>冲孔型材23*73及代安装凸园的冲孔型材</w:t>
      </w:r>
    </w:p>
    <w:p>
      <w:pPr>
        <w:adjustRightInd w:val="0"/>
        <w:snapToGrid w:val="0"/>
        <w:spacing w:before="203" w:beforeLines="50" w:after="203" w:afterLines="50"/>
        <w:ind w:firstLine="500" w:firstLineChars="200"/>
        <w:rPr>
          <w:rFonts w:ascii="宋体" w:hAnsi="宋体"/>
        </w:rPr>
      </w:pPr>
      <w:r>
        <w:rPr>
          <w:rFonts w:ascii="宋体" w:hAnsi="宋体"/>
        </w:rPr>
        <w:t>控制箱照明系统之照明灯：IP20</w:t>
      </w:r>
    </w:p>
    <w:p>
      <w:pPr>
        <w:adjustRightInd w:val="0"/>
        <w:snapToGrid w:val="0"/>
        <w:spacing w:before="203" w:beforeLines="50" w:after="203" w:afterLines="50"/>
        <w:ind w:firstLine="500" w:firstLineChars="200"/>
        <w:rPr>
          <w:rFonts w:ascii="宋体" w:hAnsi="宋体"/>
        </w:rPr>
      </w:pPr>
      <w:r>
        <w:rPr>
          <w:rFonts w:ascii="宋体" w:hAnsi="宋体"/>
        </w:rPr>
        <w:t>考虑到部分场合的环境要求，应选用不锈钢壳体。</w:t>
      </w:r>
    </w:p>
    <w:p>
      <w:pPr>
        <w:adjustRightInd w:val="0"/>
        <w:snapToGrid w:val="0"/>
        <w:spacing w:before="203" w:beforeLines="50" w:after="203" w:afterLines="50"/>
        <w:ind w:firstLine="500" w:firstLineChars="200"/>
        <w:rPr>
          <w:rFonts w:ascii="宋体" w:hAnsi="宋体"/>
        </w:rPr>
      </w:pPr>
      <w:r>
        <w:rPr>
          <w:rFonts w:ascii="宋体" w:hAnsi="宋体"/>
        </w:rPr>
        <w:t>钢板厚度：至少1.5mm</w:t>
      </w:r>
    </w:p>
    <w:p>
      <w:pPr>
        <w:adjustRightInd w:val="0"/>
        <w:snapToGrid w:val="0"/>
        <w:spacing w:before="203" w:beforeLines="50" w:after="203" w:afterLines="50"/>
        <w:ind w:firstLine="500" w:firstLineChars="200"/>
        <w:rPr>
          <w:rFonts w:ascii="宋体" w:hAnsi="宋体"/>
        </w:rPr>
      </w:pPr>
      <w:r>
        <w:rPr>
          <w:rFonts w:ascii="宋体" w:hAnsi="宋体"/>
        </w:rPr>
        <w:t>防护等级：IP66</w:t>
      </w:r>
    </w:p>
    <w:p>
      <w:pPr>
        <w:adjustRightInd w:val="0"/>
        <w:snapToGrid w:val="0"/>
        <w:spacing w:before="203" w:beforeLines="50" w:after="203" w:afterLines="50"/>
        <w:ind w:firstLine="500" w:firstLineChars="200"/>
        <w:rPr>
          <w:rFonts w:ascii="宋体" w:hAnsi="宋体"/>
        </w:rPr>
      </w:pPr>
      <w:r>
        <w:rPr>
          <w:rFonts w:ascii="宋体" w:hAnsi="宋体"/>
        </w:rPr>
        <w:t>拥有UL/CSA/TUV认证</w:t>
      </w:r>
    </w:p>
    <w:p>
      <w:pPr>
        <w:adjustRightInd w:val="0"/>
        <w:snapToGrid w:val="0"/>
        <w:spacing w:before="203" w:beforeLines="50" w:after="203" w:afterLines="50"/>
        <w:ind w:firstLine="500" w:firstLineChars="200"/>
        <w:rPr>
          <w:rFonts w:ascii="宋体" w:hAnsi="宋体"/>
        </w:rPr>
      </w:pPr>
      <w:r>
        <w:rPr>
          <w:rFonts w:ascii="宋体" w:hAnsi="宋体"/>
        </w:rPr>
        <w:t>柜体空调及风扇</w:t>
      </w:r>
    </w:p>
    <w:p>
      <w:pPr>
        <w:adjustRightInd w:val="0"/>
        <w:snapToGrid w:val="0"/>
        <w:spacing w:before="203" w:beforeLines="50" w:after="203" w:afterLines="50"/>
        <w:ind w:firstLine="500" w:firstLineChars="200"/>
        <w:rPr>
          <w:rFonts w:ascii="宋体" w:hAnsi="宋体"/>
        </w:rPr>
      </w:pPr>
      <w:r>
        <w:rPr>
          <w:rFonts w:ascii="宋体" w:hAnsi="宋体"/>
        </w:rPr>
        <w:t>外带百叶窗加过滤垫，内置风机或空调。符合DIN标准。</w:t>
      </w:r>
    </w:p>
    <w:p>
      <w:pPr>
        <w:adjustRightInd w:val="0"/>
        <w:snapToGrid w:val="0"/>
        <w:spacing w:before="203" w:beforeLines="50" w:after="203" w:afterLines="50"/>
        <w:ind w:firstLine="500" w:firstLineChars="200"/>
        <w:rPr>
          <w:rFonts w:ascii="宋体" w:hAnsi="宋体"/>
        </w:rPr>
      </w:pPr>
      <w:r>
        <w:rPr>
          <w:rFonts w:ascii="宋体" w:hAnsi="宋体"/>
        </w:rPr>
        <w:t>标识：</w:t>
      </w:r>
    </w:p>
    <w:p>
      <w:pPr>
        <w:adjustRightInd w:val="0"/>
        <w:snapToGrid w:val="0"/>
        <w:spacing w:before="203" w:beforeLines="50" w:after="203" w:afterLines="50"/>
        <w:ind w:firstLine="500" w:firstLineChars="200"/>
        <w:rPr>
          <w:rFonts w:ascii="宋体" w:hAnsi="宋体"/>
        </w:rPr>
      </w:pPr>
      <w:r>
        <w:rPr>
          <w:rFonts w:ascii="宋体" w:hAnsi="宋体"/>
        </w:rPr>
        <w:t>所有独立的箱柜都有铭牌，标明生产厂家、设备名称和型号、主要参数、生产日期等必须的或关键的指数；</w:t>
      </w:r>
    </w:p>
    <w:p>
      <w:pPr>
        <w:adjustRightInd w:val="0"/>
        <w:snapToGrid w:val="0"/>
        <w:spacing w:before="203" w:beforeLines="50" w:after="203" w:afterLines="50"/>
        <w:ind w:firstLine="500" w:firstLineChars="200"/>
        <w:rPr>
          <w:rFonts w:ascii="宋体" w:hAnsi="宋体"/>
        </w:rPr>
      </w:pPr>
      <w:r>
        <w:rPr>
          <w:rFonts w:ascii="宋体" w:hAnsi="宋体"/>
        </w:rPr>
        <w:t>每个内部/面板元件都须有标记，并用文字或符号标明；</w:t>
      </w:r>
    </w:p>
    <w:p>
      <w:pPr>
        <w:adjustRightInd w:val="0"/>
        <w:snapToGrid w:val="0"/>
        <w:spacing w:before="203" w:beforeLines="50" w:after="203" w:afterLines="50"/>
        <w:ind w:firstLine="500" w:firstLineChars="200"/>
        <w:rPr>
          <w:rFonts w:ascii="宋体" w:hAnsi="宋体"/>
        </w:rPr>
      </w:pPr>
      <w:r>
        <w:rPr>
          <w:rFonts w:ascii="宋体" w:hAnsi="宋体"/>
        </w:rPr>
        <w:t>输入/输出端子排及每个端子都须有标记；</w:t>
      </w:r>
    </w:p>
    <w:p>
      <w:pPr>
        <w:adjustRightInd w:val="0"/>
        <w:snapToGrid w:val="0"/>
        <w:spacing w:before="203" w:beforeLines="50" w:after="203" w:afterLines="50"/>
        <w:ind w:firstLine="500" w:firstLineChars="200"/>
        <w:rPr>
          <w:rFonts w:ascii="宋体" w:hAnsi="宋体"/>
        </w:rPr>
      </w:pPr>
      <w:r>
        <w:rPr>
          <w:rFonts w:ascii="宋体" w:hAnsi="宋体"/>
        </w:rPr>
        <w:t>输入/输出电缆及每根电线都须有标记；</w:t>
      </w:r>
    </w:p>
    <w:p>
      <w:pPr>
        <w:adjustRightInd w:val="0"/>
        <w:snapToGrid w:val="0"/>
        <w:spacing w:before="203" w:beforeLines="50" w:after="203" w:afterLines="50"/>
        <w:ind w:firstLine="500" w:firstLineChars="200"/>
        <w:rPr>
          <w:rFonts w:ascii="宋体" w:hAnsi="宋体"/>
        </w:rPr>
      </w:pPr>
      <w:r>
        <w:rPr>
          <w:rFonts w:ascii="宋体" w:hAnsi="宋体"/>
        </w:rPr>
        <w:t>所使用的语言、文字、符号等必须规范，尽量以中文和相当的国标为主要规范。</w:t>
      </w:r>
    </w:p>
    <w:p>
      <w:pPr>
        <w:adjustRightInd w:val="0"/>
        <w:snapToGrid w:val="0"/>
        <w:spacing w:before="203" w:beforeLines="50" w:after="203" w:afterLines="50"/>
        <w:ind w:firstLine="500" w:firstLineChars="200"/>
        <w:rPr>
          <w:rFonts w:ascii="宋体" w:hAnsi="宋体"/>
        </w:rPr>
      </w:pPr>
      <w:r>
        <w:rPr>
          <w:rFonts w:ascii="宋体" w:hAnsi="宋体"/>
        </w:rPr>
        <w:t>柜内/面板设备</w:t>
      </w:r>
    </w:p>
    <w:p>
      <w:pPr>
        <w:adjustRightInd w:val="0"/>
        <w:snapToGrid w:val="0"/>
        <w:spacing w:before="203" w:beforeLines="50" w:after="203" w:afterLines="50"/>
        <w:ind w:firstLine="500" w:firstLineChars="200"/>
        <w:rPr>
          <w:rFonts w:ascii="宋体" w:hAnsi="宋体"/>
        </w:rPr>
      </w:pPr>
      <w:r>
        <w:rPr>
          <w:rFonts w:ascii="宋体" w:hAnsi="宋体"/>
        </w:rPr>
        <w:t>设备必须规范安装牢固，结构布局合理；</w:t>
      </w:r>
    </w:p>
    <w:p>
      <w:pPr>
        <w:adjustRightInd w:val="0"/>
        <w:snapToGrid w:val="0"/>
        <w:spacing w:before="203" w:beforeLines="50" w:after="203" w:afterLines="50"/>
        <w:ind w:firstLine="500" w:firstLineChars="200"/>
        <w:rPr>
          <w:rFonts w:ascii="宋体" w:hAnsi="宋体"/>
        </w:rPr>
      </w:pPr>
      <w:r>
        <w:rPr>
          <w:rFonts w:ascii="宋体" w:hAnsi="宋体"/>
        </w:rPr>
        <w:t>安装设备与图纸一致；</w:t>
      </w:r>
    </w:p>
    <w:p>
      <w:pPr>
        <w:adjustRightInd w:val="0"/>
        <w:snapToGrid w:val="0"/>
        <w:spacing w:before="203" w:beforeLines="50" w:after="203" w:afterLines="50"/>
        <w:ind w:firstLine="500" w:firstLineChars="200"/>
        <w:rPr>
          <w:rFonts w:ascii="宋体" w:hAnsi="宋体"/>
        </w:rPr>
      </w:pPr>
      <w:r>
        <w:rPr>
          <w:rFonts w:ascii="宋体" w:hAnsi="宋体"/>
        </w:rPr>
        <w:t>输入的电源应有熔丝、开关等隔离，做好接地/接零；</w:t>
      </w:r>
    </w:p>
    <w:p>
      <w:pPr>
        <w:adjustRightInd w:val="0"/>
        <w:snapToGrid w:val="0"/>
        <w:spacing w:before="203" w:beforeLines="50" w:after="203" w:afterLines="50"/>
        <w:ind w:firstLine="500" w:firstLineChars="200"/>
        <w:rPr>
          <w:rFonts w:ascii="宋体" w:hAnsi="宋体"/>
        </w:rPr>
      </w:pPr>
      <w:r>
        <w:rPr>
          <w:rFonts w:ascii="宋体" w:hAnsi="宋体"/>
        </w:rPr>
        <w:t>固定设备应不影响门等活动设备的运用；</w:t>
      </w:r>
    </w:p>
    <w:p>
      <w:pPr>
        <w:adjustRightInd w:val="0"/>
        <w:snapToGrid w:val="0"/>
        <w:spacing w:before="203" w:beforeLines="50" w:after="203" w:afterLines="50"/>
        <w:ind w:firstLine="500" w:firstLineChars="200"/>
        <w:rPr>
          <w:rFonts w:ascii="宋体" w:hAnsi="宋体"/>
        </w:rPr>
      </w:pPr>
      <w:r>
        <w:rPr>
          <w:rFonts w:ascii="宋体" w:hAnsi="宋体"/>
        </w:rPr>
        <w:t>敷设的电线电缆</w:t>
      </w:r>
    </w:p>
    <w:p>
      <w:pPr>
        <w:adjustRightInd w:val="0"/>
        <w:snapToGrid w:val="0"/>
        <w:spacing w:before="203" w:beforeLines="50" w:after="203" w:afterLines="50"/>
        <w:ind w:firstLine="500" w:firstLineChars="200"/>
        <w:rPr>
          <w:rFonts w:ascii="宋体" w:hAnsi="宋体"/>
        </w:rPr>
      </w:pPr>
      <w:r>
        <w:rPr>
          <w:rFonts w:ascii="宋体" w:hAnsi="宋体"/>
        </w:rPr>
        <w:t>敷用的电线电缆采用符合国标的电线电缆，其性能、参数、功能等符合相关设备使用、图纸规定为准。</w:t>
      </w:r>
    </w:p>
    <w:p>
      <w:pPr>
        <w:adjustRightInd w:val="0"/>
        <w:snapToGrid w:val="0"/>
        <w:spacing w:before="203" w:beforeLines="50" w:after="203" w:afterLines="50"/>
        <w:ind w:firstLine="500" w:firstLineChars="200"/>
        <w:rPr>
          <w:rFonts w:ascii="宋体" w:hAnsi="宋体"/>
        </w:rPr>
      </w:pPr>
      <w:r>
        <w:rPr>
          <w:rFonts w:ascii="宋体" w:hAnsi="宋体"/>
        </w:rPr>
        <w:t>褶型材。</w:t>
      </w:r>
    </w:p>
    <w:p>
      <w:pPr>
        <w:adjustRightInd w:val="0"/>
        <w:snapToGrid w:val="0"/>
        <w:spacing w:before="203" w:beforeLines="50" w:after="203" w:afterLines="50"/>
        <w:ind w:firstLine="500" w:firstLineChars="200"/>
        <w:rPr>
          <w:rFonts w:ascii="宋体" w:hAnsi="宋体"/>
        </w:rPr>
      </w:pPr>
      <w:r>
        <w:rPr>
          <w:rFonts w:ascii="宋体" w:hAnsi="宋体"/>
        </w:rPr>
        <w:t>门：2.0mm</w:t>
      </w:r>
    </w:p>
    <w:p>
      <w:pPr>
        <w:adjustRightInd w:val="0"/>
        <w:snapToGrid w:val="0"/>
        <w:spacing w:before="203" w:beforeLines="50" w:after="203" w:afterLines="50"/>
        <w:ind w:firstLine="500" w:firstLineChars="200"/>
        <w:rPr>
          <w:rFonts w:ascii="宋体" w:hAnsi="宋体"/>
        </w:rPr>
      </w:pPr>
      <w:r>
        <w:rPr>
          <w:rFonts w:ascii="宋体" w:hAnsi="宋体"/>
        </w:rPr>
        <w:t>后壁板：1.5mm</w:t>
      </w:r>
    </w:p>
    <w:p>
      <w:pPr>
        <w:adjustRightInd w:val="0"/>
        <w:snapToGrid w:val="0"/>
        <w:spacing w:before="203" w:beforeLines="50" w:after="203" w:afterLines="50"/>
        <w:ind w:firstLine="500" w:firstLineChars="200"/>
        <w:rPr>
          <w:rFonts w:ascii="宋体" w:hAnsi="宋体"/>
        </w:rPr>
      </w:pPr>
      <w:r>
        <w:rPr>
          <w:rFonts w:ascii="宋体" w:hAnsi="宋体"/>
        </w:rPr>
        <w:t>安装板：3.0mm</w:t>
      </w:r>
    </w:p>
    <w:p>
      <w:pPr>
        <w:adjustRightInd w:val="0"/>
        <w:snapToGrid w:val="0"/>
        <w:spacing w:before="203" w:beforeLines="50" w:after="203" w:afterLines="50"/>
        <w:ind w:firstLine="500" w:firstLineChars="200"/>
        <w:rPr>
          <w:rFonts w:ascii="宋体" w:hAnsi="宋体"/>
        </w:rPr>
      </w:pPr>
      <w:r>
        <w:rPr>
          <w:rFonts w:ascii="宋体" w:hAnsi="宋体"/>
        </w:rPr>
        <w:t>表面处理：粉末涂层，RAL7032织纹状饰面。</w:t>
      </w:r>
    </w:p>
    <w:p>
      <w:pPr>
        <w:adjustRightInd w:val="0"/>
        <w:snapToGrid w:val="0"/>
        <w:spacing w:before="203" w:beforeLines="50" w:after="203" w:afterLines="50"/>
        <w:ind w:firstLine="500" w:firstLineChars="200"/>
        <w:rPr>
          <w:rFonts w:ascii="宋体" w:hAnsi="宋体"/>
        </w:rPr>
      </w:pPr>
      <w:r>
        <w:rPr>
          <w:rFonts w:ascii="宋体" w:hAnsi="宋体"/>
        </w:rPr>
        <w:t>防护类别：按EN60529/10.91标准达到IP55级，拥有UL和TUV认证。</w:t>
      </w:r>
    </w:p>
    <w:p>
      <w:pPr>
        <w:adjustRightInd w:val="0"/>
        <w:snapToGrid w:val="0"/>
        <w:spacing w:before="203" w:beforeLines="50" w:after="203" w:afterLines="50"/>
        <w:rPr>
          <w:rFonts w:ascii="宋体" w:hAnsi="宋体"/>
          <w:b/>
        </w:rPr>
      </w:pPr>
      <w:r>
        <w:rPr>
          <w:rFonts w:ascii="宋体" w:hAnsi="宋体"/>
          <w:b/>
        </w:rPr>
        <w:t>附件品种齐全，安装灵活方便，符合下列国际标准：</w:t>
      </w:r>
    </w:p>
    <w:p>
      <w:pPr>
        <w:adjustRightInd w:val="0"/>
        <w:snapToGrid w:val="0"/>
        <w:spacing w:before="203" w:beforeLines="50" w:after="203" w:afterLines="50"/>
        <w:ind w:firstLine="500" w:firstLineChars="200"/>
        <w:rPr>
          <w:rFonts w:ascii="宋体" w:hAnsi="宋体"/>
        </w:rPr>
      </w:pPr>
      <w:r>
        <w:rPr>
          <w:rFonts w:ascii="宋体" w:hAnsi="宋体"/>
        </w:rPr>
        <w:t>底座：材料为薄钢板；颜色为RAL7022</w:t>
      </w:r>
    </w:p>
    <w:p>
      <w:pPr>
        <w:adjustRightInd w:val="0"/>
        <w:snapToGrid w:val="0"/>
        <w:spacing w:before="203" w:beforeLines="50" w:after="203" w:afterLines="50"/>
        <w:ind w:firstLine="500" w:firstLineChars="200"/>
        <w:rPr>
          <w:rFonts w:ascii="宋体" w:hAnsi="宋体"/>
        </w:rPr>
      </w:pPr>
      <w:r>
        <w:rPr>
          <w:rFonts w:ascii="宋体" w:hAnsi="宋体"/>
        </w:rPr>
        <w:t>电缆引入板：薄钢板，锌板</w:t>
      </w:r>
    </w:p>
    <w:p>
      <w:pPr>
        <w:adjustRightInd w:val="0"/>
        <w:snapToGrid w:val="0"/>
        <w:spacing w:before="203" w:beforeLines="50" w:after="203" w:afterLines="50"/>
        <w:ind w:firstLine="500" w:firstLineChars="200"/>
        <w:rPr>
          <w:rFonts w:ascii="宋体" w:hAnsi="宋体"/>
        </w:rPr>
      </w:pPr>
      <w:r>
        <w:rPr>
          <w:rFonts w:ascii="宋体" w:hAnsi="宋体"/>
        </w:rPr>
        <w:t>电缆引入套管：IP55电缆夹钳轨：电缆输入时减轻电缆的张力。装入箱柜的深度是可调的</w:t>
      </w:r>
    </w:p>
    <w:p>
      <w:pPr>
        <w:adjustRightInd w:val="0"/>
        <w:snapToGrid w:val="0"/>
        <w:spacing w:before="203" w:beforeLines="50" w:after="203" w:afterLines="50"/>
        <w:ind w:firstLine="500" w:firstLineChars="200"/>
        <w:rPr>
          <w:rFonts w:ascii="宋体" w:hAnsi="宋体"/>
        </w:rPr>
      </w:pPr>
      <w:r>
        <w:rPr>
          <w:rFonts w:ascii="宋体" w:hAnsi="宋体"/>
        </w:rPr>
        <w:t>电缆夹钳轨用的角型电缆夹：薄钢板，镀锌，铬酸钝化</w:t>
      </w:r>
    </w:p>
    <w:p>
      <w:pPr>
        <w:adjustRightInd w:val="0"/>
        <w:snapToGrid w:val="0"/>
        <w:spacing w:before="203" w:beforeLines="50" w:after="203" w:afterLines="50"/>
        <w:ind w:firstLine="500" w:firstLineChars="200"/>
        <w:rPr>
          <w:rFonts w:ascii="宋体" w:hAnsi="宋体"/>
        </w:rPr>
      </w:pPr>
      <w:r>
        <w:rPr>
          <w:rFonts w:ascii="宋体" w:hAnsi="宋体"/>
        </w:rPr>
        <w:t>标准把手系列：符合DIN18254。</w:t>
      </w:r>
    </w:p>
    <w:p>
      <w:pPr>
        <w:adjustRightInd w:val="0"/>
        <w:snapToGrid w:val="0"/>
        <w:spacing w:before="203" w:beforeLines="50" w:after="203" w:afterLines="50"/>
        <w:ind w:firstLine="500" w:firstLineChars="200"/>
        <w:rPr>
          <w:rFonts w:ascii="宋体" w:hAnsi="宋体"/>
        </w:rPr>
      </w:pPr>
      <w:r>
        <w:rPr>
          <w:rFonts w:ascii="宋体" w:hAnsi="宋体"/>
        </w:rPr>
        <w:t>电缆软管和电缆软管夹子：电缆软管采用聚乙烯，电缆软管夹子采用聚酰胺。</w:t>
      </w:r>
    </w:p>
    <w:p>
      <w:pPr>
        <w:adjustRightInd w:val="0"/>
        <w:snapToGrid w:val="0"/>
        <w:spacing w:before="203" w:beforeLines="50" w:after="203" w:afterLines="50"/>
        <w:ind w:firstLine="500" w:firstLineChars="200"/>
        <w:rPr>
          <w:rFonts w:ascii="宋体" w:hAnsi="宋体"/>
        </w:rPr>
      </w:pPr>
      <w:r>
        <w:rPr>
          <w:rFonts w:ascii="宋体" w:hAnsi="宋体"/>
        </w:rPr>
        <w:t>磁盘盒：RAL7033</w:t>
      </w:r>
    </w:p>
    <w:p>
      <w:pPr>
        <w:adjustRightInd w:val="0"/>
        <w:snapToGrid w:val="0"/>
        <w:spacing w:before="203" w:beforeLines="50" w:after="203" w:afterLines="50"/>
        <w:ind w:firstLine="500" w:firstLineChars="200"/>
        <w:rPr>
          <w:rFonts w:ascii="宋体" w:hAnsi="宋体"/>
        </w:rPr>
      </w:pPr>
      <w:r>
        <w:rPr>
          <w:rFonts w:ascii="宋体" w:hAnsi="宋体"/>
        </w:rPr>
        <w:t>折叠式台面：薄钢板，RAL7032，带防滑垫。</w:t>
      </w:r>
    </w:p>
    <w:p>
      <w:pPr>
        <w:adjustRightInd w:val="0"/>
        <w:snapToGrid w:val="0"/>
        <w:spacing w:before="203" w:beforeLines="50" w:after="203" w:afterLines="50"/>
        <w:ind w:firstLine="500" w:firstLineChars="200"/>
        <w:rPr>
          <w:rFonts w:ascii="宋体" w:hAnsi="宋体"/>
        </w:rPr>
      </w:pPr>
      <w:r>
        <w:rPr>
          <w:rFonts w:ascii="宋体" w:hAnsi="宋体"/>
        </w:rPr>
        <w:t>PS薄钢板布线方案图框：类似RAL2000</w:t>
      </w:r>
    </w:p>
    <w:p>
      <w:pPr>
        <w:adjustRightInd w:val="0"/>
        <w:snapToGrid w:val="0"/>
        <w:spacing w:before="203" w:beforeLines="50" w:after="203" w:afterLines="50"/>
        <w:ind w:firstLine="500" w:firstLineChars="200"/>
        <w:rPr>
          <w:rFonts w:ascii="宋体" w:hAnsi="宋体"/>
        </w:rPr>
      </w:pPr>
      <w:r>
        <w:rPr>
          <w:rFonts w:ascii="宋体" w:hAnsi="宋体"/>
        </w:rPr>
        <w:t>冲孔型材23*73及代安装凸园的冲孔型材</w:t>
      </w:r>
    </w:p>
    <w:p>
      <w:pPr>
        <w:adjustRightInd w:val="0"/>
        <w:snapToGrid w:val="0"/>
        <w:spacing w:before="203" w:beforeLines="50" w:after="203" w:afterLines="50"/>
        <w:ind w:firstLine="500" w:firstLineChars="200"/>
        <w:rPr>
          <w:rFonts w:ascii="宋体" w:hAnsi="宋体"/>
        </w:rPr>
      </w:pPr>
      <w:r>
        <w:rPr>
          <w:rFonts w:ascii="宋体" w:hAnsi="宋体"/>
        </w:rPr>
        <w:t>控制箱照明系统之照明灯：IP20</w:t>
      </w:r>
    </w:p>
    <w:p>
      <w:pPr>
        <w:adjustRightInd w:val="0"/>
        <w:snapToGrid w:val="0"/>
        <w:spacing w:before="203" w:beforeLines="50" w:after="203" w:afterLines="50"/>
        <w:ind w:firstLine="500" w:firstLineChars="200"/>
        <w:rPr>
          <w:rFonts w:ascii="宋体" w:hAnsi="宋体"/>
        </w:rPr>
      </w:pPr>
      <w:r>
        <w:rPr>
          <w:rFonts w:ascii="宋体" w:hAnsi="宋体"/>
        </w:rPr>
        <w:t>考虑到部分场合的环境要求，应选用不锈钢壳体。</w:t>
      </w:r>
    </w:p>
    <w:p>
      <w:pPr>
        <w:adjustRightInd w:val="0"/>
        <w:snapToGrid w:val="0"/>
        <w:spacing w:before="203" w:beforeLines="50" w:after="203" w:afterLines="50"/>
        <w:ind w:firstLine="500" w:firstLineChars="200"/>
        <w:rPr>
          <w:rFonts w:ascii="宋体" w:hAnsi="宋体"/>
        </w:rPr>
      </w:pPr>
      <w:r>
        <w:rPr>
          <w:rFonts w:ascii="宋体" w:hAnsi="宋体"/>
        </w:rPr>
        <w:t>钢板厚度：至少1.5mm</w:t>
      </w:r>
    </w:p>
    <w:p>
      <w:pPr>
        <w:adjustRightInd w:val="0"/>
        <w:snapToGrid w:val="0"/>
        <w:spacing w:before="203" w:beforeLines="50" w:after="203" w:afterLines="50"/>
        <w:ind w:firstLine="500" w:firstLineChars="200"/>
        <w:rPr>
          <w:rFonts w:ascii="宋体" w:hAnsi="宋体"/>
        </w:rPr>
      </w:pPr>
      <w:r>
        <w:rPr>
          <w:rFonts w:ascii="宋体" w:hAnsi="宋体"/>
        </w:rPr>
        <w:t>防护等级：IP66</w:t>
      </w:r>
    </w:p>
    <w:p>
      <w:pPr>
        <w:adjustRightInd w:val="0"/>
        <w:snapToGrid w:val="0"/>
        <w:spacing w:before="203" w:beforeLines="50" w:after="203" w:afterLines="50"/>
        <w:ind w:firstLine="500" w:firstLineChars="200"/>
        <w:rPr>
          <w:rFonts w:ascii="宋体" w:hAnsi="宋体"/>
        </w:rPr>
      </w:pPr>
      <w:r>
        <w:rPr>
          <w:rFonts w:ascii="宋体" w:hAnsi="宋体"/>
        </w:rPr>
        <w:t>拥有UL/CSA/TUV认证</w:t>
      </w:r>
    </w:p>
    <w:p>
      <w:pPr>
        <w:adjustRightInd w:val="0"/>
        <w:snapToGrid w:val="0"/>
        <w:spacing w:before="203" w:beforeLines="50" w:after="203" w:afterLines="50"/>
        <w:ind w:firstLine="500" w:firstLineChars="200"/>
        <w:rPr>
          <w:rFonts w:ascii="宋体" w:hAnsi="宋体"/>
        </w:rPr>
      </w:pPr>
      <w:r>
        <w:rPr>
          <w:rFonts w:ascii="宋体" w:hAnsi="宋体"/>
        </w:rPr>
        <w:t>柜体空调及风扇</w:t>
      </w:r>
    </w:p>
    <w:p>
      <w:pPr>
        <w:adjustRightInd w:val="0"/>
        <w:snapToGrid w:val="0"/>
        <w:spacing w:before="203" w:beforeLines="50" w:after="203" w:afterLines="50"/>
        <w:ind w:firstLine="500" w:firstLineChars="200"/>
        <w:rPr>
          <w:rFonts w:ascii="宋体" w:hAnsi="宋体"/>
        </w:rPr>
      </w:pPr>
      <w:r>
        <w:rPr>
          <w:rFonts w:ascii="宋体" w:hAnsi="宋体"/>
        </w:rPr>
        <w:t>外带百叶窗加过滤垫，内置风机或空调。符合DIN标准。</w:t>
      </w:r>
    </w:p>
    <w:p>
      <w:pPr>
        <w:adjustRightInd w:val="0"/>
        <w:snapToGrid w:val="0"/>
        <w:spacing w:before="203" w:beforeLines="50" w:after="203" w:afterLines="50"/>
        <w:ind w:firstLine="500" w:firstLineChars="200"/>
        <w:rPr>
          <w:rFonts w:ascii="宋体" w:hAnsi="宋体"/>
        </w:rPr>
      </w:pPr>
      <w:r>
        <w:rPr>
          <w:rFonts w:ascii="宋体" w:hAnsi="宋体"/>
        </w:rPr>
        <w:t>标识：</w:t>
      </w:r>
    </w:p>
    <w:p>
      <w:pPr>
        <w:adjustRightInd w:val="0"/>
        <w:snapToGrid w:val="0"/>
        <w:spacing w:before="203" w:beforeLines="50" w:after="203" w:afterLines="50"/>
        <w:ind w:firstLine="500" w:firstLineChars="200"/>
        <w:rPr>
          <w:rFonts w:ascii="宋体" w:hAnsi="宋体"/>
        </w:rPr>
      </w:pPr>
      <w:r>
        <w:rPr>
          <w:rFonts w:ascii="宋体" w:hAnsi="宋体"/>
        </w:rPr>
        <w:t>所有独立的箱柜都有铭牌，标明生产厂家、设备名称和型号、主要参数、生产日期等必须的或关键的指数；</w:t>
      </w:r>
    </w:p>
    <w:p>
      <w:pPr>
        <w:adjustRightInd w:val="0"/>
        <w:snapToGrid w:val="0"/>
        <w:spacing w:before="203" w:beforeLines="50" w:after="203" w:afterLines="50"/>
        <w:ind w:firstLine="500" w:firstLineChars="200"/>
        <w:rPr>
          <w:rFonts w:ascii="宋体" w:hAnsi="宋体"/>
        </w:rPr>
      </w:pPr>
      <w:r>
        <w:rPr>
          <w:rFonts w:ascii="宋体" w:hAnsi="宋体"/>
        </w:rPr>
        <w:t>每个内部/面板元件都须有标记，并用文字或符号标明；</w:t>
      </w:r>
    </w:p>
    <w:p>
      <w:pPr>
        <w:adjustRightInd w:val="0"/>
        <w:snapToGrid w:val="0"/>
        <w:spacing w:before="203" w:beforeLines="50" w:after="203" w:afterLines="50"/>
        <w:ind w:firstLine="500" w:firstLineChars="200"/>
        <w:rPr>
          <w:rFonts w:ascii="宋体" w:hAnsi="宋体"/>
        </w:rPr>
      </w:pPr>
      <w:r>
        <w:rPr>
          <w:rFonts w:ascii="宋体" w:hAnsi="宋体"/>
        </w:rPr>
        <w:t>输入/输出端子排及每个端子都须有标记；</w:t>
      </w:r>
    </w:p>
    <w:p>
      <w:pPr>
        <w:adjustRightInd w:val="0"/>
        <w:snapToGrid w:val="0"/>
        <w:spacing w:before="203" w:beforeLines="50" w:after="203" w:afterLines="50"/>
        <w:ind w:firstLine="500" w:firstLineChars="200"/>
        <w:rPr>
          <w:rFonts w:ascii="宋体" w:hAnsi="宋体"/>
        </w:rPr>
      </w:pPr>
      <w:r>
        <w:rPr>
          <w:rFonts w:ascii="宋体" w:hAnsi="宋体"/>
        </w:rPr>
        <w:t>输入/输出电缆及每根电线都须有标记；</w:t>
      </w:r>
    </w:p>
    <w:p>
      <w:pPr>
        <w:adjustRightInd w:val="0"/>
        <w:snapToGrid w:val="0"/>
        <w:spacing w:before="203" w:beforeLines="50" w:after="203" w:afterLines="50"/>
        <w:ind w:firstLine="500" w:firstLineChars="200"/>
        <w:rPr>
          <w:rFonts w:ascii="宋体" w:hAnsi="宋体"/>
        </w:rPr>
      </w:pPr>
      <w:r>
        <w:rPr>
          <w:rFonts w:ascii="宋体" w:hAnsi="宋体"/>
        </w:rPr>
        <w:t>所使用的语言、文字、符号等必须规范，尽量以中文和相当的国标为主要规范。</w:t>
      </w:r>
    </w:p>
    <w:p>
      <w:pPr>
        <w:adjustRightInd w:val="0"/>
        <w:snapToGrid w:val="0"/>
        <w:spacing w:before="203" w:beforeLines="50" w:after="203" w:afterLines="50"/>
        <w:ind w:firstLine="500" w:firstLineChars="200"/>
        <w:rPr>
          <w:rFonts w:ascii="宋体" w:hAnsi="宋体"/>
        </w:rPr>
      </w:pPr>
      <w:r>
        <w:rPr>
          <w:rFonts w:ascii="宋体" w:hAnsi="宋体"/>
        </w:rPr>
        <w:t>柜内/面板设备</w:t>
      </w:r>
    </w:p>
    <w:p>
      <w:pPr>
        <w:adjustRightInd w:val="0"/>
        <w:snapToGrid w:val="0"/>
        <w:spacing w:before="203" w:beforeLines="50" w:after="203" w:afterLines="50"/>
        <w:ind w:firstLine="500" w:firstLineChars="200"/>
        <w:rPr>
          <w:rFonts w:ascii="宋体" w:hAnsi="宋体"/>
        </w:rPr>
      </w:pPr>
      <w:r>
        <w:rPr>
          <w:rFonts w:ascii="宋体" w:hAnsi="宋体"/>
        </w:rPr>
        <w:t>设备必须规范安装牢固，结构布局合理；</w:t>
      </w:r>
    </w:p>
    <w:p>
      <w:pPr>
        <w:adjustRightInd w:val="0"/>
        <w:snapToGrid w:val="0"/>
        <w:spacing w:before="203" w:beforeLines="50" w:after="203" w:afterLines="50"/>
        <w:ind w:firstLine="500" w:firstLineChars="200"/>
        <w:rPr>
          <w:rFonts w:ascii="宋体" w:hAnsi="宋体"/>
        </w:rPr>
      </w:pPr>
      <w:r>
        <w:rPr>
          <w:rFonts w:ascii="宋体" w:hAnsi="宋体"/>
        </w:rPr>
        <w:t>安装设备与图纸一致；</w:t>
      </w:r>
    </w:p>
    <w:p>
      <w:pPr>
        <w:adjustRightInd w:val="0"/>
        <w:snapToGrid w:val="0"/>
        <w:spacing w:before="203" w:beforeLines="50" w:after="203" w:afterLines="50"/>
        <w:ind w:firstLine="500" w:firstLineChars="200"/>
        <w:rPr>
          <w:rFonts w:ascii="宋体" w:hAnsi="宋体"/>
        </w:rPr>
      </w:pPr>
      <w:r>
        <w:rPr>
          <w:rFonts w:ascii="宋体" w:hAnsi="宋体"/>
        </w:rPr>
        <w:t>输入的电源应有熔丝、开关等隔离，做好接地/接零；</w:t>
      </w:r>
    </w:p>
    <w:p>
      <w:pPr>
        <w:adjustRightInd w:val="0"/>
        <w:snapToGrid w:val="0"/>
        <w:spacing w:before="203" w:beforeLines="50" w:after="203" w:afterLines="50"/>
        <w:ind w:firstLine="500" w:firstLineChars="200"/>
        <w:rPr>
          <w:rFonts w:ascii="宋体" w:hAnsi="宋体"/>
        </w:rPr>
      </w:pPr>
      <w:r>
        <w:rPr>
          <w:rFonts w:ascii="宋体" w:hAnsi="宋体"/>
        </w:rPr>
        <w:t>固定设备应不影响门等活动设备的运用；</w:t>
      </w:r>
    </w:p>
    <w:p>
      <w:pPr>
        <w:adjustRightInd w:val="0"/>
        <w:snapToGrid w:val="0"/>
        <w:spacing w:before="203" w:beforeLines="50" w:after="203" w:afterLines="50"/>
        <w:ind w:firstLine="500" w:firstLineChars="200"/>
        <w:rPr>
          <w:rFonts w:ascii="宋体" w:hAnsi="宋体"/>
        </w:rPr>
      </w:pPr>
      <w:r>
        <w:rPr>
          <w:rFonts w:ascii="宋体" w:hAnsi="宋体"/>
        </w:rPr>
        <w:t>敷设的电线电缆</w:t>
      </w:r>
    </w:p>
    <w:p>
      <w:pPr>
        <w:adjustRightInd w:val="0"/>
        <w:snapToGrid w:val="0"/>
        <w:spacing w:before="203" w:beforeLines="50" w:after="203" w:afterLines="50"/>
        <w:ind w:firstLine="500" w:firstLineChars="200"/>
        <w:rPr>
          <w:rFonts w:ascii="宋体" w:hAnsi="宋体"/>
        </w:rPr>
      </w:pPr>
      <w:r>
        <w:rPr>
          <w:rFonts w:ascii="宋体" w:hAnsi="宋体"/>
        </w:rPr>
        <w:t>敷用的电线电缆采用符合国标的电线电缆，其性能、参数、功能等符合相关设备使用、图纸规定为准。</w:t>
      </w:r>
    </w:p>
    <w:p>
      <w:pPr>
        <w:adjustRightInd w:val="0"/>
        <w:snapToGrid w:val="0"/>
        <w:spacing w:before="203" w:beforeLines="50" w:after="203" w:afterLines="50"/>
        <w:ind w:firstLine="500" w:firstLineChars="200"/>
        <w:rPr>
          <w:rFonts w:ascii="宋体" w:hAnsi="宋体"/>
        </w:rPr>
      </w:pPr>
      <w:r>
        <w:rPr>
          <w:rFonts w:ascii="宋体" w:hAnsi="宋体"/>
        </w:rPr>
        <w:t>电源线、模拟信号线、数字开关量线尽量安放在不同的线束内；所有柜内外的接线应先通过柜体端子排，特殊设备可以直接与电线电缆相连。</w:t>
      </w:r>
    </w:p>
    <w:p>
      <w:pPr>
        <w:adjustRightInd w:val="0"/>
        <w:snapToGrid w:val="0"/>
        <w:spacing w:before="203" w:beforeLines="50" w:after="203" w:afterLines="50"/>
        <w:ind w:firstLine="500" w:firstLineChars="200"/>
        <w:rPr>
          <w:rFonts w:ascii="宋体" w:hAnsi="宋体"/>
        </w:rPr>
      </w:pPr>
      <w:r>
        <w:rPr>
          <w:rFonts w:ascii="宋体" w:hAnsi="宋体"/>
        </w:rPr>
        <w:t>柜箱内敷设线安装应有顺序整齐，配以线槽或夹头，依次与设备相连接。</w:t>
      </w:r>
    </w:p>
    <w:p>
      <w:pPr>
        <w:adjustRightInd w:val="0"/>
        <w:snapToGrid w:val="0"/>
        <w:spacing w:before="203" w:beforeLines="50" w:after="203" w:afterLines="50"/>
        <w:ind w:firstLine="500" w:firstLineChars="200"/>
        <w:rPr>
          <w:rFonts w:ascii="宋体" w:hAnsi="宋体"/>
        </w:rPr>
      </w:pPr>
      <w:bookmarkStart w:id="7194" w:name="_Toc106050569"/>
      <w:r>
        <w:rPr>
          <w:rFonts w:ascii="宋体" w:hAnsi="宋体"/>
        </w:rPr>
        <w:t>6、UPS电源系统</w:t>
      </w:r>
      <w:bookmarkEnd w:id="7194"/>
    </w:p>
    <w:p>
      <w:pPr>
        <w:adjustRightInd w:val="0"/>
        <w:snapToGrid w:val="0"/>
        <w:spacing w:before="203" w:beforeLines="50" w:after="203" w:afterLines="50"/>
        <w:ind w:firstLine="500" w:firstLineChars="200"/>
        <w:rPr>
          <w:rFonts w:ascii="宋体" w:hAnsi="宋体"/>
        </w:rPr>
      </w:pPr>
      <w:r>
        <w:rPr>
          <w:rFonts w:ascii="宋体" w:hAnsi="宋体"/>
        </w:rPr>
        <w:t>选用品牌需通过CE认证、UL标准认证和ISO9001的认证。并提供厂家证明。</w:t>
      </w:r>
    </w:p>
    <w:p>
      <w:pPr>
        <w:adjustRightInd w:val="0"/>
        <w:snapToGrid w:val="0"/>
        <w:spacing w:before="203" w:beforeLines="50" w:after="203" w:afterLines="50"/>
        <w:ind w:firstLine="500" w:firstLineChars="200"/>
        <w:rPr>
          <w:rFonts w:ascii="宋体" w:hAnsi="宋体"/>
        </w:rPr>
      </w:pPr>
      <w:r>
        <w:rPr>
          <w:rFonts w:ascii="宋体" w:hAnsi="宋体"/>
        </w:rPr>
        <w:t>蓄电池要求性能指标不低于《固定型阀控密封式铅酸蓄电池》GB/T19638.2-2005的要 求。厂家同时承担全部的售前售后服务责任和工作。</w:t>
      </w:r>
    </w:p>
    <w:p>
      <w:pPr>
        <w:adjustRightInd w:val="0"/>
        <w:snapToGrid w:val="0"/>
        <w:spacing w:before="203" w:beforeLines="50" w:after="203" w:afterLines="50"/>
        <w:ind w:firstLine="500" w:firstLineChars="200"/>
        <w:rPr>
          <w:rFonts w:ascii="宋体" w:hAnsi="宋体"/>
        </w:rPr>
      </w:pPr>
      <w:r>
        <w:rPr>
          <w:rFonts w:ascii="宋体" w:hAnsi="宋体"/>
        </w:rPr>
        <w:t>双变换纯在线式工频UPS不间断电源，内含输入隔离变压器和输出隔离变压器。整流逆变均采用全数字化控制，可靠性高。具有LBS母线同步控制器功能，以便实现UPS对负载的双母线电源供电。</w:t>
      </w:r>
    </w:p>
    <w:p>
      <w:pPr>
        <w:adjustRightInd w:val="0"/>
        <w:snapToGrid w:val="0"/>
        <w:spacing w:before="203" w:beforeLines="50" w:after="203" w:afterLines="50"/>
        <w:ind w:firstLine="500" w:firstLineChars="200"/>
        <w:rPr>
          <w:rFonts w:ascii="宋体" w:hAnsi="宋体"/>
        </w:rPr>
      </w:pPr>
      <w:r>
        <w:rPr>
          <w:rFonts w:ascii="宋体" w:hAnsi="宋体"/>
        </w:rPr>
        <w:t>主机设置双电源ATS（四级）输入接线方式，同时UPS要求内置D级防雷器。</w:t>
      </w:r>
    </w:p>
    <w:p>
      <w:pPr>
        <w:adjustRightInd w:val="0"/>
        <w:snapToGrid w:val="0"/>
        <w:spacing w:before="203" w:beforeLines="50" w:after="203" w:afterLines="50"/>
        <w:ind w:firstLine="500" w:firstLineChars="200"/>
        <w:rPr>
          <w:rFonts w:ascii="宋体" w:hAnsi="宋体"/>
        </w:rPr>
      </w:pPr>
      <w:r>
        <w:rPr>
          <w:rFonts w:hint="eastAsia" w:ascii="宋体" w:hAnsi="宋体"/>
        </w:rPr>
        <w:t>单</w:t>
      </w:r>
      <w:r>
        <w:rPr>
          <w:rFonts w:ascii="宋体" w:hAnsi="宋体"/>
        </w:rPr>
        <w:t xml:space="preserve">相输入 / </w:t>
      </w:r>
      <w:r>
        <w:rPr>
          <w:rFonts w:hint="eastAsia" w:ascii="宋体" w:hAnsi="宋体"/>
        </w:rPr>
        <w:t>单</w:t>
      </w:r>
      <w:r>
        <w:rPr>
          <w:rFonts w:ascii="宋体" w:hAnsi="宋体"/>
        </w:rPr>
        <w:t>相输出，额定输入电压；285VAC—492VAC， TN-S制式；</w:t>
      </w:r>
    </w:p>
    <w:p>
      <w:pPr>
        <w:adjustRightInd w:val="0"/>
        <w:snapToGrid w:val="0"/>
        <w:spacing w:before="203" w:beforeLines="50" w:after="203" w:afterLines="50"/>
        <w:ind w:firstLine="500" w:firstLineChars="200"/>
        <w:rPr>
          <w:rFonts w:ascii="宋体" w:hAnsi="宋体"/>
        </w:rPr>
      </w:pPr>
      <w:r>
        <w:rPr>
          <w:rFonts w:ascii="宋体" w:hAnsi="宋体"/>
        </w:rPr>
        <w:t>输入功率因数＞0.98，输入谐波电流&lt;5%；</w:t>
      </w:r>
    </w:p>
    <w:p>
      <w:pPr>
        <w:adjustRightInd w:val="0"/>
        <w:snapToGrid w:val="0"/>
        <w:spacing w:before="203" w:beforeLines="50" w:after="203" w:afterLines="50"/>
        <w:ind w:firstLine="500" w:firstLineChars="200"/>
        <w:rPr>
          <w:rFonts w:ascii="宋体" w:hAnsi="宋体"/>
        </w:rPr>
      </w:pPr>
      <w:r>
        <w:rPr>
          <w:rFonts w:ascii="宋体" w:hAnsi="宋体"/>
        </w:rPr>
        <w:t>具有远程智能开关机功能，UPS须具备标准的SNMP通讯接口，并提供与通讯接口配套使用的通讯电缆、各种告警信号输出端子。该端口使UPS能够用TCP/IP直接与所有的以太网连接，利用网上任何一台计算机都可以通过网络管理UPS。 须提供监控软件和通讯协议，便于组网监控管理。该管理软件可以实地监控UPS的运行状态、各项电气参数指标，可根据实际负载的大小测定电池的实际放电时间和容量。</w:t>
      </w:r>
    </w:p>
    <w:p>
      <w:pPr>
        <w:adjustRightInd w:val="0"/>
        <w:snapToGrid w:val="0"/>
        <w:spacing w:before="203" w:beforeLines="50" w:after="203" w:afterLines="50"/>
        <w:ind w:firstLine="500" w:firstLineChars="200"/>
        <w:rPr>
          <w:rFonts w:ascii="宋体" w:hAnsi="宋体"/>
        </w:rPr>
      </w:pPr>
      <w:r>
        <w:rPr>
          <w:rFonts w:ascii="宋体" w:hAnsi="宋体"/>
        </w:rPr>
        <w:t xml:space="preserve">输出电压380V+0.5%，TN-S制式； </w:t>
      </w:r>
    </w:p>
    <w:p>
      <w:pPr>
        <w:adjustRightInd w:val="0"/>
        <w:snapToGrid w:val="0"/>
        <w:spacing w:before="203" w:beforeLines="50" w:after="203" w:afterLines="50"/>
        <w:ind w:firstLine="500" w:firstLineChars="200"/>
        <w:rPr>
          <w:rFonts w:ascii="宋体" w:hAnsi="宋体"/>
        </w:rPr>
      </w:pPr>
      <w:r>
        <w:rPr>
          <w:rFonts w:ascii="宋体" w:hAnsi="宋体"/>
        </w:rPr>
        <w:t>波形失真＜3%（线性负载）；</w:t>
      </w:r>
    </w:p>
    <w:p>
      <w:pPr>
        <w:adjustRightInd w:val="0"/>
        <w:snapToGrid w:val="0"/>
        <w:spacing w:before="203" w:beforeLines="50" w:after="203" w:afterLines="50"/>
        <w:ind w:firstLine="500" w:firstLineChars="200"/>
        <w:rPr>
          <w:rFonts w:ascii="宋体" w:hAnsi="宋体"/>
        </w:rPr>
      </w:pPr>
      <w:r>
        <w:rPr>
          <w:rFonts w:ascii="宋体" w:hAnsi="宋体"/>
        </w:rPr>
        <w:t xml:space="preserve">UPS应具有以下电池管理功能， </w:t>
      </w:r>
    </w:p>
    <w:p>
      <w:pPr>
        <w:adjustRightInd w:val="0"/>
        <w:snapToGrid w:val="0"/>
        <w:spacing w:before="203" w:beforeLines="50" w:after="203" w:afterLines="50"/>
        <w:ind w:firstLine="500" w:firstLineChars="200"/>
        <w:rPr>
          <w:rFonts w:ascii="宋体" w:hAnsi="宋体"/>
        </w:rPr>
      </w:pPr>
      <w:r>
        <w:rPr>
          <w:rFonts w:ascii="宋体" w:hAnsi="宋体"/>
        </w:rPr>
        <w:t>采用三段间歇式ABM充电方式</w:t>
      </w:r>
    </w:p>
    <w:p>
      <w:pPr>
        <w:adjustRightInd w:val="0"/>
        <w:snapToGrid w:val="0"/>
        <w:spacing w:before="203" w:beforeLines="50" w:after="203" w:afterLines="50"/>
        <w:ind w:firstLine="500" w:firstLineChars="200"/>
        <w:rPr>
          <w:rFonts w:ascii="宋体" w:hAnsi="宋体"/>
        </w:rPr>
      </w:pPr>
      <w:r>
        <w:rPr>
          <w:rFonts w:ascii="宋体" w:hAnsi="宋体"/>
        </w:rPr>
        <w:t>均浮充电和放电电流的数字检测和控制以及外部调整控制</w:t>
      </w:r>
    </w:p>
    <w:p>
      <w:pPr>
        <w:adjustRightInd w:val="0"/>
        <w:snapToGrid w:val="0"/>
        <w:spacing w:before="203" w:beforeLines="50" w:after="203" w:afterLines="50"/>
        <w:ind w:firstLine="500" w:firstLineChars="200"/>
        <w:rPr>
          <w:rFonts w:ascii="宋体" w:hAnsi="宋体"/>
        </w:rPr>
      </w:pPr>
      <w:r>
        <w:rPr>
          <w:rFonts w:ascii="宋体" w:hAnsi="宋体"/>
        </w:rPr>
        <w:t>电池定时自检和过放电设置的外部调整控制</w:t>
      </w:r>
    </w:p>
    <w:p>
      <w:pPr>
        <w:adjustRightInd w:val="0"/>
        <w:snapToGrid w:val="0"/>
        <w:spacing w:before="203" w:beforeLines="50" w:after="203" w:afterLines="50"/>
        <w:ind w:firstLine="500" w:firstLineChars="200"/>
        <w:rPr>
          <w:rFonts w:ascii="宋体" w:hAnsi="宋体"/>
        </w:rPr>
      </w:pPr>
      <w:r>
        <w:rPr>
          <w:rFonts w:ascii="宋体" w:hAnsi="宋体"/>
        </w:rPr>
        <w:t>温度补偿式充电和电池的寿命计算，根据电池温度和使用时间自动修正电池寿命，到电池寿命终止前，产生更换电池的报警提示。</w:t>
      </w:r>
    </w:p>
    <w:p>
      <w:pPr>
        <w:adjustRightInd w:val="0"/>
        <w:snapToGrid w:val="0"/>
        <w:spacing w:before="203" w:beforeLines="50" w:after="203" w:afterLines="50"/>
        <w:ind w:firstLine="500" w:firstLineChars="200"/>
        <w:rPr>
          <w:rFonts w:ascii="宋体" w:hAnsi="宋体"/>
        </w:rPr>
      </w:pPr>
      <w:r>
        <w:rPr>
          <w:rFonts w:ascii="宋体" w:hAnsi="宋体"/>
        </w:rPr>
        <w:t>过载能力200%负载时100mS, 150%负载时1min</w:t>
      </w:r>
    </w:p>
    <w:p>
      <w:pPr>
        <w:adjustRightInd w:val="0"/>
        <w:snapToGrid w:val="0"/>
        <w:spacing w:before="203" w:beforeLines="50" w:after="203" w:afterLines="50"/>
        <w:ind w:firstLine="500" w:firstLineChars="200"/>
        <w:rPr>
          <w:rFonts w:ascii="宋体" w:hAnsi="宋体"/>
        </w:rPr>
      </w:pPr>
      <w:r>
        <w:rPr>
          <w:rFonts w:ascii="宋体" w:hAnsi="宋体"/>
        </w:rPr>
        <w:t>SNMP/MODBUS/JBUS/远程监控，并保证监控通讯协议的开放性或兼容性</w:t>
      </w:r>
    </w:p>
    <w:p>
      <w:pPr>
        <w:adjustRightInd w:val="0"/>
        <w:snapToGrid w:val="0"/>
        <w:spacing w:before="203" w:beforeLines="50" w:after="203" w:afterLines="50"/>
        <w:ind w:firstLine="500" w:firstLineChars="200"/>
        <w:rPr>
          <w:rFonts w:ascii="宋体" w:hAnsi="宋体"/>
        </w:rPr>
      </w:pPr>
      <w:r>
        <w:rPr>
          <w:rFonts w:ascii="宋体" w:hAnsi="宋体"/>
        </w:rPr>
        <w:t>UPS内部结构必须为类模块化设计，所有操作和维护工作均在前门正面进行</w:t>
      </w:r>
    </w:p>
    <w:p>
      <w:pPr>
        <w:adjustRightInd w:val="0"/>
        <w:snapToGrid w:val="0"/>
        <w:spacing w:before="203" w:beforeLines="50" w:after="203" w:afterLines="50"/>
        <w:ind w:firstLine="500" w:firstLineChars="200"/>
        <w:rPr>
          <w:rFonts w:ascii="宋体" w:hAnsi="宋体"/>
        </w:rPr>
      </w:pPr>
      <w:r>
        <w:rPr>
          <w:rFonts w:ascii="宋体" w:hAnsi="宋体"/>
        </w:rPr>
        <w:t>UPS输入整流器必须是基于IGBT器件的高频变换整流技术，以实现降低输入电流谐波和输入功率因数大于0.99的要求。</w:t>
      </w:r>
    </w:p>
    <w:p>
      <w:pPr>
        <w:adjustRightInd w:val="0"/>
        <w:snapToGrid w:val="0"/>
        <w:spacing w:before="203" w:beforeLines="50" w:after="203" w:afterLines="50"/>
        <w:ind w:firstLine="500" w:firstLineChars="200"/>
        <w:rPr>
          <w:rFonts w:ascii="宋体" w:hAnsi="宋体"/>
        </w:rPr>
      </w:pPr>
      <w:r>
        <w:rPr>
          <w:rFonts w:ascii="宋体" w:hAnsi="宋体"/>
        </w:rPr>
        <w:t>投标报价包含市电—发电—UPS的切换控制、UPS输入输出配电和线缆、远程监控联网等一体化工作。</w:t>
      </w:r>
    </w:p>
    <w:p>
      <w:pPr>
        <w:adjustRightInd w:val="0"/>
        <w:snapToGrid w:val="0"/>
        <w:spacing w:before="203" w:beforeLines="50" w:after="203" w:afterLines="50"/>
        <w:ind w:firstLine="500" w:firstLineChars="200"/>
        <w:rPr>
          <w:rFonts w:ascii="宋体" w:hAnsi="宋体"/>
        </w:rPr>
      </w:pPr>
      <w:r>
        <w:rPr>
          <w:rFonts w:ascii="宋体" w:hAnsi="宋体"/>
        </w:rPr>
        <w:t>7、二级交换机</w:t>
      </w:r>
    </w:p>
    <w:p>
      <w:pPr>
        <w:adjustRightInd w:val="0"/>
        <w:snapToGrid w:val="0"/>
        <w:spacing w:before="203" w:beforeLines="50" w:after="203" w:afterLines="50"/>
        <w:ind w:firstLine="500" w:firstLineChars="200"/>
        <w:rPr>
          <w:rFonts w:ascii="宋体" w:hAnsi="宋体"/>
        </w:rPr>
      </w:pPr>
      <w:r>
        <w:rPr>
          <w:rFonts w:ascii="宋体" w:hAnsi="宋体"/>
        </w:rPr>
        <w:t>（1）</w:t>
      </w:r>
      <w:r>
        <w:rPr>
          <w:rFonts w:ascii="宋体" w:hAnsi="宋体"/>
        </w:rPr>
        <w:tab/>
      </w:r>
      <w:r>
        <w:rPr>
          <w:rFonts w:ascii="宋体" w:hAnsi="宋体"/>
        </w:rPr>
        <w:t>应用层级：二层；</w:t>
      </w:r>
    </w:p>
    <w:p>
      <w:pPr>
        <w:adjustRightInd w:val="0"/>
        <w:snapToGrid w:val="0"/>
        <w:spacing w:before="203" w:beforeLines="50" w:after="203" w:afterLines="50"/>
        <w:ind w:firstLine="500" w:firstLineChars="200"/>
        <w:rPr>
          <w:rFonts w:ascii="宋体" w:hAnsi="宋体"/>
        </w:rPr>
      </w:pPr>
      <w:r>
        <w:rPr>
          <w:rFonts w:ascii="宋体" w:hAnsi="宋体"/>
        </w:rPr>
        <w:t>（2）</w:t>
      </w:r>
      <w:r>
        <w:rPr>
          <w:rFonts w:ascii="宋体" w:hAnsi="宋体"/>
        </w:rPr>
        <w:tab/>
      </w:r>
      <w:r>
        <w:rPr>
          <w:rFonts w:ascii="宋体" w:hAnsi="宋体"/>
        </w:rPr>
        <w:t>内存：64MB；传输速率：10Mbps/100Mbps/1000Mbps；</w:t>
      </w:r>
    </w:p>
    <w:p>
      <w:pPr>
        <w:adjustRightInd w:val="0"/>
        <w:snapToGrid w:val="0"/>
        <w:spacing w:before="203" w:beforeLines="50" w:after="203" w:afterLines="50"/>
        <w:ind w:firstLine="500" w:firstLineChars="200"/>
        <w:rPr>
          <w:rFonts w:ascii="宋体" w:hAnsi="宋体"/>
        </w:rPr>
      </w:pPr>
      <w:r>
        <w:rPr>
          <w:rFonts w:ascii="宋体" w:hAnsi="宋体"/>
        </w:rPr>
        <w:t>（3）</w:t>
      </w:r>
      <w:r>
        <w:rPr>
          <w:rFonts w:ascii="宋体" w:hAnsi="宋体"/>
        </w:rPr>
        <w:tab/>
      </w:r>
      <w:r>
        <w:rPr>
          <w:rFonts w:ascii="宋体" w:hAnsi="宋体"/>
        </w:rPr>
        <w:t>网络标准：IEEE 802.3、IEEE 802.3u、IEEE 802.1x、IEEE 802.1Q、IEEE 802.1p、IEEE 802.1D、IEEE 802.1s、IEEE 802.1w、IEEE 802.3ad、IEEE 802.3z、IEEE 802.3；</w:t>
      </w:r>
    </w:p>
    <w:p>
      <w:pPr>
        <w:adjustRightInd w:val="0"/>
        <w:snapToGrid w:val="0"/>
        <w:spacing w:before="203" w:beforeLines="50" w:after="203" w:afterLines="50"/>
        <w:ind w:firstLine="500" w:firstLineChars="200"/>
        <w:rPr>
          <w:rFonts w:ascii="宋体" w:hAnsi="宋体"/>
        </w:rPr>
      </w:pPr>
      <w:r>
        <w:rPr>
          <w:rFonts w:ascii="宋体" w:hAnsi="宋体"/>
        </w:rPr>
        <w:t>（4）</w:t>
      </w:r>
      <w:r>
        <w:rPr>
          <w:rFonts w:ascii="宋体" w:hAnsi="宋体"/>
        </w:rPr>
        <w:tab/>
      </w:r>
      <w:r>
        <w:rPr>
          <w:rFonts w:ascii="宋体" w:hAnsi="宋体"/>
        </w:rPr>
        <w:t>端口结构：非模块化；</w:t>
      </w:r>
    </w:p>
    <w:p>
      <w:pPr>
        <w:adjustRightInd w:val="0"/>
        <w:snapToGrid w:val="0"/>
        <w:spacing w:before="203" w:beforeLines="50" w:after="203" w:afterLines="50"/>
        <w:ind w:firstLine="500" w:firstLineChars="200"/>
        <w:rPr>
          <w:rFonts w:ascii="宋体" w:hAnsi="宋体"/>
        </w:rPr>
      </w:pPr>
      <w:r>
        <w:rPr>
          <w:rFonts w:ascii="宋体" w:hAnsi="宋体"/>
        </w:rPr>
        <w:t>（5）</w:t>
      </w:r>
      <w:r>
        <w:rPr>
          <w:rFonts w:ascii="宋体" w:hAnsi="宋体"/>
        </w:rPr>
        <w:tab/>
      </w:r>
      <w:r>
        <w:rPr>
          <w:rFonts w:ascii="宋体" w:hAnsi="宋体"/>
        </w:rPr>
        <w:t>模块化插槽数：2/4；</w:t>
      </w:r>
    </w:p>
    <w:p>
      <w:pPr>
        <w:adjustRightInd w:val="0"/>
        <w:snapToGrid w:val="0"/>
        <w:spacing w:before="203" w:beforeLines="50" w:after="203" w:afterLines="50"/>
        <w:ind w:firstLine="500" w:firstLineChars="200"/>
        <w:rPr>
          <w:rFonts w:ascii="宋体" w:hAnsi="宋体"/>
        </w:rPr>
      </w:pPr>
      <w:r>
        <w:rPr>
          <w:rFonts w:ascii="宋体" w:hAnsi="宋体"/>
        </w:rPr>
        <w:t>（6）</w:t>
      </w:r>
      <w:r>
        <w:rPr>
          <w:rFonts w:ascii="宋体" w:hAnsi="宋体"/>
        </w:rPr>
        <w:tab/>
      </w:r>
      <w:r>
        <w:rPr>
          <w:rFonts w:ascii="宋体" w:hAnsi="宋体"/>
        </w:rPr>
        <w:t>接口介质：10/100/1000Base-T、10/100/1000Base-Tx/SFP；</w:t>
      </w:r>
    </w:p>
    <w:p>
      <w:pPr>
        <w:adjustRightInd w:val="0"/>
        <w:snapToGrid w:val="0"/>
        <w:spacing w:before="203" w:beforeLines="50" w:after="203" w:afterLines="50"/>
        <w:ind w:firstLine="500" w:firstLineChars="200"/>
        <w:rPr>
          <w:rFonts w:ascii="宋体" w:hAnsi="宋体"/>
        </w:rPr>
      </w:pPr>
      <w:r>
        <w:rPr>
          <w:rFonts w:ascii="宋体" w:hAnsi="宋体"/>
        </w:rPr>
        <w:t>（7）</w:t>
      </w:r>
      <w:r>
        <w:rPr>
          <w:rFonts w:ascii="宋体" w:hAnsi="宋体"/>
        </w:rPr>
        <w:tab/>
      </w:r>
      <w:r>
        <w:rPr>
          <w:rFonts w:ascii="宋体" w:hAnsi="宋体"/>
        </w:rPr>
        <w:t>传输模式：全双工/半双工自适应；</w:t>
      </w:r>
    </w:p>
    <w:p>
      <w:pPr>
        <w:adjustRightInd w:val="0"/>
        <w:snapToGrid w:val="0"/>
        <w:spacing w:before="203" w:beforeLines="50" w:after="203" w:afterLines="50"/>
        <w:ind w:firstLine="500" w:firstLineChars="200"/>
        <w:rPr>
          <w:rFonts w:ascii="宋体" w:hAnsi="宋体"/>
        </w:rPr>
      </w:pPr>
      <w:r>
        <w:rPr>
          <w:rFonts w:ascii="宋体" w:hAnsi="宋体"/>
        </w:rPr>
        <w:t>（8）</w:t>
      </w:r>
      <w:r>
        <w:rPr>
          <w:rFonts w:ascii="宋体" w:hAnsi="宋体"/>
        </w:rPr>
        <w:tab/>
      </w:r>
      <w:r>
        <w:rPr>
          <w:rFonts w:ascii="宋体" w:hAnsi="宋体"/>
        </w:rPr>
        <w:t xml:space="preserve"> 交换方式：存储-转发；</w:t>
      </w:r>
    </w:p>
    <w:p>
      <w:pPr>
        <w:adjustRightInd w:val="0"/>
        <w:snapToGrid w:val="0"/>
        <w:spacing w:before="203" w:beforeLines="50" w:after="203" w:afterLines="50"/>
        <w:ind w:firstLine="500" w:firstLineChars="200"/>
        <w:rPr>
          <w:rFonts w:ascii="宋体" w:hAnsi="宋体"/>
        </w:rPr>
      </w:pPr>
      <w:r>
        <w:rPr>
          <w:rFonts w:ascii="宋体" w:hAnsi="宋体"/>
        </w:rPr>
        <w:t>（9）</w:t>
      </w:r>
      <w:r>
        <w:rPr>
          <w:rFonts w:ascii="宋体" w:hAnsi="宋体"/>
        </w:rPr>
        <w:tab/>
      </w:r>
      <w:r>
        <w:rPr>
          <w:rFonts w:ascii="宋体" w:hAnsi="宋体"/>
        </w:rPr>
        <w:t>背板带宽：16Gbps，包转发率：10.1Mpps，MAC地址表: 8k；</w:t>
      </w:r>
    </w:p>
    <w:p>
      <w:pPr>
        <w:adjustRightInd w:val="0"/>
        <w:snapToGrid w:val="0"/>
        <w:spacing w:before="203" w:beforeLines="50" w:after="203" w:afterLines="50"/>
        <w:ind w:firstLine="500" w:firstLineChars="200"/>
        <w:rPr>
          <w:rFonts w:ascii="宋体" w:hAnsi="宋体"/>
        </w:rPr>
      </w:pPr>
      <w:r>
        <w:rPr>
          <w:rFonts w:ascii="宋体" w:hAnsi="宋体"/>
        </w:rPr>
        <w:t>（10）</w:t>
      </w:r>
      <w:r>
        <w:rPr>
          <w:rFonts w:ascii="宋体" w:hAnsi="宋体"/>
        </w:rPr>
        <w:tab/>
      </w:r>
      <w:r>
        <w:rPr>
          <w:rFonts w:ascii="宋体" w:hAnsi="宋体"/>
        </w:rPr>
        <w:t>网管: SNMP, CLI, Web, 带管理软件；</w:t>
      </w:r>
    </w:p>
    <w:p>
      <w:pPr>
        <w:adjustRightInd w:val="0"/>
        <w:snapToGrid w:val="0"/>
        <w:spacing w:before="203" w:beforeLines="50" w:after="203" w:afterLines="50"/>
        <w:ind w:firstLine="500" w:firstLineChars="200"/>
        <w:rPr>
          <w:rFonts w:ascii="宋体" w:hAnsi="宋体"/>
        </w:rPr>
      </w:pPr>
      <w:r>
        <w:rPr>
          <w:rFonts w:ascii="宋体" w:hAnsi="宋体"/>
        </w:rPr>
        <w:t>（11）</w:t>
      </w:r>
      <w:r>
        <w:rPr>
          <w:rFonts w:ascii="宋体" w:hAnsi="宋体"/>
        </w:rPr>
        <w:tab/>
      </w:r>
      <w:r>
        <w:rPr>
          <w:rFonts w:ascii="宋体" w:hAnsi="宋体"/>
        </w:rPr>
        <w:t>支持VLAN划分、VTP；支持CDP、DTP、ISL &amp; DISL；</w:t>
      </w:r>
    </w:p>
    <w:p>
      <w:pPr>
        <w:adjustRightInd w:val="0"/>
        <w:snapToGrid w:val="0"/>
        <w:spacing w:before="203" w:beforeLines="50" w:after="203" w:afterLines="50"/>
        <w:ind w:firstLine="500" w:firstLineChars="200"/>
        <w:rPr>
          <w:rFonts w:ascii="宋体" w:hAnsi="宋体"/>
        </w:rPr>
      </w:pPr>
      <w:r>
        <w:rPr>
          <w:rFonts w:ascii="宋体" w:hAnsi="宋体"/>
        </w:rPr>
        <w:t>（12）</w:t>
      </w:r>
      <w:r>
        <w:rPr>
          <w:rFonts w:ascii="宋体" w:hAnsi="宋体"/>
        </w:rPr>
        <w:tab/>
      </w:r>
      <w:r>
        <w:rPr>
          <w:rFonts w:ascii="宋体" w:hAnsi="宋体"/>
        </w:rPr>
        <w:t>指示面板：端口状态（连接完整性、禁用、活动、速度、全双工,</w:t>
      </w:r>
    </w:p>
    <w:p>
      <w:pPr>
        <w:adjustRightInd w:val="0"/>
        <w:snapToGrid w:val="0"/>
        <w:spacing w:before="203" w:beforeLines="50" w:after="203" w:afterLines="50"/>
        <w:ind w:firstLine="500" w:firstLineChars="200"/>
        <w:rPr>
          <w:rFonts w:ascii="宋体" w:hAnsi="宋体"/>
        </w:rPr>
      </w:pPr>
      <w:r>
        <w:rPr>
          <w:rFonts w:ascii="宋体" w:hAnsi="宋体"/>
        </w:rPr>
        <w:t>（13）</w:t>
      </w:r>
      <w:r>
        <w:rPr>
          <w:rFonts w:ascii="宋体" w:hAnsi="宋体"/>
        </w:rPr>
        <w:tab/>
      </w:r>
      <w:r>
        <w:rPr>
          <w:rFonts w:ascii="宋体" w:hAnsi="宋体"/>
        </w:rPr>
        <w:t>系统状态:系统、RPS、链路状态、链路双工、链路速度；</w:t>
      </w:r>
    </w:p>
    <w:p>
      <w:pPr>
        <w:adjustRightInd w:val="0"/>
        <w:snapToGrid w:val="0"/>
        <w:spacing w:before="203" w:beforeLines="50" w:after="203" w:afterLines="50"/>
        <w:ind w:firstLine="500" w:firstLineChars="200"/>
        <w:rPr>
          <w:rFonts w:ascii="宋体" w:hAnsi="宋体"/>
        </w:rPr>
      </w:pPr>
      <w:r>
        <w:rPr>
          <w:rFonts w:ascii="宋体" w:hAnsi="宋体"/>
        </w:rPr>
        <w:t>（14）</w:t>
      </w:r>
      <w:r>
        <w:rPr>
          <w:rFonts w:ascii="宋体" w:hAnsi="宋体"/>
        </w:rPr>
        <w:tab/>
      </w:r>
      <w:r>
        <w:rPr>
          <w:rFonts w:ascii="宋体" w:hAnsi="宋体"/>
        </w:rPr>
        <w:t>环境标准：工作温度:0℃-45℃、工作湿度:10%-85%（非冷凝）、 存 储温度:-25℃-70℃、存储湿度:10%-85%（非冷凝）。</w:t>
      </w:r>
    </w:p>
    <w:p>
      <w:pPr>
        <w:adjustRightInd w:val="0"/>
        <w:snapToGrid w:val="0"/>
        <w:spacing w:before="203" w:beforeLines="50" w:after="203" w:afterLines="50"/>
        <w:ind w:firstLine="500" w:firstLineChars="200"/>
        <w:rPr>
          <w:rFonts w:ascii="宋体" w:hAnsi="宋体"/>
        </w:rPr>
      </w:pPr>
      <w:bookmarkStart w:id="7195" w:name="_Toc301178803"/>
      <w:bookmarkStart w:id="7196" w:name="_Toc301171376"/>
      <w:r>
        <w:rPr>
          <w:rFonts w:ascii="宋体" w:hAnsi="宋体"/>
        </w:rPr>
        <w:t>8、办公网络打印机</w:t>
      </w:r>
      <w:bookmarkEnd w:id="7195"/>
      <w:bookmarkEnd w:id="7196"/>
    </w:p>
    <w:p>
      <w:pPr>
        <w:adjustRightInd w:val="0"/>
        <w:snapToGrid w:val="0"/>
        <w:spacing w:before="203" w:beforeLines="50" w:after="203" w:afterLines="50"/>
        <w:ind w:firstLine="500" w:firstLineChars="200"/>
        <w:rPr>
          <w:rFonts w:ascii="宋体" w:hAnsi="宋体"/>
        </w:rPr>
      </w:pPr>
      <w:r>
        <w:rPr>
          <w:rFonts w:ascii="宋体" w:hAnsi="宋体"/>
        </w:rPr>
        <w:t>激光打印机：</w:t>
      </w:r>
    </w:p>
    <w:p>
      <w:pPr>
        <w:adjustRightInd w:val="0"/>
        <w:snapToGrid w:val="0"/>
        <w:spacing w:before="203" w:beforeLines="50" w:after="203" w:afterLines="50"/>
        <w:ind w:firstLine="500" w:firstLineChars="200"/>
        <w:rPr>
          <w:rFonts w:ascii="宋体" w:hAnsi="宋体"/>
        </w:rPr>
      </w:pPr>
      <w:r>
        <w:rPr>
          <w:rFonts w:ascii="宋体" w:hAnsi="宋体"/>
        </w:rPr>
        <w:t>打印速度每分钟不小于18页</w:t>
      </w:r>
    </w:p>
    <w:p>
      <w:pPr>
        <w:adjustRightInd w:val="0"/>
        <w:snapToGrid w:val="0"/>
        <w:spacing w:before="203" w:beforeLines="50" w:after="203" w:afterLines="50"/>
        <w:ind w:firstLine="500" w:firstLineChars="200"/>
        <w:rPr>
          <w:rFonts w:ascii="宋体" w:hAnsi="宋体"/>
        </w:rPr>
      </w:pPr>
      <w:r>
        <w:rPr>
          <w:rFonts w:ascii="宋体" w:hAnsi="宋体"/>
        </w:rPr>
        <w:t>分辨率 1440×1440 dpi</w:t>
      </w:r>
    </w:p>
    <w:p>
      <w:pPr>
        <w:adjustRightInd w:val="0"/>
        <w:snapToGrid w:val="0"/>
        <w:spacing w:before="203" w:beforeLines="50" w:after="203" w:afterLines="50"/>
        <w:ind w:firstLine="500" w:firstLineChars="200"/>
        <w:rPr>
          <w:rFonts w:ascii="宋体" w:hAnsi="宋体"/>
        </w:rPr>
      </w:pPr>
      <w:r>
        <w:rPr>
          <w:rFonts w:ascii="宋体" w:hAnsi="宋体"/>
        </w:rPr>
        <w:t>缓存≥8MB</w:t>
      </w:r>
    </w:p>
    <w:p>
      <w:pPr>
        <w:adjustRightInd w:val="0"/>
        <w:snapToGrid w:val="0"/>
        <w:spacing w:before="203" w:beforeLines="50" w:after="203" w:afterLines="50"/>
        <w:ind w:firstLine="500" w:firstLineChars="200"/>
        <w:rPr>
          <w:rFonts w:ascii="宋体" w:hAnsi="宋体"/>
        </w:rPr>
      </w:pPr>
      <w:r>
        <w:rPr>
          <w:rFonts w:ascii="宋体" w:hAnsi="宋体"/>
        </w:rPr>
        <w:t>页面A4</w:t>
      </w:r>
    </w:p>
    <w:p>
      <w:pPr>
        <w:adjustRightInd w:val="0"/>
        <w:snapToGrid w:val="0"/>
        <w:spacing w:before="203" w:beforeLines="50" w:after="203" w:afterLines="50"/>
        <w:ind w:firstLine="500" w:firstLineChars="200"/>
        <w:rPr>
          <w:rFonts w:ascii="宋体" w:hAnsi="宋体"/>
        </w:rPr>
      </w:pPr>
      <w:r>
        <w:rPr>
          <w:rFonts w:ascii="宋体" w:hAnsi="宋体"/>
        </w:rPr>
        <w:t>以太网接口</w:t>
      </w:r>
    </w:p>
    <w:p>
      <w:pPr>
        <w:adjustRightInd w:val="0"/>
        <w:snapToGrid w:val="0"/>
        <w:spacing w:before="203" w:beforeLines="50" w:after="203" w:afterLines="50"/>
        <w:ind w:firstLine="500" w:firstLineChars="200"/>
        <w:rPr>
          <w:rFonts w:ascii="宋体" w:hAnsi="宋体"/>
        </w:rPr>
      </w:pPr>
      <w:r>
        <w:rPr>
          <w:rFonts w:ascii="宋体" w:hAnsi="宋体"/>
        </w:rPr>
        <w:t>电源：220VAC+10%。</w:t>
      </w:r>
    </w:p>
    <w:p>
      <w:pPr>
        <w:adjustRightInd w:val="0"/>
        <w:snapToGrid w:val="0"/>
        <w:spacing w:before="203" w:beforeLines="50" w:after="203" w:afterLines="50"/>
        <w:ind w:firstLine="500" w:firstLineChars="200"/>
        <w:rPr>
          <w:rFonts w:ascii="宋体" w:hAnsi="宋体"/>
        </w:rPr>
      </w:pPr>
      <w:bookmarkStart w:id="7197" w:name="_Toc301171377"/>
      <w:bookmarkStart w:id="7198" w:name="_Toc301178804"/>
      <w:r>
        <w:rPr>
          <w:rFonts w:ascii="宋体" w:hAnsi="宋体"/>
        </w:rPr>
        <w:t>9、防火墙</w:t>
      </w:r>
      <w:bookmarkEnd w:id="7197"/>
      <w:bookmarkEnd w:id="7198"/>
    </w:p>
    <w:p>
      <w:pPr>
        <w:adjustRightInd w:val="0"/>
        <w:snapToGrid w:val="0"/>
        <w:spacing w:before="203" w:beforeLines="50" w:after="203" w:afterLines="50"/>
        <w:ind w:firstLine="500" w:firstLineChars="200"/>
        <w:rPr>
          <w:rFonts w:ascii="宋体" w:hAnsi="宋体"/>
        </w:rPr>
      </w:pPr>
      <w:r>
        <w:rPr>
          <w:rFonts w:ascii="宋体" w:hAnsi="宋体"/>
        </w:rPr>
        <w:t>入侵检测：Dos,DDoS</w:t>
      </w:r>
    </w:p>
    <w:p>
      <w:pPr>
        <w:adjustRightInd w:val="0"/>
        <w:snapToGrid w:val="0"/>
        <w:spacing w:before="203" w:beforeLines="50" w:after="203" w:afterLines="50"/>
        <w:ind w:firstLine="500" w:firstLineChars="200"/>
        <w:rPr>
          <w:rFonts w:ascii="宋体" w:hAnsi="宋体"/>
        </w:rPr>
      </w:pPr>
      <w:r>
        <w:rPr>
          <w:rFonts w:ascii="宋体" w:hAnsi="宋体"/>
        </w:rPr>
        <w:t>安全标准：CE, FCC</w:t>
      </w:r>
    </w:p>
    <w:p>
      <w:pPr>
        <w:adjustRightInd w:val="0"/>
        <w:snapToGrid w:val="0"/>
        <w:spacing w:before="203" w:beforeLines="50" w:after="203" w:afterLines="50"/>
        <w:ind w:firstLine="500" w:firstLineChars="200"/>
        <w:rPr>
          <w:rFonts w:ascii="宋体" w:hAnsi="宋体"/>
        </w:rPr>
      </w:pPr>
      <w:r>
        <w:rPr>
          <w:rFonts w:ascii="宋体" w:hAnsi="宋体"/>
        </w:rPr>
        <w:t>电源电压：100-240V，50/60Hz</w:t>
      </w:r>
    </w:p>
    <w:p>
      <w:pPr>
        <w:adjustRightInd w:val="0"/>
        <w:snapToGrid w:val="0"/>
        <w:spacing w:before="203" w:beforeLines="50" w:after="203" w:afterLines="50"/>
        <w:ind w:firstLine="500" w:firstLineChars="200"/>
        <w:rPr>
          <w:rFonts w:ascii="宋体" w:hAnsi="宋体"/>
        </w:rPr>
      </w:pPr>
      <w:r>
        <w:rPr>
          <w:rFonts w:ascii="宋体" w:hAnsi="宋体"/>
        </w:rPr>
        <w:t>VPN：支持</w:t>
      </w:r>
    </w:p>
    <w:p>
      <w:pPr>
        <w:adjustRightInd w:val="0"/>
        <w:snapToGrid w:val="0"/>
        <w:spacing w:before="203" w:beforeLines="50" w:after="203" w:afterLines="50"/>
        <w:ind w:firstLine="500" w:firstLineChars="200"/>
        <w:rPr>
          <w:rFonts w:ascii="宋体" w:hAnsi="宋体"/>
        </w:rPr>
      </w:pPr>
      <w:r>
        <w:rPr>
          <w:rFonts w:ascii="宋体" w:hAnsi="宋体"/>
        </w:rPr>
        <w:t>增强型状态安全过滤,抗攻击防范能力,应用层内容过滤, 多种安全认证服务,集中管理与审计,全面NAT应用支持,专业灵活的VPN服务,智能网络集成及QoS保证,电信级设备高可靠性,智能 图形化的管理</w:t>
      </w:r>
    </w:p>
    <w:p>
      <w:pPr>
        <w:adjustRightInd w:val="0"/>
        <w:snapToGrid w:val="0"/>
        <w:spacing w:before="203" w:beforeLines="50" w:after="203" w:afterLines="50"/>
        <w:ind w:firstLine="500" w:firstLineChars="200"/>
        <w:rPr>
          <w:rFonts w:ascii="宋体" w:hAnsi="宋体"/>
        </w:rPr>
      </w:pPr>
      <w:r>
        <w:rPr>
          <w:rFonts w:ascii="宋体" w:hAnsi="宋体"/>
        </w:rPr>
        <w:t>支持标准网管 SNMPv3，并且兼容SNMP v2c、SNMP v1,支持NTP时间同步,支持Web方式进行远程配置管理,支持Quidview BIMS系统进行设备管理,支持Quidview VPN Manager系统进行VPN业务管理和监控,命令行接口</w:t>
      </w:r>
    </w:p>
    <w:p>
      <w:pPr>
        <w:adjustRightInd w:val="0"/>
        <w:snapToGrid w:val="0"/>
        <w:spacing w:before="203" w:beforeLines="50" w:after="203" w:afterLines="50"/>
        <w:ind w:firstLine="500" w:firstLineChars="200"/>
        <w:rPr>
          <w:rFonts w:ascii="宋体" w:hAnsi="宋体"/>
        </w:rPr>
      </w:pPr>
      <w:r>
        <w:rPr>
          <w:rFonts w:ascii="宋体" w:hAnsi="宋体"/>
        </w:rPr>
        <w:t>1个配置口（CON）,1个备份口（AUX）,2个10/100/1000M以太网口（支持光口或者电口）,2个10/100/1000M以太网口（支持电口）2个MIM插槽,F:16MB,DDR RAM:512MB,最大1GB。</w:t>
      </w:r>
    </w:p>
    <w:p>
      <w:pPr>
        <w:adjustRightInd w:val="0"/>
        <w:snapToGrid w:val="0"/>
        <w:spacing w:before="203" w:beforeLines="50" w:after="203" w:afterLines="50"/>
        <w:ind w:firstLine="500" w:firstLineChars="200"/>
        <w:rPr>
          <w:rFonts w:ascii="宋体" w:hAnsi="宋体"/>
        </w:rPr>
      </w:pPr>
      <w:r>
        <w:rPr>
          <w:rFonts w:ascii="宋体" w:hAnsi="宋体"/>
        </w:rPr>
        <w:t>工作温度:0 - 45</w:t>
      </w:r>
    </w:p>
    <w:p>
      <w:pPr>
        <w:adjustRightInd w:val="0"/>
        <w:snapToGrid w:val="0"/>
        <w:spacing w:before="203" w:beforeLines="50" w:after="203" w:afterLines="50"/>
        <w:ind w:firstLine="500" w:firstLineChars="200"/>
        <w:rPr>
          <w:rFonts w:ascii="宋体" w:hAnsi="宋体"/>
        </w:rPr>
      </w:pPr>
      <w:r>
        <w:rPr>
          <w:rFonts w:ascii="宋体" w:hAnsi="宋体"/>
        </w:rPr>
        <w:t>工作湿度:10－95％，不结露。</w:t>
      </w:r>
    </w:p>
    <w:p>
      <w:pPr>
        <w:adjustRightInd w:val="0"/>
        <w:snapToGrid w:val="0"/>
        <w:spacing w:before="203" w:beforeLines="50" w:after="203" w:afterLines="50"/>
        <w:ind w:firstLine="500" w:firstLineChars="200"/>
        <w:rPr>
          <w:rFonts w:ascii="宋体" w:hAnsi="宋体"/>
        </w:rPr>
      </w:pPr>
      <w:r>
        <w:rPr>
          <w:rFonts w:ascii="宋体" w:hAnsi="宋体"/>
        </w:rPr>
        <w:t>10、综合控制台</w:t>
      </w:r>
    </w:p>
    <w:p>
      <w:pPr>
        <w:adjustRightInd w:val="0"/>
        <w:snapToGrid w:val="0"/>
        <w:spacing w:before="203" w:beforeLines="50" w:after="203" w:afterLines="50"/>
        <w:ind w:firstLine="500" w:firstLineChars="200"/>
        <w:rPr>
          <w:rFonts w:ascii="宋体" w:hAnsi="宋体"/>
        </w:rPr>
      </w:pPr>
      <w:r>
        <w:rPr>
          <w:rFonts w:ascii="宋体" w:hAnsi="宋体"/>
        </w:rPr>
        <w:t>控制台由主体骨架、下框、底座、台板、侧帮、侧板等组成，除台板外其余部分材料均为冷扎钢板，其延展系数、抗弯强度、平整度、硬度及薄厚均整度等指标均应满足要求。控制台桌面应为耐火阻燃材质；</w:t>
      </w:r>
    </w:p>
    <w:p>
      <w:pPr>
        <w:adjustRightInd w:val="0"/>
        <w:snapToGrid w:val="0"/>
        <w:spacing w:before="203" w:beforeLines="50" w:after="203" w:afterLines="50"/>
        <w:ind w:firstLine="500" w:firstLineChars="200"/>
        <w:rPr>
          <w:rFonts w:ascii="宋体" w:hAnsi="宋体"/>
        </w:rPr>
      </w:pPr>
      <w:r>
        <w:rPr>
          <w:rFonts w:ascii="宋体" w:hAnsi="宋体"/>
        </w:rPr>
        <w:t>控制台下部设有滑轨托盘，安放计算机主机及其它设备。其承载系数、滑动疲劳度均应符合有关规定。控制台后部要提供绑线柱，面板预留走线孔；</w:t>
      </w:r>
    </w:p>
    <w:p>
      <w:pPr>
        <w:adjustRightInd w:val="0"/>
        <w:snapToGrid w:val="0"/>
        <w:spacing w:before="203" w:beforeLines="50" w:after="203" w:afterLines="50"/>
        <w:ind w:firstLine="500" w:firstLineChars="200"/>
        <w:rPr>
          <w:rFonts w:ascii="宋体" w:hAnsi="宋体"/>
        </w:rPr>
      </w:pPr>
      <w:r>
        <w:rPr>
          <w:rFonts w:ascii="宋体" w:hAnsi="宋体"/>
        </w:rPr>
        <w:t>控制台接地要严格分开信号地和电源地。控制台在安装时与底座之间加装绝缘胶皮，安装后用遥表测量，保证控制台骨架接地。控制台的接地铜排与机柜绝缘。控制台内所装设备的外壳（信号）地通过接地铜排统一接到机房专用的保护地线排上；</w:t>
      </w:r>
    </w:p>
    <w:p>
      <w:pPr>
        <w:adjustRightInd w:val="0"/>
        <w:snapToGrid w:val="0"/>
        <w:spacing w:before="203" w:beforeLines="50" w:after="203" w:afterLines="50"/>
        <w:ind w:firstLine="500" w:firstLineChars="200"/>
        <w:rPr>
          <w:rFonts w:ascii="宋体" w:hAnsi="宋体"/>
        </w:rPr>
      </w:pPr>
      <w:r>
        <w:rPr>
          <w:rFonts w:ascii="宋体" w:hAnsi="宋体"/>
        </w:rPr>
        <w:t>控制台的机械设计应当适合中国人的身体特点及人机工效的要求，综合控制台的设计应采用弧形设计；</w:t>
      </w:r>
    </w:p>
    <w:p>
      <w:pPr>
        <w:adjustRightInd w:val="0"/>
        <w:snapToGrid w:val="0"/>
        <w:spacing w:before="203" w:beforeLines="50" w:after="203" w:afterLines="50"/>
        <w:ind w:firstLine="500" w:firstLineChars="200"/>
        <w:rPr>
          <w:rFonts w:ascii="宋体" w:hAnsi="宋体"/>
        </w:rPr>
      </w:pPr>
      <w:r>
        <w:rPr>
          <w:rFonts w:ascii="宋体" w:hAnsi="宋体"/>
        </w:rPr>
        <w:t>控制台的空间划分应当合理，各种设备的布置应当以便于操作为原则，布局设计可参照《电子设备控制台的布局、型式和基本尺寸》〔GB 7269－82〕 中的有关规定；</w:t>
      </w:r>
    </w:p>
    <w:p>
      <w:pPr>
        <w:adjustRightInd w:val="0"/>
        <w:snapToGrid w:val="0"/>
        <w:spacing w:before="203" w:beforeLines="50" w:after="203" w:afterLines="50"/>
        <w:ind w:firstLine="500" w:firstLineChars="200"/>
        <w:rPr>
          <w:rFonts w:ascii="宋体" w:hAnsi="宋体"/>
        </w:rPr>
      </w:pPr>
      <w:r>
        <w:rPr>
          <w:rFonts w:ascii="宋体" w:hAnsi="宋体"/>
        </w:rPr>
        <w:t>控制台应当保证电气安全。同时设计应考虑美学、视觉特性、颜色搭配、亮度对比等要求。采用隐藏式布线，计算机主机应安装在控制台桌面下柜内，并应有散热，防尘措施。键盘应放在桌面下活动抽屉内或桌面上。</w:t>
      </w:r>
    </w:p>
    <w:p>
      <w:pPr>
        <w:adjustRightInd w:val="0"/>
        <w:snapToGrid w:val="0"/>
        <w:spacing w:before="203" w:beforeLines="50" w:after="203" w:afterLines="50"/>
        <w:ind w:firstLine="500" w:firstLineChars="200"/>
        <w:rPr>
          <w:rFonts w:ascii="宋体" w:hAnsi="宋体"/>
        </w:rPr>
      </w:pPr>
      <w:r>
        <w:rPr>
          <w:rFonts w:ascii="宋体" w:hAnsi="宋体"/>
        </w:rPr>
        <w:t>综合控制台应分为几个单元，以满足运输安装的要求；</w:t>
      </w:r>
    </w:p>
    <w:p>
      <w:pPr>
        <w:adjustRightInd w:val="0"/>
        <w:snapToGrid w:val="0"/>
        <w:spacing w:before="203" w:beforeLines="50" w:after="203" w:afterLines="50"/>
        <w:ind w:firstLine="500" w:firstLineChars="200"/>
        <w:rPr>
          <w:rFonts w:ascii="宋体" w:hAnsi="宋体"/>
        </w:rPr>
      </w:pPr>
      <w:r>
        <w:rPr>
          <w:rFonts w:ascii="宋体" w:hAnsi="宋体"/>
        </w:rPr>
        <w:t>在控制台正式投入生产前，承包人应当提出详细的图纸、样品或实体效果图，用以说明设计方案和所采用的材料，直到最后取得监理工程师和业主的批准，方可实施。</w:t>
      </w:r>
    </w:p>
    <w:p>
      <w:pPr>
        <w:adjustRightInd w:val="0"/>
        <w:snapToGrid w:val="0"/>
        <w:spacing w:before="203" w:beforeLines="50" w:after="203" w:afterLines="50"/>
        <w:ind w:firstLine="500" w:firstLineChars="200"/>
        <w:rPr>
          <w:rFonts w:ascii="宋体" w:hAnsi="宋体"/>
        </w:rPr>
      </w:pPr>
      <w:r>
        <w:rPr>
          <w:rFonts w:ascii="宋体" w:hAnsi="宋体"/>
        </w:rPr>
        <w:t>11、座椅</w:t>
      </w:r>
    </w:p>
    <w:p>
      <w:pPr>
        <w:adjustRightInd w:val="0"/>
        <w:snapToGrid w:val="0"/>
        <w:spacing w:before="203" w:beforeLines="50" w:after="203" w:afterLines="50"/>
        <w:ind w:firstLine="500" w:firstLineChars="200"/>
        <w:rPr>
          <w:rFonts w:ascii="宋体" w:hAnsi="宋体"/>
        </w:rPr>
      </w:pPr>
      <w:r>
        <w:rPr>
          <w:rFonts w:ascii="宋体" w:hAnsi="宋体"/>
        </w:rPr>
        <w:t>采用可转动、可升降的高级皮质座椅。</w:t>
      </w:r>
    </w:p>
    <w:p>
      <w:pPr>
        <w:keepNext/>
        <w:tabs>
          <w:tab w:val="left" w:pos="993"/>
        </w:tabs>
        <w:adjustRightInd w:val="0"/>
        <w:snapToGrid w:val="0"/>
        <w:spacing w:before="203" w:beforeLines="50" w:after="203" w:afterLines="50"/>
        <w:outlineLvl w:val="2"/>
        <w:rPr>
          <w:rFonts w:ascii="宋体" w:hAnsi="宋体"/>
          <w:b/>
          <w:bCs/>
        </w:rPr>
      </w:pPr>
      <w:bookmarkStart w:id="7199" w:name="_Toc301171380"/>
      <w:bookmarkStart w:id="7200" w:name="_Toc401327948"/>
      <w:bookmarkStart w:id="7201" w:name="_Toc301178807"/>
      <w:bookmarkStart w:id="7202" w:name="_Toc98143034"/>
      <w:bookmarkStart w:id="7203" w:name="_Toc450584994"/>
      <w:bookmarkStart w:id="7204" w:name="_Toc106883793"/>
      <w:r>
        <w:rPr>
          <w:rFonts w:hint="eastAsia" w:ascii="宋体" w:hAnsi="宋体"/>
          <w:b/>
          <w:bCs/>
        </w:rPr>
        <w:t>10.2.4</w:t>
      </w:r>
      <w:r>
        <w:rPr>
          <w:rFonts w:ascii="宋体" w:hAnsi="宋体"/>
          <w:b/>
          <w:bCs/>
        </w:rPr>
        <w:t>现场控制设备技术要求</w:t>
      </w:r>
      <w:bookmarkEnd w:id="7199"/>
      <w:bookmarkEnd w:id="7200"/>
      <w:bookmarkEnd w:id="7201"/>
      <w:bookmarkEnd w:id="7202"/>
      <w:bookmarkEnd w:id="7203"/>
      <w:bookmarkEnd w:id="7204"/>
    </w:p>
    <w:p>
      <w:pPr>
        <w:adjustRightInd w:val="0"/>
        <w:snapToGrid w:val="0"/>
        <w:spacing w:before="203" w:beforeLines="50" w:after="203" w:afterLines="50"/>
        <w:ind w:firstLine="500" w:firstLineChars="200"/>
        <w:rPr>
          <w:rFonts w:ascii="宋体" w:hAnsi="宋体"/>
        </w:rPr>
      </w:pPr>
      <w:bookmarkStart w:id="7205" w:name="_Toc98143035"/>
      <w:bookmarkStart w:id="7206" w:name="_Toc301178808"/>
      <w:bookmarkStart w:id="7207" w:name="_Toc301171381"/>
      <w:r>
        <w:rPr>
          <w:rFonts w:ascii="宋体" w:hAnsi="宋体"/>
        </w:rPr>
        <w:t>1、PLC</w:t>
      </w:r>
      <w:bookmarkEnd w:id="7205"/>
      <w:r>
        <w:rPr>
          <w:rFonts w:ascii="宋体" w:hAnsi="宋体"/>
        </w:rPr>
        <w:t>控制器</w:t>
      </w:r>
      <w:bookmarkEnd w:id="7206"/>
      <w:bookmarkEnd w:id="7207"/>
    </w:p>
    <w:p>
      <w:pPr>
        <w:adjustRightInd w:val="0"/>
        <w:snapToGrid w:val="0"/>
        <w:spacing w:before="203" w:beforeLines="50" w:after="203" w:afterLines="50"/>
        <w:ind w:firstLine="500" w:firstLineChars="200"/>
        <w:rPr>
          <w:rFonts w:ascii="宋体" w:hAnsi="宋体"/>
        </w:rPr>
      </w:pPr>
      <w:r>
        <w:rPr>
          <w:rFonts w:ascii="宋体" w:hAnsi="宋体"/>
        </w:rPr>
        <w:t>（1）概述</w:t>
      </w:r>
    </w:p>
    <w:p>
      <w:pPr>
        <w:adjustRightInd w:val="0"/>
        <w:snapToGrid w:val="0"/>
        <w:spacing w:before="203" w:beforeLines="50" w:after="203" w:afterLines="50"/>
        <w:ind w:firstLine="500" w:firstLineChars="200"/>
        <w:rPr>
          <w:rFonts w:ascii="宋体" w:hAnsi="宋体"/>
        </w:rPr>
      </w:pPr>
      <w:r>
        <w:rPr>
          <w:rFonts w:ascii="宋体" w:hAnsi="宋体"/>
        </w:rPr>
        <w:t>PLC控制器应采用最新的技术制造，并在今后相当长一段时间内保持其技术的先进性，厂商应承诺其产品平台是在未来8年内不被淘汰，并能保证10年以上的备件供应能力，供应商应具有较强的本地技术支持和服务能力。</w:t>
      </w:r>
    </w:p>
    <w:p>
      <w:pPr>
        <w:adjustRightInd w:val="0"/>
        <w:snapToGrid w:val="0"/>
        <w:spacing w:before="203" w:beforeLines="50" w:after="203" w:afterLines="50"/>
        <w:ind w:firstLine="500" w:firstLineChars="200"/>
        <w:rPr>
          <w:rFonts w:ascii="宋体" w:hAnsi="宋体"/>
        </w:rPr>
      </w:pPr>
      <w:r>
        <w:rPr>
          <w:rFonts w:ascii="宋体" w:hAnsi="宋体"/>
          <w:bCs/>
        </w:rPr>
        <w:t>控制站的I/O须采用与CPU相匹配的同系列、同档次的典型配置，禁止使用更低端的I/O扩展机架及模块。</w:t>
      </w:r>
    </w:p>
    <w:p>
      <w:pPr>
        <w:adjustRightInd w:val="0"/>
        <w:snapToGrid w:val="0"/>
        <w:spacing w:before="203" w:beforeLines="50" w:after="203" w:afterLines="50"/>
        <w:ind w:firstLine="500" w:firstLineChars="200"/>
        <w:rPr>
          <w:rFonts w:ascii="宋体" w:hAnsi="宋体"/>
        </w:rPr>
      </w:pPr>
      <w:r>
        <w:rPr>
          <w:rFonts w:ascii="宋体" w:hAnsi="宋体"/>
        </w:rPr>
        <w:t>采用模件化设计，按功能可分为CPU模件，I/O模件，电源模件，通讯模件等，由10M/100M工业以大网实现各控制器之间及操作站的通讯。所有的通讯均符合国际标准，如1EEE802.3、IEEE802.4、RS-232、RS-485等，便于与其它系统联网。为方便用户的掌握和使用，各层网络应该保证在应用层以上采用一致的通讯协议。</w:t>
      </w:r>
    </w:p>
    <w:p>
      <w:pPr>
        <w:adjustRightInd w:val="0"/>
        <w:snapToGrid w:val="0"/>
        <w:spacing w:before="203" w:beforeLines="50" w:after="203" w:afterLines="50"/>
        <w:ind w:firstLine="500" w:firstLineChars="200"/>
        <w:rPr>
          <w:rFonts w:ascii="宋体" w:hAnsi="宋体"/>
        </w:rPr>
      </w:pPr>
      <w:r>
        <w:rPr>
          <w:rFonts w:ascii="宋体" w:hAnsi="宋体"/>
        </w:rPr>
        <w:t>系统组件的设计完全符合真正的工业等级，隔离性好，结构坚固，抗腐蚀，适应较宽的温度变化范围，满足国内、国际的安全标准。作为系统基础的各种模板可以抗静电、抗干扰以及防灰尘，系统具备良好的热交换特性，便于散热。并且易配置、易接线、易维护，能在严格的工业环境下长期、稳定地运行。</w:t>
      </w:r>
    </w:p>
    <w:p>
      <w:pPr>
        <w:adjustRightInd w:val="0"/>
        <w:snapToGrid w:val="0"/>
        <w:spacing w:before="203" w:beforeLines="50" w:after="203" w:afterLines="50"/>
        <w:ind w:firstLine="500" w:firstLineChars="200"/>
        <w:rPr>
          <w:rFonts w:ascii="宋体" w:hAnsi="宋体"/>
        </w:rPr>
      </w:pPr>
      <w:bookmarkStart w:id="7208" w:name="_Toc106050571"/>
      <w:r>
        <w:rPr>
          <w:rFonts w:ascii="宋体" w:hAnsi="宋体"/>
        </w:rPr>
        <w:t>（2）中央处理器单元</w:t>
      </w:r>
      <w:bookmarkEnd w:id="7208"/>
    </w:p>
    <w:p>
      <w:pPr>
        <w:adjustRightInd w:val="0"/>
        <w:snapToGrid w:val="0"/>
        <w:spacing w:before="203" w:beforeLines="50" w:after="203" w:afterLines="50"/>
        <w:ind w:firstLine="500" w:firstLineChars="200"/>
        <w:rPr>
          <w:rFonts w:ascii="宋体" w:hAnsi="宋体"/>
        </w:rPr>
      </w:pPr>
      <w:r>
        <w:rPr>
          <w:rFonts w:ascii="宋体" w:hAnsi="宋体"/>
        </w:rPr>
        <w:t>采用无锂电池储能解决方案保存处理器程序/数据，避免采用锂电池供电方式存储程序/数据可能带来的程序/数据丢失或定期更换锂电池带来的技术性维护难题；</w:t>
      </w:r>
    </w:p>
    <w:p>
      <w:pPr>
        <w:adjustRightInd w:val="0"/>
        <w:snapToGrid w:val="0"/>
        <w:spacing w:before="203" w:beforeLines="50" w:after="203" w:afterLines="50"/>
        <w:ind w:firstLine="500" w:firstLineChars="200"/>
        <w:rPr>
          <w:rFonts w:ascii="宋体" w:hAnsi="宋体"/>
        </w:rPr>
      </w:pPr>
      <w:r>
        <w:rPr>
          <w:rFonts w:ascii="宋体" w:hAnsi="宋体"/>
        </w:rPr>
        <w:t>内存采用支持DDR的RAM，程序/数据存储器不小于4M；</w:t>
      </w:r>
    </w:p>
    <w:p>
      <w:pPr>
        <w:adjustRightInd w:val="0"/>
        <w:snapToGrid w:val="0"/>
        <w:spacing w:before="203" w:beforeLines="50" w:after="203" w:afterLines="50"/>
        <w:ind w:firstLine="500" w:firstLineChars="200"/>
        <w:rPr>
          <w:rFonts w:ascii="宋体" w:hAnsi="宋体"/>
        </w:rPr>
      </w:pPr>
      <w:r>
        <w:rPr>
          <w:rFonts w:ascii="宋体" w:hAnsi="宋体"/>
        </w:rPr>
        <w:t>采用动态内存分配技术，不限制用户使用程序、数据、定时器、计数器数量，只受总的内存限制；</w:t>
      </w:r>
    </w:p>
    <w:p>
      <w:pPr>
        <w:adjustRightInd w:val="0"/>
        <w:snapToGrid w:val="0"/>
        <w:spacing w:before="203" w:beforeLines="50" w:after="203" w:afterLines="50"/>
        <w:ind w:firstLine="500" w:firstLineChars="200"/>
        <w:rPr>
          <w:rFonts w:ascii="宋体" w:hAnsi="宋体"/>
        </w:rPr>
      </w:pPr>
      <w:r>
        <w:rPr>
          <w:rFonts w:ascii="宋体" w:hAnsi="宋体"/>
        </w:rPr>
        <w:t>自带大于1G SD卡，满足设备的高容量记录数据要求；</w:t>
      </w:r>
    </w:p>
    <w:p>
      <w:pPr>
        <w:adjustRightInd w:val="0"/>
        <w:snapToGrid w:val="0"/>
        <w:spacing w:before="203" w:beforeLines="50" w:after="203" w:afterLines="50"/>
        <w:ind w:firstLine="500" w:firstLineChars="200"/>
        <w:rPr>
          <w:rFonts w:ascii="宋体" w:hAnsi="宋体"/>
        </w:rPr>
      </w:pPr>
      <w:r>
        <w:rPr>
          <w:rFonts w:ascii="宋体" w:hAnsi="宋体"/>
        </w:rPr>
        <w:t>内嵌12Mbps USB2.0，支持固件刷新、程序上传下载；</w:t>
      </w:r>
    </w:p>
    <w:p>
      <w:pPr>
        <w:adjustRightInd w:val="0"/>
        <w:snapToGrid w:val="0"/>
        <w:spacing w:before="203" w:beforeLines="50" w:after="203" w:afterLines="50"/>
        <w:ind w:firstLine="500" w:firstLineChars="200"/>
        <w:rPr>
          <w:rFonts w:ascii="宋体" w:hAnsi="宋体"/>
        </w:rPr>
      </w:pPr>
      <w:bookmarkStart w:id="7209" w:name="_Toc106050572"/>
      <w:r>
        <w:rPr>
          <w:rFonts w:ascii="宋体" w:hAnsi="宋体"/>
        </w:rPr>
        <w:t>（3）编程环境</w:t>
      </w:r>
      <w:bookmarkEnd w:id="7209"/>
    </w:p>
    <w:p>
      <w:pPr>
        <w:adjustRightInd w:val="0"/>
        <w:snapToGrid w:val="0"/>
        <w:spacing w:before="203" w:beforeLines="50" w:after="203" w:afterLines="50"/>
        <w:ind w:firstLine="500" w:firstLineChars="200"/>
        <w:rPr>
          <w:rFonts w:ascii="宋体" w:hAnsi="宋体"/>
        </w:rPr>
      </w:pPr>
      <w:r>
        <w:rPr>
          <w:rFonts w:ascii="宋体" w:hAnsi="宋体"/>
        </w:rPr>
        <w:t>支持连续型/周期型任务/基于事件中断的任务类型。程序的执行必须提供优先级区分机制，优先级的划分不少于10个等级；</w:t>
      </w:r>
    </w:p>
    <w:p>
      <w:pPr>
        <w:adjustRightInd w:val="0"/>
        <w:snapToGrid w:val="0"/>
        <w:spacing w:before="203" w:beforeLines="50" w:after="203" w:afterLines="50"/>
        <w:ind w:firstLine="500" w:firstLineChars="200"/>
        <w:rPr>
          <w:rFonts w:ascii="宋体" w:hAnsi="宋体"/>
        </w:rPr>
      </w:pPr>
      <w:r>
        <w:rPr>
          <w:rFonts w:ascii="宋体" w:hAnsi="宋体"/>
        </w:rPr>
        <w:t>基于标签（Tag）的编程环境，数据的标记和引用方式是具有自说明性质的标签。要求程序下载过程中标签本身的信息不能丢失，从而保证用户程序良好的可读性和可维护性。</w:t>
      </w:r>
    </w:p>
    <w:p>
      <w:pPr>
        <w:adjustRightInd w:val="0"/>
        <w:snapToGrid w:val="0"/>
        <w:spacing w:before="203" w:beforeLines="50" w:after="203" w:afterLines="50"/>
        <w:ind w:firstLine="500" w:firstLineChars="200"/>
        <w:rPr>
          <w:rFonts w:ascii="宋体" w:hAnsi="宋体"/>
        </w:rPr>
      </w:pPr>
      <w:r>
        <w:rPr>
          <w:rFonts w:ascii="宋体" w:hAnsi="宋体"/>
        </w:rPr>
        <w:t>控制系统支持快速内存升级技术，处理器、I/O模块、网络模块都能够在现场通过软件升级至最新版本；</w:t>
      </w:r>
    </w:p>
    <w:p>
      <w:pPr>
        <w:adjustRightInd w:val="0"/>
        <w:snapToGrid w:val="0"/>
        <w:spacing w:before="203" w:beforeLines="50" w:after="203" w:afterLines="50"/>
        <w:ind w:firstLine="500" w:firstLineChars="200"/>
        <w:rPr>
          <w:rFonts w:ascii="宋体" w:hAnsi="宋体"/>
        </w:rPr>
      </w:pPr>
      <w:r>
        <w:rPr>
          <w:rFonts w:ascii="宋体" w:hAnsi="宋体"/>
        </w:rPr>
        <w:t>系统没有定时器和计数器的数量限制，也没有PID回路数的限制；</w:t>
      </w:r>
    </w:p>
    <w:p>
      <w:pPr>
        <w:adjustRightInd w:val="0"/>
        <w:snapToGrid w:val="0"/>
        <w:spacing w:before="203" w:beforeLines="50" w:after="203" w:afterLines="50"/>
        <w:ind w:firstLine="500" w:firstLineChars="200"/>
        <w:rPr>
          <w:rFonts w:ascii="宋体" w:hAnsi="宋体"/>
        </w:rPr>
      </w:pPr>
      <w:r>
        <w:rPr>
          <w:rFonts w:ascii="宋体" w:hAnsi="宋体"/>
        </w:rPr>
        <w:t>控制系统支持灵活的网络结构，无需任何编程或者处理器干预，即可实现不同网络之间的通讯桥接和数据交换；</w:t>
      </w:r>
    </w:p>
    <w:p>
      <w:pPr>
        <w:adjustRightInd w:val="0"/>
        <w:snapToGrid w:val="0"/>
        <w:spacing w:before="203" w:beforeLines="50" w:after="203" w:afterLines="50"/>
        <w:ind w:firstLine="500" w:firstLineChars="200"/>
        <w:rPr>
          <w:rFonts w:ascii="宋体" w:hAnsi="宋体"/>
        </w:rPr>
      </w:pPr>
      <w:r>
        <w:rPr>
          <w:rFonts w:ascii="宋体" w:hAnsi="宋体"/>
        </w:rPr>
        <w:t>控制系统处理器和输入输出模块是完全的软件可配置，包括模块信息刷新时间、模拟量工程标定、上下限报警、斜率限制等；I/O设备组态中，能在线自动识别模块型号、实际安装槽位地址及固件版本号等详细信息，便于I/O模块组态；</w:t>
      </w:r>
    </w:p>
    <w:p>
      <w:pPr>
        <w:adjustRightInd w:val="0"/>
        <w:snapToGrid w:val="0"/>
        <w:spacing w:before="203" w:beforeLines="50" w:after="203" w:afterLines="50"/>
        <w:ind w:firstLine="500" w:firstLineChars="200"/>
        <w:rPr>
          <w:rFonts w:ascii="宋体" w:hAnsi="宋体"/>
        </w:rPr>
      </w:pPr>
      <w:r>
        <w:rPr>
          <w:rFonts w:ascii="宋体" w:hAnsi="宋体"/>
        </w:rPr>
        <w:t>控制系统必须能够提供包括梯形图、功能图块、结构化文本、顺序功能流程图在内的符合IEC61131-3标准的灵活的编程语言支持，数据格式符合IEC61131标准。</w:t>
      </w:r>
    </w:p>
    <w:p>
      <w:pPr>
        <w:adjustRightInd w:val="0"/>
        <w:snapToGrid w:val="0"/>
        <w:spacing w:before="203" w:beforeLines="50" w:after="203" w:afterLines="50"/>
        <w:ind w:firstLine="500" w:firstLineChars="200"/>
        <w:rPr>
          <w:rFonts w:ascii="宋体" w:hAnsi="宋体"/>
        </w:rPr>
      </w:pPr>
      <w:bookmarkStart w:id="7210" w:name="_Toc106050573"/>
      <w:r>
        <w:rPr>
          <w:rFonts w:ascii="宋体" w:hAnsi="宋体"/>
        </w:rPr>
        <w:t>（4）I/O模块要求</w:t>
      </w:r>
      <w:bookmarkEnd w:id="7210"/>
    </w:p>
    <w:p>
      <w:pPr>
        <w:adjustRightInd w:val="0"/>
        <w:snapToGrid w:val="0"/>
        <w:spacing w:before="203" w:beforeLines="50" w:after="203" w:afterLines="50"/>
        <w:ind w:firstLine="500" w:firstLineChars="200"/>
        <w:rPr>
          <w:rFonts w:ascii="宋体" w:hAnsi="宋体"/>
        </w:rPr>
      </w:pPr>
      <w:r>
        <w:rPr>
          <w:rFonts w:ascii="宋体" w:hAnsi="宋体"/>
        </w:rPr>
        <w:t>为保证过程控制的稳定和高精度，要求实现按确定周期的采样及处理。</w:t>
      </w:r>
    </w:p>
    <w:p>
      <w:pPr>
        <w:adjustRightInd w:val="0"/>
        <w:snapToGrid w:val="0"/>
        <w:spacing w:before="203" w:beforeLines="50" w:after="203" w:afterLines="50"/>
        <w:ind w:firstLine="500" w:firstLineChars="200"/>
        <w:rPr>
          <w:rFonts w:ascii="宋体" w:hAnsi="宋体"/>
        </w:rPr>
      </w:pPr>
      <w:r>
        <w:rPr>
          <w:rFonts w:ascii="宋体" w:hAnsi="宋体"/>
        </w:rPr>
        <w:t>本地I/O站和远程I/O站上的每个I/O模块都应可以根据相关控制任务的实时响应要求的不同，在模块组态时设置不同的通讯响应时间。同时，模块应能不依赖于处理器而自动生成点级的出错报告，提供强大的自诊断功能；</w:t>
      </w:r>
    </w:p>
    <w:p>
      <w:pPr>
        <w:adjustRightInd w:val="0"/>
        <w:snapToGrid w:val="0"/>
        <w:spacing w:before="203" w:beforeLines="50" w:after="203" w:afterLines="50"/>
        <w:ind w:firstLine="500" w:firstLineChars="200"/>
        <w:rPr>
          <w:rFonts w:ascii="宋体" w:hAnsi="宋体"/>
        </w:rPr>
      </w:pPr>
      <w:r>
        <w:rPr>
          <w:rFonts w:ascii="宋体" w:hAnsi="宋体"/>
        </w:rPr>
        <w:t>开关量输入模块：&lt;=32点/模块，10～31VDC，光电隔离；</w:t>
      </w:r>
    </w:p>
    <w:p>
      <w:pPr>
        <w:adjustRightInd w:val="0"/>
        <w:snapToGrid w:val="0"/>
        <w:spacing w:before="203" w:beforeLines="50" w:after="203" w:afterLines="50"/>
        <w:ind w:firstLine="500" w:firstLineChars="200"/>
        <w:rPr>
          <w:rFonts w:ascii="宋体" w:hAnsi="宋体"/>
        </w:rPr>
      </w:pPr>
      <w:r>
        <w:rPr>
          <w:rFonts w:ascii="宋体" w:hAnsi="宋体"/>
        </w:rPr>
        <w:t>开关量输出模块：&lt;=32点/模块，10～31VDC，光电隔离；</w:t>
      </w:r>
    </w:p>
    <w:p>
      <w:pPr>
        <w:adjustRightInd w:val="0"/>
        <w:snapToGrid w:val="0"/>
        <w:spacing w:before="203" w:beforeLines="50" w:after="203" w:afterLines="50"/>
        <w:ind w:firstLine="500" w:firstLineChars="200"/>
        <w:rPr>
          <w:rFonts w:ascii="宋体" w:hAnsi="宋体"/>
        </w:rPr>
      </w:pPr>
      <w:r>
        <w:rPr>
          <w:rFonts w:ascii="宋体" w:hAnsi="宋体"/>
        </w:rPr>
        <w:t>模拟量输入模块：&lt;=16点/模块，16位A/D转换，0～20mA电流/-10～+10VDC电压可软件组态；</w:t>
      </w:r>
    </w:p>
    <w:p>
      <w:pPr>
        <w:adjustRightInd w:val="0"/>
        <w:snapToGrid w:val="0"/>
        <w:spacing w:before="203" w:beforeLines="50" w:after="203" w:afterLines="50"/>
        <w:ind w:firstLine="500" w:firstLineChars="200"/>
        <w:rPr>
          <w:rFonts w:ascii="宋体" w:hAnsi="宋体"/>
        </w:rPr>
      </w:pPr>
      <w:r>
        <w:rPr>
          <w:rFonts w:ascii="宋体" w:hAnsi="宋体"/>
        </w:rPr>
        <w:t>热电阻输入模块： &lt;=8 点/模块配置系统，16位A/D转换；</w:t>
      </w:r>
    </w:p>
    <w:p>
      <w:pPr>
        <w:adjustRightInd w:val="0"/>
        <w:snapToGrid w:val="0"/>
        <w:spacing w:before="203" w:beforeLines="50" w:after="203" w:afterLines="50"/>
        <w:ind w:firstLine="500" w:firstLineChars="200"/>
        <w:rPr>
          <w:rFonts w:ascii="宋体" w:hAnsi="宋体"/>
        </w:rPr>
      </w:pPr>
      <w:r>
        <w:rPr>
          <w:rFonts w:ascii="宋体" w:hAnsi="宋体"/>
        </w:rPr>
        <w:t>模拟量输出模块：&lt;=8点，16位转换精度，4～20mA电流/0～10VDC电压。</w:t>
      </w:r>
      <w:r>
        <w:rPr>
          <w:rFonts w:ascii="宋体" w:hAnsi="宋体"/>
        </w:rPr>
        <w:tab/>
      </w:r>
    </w:p>
    <w:p>
      <w:pPr>
        <w:adjustRightInd w:val="0"/>
        <w:snapToGrid w:val="0"/>
        <w:spacing w:before="203" w:beforeLines="50" w:after="203" w:afterLines="50"/>
        <w:ind w:firstLine="500" w:firstLineChars="200"/>
        <w:rPr>
          <w:rFonts w:ascii="宋体" w:hAnsi="宋体"/>
        </w:rPr>
      </w:pPr>
      <w:r>
        <w:rPr>
          <w:rFonts w:ascii="宋体" w:hAnsi="宋体"/>
        </w:rPr>
        <w:t>通讯模块、特殊模块及以上模块均与CPU模块严格保持同等的档次、尺寸及设计规格等，是同一系列的产品；</w:t>
      </w:r>
    </w:p>
    <w:p>
      <w:pPr>
        <w:adjustRightInd w:val="0"/>
        <w:snapToGrid w:val="0"/>
        <w:spacing w:before="203" w:beforeLines="50" w:after="203" w:afterLines="50"/>
        <w:ind w:firstLine="500" w:firstLineChars="200"/>
        <w:rPr>
          <w:rFonts w:ascii="宋体" w:hAnsi="宋体"/>
        </w:rPr>
      </w:pPr>
      <w:bookmarkStart w:id="7211" w:name="_Toc106050574"/>
      <w:r>
        <w:rPr>
          <w:rFonts w:ascii="宋体" w:hAnsi="宋体"/>
        </w:rPr>
        <w:t>ControlLogix IO特性</w:t>
      </w:r>
      <w:bookmarkEnd w:id="7211"/>
    </w:p>
    <w:p>
      <w:pPr>
        <w:pStyle w:val="1193"/>
        <w:numPr>
          <w:ilvl w:val="0"/>
          <w:numId w:val="142"/>
        </w:numPr>
        <w:adjustRightInd w:val="0"/>
        <w:snapToGrid w:val="0"/>
        <w:spacing w:before="203" w:beforeLines="50" w:after="203" w:afterLines="50"/>
        <w:ind w:firstLine="500"/>
        <w:rPr>
          <w:rFonts w:ascii="宋体" w:hAnsi="宋体"/>
        </w:rPr>
      </w:pPr>
      <w:r>
        <w:rPr>
          <w:rFonts w:ascii="宋体" w:hAnsi="宋体"/>
        </w:rPr>
        <w:t>安装在ControlLogix框架内</w:t>
      </w:r>
    </w:p>
    <w:p>
      <w:pPr>
        <w:pStyle w:val="1193"/>
        <w:numPr>
          <w:ilvl w:val="0"/>
          <w:numId w:val="142"/>
        </w:numPr>
        <w:adjustRightInd w:val="0"/>
        <w:snapToGrid w:val="0"/>
        <w:spacing w:before="203" w:beforeLines="50" w:after="203" w:afterLines="50"/>
        <w:ind w:firstLine="500"/>
        <w:rPr>
          <w:rFonts w:ascii="宋体" w:hAnsi="宋体"/>
        </w:rPr>
      </w:pPr>
      <w:r>
        <w:rPr>
          <w:rFonts w:ascii="宋体" w:hAnsi="宋体"/>
        </w:rPr>
        <w:t>需要可拆卸端子块（RTB）或Bulletin 1492接线接口模块（IFM）来进行所有现场接线</w:t>
      </w:r>
    </w:p>
    <w:p>
      <w:pPr>
        <w:pStyle w:val="1193"/>
        <w:numPr>
          <w:ilvl w:val="0"/>
          <w:numId w:val="142"/>
        </w:numPr>
        <w:adjustRightInd w:val="0"/>
        <w:snapToGrid w:val="0"/>
        <w:spacing w:before="203" w:beforeLines="50" w:after="203" w:afterLines="50"/>
        <w:ind w:firstLine="500"/>
        <w:rPr>
          <w:rFonts w:ascii="宋体" w:hAnsi="宋体"/>
        </w:rPr>
      </w:pPr>
      <w:r>
        <w:rPr>
          <w:rFonts w:ascii="宋体" w:hAnsi="宋体"/>
        </w:rPr>
        <w:t>包含固有的时间戳功能，适用于事件序列（SOE）应用项目</w:t>
      </w:r>
    </w:p>
    <w:p>
      <w:pPr>
        <w:pStyle w:val="1193"/>
        <w:numPr>
          <w:ilvl w:val="0"/>
          <w:numId w:val="142"/>
        </w:numPr>
        <w:adjustRightInd w:val="0"/>
        <w:snapToGrid w:val="0"/>
        <w:spacing w:before="203" w:beforeLines="50" w:after="203" w:afterLines="50"/>
        <w:ind w:firstLine="500"/>
        <w:rPr>
          <w:rFonts w:ascii="宋体" w:hAnsi="宋体"/>
        </w:rPr>
      </w:pPr>
      <w:r>
        <w:rPr>
          <w:rFonts w:ascii="宋体" w:hAnsi="宋体"/>
        </w:rPr>
        <w:t>可实现全面的I/O诊断，从而能够检测系统故障和现场故障</w:t>
      </w:r>
    </w:p>
    <w:p>
      <w:pPr>
        <w:pStyle w:val="1193"/>
        <w:numPr>
          <w:ilvl w:val="0"/>
          <w:numId w:val="142"/>
        </w:numPr>
        <w:adjustRightInd w:val="0"/>
        <w:snapToGrid w:val="0"/>
        <w:spacing w:before="203" w:beforeLines="50" w:after="203" w:afterLines="50"/>
        <w:ind w:firstLine="500"/>
        <w:rPr>
          <w:rFonts w:ascii="宋体" w:hAnsi="宋体"/>
        </w:rPr>
      </w:pPr>
      <w:r>
        <w:rPr>
          <w:rFonts w:ascii="宋体" w:hAnsi="宋体"/>
        </w:rPr>
        <w:t>可带电插拔（RIUP），便于维护</w:t>
      </w:r>
    </w:p>
    <w:p>
      <w:pPr>
        <w:pStyle w:val="1193"/>
        <w:numPr>
          <w:ilvl w:val="0"/>
          <w:numId w:val="142"/>
        </w:numPr>
        <w:adjustRightInd w:val="0"/>
        <w:snapToGrid w:val="0"/>
        <w:spacing w:before="203" w:beforeLines="50" w:after="203" w:afterLines="50"/>
        <w:ind w:firstLine="500"/>
        <w:rPr>
          <w:rFonts w:ascii="宋体" w:hAnsi="宋体"/>
        </w:rPr>
      </w:pPr>
      <w:r>
        <w:rPr>
          <w:rFonts w:ascii="宋体" w:hAnsi="宋体"/>
        </w:rPr>
        <w:t>提供电子键控功能，有助于防止替换错误</w:t>
      </w:r>
    </w:p>
    <w:p>
      <w:pPr>
        <w:pStyle w:val="1193"/>
        <w:numPr>
          <w:ilvl w:val="0"/>
          <w:numId w:val="142"/>
        </w:numPr>
        <w:adjustRightInd w:val="0"/>
        <w:snapToGrid w:val="0"/>
        <w:spacing w:before="203" w:beforeLines="50" w:after="203" w:afterLines="50"/>
        <w:ind w:firstLine="500"/>
        <w:rPr>
          <w:rFonts w:ascii="宋体" w:hAnsi="宋体"/>
        </w:rPr>
      </w:pPr>
      <w:r>
        <w:rPr>
          <w:rFonts w:ascii="宋体" w:hAnsi="宋体"/>
        </w:rPr>
        <w:t>在Studio 5000 Logix Designer应用程序中包含I/O向导，可快速方便地进行模块配置</w:t>
      </w:r>
    </w:p>
    <w:p>
      <w:pPr>
        <w:pStyle w:val="1193"/>
        <w:numPr>
          <w:ilvl w:val="0"/>
          <w:numId w:val="142"/>
        </w:numPr>
        <w:adjustRightInd w:val="0"/>
        <w:snapToGrid w:val="0"/>
        <w:spacing w:before="203" w:beforeLines="50" w:after="203" w:afterLines="50"/>
        <w:ind w:firstLine="500"/>
        <w:rPr>
          <w:rFonts w:ascii="宋体" w:hAnsi="宋体"/>
        </w:rPr>
      </w:pPr>
      <w:r>
        <w:rPr>
          <w:rFonts w:ascii="宋体" w:hAnsi="宋体"/>
        </w:rPr>
        <w:t>具有敷形涂覆，可在恶劣环境中提供保护</w:t>
      </w:r>
    </w:p>
    <w:p>
      <w:pPr>
        <w:adjustRightInd w:val="0"/>
        <w:snapToGrid w:val="0"/>
        <w:spacing w:before="203" w:beforeLines="50" w:after="203" w:afterLines="50"/>
        <w:ind w:firstLine="500" w:firstLineChars="200"/>
        <w:rPr>
          <w:rFonts w:ascii="宋体" w:hAnsi="宋体"/>
        </w:rPr>
      </w:pPr>
      <w:bookmarkStart w:id="7212" w:name="_Toc106050575"/>
      <w:r>
        <w:rPr>
          <w:rFonts w:ascii="宋体" w:hAnsi="宋体"/>
        </w:rPr>
        <w:t>1756 ControlLogix数字量I/O模块</w:t>
      </w:r>
      <w:bookmarkEnd w:id="7212"/>
    </w:p>
    <w:p>
      <w:pPr>
        <w:pStyle w:val="1193"/>
        <w:numPr>
          <w:ilvl w:val="0"/>
          <w:numId w:val="143"/>
        </w:numPr>
        <w:adjustRightInd w:val="0"/>
        <w:snapToGrid w:val="0"/>
        <w:spacing w:before="203" w:beforeLines="50" w:after="203" w:afterLines="50"/>
        <w:ind w:firstLine="500"/>
        <w:rPr>
          <w:rFonts w:ascii="宋体" w:hAnsi="宋体"/>
        </w:rPr>
      </w:pPr>
      <w:r>
        <w:rPr>
          <w:rFonts w:ascii="宋体" w:hAnsi="宋体"/>
        </w:rPr>
        <w:t>提供各种电压</w:t>
      </w:r>
    </w:p>
    <w:p>
      <w:pPr>
        <w:pStyle w:val="1193"/>
        <w:numPr>
          <w:ilvl w:val="0"/>
          <w:numId w:val="143"/>
        </w:numPr>
        <w:adjustRightInd w:val="0"/>
        <w:snapToGrid w:val="0"/>
        <w:spacing w:before="203" w:beforeLines="50" w:after="203" w:afterLines="50"/>
        <w:ind w:firstLine="500"/>
        <w:rPr>
          <w:rFonts w:ascii="宋体" w:hAnsi="宋体"/>
        </w:rPr>
      </w:pPr>
      <w:r>
        <w:rPr>
          <w:rFonts w:ascii="宋体" w:hAnsi="宋体"/>
        </w:rPr>
        <w:t>每个模块提供8至32点</w:t>
      </w:r>
    </w:p>
    <w:p>
      <w:pPr>
        <w:pStyle w:val="1193"/>
        <w:numPr>
          <w:ilvl w:val="0"/>
          <w:numId w:val="143"/>
        </w:numPr>
        <w:adjustRightInd w:val="0"/>
        <w:snapToGrid w:val="0"/>
        <w:spacing w:before="203" w:beforeLines="50" w:after="203" w:afterLines="50"/>
        <w:ind w:firstLine="500"/>
        <w:rPr>
          <w:rFonts w:ascii="宋体" w:hAnsi="宋体"/>
        </w:rPr>
      </w:pPr>
      <w:r>
        <w:rPr>
          <w:rFonts w:ascii="宋体" w:hAnsi="宋体"/>
        </w:rPr>
        <w:t>具备隔离和非隔离模块类型</w:t>
      </w:r>
    </w:p>
    <w:p>
      <w:pPr>
        <w:pStyle w:val="1193"/>
        <w:numPr>
          <w:ilvl w:val="0"/>
          <w:numId w:val="143"/>
        </w:numPr>
        <w:adjustRightInd w:val="0"/>
        <w:snapToGrid w:val="0"/>
        <w:spacing w:before="203" w:beforeLines="50" w:after="203" w:afterLines="50"/>
        <w:ind w:firstLine="500"/>
        <w:rPr>
          <w:rFonts w:ascii="宋体" w:hAnsi="宋体"/>
        </w:rPr>
      </w:pPr>
      <w:r>
        <w:rPr>
          <w:rFonts w:ascii="宋体" w:hAnsi="宋体"/>
        </w:rPr>
        <w:t>包含通道级故障状态输出</w:t>
      </w:r>
    </w:p>
    <w:p>
      <w:pPr>
        <w:pStyle w:val="1193"/>
        <w:numPr>
          <w:ilvl w:val="0"/>
          <w:numId w:val="143"/>
        </w:numPr>
        <w:adjustRightInd w:val="0"/>
        <w:snapToGrid w:val="0"/>
        <w:spacing w:before="203" w:beforeLines="50" w:after="203" w:afterLines="50"/>
        <w:ind w:firstLine="500"/>
        <w:rPr>
          <w:rFonts w:ascii="宋体" w:hAnsi="宋体"/>
        </w:rPr>
      </w:pPr>
      <w:r>
        <w:rPr>
          <w:rFonts w:ascii="宋体" w:hAnsi="宋体"/>
        </w:rPr>
        <w:t>可实现直接连接或机架优化通信</w:t>
      </w:r>
    </w:p>
    <w:p>
      <w:pPr>
        <w:pStyle w:val="1193"/>
        <w:numPr>
          <w:ilvl w:val="0"/>
          <w:numId w:val="143"/>
        </w:numPr>
        <w:adjustRightInd w:val="0"/>
        <w:snapToGrid w:val="0"/>
        <w:spacing w:before="203" w:beforeLines="50" w:after="203" w:afterLines="50"/>
        <w:ind w:firstLine="500"/>
        <w:rPr>
          <w:rFonts w:ascii="宋体" w:hAnsi="宋体"/>
        </w:rPr>
      </w:pPr>
      <w:r>
        <w:rPr>
          <w:rFonts w:ascii="宋体" w:hAnsi="宋体"/>
        </w:rPr>
        <w:t>对选定模块进行现场诊断</w:t>
      </w:r>
    </w:p>
    <w:p>
      <w:pPr>
        <w:adjustRightInd w:val="0"/>
        <w:snapToGrid w:val="0"/>
        <w:spacing w:before="203" w:beforeLines="50" w:after="203" w:afterLines="50"/>
        <w:ind w:firstLine="500" w:firstLineChars="200"/>
        <w:rPr>
          <w:rFonts w:ascii="宋体" w:hAnsi="宋体"/>
        </w:rPr>
      </w:pPr>
      <w:bookmarkStart w:id="7213" w:name="_Toc106050576"/>
      <w:r>
        <w:rPr>
          <w:rFonts w:ascii="宋体" w:hAnsi="宋体"/>
        </w:rPr>
        <w:t>1756 ControlLogix模拟量I/O模块</w:t>
      </w:r>
      <w:bookmarkEnd w:id="7213"/>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包含输入、输出和组合模块</w:t>
      </w:r>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提供热电阻和热电偶模块</w:t>
      </w:r>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包含模块级别数据报警</w:t>
      </w:r>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提供工程单位整定</w:t>
      </w:r>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提供实时通道采样</w:t>
      </w:r>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提供电子模块匹配，可通过软件配置</w:t>
      </w:r>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包含机械可拆卸端子块匹配，用户自定义</w:t>
      </w:r>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逐通道配置电压、电流或2线变送器电流源流型</w:t>
      </w:r>
    </w:p>
    <w:p>
      <w:pPr>
        <w:pStyle w:val="1193"/>
        <w:numPr>
          <w:ilvl w:val="0"/>
          <w:numId w:val="144"/>
        </w:numPr>
        <w:adjustRightInd w:val="0"/>
        <w:snapToGrid w:val="0"/>
        <w:spacing w:before="203" w:beforeLines="50" w:after="203" w:afterLines="50"/>
        <w:ind w:firstLine="500"/>
        <w:rPr>
          <w:rFonts w:ascii="宋体" w:hAnsi="宋体"/>
        </w:rPr>
      </w:pPr>
      <w:r>
        <w:rPr>
          <w:rFonts w:ascii="宋体" w:hAnsi="宋体"/>
        </w:rPr>
        <w:t>逐通道配置热电阻或热电偶</w:t>
      </w:r>
    </w:p>
    <w:p>
      <w:pPr>
        <w:adjustRightInd w:val="0"/>
        <w:snapToGrid w:val="0"/>
        <w:spacing w:before="203" w:beforeLines="50" w:after="203" w:afterLines="50"/>
        <w:ind w:firstLine="500" w:firstLineChars="200"/>
        <w:rPr>
          <w:rFonts w:ascii="宋体" w:hAnsi="宋体"/>
        </w:rPr>
      </w:pPr>
      <w:bookmarkStart w:id="7214" w:name="_Toc106050577"/>
      <w:r>
        <w:rPr>
          <w:rFonts w:ascii="宋体" w:hAnsi="宋体"/>
        </w:rPr>
        <w:t>1756 ControlLogix特殊功能I/O模块</w:t>
      </w:r>
      <w:bookmarkEnd w:id="7214"/>
    </w:p>
    <w:p>
      <w:pPr>
        <w:pStyle w:val="1193"/>
        <w:numPr>
          <w:ilvl w:val="0"/>
          <w:numId w:val="145"/>
        </w:numPr>
        <w:adjustRightInd w:val="0"/>
        <w:snapToGrid w:val="0"/>
        <w:spacing w:before="203" w:beforeLines="50" w:after="203" w:afterLines="50"/>
        <w:ind w:firstLine="500"/>
        <w:rPr>
          <w:rFonts w:ascii="宋体" w:hAnsi="宋体"/>
        </w:rPr>
      </w:pPr>
      <w:r>
        <w:rPr>
          <w:rFonts w:ascii="宋体" w:hAnsi="宋体"/>
        </w:rPr>
        <w:t>包含可配置的流量计模块</w:t>
      </w:r>
    </w:p>
    <w:p>
      <w:pPr>
        <w:pStyle w:val="1193"/>
        <w:numPr>
          <w:ilvl w:val="0"/>
          <w:numId w:val="145"/>
        </w:numPr>
        <w:adjustRightInd w:val="0"/>
        <w:snapToGrid w:val="0"/>
        <w:spacing w:before="203" w:beforeLines="50" w:after="203" w:afterLines="50"/>
        <w:ind w:firstLine="500"/>
        <w:rPr>
          <w:rFonts w:ascii="宋体" w:hAnsi="宋体"/>
        </w:rPr>
      </w:pPr>
      <w:r>
        <w:rPr>
          <w:rFonts w:ascii="宋体" w:hAnsi="宋体"/>
        </w:rPr>
        <w:t>提供高速计数器模块</w:t>
      </w:r>
    </w:p>
    <w:p>
      <w:pPr>
        <w:pStyle w:val="1193"/>
        <w:numPr>
          <w:ilvl w:val="0"/>
          <w:numId w:val="145"/>
        </w:numPr>
        <w:adjustRightInd w:val="0"/>
        <w:snapToGrid w:val="0"/>
        <w:spacing w:before="203" w:beforeLines="50" w:after="203" w:afterLines="50"/>
        <w:ind w:firstLine="500"/>
        <w:rPr>
          <w:rFonts w:ascii="宋体" w:hAnsi="宋体"/>
        </w:rPr>
      </w:pPr>
      <w:r>
        <w:rPr>
          <w:rFonts w:ascii="宋体" w:hAnsi="宋体"/>
        </w:rPr>
        <w:t>提供可编程限位开关模块</w:t>
      </w:r>
    </w:p>
    <w:p>
      <w:pPr>
        <w:adjustRightInd w:val="0"/>
        <w:snapToGrid w:val="0"/>
        <w:spacing w:before="203" w:beforeLines="50" w:after="203" w:afterLines="50"/>
        <w:ind w:firstLine="500" w:firstLineChars="200"/>
        <w:rPr>
          <w:rFonts w:ascii="宋体" w:hAnsi="宋体"/>
        </w:rPr>
      </w:pPr>
      <w:bookmarkStart w:id="7215" w:name="_Toc106050578"/>
      <w:r>
        <w:rPr>
          <w:rFonts w:ascii="宋体" w:hAnsi="宋体"/>
        </w:rPr>
        <w:t>1756 ControlLogix可拆卸端子块（RTB）</w:t>
      </w:r>
      <w:bookmarkEnd w:id="7215"/>
    </w:p>
    <w:p>
      <w:pPr>
        <w:pStyle w:val="1193"/>
        <w:numPr>
          <w:ilvl w:val="0"/>
          <w:numId w:val="146"/>
        </w:numPr>
        <w:adjustRightInd w:val="0"/>
        <w:snapToGrid w:val="0"/>
        <w:spacing w:before="203" w:beforeLines="50" w:after="203" w:afterLines="50"/>
        <w:ind w:firstLine="500"/>
        <w:rPr>
          <w:rFonts w:ascii="宋体" w:hAnsi="宋体"/>
        </w:rPr>
      </w:pPr>
      <w:r>
        <w:rPr>
          <w:rFonts w:ascii="宋体" w:hAnsi="宋体"/>
        </w:rPr>
        <w:t>实现工厂接线与I/O模块之间的灵活互连</w:t>
      </w:r>
    </w:p>
    <w:p>
      <w:pPr>
        <w:pStyle w:val="1193"/>
        <w:numPr>
          <w:ilvl w:val="0"/>
          <w:numId w:val="146"/>
        </w:numPr>
        <w:adjustRightInd w:val="0"/>
        <w:snapToGrid w:val="0"/>
        <w:spacing w:before="203" w:beforeLines="50" w:after="203" w:afterLines="50"/>
        <w:ind w:firstLine="500"/>
        <w:rPr>
          <w:rFonts w:ascii="宋体" w:hAnsi="宋体"/>
        </w:rPr>
      </w:pPr>
      <w:r>
        <w:rPr>
          <w:rFonts w:ascii="宋体" w:hAnsi="宋体"/>
        </w:rPr>
        <w:t>包含螺丝夹或弹簧夹端子</w:t>
      </w:r>
    </w:p>
    <w:p>
      <w:pPr>
        <w:pStyle w:val="1193"/>
        <w:numPr>
          <w:ilvl w:val="0"/>
          <w:numId w:val="146"/>
        </w:numPr>
        <w:adjustRightInd w:val="0"/>
        <w:snapToGrid w:val="0"/>
        <w:spacing w:before="203" w:beforeLines="50" w:after="203" w:afterLines="50"/>
        <w:ind w:firstLine="500"/>
        <w:rPr>
          <w:rFonts w:ascii="宋体" w:hAnsi="宋体"/>
        </w:rPr>
      </w:pPr>
      <w:r>
        <w:rPr>
          <w:rFonts w:ascii="宋体" w:hAnsi="宋体"/>
        </w:rPr>
        <w:t>不附带I/O模块，必须单独订购</w:t>
      </w:r>
    </w:p>
    <w:p>
      <w:pPr>
        <w:adjustRightInd w:val="0"/>
        <w:snapToGrid w:val="0"/>
        <w:spacing w:before="203" w:beforeLines="50" w:after="203" w:afterLines="50"/>
        <w:ind w:firstLine="500" w:firstLineChars="200"/>
        <w:rPr>
          <w:rFonts w:ascii="宋体" w:hAnsi="宋体"/>
        </w:rPr>
      </w:pPr>
      <w:bookmarkStart w:id="7216" w:name="_Toc106050579"/>
      <w:r>
        <w:rPr>
          <w:rFonts w:ascii="宋体" w:hAnsi="宋体"/>
        </w:rPr>
        <w:t>1756 ControlLogix HART总线模拟量隔离I/O模块</w:t>
      </w:r>
      <w:bookmarkEnd w:id="7216"/>
    </w:p>
    <w:p>
      <w:pPr>
        <w:pStyle w:val="1193"/>
        <w:numPr>
          <w:ilvl w:val="0"/>
          <w:numId w:val="147"/>
        </w:numPr>
        <w:adjustRightInd w:val="0"/>
        <w:snapToGrid w:val="0"/>
        <w:spacing w:before="203" w:beforeLines="50" w:after="203" w:afterLines="50"/>
        <w:ind w:firstLine="500"/>
        <w:rPr>
          <w:rFonts w:ascii="宋体" w:hAnsi="宋体"/>
        </w:rPr>
      </w:pPr>
      <w:r>
        <w:rPr>
          <w:rFonts w:ascii="宋体" w:hAnsi="宋体"/>
        </w:rPr>
        <w:t>提供通道间隔离</w:t>
      </w:r>
    </w:p>
    <w:p>
      <w:pPr>
        <w:pStyle w:val="1193"/>
        <w:numPr>
          <w:ilvl w:val="0"/>
          <w:numId w:val="147"/>
        </w:numPr>
        <w:adjustRightInd w:val="0"/>
        <w:snapToGrid w:val="0"/>
        <w:spacing w:before="203" w:beforeLines="50" w:after="203" w:afterLines="50"/>
        <w:ind w:firstLine="500"/>
        <w:rPr>
          <w:rFonts w:ascii="宋体" w:hAnsi="宋体"/>
        </w:rPr>
      </w:pPr>
      <w:r>
        <w:rPr>
          <w:rFonts w:ascii="宋体" w:hAnsi="宋体"/>
        </w:rPr>
        <w:t>逐通道提供HART总线调制解调器，从而提高HART总线数据更新速度</w:t>
      </w:r>
    </w:p>
    <w:p>
      <w:pPr>
        <w:pStyle w:val="1193"/>
        <w:numPr>
          <w:ilvl w:val="0"/>
          <w:numId w:val="147"/>
        </w:numPr>
        <w:adjustRightInd w:val="0"/>
        <w:snapToGrid w:val="0"/>
        <w:spacing w:before="203" w:beforeLines="50" w:after="203" w:afterLines="50"/>
        <w:ind w:firstLine="500"/>
        <w:rPr>
          <w:rFonts w:ascii="宋体" w:hAnsi="宋体"/>
        </w:rPr>
      </w:pPr>
      <w:r>
        <w:rPr>
          <w:rFonts w:ascii="宋体" w:hAnsi="宋体"/>
        </w:rPr>
        <w:t>通过用户自定义配置文件提供基本现场设备配置</w:t>
      </w:r>
    </w:p>
    <w:p>
      <w:pPr>
        <w:pStyle w:val="1193"/>
        <w:numPr>
          <w:ilvl w:val="0"/>
          <w:numId w:val="147"/>
        </w:numPr>
        <w:adjustRightInd w:val="0"/>
        <w:snapToGrid w:val="0"/>
        <w:spacing w:before="203" w:beforeLines="50" w:after="203" w:afterLines="50"/>
        <w:ind w:firstLine="500"/>
        <w:rPr>
          <w:rFonts w:ascii="宋体" w:hAnsi="宋体"/>
        </w:rPr>
      </w:pPr>
      <w:r>
        <w:rPr>
          <w:rFonts w:ascii="宋体" w:hAnsi="宋体"/>
        </w:rPr>
        <w:t>帮助消除在使用隔离模块时对现场隔离屏障的需要</w:t>
      </w:r>
    </w:p>
    <w:p>
      <w:pPr>
        <w:adjustRightInd w:val="0"/>
        <w:snapToGrid w:val="0"/>
        <w:spacing w:before="203" w:beforeLines="50" w:after="203" w:afterLines="50"/>
        <w:ind w:firstLine="500" w:firstLineChars="200"/>
        <w:rPr>
          <w:rFonts w:ascii="宋体" w:hAnsi="宋体"/>
        </w:rPr>
      </w:pPr>
      <w:bookmarkStart w:id="7217" w:name="_Toc106050580"/>
      <w:r>
        <w:rPr>
          <w:rFonts w:ascii="宋体" w:hAnsi="宋体"/>
        </w:rPr>
        <w:t>1756 ControlLogix增强型模拟量I/O模块</w:t>
      </w:r>
      <w:bookmarkEnd w:id="7217"/>
    </w:p>
    <w:p>
      <w:pPr>
        <w:pStyle w:val="1193"/>
        <w:numPr>
          <w:ilvl w:val="0"/>
          <w:numId w:val="148"/>
        </w:numPr>
        <w:adjustRightInd w:val="0"/>
        <w:snapToGrid w:val="0"/>
        <w:spacing w:before="203" w:beforeLines="50" w:after="203" w:afterLines="50"/>
        <w:ind w:firstLine="500"/>
        <w:rPr>
          <w:rFonts w:ascii="宋体" w:hAnsi="宋体"/>
        </w:rPr>
      </w:pPr>
      <w:r>
        <w:rPr>
          <w:rFonts w:ascii="宋体" w:hAnsi="宋体"/>
        </w:rPr>
        <w:t>可提高准确性、可重复性、稳定性和精度</w:t>
      </w:r>
    </w:p>
    <w:p>
      <w:pPr>
        <w:pStyle w:val="1193"/>
        <w:numPr>
          <w:ilvl w:val="0"/>
          <w:numId w:val="148"/>
        </w:numPr>
        <w:adjustRightInd w:val="0"/>
        <w:snapToGrid w:val="0"/>
        <w:spacing w:before="203" w:beforeLines="50" w:after="203" w:afterLines="50"/>
        <w:ind w:firstLine="500"/>
        <w:rPr>
          <w:rFonts w:ascii="宋体" w:hAnsi="宋体"/>
        </w:rPr>
      </w:pPr>
      <w:r>
        <w:rPr>
          <w:rFonts w:ascii="宋体" w:hAnsi="宋体"/>
        </w:rPr>
        <w:t>包含隔离8通道以及非隔离12和16通道模块，可在整个运行温度范围内实现稳定运行</w:t>
      </w:r>
    </w:p>
    <w:p>
      <w:pPr>
        <w:pStyle w:val="1193"/>
        <w:numPr>
          <w:ilvl w:val="0"/>
          <w:numId w:val="148"/>
        </w:numPr>
        <w:adjustRightInd w:val="0"/>
        <w:snapToGrid w:val="0"/>
        <w:spacing w:before="203" w:beforeLines="50" w:after="203" w:afterLines="50"/>
        <w:ind w:firstLine="500"/>
        <w:rPr>
          <w:rFonts w:ascii="宋体" w:hAnsi="宋体"/>
        </w:rPr>
      </w:pPr>
      <w:r>
        <w:rPr>
          <w:rFonts w:ascii="宋体" w:hAnsi="宋体"/>
        </w:rPr>
        <w:t>无需现场校准</w:t>
      </w:r>
    </w:p>
    <w:p>
      <w:pPr>
        <w:pStyle w:val="1193"/>
        <w:numPr>
          <w:ilvl w:val="0"/>
          <w:numId w:val="148"/>
        </w:numPr>
        <w:adjustRightInd w:val="0"/>
        <w:snapToGrid w:val="0"/>
        <w:spacing w:before="203" w:beforeLines="50" w:after="203" w:afterLines="50"/>
        <w:ind w:firstLine="500"/>
        <w:rPr>
          <w:rFonts w:ascii="宋体" w:hAnsi="宋体"/>
        </w:rPr>
      </w:pPr>
      <w:r>
        <w:rPr>
          <w:rFonts w:ascii="宋体" w:hAnsi="宋体"/>
        </w:rPr>
        <w:t>使用24位设计，可提高精度</w:t>
      </w:r>
    </w:p>
    <w:p>
      <w:pPr>
        <w:pStyle w:val="1193"/>
        <w:numPr>
          <w:ilvl w:val="0"/>
          <w:numId w:val="148"/>
        </w:numPr>
        <w:adjustRightInd w:val="0"/>
        <w:snapToGrid w:val="0"/>
        <w:spacing w:before="203" w:beforeLines="50" w:after="203" w:afterLines="50"/>
        <w:ind w:firstLine="500"/>
        <w:rPr>
          <w:rFonts w:ascii="宋体" w:hAnsi="宋体"/>
        </w:rPr>
      </w:pPr>
      <w:r>
        <w:rPr>
          <w:rFonts w:ascii="宋体" w:hAnsi="宋体"/>
        </w:rPr>
        <w:t>包含每通道状态和故障指示灯指示</w:t>
      </w:r>
    </w:p>
    <w:p>
      <w:pPr>
        <w:adjustRightInd w:val="0"/>
        <w:snapToGrid w:val="0"/>
        <w:spacing w:before="203" w:beforeLines="50" w:after="203" w:afterLines="50"/>
        <w:ind w:firstLine="500" w:firstLineChars="200"/>
        <w:rPr>
          <w:rFonts w:ascii="宋体" w:hAnsi="宋体"/>
        </w:rPr>
      </w:pPr>
      <w:bookmarkStart w:id="7218" w:name="_Toc301171382"/>
      <w:bookmarkStart w:id="7219" w:name="_Toc301178809"/>
      <w:bookmarkStart w:id="7220" w:name="_Toc98143036"/>
      <w:r>
        <w:rPr>
          <w:rFonts w:ascii="宋体" w:hAnsi="宋体"/>
        </w:rPr>
        <w:t>2、操作终端</w:t>
      </w:r>
      <w:bookmarkEnd w:id="7218"/>
      <w:bookmarkEnd w:id="7219"/>
      <w:bookmarkEnd w:id="7220"/>
    </w:p>
    <w:p>
      <w:pPr>
        <w:adjustRightInd w:val="0"/>
        <w:snapToGrid w:val="0"/>
        <w:spacing w:before="203" w:beforeLines="50" w:after="203" w:afterLines="50"/>
        <w:ind w:firstLine="500" w:firstLineChars="200"/>
        <w:rPr>
          <w:rFonts w:ascii="宋体" w:hAnsi="宋体"/>
        </w:rPr>
      </w:pPr>
      <w:r>
        <w:rPr>
          <w:rFonts w:ascii="宋体" w:hAnsi="宋体"/>
        </w:rPr>
        <w:t>彩色触摸屏；采用与PLC属同一厂家生产；</w:t>
      </w:r>
    </w:p>
    <w:p>
      <w:pPr>
        <w:adjustRightInd w:val="0"/>
        <w:snapToGrid w:val="0"/>
        <w:spacing w:before="203" w:beforeLines="50" w:after="203" w:afterLines="50"/>
        <w:ind w:firstLine="500" w:firstLineChars="200"/>
        <w:rPr>
          <w:rFonts w:ascii="宋体" w:hAnsi="宋体"/>
        </w:rPr>
      </w:pPr>
      <w:r>
        <w:rPr>
          <w:rFonts w:ascii="宋体" w:hAnsi="宋体"/>
        </w:rPr>
        <w:t>TFT真彩触摸屏</w:t>
      </w:r>
    </w:p>
    <w:p>
      <w:pPr>
        <w:adjustRightInd w:val="0"/>
        <w:snapToGrid w:val="0"/>
        <w:spacing w:before="203" w:beforeLines="50" w:after="203" w:afterLines="50"/>
        <w:ind w:firstLine="500" w:firstLineChars="200"/>
        <w:rPr>
          <w:rFonts w:ascii="宋体" w:hAnsi="宋体"/>
        </w:rPr>
      </w:pPr>
      <w:r>
        <w:rPr>
          <w:rFonts w:ascii="宋体" w:hAnsi="宋体"/>
        </w:rPr>
        <w:t>Microsoft Windows CE操作系统</w:t>
      </w:r>
    </w:p>
    <w:p>
      <w:pPr>
        <w:adjustRightInd w:val="0"/>
        <w:snapToGrid w:val="0"/>
        <w:spacing w:before="203" w:beforeLines="50" w:after="203" w:afterLines="50"/>
        <w:ind w:firstLine="500" w:firstLineChars="200"/>
        <w:rPr>
          <w:rFonts w:ascii="宋体" w:hAnsi="宋体"/>
        </w:rPr>
      </w:pPr>
      <w:r>
        <w:rPr>
          <w:rFonts w:ascii="宋体" w:hAnsi="宋体"/>
        </w:rPr>
        <w:t>可扩展内存和各种现场总线卡</w:t>
      </w:r>
    </w:p>
    <w:p>
      <w:pPr>
        <w:adjustRightInd w:val="0"/>
        <w:snapToGrid w:val="0"/>
        <w:spacing w:before="203" w:beforeLines="50" w:after="203" w:afterLines="50"/>
        <w:ind w:firstLine="500" w:firstLineChars="200"/>
        <w:rPr>
          <w:rFonts w:ascii="宋体" w:hAnsi="宋体"/>
        </w:rPr>
      </w:pPr>
      <w:r>
        <w:rPr>
          <w:rFonts w:ascii="宋体" w:hAnsi="宋体"/>
        </w:rPr>
        <w:t>微型闪寸</w:t>
      </w:r>
    </w:p>
    <w:p>
      <w:pPr>
        <w:adjustRightInd w:val="0"/>
        <w:snapToGrid w:val="0"/>
        <w:spacing w:before="203" w:beforeLines="50" w:after="203" w:afterLines="50"/>
        <w:ind w:firstLine="500" w:firstLineChars="200"/>
        <w:rPr>
          <w:rFonts w:ascii="宋体" w:hAnsi="宋体"/>
        </w:rPr>
      </w:pPr>
      <w:r>
        <w:rPr>
          <w:rFonts w:ascii="宋体" w:hAnsi="宋体"/>
        </w:rPr>
        <w:t>包含RS232/485通讯接口</w:t>
      </w:r>
    </w:p>
    <w:p>
      <w:pPr>
        <w:adjustRightInd w:val="0"/>
        <w:snapToGrid w:val="0"/>
        <w:spacing w:before="203" w:beforeLines="50" w:after="203" w:afterLines="50"/>
        <w:ind w:firstLine="500" w:firstLineChars="200"/>
        <w:rPr>
          <w:rFonts w:ascii="宋体" w:hAnsi="宋体"/>
        </w:rPr>
      </w:pPr>
      <w:r>
        <w:rPr>
          <w:rFonts w:ascii="宋体" w:hAnsi="宋体"/>
        </w:rPr>
        <w:t>包含10/100M以太网接口</w:t>
      </w:r>
    </w:p>
    <w:p>
      <w:pPr>
        <w:adjustRightInd w:val="0"/>
        <w:snapToGrid w:val="0"/>
        <w:spacing w:before="203" w:beforeLines="50" w:after="203" w:afterLines="50"/>
        <w:ind w:firstLine="500" w:firstLineChars="200"/>
        <w:rPr>
          <w:rFonts w:ascii="宋体" w:hAnsi="宋体"/>
        </w:rPr>
      </w:pPr>
      <w:r>
        <w:rPr>
          <w:rFonts w:ascii="宋体" w:hAnsi="宋体"/>
        </w:rPr>
        <w:t>丰富图形动画功能，支持数据显示和数据输入，可显示趋势、报警，指示灯，多种图形符号，可进行数据采集和纪录，内建Web Server，支持View和VisualBasic脚本编程，预置多种设备通讯协议。</w:t>
      </w:r>
    </w:p>
    <w:p>
      <w:pPr>
        <w:adjustRightInd w:val="0"/>
        <w:snapToGrid w:val="0"/>
        <w:spacing w:before="203" w:beforeLines="50" w:after="203" w:afterLines="50"/>
        <w:ind w:firstLine="500" w:firstLineChars="200"/>
        <w:rPr>
          <w:rFonts w:ascii="宋体" w:hAnsi="宋体"/>
        </w:rPr>
      </w:pPr>
      <w:bookmarkStart w:id="7221" w:name="_Toc301171383"/>
      <w:bookmarkStart w:id="7222" w:name="_Toc106050581"/>
      <w:bookmarkStart w:id="7223" w:name="_Toc301178810"/>
      <w:bookmarkStart w:id="7224" w:name="_Toc98143038"/>
      <w:r>
        <w:rPr>
          <w:rFonts w:ascii="宋体" w:hAnsi="宋体"/>
        </w:rPr>
        <w:t>3、工业网络交换机</w:t>
      </w:r>
      <w:bookmarkEnd w:id="7221"/>
      <w:bookmarkEnd w:id="7222"/>
      <w:bookmarkEnd w:id="7223"/>
      <w:bookmarkEnd w:id="7224"/>
    </w:p>
    <w:p>
      <w:pPr>
        <w:adjustRightInd w:val="0"/>
        <w:snapToGrid w:val="0"/>
        <w:spacing w:before="203" w:beforeLines="50" w:after="203" w:afterLines="50"/>
        <w:ind w:firstLine="500" w:firstLineChars="200"/>
        <w:rPr>
          <w:rFonts w:ascii="宋体" w:hAnsi="宋体"/>
        </w:rPr>
      </w:pPr>
      <w:r>
        <w:rPr>
          <w:rFonts w:ascii="宋体" w:hAnsi="宋体"/>
        </w:rPr>
        <w:t>采用工业级、全管理型光纤以太网交换机产品，平均无故障运行时间（MTBF）大于100万小时。</w:t>
      </w:r>
    </w:p>
    <w:p>
      <w:pPr>
        <w:adjustRightInd w:val="0"/>
        <w:snapToGrid w:val="0"/>
        <w:spacing w:before="203" w:beforeLines="50" w:after="203" w:afterLines="50"/>
        <w:ind w:firstLine="500" w:firstLineChars="200"/>
        <w:rPr>
          <w:rFonts w:ascii="宋体" w:hAnsi="宋体"/>
        </w:rPr>
      </w:pPr>
      <w:r>
        <w:rPr>
          <w:rFonts w:ascii="宋体" w:hAnsi="宋体"/>
        </w:rPr>
        <w:t>保留了充分的端口余量，具有良好的可扩展性。</w:t>
      </w:r>
    </w:p>
    <w:p>
      <w:pPr>
        <w:adjustRightInd w:val="0"/>
        <w:snapToGrid w:val="0"/>
        <w:spacing w:before="203" w:beforeLines="50" w:after="203" w:afterLines="50"/>
        <w:ind w:firstLine="500" w:firstLineChars="200"/>
        <w:rPr>
          <w:rFonts w:ascii="宋体" w:hAnsi="宋体"/>
        </w:rPr>
      </w:pPr>
      <w:r>
        <w:rPr>
          <w:rFonts w:ascii="宋体" w:hAnsi="宋体"/>
        </w:rPr>
        <w:t>能在恶劣环境条件下，宽温（-20℃—70℃）、强电磁干扰环境下使用。</w:t>
      </w:r>
    </w:p>
    <w:p>
      <w:pPr>
        <w:adjustRightInd w:val="0"/>
        <w:snapToGrid w:val="0"/>
        <w:spacing w:before="203" w:beforeLines="50" w:after="203" w:afterLines="50"/>
        <w:ind w:firstLine="500" w:firstLineChars="200"/>
        <w:rPr>
          <w:rFonts w:ascii="宋体" w:hAnsi="宋体"/>
        </w:rPr>
      </w:pPr>
      <w:r>
        <w:rPr>
          <w:rFonts w:ascii="宋体" w:hAnsi="宋体"/>
        </w:rPr>
        <w:t>支持STP和RSTP协议，环网可以在30ms内自动回复正常工作；</w:t>
      </w:r>
    </w:p>
    <w:p>
      <w:pPr>
        <w:adjustRightInd w:val="0"/>
        <w:snapToGrid w:val="0"/>
        <w:spacing w:before="203" w:beforeLines="50" w:after="203" w:afterLines="50"/>
        <w:ind w:firstLine="500" w:firstLineChars="200"/>
        <w:rPr>
          <w:rFonts w:ascii="宋体" w:hAnsi="宋体"/>
        </w:rPr>
      </w:pPr>
      <w:r>
        <w:rPr>
          <w:rFonts w:ascii="宋体" w:hAnsi="宋体"/>
        </w:rPr>
        <w:t>支持SNMPV1、V2、V3功能，可以应用SNMP，COM端口，和TeInet界面对网络、交换机进行远程、实时诊断功能；可通过标准公CIP消息传递直接为可编程逻辑控制器（PLC）和HM（人机界面）等提供信息和配置访问。</w:t>
      </w:r>
    </w:p>
    <w:p>
      <w:pPr>
        <w:adjustRightInd w:val="0"/>
        <w:snapToGrid w:val="0"/>
        <w:spacing w:before="203" w:beforeLines="50" w:after="203" w:afterLines="50"/>
        <w:ind w:firstLine="500" w:firstLineChars="200"/>
        <w:rPr>
          <w:rFonts w:ascii="宋体" w:hAnsi="宋体"/>
        </w:rPr>
      </w:pPr>
      <w:r>
        <w:rPr>
          <w:rFonts w:ascii="宋体" w:hAnsi="宋体"/>
        </w:rPr>
        <w:t>支持虚拟局域网VLAN技术。采用VLAN后可以将整个网络划分成若干小的广播帧限制在VLAN的内部，避免了广播帧在网络上的蔓延。</w:t>
      </w:r>
    </w:p>
    <w:p>
      <w:pPr>
        <w:adjustRightInd w:val="0"/>
        <w:snapToGrid w:val="0"/>
        <w:spacing w:before="203" w:beforeLines="50" w:after="203" w:afterLines="50"/>
        <w:ind w:firstLine="500" w:firstLineChars="200"/>
        <w:rPr>
          <w:rFonts w:ascii="宋体" w:hAnsi="宋体"/>
        </w:rPr>
      </w:pPr>
      <w:r>
        <w:rPr>
          <w:rFonts w:ascii="宋体" w:hAnsi="宋体"/>
        </w:rPr>
        <w:t>支持IGMP（The  Internet  Group  Management  Protocol）自动配置功能，可使交换机基于已知的组地址转发组播流量；支持QOS（Quality  of  Service）功能；具有链路聚合（Trunking）、端口镜像与控制功能；</w:t>
      </w:r>
    </w:p>
    <w:p>
      <w:pPr>
        <w:adjustRightInd w:val="0"/>
        <w:snapToGrid w:val="0"/>
        <w:spacing w:before="203" w:beforeLines="50" w:after="203" w:afterLines="50"/>
        <w:ind w:firstLine="500" w:firstLineChars="200"/>
        <w:rPr>
          <w:rFonts w:ascii="宋体" w:hAnsi="宋体"/>
        </w:rPr>
      </w:pPr>
      <w:r>
        <w:rPr>
          <w:rFonts w:ascii="宋体" w:hAnsi="宋体"/>
        </w:rPr>
        <w:t>支持各种不同的通讯介质和组网方式；</w:t>
      </w:r>
    </w:p>
    <w:p>
      <w:pPr>
        <w:adjustRightInd w:val="0"/>
        <w:snapToGrid w:val="0"/>
        <w:spacing w:before="203" w:beforeLines="50" w:after="203" w:afterLines="50"/>
        <w:ind w:firstLine="500" w:firstLineChars="200"/>
        <w:rPr>
          <w:rFonts w:ascii="宋体" w:hAnsi="宋体"/>
        </w:rPr>
      </w:pPr>
      <w:r>
        <w:rPr>
          <w:rFonts w:ascii="宋体" w:hAnsi="宋体"/>
        </w:rPr>
        <w:t>支持DIN导轨式安装、机架安装、面板安装等多种安装方式，可直接安装在PLC控制柜内，无风扇设计；</w:t>
      </w:r>
    </w:p>
    <w:p>
      <w:pPr>
        <w:adjustRightInd w:val="0"/>
        <w:snapToGrid w:val="0"/>
        <w:spacing w:before="203" w:beforeLines="50" w:after="203" w:afterLines="50"/>
        <w:ind w:firstLine="500" w:firstLineChars="200"/>
        <w:rPr>
          <w:rFonts w:ascii="宋体" w:hAnsi="宋体"/>
        </w:rPr>
      </w:pPr>
      <w:r>
        <w:rPr>
          <w:rFonts w:ascii="宋体" w:hAnsi="宋体"/>
        </w:rPr>
        <w:t>24DVC冗余电源供电，可靠、安全性好；并且所有电口模块具有16KV过压保护及静电保护功能；</w:t>
      </w:r>
    </w:p>
    <w:p>
      <w:pPr>
        <w:adjustRightInd w:val="0"/>
        <w:snapToGrid w:val="0"/>
        <w:spacing w:before="203" w:beforeLines="50" w:after="203" w:afterLines="50"/>
        <w:ind w:firstLine="500" w:firstLineChars="200"/>
        <w:rPr>
          <w:rFonts w:ascii="宋体" w:hAnsi="宋体"/>
        </w:rPr>
      </w:pPr>
      <w:bookmarkStart w:id="7225" w:name="_Toc106050582"/>
      <w:bookmarkStart w:id="7226" w:name="_Toc301178811"/>
      <w:bookmarkStart w:id="7227" w:name="_Toc301171384"/>
      <w:bookmarkStart w:id="7228" w:name="_Toc98143039"/>
      <w:r>
        <w:rPr>
          <w:rFonts w:ascii="宋体" w:hAnsi="宋体"/>
        </w:rPr>
        <w:t>4、不间断电源</w:t>
      </w:r>
      <w:bookmarkEnd w:id="7225"/>
      <w:bookmarkEnd w:id="7226"/>
      <w:bookmarkEnd w:id="7227"/>
      <w:bookmarkEnd w:id="7228"/>
    </w:p>
    <w:p>
      <w:pPr>
        <w:adjustRightInd w:val="0"/>
        <w:snapToGrid w:val="0"/>
        <w:spacing w:before="203" w:beforeLines="50" w:after="203" w:afterLines="50"/>
        <w:ind w:firstLine="500" w:firstLineChars="200"/>
        <w:rPr>
          <w:rFonts w:ascii="宋体" w:hAnsi="宋体"/>
        </w:rPr>
      </w:pPr>
      <w:r>
        <w:rPr>
          <w:rFonts w:ascii="宋体" w:hAnsi="宋体"/>
        </w:rPr>
        <w:t>选用品牌需通过CE认证、UL标准认证和ISO9001的认证。并提供厂家证明。</w:t>
      </w:r>
    </w:p>
    <w:p>
      <w:pPr>
        <w:adjustRightInd w:val="0"/>
        <w:snapToGrid w:val="0"/>
        <w:spacing w:before="203" w:beforeLines="50" w:after="203" w:afterLines="50"/>
        <w:ind w:firstLine="500" w:firstLineChars="200"/>
        <w:rPr>
          <w:rFonts w:ascii="宋体" w:hAnsi="宋体"/>
        </w:rPr>
      </w:pPr>
      <w:r>
        <w:rPr>
          <w:rFonts w:ascii="宋体" w:hAnsi="宋体"/>
        </w:rPr>
        <w:t>蓄电池要求性能指标不低于《固定型阀控密封式铅酸蓄电池》GB/T19638.2-2005的要 求。厂家同时承担全部的售前售后服务责任和工作。</w:t>
      </w:r>
    </w:p>
    <w:p>
      <w:pPr>
        <w:adjustRightInd w:val="0"/>
        <w:snapToGrid w:val="0"/>
        <w:spacing w:before="203" w:beforeLines="50" w:after="203" w:afterLines="50"/>
        <w:ind w:firstLine="500" w:firstLineChars="200"/>
        <w:rPr>
          <w:rFonts w:ascii="宋体" w:hAnsi="宋体"/>
        </w:rPr>
      </w:pPr>
      <w:r>
        <w:rPr>
          <w:rFonts w:ascii="宋体" w:hAnsi="宋体"/>
        </w:rPr>
        <w:t>双变换纯在线式工频UPS不间断电源，内含输入隔离变压器和输出隔离变压器。整流逆变均采用全数字化控制，可靠性高。具有LBS母线同步控制器功能，以便实现UPS对负载的双母线电源供电。</w:t>
      </w:r>
    </w:p>
    <w:p>
      <w:pPr>
        <w:adjustRightInd w:val="0"/>
        <w:snapToGrid w:val="0"/>
        <w:spacing w:before="203" w:beforeLines="50" w:after="203" w:afterLines="50"/>
        <w:ind w:firstLine="500" w:firstLineChars="200"/>
        <w:rPr>
          <w:rFonts w:ascii="宋体" w:hAnsi="宋体"/>
        </w:rPr>
      </w:pPr>
      <w:r>
        <w:rPr>
          <w:rFonts w:ascii="宋体" w:hAnsi="宋体"/>
        </w:rPr>
        <w:t>主机设置双电源ATS（四级）输入接线方式，同时UPS要求内置D级防雷器。</w:t>
      </w:r>
    </w:p>
    <w:p>
      <w:pPr>
        <w:adjustRightInd w:val="0"/>
        <w:snapToGrid w:val="0"/>
        <w:spacing w:before="203" w:beforeLines="50" w:after="203" w:afterLines="50"/>
        <w:ind w:firstLine="500" w:firstLineChars="200"/>
        <w:rPr>
          <w:rFonts w:ascii="宋体" w:hAnsi="宋体"/>
        </w:rPr>
      </w:pPr>
      <w:r>
        <w:rPr>
          <w:rFonts w:hint="eastAsia" w:ascii="宋体" w:hAnsi="宋体"/>
        </w:rPr>
        <w:t>单</w:t>
      </w:r>
      <w:r>
        <w:rPr>
          <w:rFonts w:ascii="宋体" w:hAnsi="宋体"/>
        </w:rPr>
        <w:t xml:space="preserve">相输入 / </w:t>
      </w:r>
      <w:r>
        <w:rPr>
          <w:rFonts w:hint="eastAsia" w:ascii="宋体" w:hAnsi="宋体"/>
        </w:rPr>
        <w:t>单</w:t>
      </w:r>
      <w:r>
        <w:rPr>
          <w:rFonts w:ascii="宋体" w:hAnsi="宋体"/>
        </w:rPr>
        <w:t>相输出，额定输入电压；285VAC—492VAC， TN-S制式；</w:t>
      </w:r>
    </w:p>
    <w:p>
      <w:pPr>
        <w:adjustRightInd w:val="0"/>
        <w:snapToGrid w:val="0"/>
        <w:spacing w:before="203" w:beforeLines="50" w:after="203" w:afterLines="50"/>
        <w:ind w:firstLine="500" w:firstLineChars="200"/>
        <w:rPr>
          <w:rFonts w:ascii="宋体" w:hAnsi="宋体"/>
        </w:rPr>
      </w:pPr>
      <w:r>
        <w:rPr>
          <w:rFonts w:ascii="宋体" w:hAnsi="宋体"/>
        </w:rPr>
        <w:t>输入功率因数＞0.98，输入谐波电流&lt;5%；</w:t>
      </w:r>
    </w:p>
    <w:p>
      <w:pPr>
        <w:adjustRightInd w:val="0"/>
        <w:snapToGrid w:val="0"/>
        <w:spacing w:before="203" w:beforeLines="50" w:after="203" w:afterLines="50"/>
        <w:ind w:firstLine="500" w:firstLineChars="200"/>
        <w:rPr>
          <w:rFonts w:ascii="宋体" w:hAnsi="宋体"/>
        </w:rPr>
      </w:pPr>
      <w:r>
        <w:rPr>
          <w:rFonts w:ascii="宋体" w:hAnsi="宋体"/>
        </w:rPr>
        <w:t>具有远程智能开关机功能，UPS须具备标准的SNMP通讯接口，并提供与通讯接口配套使用的通讯电缆、各种告警信号输出端子。该端口使UPS能够用TCP/IP直接与所有的以太网连接，利用网上任何一台计算机都可以通过网络管理UPS。 须提供监控软件和通讯协议，便于组网监控管理。该管理软件可以实地监控UPS的运行状态、各项电气参数指标，可根据实际负载的大小测定电池的实际放电时间和容量。</w:t>
      </w:r>
    </w:p>
    <w:p>
      <w:pPr>
        <w:adjustRightInd w:val="0"/>
        <w:snapToGrid w:val="0"/>
        <w:spacing w:before="203" w:beforeLines="50" w:after="203" w:afterLines="50"/>
        <w:ind w:firstLine="500" w:firstLineChars="200"/>
        <w:rPr>
          <w:rFonts w:ascii="宋体" w:hAnsi="宋体"/>
        </w:rPr>
      </w:pPr>
      <w:r>
        <w:rPr>
          <w:rFonts w:ascii="宋体" w:hAnsi="宋体"/>
        </w:rPr>
        <w:t xml:space="preserve">输出电压380V+0.5%，TN-S制式； </w:t>
      </w:r>
    </w:p>
    <w:p>
      <w:pPr>
        <w:adjustRightInd w:val="0"/>
        <w:snapToGrid w:val="0"/>
        <w:spacing w:before="203" w:beforeLines="50" w:after="203" w:afterLines="50"/>
        <w:ind w:firstLine="500" w:firstLineChars="200"/>
        <w:rPr>
          <w:rFonts w:ascii="宋体" w:hAnsi="宋体"/>
        </w:rPr>
      </w:pPr>
      <w:r>
        <w:rPr>
          <w:rFonts w:ascii="宋体" w:hAnsi="宋体"/>
        </w:rPr>
        <w:t>波形失真＜3%（线性负载）；</w:t>
      </w:r>
    </w:p>
    <w:p>
      <w:pPr>
        <w:adjustRightInd w:val="0"/>
        <w:snapToGrid w:val="0"/>
        <w:spacing w:before="203" w:beforeLines="50" w:after="203" w:afterLines="50"/>
        <w:ind w:firstLine="500" w:firstLineChars="200"/>
        <w:rPr>
          <w:rFonts w:ascii="宋体" w:hAnsi="宋体"/>
        </w:rPr>
      </w:pPr>
      <w:r>
        <w:rPr>
          <w:rFonts w:ascii="宋体" w:hAnsi="宋体"/>
        </w:rPr>
        <w:t xml:space="preserve">UPS应具有以下电池管理功能， </w:t>
      </w:r>
    </w:p>
    <w:p>
      <w:pPr>
        <w:adjustRightInd w:val="0"/>
        <w:snapToGrid w:val="0"/>
        <w:spacing w:before="203" w:beforeLines="50" w:after="203" w:afterLines="50"/>
        <w:ind w:firstLine="500" w:firstLineChars="200"/>
        <w:rPr>
          <w:rFonts w:ascii="宋体" w:hAnsi="宋体"/>
        </w:rPr>
      </w:pPr>
      <w:r>
        <w:rPr>
          <w:rFonts w:ascii="宋体" w:hAnsi="宋体"/>
        </w:rPr>
        <w:t>采用三段间歇式ABM充电方式</w:t>
      </w:r>
    </w:p>
    <w:p>
      <w:pPr>
        <w:adjustRightInd w:val="0"/>
        <w:snapToGrid w:val="0"/>
        <w:spacing w:before="203" w:beforeLines="50" w:after="203" w:afterLines="50"/>
        <w:ind w:firstLine="500" w:firstLineChars="200"/>
        <w:rPr>
          <w:rFonts w:ascii="宋体" w:hAnsi="宋体"/>
        </w:rPr>
      </w:pPr>
      <w:r>
        <w:rPr>
          <w:rFonts w:ascii="宋体" w:hAnsi="宋体"/>
        </w:rPr>
        <w:t>均浮充电和放电电流的数字检测和控制以及外部调整控制</w:t>
      </w:r>
    </w:p>
    <w:p>
      <w:pPr>
        <w:adjustRightInd w:val="0"/>
        <w:snapToGrid w:val="0"/>
        <w:spacing w:before="203" w:beforeLines="50" w:after="203" w:afterLines="50"/>
        <w:ind w:firstLine="500" w:firstLineChars="200"/>
        <w:rPr>
          <w:rFonts w:ascii="宋体" w:hAnsi="宋体"/>
        </w:rPr>
      </w:pPr>
      <w:r>
        <w:rPr>
          <w:rFonts w:ascii="宋体" w:hAnsi="宋体"/>
        </w:rPr>
        <w:t>电池定时自检和过放电设置的外部调整控制</w:t>
      </w:r>
    </w:p>
    <w:p>
      <w:pPr>
        <w:adjustRightInd w:val="0"/>
        <w:snapToGrid w:val="0"/>
        <w:spacing w:before="203" w:beforeLines="50" w:after="203" w:afterLines="50"/>
        <w:ind w:firstLine="500" w:firstLineChars="200"/>
        <w:rPr>
          <w:rFonts w:ascii="宋体" w:hAnsi="宋体"/>
        </w:rPr>
      </w:pPr>
      <w:r>
        <w:rPr>
          <w:rFonts w:ascii="宋体" w:hAnsi="宋体"/>
        </w:rPr>
        <w:t>温度补偿式充电和电池的寿命计算，根据电池温度和使用时间自动修正电池寿命，到电池寿命终止前，产生更换电池的报警提示。</w:t>
      </w:r>
    </w:p>
    <w:p>
      <w:pPr>
        <w:adjustRightInd w:val="0"/>
        <w:snapToGrid w:val="0"/>
        <w:spacing w:before="203" w:beforeLines="50" w:after="203" w:afterLines="50"/>
        <w:ind w:firstLine="500" w:firstLineChars="200"/>
        <w:rPr>
          <w:rFonts w:ascii="宋体" w:hAnsi="宋体"/>
        </w:rPr>
      </w:pPr>
      <w:r>
        <w:rPr>
          <w:rFonts w:ascii="宋体" w:hAnsi="宋体"/>
        </w:rPr>
        <w:t>过载能力200%负载时100mS, 150%负载时1min</w:t>
      </w:r>
    </w:p>
    <w:p>
      <w:pPr>
        <w:adjustRightInd w:val="0"/>
        <w:snapToGrid w:val="0"/>
        <w:spacing w:before="203" w:beforeLines="50" w:after="203" w:afterLines="50"/>
        <w:ind w:firstLine="500" w:firstLineChars="200"/>
        <w:rPr>
          <w:rFonts w:ascii="宋体" w:hAnsi="宋体"/>
        </w:rPr>
      </w:pPr>
      <w:r>
        <w:rPr>
          <w:rFonts w:ascii="宋体" w:hAnsi="宋体"/>
        </w:rPr>
        <w:t>SNMP/MODBUS/JBUS/远程监控，并保证监控通讯协议的开放性或兼容性</w:t>
      </w:r>
    </w:p>
    <w:p>
      <w:pPr>
        <w:adjustRightInd w:val="0"/>
        <w:snapToGrid w:val="0"/>
        <w:spacing w:before="203" w:beforeLines="50" w:after="203" w:afterLines="50"/>
        <w:ind w:firstLine="500" w:firstLineChars="200"/>
        <w:rPr>
          <w:rFonts w:ascii="宋体" w:hAnsi="宋体"/>
        </w:rPr>
      </w:pPr>
      <w:r>
        <w:rPr>
          <w:rFonts w:ascii="宋体" w:hAnsi="宋体"/>
        </w:rPr>
        <w:t>UPS内部结构必须为类模块化设计，所有操作和维护工作均在前门正面进行</w:t>
      </w:r>
    </w:p>
    <w:p>
      <w:pPr>
        <w:adjustRightInd w:val="0"/>
        <w:snapToGrid w:val="0"/>
        <w:spacing w:before="203" w:beforeLines="50" w:after="203" w:afterLines="50"/>
        <w:ind w:firstLine="500" w:firstLineChars="200"/>
        <w:rPr>
          <w:rFonts w:ascii="宋体" w:hAnsi="宋体"/>
        </w:rPr>
      </w:pPr>
      <w:r>
        <w:rPr>
          <w:rFonts w:ascii="宋体" w:hAnsi="宋体"/>
        </w:rPr>
        <w:t>UPS输入整流器必须是基于IGBT器件的高频变换整流技术，以实现降低输入电流谐波和输入功率因数大于0.99的要求。</w:t>
      </w:r>
    </w:p>
    <w:p>
      <w:pPr>
        <w:adjustRightInd w:val="0"/>
        <w:snapToGrid w:val="0"/>
        <w:spacing w:before="203" w:beforeLines="50" w:after="203" w:afterLines="50"/>
        <w:ind w:firstLine="500" w:firstLineChars="200"/>
        <w:rPr>
          <w:rFonts w:ascii="宋体" w:hAnsi="宋体"/>
        </w:rPr>
      </w:pPr>
      <w:r>
        <w:rPr>
          <w:rFonts w:ascii="宋体" w:hAnsi="宋体"/>
        </w:rPr>
        <w:t>投标报价包含市电—发电—UPS的切换控制、UPS输入输出配电和线缆、远程监控联网等一体化工作。</w:t>
      </w:r>
    </w:p>
    <w:p>
      <w:pPr>
        <w:adjustRightInd w:val="0"/>
        <w:snapToGrid w:val="0"/>
        <w:spacing w:before="203" w:beforeLines="50" w:after="203" w:afterLines="50"/>
        <w:ind w:firstLine="500" w:firstLineChars="200"/>
        <w:rPr>
          <w:rFonts w:ascii="宋体" w:hAnsi="宋体"/>
        </w:rPr>
      </w:pPr>
      <w:bookmarkStart w:id="7229" w:name="_Toc301171385"/>
      <w:bookmarkStart w:id="7230" w:name="_Toc98143040"/>
      <w:bookmarkStart w:id="7231" w:name="_Toc301178812"/>
      <w:r>
        <w:rPr>
          <w:rFonts w:ascii="宋体" w:hAnsi="宋体"/>
        </w:rPr>
        <w:t>5、控制箱、柜</w:t>
      </w:r>
      <w:bookmarkEnd w:id="7229"/>
      <w:bookmarkEnd w:id="7230"/>
      <w:bookmarkEnd w:id="7231"/>
    </w:p>
    <w:p>
      <w:pPr>
        <w:adjustRightInd w:val="0"/>
        <w:snapToGrid w:val="0"/>
        <w:spacing w:before="203" w:beforeLines="50" w:after="203" w:afterLines="50"/>
        <w:ind w:firstLine="500" w:firstLineChars="200"/>
        <w:rPr>
          <w:rFonts w:ascii="宋体" w:hAnsi="宋体"/>
        </w:rPr>
      </w:pPr>
      <w:r>
        <w:rPr>
          <w:rFonts w:ascii="宋体" w:hAnsi="宋体"/>
        </w:rPr>
        <w:t>PLC控制柜配备冷却风扇及过滤网。</w:t>
      </w:r>
    </w:p>
    <w:p>
      <w:pPr>
        <w:adjustRightInd w:val="0"/>
        <w:snapToGrid w:val="0"/>
        <w:spacing w:before="203" w:beforeLines="50" w:after="203" w:afterLines="50"/>
        <w:ind w:firstLine="500" w:firstLineChars="200"/>
        <w:rPr>
          <w:rFonts w:ascii="宋体" w:hAnsi="宋体"/>
        </w:rPr>
      </w:pPr>
      <w:r>
        <w:rPr>
          <w:rFonts w:ascii="宋体" w:hAnsi="宋体"/>
        </w:rPr>
        <w:t>结构：所有箱柜必须为防虫、防尘、防潮的构造，PLC箱柜必须采用强迫通风方式，其它在保障内部设备正常工作的情况下，可以采用自然通风方式。</w:t>
      </w:r>
    </w:p>
    <w:p>
      <w:pPr>
        <w:adjustRightInd w:val="0"/>
        <w:snapToGrid w:val="0"/>
        <w:spacing w:before="203" w:beforeLines="50" w:after="203" w:afterLines="50"/>
        <w:ind w:firstLine="500" w:firstLineChars="200"/>
        <w:rPr>
          <w:rFonts w:ascii="宋体" w:hAnsi="宋体"/>
          <w:bCs/>
        </w:rPr>
      </w:pPr>
      <w:r>
        <w:rPr>
          <w:rFonts w:ascii="宋体" w:hAnsi="宋体"/>
          <w:bCs/>
        </w:rPr>
        <w:t>柜体</w:t>
      </w:r>
    </w:p>
    <w:p>
      <w:pPr>
        <w:adjustRightInd w:val="0"/>
        <w:snapToGrid w:val="0"/>
        <w:spacing w:before="203" w:beforeLines="50" w:after="203" w:afterLines="50"/>
        <w:ind w:firstLine="500" w:firstLineChars="200"/>
        <w:rPr>
          <w:rFonts w:ascii="宋体" w:hAnsi="宋体"/>
        </w:rPr>
      </w:pPr>
      <w:r>
        <w:rPr>
          <w:rFonts w:ascii="宋体" w:hAnsi="宋体"/>
        </w:rPr>
        <w:t>材料：敷铝锌板。</w:t>
      </w:r>
    </w:p>
    <w:p>
      <w:pPr>
        <w:adjustRightInd w:val="0"/>
        <w:snapToGrid w:val="0"/>
        <w:spacing w:before="203" w:beforeLines="50" w:after="203" w:afterLines="50"/>
        <w:ind w:firstLine="500" w:firstLineChars="200"/>
        <w:rPr>
          <w:rFonts w:ascii="宋体" w:hAnsi="宋体"/>
        </w:rPr>
      </w:pPr>
      <w:r>
        <w:rPr>
          <w:rFonts w:ascii="宋体" w:hAnsi="宋体"/>
        </w:rPr>
        <w:t>柜体框架：九褶型材。</w:t>
      </w:r>
    </w:p>
    <w:p>
      <w:pPr>
        <w:adjustRightInd w:val="0"/>
        <w:snapToGrid w:val="0"/>
        <w:spacing w:before="203" w:beforeLines="50" w:after="203" w:afterLines="50"/>
        <w:ind w:firstLine="500" w:firstLineChars="200"/>
        <w:rPr>
          <w:rFonts w:ascii="宋体" w:hAnsi="宋体"/>
        </w:rPr>
      </w:pPr>
      <w:r>
        <w:rPr>
          <w:rFonts w:ascii="宋体" w:hAnsi="宋体"/>
        </w:rPr>
        <w:t>门：2.0mm</w:t>
      </w:r>
    </w:p>
    <w:p>
      <w:pPr>
        <w:adjustRightInd w:val="0"/>
        <w:snapToGrid w:val="0"/>
        <w:spacing w:before="203" w:beforeLines="50" w:after="203" w:afterLines="50"/>
        <w:ind w:firstLine="500" w:firstLineChars="200"/>
        <w:rPr>
          <w:rFonts w:ascii="宋体" w:hAnsi="宋体"/>
        </w:rPr>
      </w:pPr>
      <w:r>
        <w:rPr>
          <w:rFonts w:ascii="宋体" w:hAnsi="宋体"/>
        </w:rPr>
        <w:t>后壁板：1.5mm</w:t>
      </w:r>
    </w:p>
    <w:p>
      <w:pPr>
        <w:adjustRightInd w:val="0"/>
        <w:snapToGrid w:val="0"/>
        <w:spacing w:before="203" w:beforeLines="50" w:after="203" w:afterLines="50"/>
        <w:ind w:firstLine="500" w:firstLineChars="200"/>
        <w:rPr>
          <w:rFonts w:ascii="宋体" w:hAnsi="宋体"/>
        </w:rPr>
      </w:pPr>
      <w:r>
        <w:rPr>
          <w:rFonts w:ascii="宋体" w:hAnsi="宋体"/>
        </w:rPr>
        <w:t>安装板：3.0mm</w:t>
      </w:r>
    </w:p>
    <w:p>
      <w:pPr>
        <w:adjustRightInd w:val="0"/>
        <w:snapToGrid w:val="0"/>
        <w:spacing w:before="203" w:beforeLines="50" w:after="203" w:afterLines="50"/>
        <w:ind w:firstLine="500" w:firstLineChars="200"/>
        <w:rPr>
          <w:rFonts w:ascii="宋体" w:hAnsi="宋体"/>
        </w:rPr>
      </w:pPr>
      <w:r>
        <w:rPr>
          <w:rFonts w:ascii="宋体" w:hAnsi="宋体"/>
        </w:rPr>
        <w:t>表面处理：粉末涂层，RAL7032织纹状饰面。</w:t>
      </w:r>
    </w:p>
    <w:p>
      <w:pPr>
        <w:adjustRightInd w:val="0"/>
        <w:snapToGrid w:val="0"/>
        <w:spacing w:before="203" w:beforeLines="50" w:after="203" w:afterLines="50"/>
        <w:ind w:firstLine="500" w:firstLineChars="200"/>
        <w:rPr>
          <w:rFonts w:ascii="宋体" w:hAnsi="宋体"/>
        </w:rPr>
      </w:pPr>
      <w:r>
        <w:rPr>
          <w:rFonts w:ascii="宋体" w:hAnsi="宋体"/>
        </w:rPr>
        <w:t>防护类别：按EN60 529/10.91标准达到IP55级。</w:t>
      </w:r>
    </w:p>
    <w:p>
      <w:pPr>
        <w:adjustRightInd w:val="0"/>
        <w:snapToGrid w:val="0"/>
        <w:spacing w:before="203" w:beforeLines="50" w:after="203" w:afterLines="50"/>
        <w:rPr>
          <w:rFonts w:ascii="宋体" w:hAnsi="宋体"/>
          <w:b/>
        </w:rPr>
      </w:pPr>
      <w:r>
        <w:rPr>
          <w:rFonts w:ascii="宋体" w:hAnsi="宋体"/>
          <w:b/>
        </w:rPr>
        <w:t>附件品种齐全，安装灵活方便， 符合下列国际标准：</w:t>
      </w:r>
    </w:p>
    <w:p>
      <w:pPr>
        <w:adjustRightInd w:val="0"/>
        <w:snapToGrid w:val="0"/>
        <w:spacing w:before="203" w:beforeLines="50" w:after="203" w:afterLines="50"/>
        <w:ind w:firstLine="500" w:firstLineChars="200"/>
        <w:rPr>
          <w:rFonts w:ascii="宋体" w:hAnsi="宋体"/>
        </w:rPr>
      </w:pPr>
      <w:r>
        <w:rPr>
          <w:rFonts w:ascii="宋体" w:hAnsi="宋体"/>
        </w:rPr>
        <w:t>底座：材料为薄钢板；颜色为RAL7022</w:t>
      </w:r>
    </w:p>
    <w:p>
      <w:pPr>
        <w:adjustRightInd w:val="0"/>
        <w:snapToGrid w:val="0"/>
        <w:spacing w:before="203" w:beforeLines="50" w:after="203" w:afterLines="50"/>
        <w:ind w:firstLine="500" w:firstLineChars="200"/>
        <w:rPr>
          <w:rFonts w:ascii="宋体" w:hAnsi="宋体"/>
        </w:rPr>
      </w:pPr>
      <w:r>
        <w:rPr>
          <w:rFonts w:ascii="宋体" w:hAnsi="宋体"/>
        </w:rPr>
        <w:t>电缆引入板：薄钢板，锌板</w:t>
      </w:r>
    </w:p>
    <w:p>
      <w:pPr>
        <w:adjustRightInd w:val="0"/>
        <w:snapToGrid w:val="0"/>
        <w:spacing w:before="203" w:beforeLines="50" w:after="203" w:afterLines="50"/>
        <w:ind w:firstLine="500" w:firstLineChars="200"/>
        <w:rPr>
          <w:rFonts w:ascii="宋体" w:hAnsi="宋体"/>
        </w:rPr>
      </w:pPr>
      <w:r>
        <w:rPr>
          <w:rFonts w:ascii="宋体" w:hAnsi="宋体"/>
        </w:rPr>
        <w:t>电缆引入套管：IP55</w:t>
      </w:r>
    </w:p>
    <w:p>
      <w:pPr>
        <w:adjustRightInd w:val="0"/>
        <w:snapToGrid w:val="0"/>
        <w:spacing w:before="203" w:beforeLines="50" w:after="203" w:afterLines="50"/>
        <w:ind w:firstLine="500" w:firstLineChars="200"/>
        <w:rPr>
          <w:rFonts w:ascii="宋体" w:hAnsi="宋体"/>
        </w:rPr>
      </w:pPr>
      <w:r>
        <w:rPr>
          <w:rFonts w:ascii="宋体" w:hAnsi="宋体"/>
        </w:rPr>
        <w:t xml:space="preserve">电缆夹钳轨：电缆输入时减轻电缆的张力。装入箱柜的深度是可调的 </w:t>
      </w:r>
    </w:p>
    <w:p>
      <w:pPr>
        <w:adjustRightInd w:val="0"/>
        <w:snapToGrid w:val="0"/>
        <w:spacing w:before="203" w:beforeLines="50" w:after="203" w:afterLines="50"/>
        <w:ind w:firstLine="500" w:firstLineChars="200"/>
        <w:rPr>
          <w:rFonts w:ascii="宋体" w:hAnsi="宋体"/>
        </w:rPr>
      </w:pPr>
      <w:r>
        <w:rPr>
          <w:rFonts w:ascii="宋体" w:hAnsi="宋体"/>
        </w:rPr>
        <w:t>电缆夹钳轨用的角型电缆夹： 薄钢板，镀锌，铬酸钝化</w:t>
      </w:r>
    </w:p>
    <w:p>
      <w:pPr>
        <w:adjustRightInd w:val="0"/>
        <w:snapToGrid w:val="0"/>
        <w:spacing w:before="203" w:beforeLines="50" w:after="203" w:afterLines="50"/>
        <w:ind w:firstLine="500" w:firstLineChars="200"/>
        <w:rPr>
          <w:rFonts w:ascii="宋体" w:hAnsi="宋体"/>
        </w:rPr>
      </w:pPr>
      <w:r>
        <w:rPr>
          <w:rFonts w:ascii="宋体" w:hAnsi="宋体"/>
        </w:rPr>
        <w:t>标准把手系列：符合DIN18 254。</w:t>
      </w:r>
    </w:p>
    <w:p>
      <w:pPr>
        <w:adjustRightInd w:val="0"/>
        <w:snapToGrid w:val="0"/>
        <w:spacing w:before="203" w:beforeLines="50" w:after="203" w:afterLines="50"/>
        <w:ind w:firstLine="500" w:firstLineChars="200"/>
        <w:rPr>
          <w:rFonts w:ascii="宋体" w:hAnsi="宋体"/>
        </w:rPr>
      </w:pPr>
      <w:r>
        <w:rPr>
          <w:rFonts w:ascii="宋体" w:hAnsi="宋体"/>
        </w:rPr>
        <w:t>电缆软管和电缆软管夹子：电缆软管采用聚乙烯，电缆软管夹子采用聚酰胺。</w:t>
      </w:r>
    </w:p>
    <w:p>
      <w:pPr>
        <w:adjustRightInd w:val="0"/>
        <w:snapToGrid w:val="0"/>
        <w:spacing w:before="203" w:beforeLines="50" w:after="203" w:afterLines="50"/>
        <w:ind w:firstLine="500" w:firstLineChars="200"/>
        <w:rPr>
          <w:rFonts w:ascii="宋体" w:hAnsi="宋体"/>
          <w:bCs/>
        </w:rPr>
      </w:pPr>
      <w:r>
        <w:rPr>
          <w:rFonts w:ascii="宋体" w:hAnsi="宋体"/>
          <w:bCs/>
        </w:rPr>
        <w:t>柜体空调及风扇</w:t>
      </w:r>
    </w:p>
    <w:p>
      <w:pPr>
        <w:adjustRightInd w:val="0"/>
        <w:snapToGrid w:val="0"/>
        <w:spacing w:before="203" w:beforeLines="50" w:after="203" w:afterLines="50"/>
        <w:ind w:firstLine="500" w:firstLineChars="200"/>
        <w:rPr>
          <w:rFonts w:ascii="宋体" w:hAnsi="宋体"/>
        </w:rPr>
      </w:pPr>
      <w:r>
        <w:rPr>
          <w:rFonts w:ascii="宋体" w:hAnsi="宋体"/>
        </w:rPr>
        <w:t>外带百叶窗加过滤垫，内置风机或空调。符合DIN标准。</w:t>
      </w:r>
    </w:p>
    <w:p>
      <w:pPr>
        <w:adjustRightInd w:val="0"/>
        <w:snapToGrid w:val="0"/>
        <w:spacing w:before="203" w:beforeLines="50" w:after="203" w:afterLines="50"/>
        <w:ind w:firstLine="500" w:firstLineChars="200"/>
        <w:rPr>
          <w:rFonts w:ascii="宋体" w:hAnsi="宋体"/>
          <w:bCs/>
        </w:rPr>
      </w:pPr>
      <w:r>
        <w:rPr>
          <w:rFonts w:ascii="宋体" w:hAnsi="宋体"/>
          <w:bCs/>
        </w:rPr>
        <w:t>标识</w:t>
      </w:r>
    </w:p>
    <w:p>
      <w:pPr>
        <w:adjustRightInd w:val="0"/>
        <w:snapToGrid w:val="0"/>
        <w:spacing w:before="203" w:beforeLines="50" w:after="203" w:afterLines="50"/>
        <w:ind w:firstLine="500" w:firstLineChars="200"/>
        <w:rPr>
          <w:rFonts w:ascii="宋体" w:hAnsi="宋体"/>
        </w:rPr>
      </w:pPr>
      <w:r>
        <w:rPr>
          <w:rFonts w:ascii="宋体" w:hAnsi="宋体"/>
        </w:rPr>
        <w:t>所有独立的箱柜都有铭牌，标明生产厂家、设备名称和型号、主要参数、生产日期等必须的或关键的指数；</w:t>
      </w:r>
    </w:p>
    <w:p>
      <w:pPr>
        <w:adjustRightInd w:val="0"/>
        <w:snapToGrid w:val="0"/>
        <w:spacing w:before="203" w:beforeLines="50" w:after="203" w:afterLines="50"/>
        <w:ind w:firstLine="500" w:firstLineChars="200"/>
        <w:rPr>
          <w:rFonts w:ascii="宋体" w:hAnsi="宋体"/>
        </w:rPr>
      </w:pPr>
      <w:r>
        <w:rPr>
          <w:rFonts w:ascii="宋体" w:hAnsi="宋体"/>
        </w:rPr>
        <w:t>每个内部/面板元件都须有标记，并用文字或符号标明；</w:t>
      </w:r>
    </w:p>
    <w:p>
      <w:pPr>
        <w:adjustRightInd w:val="0"/>
        <w:snapToGrid w:val="0"/>
        <w:spacing w:before="203" w:beforeLines="50" w:after="203" w:afterLines="50"/>
        <w:ind w:firstLine="500" w:firstLineChars="200"/>
        <w:rPr>
          <w:rFonts w:ascii="宋体" w:hAnsi="宋体"/>
        </w:rPr>
      </w:pPr>
      <w:r>
        <w:rPr>
          <w:rFonts w:ascii="宋体" w:hAnsi="宋体"/>
        </w:rPr>
        <w:t>输入/输出端子排及每个端子都须有标记；</w:t>
      </w:r>
    </w:p>
    <w:p>
      <w:pPr>
        <w:adjustRightInd w:val="0"/>
        <w:snapToGrid w:val="0"/>
        <w:spacing w:before="203" w:beforeLines="50" w:after="203" w:afterLines="50"/>
        <w:ind w:firstLine="500" w:firstLineChars="200"/>
        <w:rPr>
          <w:rFonts w:ascii="宋体" w:hAnsi="宋体"/>
        </w:rPr>
      </w:pPr>
      <w:r>
        <w:rPr>
          <w:rFonts w:ascii="宋体" w:hAnsi="宋体"/>
        </w:rPr>
        <w:t>输入/输出电缆及每根电线都须有标记；</w:t>
      </w:r>
    </w:p>
    <w:p>
      <w:pPr>
        <w:adjustRightInd w:val="0"/>
        <w:snapToGrid w:val="0"/>
        <w:spacing w:before="203" w:beforeLines="50" w:after="203" w:afterLines="50"/>
        <w:ind w:firstLine="500" w:firstLineChars="200"/>
        <w:rPr>
          <w:rFonts w:ascii="宋体" w:hAnsi="宋体"/>
        </w:rPr>
      </w:pPr>
      <w:r>
        <w:rPr>
          <w:rFonts w:ascii="宋体" w:hAnsi="宋体"/>
        </w:rPr>
        <w:t>所使用的语言、文字、符号等必须规范，尽量以中文和相当的国标为主要规范。</w:t>
      </w:r>
    </w:p>
    <w:p>
      <w:pPr>
        <w:adjustRightInd w:val="0"/>
        <w:snapToGrid w:val="0"/>
        <w:spacing w:before="203" w:beforeLines="50" w:after="203" w:afterLines="50"/>
        <w:ind w:firstLine="500" w:firstLineChars="200"/>
        <w:rPr>
          <w:rFonts w:ascii="宋体" w:hAnsi="宋体"/>
          <w:bCs/>
        </w:rPr>
      </w:pPr>
      <w:r>
        <w:rPr>
          <w:rFonts w:ascii="宋体" w:hAnsi="宋体"/>
          <w:bCs/>
        </w:rPr>
        <w:t>柜内/面板设备</w:t>
      </w:r>
    </w:p>
    <w:p>
      <w:pPr>
        <w:adjustRightInd w:val="0"/>
        <w:snapToGrid w:val="0"/>
        <w:spacing w:before="203" w:beforeLines="50" w:after="203" w:afterLines="50"/>
        <w:ind w:firstLine="500" w:firstLineChars="200"/>
        <w:rPr>
          <w:rFonts w:ascii="宋体" w:hAnsi="宋体"/>
        </w:rPr>
      </w:pPr>
      <w:r>
        <w:rPr>
          <w:rFonts w:ascii="宋体" w:hAnsi="宋体"/>
        </w:rPr>
        <w:t>设备必须规范安装牢固，结</w:t>
      </w:r>
      <w:bookmarkStart w:id="7232" w:name="_Toc8202562"/>
      <w:bookmarkStart w:id="7233" w:name="_Toc7248891"/>
      <w:bookmarkStart w:id="7234" w:name="_Toc18483699"/>
      <w:r>
        <w:rPr>
          <w:rFonts w:ascii="宋体" w:hAnsi="宋体"/>
        </w:rPr>
        <w:t>构</w:t>
      </w:r>
      <w:bookmarkEnd w:id="7232"/>
      <w:bookmarkEnd w:id="7233"/>
      <w:bookmarkEnd w:id="7234"/>
      <w:r>
        <w:rPr>
          <w:rFonts w:ascii="宋体" w:hAnsi="宋体"/>
        </w:rPr>
        <w:t>布局合理；</w:t>
      </w:r>
    </w:p>
    <w:p>
      <w:pPr>
        <w:adjustRightInd w:val="0"/>
        <w:snapToGrid w:val="0"/>
        <w:spacing w:before="203" w:beforeLines="50" w:after="203" w:afterLines="50"/>
        <w:ind w:firstLine="500" w:firstLineChars="200"/>
        <w:rPr>
          <w:rFonts w:ascii="宋体" w:hAnsi="宋体"/>
        </w:rPr>
      </w:pPr>
      <w:r>
        <w:rPr>
          <w:rFonts w:ascii="宋体" w:hAnsi="宋体"/>
        </w:rPr>
        <w:t>安装设备与图纸一致；</w:t>
      </w:r>
    </w:p>
    <w:p>
      <w:pPr>
        <w:adjustRightInd w:val="0"/>
        <w:snapToGrid w:val="0"/>
        <w:spacing w:before="203" w:beforeLines="50" w:after="203" w:afterLines="50"/>
        <w:ind w:firstLine="500" w:firstLineChars="200"/>
        <w:rPr>
          <w:rFonts w:ascii="宋体" w:hAnsi="宋体"/>
        </w:rPr>
      </w:pPr>
      <w:r>
        <w:rPr>
          <w:rFonts w:ascii="宋体" w:hAnsi="宋体"/>
        </w:rPr>
        <w:t>输入的电源应有熔丝、开关等隔离，做好接地/接零；</w:t>
      </w:r>
    </w:p>
    <w:p>
      <w:pPr>
        <w:adjustRightInd w:val="0"/>
        <w:snapToGrid w:val="0"/>
        <w:spacing w:before="203" w:beforeLines="50" w:after="203" w:afterLines="50"/>
        <w:ind w:firstLine="500" w:firstLineChars="200"/>
        <w:rPr>
          <w:rFonts w:ascii="宋体" w:hAnsi="宋体"/>
        </w:rPr>
      </w:pPr>
      <w:r>
        <w:rPr>
          <w:rFonts w:ascii="宋体" w:hAnsi="宋体"/>
        </w:rPr>
        <w:t>固定设备应不影响门等活动设备的运用。</w:t>
      </w:r>
    </w:p>
    <w:p>
      <w:pPr>
        <w:adjustRightInd w:val="0"/>
        <w:snapToGrid w:val="0"/>
        <w:spacing w:before="203" w:beforeLines="50" w:after="203" w:afterLines="50"/>
        <w:ind w:firstLine="500" w:firstLineChars="200"/>
        <w:rPr>
          <w:rFonts w:ascii="宋体" w:hAnsi="宋体"/>
        </w:rPr>
      </w:pPr>
      <w:bookmarkStart w:id="7235" w:name="_Toc42306609"/>
      <w:bookmarkStart w:id="7236" w:name="_Toc42007912"/>
      <w:bookmarkStart w:id="7237" w:name="_Toc42009876"/>
      <w:r>
        <w:rPr>
          <w:rFonts w:ascii="宋体" w:hAnsi="宋体"/>
        </w:rPr>
        <w:t>6、避雷器</w:t>
      </w:r>
      <w:bookmarkEnd w:id="7235"/>
      <w:bookmarkEnd w:id="7236"/>
      <w:bookmarkEnd w:id="7237"/>
    </w:p>
    <w:p>
      <w:pPr>
        <w:adjustRightInd w:val="0"/>
        <w:snapToGrid w:val="0"/>
        <w:spacing w:before="203" w:beforeLines="50" w:after="203" w:afterLines="50"/>
        <w:ind w:firstLine="500" w:firstLineChars="200"/>
        <w:rPr>
          <w:rFonts w:ascii="宋体" w:hAnsi="宋体"/>
        </w:rPr>
      </w:pPr>
      <w:r>
        <w:rPr>
          <w:rFonts w:ascii="宋体" w:hAnsi="宋体"/>
        </w:rPr>
        <w:t>承包商应按照IEC标准及国家有关规范的要求，在做好系统屏蔽、接地和等电位连接的同时，还须根据系统特性及使用要求提供完整、可靠的防直击雷、感应雷及过电压保护系统，选择通过防雷型式试验测试（GB18802）的产品，以防止雷击或浪涌电压对系统的损坏。</w:t>
      </w:r>
    </w:p>
    <w:p>
      <w:pPr>
        <w:adjustRightInd w:val="0"/>
        <w:snapToGrid w:val="0"/>
        <w:spacing w:before="203" w:beforeLines="50" w:after="203" w:afterLines="50"/>
        <w:ind w:firstLine="500" w:firstLineChars="200"/>
        <w:rPr>
          <w:rFonts w:ascii="宋体" w:hAnsi="宋体"/>
        </w:rPr>
      </w:pPr>
      <w:r>
        <w:rPr>
          <w:rFonts w:ascii="宋体" w:hAnsi="宋体"/>
        </w:rPr>
        <w:t xml:space="preserve">同时，为减少备品备件和后期维护方便，承包商应采用同一品牌防雷产品。供货方提供2年内产品非人为因素损坏免费更换，5年内非人为因素损坏免费维修（收取配件费）的服务，并对防雷产品承保；终身提供免费技术咨询服务。 </w:t>
      </w:r>
    </w:p>
    <w:p>
      <w:pPr>
        <w:adjustRightInd w:val="0"/>
        <w:snapToGrid w:val="0"/>
        <w:spacing w:before="203" w:beforeLines="50" w:after="203" w:afterLines="50"/>
        <w:ind w:firstLine="500" w:firstLineChars="200"/>
        <w:rPr>
          <w:rFonts w:ascii="宋体" w:hAnsi="宋体"/>
        </w:rPr>
      </w:pPr>
      <w:r>
        <w:rPr>
          <w:rFonts w:ascii="宋体" w:hAnsi="宋体"/>
        </w:rPr>
        <w:t>1）</w:t>
      </w:r>
      <w:r>
        <w:rPr>
          <w:rFonts w:ascii="宋体" w:hAnsi="宋体"/>
        </w:rPr>
        <w:tab/>
      </w:r>
      <w:r>
        <w:rPr>
          <w:rFonts w:ascii="宋体" w:hAnsi="宋体"/>
        </w:rPr>
        <w:t>电源系统</w:t>
      </w:r>
    </w:p>
    <w:p>
      <w:pPr>
        <w:adjustRightInd w:val="0"/>
        <w:snapToGrid w:val="0"/>
        <w:spacing w:before="203" w:beforeLines="50" w:after="203" w:afterLines="50"/>
        <w:ind w:firstLine="500" w:firstLineChars="200"/>
        <w:rPr>
          <w:rFonts w:ascii="宋体" w:hAnsi="宋体"/>
        </w:rPr>
      </w:pPr>
      <w:r>
        <w:rPr>
          <w:rFonts w:ascii="宋体" w:hAnsi="宋体"/>
        </w:rPr>
        <w:t>应在高压开关柜低压侧输出端安装电源高能量防雷器，在低压设备控制柜（箱）进线端安装电源第二级防雷器，从而有效抑制远端直击雷和感应雷对工厂供电系统的威胁，并确保供电系统的安全。防雷器的技术参数应符合如下要求：</w:t>
      </w:r>
    </w:p>
    <w:p>
      <w:pPr>
        <w:adjustRightInd w:val="0"/>
        <w:snapToGrid w:val="0"/>
        <w:spacing w:before="203" w:beforeLines="50" w:after="203" w:afterLines="50"/>
        <w:ind w:firstLine="500" w:firstLineChars="200"/>
        <w:rPr>
          <w:rFonts w:ascii="宋体" w:hAnsi="宋体"/>
        </w:rPr>
      </w:pPr>
      <w:r>
        <w:rPr>
          <w:rFonts w:ascii="宋体" w:hAnsi="宋体"/>
        </w:rPr>
        <w:t xml:space="preserve">低压设备控制柜（箱）电源进线端使用第二级交流电源防雷器： </w:t>
      </w:r>
    </w:p>
    <w:p>
      <w:pPr>
        <w:adjustRightInd w:val="0"/>
        <w:snapToGrid w:val="0"/>
        <w:spacing w:before="203" w:beforeLines="50" w:after="203" w:afterLines="50"/>
        <w:ind w:firstLine="500" w:firstLineChars="200"/>
        <w:rPr>
          <w:rFonts w:ascii="宋体" w:hAnsi="宋体"/>
        </w:rPr>
      </w:pPr>
      <w:r>
        <w:rPr>
          <w:rFonts w:ascii="宋体" w:hAnsi="宋体"/>
        </w:rPr>
        <w:t>试验等级T2</w:t>
      </w:r>
    </w:p>
    <w:p>
      <w:pPr>
        <w:adjustRightInd w:val="0"/>
        <w:snapToGrid w:val="0"/>
        <w:spacing w:before="203" w:beforeLines="50" w:after="203" w:afterLines="50"/>
        <w:ind w:firstLine="500" w:firstLineChars="200"/>
        <w:rPr>
          <w:rFonts w:ascii="宋体" w:hAnsi="宋体"/>
        </w:rPr>
      </w:pPr>
      <w:r>
        <w:rPr>
          <w:rFonts w:ascii="宋体" w:hAnsi="宋体"/>
        </w:rPr>
        <w:t>最大持续运行电压Uc385VAC</w:t>
      </w:r>
    </w:p>
    <w:p>
      <w:pPr>
        <w:adjustRightInd w:val="0"/>
        <w:snapToGrid w:val="0"/>
        <w:spacing w:before="203" w:beforeLines="50" w:after="203" w:afterLines="50"/>
        <w:ind w:firstLine="500" w:firstLineChars="200"/>
        <w:rPr>
          <w:rFonts w:ascii="宋体" w:hAnsi="宋体"/>
        </w:rPr>
      </w:pPr>
      <w:r>
        <w:rPr>
          <w:rFonts w:ascii="宋体" w:hAnsi="宋体"/>
        </w:rPr>
        <w:t>标称放电电流In（8/20μs）：40KA；</w:t>
      </w:r>
    </w:p>
    <w:p>
      <w:pPr>
        <w:adjustRightInd w:val="0"/>
        <w:snapToGrid w:val="0"/>
        <w:spacing w:before="203" w:beforeLines="50" w:after="203" w:afterLines="50"/>
        <w:ind w:firstLine="500" w:firstLineChars="200"/>
        <w:rPr>
          <w:rFonts w:ascii="宋体" w:hAnsi="宋体"/>
        </w:rPr>
      </w:pPr>
      <w:r>
        <w:rPr>
          <w:rFonts w:ascii="宋体" w:hAnsi="宋体"/>
        </w:rPr>
        <w:t>最大放电电流Imax（8/20μs）：80KA；</w:t>
      </w:r>
    </w:p>
    <w:p>
      <w:pPr>
        <w:adjustRightInd w:val="0"/>
        <w:snapToGrid w:val="0"/>
        <w:spacing w:before="203" w:beforeLines="50" w:after="203" w:afterLines="50"/>
        <w:ind w:firstLine="500" w:firstLineChars="200"/>
        <w:rPr>
          <w:rFonts w:ascii="宋体" w:hAnsi="宋体"/>
        </w:rPr>
      </w:pPr>
      <w:r>
        <w:rPr>
          <w:rFonts w:ascii="宋体" w:hAnsi="宋体"/>
        </w:rPr>
        <w:t>电压保护水平: ≤2.5KV@40KA；</w:t>
      </w:r>
    </w:p>
    <w:p>
      <w:pPr>
        <w:adjustRightInd w:val="0"/>
        <w:snapToGrid w:val="0"/>
        <w:spacing w:before="203" w:beforeLines="50" w:after="203" w:afterLines="50"/>
        <w:ind w:firstLine="500" w:firstLineChars="200"/>
        <w:rPr>
          <w:rFonts w:ascii="宋体" w:hAnsi="宋体"/>
        </w:rPr>
      </w:pPr>
      <w:r>
        <w:rPr>
          <w:rFonts w:ascii="宋体" w:hAnsi="宋体"/>
        </w:rPr>
        <w:t>响应时间：≤25ns；</w:t>
      </w:r>
    </w:p>
    <w:p>
      <w:pPr>
        <w:adjustRightInd w:val="0"/>
        <w:snapToGrid w:val="0"/>
        <w:spacing w:before="203" w:beforeLines="50" w:after="203" w:afterLines="50"/>
        <w:ind w:firstLine="500" w:firstLineChars="200"/>
        <w:rPr>
          <w:rFonts w:ascii="宋体" w:hAnsi="宋体"/>
        </w:rPr>
      </w:pPr>
      <w:r>
        <w:rPr>
          <w:rFonts w:ascii="宋体" w:hAnsi="宋体"/>
        </w:rPr>
        <w:t>通过热稳定、短路耐受、TOV等安全性试验；</w:t>
      </w:r>
    </w:p>
    <w:p>
      <w:pPr>
        <w:adjustRightInd w:val="0"/>
        <w:snapToGrid w:val="0"/>
        <w:spacing w:before="203" w:beforeLines="50" w:after="203" w:afterLines="50"/>
        <w:ind w:firstLine="500" w:firstLineChars="200"/>
        <w:rPr>
          <w:rFonts w:ascii="宋体" w:hAnsi="宋体"/>
        </w:rPr>
      </w:pPr>
      <w:r>
        <w:rPr>
          <w:rFonts w:ascii="宋体" w:hAnsi="宋体"/>
        </w:rPr>
        <w:t>通过气象型式试验；</w:t>
      </w:r>
    </w:p>
    <w:p>
      <w:pPr>
        <w:adjustRightInd w:val="0"/>
        <w:snapToGrid w:val="0"/>
        <w:spacing w:before="203" w:beforeLines="50" w:after="203" w:afterLines="50"/>
        <w:ind w:firstLine="500" w:firstLineChars="200"/>
        <w:rPr>
          <w:rFonts w:ascii="宋体" w:hAnsi="宋体"/>
        </w:rPr>
      </w:pPr>
      <w:r>
        <w:rPr>
          <w:rFonts w:ascii="宋体" w:hAnsi="宋体"/>
        </w:rPr>
        <w:t>应在中控室、各PLC子站电源进线端和现场各I/O控制站电源进、出线端及现场仪表供电电源出线端安装电源第三级防雷器，以保护中控室设备、PLC、I/O控制站设备及现场仪表等的供电安全。同时，防雷器（或组合）应满足现场环境对防雷器（或组合）的防尘、防潮、抗冲击等要求。防雷器的技术参数应符合如下要求：</w:t>
      </w:r>
    </w:p>
    <w:p>
      <w:pPr>
        <w:adjustRightInd w:val="0"/>
        <w:snapToGrid w:val="0"/>
        <w:spacing w:before="203" w:beforeLines="50" w:after="203" w:afterLines="50"/>
        <w:ind w:firstLine="500" w:firstLineChars="200"/>
        <w:rPr>
          <w:rFonts w:ascii="宋体" w:hAnsi="宋体"/>
        </w:rPr>
      </w:pPr>
      <w:r>
        <w:rPr>
          <w:rFonts w:ascii="宋体" w:hAnsi="宋体"/>
        </w:rPr>
        <w:t>中控室, PLC子站, I/O控制站, 现场仪表电源使用第三级交流电源防雷器：</w:t>
      </w:r>
    </w:p>
    <w:p>
      <w:pPr>
        <w:adjustRightInd w:val="0"/>
        <w:snapToGrid w:val="0"/>
        <w:spacing w:before="203" w:beforeLines="50" w:after="203" w:afterLines="50"/>
        <w:ind w:firstLine="500" w:firstLineChars="200"/>
        <w:rPr>
          <w:rFonts w:ascii="宋体" w:hAnsi="宋体"/>
        </w:rPr>
      </w:pPr>
      <w:r>
        <w:rPr>
          <w:rFonts w:ascii="宋体" w:hAnsi="宋体"/>
        </w:rPr>
        <w:t>试验等级T2</w:t>
      </w:r>
    </w:p>
    <w:p>
      <w:pPr>
        <w:adjustRightInd w:val="0"/>
        <w:snapToGrid w:val="0"/>
        <w:spacing w:before="203" w:beforeLines="50" w:after="203" w:afterLines="50"/>
        <w:ind w:firstLine="500" w:firstLineChars="200"/>
        <w:rPr>
          <w:rFonts w:ascii="宋体" w:hAnsi="宋体"/>
        </w:rPr>
      </w:pPr>
      <w:r>
        <w:rPr>
          <w:rFonts w:ascii="宋体" w:hAnsi="宋体"/>
        </w:rPr>
        <w:t>最大持续运行电压Uc385VAC</w:t>
      </w:r>
    </w:p>
    <w:p>
      <w:pPr>
        <w:adjustRightInd w:val="0"/>
        <w:snapToGrid w:val="0"/>
        <w:spacing w:before="203" w:beforeLines="50" w:after="203" w:afterLines="50"/>
        <w:ind w:firstLine="500" w:firstLineChars="200"/>
        <w:rPr>
          <w:rFonts w:ascii="宋体" w:hAnsi="宋体"/>
        </w:rPr>
      </w:pPr>
      <w:r>
        <w:rPr>
          <w:rFonts w:ascii="宋体" w:hAnsi="宋体"/>
        </w:rPr>
        <w:t>标称放电电流In（8/20μs）：10KA；</w:t>
      </w:r>
    </w:p>
    <w:p>
      <w:pPr>
        <w:adjustRightInd w:val="0"/>
        <w:snapToGrid w:val="0"/>
        <w:spacing w:before="203" w:beforeLines="50" w:after="203" w:afterLines="50"/>
        <w:ind w:firstLine="500" w:firstLineChars="200"/>
        <w:rPr>
          <w:rFonts w:ascii="宋体" w:hAnsi="宋体"/>
        </w:rPr>
      </w:pPr>
      <w:r>
        <w:rPr>
          <w:rFonts w:ascii="宋体" w:hAnsi="宋体"/>
        </w:rPr>
        <w:t>最大放电电流Imax（8/20μs）：20KA；</w:t>
      </w:r>
    </w:p>
    <w:p>
      <w:pPr>
        <w:adjustRightInd w:val="0"/>
        <w:snapToGrid w:val="0"/>
        <w:spacing w:before="203" w:beforeLines="50" w:after="203" w:afterLines="50"/>
        <w:ind w:firstLine="500" w:firstLineChars="200"/>
        <w:rPr>
          <w:rFonts w:ascii="宋体" w:hAnsi="宋体"/>
        </w:rPr>
      </w:pPr>
      <w:r>
        <w:rPr>
          <w:rFonts w:ascii="宋体" w:hAnsi="宋体"/>
        </w:rPr>
        <w:t>电压保护水平: ≤1.5KV@10KA；</w:t>
      </w:r>
    </w:p>
    <w:p>
      <w:pPr>
        <w:adjustRightInd w:val="0"/>
        <w:snapToGrid w:val="0"/>
        <w:spacing w:before="203" w:beforeLines="50" w:after="203" w:afterLines="50"/>
        <w:ind w:firstLine="500" w:firstLineChars="200"/>
        <w:rPr>
          <w:rFonts w:ascii="宋体" w:hAnsi="宋体"/>
        </w:rPr>
      </w:pPr>
      <w:r>
        <w:rPr>
          <w:rFonts w:ascii="宋体" w:hAnsi="宋体"/>
        </w:rPr>
        <w:t>响应时间：≤25ns；</w:t>
      </w:r>
    </w:p>
    <w:p>
      <w:pPr>
        <w:adjustRightInd w:val="0"/>
        <w:snapToGrid w:val="0"/>
        <w:spacing w:before="203" w:beforeLines="50" w:after="203" w:afterLines="50"/>
        <w:ind w:firstLine="500" w:firstLineChars="200"/>
        <w:rPr>
          <w:rFonts w:ascii="宋体" w:hAnsi="宋体"/>
        </w:rPr>
      </w:pPr>
      <w:r>
        <w:rPr>
          <w:rFonts w:ascii="宋体" w:hAnsi="宋体"/>
        </w:rPr>
        <w:t>通过热稳定、短路耐受、TOV等安全性试验；</w:t>
      </w:r>
    </w:p>
    <w:p>
      <w:pPr>
        <w:adjustRightInd w:val="0"/>
        <w:snapToGrid w:val="0"/>
        <w:spacing w:before="203" w:beforeLines="50" w:after="203" w:afterLines="50"/>
        <w:ind w:firstLine="500" w:firstLineChars="200"/>
        <w:rPr>
          <w:rFonts w:ascii="宋体" w:hAnsi="宋体"/>
        </w:rPr>
      </w:pPr>
      <w:r>
        <w:rPr>
          <w:rFonts w:ascii="宋体" w:hAnsi="宋体"/>
        </w:rPr>
        <w:t>通过气象型式试验；</w:t>
      </w:r>
    </w:p>
    <w:p>
      <w:pPr>
        <w:adjustRightInd w:val="0"/>
        <w:snapToGrid w:val="0"/>
        <w:spacing w:before="203" w:beforeLines="50" w:after="203" w:afterLines="50"/>
        <w:ind w:firstLine="500" w:firstLineChars="200"/>
        <w:rPr>
          <w:rFonts w:ascii="宋体" w:hAnsi="宋体"/>
        </w:rPr>
      </w:pPr>
      <w:r>
        <w:rPr>
          <w:rFonts w:ascii="宋体" w:hAnsi="宋体"/>
        </w:rPr>
        <w:t>若现场仪表采用直流电源供电，防雷器的技术参数应符合如下要求：</w:t>
      </w:r>
    </w:p>
    <w:p>
      <w:pPr>
        <w:adjustRightInd w:val="0"/>
        <w:snapToGrid w:val="0"/>
        <w:spacing w:before="203" w:beforeLines="50" w:after="203" w:afterLines="50"/>
        <w:ind w:firstLine="500" w:firstLineChars="200"/>
        <w:rPr>
          <w:rFonts w:ascii="宋体" w:hAnsi="宋体"/>
        </w:rPr>
      </w:pPr>
      <w:r>
        <w:rPr>
          <w:rFonts w:ascii="宋体" w:hAnsi="宋体"/>
        </w:rPr>
        <w:t>额定工作电压应与仪表工作电压相匹配；</w:t>
      </w:r>
    </w:p>
    <w:p>
      <w:pPr>
        <w:adjustRightInd w:val="0"/>
        <w:snapToGrid w:val="0"/>
        <w:spacing w:before="203" w:beforeLines="50" w:after="203" w:afterLines="50"/>
        <w:ind w:firstLine="500" w:firstLineChars="200"/>
        <w:rPr>
          <w:rFonts w:ascii="宋体" w:hAnsi="宋体"/>
        </w:rPr>
      </w:pPr>
      <w:r>
        <w:rPr>
          <w:rFonts w:ascii="宋体" w:hAnsi="宋体"/>
        </w:rPr>
        <w:t>试验等级T2</w:t>
      </w:r>
    </w:p>
    <w:p>
      <w:pPr>
        <w:adjustRightInd w:val="0"/>
        <w:snapToGrid w:val="0"/>
        <w:spacing w:before="203" w:beforeLines="50" w:after="203" w:afterLines="50"/>
        <w:ind w:firstLine="500" w:firstLineChars="200"/>
        <w:rPr>
          <w:rFonts w:ascii="宋体" w:hAnsi="宋体"/>
        </w:rPr>
      </w:pPr>
      <w:r>
        <w:rPr>
          <w:rFonts w:ascii="宋体" w:hAnsi="宋体"/>
        </w:rPr>
        <w:t>最大持续运行电压Uc36VDC</w:t>
      </w:r>
    </w:p>
    <w:p>
      <w:pPr>
        <w:adjustRightInd w:val="0"/>
        <w:snapToGrid w:val="0"/>
        <w:spacing w:before="203" w:beforeLines="50" w:after="203" w:afterLines="50"/>
        <w:ind w:firstLine="500" w:firstLineChars="200"/>
        <w:rPr>
          <w:rFonts w:ascii="宋体" w:hAnsi="宋体"/>
        </w:rPr>
      </w:pPr>
      <w:r>
        <w:rPr>
          <w:rFonts w:ascii="宋体" w:hAnsi="宋体"/>
        </w:rPr>
        <w:t>标称放电电流In（8/20μs）：10KA；</w:t>
      </w:r>
    </w:p>
    <w:p>
      <w:pPr>
        <w:adjustRightInd w:val="0"/>
        <w:snapToGrid w:val="0"/>
        <w:spacing w:before="203" w:beforeLines="50" w:after="203" w:afterLines="50"/>
        <w:ind w:firstLine="500" w:firstLineChars="200"/>
        <w:rPr>
          <w:rFonts w:ascii="宋体" w:hAnsi="宋体"/>
        </w:rPr>
      </w:pPr>
      <w:r>
        <w:rPr>
          <w:rFonts w:ascii="宋体" w:hAnsi="宋体"/>
        </w:rPr>
        <w:t>最大放电电流Imax（8/20μs）：18KA；</w:t>
      </w:r>
    </w:p>
    <w:p>
      <w:pPr>
        <w:adjustRightInd w:val="0"/>
        <w:snapToGrid w:val="0"/>
        <w:spacing w:before="203" w:beforeLines="50" w:after="203" w:afterLines="50"/>
        <w:ind w:firstLine="500" w:firstLineChars="200"/>
        <w:rPr>
          <w:rFonts w:ascii="宋体" w:hAnsi="宋体"/>
        </w:rPr>
      </w:pPr>
      <w:r>
        <w:rPr>
          <w:rFonts w:ascii="宋体" w:hAnsi="宋体"/>
        </w:rPr>
        <w:t>响应时间：≤25ns。</w:t>
      </w:r>
    </w:p>
    <w:p>
      <w:pPr>
        <w:adjustRightInd w:val="0"/>
        <w:snapToGrid w:val="0"/>
        <w:spacing w:before="203" w:beforeLines="50" w:after="203" w:afterLines="50"/>
        <w:ind w:firstLine="500" w:firstLineChars="200"/>
        <w:rPr>
          <w:rFonts w:ascii="宋体" w:hAnsi="宋体"/>
        </w:rPr>
      </w:pPr>
      <w:r>
        <w:rPr>
          <w:rFonts w:ascii="宋体" w:hAnsi="宋体"/>
        </w:rPr>
        <w:t>2）</w:t>
      </w:r>
      <w:r>
        <w:rPr>
          <w:rFonts w:ascii="宋体" w:hAnsi="宋体"/>
        </w:rPr>
        <w:tab/>
      </w:r>
      <w:r>
        <w:rPr>
          <w:rFonts w:ascii="宋体" w:hAnsi="宋体"/>
        </w:rPr>
        <w:t>信号及网络系统</w:t>
      </w:r>
    </w:p>
    <w:p>
      <w:pPr>
        <w:adjustRightInd w:val="0"/>
        <w:snapToGrid w:val="0"/>
        <w:spacing w:before="203" w:beforeLines="50" w:after="203" w:afterLines="50"/>
        <w:ind w:firstLine="500" w:firstLineChars="200"/>
        <w:rPr>
          <w:rFonts w:ascii="宋体" w:hAnsi="宋体"/>
        </w:rPr>
      </w:pPr>
      <w:r>
        <w:rPr>
          <w:rFonts w:ascii="宋体" w:hAnsi="宋体"/>
        </w:rPr>
        <w:t>应在各类现场总线电缆和4～20mA模拟量信号电缆的两端分别安装合适的信号防雷器，以保护通过通信电缆传导的浪涌电压对PLC和现场设备的损坏。同时，防雷器应满足现场环境对防雷器的防尘、防潮、防爆、防腐、抗冲击等要求。防雷器的技术参数应符合如下要求：</w:t>
      </w:r>
    </w:p>
    <w:p>
      <w:pPr>
        <w:adjustRightInd w:val="0"/>
        <w:snapToGrid w:val="0"/>
        <w:spacing w:before="203" w:beforeLines="50" w:after="203" w:afterLines="50"/>
        <w:ind w:firstLine="500" w:firstLineChars="200"/>
        <w:rPr>
          <w:rFonts w:ascii="宋体" w:hAnsi="宋体"/>
        </w:rPr>
      </w:pPr>
      <w:r>
        <w:rPr>
          <w:rFonts w:ascii="宋体" w:hAnsi="宋体"/>
        </w:rPr>
        <w:t>各类现场总线电缆使用信号防雷器：</w:t>
      </w:r>
    </w:p>
    <w:p>
      <w:pPr>
        <w:adjustRightInd w:val="0"/>
        <w:snapToGrid w:val="0"/>
        <w:spacing w:before="203" w:beforeLines="50" w:after="203" w:afterLines="50"/>
        <w:ind w:firstLine="500" w:firstLineChars="200"/>
        <w:rPr>
          <w:rFonts w:ascii="宋体" w:hAnsi="宋体"/>
        </w:rPr>
      </w:pPr>
      <w:r>
        <w:rPr>
          <w:rFonts w:ascii="宋体" w:hAnsi="宋体"/>
        </w:rPr>
        <w:t>最大持续运行电压8VDC</w:t>
      </w:r>
    </w:p>
    <w:p>
      <w:pPr>
        <w:adjustRightInd w:val="0"/>
        <w:snapToGrid w:val="0"/>
        <w:spacing w:before="203" w:beforeLines="50" w:after="203" w:afterLines="50"/>
        <w:ind w:firstLine="500" w:firstLineChars="200"/>
        <w:rPr>
          <w:rFonts w:ascii="宋体" w:hAnsi="宋体"/>
        </w:rPr>
      </w:pPr>
      <w:r>
        <w:rPr>
          <w:rFonts w:ascii="宋体" w:hAnsi="宋体"/>
        </w:rPr>
        <w:t>冲击放电电流Iimp（10/350μs）：3KA；</w:t>
      </w:r>
    </w:p>
    <w:p>
      <w:pPr>
        <w:adjustRightInd w:val="0"/>
        <w:snapToGrid w:val="0"/>
        <w:spacing w:before="203" w:beforeLines="50" w:after="203" w:afterLines="50"/>
        <w:ind w:firstLine="500" w:firstLineChars="200"/>
        <w:rPr>
          <w:rFonts w:ascii="宋体" w:hAnsi="宋体"/>
        </w:rPr>
      </w:pPr>
      <w:r>
        <w:rPr>
          <w:rFonts w:ascii="宋体" w:hAnsi="宋体"/>
        </w:rPr>
        <w:t>标称放电电流In（8/20μs）：10KA；</w:t>
      </w:r>
    </w:p>
    <w:p>
      <w:pPr>
        <w:adjustRightInd w:val="0"/>
        <w:snapToGrid w:val="0"/>
        <w:spacing w:before="203" w:beforeLines="50" w:after="203" w:afterLines="50"/>
        <w:ind w:firstLine="500" w:firstLineChars="200"/>
        <w:rPr>
          <w:rFonts w:ascii="宋体" w:hAnsi="宋体"/>
        </w:rPr>
      </w:pPr>
      <w:r>
        <w:rPr>
          <w:rFonts w:ascii="宋体" w:hAnsi="宋体"/>
        </w:rPr>
        <w:t>最大放电电流Imax（8/20μs）：20KA；</w:t>
      </w:r>
    </w:p>
    <w:p>
      <w:pPr>
        <w:adjustRightInd w:val="0"/>
        <w:snapToGrid w:val="0"/>
        <w:spacing w:before="203" w:beforeLines="50" w:after="203" w:afterLines="50"/>
        <w:ind w:firstLine="500" w:firstLineChars="200"/>
        <w:rPr>
          <w:rFonts w:ascii="宋体" w:hAnsi="宋体"/>
        </w:rPr>
      </w:pPr>
      <w:r>
        <w:rPr>
          <w:rFonts w:ascii="宋体" w:hAnsi="宋体"/>
        </w:rPr>
        <w:t>保护水平Up 25V；</w:t>
      </w:r>
    </w:p>
    <w:p>
      <w:pPr>
        <w:adjustRightInd w:val="0"/>
        <w:snapToGrid w:val="0"/>
        <w:spacing w:before="203" w:beforeLines="50" w:after="203" w:afterLines="50"/>
        <w:ind w:firstLine="500" w:firstLineChars="200"/>
        <w:rPr>
          <w:rFonts w:ascii="宋体" w:hAnsi="宋体"/>
        </w:rPr>
      </w:pPr>
      <w:r>
        <w:rPr>
          <w:rFonts w:ascii="宋体" w:hAnsi="宋体"/>
        </w:rPr>
        <w:t>导轨接地方式</w:t>
      </w:r>
    </w:p>
    <w:p>
      <w:pPr>
        <w:adjustRightInd w:val="0"/>
        <w:snapToGrid w:val="0"/>
        <w:spacing w:before="203" w:beforeLines="50" w:after="203" w:afterLines="50"/>
        <w:ind w:firstLine="500" w:firstLineChars="200"/>
        <w:rPr>
          <w:rFonts w:ascii="宋体" w:hAnsi="宋体"/>
        </w:rPr>
      </w:pPr>
      <w:r>
        <w:rPr>
          <w:rFonts w:ascii="宋体" w:hAnsi="宋体"/>
        </w:rPr>
        <w:t>可插拔更换模块</w:t>
      </w:r>
    </w:p>
    <w:p>
      <w:pPr>
        <w:adjustRightInd w:val="0"/>
        <w:snapToGrid w:val="0"/>
        <w:spacing w:before="203" w:beforeLines="50" w:after="203" w:afterLines="50"/>
        <w:ind w:firstLine="500" w:firstLineChars="200"/>
        <w:rPr>
          <w:rFonts w:ascii="宋体" w:hAnsi="宋体"/>
        </w:rPr>
      </w:pPr>
      <w:r>
        <w:rPr>
          <w:rFonts w:ascii="宋体" w:hAnsi="宋体"/>
        </w:rPr>
        <w:t>外壳电阻率小于10</w:t>
      </w:r>
      <w:r>
        <w:rPr>
          <w:rFonts w:ascii="宋体" w:hAnsi="宋体"/>
          <w:vertAlign w:val="superscript"/>
        </w:rPr>
        <w:t>9</w:t>
      </w:r>
      <w:r>
        <w:rPr>
          <w:rFonts w:ascii="宋体" w:hAnsi="宋体"/>
        </w:rPr>
        <w:t>Ω；</w:t>
      </w:r>
    </w:p>
    <w:p>
      <w:pPr>
        <w:adjustRightInd w:val="0"/>
        <w:snapToGrid w:val="0"/>
        <w:spacing w:before="203" w:beforeLines="50" w:after="203" w:afterLines="50"/>
        <w:ind w:firstLine="500" w:firstLineChars="200"/>
        <w:rPr>
          <w:rFonts w:ascii="宋体" w:hAnsi="宋体"/>
        </w:rPr>
      </w:pPr>
      <w:r>
        <w:rPr>
          <w:rFonts w:ascii="宋体" w:hAnsi="宋体"/>
        </w:rPr>
        <w:t>防爆等级EXiaIICT4；</w:t>
      </w:r>
    </w:p>
    <w:p>
      <w:pPr>
        <w:adjustRightInd w:val="0"/>
        <w:snapToGrid w:val="0"/>
        <w:spacing w:before="203" w:beforeLines="50" w:after="203" w:afterLines="50"/>
        <w:ind w:firstLine="500" w:firstLineChars="200"/>
        <w:rPr>
          <w:rFonts w:ascii="宋体" w:hAnsi="宋体"/>
        </w:rPr>
      </w:pPr>
      <w:r>
        <w:rPr>
          <w:rFonts w:ascii="宋体" w:hAnsi="宋体"/>
        </w:rPr>
        <w:t>通过本安防爆认证</w:t>
      </w:r>
    </w:p>
    <w:p>
      <w:pPr>
        <w:adjustRightInd w:val="0"/>
        <w:snapToGrid w:val="0"/>
        <w:spacing w:before="203" w:beforeLines="50" w:after="203" w:afterLines="50"/>
        <w:ind w:firstLine="500" w:firstLineChars="200"/>
        <w:rPr>
          <w:rFonts w:ascii="宋体" w:hAnsi="宋体"/>
        </w:rPr>
      </w:pPr>
      <w:r>
        <w:rPr>
          <w:rFonts w:ascii="宋体" w:hAnsi="宋体"/>
        </w:rPr>
        <w:t>4～20mA模拟量/开关量使用信道防雷器：</w:t>
      </w:r>
    </w:p>
    <w:p>
      <w:pPr>
        <w:adjustRightInd w:val="0"/>
        <w:snapToGrid w:val="0"/>
        <w:spacing w:before="203" w:beforeLines="50" w:after="203" w:afterLines="50"/>
        <w:ind w:firstLine="500" w:firstLineChars="200"/>
        <w:rPr>
          <w:rFonts w:ascii="宋体" w:hAnsi="宋体"/>
        </w:rPr>
      </w:pPr>
      <w:r>
        <w:rPr>
          <w:rFonts w:ascii="宋体" w:hAnsi="宋体"/>
        </w:rPr>
        <w:t>最大持续运行电压36VDC</w:t>
      </w:r>
    </w:p>
    <w:p>
      <w:pPr>
        <w:adjustRightInd w:val="0"/>
        <w:snapToGrid w:val="0"/>
        <w:spacing w:before="203" w:beforeLines="50" w:after="203" w:afterLines="50"/>
        <w:ind w:firstLine="500" w:firstLineChars="200"/>
        <w:rPr>
          <w:rFonts w:ascii="宋体" w:hAnsi="宋体"/>
        </w:rPr>
      </w:pPr>
      <w:r>
        <w:rPr>
          <w:rFonts w:ascii="宋体" w:hAnsi="宋体"/>
        </w:rPr>
        <w:t>冲击放电电流Iimp（10/350μs）：3KA；</w:t>
      </w:r>
    </w:p>
    <w:p>
      <w:pPr>
        <w:adjustRightInd w:val="0"/>
        <w:snapToGrid w:val="0"/>
        <w:spacing w:before="203" w:beforeLines="50" w:after="203" w:afterLines="50"/>
        <w:ind w:firstLine="500" w:firstLineChars="200"/>
        <w:rPr>
          <w:rFonts w:ascii="宋体" w:hAnsi="宋体"/>
        </w:rPr>
      </w:pPr>
      <w:r>
        <w:rPr>
          <w:rFonts w:ascii="宋体" w:hAnsi="宋体"/>
        </w:rPr>
        <w:t>标称放电电流In（8/20μs）：10KA；</w:t>
      </w:r>
    </w:p>
    <w:p>
      <w:pPr>
        <w:adjustRightInd w:val="0"/>
        <w:snapToGrid w:val="0"/>
        <w:spacing w:before="203" w:beforeLines="50" w:after="203" w:afterLines="50"/>
        <w:ind w:firstLine="500" w:firstLineChars="200"/>
        <w:rPr>
          <w:rFonts w:ascii="宋体" w:hAnsi="宋体"/>
        </w:rPr>
      </w:pPr>
      <w:r>
        <w:rPr>
          <w:rFonts w:ascii="宋体" w:hAnsi="宋体"/>
        </w:rPr>
        <w:t>最大放电电流Imax（8/20μs）：20KA；</w:t>
      </w:r>
    </w:p>
    <w:p>
      <w:pPr>
        <w:adjustRightInd w:val="0"/>
        <w:snapToGrid w:val="0"/>
        <w:spacing w:before="203" w:beforeLines="50" w:after="203" w:afterLines="50"/>
        <w:ind w:firstLine="500" w:firstLineChars="200"/>
        <w:rPr>
          <w:rFonts w:ascii="宋体" w:hAnsi="宋体"/>
        </w:rPr>
      </w:pPr>
      <w:r>
        <w:rPr>
          <w:rFonts w:ascii="宋体" w:hAnsi="宋体"/>
        </w:rPr>
        <w:t>保护水平Up 60V；</w:t>
      </w:r>
    </w:p>
    <w:p>
      <w:pPr>
        <w:adjustRightInd w:val="0"/>
        <w:snapToGrid w:val="0"/>
        <w:spacing w:before="203" w:beforeLines="50" w:after="203" w:afterLines="50"/>
        <w:ind w:firstLine="500" w:firstLineChars="200"/>
        <w:rPr>
          <w:rFonts w:ascii="宋体" w:hAnsi="宋体"/>
        </w:rPr>
      </w:pPr>
      <w:r>
        <w:rPr>
          <w:rFonts w:ascii="宋体" w:hAnsi="宋体"/>
        </w:rPr>
        <w:t>导轨接地方式</w:t>
      </w:r>
    </w:p>
    <w:p>
      <w:pPr>
        <w:adjustRightInd w:val="0"/>
        <w:snapToGrid w:val="0"/>
        <w:spacing w:before="203" w:beforeLines="50" w:after="203" w:afterLines="50"/>
        <w:ind w:firstLine="500" w:firstLineChars="200"/>
        <w:rPr>
          <w:rFonts w:ascii="宋体" w:hAnsi="宋体"/>
        </w:rPr>
      </w:pPr>
      <w:r>
        <w:rPr>
          <w:rFonts w:ascii="宋体" w:hAnsi="宋体"/>
        </w:rPr>
        <w:t>可插拔更换模块</w:t>
      </w:r>
    </w:p>
    <w:p>
      <w:pPr>
        <w:adjustRightInd w:val="0"/>
        <w:snapToGrid w:val="0"/>
        <w:spacing w:before="203" w:beforeLines="50" w:after="203" w:afterLines="50"/>
        <w:ind w:firstLine="500" w:firstLineChars="200"/>
        <w:rPr>
          <w:rFonts w:ascii="宋体" w:hAnsi="宋体"/>
        </w:rPr>
      </w:pPr>
      <w:r>
        <w:rPr>
          <w:rFonts w:ascii="宋体" w:hAnsi="宋体"/>
        </w:rPr>
        <w:t>外壳电阻率小于10</w:t>
      </w:r>
      <w:r>
        <w:rPr>
          <w:rFonts w:ascii="宋体" w:hAnsi="宋体"/>
          <w:vertAlign w:val="superscript"/>
        </w:rPr>
        <w:t>9</w:t>
      </w:r>
      <w:r>
        <w:rPr>
          <w:rFonts w:ascii="宋体" w:hAnsi="宋体"/>
        </w:rPr>
        <w:t>Ω；</w:t>
      </w:r>
    </w:p>
    <w:p>
      <w:pPr>
        <w:adjustRightInd w:val="0"/>
        <w:snapToGrid w:val="0"/>
        <w:spacing w:before="203" w:beforeLines="50" w:after="203" w:afterLines="50"/>
        <w:ind w:firstLine="500" w:firstLineChars="200"/>
        <w:rPr>
          <w:rFonts w:ascii="宋体" w:hAnsi="宋体"/>
        </w:rPr>
      </w:pPr>
      <w:r>
        <w:rPr>
          <w:rFonts w:ascii="宋体" w:hAnsi="宋体"/>
        </w:rPr>
        <w:t>防爆等级EXiaIICT4；</w:t>
      </w:r>
    </w:p>
    <w:p>
      <w:pPr>
        <w:adjustRightInd w:val="0"/>
        <w:snapToGrid w:val="0"/>
        <w:spacing w:before="203" w:beforeLines="50" w:after="203" w:afterLines="50"/>
        <w:ind w:firstLine="500" w:firstLineChars="200"/>
        <w:rPr>
          <w:rFonts w:ascii="宋体" w:hAnsi="宋体"/>
        </w:rPr>
      </w:pPr>
      <w:r>
        <w:rPr>
          <w:rFonts w:ascii="宋体" w:hAnsi="宋体"/>
        </w:rPr>
        <w:t>通过本安防爆认证。</w:t>
      </w:r>
    </w:p>
    <w:p>
      <w:pPr>
        <w:adjustRightInd w:val="0"/>
        <w:snapToGrid w:val="0"/>
        <w:spacing w:before="203" w:beforeLines="50" w:after="203" w:afterLines="50"/>
        <w:ind w:firstLine="500" w:firstLineChars="200"/>
        <w:rPr>
          <w:rFonts w:ascii="宋体" w:hAnsi="宋体"/>
        </w:rPr>
      </w:pPr>
      <w:r>
        <w:rPr>
          <w:rFonts w:ascii="宋体" w:hAnsi="宋体"/>
        </w:rPr>
        <w:t>仪表使用管式防雷器</w:t>
      </w:r>
    </w:p>
    <w:p>
      <w:pPr>
        <w:adjustRightInd w:val="0"/>
        <w:snapToGrid w:val="0"/>
        <w:spacing w:before="203" w:beforeLines="50" w:after="203" w:afterLines="50"/>
        <w:ind w:firstLine="500" w:firstLineChars="200"/>
        <w:rPr>
          <w:rFonts w:ascii="宋体" w:hAnsi="宋体"/>
        </w:rPr>
      </w:pPr>
      <w:r>
        <w:rPr>
          <w:rFonts w:ascii="宋体" w:hAnsi="宋体"/>
        </w:rPr>
        <w:t>最大持续运行电压36VDC或8VDC</w:t>
      </w:r>
    </w:p>
    <w:p>
      <w:pPr>
        <w:adjustRightInd w:val="0"/>
        <w:snapToGrid w:val="0"/>
        <w:spacing w:before="203" w:beforeLines="50" w:after="203" w:afterLines="50"/>
        <w:ind w:firstLine="500" w:firstLineChars="200"/>
        <w:rPr>
          <w:rFonts w:ascii="宋体" w:hAnsi="宋体"/>
        </w:rPr>
      </w:pPr>
      <w:r>
        <w:rPr>
          <w:rFonts w:ascii="宋体" w:hAnsi="宋体"/>
        </w:rPr>
        <w:t>标称放电电流In（8/20μs）：10KA；</w:t>
      </w:r>
    </w:p>
    <w:p>
      <w:pPr>
        <w:adjustRightInd w:val="0"/>
        <w:snapToGrid w:val="0"/>
        <w:spacing w:before="203" w:beforeLines="50" w:after="203" w:afterLines="50"/>
        <w:ind w:firstLine="500" w:firstLineChars="200"/>
        <w:rPr>
          <w:rFonts w:ascii="宋体" w:hAnsi="宋体"/>
        </w:rPr>
      </w:pPr>
      <w:r>
        <w:rPr>
          <w:rFonts w:ascii="宋体" w:hAnsi="宋体"/>
        </w:rPr>
        <w:t>最大放电电流Imax（8/20μs）：20KA；</w:t>
      </w:r>
    </w:p>
    <w:p>
      <w:pPr>
        <w:adjustRightInd w:val="0"/>
        <w:snapToGrid w:val="0"/>
        <w:spacing w:before="203" w:beforeLines="50" w:after="203" w:afterLines="50"/>
        <w:ind w:firstLine="500" w:firstLineChars="200"/>
        <w:rPr>
          <w:rFonts w:ascii="宋体" w:hAnsi="宋体"/>
        </w:rPr>
      </w:pPr>
      <w:r>
        <w:rPr>
          <w:rFonts w:ascii="宋体" w:hAnsi="宋体"/>
        </w:rPr>
        <w:t>保护水平Up 60V或25VDC；</w:t>
      </w:r>
    </w:p>
    <w:p>
      <w:pPr>
        <w:adjustRightInd w:val="0"/>
        <w:snapToGrid w:val="0"/>
        <w:spacing w:before="203" w:beforeLines="50" w:after="203" w:afterLines="50"/>
        <w:ind w:firstLine="500" w:firstLineChars="200"/>
        <w:rPr>
          <w:rFonts w:ascii="宋体" w:hAnsi="宋体"/>
        </w:rPr>
      </w:pPr>
      <w:r>
        <w:rPr>
          <w:rFonts w:ascii="宋体" w:hAnsi="宋体"/>
        </w:rPr>
        <w:t>M20*1.5，1/2NPT，G3/4等多种螺纹接口；</w:t>
      </w:r>
    </w:p>
    <w:p>
      <w:pPr>
        <w:adjustRightInd w:val="0"/>
        <w:snapToGrid w:val="0"/>
        <w:spacing w:before="203" w:beforeLines="50" w:after="203" w:afterLines="50"/>
        <w:ind w:firstLine="500" w:firstLineChars="200"/>
        <w:rPr>
          <w:rFonts w:ascii="宋体" w:hAnsi="宋体"/>
        </w:rPr>
      </w:pPr>
      <w:r>
        <w:rPr>
          <w:rFonts w:ascii="宋体" w:hAnsi="宋体"/>
        </w:rPr>
        <w:t>串、并联连接可选规格</w:t>
      </w:r>
    </w:p>
    <w:p>
      <w:pPr>
        <w:adjustRightInd w:val="0"/>
        <w:snapToGrid w:val="0"/>
        <w:spacing w:before="203" w:beforeLines="50" w:after="203" w:afterLines="50"/>
        <w:ind w:firstLine="500" w:firstLineChars="200"/>
        <w:rPr>
          <w:rFonts w:ascii="宋体" w:hAnsi="宋体"/>
        </w:rPr>
      </w:pPr>
      <w:r>
        <w:rPr>
          <w:rFonts w:ascii="宋体" w:hAnsi="宋体"/>
        </w:rPr>
        <w:t>304不锈钢加防腐镀层</w:t>
      </w:r>
    </w:p>
    <w:p>
      <w:pPr>
        <w:adjustRightInd w:val="0"/>
        <w:snapToGrid w:val="0"/>
        <w:spacing w:before="203" w:beforeLines="50" w:after="203" w:afterLines="50"/>
        <w:ind w:firstLine="500" w:firstLineChars="200"/>
        <w:rPr>
          <w:rFonts w:ascii="宋体" w:hAnsi="宋体"/>
        </w:rPr>
      </w:pPr>
      <w:r>
        <w:rPr>
          <w:rFonts w:ascii="宋体" w:hAnsi="宋体"/>
        </w:rPr>
        <w:t>防爆等级串联型EXiaIICT4，并联型EXdIICT4；</w:t>
      </w:r>
    </w:p>
    <w:p>
      <w:pPr>
        <w:adjustRightInd w:val="0"/>
        <w:snapToGrid w:val="0"/>
        <w:spacing w:before="203" w:beforeLines="50" w:after="203" w:afterLines="50"/>
        <w:ind w:firstLine="500" w:firstLineChars="200"/>
        <w:rPr>
          <w:rFonts w:ascii="宋体" w:hAnsi="宋体"/>
        </w:rPr>
      </w:pPr>
      <w:r>
        <w:rPr>
          <w:rFonts w:ascii="宋体" w:hAnsi="宋体"/>
        </w:rPr>
        <w:t>通过本安或隔爆防爆认证</w:t>
      </w:r>
    </w:p>
    <w:p>
      <w:pPr>
        <w:adjustRightInd w:val="0"/>
        <w:snapToGrid w:val="0"/>
        <w:spacing w:before="203" w:beforeLines="50" w:after="203" w:afterLines="50"/>
        <w:ind w:firstLine="500" w:firstLineChars="200"/>
        <w:rPr>
          <w:rFonts w:ascii="宋体" w:hAnsi="宋体"/>
        </w:rPr>
      </w:pPr>
      <w:r>
        <w:rPr>
          <w:rFonts w:ascii="宋体" w:hAnsi="宋体"/>
        </w:rPr>
        <w:t>承包商在防雷器的选择上，应着重考虑防雷器在不影响系统正常运行的前提下，能够承受预期通过它们的雷电流和过电压，并完善的保护电子设备不受损坏。同时，承包商必须对装有信道防雷器的通讯线路复核其传输速率，即选择适当的防雷器的通频带和网络分支上的防雷器的安装数量，以保证系统网络原有的最大传输速率。</w:t>
      </w:r>
    </w:p>
    <w:p>
      <w:pPr>
        <w:adjustRightInd w:val="0"/>
        <w:snapToGrid w:val="0"/>
        <w:spacing w:before="203" w:beforeLines="50" w:after="203" w:afterLines="50"/>
        <w:ind w:firstLine="500" w:firstLineChars="200"/>
        <w:rPr>
          <w:rFonts w:ascii="宋体" w:hAnsi="宋体"/>
        </w:rPr>
      </w:pPr>
      <w:bookmarkStart w:id="7238" w:name="_Toc301178815"/>
      <w:bookmarkStart w:id="7239" w:name="_Toc301171388"/>
      <w:r>
        <w:rPr>
          <w:rFonts w:ascii="宋体" w:hAnsi="宋体"/>
        </w:rPr>
        <w:t>7、隔离器</w:t>
      </w:r>
      <w:bookmarkEnd w:id="7238"/>
      <w:bookmarkEnd w:id="7239"/>
    </w:p>
    <w:p>
      <w:pPr>
        <w:adjustRightInd w:val="0"/>
        <w:snapToGrid w:val="0"/>
        <w:spacing w:before="203" w:beforeLines="50" w:after="203" w:afterLines="50"/>
        <w:ind w:firstLine="500" w:firstLineChars="200"/>
        <w:rPr>
          <w:rFonts w:ascii="宋体" w:hAnsi="宋体"/>
          <w:bCs/>
        </w:rPr>
      </w:pPr>
      <w:r>
        <w:rPr>
          <w:rFonts w:ascii="宋体" w:hAnsi="宋体"/>
          <w:bCs/>
        </w:rPr>
        <w:t>无源隔离器</w:t>
      </w:r>
    </w:p>
    <w:p>
      <w:pPr>
        <w:adjustRightInd w:val="0"/>
        <w:snapToGrid w:val="0"/>
        <w:spacing w:before="203" w:beforeLines="50" w:after="203" w:afterLines="50"/>
        <w:ind w:firstLine="500" w:firstLineChars="200"/>
        <w:rPr>
          <w:rFonts w:ascii="宋体" w:hAnsi="宋体"/>
        </w:rPr>
      </w:pPr>
      <w:r>
        <w:rPr>
          <w:rFonts w:ascii="宋体" w:hAnsi="宋体"/>
        </w:rPr>
        <w:t>输入端</w:t>
      </w:r>
    </w:p>
    <w:p>
      <w:pPr>
        <w:adjustRightInd w:val="0"/>
        <w:snapToGrid w:val="0"/>
        <w:spacing w:before="203" w:beforeLines="50" w:after="203" w:afterLines="50"/>
        <w:ind w:firstLine="500" w:firstLineChars="200"/>
        <w:rPr>
          <w:rFonts w:ascii="宋体" w:hAnsi="宋体"/>
        </w:rPr>
      </w:pPr>
      <w:r>
        <w:rPr>
          <w:rFonts w:ascii="宋体" w:hAnsi="宋体"/>
        </w:rPr>
        <w:t>输入信号：4</w:t>
      </w:r>
      <w:r>
        <w:rPr>
          <w:rFonts w:hint="eastAsia" w:ascii="宋体" w:hAnsi="宋体"/>
        </w:rPr>
        <w:t>～</w:t>
      </w:r>
      <w:r>
        <w:rPr>
          <w:rFonts w:ascii="宋体" w:hAnsi="宋体"/>
        </w:rPr>
        <w:t>20mA；</w:t>
      </w:r>
    </w:p>
    <w:p>
      <w:pPr>
        <w:adjustRightInd w:val="0"/>
        <w:snapToGrid w:val="0"/>
        <w:spacing w:before="203" w:beforeLines="50" w:after="203" w:afterLines="50"/>
        <w:ind w:firstLine="500" w:firstLineChars="200"/>
        <w:rPr>
          <w:rFonts w:ascii="宋体" w:hAnsi="宋体"/>
        </w:rPr>
      </w:pPr>
      <w:r>
        <w:rPr>
          <w:rFonts w:ascii="宋体" w:hAnsi="宋体"/>
        </w:rPr>
        <w:t>最大输入电流：50mA；</w:t>
      </w:r>
    </w:p>
    <w:p>
      <w:pPr>
        <w:adjustRightInd w:val="0"/>
        <w:snapToGrid w:val="0"/>
        <w:spacing w:before="203" w:beforeLines="50" w:after="203" w:afterLines="50"/>
        <w:ind w:firstLine="500" w:firstLineChars="200"/>
        <w:rPr>
          <w:rFonts w:ascii="宋体" w:hAnsi="宋体"/>
        </w:rPr>
      </w:pPr>
      <w:r>
        <w:rPr>
          <w:rFonts w:ascii="宋体" w:hAnsi="宋体"/>
        </w:rPr>
        <w:t>最大输入电压：18V；</w:t>
      </w:r>
    </w:p>
    <w:p>
      <w:pPr>
        <w:adjustRightInd w:val="0"/>
        <w:snapToGrid w:val="0"/>
        <w:spacing w:before="203" w:beforeLines="50" w:after="203" w:afterLines="50"/>
        <w:ind w:firstLine="500" w:firstLineChars="200"/>
        <w:rPr>
          <w:rFonts w:ascii="宋体" w:hAnsi="宋体"/>
        </w:rPr>
      </w:pPr>
      <w:r>
        <w:rPr>
          <w:rFonts w:ascii="宋体" w:hAnsi="宋体"/>
        </w:rPr>
        <w:t>工作电流：﹤100uA</w:t>
      </w:r>
    </w:p>
    <w:p>
      <w:pPr>
        <w:adjustRightInd w:val="0"/>
        <w:snapToGrid w:val="0"/>
        <w:spacing w:before="203" w:beforeLines="50" w:after="203" w:afterLines="50"/>
        <w:ind w:firstLine="500" w:firstLineChars="200"/>
        <w:rPr>
          <w:rFonts w:ascii="宋体" w:hAnsi="宋体"/>
        </w:rPr>
      </w:pPr>
      <w:r>
        <w:rPr>
          <w:rFonts w:ascii="宋体" w:hAnsi="宋体"/>
        </w:rPr>
        <w:t>电压降：输入电流为20mA，负载0Ω时，电压降约3V</w:t>
      </w:r>
    </w:p>
    <w:p>
      <w:pPr>
        <w:adjustRightInd w:val="0"/>
        <w:snapToGrid w:val="0"/>
        <w:spacing w:before="203" w:beforeLines="50" w:after="203" w:afterLines="50"/>
        <w:ind w:firstLine="500" w:firstLineChars="200"/>
        <w:rPr>
          <w:rFonts w:ascii="宋体" w:hAnsi="宋体"/>
        </w:rPr>
      </w:pPr>
      <w:r>
        <w:rPr>
          <w:rFonts w:ascii="宋体" w:hAnsi="宋体"/>
        </w:rPr>
        <w:t>输入电流为20mA，负载500Ω时，电压降约13V</w:t>
      </w:r>
    </w:p>
    <w:p>
      <w:pPr>
        <w:adjustRightInd w:val="0"/>
        <w:snapToGrid w:val="0"/>
        <w:spacing w:before="203" w:beforeLines="50" w:after="203" w:afterLines="50"/>
        <w:ind w:firstLine="500" w:firstLineChars="200"/>
        <w:rPr>
          <w:rFonts w:ascii="宋体" w:hAnsi="宋体"/>
        </w:rPr>
      </w:pPr>
      <w:r>
        <w:rPr>
          <w:rFonts w:ascii="宋体" w:hAnsi="宋体"/>
        </w:rPr>
        <w:t>输出端</w:t>
      </w:r>
    </w:p>
    <w:p>
      <w:pPr>
        <w:adjustRightInd w:val="0"/>
        <w:snapToGrid w:val="0"/>
        <w:spacing w:before="203" w:beforeLines="50" w:after="203" w:afterLines="50"/>
        <w:ind w:firstLine="500" w:firstLineChars="200"/>
        <w:rPr>
          <w:rFonts w:ascii="宋体" w:hAnsi="宋体"/>
        </w:rPr>
      </w:pPr>
      <w:r>
        <w:rPr>
          <w:rFonts w:ascii="宋体" w:hAnsi="宋体"/>
        </w:rPr>
        <w:t>输出信号：4</w:t>
      </w:r>
      <w:r>
        <w:rPr>
          <w:rFonts w:hint="eastAsia" w:ascii="宋体" w:hAnsi="宋体"/>
        </w:rPr>
        <w:t>～</w:t>
      </w:r>
      <w:r>
        <w:rPr>
          <w:rFonts w:ascii="宋体" w:hAnsi="宋体"/>
        </w:rPr>
        <w:t>20mA；</w:t>
      </w:r>
    </w:p>
    <w:p>
      <w:pPr>
        <w:adjustRightInd w:val="0"/>
        <w:snapToGrid w:val="0"/>
        <w:spacing w:before="203" w:beforeLines="50" w:after="203" w:afterLines="50"/>
        <w:ind w:firstLine="500" w:firstLineChars="200"/>
        <w:rPr>
          <w:rFonts w:ascii="宋体" w:hAnsi="宋体"/>
        </w:rPr>
      </w:pPr>
      <w:r>
        <w:rPr>
          <w:rFonts w:ascii="宋体" w:hAnsi="宋体"/>
        </w:rPr>
        <w:t>负载：≤ 500 Ω</w:t>
      </w:r>
    </w:p>
    <w:p>
      <w:pPr>
        <w:adjustRightInd w:val="0"/>
        <w:snapToGrid w:val="0"/>
        <w:spacing w:before="203" w:beforeLines="50" w:after="203" w:afterLines="50"/>
        <w:ind w:firstLine="500" w:firstLineChars="200"/>
        <w:rPr>
          <w:rFonts w:ascii="宋体" w:hAnsi="宋体"/>
        </w:rPr>
      </w:pPr>
      <w:r>
        <w:rPr>
          <w:rFonts w:ascii="宋体" w:hAnsi="宋体"/>
        </w:rPr>
        <w:t>23℃时的精度：﹤量程的0.1%</w:t>
      </w:r>
    </w:p>
    <w:p>
      <w:pPr>
        <w:adjustRightInd w:val="0"/>
        <w:snapToGrid w:val="0"/>
        <w:spacing w:before="203" w:beforeLines="50" w:after="203" w:afterLines="50"/>
        <w:ind w:firstLine="500" w:firstLineChars="200"/>
        <w:rPr>
          <w:rFonts w:ascii="宋体" w:hAnsi="宋体"/>
        </w:rPr>
      </w:pPr>
      <w:r>
        <w:rPr>
          <w:rFonts w:ascii="宋体" w:hAnsi="宋体"/>
        </w:rPr>
        <w:t>负载影响：每100Ω负载﹤量程的0.1%</w:t>
      </w:r>
    </w:p>
    <w:p>
      <w:pPr>
        <w:adjustRightInd w:val="0"/>
        <w:snapToGrid w:val="0"/>
        <w:spacing w:before="203" w:beforeLines="50" w:after="203" w:afterLines="50"/>
        <w:ind w:firstLine="500" w:firstLineChars="200"/>
        <w:rPr>
          <w:rFonts w:ascii="宋体" w:hAnsi="宋体"/>
        </w:rPr>
      </w:pPr>
      <w:r>
        <w:rPr>
          <w:rFonts w:ascii="宋体" w:hAnsi="宋体"/>
        </w:rPr>
        <w:t>温度系数：最大量程的500 ppm/K</w:t>
      </w:r>
    </w:p>
    <w:p>
      <w:pPr>
        <w:adjustRightInd w:val="0"/>
        <w:snapToGrid w:val="0"/>
        <w:spacing w:before="203" w:beforeLines="50" w:after="203" w:afterLines="50"/>
        <w:ind w:firstLine="500" w:firstLineChars="200"/>
        <w:rPr>
          <w:rFonts w:ascii="宋体" w:hAnsi="宋体"/>
        </w:rPr>
      </w:pPr>
      <w:r>
        <w:rPr>
          <w:rFonts w:ascii="宋体" w:hAnsi="宋体"/>
        </w:rPr>
        <w:t>响应时间：4.5ms at 500Ω load</w:t>
      </w:r>
    </w:p>
    <w:p>
      <w:pPr>
        <w:adjustRightInd w:val="0"/>
        <w:snapToGrid w:val="0"/>
        <w:spacing w:before="203" w:beforeLines="50" w:after="203" w:afterLines="50"/>
        <w:ind w:firstLine="500" w:firstLineChars="200"/>
        <w:rPr>
          <w:rFonts w:ascii="宋体" w:hAnsi="宋体"/>
        </w:rPr>
      </w:pPr>
      <w:r>
        <w:rPr>
          <w:rFonts w:ascii="宋体" w:hAnsi="宋体"/>
        </w:rPr>
        <w:t>波动：﹤ 20 mVeff</w:t>
      </w:r>
    </w:p>
    <w:p>
      <w:pPr>
        <w:adjustRightInd w:val="0"/>
        <w:snapToGrid w:val="0"/>
        <w:spacing w:before="203" w:beforeLines="50" w:after="203" w:afterLines="50"/>
        <w:ind w:firstLine="500" w:firstLineChars="200"/>
        <w:rPr>
          <w:rFonts w:ascii="宋体" w:hAnsi="宋体"/>
        </w:rPr>
      </w:pPr>
      <w:r>
        <w:rPr>
          <w:rFonts w:ascii="宋体" w:hAnsi="宋体"/>
        </w:rPr>
        <w:t>关断频率：approx.170 KHz</w:t>
      </w:r>
    </w:p>
    <w:p>
      <w:pPr>
        <w:adjustRightInd w:val="0"/>
        <w:snapToGrid w:val="0"/>
        <w:spacing w:before="203" w:beforeLines="50" w:after="203" w:afterLines="50"/>
        <w:ind w:firstLine="500" w:firstLineChars="200"/>
        <w:rPr>
          <w:rFonts w:ascii="宋体" w:hAnsi="宋体"/>
        </w:rPr>
      </w:pPr>
      <w:r>
        <w:rPr>
          <w:rFonts w:ascii="宋体" w:hAnsi="宋体"/>
        </w:rPr>
        <w:t>工作温度：-25℃</w:t>
      </w:r>
      <w:r>
        <w:rPr>
          <w:rFonts w:hint="eastAsia" w:ascii="宋体" w:hAnsi="宋体"/>
        </w:rPr>
        <w:t>～</w:t>
      </w:r>
      <w:r>
        <w:rPr>
          <w:rFonts w:ascii="宋体" w:hAnsi="宋体"/>
        </w:rPr>
        <w:t>+70℃</w:t>
      </w:r>
    </w:p>
    <w:p>
      <w:pPr>
        <w:adjustRightInd w:val="0"/>
        <w:snapToGrid w:val="0"/>
        <w:spacing w:before="203" w:beforeLines="50" w:after="203" w:afterLines="50"/>
        <w:ind w:firstLine="500" w:firstLineChars="200"/>
        <w:rPr>
          <w:rFonts w:ascii="宋体" w:hAnsi="宋体"/>
        </w:rPr>
      </w:pPr>
      <w:r>
        <w:rPr>
          <w:rFonts w:ascii="宋体" w:hAnsi="宋体"/>
        </w:rPr>
        <w:t>存储温度：-40℃</w:t>
      </w:r>
      <w:r>
        <w:rPr>
          <w:rFonts w:hint="eastAsia" w:ascii="宋体" w:hAnsi="宋体"/>
        </w:rPr>
        <w:t>～</w:t>
      </w:r>
      <w:r>
        <w:rPr>
          <w:rFonts w:ascii="宋体" w:hAnsi="宋体"/>
        </w:rPr>
        <w:t>+80℃</w:t>
      </w:r>
    </w:p>
    <w:p>
      <w:pPr>
        <w:adjustRightInd w:val="0"/>
        <w:snapToGrid w:val="0"/>
        <w:spacing w:before="203" w:beforeLines="50" w:after="203" w:afterLines="50"/>
        <w:ind w:firstLine="500" w:firstLineChars="200"/>
        <w:rPr>
          <w:rFonts w:ascii="宋体" w:hAnsi="宋体"/>
        </w:rPr>
      </w:pPr>
      <w:r>
        <w:rPr>
          <w:rFonts w:ascii="宋体" w:hAnsi="宋体"/>
        </w:rPr>
        <w:t>认证：CE RU SA GL</w:t>
      </w:r>
    </w:p>
    <w:p>
      <w:pPr>
        <w:adjustRightInd w:val="0"/>
        <w:snapToGrid w:val="0"/>
        <w:spacing w:before="203" w:beforeLines="50" w:after="203" w:afterLines="50"/>
        <w:ind w:firstLine="500" w:firstLineChars="200"/>
        <w:rPr>
          <w:rFonts w:ascii="宋体" w:hAnsi="宋体"/>
        </w:rPr>
      </w:pPr>
      <w:r>
        <w:rPr>
          <w:rFonts w:ascii="宋体" w:hAnsi="宋体"/>
        </w:rPr>
        <w:t>EMC标准：EN50081,EN50082,EN55011</w:t>
      </w:r>
    </w:p>
    <w:p>
      <w:pPr>
        <w:adjustRightInd w:val="0"/>
        <w:snapToGrid w:val="0"/>
        <w:spacing w:before="203" w:beforeLines="50" w:after="203" w:afterLines="50"/>
        <w:ind w:firstLine="500" w:firstLineChars="200"/>
        <w:rPr>
          <w:rFonts w:ascii="宋体" w:hAnsi="宋体"/>
          <w:bCs/>
        </w:rPr>
      </w:pPr>
      <w:r>
        <w:rPr>
          <w:rFonts w:ascii="宋体" w:hAnsi="宋体"/>
          <w:bCs/>
        </w:rPr>
        <w:t>配电隔离器</w:t>
      </w:r>
    </w:p>
    <w:p>
      <w:pPr>
        <w:adjustRightInd w:val="0"/>
        <w:snapToGrid w:val="0"/>
        <w:spacing w:before="203" w:beforeLines="50" w:after="203" w:afterLines="50"/>
        <w:ind w:firstLine="500" w:firstLineChars="200"/>
        <w:rPr>
          <w:rFonts w:ascii="宋体" w:hAnsi="宋体"/>
        </w:rPr>
      </w:pPr>
      <w:r>
        <w:rPr>
          <w:rFonts w:ascii="宋体" w:hAnsi="宋体"/>
        </w:rPr>
        <w:t>范围：0-20 mA，4</w:t>
      </w:r>
      <w:r>
        <w:rPr>
          <w:rFonts w:hint="eastAsia" w:ascii="宋体" w:hAnsi="宋体"/>
        </w:rPr>
        <w:t>～</w:t>
      </w:r>
      <w:r>
        <w:rPr>
          <w:rFonts w:ascii="宋体" w:hAnsi="宋体"/>
        </w:rPr>
        <w:t>20mA， 0-5V，0-10V；</w:t>
      </w:r>
    </w:p>
    <w:p>
      <w:pPr>
        <w:adjustRightInd w:val="0"/>
        <w:snapToGrid w:val="0"/>
        <w:spacing w:before="203" w:beforeLines="50" w:after="203" w:afterLines="50"/>
        <w:ind w:firstLine="500" w:firstLineChars="200"/>
        <w:rPr>
          <w:rFonts w:ascii="宋体" w:hAnsi="宋体"/>
        </w:rPr>
      </w:pPr>
      <w:r>
        <w:rPr>
          <w:rFonts w:ascii="宋体" w:hAnsi="宋体"/>
        </w:rPr>
        <w:t>最大输入电流：100mA或1W；</w:t>
      </w:r>
    </w:p>
    <w:p>
      <w:pPr>
        <w:adjustRightInd w:val="0"/>
        <w:snapToGrid w:val="0"/>
        <w:spacing w:before="203" w:beforeLines="50" w:after="203" w:afterLines="50"/>
        <w:ind w:firstLine="500" w:firstLineChars="200"/>
        <w:rPr>
          <w:rFonts w:ascii="宋体" w:hAnsi="宋体"/>
        </w:rPr>
      </w:pPr>
      <w:r>
        <w:rPr>
          <w:rFonts w:ascii="宋体" w:hAnsi="宋体"/>
        </w:rPr>
        <w:t>最大输入电压：50Vdc</w:t>
      </w:r>
    </w:p>
    <w:p>
      <w:pPr>
        <w:adjustRightInd w:val="0"/>
        <w:snapToGrid w:val="0"/>
        <w:spacing w:before="203" w:beforeLines="50" w:after="203" w:afterLines="50"/>
        <w:ind w:firstLine="500" w:firstLineChars="200"/>
        <w:rPr>
          <w:rFonts w:ascii="宋体" w:hAnsi="宋体"/>
        </w:rPr>
      </w:pPr>
      <w:r>
        <w:rPr>
          <w:rFonts w:ascii="宋体" w:hAnsi="宋体"/>
        </w:rPr>
        <w:t>输入阻抗：电流：100Ω</w:t>
      </w:r>
    </w:p>
    <w:p>
      <w:pPr>
        <w:adjustRightInd w:val="0"/>
        <w:snapToGrid w:val="0"/>
        <w:spacing w:before="203" w:beforeLines="50" w:after="203" w:afterLines="50"/>
        <w:ind w:firstLine="500" w:firstLineChars="200"/>
        <w:rPr>
          <w:rFonts w:ascii="宋体" w:hAnsi="宋体"/>
        </w:rPr>
      </w:pPr>
      <w:r>
        <w:rPr>
          <w:rFonts w:ascii="宋体" w:hAnsi="宋体"/>
        </w:rPr>
        <w:t>电压：100KΩ最小</w:t>
      </w:r>
    </w:p>
    <w:p>
      <w:pPr>
        <w:adjustRightInd w:val="0"/>
        <w:snapToGrid w:val="0"/>
        <w:spacing w:before="203" w:beforeLines="50" w:after="203" w:afterLines="50"/>
        <w:ind w:firstLine="500" w:firstLineChars="200"/>
        <w:rPr>
          <w:rFonts w:ascii="宋体" w:hAnsi="宋体"/>
        </w:rPr>
      </w:pPr>
      <w:r>
        <w:rPr>
          <w:rFonts w:ascii="宋体" w:hAnsi="宋体"/>
        </w:rPr>
        <w:t>现场激励（只适用于4～20mA输入）：24Vdc @ 20mAmax（跳线选择）</w:t>
      </w:r>
    </w:p>
    <w:p>
      <w:pPr>
        <w:adjustRightInd w:val="0"/>
        <w:snapToGrid w:val="0"/>
        <w:spacing w:before="203" w:beforeLines="50" w:after="203" w:afterLines="50"/>
        <w:ind w:firstLine="500" w:firstLineChars="200"/>
        <w:rPr>
          <w:rFonts w:ascii="宋体" w:hAnsi="宋体"/>
        </w:rPr>
      </w:pPr>
      <w:r>
        <w:rPr>
          <w:rFonts w:ascii="宋体" w:hAnsi="宋体"/>
        </w:rPr>
        <w:t>输出端</w:t>
      </w:r>
    </w:p>
    <w:p>
      <w:pPr>
        <w:adjustRightInd w:val="0"/>
        <w:snapToGrid w:val="0"/>
        <w:spacing w:before="203" w:beforeLines="50" w:after="203" w:afterLines="50"/>
        <w:ind w:firstLine="500" w:firstLineChars="200"/>
        <w:rPr>
          <w:rFonts w:ascii="宋体" w:hAnsi="宋体"/>
        </w:rPr>
      </w:pPr>
      <w:r>
        <w:rPr>
          <w:rFonts w:ascii="宋体" w:hAnsi="宋体"/>
        </w:rPr>
        <w:t>范围：0-20 mA，4～20mA， 0-5V，0-10V；</w:t>
      </w:r>
    </w:p>
    <w:p>
      <w:pPr>
        <w:adjustRightInd w:val="0"/>
        <w:snapToGrid w:val="0"/>
        <w:spacing w:before="203" w:beforeLines="50" w:after="203" w:afterLines="50"/>
        <w:ind w:firstLine="500" w:firstLineChars="200"/>
        <w:rPr>
          <w:rFonts w:ascii="宋体" w:hAnsi="宋体"/>
        </w:rPr>
      </w:pPr>
      <w:r>
        <w:rPr>
          <w:rFonts w:ascii="宋体" w:hAnsi="宋体"/>
        </w:rPr>
        <w:t>输出可驱动电流：20mA时最大950Ω</w:t>
      </w:r>
    </w:p>
    <w:p>
      <w:pPr>
        <w:adjustRightInd w:val="0"/>
        <w:snapToGrid w:val="0"/>
        <w:spacing w:before="203" w:beforeLines="50" w:after="203" w:afterLines="50"/>
        <w:ind w:firstLine="500" w:firstLineChars="200"/>
        <w:rPr>
          <w:rFonts w:ascii="宋体" w:hAnsi="宋体"/>
        </w:rPr>
      </w:pPr>
      <w:r>
        <w:rPr>
          <w:rFonts w:ascii="宋体" w:hAnsi="宋体"/>
        </w:rPr>
        <w:t>输出可驱动电压：100KΩ最小</w:t>
      </w:r>
    </w:p>
    <w:p>
      <w:pPr>
        <w:adjustRightInd w:val="0"/>
        <w:snapToGrid w:val="0"/>
        <w:spacing w:before="203" w:beforeLines="50" w:after="203" w:afterLines="50"/>
        <w:ind w:firstLine="500" w:firstLineChars="200"/>
        <w:rPr>
          <w:rFonts w:ascii="宋体" w:hAnsi="宋体"/>
        </w:rPr>
      </w:pPr>
      <w:r>
        <w:rPr>
          <w:rFonts w:ascii="宋体" w:hAnsi="宋体"/>
        </w:rPr>
        <w:t>保护：短路保护</w:t>
      </w:r>
    </w:p>
    <w:p>
      <w:pPr>
        <w:adjustRightInd w:val="0"/>
        <w:snapToGrid w:val="0"/>
        <w:spacing w:before="203" w:beforeLines="50" w:after="203" w:afterLines="50"/>
        <w:ind w:firstLine="500" w:firstLineChars="200"/>
        <w:rPr>
          <w:rFonts w:ascii="宋体" w:hAnsi="宋体"/>
        </w:rPr>
      </w:pPr>
      <w:r>
        <w:rPr>
          <w:rFonts w:ascii="宋体" w:hAnsi="宋体"/>
        </w:rPr>
        <w:t>量程调节：5%</w:t>
      </w:r>
    </w:p>
    <w:p>
      <w:pPr>
        <w:adjustRightInd w:val="0"/>
        <w:snapToGrid w:val="0"/>
        <w:spacing w:before="203" w:beforeLines="50" w:after="203" w:afterLines="50"/>
        <w:ind w:firstLine="500" w:firstLineChars="200"/>
        <w:rPr>
          <w:rFonts w:ascii="宋体" w:hAnsi="宋体"/>
        </w:rPr>
      </w:pPr>
      <w:r>
        <w:rPr>
          <w:rFonts w:ascii="宋体" w:hAnsi="宋体"/>
        </w:rPr>
        <w:t>精度/线性：最大满量程的0.15%</w:t>
      </w:r>
    </w:p>
    <w:p>
      <w:pPr>
        <w:adjustRightInd w:val="0"/>
        <w:snapToGrid w:val="0"/>
        <w:spacing w:before="203" w:beforeLines="50" w:after="203" w:afterLines="50"/>
        <w:ind w:firstLine="500" w:firstLineChars="200"/>
        <w:rPr>
          <w:rFonts w:ascii="宋体" w:hAnsi="宋体"/>
        </w:rPr>
      </w:pPr>
      <w:r>
        <w:rPr>
          <w:rFonts w:ascii="宋体" w:hAnsi="宋体"/>
        </w:rPr>
        <w:t>温度效应：最大0.15%</w:t>
      </w:r>
    </w:p>
    <w:p>
      <w:pPr>
        <w:adjustRightInd w:val="0"/>
        <w:snapToGrid w:val="0"/>
        <w:spacing w:before="203" w:beforeLines="50" w:after="203" w:afterLines="50"/>
        <w:ind w:firstLine="500" w:firstLineChars="200"/>
        <w:rPr>
          <w:rFonts w:ascii="宋体" w:hAnsi="宋体"/>
        </w:rPr>
      </w:pPr>
      <w:r>
        <w:rPr>
          <w:rFonts w:ascii="宋体" w:hAnsi="宋体"/>
        </w:rPr>
        <w:t>响应时间：最大500ms</w:t>
      </w:r>
    </w:p>
    <w:p>
      <w:pPr>
        <w:adjustRightInd w:val="0"/>
        <w:snapToGrid w:val="0"/>
        <w:spacing w:before="203" w:beforeLines="50" w:after="203" w:afterLines="50"/>
        <w:ind w:firstLine="500" w:firstLineChars="200"/>
        <w:rPr>
          <w:rFonts w:ascii="宋体" w:hAnsi="宋体"/>
        </w:rPr>
      </w:pPr>
      <w:r>
        <w:rPr>
          <w:rFonts w:ascii="宋体" w:hAnsi="宋体"/>
        </w:rPr>
        <w:t>工作温度：0℃</w:t>
      </w:r>
      <w:r>
        <w:rPr>
          <w:rFonts w:hint="eastAsia" w:ascii="宋体" w:hAnsi="宋体"/>
        </w:rPr>
        <w:t>～</w:t>
      </w:r>
      <w:r>
        <w:rPr>
          <w:rFonts w:ascii="宋体" w:hAnsi="宋体"/>
        </w:rPr>
        <w:t>+60℃</w:t>
      </w:r>
    </w:p>
    <w:p>
      <w:pPr>
        <w:adjustRightInd w:val="0"/>
        <w:snapToGrid w:val="0"/>
        <w:spacing w:before="203" w:beforeLines="50" w:after="203" w:afterLines="50"/>
        <w:ind w:firstLine="500" w:firstLineChars="200"/>
        <w:rPr>
          <w:rFonts w:ascii="宋体" w:hAnsi="宋体"/>
        </w:rPr>
      </w:pPr>
      <w:r>
        <w:rPr>
          <w:rFonts w:ascii="宋体" w:hAnsi="宋体"/>
        </w:rPr>
        <w:t>存储温度：-20℃～+85℃</w:t>
      </w:r>
    </w:p>
    <w:p>
      <w:pPr>
        <w:adjustRightInd w:val="0"/>
        <w:snapToGrid w:val="0"/>
        <w:spacing w:before="203" w:beforeLines="50" w:after="203" w:afterLines="50"/>
        <w:ind w:firstLine="500" w:firstLineChars="200"/>
        <w:rPr>
          <w:rFonts w:ascii="宋体" w:hAnsi="宋体"/>
        </w:rPr>
      </w:pPr>
      <w:r>
        <w:rPr>
          <w:rFonts w:ascii="宋体" w:hAnsi="宋体"/>
        </w:rPr>
        <w:t>EMC/LVD：EN50081-6，EN50082-1，EN61010-1</w:t>
      </w:r>
    </w:p>
    <w:p>
      <w:pPr>
        <w:adjustRightInd w:val="0"/>
        <w:snapToGrid w:val="0"/>
        <w:spacing w:before="203" w:beforeLines="50" w:after="203" w:afterLines="50"/>
        <w:ind w:firstLine="500" w:firstLineChars="200"/>
        <w:rPr>
          <w:rFonts w:ascii="宋体" w:hAnsi="宋体"/>
        </w:rPr>
      </w:pPr>
      <w:bookmarkStart w:id="7240" w:name="_Toc301178816"/>
      <w:bookmarkStart w:id="7241" w:name="_Toc301171389"/>
      <w:r>
        <w:rPr>
          <w:rFonts w:ascii="宋体" w:hAnsi="宋体"/>
        </w:rPr>
        <w:t>8、直流24V开关电源</w:t>
      </w:r>
      <w:bookmarkEnd w:id="7240"/>
      <w:bookmarkEnd w:id="7241"/>
    </w:p>
    <w:p>
      <w:pPr>
        <w:adjustRightInd w:val="0"/>
        <w:snapToGrid w:val="0"/>
        <w:spacing w:before="203" w:beforeLines="50" w:after="203" w:afterLines="50"/>
        <w:ind w:firstLine="500" w:firstLineChars="200"/>
        <w:rPr>
          <w:rFonts w:ascii="宋体" w:hAnsi="宋体"/>
        </w:rPr>
      </w:pPr>
      <w:r>
        <w:rPr>
          <w:rFonts w:ascii="宋体" w:hAnsi="宋体"/>
        </w:rPr>
        <w:t>输入参数：</w:t>
      </w:r>
    </w:p>
    <w:p>
      <w:pPr>
        <w:adjustRightInd w:val="0"/>
        <w:snapToGrid w:val="0"/>
        <w:spacing w:before="203" w:beforeLines="50" w:after="203" w:afterLines="50"/>
        <w:ind w:firstLine="500" w:firstLineChars="200"/>
        <w:rPr>
          <w:rFonts w:ascii="宋体" w:hAnsi="宋体"/>
        </w:rPr>
      </w:pPr>
      <w:r>
        <w:rPr>
          <w:rFonts w:ascii="宋体" w:hAnsi="宋体"/>
        </w:rPr>
        <w:t>输入电压：220V AC；</w:t>
      </w:r>
    </w:p>
    <w:p>
      <w:pPr>
        <w:adjustRightInd w:val="0"/>
        <w:snapToGrid w:val="0"/>
        <w:spacing w:before="203" w:beforeLines="50" w:after="203" w:afterLines="50"/>
        <w:ind w:firstLine="500" w:firstLineChars="200"/>
        <w:rPr>
          <w:rFonts w:ascii="宋体" w:hAnsi="宋体"/>
        </w:rPr>
      </w:pPr>
      <w:r>
        <w:rPr>
          <w:rFonts w:ascii="宋体" w:hAnsi="宋体"/>
        </w:rPr>
        <w:t>输入电压范围：85-264V AC；</w:t>
      </w:r>
    </w:p>
    <w:p>
      <w:pPr>
        <w:adjustRightInd w:val="0"/>
        <w:snapToGrid w:val="0"/>
        <w:spacing w:before="203" w:beforeLines="50" w:after="203" w:afterLines="50"/>
        <w:ind w:firstLine="500" w:firstLineChars="200"/>
        <w:rPr>
          <w:rFonts w:ascii="宋体" w:hAnsi="宋体"/>
        </w:rPr>
      </w:pPr>
      <w:r>
        <w:rPr>
          <w:rFonts w:ascii="宋体" w:hAnsi="宋体"/>
        </w:rPr>
        <w:t>输入电流：3.5A @ 115V；1.8A @ 230V</w:t>
      </w:r>
    </w:p>
    <w:p>
      <w:pPr>
        <w:adjustRightInd w:val="0"/>
        <w:snapToGrid w:val="0"/>
        <w:spacing w:before="203" w:beforeLines="50" w:after="203" w:afterLines="50"/>
        <w:ind w:firstLine="500" w:firstLineChars="200"/>
        <w:rPr>
          <w:rFonts w:ascii="宋体" w:hAnsi="宋体"/>
        </w:rPr>
      </w:pPr>
      <w:r>
        <w:rPr>
          <w:rFonts w:ascii="宋体" w:hAnsi="宋体"/>
        </w:rPr>
        <w:t>频率：47-63Hz；</w:t>
      </w:r>
    </w:p>
    <w:p>
      <w:pPr>
        <w:adjustRightInd w:val="0"/>
        <w:snapToGrid w:val="0"/>
        <w:spacing w:before="203" w:beforeLines="50" w:after="203" w:afterLines="50"/>
        <w:ind w:firstLine="500" w:firstLineChars="200"/>
        <w:rPr>
          <w:rFonts w:ascii="宋体" w:hAnsi="宋体"/>
        </w:rPr>
      </w:pPr>
      <w:r>
        <w:rPr>
          <w:rFonts w:ascii="宋体" w:hAnsi="宋体"/>
        </w:rPr>
        <w:t>输出参数：</w:t>
      </w:r>
    </w:p>
    <w:p>
      <w:pPr>
        <w:adjustRightInd w:val="0"/>
        <w:snapToGrid w:val="0"/>
        <w:spacing w:before="203" w:beforeLines="50" w:after="203" w:afterLines="50"/>
        <w:ind w:firstLine="500" w:firstLineChars="200"/>
        <w:rPr>
          <w:rFonts w:ascii="宋体" w:hAnsi="宋体"/>
        </w:rPr>
      </w:pPr>
      <w:r>
        <w:rPr>
          <w:rFonts w:ascii="宋体" w:hAnsi="宋体"/>
        </w:rPr>
        <w:t>输出电压UN：24V DC（24….28VDC）</w:t>
      </w:r>
    </w:p>
    <w:p>
      <w:pPr>
        <w:adjustRightInd w:val="0"/>
        <w:snapToGrid w:val="0"/>
        <w:spacing w:before="203" w:beforeLines="50" w:after="203" w:afterLines="50"/>
        <w:ind w:firstLine="500" w:firstLineChars="200"/>
        <w:rPr>
          <w:rFonts w:ascii="宋体" w:hAnsi="宋体"/>
        </w:rPr>
      </w:pPr>
      <w:r>
        <w:rPr>
          <w:rFonts w:ascii="宋体" w:hAnsi="宋体"/>
        </w:rPr>
        <w:t>纹波和噪音：80mVss</w:t>
      </w:r>
    </w:p>
    <w:p>
      <w:pPr>
        <w:adjustRightInd w:val="0"/>
        <w:snapToGrid w:val="0"/>
        <w:spacing w:before="203" w:beforeLines="50" w:after="203" w:afterLines="50"/>
        <w:ind w:firstLine="500" w:firstLineChars="200"/>
        <w:rPr>
          <w:rFonts w:ascii="宋体" w:hAnsi="宋体"/>
        </w:rPr>
      </w:pPr>
      <w:r>
        <w:rPr>
          <w:rFonts w:ascii="宋体" w:hAnsi="宋体"/>
        </w:rPr>
        <w:t>输出电流：10A</w:t>
      </w:r>
    </w:p>
    <w:p>
      <w:pPr>
        <w:adjustRightInd w:val="0"/>
        <w:snapToGrid w:val="0"/>
        <w:spacing w:before="203" w:beforeLines="50" w:after="203" w:afterLines="50"/>
        <w:ind w:firstLine="500" w:firstLineChars="200"/>
        <w:rPr>
          <w:rFonts w:ascii="宋体" w:hAnsi="宋体"/>
        </w:rPr>
      </w:pPr>
      <w:r>
        <w:rPr>
          <w:rFonts w:ascii="宋体" w:hAnsi="宋体"/>
        </w:rPr>
        <w:t>效率：84%</w:t>
      </w:r>
    </w:p>
    <w:p>
      <w:pPr>
        <w:adjustRightInd w:val="0"/>
        <w:snapToGrid w:val="0"/>
        <w:spacing w:before="203" w:beforeLines="50" w:after="203" w:afterLines="50"/>
        <w:ind w:firstLine="500" w:firstLineChars="200"/>
        <w:rPr>
          <w:rFonts w:ascii="宋体" w:hAnsi="宋体"/>
        </w:rPr>
      </w:pPr>
      <w:r>
        <w:rPr>
          <w:rFonts w:ascii="宋体" w:hAnsi="宋体"/>
        </w:rPr>
        <w:t>过载保护：105%....150%额定输出电流3秒；&gt;150%额定输出电流，关断；</w:t>
      </w:r>
    </w:p>
    <w:p>
      <w:pPr>
        <w:adjustRightInd w:val="0"/>
        <w:snapToGrid w:val="0"/>
        <w:spacing w:before="203" w:beforeLines="50" w:after="203" w:afterLines="50"/>
        <w:ind w:firstLine="500" w:firstLineChars="200"/>
        <w:rPr>
          <w:rFonts w:ascii="宋体" w:hAnsi="宋体"/>
        </w:rPr>
      </w:pPr>
      <w:r>
        <w:rPr>
          <w:rFonts w:ascii="宋体" w:hAnsi="宋体"/>
        </w:rPr>
        <w:t>短路保护：有</w:t>
      </w:r>
    </w:p>
    <w:p>
      <w:pPr>
        <w:adjustRightInd w:val="0"/>
        <w:snapToGrid w:val="0"/>
        <w:spacing w:before="203" w:beforeLines="50" w:after="203" w:afterLines="50"/>
        <w:ind w:firstLine="500" w:firstLineChars="200"/>
        <w:rPr>
          <w:rFonts w:ascii="宋体" w:hAnsi="宋体"/>
        </w:rPr>
      </w:pPr>
      <w:r>
        <w:rPr>
          <w:rFonts w:ascii="宋体" w:hAnsi="宋体"/>
        </w:rPr>
        <w:t>最大输出功率：240W</w:t>
      </w:r>
    </w:p>
    <w:p>
      <w:pPr>
        <w:adjustRightInd w:val="0"/>
        <w:snapToGrid w:val="0"/>
        <w:spacing w:before="203" w:beforeLines="50" w:after="203" w:afterLines="50"/>
        <w:ind w:firstLine="500" w:firstLineChars="200"/>
        <w:rPr>
          <w:rFonts w:ascii="宋体" w:hAnsi="宋体"/>
        </w:rPr>
      </w:pPr>
      <w:r>
        <w:rPr>
          <w:rFonts w:ascii="宋体" w:hAnsi="宋体"/>
        </w:rPr>
        <w:t>输入失电维持时间：20ms @ 115VAC；20ms @ 230VAC</w:t>
      </w:r>
    </w:p>
    <w:p>
      <w:pPr>
        <w:adjustRightInd w:val="0"/>
        <w:snapToGrid w:val="0"/>
        <w:spacing w:before="203" w:beforeLines="50" w:after="203" w:afterLines="50"/>
        <w:ind w:firstLine="500" w:firstLineChars="200"/>
        <w:rPr>
          <w:rFonts w:ascii="宋体" w:hAnsi="宋体"/>
        </w:rPr>
      </w:pPr>
      <w:r>
        <w:rPr>
          <w:rFonts w:ascii="宋体" w:hAnsi="宋体"/>
        </w:rPr>
        <w:t>并联工作：可以</w:t>
      </w:r>
    </w:p>
    <w:p>
      <w:pPr>
        <w:adjustRightInd w:val="0"/>
        <w:snapToGrid w:val="0"/>
        <w:spacing w:before="203" w:beforeLines="50" w:after="203" w:afterLines="50"/>
        <w:ind w:firstLine="500" w:firstLineChars="200"/>
        <w:rPr>
          <w:rFonts w:ascii="宋体" w:hAnsi="宋体"/>
        </w:rPr>
      </w:pPr>
      <w:r>
        <w:rPr>
          <w:rFonts w:ascii="宋体" w:hAnsi="宋体"/>
        </w:rPr>
        <w:t>电气隔离：</w:t>
      </w:r>
    </w:p>
    <w:p>
      <w:pPr>
        <w:adjustRightInd w:val="0"/>
        <w:snapToGrid w:val="0"/>
        <w:spacing w:before="203" w:beforeLines="50" w:after="203" w:afterLines="50"/>
        <w:ind w:firstLine="500" w:firstLineChars="200"/>
        <w:rPr>
          <w:rFonts w:ascii="宋体" w:hAnsi="宋体"/>
        </w:rPr>
      </w:pPr>
      <w:r>
        <w:rPr>
          <w:rFonts w:ascii="宋体" w:hAnsi="宋体"/>
        </w:rPr>
        <w:t>输出侧和地之间： 0.5KV AC</w:t>
      </w:r>
    </w:p>
    <w:p>
      <w:pPr>
        <w:adjustRightInd w:val="0"/>
        <w:snapToGrid w:val="0"/>
        <w:spacing w:before="203" w:beforeLines="50" w:after="203" w:afterLines="50"/>
        <w:ind w:firstLine="500" w:firstLineChars="200"/>
        <w:rPr>
          <w:rFonts w:ascii="宋体" w:hAnsi="宋体"/>
        </w:rPr>
      </w:pPr>
      <w:r>
        <w:rPr>
          <w:rFonts w:ascii="宋体" w:hAnsi="宋体"/>
        </w:rPr>
        <w:t>输入侧和地之间： 1.5KV AC</w:t>
      </w:r>
    </w:p>
    <w:p>
      <w:pPr>
        <w:adjustRightInd w:val="0"/>
        <w:snapToGrid w:val="0"/>
        <w:spacing w:before="203" w:beforeLines="50" w:after="203" w:afterLines="50"/>
        <w:ind w:firstLine="500" w:firstLineChars="200"/>
        <w:rPr>
          <w:rFonts w:ascii="宋体" w:hAnsi="宋体"/>
        </w:rPr>
      </w:pPr>
      <w:r>
        <w:rPr>
          <w:rFonts w:ascii="宋体" w:hAnsi="宋体"/>
        </w:rPr>
        <w:t>输入侧和输出侧之间： 3KV AC</w:t>
      </w:r>
    </w:p>
    <w:p>
      <w:pPr>
        <w:adjustRightInd w:val="0"/>
        <w:snapToGrid w:val="0"/>
        <w:spacing w:before="203" w:beforeLines="50" w:after="203" w:afterLines="50"/>
        <w:ind w:firstLine="500" w:firstLineChars="200"/>
        <w:rPr>
          <w:rFonts w:ascii="宋体" w:hAnsi="宋体"/>
        </w:rPr>
      </w:pPr>
      <w:r>
        <w:rPr>
          <w:rFonts w:ascii="宋体" w:hAnsi="宋体"/>
        </w:rPr>
        <w:t>总体参数：</w:t>
      </w:r>
    </w:p>
    <w:p>
      <w:pPr>
        <w:adjustRightInd w:val="0"/>
        <w:snapToGrid w:val="0"/>
        <w:spacing w:before="203" w:beforeLines="50" w:after="203" w:afterLines="50"/>
        <w:ind w:firstLine="500" w:firstLineChars="200"/>
        <w:rPr>
          <w:rFonts w:ascii="宋体" w:hAnsi="宋体"/>
        </w:rPr>
      </w:pPr>
      <w:r>
        <w:rPr>
          <w:rFonts w:ascii="宋体" w:hAnsi="宋体"/>
        </w:rPr>
        <w:t>LED显示：绿色</w:t>
      </w:r>
    </w:p>
    <w:p>
      <w:pPr>
        <w:adjustRightInd w:val="0"/>
        <w:snapToGrid w:val="0"/>
        <w:spacing w:before="203" w:beforeLines="50" w:after="203" w:afterLines="50"/>
        <w:ind w:firstLine="500" w:firstLineChars="200"/>
        <w:rPr>
          <w:rFonts w:ascii="宋体" w:hAnsi="宋体"/>
        </w:rPr>
      </w:pPr>
      <w:r>
        <w:rPr>
          <w:rFonts w:ascii="宋体" w:hAnsi="宋体"/>
        </w:rPr>
        <w:t>外壳：金属</w:t>
      </w:r>
    </w:p>
    <w:p>
      <w:pPr>
        <w:adjustRightInd w:val="0"/>
        <w:snapToGrid w:val="0"/>
        <w:spacing w:before="203" w:beforeLines="50" w:after="203" w:afterLines="50"/>
        <w:ind w:firstLine="500" w:firstLineChars="200"/>
        <w:rPr>
          <w:rFonts w:ascii="宋体" w:hAnsi="宋体"/>
        </w:rPr>
      </w:pPr>
      <w:r>
        <w:rPr>
          <w:rFonts w:ascii="宋体" w:hAnsi="宋体"/>
        </w:rPr>
        <w:t>存储温度：-20℃～+85℃</w:t>
      </w:r>
    </w:p>
    <w:p>
      <w:pPr>
        <w:adjustRightInd w:val="0"/>
        <w:snapToGrid w:val="0"/>
        <w:spacing w:before="203" w:beforeLines="50" w:after="203" w:afterLines="50"/>
        <w:ind w:firstLine="500" w:firstLineChars="200"/>
        <w:rPr>
          <w:rFonts w:ascii="宋体" w:hAnsi="宋体"/>
        </w:rPr>
      </w:pPr>
      <w:r>
        <w:rPr>
          <w:rFonts w:ascii="宋体" w:hAnsi="宋体"/>
        </w:rPr>
        <w:t>环境温度：-10℃～+55℃ @ 100%; 70℃ @ 70%</w:t>
      </w:r>
    </w:p>
    <w:p>
      <w:pPr>
        <w:adjustRightInd w:val="0"/>
        <w:snapToGrid w:val="0"/>
        <w:spacing w:before="203" w:beforeLines="50" w:after="203" w:afterLines="50"/>
        <w:ind w:firstLine="500" w:firstLineChars="200"/>
        <w:rPr>
          <w:rFonts w:ascii="宋体" w:hAnsi="宋体"/>
        </w:rPr>
      </w:pPr>
      <w:r>
        <w:rPr>
          <w:rFonts w:ascii="宋体" w:hAnsi="宋体"/>
        </w:rPr>
        <w:t>尺寸（L*W*H）：124.5*124.2*100mm</w:t>
      </w:r>
    </w:p>
    <w:p>
      <w:pPr>
        <w:adjustRightInd w:val="0"/>
        <w:snapToGrid w:val="0"/>
        <w:spacing w:before="203" w:beforeLines="50" w:after="203" w:afterLines="50"/>
        <w:ind w:firstLine="500" w:firstLineChars="200"/>
        <w:rPr>
          <w:rFonts w:ascii="宋体" w:hAnsi="宋体"/>
        </w:rPr>
      </w:pPr>
      <w:r>
        <w:rPr>
          <w:rFonts w:ascii="宋体" w:hAnsi="宋体"/>
        </w:rPr>
        <w:t>EMC标准：EN55022 class B</w:t>
      </w:r>
    </w:p>
    <w:p>
      <w:pPr>
        <w:adjustRightInd w:val="0"/>
        <w:snapToGrid w:val="0"/>
        <w:spacing w:before="203" w:beforeLines="50" w:after="203" w:afterLines="50"/>
        <w:ind w:firstLine="500" w:firstLineChars="200"/>
        <w:rPr>
          <w:rFonts w:ascii="宋体" w:hAnsi="宋体"/>
        </w:rPr>
      </w:pPr>
      <w:r>
        <w:rPr>
          <w:rFonts w:ascii="宋体" w:hAnsi="宋体"/>
        </w:rPr>
        <w:t>EN61000-3-2，3</w:t>
      </w:r>
    </w:p>
    <w:p>
      <w:pPr>
        <w:adjustRightInd w:val="0"/>
        <w:snapToGrid w:val="0"/>
        <w:spacing w:before="203" w:beforeLines="50" w:after="203" w:afterLines="50"/>
        <w:ind w:firstLine="500" w:firstLineChars="200"/>
        <w:rPr>
          <w:rFonts w:ascii="宋体" w:hAnsi="宋体"/>
        </w:rPr>
      </w:pPr>
      <w:r>
        <w:rPr>
          <w:rFonts w:ascii="宋体" w:hAnsi="宋体"/>
        </w:rPr>
        <w:t>EN61000-4-2,3,4,5,6,8,11</w:t>
      </w:r>
    </w:p>
    <w:p>
      <w:pPr>
        <w:adjustRightInd w:val="0"/>
        <w:snapToGrid w:val="0"/>
        <w:spacing w:before="203" w:beforeLines="50" w:after="203" w:afterLines="50"/>
        <w:ind w:firstLine="500" w:firstLineChars="200"/>
        <w:rPr>
          <w:rFonts w:ascii="宋体" w:hAnsi="宋体"/>
        </w:rPr>
      </w:pPr>
      <w:r>
        <w:rPr>
          <w:rFonts w:ascii="宋体" w:hAnsi="宋体"/>
        </w:rPr>
        <w:t>ENV50204</w:t>
      </w:r>
    </w:p>
    <w:p>
      <w:pPr>
        <w:adjustRightInd w:val="0"/>
        <w:snapToGrid w:val="0"/>
        <w:spacing w:before="203" w:beforeLines="50" w:after="203" w:afterLines="50"/>
        <w:ind w:firstLine="500" w:firstLineChars="200"/>
        <w:rPr>
          <w:rFonts w:ascii="宋体" w:hAnsi="宋体"/>
        </w:rPr>
      </w:pPr>
      <w:r>
        <w:rPr>
          <w:rFonts w:ascii="宋体" w:hAnsi="宋体"/>
        </w:rPr>
        <w:t>安全标准：TUV EN60950</w:t>
      </w:r>
    </w:p>
    <w:p>
      <w:pPr>
        <w:adjustRightInd w:val="0"/>
        <w:snapToGrid w:val="0"/>
        <w:spacing w:before="203" w:beforeLines="50" w:after="203" w:afterLines="50"/>
        <w:ind w:firstLine="500" w:firstLineChars="200"/>
        <w:rPr>
          <w:rFonts w:ascii="宋体" w:hAnsi="宋体"/>
        </w:rPr>
      </w:pPr>
      <w:r>
        <w:rPr>
          <w:rFonts w:ascii="宋体" w:hAnsi="宋体"/>
        </w:rPr>
        <w:t>UL508。</w:t>
      </w:r>
    </w:p>
    <w:p>
      <w:pPr>
        <w:adjustRightInd w:val="0"/>
        <w:snapToGrid w:val="0"/>
        <w:spacing w:before="203" w:beforeLines="50" w:after="203" w:afterLines="50"/>
        <w:ind w:firstLine="500" w:firstLineChars="200"/>
        <w:rPr>
          <w:rFonts w:ascii="宋体" w:hAnsi="宋体"/>
        </w:rPr>
      </w:pPr>
      <w:bookmarkStart w:id="7242" w:name="_Toc98143045"/>
      <w:bookmarkStart w:id="7243" w:name="_Toc50177544"/>
      <w:bookmarkStart w:id="7244" w:name="_Toc301171390"/>
      <w:bookmarkStart w:id="7245" w:name="_Toc301178817"/>
      <w:r>
        <w:rPr>
          <w:rFonts w:ascii="宋体" w:hAnsi="宋体"/>
        </w:rPr>
        <w:t>9、 PLC</w:t>
      </w:r>
      <w:bookmarkEnd w:id="7242"/>
      <w:bookmarkEnd w:id="7243"/>
      <w:r>
        <w:rPr>
          <w:rFonts w:ascii="宋体" w:hAnsi="宋体"/>
        </w:rPr>
        <w:t>指令码</w:t>
      </w:r>
      <w:bookmarkEnd w:id="7244"/>
      <w:bookmarkEnd w:id="7245"/>
    </w:p>
    <w:p>
      <w:pPr>
        <w:adjustRightInd w:val="0"/>
        <w:snapToGrid w:val="0"/>
        <w:spacing w:before="203" w:beforeLines="50" w:after="203" w:afterLines="50"/>
        <w:ind w:firstLine="500" w:firstLineChars="200"/>
        <w:rPr>
          <w:rFonts w:ascii="宋体" w:hAnsi="宋体"/>
          <w:bCs/>
        </w:rPr>
      </w:pPr>
      <w:r>
        <w:rPr>
          <w:rFonts w:ascii="宋体" w:hAnsi="宋体"/>
          <w:bCs/>
        </w:rPr>
        <w:t>一般功能</w:t>
      </w:r>
    </w:p>
    <w:p>
      <w:pPr>
        <w:adjustRightInd w:val="0"/>
        <w:snapToGrid w:val="0"/>
        <w:spacing w:before="203" w:beforeLines="50" w:after="203" w:afterLines="50"/>
        <w:ind w:firstLine="500" w:firstLineChars="200"/>
        <w:rPr>
          <w:rFonts w:ascii="宋体" w:hAnsi="宋体"/>
        </w:rPr>
      </w:pPr>
      <w:r>
        <w:rPr>
          <w:rFonts w:ascii="宋体" w:hAnsi="宋体"/>
        </w:rPr>
        <w:t>满足现场工作站和设备控制的全部要求。包括：顺序、条件、计时、计数控制、PID调节等、流量及功率参数的自动累积和数据处理。编程软件应是在Windows环境下符合IEC61131标准的编程软件包,并有大量的用于过程控制的附加功能块。主要功能要求如下：</w:t>
      </w:r>
    </w:p>
    <w:p>
      <w:pPr>
        <w:adjustRightInd w:val="0"/>
        <w:snapToGrid w:val="0"/>
        <w:spacing w:before="203" w:beforeLines="50" w:after="203" w:afterLines="50"/>
        <w:ind w:firstLine="500" w:firstLineChars="200"/>
        <w:rPr>
          <w:rFonts w:ascii="宋体" w:hAnsi="宋体"/>
        </w:rPr>
      </w:pPr>
      <w:r>
        <w:rPr>
          <w:rFonts w:ascii="宋体" w:hAnsi="宋体"/>
        </w:rPr>
        <w:t>离线编程/模拟调试；</w:t>
      </w:r>
    </w:p>
    <w:p>
      <w:pPr>
        <w:adjustRightInd w:val="0"/>
        <w:snapToGrid w:val="0"/>
        <w:spacing w:before="203" w:beforeLines="50" w:after="203" w:afterLines="50"/>
        <w:ind w:firstLine="500" w:firstLineChars="200"/>
        <w:rPr>
          <w:rFonts w:ascii="宋体" w:hAnsi="宋体"/>
        </w:rPr>
      </w:pPr>
      <w:r>
        <w:rPr>
          <w:rFonts w:ascii="宋体" w:hAnsi="宋体"/>
        </w:rPr>
        <w:t>在线程序维护；</w:t>
      </w:r>
    </w:p>
    <w:p>
      <w:pPr>
        <w:adjustRightInd w:val="0"/>
        <w:snapToGrid w:val="0"/>
        <w:spacing w:before="203" w:beforeLines="50" w:after="203" w:afterLines="50"/>
        <w:ind w:firstLine="500" w:firstLineChars="200"/>
        <w:rPr>
          <w:rFonts w:ascii="宋体" w:hAnsi="宋体"/>
        </w:rPr>
      </w:pPr>
      <w:r>
        <w:rPr>
          <w:rFonts w:ascii="宋体" w:hAnsi="宋体"/>
        </w:rPr>
        <w:t>I/O模块健康状态检查；</w:t>
      </w:r>
    </w:p>
    <w:p>
      <w:pPr>
        <w:adjustRightInd w:val="0"/>
        <w:snapToGrid w:val="0"/>
        <w:spacing w:before="203" w:beforeLines="50" w:after="203" w:afterLines="50"/>
        <w:ind w:firstLine="500" w:firstLineChars="200"/>
        <w:rPr>
          <w:rFonts w:ascii="宋体" w:hAnsi="宋体"/>
        </w:rPr>
      </w:pPr>
      <w:r>
        <w:rPr>
          <w:rFonts w:ascii="宋体" w:hAnsi="宋体"/>
        </w:rPr>
        <w:t>处理器/控制器诊断。</w:t>
      </w:r>
    </w:p>
    <w:p>
      <w:pPr>
        <w:adjustRightInd w:val="0"/>
        <w:snapToGrid w:val="0"/>
        <w:spacing w:before="203" w:beforeLines="50" w:after="203" w:afterLines="50"/>
        <w:ind w:firstLine="500" w:firstLineChars="200"/>
        <w:rPr>
          <w:rFonts w:ascii="宋体" w:hAnsi="宋体"/>
        </w:rPr>
      </w:pPr>
      <w:r>
        <w:rPr>
          <w:rFonts w:ascii="宋体" w:hAnsi="宋体"/>
        </w:rPr>
        <w:t>编程工具分以下几种：</w:t>
      </w:r>
    </w:p>
    <w:p>
      <w:pPr>
        <w:adjustRightInd w:val="0"/>
        <w:snapToGrid w:val="0"/>
        <w:spacing w:before="203" w:beforeLines="50" w:after="203" w:afterLines="50"/>
        <w:ind w:firstLine="500" w:firstLineChars="200"/>
        <w:rPr>
          <w:rFonts w:ascii="宋体" w:hAnsi="宋体"/>
        </w:rPr>
      </w:pPr>
      <w:r>
        <w:rPr>
          <w:rFonts w:ascii="宋体" w:hAnsi="宋体"/>
        </w:rPr>
        <w:t>顺序流程图（SFC）；</w:t>
      </w:r>
    </w:p>
    <w:p>
      <w:pPr>
        <w:adjustRightInd w:val="0"/>
        <w:snapToGrid w:val="0"/>
        <w:spacing w:before="203" w:beforeLines="50" w:after="203" w:afterLines="50"/>
        <w:ind w:firstLine="500" w:firstLineChars="200"/>
        <w:rPr>
          <w:rFonts w:ascii="宋体" w:hAnsi="宋体"/>
        </w:rPr>
      </w:pPr>
      <w:r>
        <w:rPr>
          <w:rFonts w:ascii="宋体" w:hAnsi="宋体"/>
        </w:rPr>
        <w:t>梯形图（LD）；</w:t>
      </w:r>
    </w:p>
    <w:p>
      <w:pPr>
        <w:adjustRightInd w:val="0"/>
        <w:snapToGrid w:val="0"/>
        <w:spacing w:before="203" w:beforeLines="50" w:after="203" w:afterLines="50"/>
        <w:ind w:firstLine="500" w:firstLineChars="200"/>
        <w:rPr>
          <w:rFonts w:ascii="宋体" w:hAnsi="宋体"/>
        </w:rPr>
      </w:pPr>
      <w:r>
        <w:rPr>
          <w:rFonts w:ascii="宋体" w:hAnsi="宋体"/>
        </w:rPr>
        <w:t>函数功能图（FBD）；</w:t>
      </w:r>
    </w:p>
    <w:p>
      <w:pPr>
        <w:adjustRightInd w:val="0"/>
        <w:snapToGrid w:val="0"/>
        <w:spacing w:before="203" w:beforeLines="50" w:after="203" w:afterLines="50"/>
        <w:ind w:firstLine="500" w:firstLineChars="200"/>
        <w:rPr>
          <w:rFonts w:ascii="宋体" w:hAnsi="宋体"/>
        </w:rPr>
      </w:pPr>
      <w:r>
        <w:rPr>
          <w:rFonts w:ascii="宋体" w:hAnsi="宋体"/>
        </w:rPr>
        <w:t>指令表（IL）；</w:t>
      </w:r>
    </w:p>
    <w:p>
      <w:pPr>
        <w:adjustRightInd w:val="0"/>
        <w:snapToGrid w:val="0"/>
        <w:spacing w:before="203" w:beforeLines="50" w:after="203" w:afterLines="50"/>
        <w:ind w:firstLine="500" w:firstLineChars="200"/>
        <w:rPr>
          <w:rFonts w:ascii="宋体" w:hAnsi="宋体"/>
        </w:rPr>
      </w:pPr>
      <w:r>
        <w:rPr>
          <w:rFonts w:ascii="宋体" w:hAnsi="宋体"/>
        </w:rPr>
        <w:t>结构化文本（ST）；</w:t>
      </w:r>
    </w:p>
    <w:p>
      <w:pPr>
        <w:adjustRightInd w:val="0"/>
        <w:snapToGrid w:val="0"/>
        <w:spacing w:before="203" w:beforeLines="50" w:after="203" w:afterLines="50"/>
        <w:ind w:firstLine="500" w:firstLineChars="200"/>
        <w:rPr>
          <w:rFonts w:ascii="宋体" w:hAnsi="宋体"/>
        </w:rPr>
      </w:pPr>
      <w:r>
        <w:rPr>
          <w:rFonts w:ascii="宋体" w:hAnsi="宋体"/>
        </w:rPr>
        <w:t>梯形逻辑（LL）。</w:t>
      </w:r>
    </w:p>
    <w:p>
      <w:pPr>
        <w:adjustRightInd w:val="0"/>
        <w:snapToGrid w:val="0"/>
        <w:spacing w:before="203" w:beforeLines="50" w:after="203" w:afterLines="50"/>
        <w:ind w:firstLine="500" w:firstLineChars="200"/>
        <w:rPr>
          <w:rFonts w:ascii="宋体" w:hAnsi="宋体"/>
        </w:rPr>
      </w:pPr>
      <w:r>
        <w:rPr>
          <w:rFonts w:ascii="宋体" w:hAnsi="宋体"/>
        </w:rPr>
        <w:t>编程过程中允许用户自定义高级语言功能块（如C语言）。支持派生功能块功能，提高程序的重复使用率，加快开发速度。提供丰富的函数库供对于顺序控制、过程控制、系统诊断等使用.</w:t>
      </w:r>
    </w:p>
    <w:p>
      <w:pPr>
        <w:adjustRightInd w:val="0"/>
        <w:snapToGrid w:val="0"/>
        <w:spacing w:before="203" w:beforeLines="50" w:after="203" w:afterLines="50"/>
        <w:ind w:firstLine="500" w:firstLineChars="200"/>
        <w:rPr>
          <w:rFonts w:ascii="宋体" w:hAnsi="宋体"/>
          <w:bCs/>
        </w:rPr>
      </w:pPr>
      <w:r>
        <w:rPr>
          <w:rFonts w:ascii="宋体" w:hAnsi="宋体"/>
          <w:bCs/>
        </w:rPr>
        <w:t>特殊要求</w:t>
      </w:r>
    </w:p>
    <w:p>
      <w:pPr>
        <w:adjustRightInd w:val="0"/>
        <w:snapToGrid w:val="0"/>
        <w:spacing w:before="203" w:beforeLines="50" w:after="203" w:afterLines="50"/>
        <w:ind w:firstLine="500" w:firstLineChars="200"/>
        <w:rPr>
          <w:rFonts w:ascii="宋体" w:hAnsi="宋体"/>
        </w:rPr>
      </w:pPr>
      <w:r>
        <w:rPr>
          <w:rFonts w:ascii="宋体" w:hAnsi="宋体"/>
        </w:rPr>
        <w:t>控制软件除能够确保相关工艺及设备间的联动互锁的一般要求外，还应能满足复杂工艺过程的控制要求。控制设备首次上电运行或由手动转为自动时，应能够判断其所控设备或工艺过程的现有状态，在其运行后不得使设备或工艺过程被不正常中断或出现被控参数的突变和振荡超调，以实现真正的无扰动切换。</w:t>
      </w:r>
    </w:p>
    <w:p>
      <w:pPr>
        <w:adjustRightInd w:val="0"/>
        <w:snapToGrid w:val="0"/>
        <w:spacing w:before="203" w:beforeLines="50" w:after="203" w:afterLines="50"/>
        <w:ind w:firstLine="500" w:firstLineChars="200"/>
        <w:rPr>
          <w:rFonts w:ascii="宋体" w:hAnsi="宋体"/>
        </w:rPr>
      </w:pPr>
      <w:r>
        <w:rPr>
          <w:rFonts w:ascii="宋体" w:hAnsi="宋体"/>
        </w:rPr>
        <w:t>当某台设备或某个部件出现故障，控制器应能够作出相应的处理，将故障控制在最小的范围之内，防止由此而引起的相关设备或工艺过程的连锁反应；同时应立即判断出故障的位置，并将其送至中控主机或操作显示终端予以报警。</w:t>
      </w:r>
    </w:p>
    <w:p>
      <w:pPr>
        <w:keepNext/>
        <w:tabs>
          <w:tab w:val="left" w:pos="993"/>
        </w:tabs>
        <w:adjustRightInd w:val="0"/>
        <w:snapToGrid w:val="0"/>
        <w:spacing w:before="203" w:beforeLines="50" w:after="203" w:afterLines="50"/>
        <w:outlineLvl w:val="2"/>
        <w:rPr>
          <w:rFonts w:ascii="宋体" w:hAnsi="宋体"/>
          <w:b/>
          <w:bCs/>
        </w:rPr>
      </w:pPr>
      <w:bookmarkStart w:id="7246" w:name="_Toc106883794"/>
      <w:bookmarkStart w:id="7247" w:name="_Toc301171391"/>
      <w:bookmarkStart w:id="7248" w:name="_Toc301178818"/>
      <w:bookmarkStart w:id="7249" w:name="_Toc450584995"/>
      <w:bookmarkStart w:id="7250" w:name="_Toc401327949"/>
      <w:r>
        <w:rPr>
          <w:rFonts w:hint="eastAsia" w:ascii="宋体" w:hAnsi="宋体"/>
          <w:b/>
          <w:bCs/>
        </w:rPr>
        <w:t>10.2.5</w:t>
      </w:r>
      <w:r>
        <w:rPr>
          <w:rFonts w:ascii="宋体" w:hAnsi="宋体"/>
          <w:b/>
          <w:bCs/>
        </w:rPr>
        <w:t>上位机组态技术要求</w:t>
      </w:r>
      <w:bookmarkEnd w:id="7246"/>
      <w:bookmarkEnd w:id="7247"/>
      <w:bookmarkEnd w:id="7248"/>
      <w:bookmarkEnd w:id="7249"/>
      <w:bookmarkEnd w:id="7250"/>
    </w:p>
    <w:p>
      <w:pPr>
        <w:adjustRightInd w:val="0"/>
        <w:snapToGrid w:val="0"/>
        <w:spacing w:before="203" w:beforeLines="50" w:after="203" w:afterLines="50"/>
        <w:ind w:firstLine="500" w:firstLineChars="200"/>
        <w:rPr>
          <w:rFonts w:ascii="宋体" w:hAnsi="宋体"/>
        </w:rPr>
      </w:pPr>
      <w:bookmarkStart w:id="7251" w:name="_Toc301178819"/>
      <w:bookmarkStart w:id="7252" w:name="_Toc301171392"/>
      <w:bookmarkStart w:id="7253" w:name="_Toc106050584"/>
      <w:r>
        <w:rPr>
          <w:rFonts w:ascii="宋体" w:hAnsi="宋体"/>
        </w:rPr>
        <w:t>1、软件</w:t>
      </w:r>
      <w:bookmarkEnd w:id="7251"/>
      <w:bookmarkEnd w:id="7252"/>
      <w:r>
        <w:rPr>
          <w:rFonts w:ascii="宋体" w:hAnsi="宋体"/>
        </w:rPr>
        <w:t>综述</w:t>
      </w:r>
      <w:bookmarkEnd w:id="7253"/>
    </w:p>
    <w:p>
      <w:pPr>
        <w:adjustRightInd w:val="0"/>
        <w:snapToGrid w:val="0"/>
        <w:spacing w:before="203" w:beforeLines="50" w:after="203" w:afterLines="50"/>
        <w:ind w:firstLine="500" w:firstLineChars="200"/>
        <w:rPr>
          <w:rFonts w:ascii="宋体" w:hAnsi="宋体"/>
        </w:rPr>
      </w:pPr>
      <w:r>
        <w:rPr>
          <w:rFonts w:ascii="宋体" w:hAnsi="宋体"/>
        </w:rPr>
        <w:t>承包商所提供的所有软件必须是有授权的、正版可升级的软件。</w:t>
      </w:r>
    </w:p>
    <w:p>
      <w:pPr>
        <w:adjustRightInd w:val="0"/>
        <w:snapToGrid w:val="0"/>
        <w:spacing w:before="203" w:beforeLines="50" w:after="203" w:afterLines="50"/>
        <w:ind w:firstLine="500" w:firstLineChars="200"/>
        <w:rPr>
          <w:rFonts w:ascii="宋体" w:hAnsi="宋体"/>
        </w:rPr>
      </w:pPr>
      <w:r>
        <w:rPr>
          <w:rFonts w:ascii="宋体" w:hAnsi="宋体"/>
        </w:rPr>
        <w:t>全部软件均为中文版，运行于Microsoft Windows环境，软件的可选组件也应适用于本期工程。应用软件的编制范围为两部分，一部分是本期工程的全部内容，另一部分为与远期工程衔接部分的软件接口。</w:t>
      </w:r>
    </w:p>
    <w:p>
      <w:pPr>
        <w:adjustRightInd w:val="0"/>
        <w:snapToGrid w:val="0"/>
        <w:spacing w:before="203" w:beforeLines="50" w:after="203" w:afterLines="50"/>
        <w:ind w:firstLine="500" w:firstLineChars="200"/>
        <w:rPr>
          <w:rFonts w:ascii="宋体" w:hAnsi="宋体"/>
        </w:rPr>
      </w:pPr>
      <w:r>
        <w:rPr>
          <w:rFonts w:ascii="宋体" w:hAnsi="宋体"/>
        </w:rPr>
        <w:t>每台中央监控服务器的软件应至少包括下列单元模块：</w:t>
      </w:r>
    </w:p>
    <w:p>
      <w:pPr>
        <w:adjustRightInd w:val="0"/>
        <w:snapToGrid w:val="0"/>
        <w:spacing w:before="203" w:beforeLines="50" w:after="203" w:afterLines="50"/>
        <w:ind w:firstLine="500" w:firstLineChars="200"/>
        <w:rPr>
          <w:rFonts w:ascii="宋体" w:hAnsi="宋体"/>
        </w:rPr>
      </w:pPr>
      <w:r>
        <w:rPr>
          <w:rFonts w:ascii="宋体" w:hAnsi="宋体"/>
        </w:rPr>
        <w:t>全套计算机运行软件系统（含系统软件、组态软件、应用软件、数据库等）。</w:t>
      </w:r>
    </w:p>
    <w:p>
      <w:pPr>
        <w:adjustRightInd w:val="0"/>
        <w:snapToGrid w:val="0"/>
        <w:spacing w:before="203" w:beforeLines="50" w:after="203" w:afterLines="50"/>
        <w:ind w:firstLine="500" w:firstLineChars="200"/>
        <w:rPr>
          <w:rFonts w:ascii="宋体" w:hAnsi="宋体"/>
        </w:rPr>
      </w:pPr>
      <w:r>
        <w:rPr>
          <w:rFonts w:ascii="宋体" w:hAnsi="宋体"/>
        </w:rPr>
        <w:t>全套的管理接口和管理控制软件系统。</w:t>
      </w:r>
    </w:p>
    <w:p>
      <w:pPr>
        <w:adjustRightInd w:val="0"/>
        <w:snapToGrid w:val="0"/>
        <w:spacing w:before="203" w:beforeLines="50" w:after="203" w:afterLines="50"/>
        <w:ind w:firstLine="500" w:firstLineChars="200"/>
        <w:rPr>
          <w:rFonts w:ascii="宋体" w:hAnsi="宋体"/>
        </w:rPr>
      </w:pPr>
      <w:r>
        <w:rPr>
          <w:rFonts w:ascii="宋体" w:hAnsi="宋体"/>
        </w:rPr>
        <w:t>全套数据处理和记录软件系统。</w:t>
      </w:r>
    </w:p>
    <w:p>
      <w:pPr>
        <w:adjustRightInd w:val="0"/>
        <w:snapToGrid w:val="0"/>
        <w:spacing w:before="203" w:beforeLines="50" w:after="203" w:afterLines="50"/>
        <w:ind w:firstLine="500" w:firstLineChars="200"/>
        <w:rPr>
          <w:rFonts w:ascii="宋体" w:hAnsi="宋体"/>
        </w:rPr>
      </w:pPr>
      <w:r>
        <w:rPr>
          <w:rFonts w:ascii="宋体" w:hAnsi="宋体"/>
        </w:rPr>
        <w:t>全套系统再生、修复、数据备份的软件系统。</w:t>
      </w:r>
    </w:p>
    <w:p>
      <w:pPr>
        <w:adjustRightInd w:val="0"/>
        <w:snapToGrid w:val="0"/>
        <w:spacing w:before="203" w:beforeLines="50" w:after="203" w:afterLines="50"/>
        <w:ind w:firstLine="500" w:firstLineChars="200"/>
        <w:rPr>
          <w:rFonts w:ascii="宋体" w:hAnsi="宋体"/>
        </w:rPr>
      </w:pPr>
      <w:r>
        <w:rPr>
          <w:rFonts w:ascii="宋体" w:hAnsi="宋体"/>
        </w:rPr>
        <w:t>运行计算机网络的全套杀毒软件。</w:t>
      </w:r>
    </w:p>
    <w:p>
      <w:pPr>
        <w:adjustRightInd w:val="0"/>
        <w:snapToGrid w:val="0"/>
        <w:spacing w:before="203" w:beforeLines="50" w:after="203" w:afterLines="50"/>
        <w:ind w:firstLine="500" w:firstLineChars="200"/>
        <w:rPr>
          <w:rFonts w:ascii="宋体" w:hAnsi="宋体"/>
        </w:rPr>
      </w:pPr>
      <w:r>
        <w:rPr>
          <w:rFonts w:ascii="宋体" w:hAnsi="宋体"/>
        </w:rPr>
        <w:t>标准计算机数据处理软件、接口软件、数据处理软件如文字处理、数据库、电子制表、图象处理软件等。</w:t>
      </w:r>
    </w:p>
    <w:p>
      <w:pPr>
        <w:adjustRightInd w:val="0"/>
        <w:snapToGrid w:val="0"/>
        <w:spacing w:before="203" w:beforeLines="50" w:after="203" w:afterLines="50"/>
        <w:ind w:firstLine="500" w:firstLineChars="200"/>
        <w:rPr>
          <w:rFonts w:ascii="宋体" w:hAnsi="宋体"/>
        </w:rPr>
      </w:pPr>
      <w:bookmarkStart w:id="7254" w:name="_Toc106050585"/>
      <w:r>
        <w:rPr>
          <w:rFonts w:ascii="宋体" w:hAnsi="宋体"/>
        </w:rPr>
        <w:t>2、系统软件</w:t>
      </w:r>
      <w:bookmarkEnd w:id="7254"/>
    </w:p>
    <w:p>
      <w:pPr>
        <w:adjustRightInd w:val="0"/>
        <w:snapToGrid w:val="0"/>
        <w:spacing w:before="203" w:beforeLines="50" w:after="203" w:afterLines="50"/>
        <w:ind w:firstLine="500" w:firstLineChars="200"/>
        <w:rPr>
          <w:rFonts w:ascii="宋体" w:hAnsi="宋体"/>
        </w:rPr>
      </w:pPr>
      <w:r>
        <w:rPr>
          <w:rFonts w:ascii="宋体" w:hAnsi="宋体"/>
        </w:rPr>
        <w:t>操作系统：服务器采用windows Server 2008中文版，各工作站采用Win7中文版。</w:t>
      </w:r>
    </w:p>
    <w:p>
      <w:pPr>
        <w:adjustRightInd w:val="0"/>
        <w:snapToGrid w:val="0"/>
        <w:spacing w:before="203" w:beforeLines="50" w:after="203" w:afterLines="50"/>
        <w:ind w:firstLine="500" w:firstLineChars="200"/>
        <w:rPr>
          <w:rFonts w:ascii="宋体" w:hAnsi="宋体"/>
        </w:rPr>
      </w:pPr>
      <w:r>
        <w:rPr>
          <w:rFonts w:ascii="宋体" w:hAnsi="宋体"/>
        </w:rPr>
        <w:t>网络安全和防病毒软件：包括局域网管理软件、网络版杀毒和防火墙软件。</w:t>
      </w:r>
    </w:p>
    <w:p>
      <w:pPr>
        <w:adjustRightInd w:val="0"/>
        <w:snapToGrid w:val="0"/>
        <w:spacing w:before="203" w:beforeLines="50" w:after="203" w:afterLines="50"/>
        <w:ind w:firstLine="500" w:firstLineChars="200"/>
        <w:rPr>
          <w:rFonts w:ascii="宋体" w:hAnsi="宋体"/>
        </w:rPr>
      </w:pPr>
      <w:r>
        <w:rPr>
          <w:rFonts w:ascii="宋体" w:hAnsi="宋体"/>
        </w:rPr>
        <w:t>工作站办公软件：包括常用Office办公软件等。</w:t>
      </w:r>
    </w:p>
    <w:p>
      <w:pPr>
        <w:adjustRightInd w:val="0"/>
        <w:snapToGrid w:val="0"/>
        <w:spacing w:before="203" w:beforeLines="50" w:after="203" w:afterLines="50"/>
        <w:ind w:firstLine="500" w:firstLineChars="200"/>
        <w:rPr>
          <w:rFonts w:ascii="宋体" w:hAnsi="宋体"/>
        </w:rPr>
      </w:pPr>
      <w:r>
        <w:rPr>
          <w:rFonts w:ascii="宋体" w:hAnsi="宋体"/>
        </w:rPr>
        <w:t>所有系统软件工程量已计入各设备中，不再单独计价。</w:t>
      </w:r>
    </w:p>
    <w:p>
      <w:pPr>
        <w:adjustRightInd w:val="0"/>
        <w:snapToGrid w:val="0"/>
        <w:spacing w:before="203" w:beforeLines="50" w:after="203" w:afterLines="50"/>
        <w:ind w:firstLine="500" w:firstLineChars="200"/>
        <w:rPr>
          <w:rFonts w:ascii="宋体" w:hAnsi="宋体"/>
        </w:rPr>
      </w:pPr>
      <w:bookmarkStart w:id="7255" w:name="_Toc106050586"/>
      <w:r>
        <w:rPr>
          <w:rFonts w:ascii="宋体" w:hAnsi="宋体"/>
        </w:rPr>
        <w:t>3、监控组态软件</w:t>
      </w:r>
      <w:bookmarkEnd w:id="7255"/>
    </w:p>
    <w:p>
      <w:pPr>
        <w:adjustRightInd w:val="0"/>
        <w:snapToGrid w:val="0"/>
        <w:spacing w:before="203" w:beforeLines="50" w:after="203" w:afterLines="50"/>
        <w:ind w:firstLine="500" w:firstLineChars="200"/>
        <w:rPr>
          <w:rFonts w:ascii="宋体" w:hAnsi="宋体"/>
        </w:rPr>
      </w:pPr>
      <w:r>
        <w:rPr>
          <w:rFonts w:ascii="宋体" w:hAnsi="宋体"/>
        </w:rPr>
        <w:t>监控系统采用C/S结构，所有监控软件都需支持无限点变量，且监控软件具备直接引用PLC变量的功能，即无需在监控软件上重复定义Tag变量，节约开发维护时间。</w:t>
      </w:r>
    </w:p>
    <w:p>
      <w:pPr>
        <w:adjustRightInd w:val="0"/>
        <w:snapToGrid w:val="0"/>
        <w:spacing w:before="203" w:beforeLines="50" w:after="203" w:afterLines="50"/>
        <w:ind w:firstLine="500" w:firstLineChars="200"/>
        <w:rPr>
          <w:rFonts w:ascii="宋体" w:hAnsi="宋体"/>
        </w:rPr>
      </w:pPr>
      <w:r>
        <w:rPr>
          <w:rFonts w:ascii="宋体" w:hAnsi="宋体"/>
        </w:rPr>
        <w:t>必须提供正版软件的硬件加密锁；供货时必须提供软件原产厂家的独立授权书原件；</w:t>
      </w:r>
    </w:p>
    <w:p>
      <w:pPr>
        <w:adjustRightInd w:val="0"/>
        <w:snapToGrid w:val="0"/>
        <w:spacing w:before="203" w:beforeLines="50" w:after="203" w:afterLines="50"/>
        <w:ind w:firstLine="500" w:firstLineChars="200"/>
        <w:rPr>
          <w:rFonts w:ascii="宋体" w:hAnsi="宋体"/>
        </w:rPr>
      </w:pPr>
      <w:r>
        <w:rPr>
          <w:rFonts w:ascii="宋体" w:hAnsi="宋体"/>
        </w:rPr>
        <w:t>监控组态软件、数据采集传输软件、数据中心服务软件、工业数据库软件、Web发布软件等必须统一为1个软件厂家的成熟产品；软件参数需满足设备清单中的技术要求。</w:t>
      </w:r>
    </w:p>
    <w:p>
      <w:pPr>
        <w:adjustRightInd w:val="0"/>
        <w:snapToGrid w:val="0"/>
        <w:spacing w:before="203" w:beforeLines="50" w:after="203" w:afterLines="50"/>
        <w:ind w:firstLine="500" w:firstLineChars="200"/>
        <w:rPr>
          <w:rFonts w:ascii="宋体" w:hAnsi="宋体"/>
        </w:rPr>
      </w:pPr>
      <w:r>
        <w:rPr>
          <w:rFonts w:ascii="宋体" w:hAnsi="宋体"/>
        </w:rPr>
        <w:t>该软件需要具备净水厂应用业绩，厂商在当地应有专业技术支持人员常驻，以便在有需要时可在24小时内提供现场技术服务。</w:t>
      </w:r>
    </w:p>
    <w:p>
      <w:pPr>
        <w:adjustRightInd w:val="0"/>
        <w:snapToGrid w:val="0"/>
        <w:spacing w:before="203" w:beforeLines="50" w:after="203" w:afterLines="50"/>
        <w:ind w:firstLine="500" w:firstLineChars="200"/>
        <w:rPr>
          <w:rFonts w:ascii="宋体" w:hAnsi="宋体"/>
        </w:rPr>
      </w:pPr>
      <w:r>
        <w:rPr>
          <w:rFonts w:ascii="宋体" w:hAnsi="宋体"/>
        </w:rPr>
        <w:t>系统监控组态软件本身及相关文档均为中文版本。应该具有全图形化界面、全集成、面向对象的开发方式，使得系统开发人员使用方便、简单易学。功能覆盖广，软件组合灵活，高效性、内在结构和机制的先进性应确保用户可快速开发出实用而有效的自动化监控系统。系统应支持在各种语言版本的操作系统上运行，可在画面中同时使用汉字及其他多国文字和符号，具备全中文的开发和运行环境。工程师／操作员站监控、组态必须的软件均基于Windows系列操作系统，且必须提供Windows下的在线帮助功能。使用该系列软件开发出的工程应具备项目文件备份功能，并且应支持工程文件口令保护。工程师站应可对整个系统设置安全管理。支持使用用户，权限，优先级，安全区的方式为用户提供安全验证。以下内容是对监控组态软件的具体要求：</w:t>
      </w:r>
    </w:p>
    <w:p>
      <w:pPr>
        <w:adjustRightInd w:val="0"/>
        <w:snapToGrid w:val="0"/>
        <w:spacing w:before="203" w:beforeLines="50" w:after="203" w:afterLines="50"/>
        <w:ind w:firstLine="500" w:firstLineChars="200"/>
        <w:rPr>
          <w:rFonts w:ascii="宋体" w:hAnsi="宋体"/>
        </w:rPr>
      </w:pPr>
      <w:bookmarkStart w:id="7256" w:name="_Toc106050587"/>
      <w:r>
        <w:rPr>
          <w:rFonts w:ascii="宋体" w:hAnsi="宋体"/>
        </w:rPr>
        <w:t>1） IO采集要求</w:t>
      </w:r>
      <w:bookmarkEnd w:id="7256"/>
    </w:p>
    <w:p>
      <w:pPr>
        <w:adjustRightInd w:val="0"/>
        <w:snapToGrid w:val="0"/>
        <w:spacing w:before="203" w:beforeLines="50" w:after="203" w:afterLines="50"/>
        <w:ind w:firstLine="500" w:firstLineChars="200"/>
        <w:rPr>
          <w:rFonts w:ascii="宋体" w:hAnsi="宋体"/>
        </w:rPr>
      </w:pPr>
      <w:r>
        <w:rPr>
          <w:rFonts w:ascii="宋体" w:hAnsi="宋体"/>
        </w:rPr>
        <w:t>数据采集必须同时支持与多个厂家多种型号PLC的通讯，具有很强的兼容性，以方便项目硬件设备选型和以后硬件系统升级改造。</w:t>
      </w:r>
    </w:p>
    <w:p>
      <w:pPr>
        <w:adjustRightInd w:val="0"/>
        <w:snapToGrid w:val="0"/>
        <w:spacing w:before="203" w:beforeLines="50" w:after="203" w:afterLines="50"/>
        <w:ind w:firstLine="500" w:firstLineChars="200"/>
        <w:rPr>
          <w:rFonts w:ascii="宋体" w:hAnsi="宋体"/>
        </w:rPr>
      </w:pPr>
      <w:r>
        <w:rPr>
          <w:rFonts w:ascii="宋体" w:hAnsi="宋体"/>
        </w:rPr>
        <w:t>应支持同时采集各种PLC、仪表、变频器、板卡、RTU等设备的数据；应支持电话拨号、电台、GPRS、VPN等远程多种通讯方式。</w:t>
      </w:r>
    </w:p>
    <w:p>
      <w:pPr>
        <w:adjustRightInd w:val="0"/>
        <w:snapToGrid w:val="0"/>
        <w:spacing w:before="203" w:beforeLines="50" w:after="203" w:afterLines="50"/>
        <w:ind w:firstLine="500" w:firstLineChars="200"/>
        <w:rPr>
          <w:rFonts w:ascii="宋体" w:hAnsi="宋体"/>
        </w:rPr>
      </w:pPr>
      <w:r>
        <w:rPr>
          <w:rFonts w:ascii="宋体" w:hAnsi="宋体"/>
        </w:rPr>
        <w:t>在数据的采集技术上，必须支持数据缓冲和块传输。</w:t>
      </w:r>
    </w:p>
    <w:p>
      <w:pPr>
        <w:adjustRightInd w:val="0"/>
        <w:snapToGrid w:val="0"/>
        <w:spacing w:before="203" w:beforeLines="50" w:after="203" w:afterLines="50"/>
        <w:ind w:firstLine="500" w:firstLineChars="200"/>
        <w:rPr>
          <w:rFonts w:ascii="宋体" w:hAnsi="宋体"/>
        </w:rPr>
      </w:pPr>
      <w:r>
        <w:rPr>
          <w:rFonts w:ascii="宋体" w:hAnsi="宋体"/>
        </w:rPr>
        <w:t>数据采集站系统必须具备在通讯故障或者网络缓慢时，能够将数据进行存储缓冲处理，以缓解网络负荷，从而提高整个系统的性能。</w:t>
      </w:r>
    </w:p>
    <w:p>
      <w:pPr>
        <w:adjustRightInd w:val="0"/>
        <w:snapToGrid w:val="0"/>
        <w:spacing w:before="203" w:beforeLines="50" w:after="203" w:afterLines="50"/>
        <w:ind w:firstLine="500" w:firstLineChars="200"/>
        <w:rPr>
          <w:rFonts w:ascii="宋体" w:hAnsi="宋体"/>
        </w:rPr>
      </w:pPr>
      <w:r>
        <w:rPr>
          <w:rFonts w:ascii="宋体" w:hAnsi="宋体"/>
        </w:rPr>
        <w:t>系统数据的传输应采用高效的块传输机制，数据块作为通讯的最小单元，应可由用户自定义采集频率，合理进行打包处理，以提高采集效率。</w:t>
      </w:r>
    </w:p>
    <w:p>
      <w:pPr>
        <w:adjustRightInd w:val="0"/>
        <w:snapToGrid w:val="0"/>
        <w:spacing w:before="203" w:beforeLines="50" w:after="203" w:afterLines="50"/>
        <w:ind w:firstLine="500" w:firstLineChars="200"/>
        <w:rPr>
          <w:rFonts w:ascii="宋体" w:hAnsi="宋体"/>
        </w:rPr>
      </w:pPr>
      <w:r>
        <w:rPr>
          <w:rFonts w:ascii="宋体" w:hAnsi="宋体"/>
        </w:rPr>
        <w:t>数据采集必须支持在线组态功能，能够在线添加、删除、编辑站点或者数据点。</w:t>
      </w:r>
    </w:p>
    <w:p>
      <w:pPr>
        <w:adjustRightInd w:val="0"/>
        <w:snapToGrid w:val="0"/>
        <w:spacing w:before="203" w:beforeLines="50" w:after="203" w:afterLines="50"/>
        <w:ind w:firstLine="500" w:firstLineChars="200"/>
        <w:rPr>
          <w:rFonts w:ascii="宋体" w:hAnsi="宋体"/>
        </w:rPr>
      </w:pPr>
      <w:r>
        <w:rPr>
          <w:rFonts w:ascii="宋体" w:hAnsi="宋体"/>
        </w:rPr>
        <w:t>必须支持在线监视和故障诊断。当某个数据点或者站点发生数据传输故障时，能够产生报警，通知相应人员进行处理。</w:t>
      </w:r>
    </w:p>
    <w:p>
      <w:pPr>
        <w:adjustRightInd w:val="0"/>
        <w:snapToGrid w:val="0"/>
        <w:spacing w:before="203" w:beforeLines="50" w:after="203" w:afterLines="50"/>
        <w:ind w:firstLine="500" w:firstLineChars="200"/>
        <w:rPr>
          <w:rFonts w:ascii="宋体" w:hAnsi="宋体"/>
        </w:rPr>
      </w:pPr>
      <w:r>
        <w:rPr>
          <w:rFonts w:ascii="宋体" w:hAnsi="宋体"/>
        </w:rPr>
        <w:t>必须支持批量建立变量，方便后期的开发和维护工作等。</w:t>
      </w:r>
    </w:p>
    <w:p>
      <w:pPr>
        <w:adjustRightInd w:val="0"/>
        <w:snapToGrid w:val="0"/>
        <w:spacing w:before="203" w:beforeLines="50" w:after="203" w:afterLines="50"/>
        <w:ind w:firstLine="500" w:firstLineChars="200"/>
        <w:rPr>
          <w:rFonts w:ascii="宋体" w:hAnsi="宋体"/>
        </w:rPr>
      </w:pPr>
      <w:r>
        <w:rPr>
          <w:rFonts w:ascii="宋体" w:hAnsi="宋体"/>
        </w:rPr>
        <w:t>应支持多种冗余方式。必须支持双链路冗余、双设备冗余、双机热备，应具备专用的冗余探测通道，冗余切换时间应小于1秒。</w:t>
      </w:r>
    </w:p>
    <w:p>
      <w:pPr>
        <w:adjustRightInd w:val="0"/>
        <w:snapToGrid w:val="0"/>
        <w:spacing w:before="203" w:beforeLines="50" w:after="203" w:afterLines="50"/>
        <w:ind w:firstLine="500" w:firstLineChars="200"/>
        <w:rPr>
          <w:rFonts w:ascii="宋体" w:hAnsi="宋体"/>
        </w:rPr>
      </w:pPr>
      <w:r>
        <w:rPr>
          <w:rFonts w:ascii="宋体" w:hAnsi="宋体"/>
        </w:rPr>
        <w:t>2） 开发环境要求</w:t>
      </w:r>
    </w:p>
    <w:p>
      <w:pPr>
        <w:adjustRightInd w:val="0"/>
        <w:snapToGrid w:val="0"/>
        <w:spacing w:before="203" w:beforeLines="50" w:after="203" w:afterLines="50"/>
        <w:ind w:firstLine="500" w:firstLineChars="200"/>
        <w:rPr>
          <w:rFonts w:ascii="宋体" w:hAnsi="宋体"/>
        </w:rPr>
      </w:pPr>
      <w:r>
        <w:rPr>
          <w:rFonts w:ascii="宋体" w:hAnsi="宋体"/>
        </w:rPr>
        <w:t>大画面和无极缩放</w:t>
      </w:r>
    </w:p>
    <w:p>
      <w:pPr>
        <w:adjustRightInd w:val="0"/>
        <w:snapToGrid w:val="0"/>
        <w:spacing w:before="203" w:beforeLines="50" w:after="203" w:afterLines="50"/>
        <w:ind w:firstLine="500" w:firstLineChars="200"/>
        <w:rPr>
          <w:rFonts w:ascii="宋体" w:hAnsi="宋体"/>
        </w:rPr>
      </w:pPr>
      <w:r>
        <w:rPr>
          <w:rFonts w:ascii="宋体" w:hAnsi="宋体"/>
        </w:rPr>
        <w:t>开发系统应支持大画面的设计，支持大画面应达到30000*30000分辨率。</w:t>
      </w:r>
    </w:p>
    <w:p>
      <w:pPr>
        <w:adjustRightInd w:val="0"/>
        <w:snapToGrid w:val="0"/>
        <w:spacing w:before="203" w:beforeLines="50" w:after="203" w:afterLines="50"/>
        <w:ind w:firstLine="500" w:firstLineChars="200"/>
        <w:rPr>
          <w:rFonts w:ascii="宋体" w:hAnsi="宋体"/>
        </w:rPr>
      </w:pPr>
      <w:r>
        <w:rPr>
          <w:rFonts w:ascii="宋体" w:hAnsi="宋体"/>
        </w:rPr>
        <w:t>开发系统应支持在开发环境中进行画面的无极缩放，能够无限的放大或缩小可视空间并且缩放比例不失真，方便工程开发人员的画面开发组态。</w:t>
      </w:r>
    </w:p>
    <w:p>
      <w:pPr>
        <w:adjustRightInd w:val="0"/>
        <w:snapToGrid w:val="0"/>
        <w:spacing w:before="203" w:beforeLines="50" w:after="203" w:afterLines="50"/>
        <w:ind w:firstLine="500" w:firstLineChars="200"/>
        <w:rPr>
          <w:rFonts w:ascii="宋体" w:hAnsi="宋体"/>
        </w:rPr>
      </w:pPr>
      <w:r>
        <w:rPr>
          <w:rFonts w:ascii="宋体" w:hAnsi="宋体"/>
        </w:rPr>
        <w:t>画图工具和精灵图库</w:t>
      </w:r>
    </w:p>
    <w:p>
      <w:pPr>
        <w:adjustRightInd w:val="0"/>
        <w:snapToGrid w:val="0"/>
        <w:spacing w:before="203" w:beforeLines="50" w:after="203" w:afterLines="50"/>
        <w:ind w:firstLine="500" w:firstLineChars="200"/>
        <w:rPr>
          <w:rFonts w:ascii="宋体" w:hAnsi="宋体"/>
        </w:rPr>
      </w:pPr>
      <w:r>
        <w:rPr>
          <w:rFonts w:ascii="宋体" w:hAnsi="宋体"/>
        </w:rPr>
        <w:t>软件应提承包商便的画图工具和丰富的动画连接。</w:t>
      </w:r>
    </w:p>
    <w:p>
      <w:pPr>
        <w:adjustRightInd w:val="0"/>
        <w:snapToGrid w:val="0"/>
        <w:spacing w:before="203" w:beforeLines="50" w:after="203" w:afterLines="50"/>
        <w:ind w:firstLine="500" w:firstLineChars="200"/>
        <w:rPr>
          <w:rFonts w:ascii="宋体" w:hAnsi="宋体"/>
        </w:rPr>
      </w:pPr>
      <w:r>
        <w:rPr>
          <w:rFonts w:ascii="宋体" w:hAnsi="宋体"/>
        </w:rPr>
        <w:t>软件应具有专门针对污水行业的图库（如闸门，水泵，管道等），必须内嵌动画链接和逻辑控制，为工程开发提供强大的资源。</w:t>
      </w:r>
    </w:p>
    <w:p>
      <w:pPr>
        <w:adjustRightInd w:val="0"/>
        <w:snapToGrid w:val="0"/>
        <w:spacing w:before="203" w:beforeLines="50" w:after="203" w:afterLines="50"/>
        <w:ind w:firstLine="500" w:firstLineChars="200"/>
        <w:rPr>
          <w:rFonts w:ascii="宋体" w:hAnsi="宋体"/>
        </w:rPr>
      </w:pPr>
      <w:r>
        <w:rPr>
          <w:rFonts w:ascii="宋体" w:hAnsi="宋体"/>
        </w:rPr>
        <w:t>软件应支持用户对现有精灵图进行编辑、修改、保存，并且应支持用户自己开发精灵图。</w:t>
      </w:r>
    </w:p>
    <w:p>
      <w:pPr>
        <w:adjustRightInd w:val="0"/>
        <w:snapToGrid w:val="0"/>
        <w:spacing w:before="203" w:beforeLines="50" w:after="203" w:afterLines="50"/>
        <w:ind w:firstLine="500" w:firstLineChars="200"/>
        <w:rPr>
          <w:rFonts w:ascii="宋体" w:hAnsi="宋体"/>
        </w:rPr>
      </w:pPr>
      <w:r>
        <w:rPr>
          <w:rFonts w:ascii="宋体" w:hAnsi="宋体"/>
        </w:rPr>
        <w:t>工程管理</w:t>
      </w:r>
    </w:p>
    <w:p>
      <w:pPr>
        <w:adjustRightInd w:val="0"/>
        <w:snapToGrid w:val="0"/>
        <w:spacing w:before="203" w:beforeLines="50" w:after="203" w:afterLines="50"/>
        <w:ind w:firstLine="500" w:firstLineChars="200"/>
        <w:rPr>
          <w:rFonts w:ascii="宋体" w:hAnsi="宋体"/>
        </w:rPr>
      </w:pPr>
      <w:r>
        <w:rPr>
          <w:rFonts w:ascii="宋体" w:hAnsi="宋体"/>
        </w:rPr>
        <w:t>开发环境应该采用项目树，使程序生成灵活，程序组织清晰明了。</w:t>
      </w:r>
    </w:p>
    <w:p>
      <w:pPr>
        <w:adjustRightInd w:val="0"/>
        <w:snapToGrid w:val="0"/>
        <w:spacing w:before="203" w:beforeLines="50" w:after="203" w:afterLines="50"/>
        <w:ind w:firstLine="500" w:firstLineChars="200"/>
        <w:rPr>
          <w:rFonts w:ascii="宋体" w:hAnsi="宋体"/>
        </w:rPr>
      </w:pPr>
      <w:r>
        <w:rPr>
          <w:rFonts w:ascii="宋体" w:hAnsi="宋体"/>
        </w:rPr>
        <w:t>应支持多个工程同时进行开发组态，开发过程中可以在工程之间任意切换，工程应支持导入\导出功能。应支持多工程之间资源共享（如画面拷贝、变量拷贝等）。</w:t>
      </w:r>
    </w:p>
    <w:p>
      <w:pPr>
        <w:adjustRightInd w:val="0"/>
        <w:snapToGrid w:val="0"/>
        <w:spacing w:before="203" w:beforeLines="50" w:after="203" w:afterLines="50"/>
        <w:ind w:firstLine="500" w:firstLineChars="200"/>
        <w:rPr>
          <w:rFonts w:ascii="宋体" w:hAnsi="宋体"/>
        </w:rPr>
      </w:pPr>
      <w:r>
        <w:rPr>
          <w:rFonts w:ascii="宋体" w:hAnsi="宋体"/>
        </w:rPr>
        <w:t>根据应用场景不同，工程应能够直接进行多语言切换。</w:t>
      </w:r>
    </w:p>
    <w:p>
      <w:pPr>
        <w:adjustRightInd w:val="0"/>
        <w:snapToGrid w:val="0"/>
        <w:spacing w:before="203" w:beforeLines="50" w:after="203" w:afterLines="50"/>
        <w:ind w:firstLine="500" w:firstLineChars="200"/>
        <w:rPr>
          <w:rFonts w:ascii="宋体" w:hAnsi="宋体"/>
        </w:rPr>
      </w:pPr>
      <w:r>
        <w:rPr>
          <w:rFonts w:ascii="宋体" w:hAnsi="宋体"/>
        </w:rPr>
        <w:t>开发环境生成的工程，应该支持口令保护。应具有项目文件备份功能。</w:t>
      </w:r>
    </w:p>
    <w:p>
      <w:pPr>
        <w:adjustRightInd w:val="0"/>
        <w:snapToGrid w:val="0"/>
        <w:spacing w:before="203" w:beforeLines="50" w:after="203" w:afterLines="50"/>
        <w:ind w:firstLine="500" w:firstLineChars="200"/>
        <w:rPr>
          <w:rFonts w:ascii="宋体" w:hAnsi="宋体"/>
        </w:rPr>
      </w:pPr>
      <w:r>
        <w:rPr>
          <w:rFonts w:ascii="宋体" w:hAnsi="宋体"/>
        </w:rPr>
        <w:t>数据模型和图形模型</w:t>
      </w:r>
    </w:p>
    <w:p>
      <w:pPr>
        <w:adjustRightInd w:val="0"/>
        <w:snapToGrid w:val="0"/>
        <w:spacing w:before="203" w:beforeLines="50" w:after="203" w:afterLines="50"/>
        <w:ind w:firstLine="500" w:firstLineChars="200"/>
        <w:rPr>
          <w:rFonts w:ascii="宋体" w:hAnsi="宋体"/>
        </w:rPr>
      </w:pPr>
      <w:r>
        <w:rPr>
          <w:rFonts w:ascii="宋体" w:hAnsi="宋体"/>
        </w:rPr>
        <w:t>开发环境中应使用数据模型和图形模型的概念。</w:t>
      </w:r>
    </w:p>
    <w:p>
      <w:pPr>
        <w:adjustRightInd w:val="0"/>
        <w:snapToGrid w:val="0"/>
        <w:spacing w:before="203" w:beforeLines="50" w:after="203" w:afterLines="50"/>
        <w:ind w:firstLine="500" w:firstLineChars="200"/>
        <w:rPr>
          <w:rFonts w:ascii="宋体" w:hAnsi="宋体"/>
        </w:rPr>
      </w:pPr>
      <w:r>
        <w:rPr>
          <w:rFonts w:ascii="宋体" w:hAnsi="宋体"/>
        </w:rPr>
        <w:t>通过数据数据模型实现快速创建变量和逻辑计算处理。</w:t>
      </w:r>
    </w:p>
    <w:p>
      <w:pPr>
        <w:adjustRightInd w:val="0"/>
        <w:snapToGrid w:val="0"/>
        <w:spacing w:before="203" w:beforeLines="50" w:after="203" w:afterLines="50"/>
        <w:ind w:firstLine="500" w:firstLineChars="200"/>
        <w:rPr>
          <w:rFonts w:ascii="宋体" w:hAnsi="宋体"/>
        </w:rPr>
      </w:pPr>
      <w:bookmarkStart w:id="7257" w:name="OLE_LINK8"/>
      <w:r>
        <w:rPr>
          <w:rFonts w:ascii="宋体" w:hAnsi="宋体"/>
        </w:rPr>
        <w:t>通过图形模型实现快速组态已经制作好的带有动画和逻辑脚本的图形对象。</w:t>
      </w:r>
      <w:bookmarkEnd w:id="7257"/>
      <w:r>
        <w:rPr>
          <w:rFonts w:ascii="宋体" w:hAnsi="宋体"/>
        </w:rPr>
        <w:t>修改模型的属性应具备属性传播到实例化对象中的功能。</w:t>
      </w:r>
    </w:p>
    <w:p>
      <w:pPr>
        <w:adjustRightInd w:val="0"/>
        <w:snapToGrid w:val="0"/>
        <w:spacing w:before="203" w:beforeLines="50" w:after="203" w:afterLines="50"/>
        <w:ind w:firstLine="500" w:firstLineChars="200"/>
        <w:rPr>
          <w:rFonts w:ascii="宋体" w:hAnsi="宋体"/>
        </w:rPr>
      </w:pPr>
      <w:r>
        <w:rPr>
          <w:rFonts w:ascii="宋体" w:hAnsi="宋体"/>
        </w:rPr>
        <w:t>脚本语言和变量</w:t>
      </w:r>
    </w:p>
    <w:p>
      <w:pPr>
        <w:adjustRightInd w:val="0"/>
        <w:snapToGrid w:val="0"/>
        <w:spacing w:before="203" w:beforeLines="50" w:after="203" w:afterLines="50"/>
        <w:ind w:firstLine="500" w:firstLineChars="200"/>
        <w:rPr>
          <w:rFonts w:ascii="宋体" w:hAnsi="宋体"/>
        </w:rPr>
      </w:pPr>
      <w:r>
        <w:rPr>
          <w:rFonts w:ascii="宋体" w:hAnsi="宋体"/>
        </w:rPr>
        <w:t>软件应支持全中文的脚本开发语言。</w:t>
      </w:r>
    </w:p>
    <w:p>
      <w:pPr>
        <w:adjustRightInd w:val="0"/>
        <w:snapToGrid w:val="0"/>
        <w:spacing w:before="203" w:beforeLines="50" w:after="203" w:afterLines="50"/>
        <w:ind w:firstLine="500" w:firstLineChars="200"/>
        <w:rPr>
          <w:rFonts w:ascii="宋体" w:hAnsi="宋体"/>
        </w:rPr>
      </w:pPr>
      <w:r>
        <w:rPr>
          <w:rFonts w:ascii="宋体" w:hAnsi="宋体"/>
        </w:rPr>
        <w:t>开发环境应支持类VBA语言等基础语言作为内置编程语言，支持对象的脚本提示帮助功能，能够将对象的属性和方法列举出来方便选择。脚本环境应能够便利的进行注释、缩进以及提供语法提亮功能。</w:t>
      </w:r>
    </w:p>
    <w:p>
      <w:pPr>
        <w:adjustRightInd w:val="0"/>
        <w:snapToGrid w:val="0"/>
        <w:spacing w:before="203" w:beforeLines="50" w:after="203" w:afterLines="50"/>
        <w:ind w:firstLine="500" w:firstLineChars="200"/>
        <w:rPr>
          <w:rFonts w:ascii="宋体" w:hAnsi="宋体"/>
        </w:rPr>
      </w:pPr>
      <w:r>
        <w:rPr>
          <w:rFonts w:ascii="宋体" w:hAnsi="宋体"/>
        </w:rPr>
        <w:t>系统应具有系统事件和自定义事件，为用户提承包商便的开发平台。</w:t>
      </w:r>
    </w:p>
    <w:p>
      <w:pPr>
        <w:adjustRightInd w:val="0"/>
        <w:snapToGrid w:val="0"/>
        <w:spacing w:before="203" w:beforeLines="50" w:after="203" w:afterLines="50"/>
        <w:ind w:firstLine="500" w:firstLineChars="200"/>
        <w:rPr>
          <w:rFonts w:ascii="宋体" w:hAnsi="宋体"/>
        </w:rPr>
      </w:pPr>
      <w:r>
        <w:rPr>
          <w:rFonts w:ascii="宋体" w:hAnsi="宋体"/>
        </w:rPr>
        <w:t>开发环境应具有算术运算和逻辑运算函数。</w:t>
      </w:r>
    </w:p>
    <w:p>
      <w:pPr>
        <w:adjustRightInd w:val="0"/>
        <w:snapToGrid w:val="0"/>
        <w:spacing w:before="203" w:beforeLines="50" w:after="203" w:afterLines="50"/>
        <w:ind w:firstLine="500" w:firstLineChars="200"/>
        <w:rPr>
          <w:rFonts w:ascii="宋体" w:hAnsi="宋体"/>
        </w:rPr>
      </w:pPr>
      <w:r>
        <w:rPr>
          <w:rFonts w:ascii="宋体" w:hAnsi="宋体"/>
        </w:rPr>
        <w:t>开发环境应支持变量的快速搜索，并且为方便用户二次开发，组态软件必须支持全中文变量名和函数名及结构变量和引用变量。应支持变量的批量生成、修改、合并、导入、导出等功能。</w:t>
      </w:r>
    </w:p>
    <w:p>
      <w:pPr>
        <w:adjustRightInd w:val="0"/>
        <w:snapToGrid w:val="0"/>
        <w:spacing w:before="203" w:beforeLines="50" w:after="203" w:afterLines="50"/>
        <w:ind w:firstLine="500" w:firstLineChars="200"/>
        <w:rPr>
          <w:rFonts w:ascii="宋体" w:hAnsi="宋体"/>
        </w:rPr>
      </w:pPr>
      <w:r>
        <w:rPr>
          <w:rFonts w:ascii="宋体" w:hAnsi="宋体"/>
        </w:rPr>
        <w:t>查找定位</w:t>
      </w:r>
    </w:p>
    <w:p>
      <w:pPr>
        <w:adjustRightInd w:val="0"/>
        <w:snapToGrid w:val="0"/>
        <w:spacing w:before="203" w:beforeLines="50" w:after="203" w:afterLines="50"/>
        <w:ind w:firstLine="500" w:firstLineChars="200"/>
        <w:rPr>
          <w:rFonts w:ascii="宋体" w:hAnsi="宋体"/>
        </w:rPr>
      </w:pPr>
      <w:r>
        <w:rPr>
          <w:rFonts w:ascii="宋体" w:hAnsi="宋体"/>
        </w:rPr>
        <w:t>软件应支持对变量、文本、资源等使用情况进行查找并快速定义到其使用位置。</w:t>
      </w:r>
    </w:p>
    <w:p>
      <w:pPr>
        <w:adjustRightInd w:val="0"/>
        <w:snapToGrid w:val="0"/>
        <w:spacing w:before="203" w:beforeLines="50" w:after="203" w:afterLines="50"/>
        <w:ind w:firstLine="500" w:firstLineChars="200"/>
        <w:rPr>
          <w:rFonts w:ascii="宋体" w:hAnsi="宋体"/>
        </w:rPr>
      </w:pPr>
      <w:r>
        <w:rPr>
          <w:rFonts w:ascii="宋体" w:hAnsi="宋体"/>
        </w:rPr>
        <w:t>软件应支持根据工程编译过程中出现的错误信息直接定位到故障所在位置。</w:t>
      </w:r>
    </w:p>
    <w:p>
      <w:pPr>
        <w:adjustRightInd w:val="0"/>
        <w:snapToGrid w:val="0"/>
        <w:spacing w:before="203" w:beforeLines="50" w:after="203" w:afterLines="50"/>
        <w:ind w:firstLine="500" w:firstLineChars="200"/>
        <w:rPr>
          <w:rFonts w:ascii="宋体" w:hAnsi="宋体"/>
        </w:rPr>
      </w:pPr>
      <w:bookmarkStart w:id="7258" w:name="_Toc106050588"/>
      <w:r>
        <w:rPr>
          <w:rFonts w:ascii="宋体" w:hAnsi="宋体"/>
        </w:rPr>
        <w:t>3）功能要求</w:t>
      </w:r>
      <w:bookmarkEnd w:id="7258"/>
    </w:p>
    <w:p>
      <w:pPr>
        <w:adjustRightInd w:val="0"/>
        <w:snapToGrid w:val="0"/>
        <w:spacing w:before="203" w:beforeLines="50" w:after="203" w:afterLines="50"/>
        <w:ind w:firstLine="500" w:firstLineChars="200"/>
        <w:rPr>
          <w:rFonts w:ascii="宋体" w:hAnsi="宋体"/>
        </w:rPr>
      </w:pPr>
      <w:r>
        <w:rPr>
          <w:rFonts w:ascii="宋体" w:hAnsi="宋体"/>
        </w:rPr>
        <w:t>画面应该支持真彩色显示各种图形对象，支持过滤色和透明色。</w:t>
      </w:r>
    </w:p>
    <w:p>
      <w:pPr>
        <w:adjustRightInd w:val="0"/>
        <w:snapToGrid w:val="0"/>
        <w:spacing w:before="203" w:beforeLines="50" w:after="203" w:afterLines="50"/>
        <w:ind w:firstLine="500" w:firstLineChars="200"/>
        <w:rPr>
          <w:rFonts w:ascii="宋体" w:hAnsi="宋体"/>
        </w:rPr>
      </w:pPr>
      <w:r>
        <w:rPr>
          <w:rFonts w:ascii="宋体" w:hAnsi="宋体"/>
        </w:rPr>
        <w:t>系统应支持全集成的画面展示，设备的视频信息、实时数据、历史数据和报警数据可以在同一画面上进行显示。并且通过查找某一信息，即可得到与该信息相关联的其他信息。</w:t>
      </w:r>
    </w:p>
    <w:p>
      <w:pPr>
        <w:adjustRightInd w:val="0"/>
        <w:snapToGrid w:val="0"/>
        <w:spacing w:before="203" w:beforeLines="50" w:after="203" w:afterLines="50"/>
        <w:ind w:firstLine="500" w:firstLineChars="200"/>
        <w:rPr>
          <w:rFonts w:ascii="宋体" w:hAnsi="宋体"/>
        </w:rPr>
      </w:pPr>
      <w:r>
        <w:rPr>
          <w:rFonts w:ascii="宋体" w:hAnsi="宋体"/>
        </w:rPr>
        <w:t>系统中相同设备的画面可以显示实时信息、历史信息，报警信息，这个画面应可以形成图形模型，当在系统上浏览其他与这个设备相类似的设备时，该图形模型可以自动对应到这个设备，从而方便系统的维护和升级。</w:t>
      </w:r>
    </w:p>
    <w:p>
      <w:pPr>
        <w:adjustRightInd w:val="0"/>
        <w:snapToGrid w:val="0"/>
        <w:spacing w:before="203" w:beforeLines="50" w:after="203" w:afterLines="50"/>
        <w:ind w:firstLine="500" w:firstLineChars="200"/>
        <w:rPr>
          <w:rFonts w:ascii="宋体" w:hAnsi="宋体"/>
        </w:rPr>
      </w:pPr>
      <w:r>
        <w:rPr>
          <w:rFonts w:ascii="宋体" w:hAnsi="宋体"/>
        </w:rPr>
        <w:t>软件应支持双机冗余功能。当发生故障时应能快速在冗余机之间进行无扰切换，切换时间应小于1秒。</w:t>
      </w:r>
    </w:p>
    <w:p>
      <w:pPr>
        <w:adjustRightInd w:val="0"/>
        <w:snapToGrid w:val="0"/>
        <w:spacing w:before="203" w:beforeLines="50" w:after="203" w:afterLines="50"/>
        <w:ind w:firstLine="500" w:firstLineChars="200"/>
        <w:rPr>
          <w:rFonts w:ascii="宋体" w:hAnsi="宋体"/>
        </w:rPr>
      </w:pPr>
      <w:r>
        <w:rPr>
          <w:rFonts w:ascii="宋体" w:hAnsi="宋体"/>
        </w:rPr>
        <w:t>趋势曲线应支持实时曲线和历史曲线的在线切换。</w:t>
      </w:r>
    </w:p>
    <w:p>
      <w:pPr>
        <w:adjustRightInd w:val="0"/>
        <w:snapToGrid w:val="0"/>
        <w:spacing w:before="203" w:beforeLines="50" w:after="203" w:afterLines="50"/>
        <w:ind w:firstLine="500" w:firstLineChars="200"/>
        <w:rPr>
          <w:rFonts w:ascii="宋体" w:hAnsi="宋体"/>
        </w:rPr>
      </w:pPr>
      <w:r>
        <w:rPr>
          <w:rFonts w:ascii="宋体" w:hAnsi="宋体"/>
        </w:rPr>
        <w:t>趋势曲线应可以任意自由放大或缩小时间轴（如跨度可大于一年，也可是1秒）。</w:t>
      </w:r>
    </w:p>
    <w:p>
      <w:pPr>
        <w:adjustRightInd w:val="0"/>
        <w:snapToGrid w:val="0"/>
        <w:spacing w:before="203" w:beforeLines="50" w:after="203" w:afterLines="50"/>
        <w:ind w:firstLine="500" w:firstLineChars="200"/>
        <w:rPr>
          <w:rFonts w:ascii="宋体" w:hAnsi="宋体"/>
        </w:rPr>
      </w:pPr>
      <w:r>
        <w:rPr>
          <w:rFonts w:ascii="宋体" w:hAnsi="宋体"/>
        </w:rPr>
        <w:t>趋势曲线时间单位应支持毫秒精度。</w:t>
      </w:r>
    </w:p>
    <w:p>
      <w:pPr>
        <w:adjustRightInd w:val="0"/>
        <w:snapToGrid w:val="0"/>
        <w:spacing w:before="203" w:beforeLines="50" w:after="203" w:afterLines="50"/>
        <w:ind w:firstLine="500" w:firstLineChars="200"/>
        <w:rPr>
          <w:rFonts w:ascii="宋体" w:hAnsi="宋体"/>
        </w:rPr>
      </w:pPr>
      <w:r>
        <w:rPr>
          <w:rFonts w:ascii="宋体" w:hAnsi="宋体"/>
        </w:rPr>
        <w:t>趋势曲线应支持多纵轴多曲线展示，能为不同的曲线设置不同的纵轴，最多应可容纳64条曲线。</w:t>
      </w:r>
    </w:p>
    <w:p>
      <w:pPr>
        <w:adjustRightInd w:val="0"/>
        <w:snapToGrid w:val="0"/>
        <w:spacing w:before="203" w:beforeLines="50" w:after="203" w:afterLines="50"/>
        <w:ind w:firstLine="500" w:firstLineChars="200"/>
        <w:rPr>
          <w:rFonts w:ascii="宋体" w:hAnsi="宋体"/>
        </w:rPr>
      </w:pPr>
      <w:r>
        <w:rPr>
          <w:rFonts w:ascii="宋体" w:hAnsi="宋体"/>
        </w:rPr>
        <w:t>应支持多曲线同一时间的对比分析；支持单条、多条曲线的不同时间段的对比分析。</w:t>
      </w:r>
    </w:p>
    <w:p>
      <w:pPr>
        <w:adjustRightInd w:val="0"/>
        <w:snapToGrid w:val="0"/>
        <w:spacing w:before="203" w:beforeLines="50" w:after="203" w:afterLines="50"/>
        <w:ind w:firstLine="500" w:firstLineChars="200"/>
        <w:rPr>
          <w:rFonts w:ascii="宋体" w:hAnsi="宋体"/>
        </w:rPr>
      </w:pPr>
      <w:r>
        <w:rPr>
          <w:rFonts w:ascii="宋体" w:hAnsi="宋体"/>
        </w:rPr>
        <w:t>趋势曲线的游标应具有备注功能，能够根据不同的时间区间显示不同的注释内容。</w:t>
      </w:r>
    </w:p>
    <w:p>
      <w:pPr>
        <w:adjustRightInd w:val="0"/>
        <w:snapToGrid w:val="0"/>
        <w:spacing w:before="203" w:beforeLines="50" w:after="203" w:afterLines="50"/>
        <w:ind w:firstLine="500" w:firstLineChars="200"/>
        <w:rPr>
          <w:rFonts w:ascii="宋体" w:hAnsi="宋体"/>
        </w:rPr>
      </w:pPr>
      <w:r>
        <w:rPr>
          <w:rFonts w:ascii="宋体" w:hAnsi="宋体"/>
        </w:rPr>
        <w:t>趋势曲线应能够具有良好的客制化功能，能够定制不同外观的趋势曲线，应支持曲线显示设置。</w:t>
      </w:r>
    </w:p>
    <w:p>
      <w:pPr>
        <w:adjustRightInd w:val="0"/>
        <w:snapToGrid w:val="0"/>
        <w:spacing w:before="203" w:beforeLines="50" w:after="203" w:afterLines="50"/>
        <w:ind w:firstLine="500" w:firstLineChars="200"/>
        <w:rPr>
          <w:rFonts w:ascii="宋体" w:hAnsi="宋体"/>
        </w:rPr>
      </w:pPr>
      <w:r>
        <w:rPr>
          <w:rFonts w:ascii="宋体" w:hAnsi="宋体"/>
        </w:rPr>
        <w:t>系统应具有强大的报警系统能够对实时、历史的报警和事件进行显示、存储、查询等操作，并能够及时通知操作人员，以进行故障监控和决策制定。</w:t>
      </w:r>
    </w:p>
    <w:p>
      <w:pPr>
        <w:adjustRightInd w:val="0"/>
        <w:snapToGrid w:val="0"/>
        <w:spacing w:before="203" w:beforeLines="50" w:after="203" w:afterLines="50"/>
        <w:ind w:firstLine="500" w:firstLineChars="200"/>
        <w:rPr>
          <w:rFonts w:ascii="宋体" w:hAnsi="宋体"/>
        </w:rPr>
      </w:pPr>
      <w:r>
        <w:rPr>
          <w:rFonts w:ascii="宋体" w:hAnsi="宋体"/>
        </w:rPr>
        <w:t>任意点击报警信息可直接弹出相应报警设备详细操控画面，极大方便日常操作。</w:t>
      </w:r>
    </w:p>
    <w:p>
      <w:pPr>
        <w:adjustRightInd w:val="0"/>
        <w:snapToGrid w:val="0"/>
        <w:spacing w:before="203" w:beforeLines="50" w:after="203" w:afterLines="50"/>
        <w:ind w:firstLine="500" w:firstLineChars="200"/>
        <w:rPr>
          <w:rFonts w:ascii="宋体" w:hAnsi="宋体"/>
        </w:rPr>
      </w:pPr>
      <w:r>
        <w:rPr>
          <w:rFonts w:ascii="宋体" w:hAnsi="宋体"/>
        </w:rPr>
        <w:t>当任意设备报警时，报警信息需同时记录与该设备相关的设备的数值，便于问题的分析和及时快速处理。</w:t>
      </w:r>
    </w:p>
    <w:p>
      <w:pPr>
        <w:adjustRightInd w:val="0"/>
        <w:snapToGrid w:val="0"/>
        <w:spacing w:before="203" w:beforeLines="50" w:after="203" w:afterLines="50"/>
        <w:ind w:firstLine="500" w:firstLineChars="200"/>
        <w:rPr>
          <w:rFonts w:ascii="宋体" w:hAnsi="宋体"/>
        </w:rPr>
      </w:pPr>
      <w:r>
        <w:rPr>
          <w:rFonts w:ascii="宋体" w:hAnsi="宋体"/>
        </w:rPr>
        <w:t>设备报警支持批注功能，即操作员直接在计算机上写入报警及处理情况方便运行维护和管理。</w:t>
      </w:r>
    </w:p>
    <w:p>
      <w:pPr>
        <w:adjustRightInd w:val="0"/>
        <w:snapToGrid w:val="0"/>
        <w:spacing w:before="203" w:beforeLines="50" w:after="203" w:afterLines="50"/>
        <w:ind w:firstLine="500" w:firstLineChars="200"/>
        <w:rPr>
          <w:rFonts w:ascii="宋体" w:hAnsi="宋体"/>
        </w:rPr>
      </w:pPr>
      <w:r>
        <w:rPr>
          <w:rFonts w:ascii="宋体" w:hAnsi="宋体"/>
        </w:rPr>
        <w:t>报警显示窗口应支持多种模式，包括实时报警窗口、历史报警窗口和查询窗口。</w:t>
      </w:r>
    </w:p>
    <w:p>
      <w:pPr>
        <w:adjustRightInd w:val="0"/>
        <w:snapToGrid w:val="0"/>
        <w:spacing w:before="203" w:beforeLines="50" w:after="203" w:afterLines="50"/>
        <w:ind w:firstLine="500" w:firstLineChars="200"/>
        <w:rPr>
          <w:rFonts w:ascii="宋体" w:hAnsi="宋体"/>
        </w:rPr>
      </w:pPr>
      <w:r>
        <w:rPr>
          <w:rFonts w:ascii="宋体" w:hAnsi="宋体"/>
        </w:rPr>
        <w:t>实时报警窗口显示最新的报警信息，报警信息消失条件应可设置。</w:t>
      </w:r>
    </w:p>
    <w:p>
      <w:pPr>
        <w:adjustRightInd w:val="0"/>
        <w:snapToGrid w:val="0"/>
        <w:spacing w:before="203" w:beforeLines="50" w:after="203" w:afterLines="50"/>
        <w:ind w:firstLine="500" w:firstLineChars="200"/>
        <w:rPr>
          <w:rFonts w:ascii="宋体" w:hAnsi="宋体"/>
        </w:rPr>
      </w:pPr>
      <w:r>
        <w:rPr>
          <w:rFonts w:ascii="宋体" w:hAnsi="宋体"/>
        </w:rPr>
        <w:t>历史报警窗口显示历史报警事件，包括以往的历史报警信息、报警确认信息和恢复信息，报警事件的来源是报警缓存区。</w:t>
      </w:r>
    </w:p>
    <w:p>
      <w:pPr>
        <w:adjustRightInd w:val="0"/>
        <w:snapToGrid w:val="0"/>
        <w:spacing w:before="203" w:beforeLines="50" w:after="203" w:afterLines="50"/>
        <w:ind w:firstLine="500" w:firstLineChars="200"/>
        <w:rPr>
          <w:rFonts w:ascii="宋体" w:hAnsi="宋体"/>
        </w:rPr>
      </w:pPr>
      <w:r>
        <w:rPr>
          <w:rFonts w:ascii="宋体" w:hAnsi="宋体"/>
        </w:rPr>
        <w:t>查询窗口能够查询报警库中的报警事件，报警事件来源是报警库。应支持多种报警查询条件，对报警信息的查询，可以按报警时间查询、报警类型查询、按记录类型查询等等。应支持完全基于SQL的标准化查询语句。</w:t>
      </w:r>
    </w:p>
    <w:p>
      <w:pPr>
        <w:adjustRightInd w:val="0"/>
        <w:snapToGrid w:val="0"/>
        <w:spacing w:before="203" w:beforeLines="50" w:after="203" w:afterLines="50"/>
        <w:ind w:firstLine="500" w:firstLineChars="200"/>
        <w:rPr>
          <w:rFonts w:ascii="宋体" w:hAnsi="宋体"/>
        </w:rPr>
      </w:pPr>
      <w:r>
        <w:rPr>
          <w:rFonts w:ascii="宋体" w:hAnsi="宋体"/>
        </w:rPr>
        <w:t>系统应具有独立的报表，能够实现为工程设计复杂的工程报表。</w:t>
      </w:r>
    </w:p>
    <w:p>
      <w:pPr>
        <w:adjustRightInd w:val="0"/>
        <w:snapToGrid w:val="0"/>
        <w:spacing w:before="203" w:beforeLines="50" w:after="203" w:afterLines="50"/>
        <w:ind w:firstLine="500" w:firstLineChars="200"/>
        <w:rPr>
          <w:rFonts w:ascii="宋体" w:hAnsi="宋体"/>
        </w:rPr>
      </w:pPr>
      <w:r>
        <w:rPr>
          <w:rFonts w:ascii="宋体" w:hAnsi="宋体"/>
        </w:rPr>
        <w:t>应能自动生成各类日、月、年报表。</w:t>
      </w:r>
    </w:p>
    <w:p>
      <w:pPr>
        <w:adjustRightInd w:val="0"/>
        <w:snapToGrid w:val="0"/>
        <w:spacing w:before="203" w:beforeLines="50" w:after="203" w:afterLines="50"/>
        <w:ind w:firstLine="500" w:firstLineChars="200"/>
        <w:rPr>
          <w:rFonts w:ascii="宋体" w:hAnsi="宋体"/>
        </w:rPr>
      </w:pPr>
      <w:r>
        <w:rPr>
          <w:rFonts w:ascii="宋体" w:hAnsi="宋体"/>
        </w:rPr>
        <w:t>操作人员应可以在远程浏览查看全部的报表数据。</w:t>
      </w:r>
    </w:p>
    <w:p>
      <w:pPr>
        <w:adjustRightInd w:val="0"/>
        <w:snapToGrid w:val="0"/>
        <w:spacing w:before="203" w:beforeLines="50" w:after="203" w:afterLines="50"/>
        <w:ind w:firstLine="500" w:firstLineChars="200"/>
        <w:rPr>
          <w:rFonts w:ascii="宋体" w:hAnsi="宋体"/>
        </w:rPr>
      </w:pPr>
      <w:r>
        <w:rPr>
          <w:rFonts w:ascii="宋体" w:hAnsi="宋体"/>
        </w:rPr>
        <w:t>系统应具有的性能稳定的历史数据库，而不是依赖于关系数据库存储历史数据。</w:t>
      </w:r>
    </w:p>
    <w:p>
      <w:pPr>
        <w:adjustRightInd w:val="0"/>
        <w:snapToGrid w:val="0"/>
        <w:spacing w:before="203" w:beforeLines="50" w:after="203" w:afterLines="50"/>
        <w:ind w:firstLine="500" w:firstLineChars="200"/>
        <w:rPr>
          <w:rFonts w:ascii="宋体" w:hAnsi="宋体"/>
        </w:rPr>
      </w:pPr>
      <w:r>
        <w:rPr>
          <w:rFonts w:ascii="宋体" w:hAnsi="宋体"/>
        </w:rPr>
        <w:t>应能够对数据进行压缩存储以节省磁盘空间，应能够避免因为系统异常而丢失数据的可能。</w:t>
      </w:r>
    </w:p>
    <w:p>
      <w:pPr>
        <w:adjustRightInd w:val="0"/>
        <w:snapToGrid w:val="0"/>
        <w:spacing w:before="203" w:beforeLines="50" w:after="203" w:afterLines="50"/>
        <w:ind w:firstLine="500" w:firstLineChars="200"/>
        <w:rPr>
          <w:rFonts w:ascii="宋体" w:hAnsi="宋体"/>
        </w:rPr>
      </w:pPr>
      <w:r>
        <w:rPr>
          <w:rFonts w:ascii="宋体" w:hAnsi="宋体"/>
        </w:rPr>
        <w:t>为保证数据的完整性，网络间历史数据的传输应采用数据流的形式。</w:t>
      </w:r>
    </w:p>
    <w:p>
      <w:pPr>
        <w:adjustRightInd w:val="0"/>
        <w:snapToGrid w:val="0"/>
        <w:spacing w:before="203" w:beforeLines="50" w:after="203" w:afterLines="50"/>
        <w:ind w:firstLine="500" w:firstLineChars="200"/>
        <w:rPr>
          <w:rFonts w:ascii="宋体" w:hAnsi="宋体"/>
        </w:rPr>
      </w:pPr>
      <w:r>
        <w:rPr>
          <w:rFonts w:ascii="宋体" w:hAnsi="宋体"/>
        </w:rPr>
        <w:t>系统应完全基于C\S模式，应支持分布式的历史数据库和分布式报警系统，使各个功能可以分配在网络上不同的节点上。</w:t>
      </w:r>
    </w:p>
    <w:p>
      <w:pPr>
        <w:adjustRightInd w:val="0"/>
        <w:snapToGrid w:val="0"/>
        <w:spacing w:before="203" w:beforeLines="50" w:after="203" w:afterLines="50"/>
        <w:ind w:firstLine="500" w:firstLineChars="200"/>
        <w:rPr>
          <w:rFonts w:ascii="宋体" w:hAnsi="宋体"/>
        </w:rPr>
      </w:pPr>
      <w:r>
        <w:rPr>
          <w:rFonts w:ascii="宋体" w:hAnsi="宋体"/>
        </w:rPr>
        <w:t>系统应支持ActiveX控件，支持OPC、DDE，应提供丰富的API接口，支持自动化接口、.NET接口、OLE接口，支持访问历史数据和报警、事件，支持访问权限。</w:t>
      </w:r>
    </w:p>
    <w:p>
      <w:pPr>
        <w:adjustRightInd w:val="0"/>
        <w:snapToGrid w:val="0"/>
        <w:spacing w:before="203" w:beforeLines="50" w:after="203" w:afterLines="50"/>
        <w:ind w:firstLine="500" w:firstLineChars="200"/>
        <w:rPr>
          <w:rFonts w:ascii="宋体" w:hAnsi="宋体"/>
        </w:rPr>
      </w:pPr>
      <w:bookmarkStart w:id="7259" w:name="_Toc106050589"/>
      <w:r>
        <w:rPr>
          <w:rFonts w:ascii="宋体" w:hAnsi="宋体"/>
        </w:rPr>
        <w:t>4）远程Web浏览功能</w:t>
      </w:r>
      <w:bookmarkEnd w:id="7259"/>
    </w:p>
    <w:p>
      <w:pPr>
        <w:adjustRightInd w:val="0"/>
        <w:snapToGrid w:val="0"/>
        <w:spacing w:before="203" w:beforeLines="50" w:after="203" w:afterLines="50"/>
        <w:ind w:firstLine="500" w:firstLineChars="200"/>
        <w:rPr>
          <w:rFonts w:ascii="宋体" w:hAnsi="宋体"/>
        </w:rPr>
      </w:pPr>
      <w:r>
        <w:rPr>
          <w:rFonts w:ascii="宋体" w:hAnsi="宋体"/>
        </w:rPr>
        <w:t>工厂经理、管理人员或维护中心工程师无论在何处（中心办公室、家庭和Internet）都可方便的访问监控画面。画面可以完全自由伸缩，能包含图形的全部动画，能保留HMI 导航。</w:t>
      </w:r>
    </w:p>
    <w:p>
      <w:pPr>
        <w:adjustRightInd w:val="0"/>
        <w:snapToGrid w:val="0"/>
        <w:spacing w:before="203" w:beforeLines="50" w:after="203" w:afterLines="50"/>
        <w:ind w:firstLine="500" w:firstLineChars="200"/>
        <w:rPr>
          <w:rFonts w:ascii="宋体" w:hAnsi="宋体"/>
        </w:rPr>
      </w:pPr>
      <w:r>
        <w:rPr>
          <w:rFonts w:ascii="宋体" w:hAnsi="宋体"/>
        </w:rPr>
        <w:t>在远程计算机上无需安装和维护客户端软件。支持跨计算机平台的多种、多个浏览器/设备，包括IE、Firefox或Safari等。</w:t>
      </w:r>
    </w:p>
    <w:p>
      <w:pPr>
        <w:adjustRightInd w:val="0"/>
        <w:snapToGrid w:val="0"/>
        <w:spacing w:before="203" w:beforeLines="50" w:after="203" w:afterLines="50"/>
        <w:ind w:firstLine="500" w:firstLineChars="200"/>
        <w:rPr>
          <w:rFonts w:ascii="宋体" w:hAnsi="宋体"/>
        </w:rPr>
      </w:pPr>
      <w:r>
        <w:rPr>
          <w:rFonts w:ascii="宋体" w:hAnsi="宋体"/>
        </w:rPr>
        <w:t>可缩放矢量图形（SVG）支持在广泛的客户端设备上共用同一套画面 。</w:t>
      </w:r>
    </w:p>
    <w:p>
      <w:pPr>
        <w:adjustRightInd w:val="0"/>
        <w:snapToGrid w:val="0"/>
        <w:spacing w:before="203" w:beforeLines="50" w:after="203" w:afterLines="50"/>
        <w:ind w:firstLine="500" w:firstLineChars="200"/>
        <w:rPr>
          <w:rFonts w:ascii="宋体" w:hAnsi="宋体"/>
        </w:rPr>
      </w:pPr>
      <w:bookmarkStart w:id="7260" w:name="_Toc301178820"/>
      <w:bookmarkStart w:id="7261" w:name="_Toc301171393"/>
      <w:bookmarkStart w:id="7262" w:name="_Toc106050590"/>
      <w:r>
        <w:rPr>
          <w:rFonts w:ascii="宋体" w:hAnsi="宋体"/>
        </w:rPr>
        <w:t>4、实时历史数据库</w:t>
      </w:r>
      <w:bookmarkEnd w:id="7260"/>
      <w:bookmarkEnd w:id="7261"/>
      <w:bookmarkEnd w:id="7262"/>
    </w:p>
    <w:p>
      <w:pPr>
        <w:adjustRightInd w:val="0"/>
        <w:snapToGrid w:val="0"/>
        <w:spacing w:before="203" w:beforeLines="50" w:after="203" w:afterLines="50"/>
        <w:ind w:firstLine="500" w:firstLineChars="200"/>
        <w:rPr>
          <w:rFonts w:ascii="宋体" w:hAnsi="宋体"/>
        </w:rPr>
      </w:pPr>
      <w:r>
        <w:rPr>
          <w:rFonts w:ascii="宋体" w:hAnsi="宋体"/>
        </w:rPr>
        <w:t>实时历史数据库服务器是实时历史数据库系统的核心，实时历史数据库Historian必须采用开放的、专业的PI实时历史数据库内核，并要求与监控系统结合在一起构成一个分布式、可扩展的高度集成化解决方案。实时历史数据库系统能为生产管理人员提供了快捷高效的手段来采集和分析数据，能够快速可靠的从控制器、HMI软件或其他系统中获取数据，并利用其自身丰富的客户端工具或其他第三方应用程序进行数据的查询，分析及显示。</w:t>
      </w:r>
    </w:p>
    <w:p>
      <w:pPr>
        <w:adjustRightInd w:val="0"/>
        <w:snapToGrid w:val="0"/>
        <w:spacing w:before="203" w:beforeLines="50" w:after="203" w:afterLines="50"/>
        <w:ind w:firstLine="500" w:firstLineChars="200"/>
        <w:rPr>
          <w:rFonts w:ascii="宋体" w:hAnsi="宋体"/>
        </w:rPr>
      </w:pPr>
      <w:r>
        <w:rPr>
          <w:rFonts w:ascii="宋体" w:hAnsi="宋体"/>
        </w:rPr>
        <w:t>基于实时历史数据库系统，工厂主管可以实时地查看某一个设备或整个生产线的运行状况，方便的进行比较并发现问题所在。同时，企业管理人员则可以监视一些关键性指标，并对不同工厂的生产活动进行分析和比较。真正做到在恰当的时间，恰当的地点显示所要的数据。</w:t>
      </w:r>
    </w:p>
    <w:p>
      <w:pPr>
        <w:adjustRightInd w:val="0"/>
        <w:snapToGrid w:val="0"/>
        <w:spacing w:before="203" w:beforeLines="50" w:after="203" w:afterLines="50"/>
        <w:ind w:firstLine="500" w:firstLineChars="200"/>
        <w:rPr>
          <w:rFonts w:ascii="宋体" w:hAnsi="宋体"/>
        </w:rPr>
      </w:pPr>
      <w:r>
        <w:rPr>
          <w:rFonts w:ascii="宋体" w:hAnsi="宋体"/>
        </w:rPr>
        <w:t>实时历史数据库Historian每秒数据处理能力不少于100000点。</w:t>
      </w:r>
    </w:p>
    <w:p>
      <w:pPr>
        <w:adjustRightInd w:val="0"/>
        <w:snapToGrid w:val="0"/>
        <w:spacing w:before="203" w:beforeLines="50" w:after="203" w:afterLines="50"/>
        <w:ind w:firstLine="500" w:firstLineChars="200"/>
        <w:rPr>
          <w:rFonts w:ascii="宋体" w:hAnsi="宋体"/>
        </w:rPr>
      </w:pPr>
      <w:r>
        <w:rPr>
          <w:rFonts w:ascii="宋体" w:hAnsi="宋体"/>
        </w:rPr>
        <w:t>实时历史数据库系统具有强大的数据采集和存储引擎，必须具备高效的压缩存储算法（接口节点执行偏差检测算法，同时具备缓冲和冗余功能；服务器执行旋转门压缩算法。），保证可以将大量的数据保存在很小的硬盘空间上，同时系统还可以在长时间段的大量数据中快速查获用户需要的信息。利用 Microsoft Excel，用户可以快速有效地从实时历史数据库系统中获取数据并生成报表，具有灵活的、可定制的显示方式：如时序图、棒图、柄图、排列图、数据列表等。</w:t>
      </w:r>
    </w:p>
    <w:p>
      <w:pPr>
        <w:adjustRightInd w:val="0"/>
        <w:snapToGrid w:val="0"/>
        <w:spacing w:before="203" w:beforeLines="50" w:after="203" w:afterLines="50"/>
        <w:ind w:firstLine="500" w:firstLineChars="200"/>
        <w:rPr>
          <w:rFonts w:ascii="宋体" w:hAnsi="宋体"/>
        </w:rPr>
      </w:pPr>
      <w:r>
        <w:rPr>
          <w:rFonts w:ascii="宋体" w:hAnsi="宋体"/>
        </w:rPr>
        <w:t>实时历史数据库系统和监控软件、控制器编程软件等必须采用统一的安全机制。可以与企业的各种管理系统进行无缝集成。其他应用程序还可以通过标准的OLE DB接口访问实时历史数据库系统中的数据。</w:t>
      </w:r>
    </w:p>
    <w:p>
      <w:pPr>
        <w:adjustRightInd w:val="0"/>
        <w:snapToGrid w:val="0"/>
        <w:spacing w:before="203" w:beforeLines="50" w:after="203" w:afterLines="50"/>
        <w:ind w:firstLine="500" w:firstLineChars="200"/>
        <w:rPr>
          <w:rFonts w:ascii="宋体" w:hAnsi="宋体"/>
        </w:rPr>
      </w:pPr>
      <w:r>
        <w:rPr>
          <w:rFonts w:ascii="宋体" w:hAnsi="宋体"/>
        </w:rPr>
        <w:t>投标时必须提供原厂家授权书和售后服务承诺书原件。</w:t>
      </w:r>
    </w:p>
    <w:p>
      <w:pPr>
        <w:adjustRightInd w:val="0"/>
        <w:snapToGrid w:val="0"/>
        <w:spacing w:before="203" w:beforeLines="50" w:after="203" w:afterLines="50"/>
        <w:ind w:firstLine="500" w:firstLineChars="200"/>
        <w:rPr>
          <w:rFonts w:ascii="宋体" w:hAnsi="宋体"/>
        </w:rPr>
      </w:pPr>
      <w:r>
        <w:rPr>
          <w:rFonts w:ascii="宋体" w:hAnsi="宋体"/>
        </w:rPr>
        <w:t>服务器安装Windows Server 最新版。</w:t>
      </w:r>
    </w:p>
    <w:p>
      <w:pPr>
        <w:keepNext/>
        <w:adjustRightInd w:val="0"/>
        <w:snapToGrid w:val="0"/>
        <w:spacing w:before="203" w:beforeLines="50" w:after="203" w:afterLines="50"/>
        <w:outlineLvl w:val="1"/>
        <w:rPr>
          <w:rFonts w:ascii="宋体" w:hAnsi="宋体" w:cs="楷体"/>
          <w:b/>
        </w:rPr>
      </w:pPr>
      <w:bookmarkStart w:id="7263" w:name="_Toc106883795"/>
      <w:bookmarkStart w:id="7264" w:name="_Toc50177579"/>
      <w:bookmarkStart w:id="7265" w:name="_Toc401327952"/>
      <w:bookmarkStart w:id="7266" w:name="_Toc456692053"/>
      <w:bookmarkStart w:id="7267" w:name="_Toc98143073"/>
      <w:bookmarkStart w:id="7268" w:name="_Toc301171402"/>
      <w:bookmarkStart w:id="7269" w:name="_Toc301178829"/>
      <w:bookmarkStart w:id="7270" w:name="_Toc450584997"/>
      <w:r>
        <w:rPr>
          <w:rFonts w:hint="eastAsia" w:ascii="宋体" w:hAnsi="宋体" w:cs="楷体"/>
          <w:b/>
        </w:rPr>
        <w:t>10.3</w:t>
      </w:r>
      <w:r>
        <w:rPr>
          <w:rFonts w:ascii="宋体" w:hAnsi="宋体" w:cs="楷体"/>
          <w:b/>
        </w:rPr>
        <w:t>在线检测仪表</w:t>
      </w:r>
      <w:bookmarkEnd w:id="7263"/>
      <w:bookmarkEnd w:id="7264"/>
      <w:bookmarkEnd w:id="7265"/>
      <w:bookmarkEnd w:id="7266"/>
      <w:bookmarkEnd w:id="7267"/>
      <w:bookmarkEnd w:id="7268"/>
      <w:bookmarkEnd w:id="7269"/>
      <w:bookmarkEnd w:id="7270"/>
    </w:p>
    <w:p>
      <w:pPr>
        <w:keepNext/>
        <w:tabs>
          <w:tab w:val="left" w:pos="993"/>
        </w:tabs>
        <w:adjustRightInd w:val="0"/>
        <w:snapToGrid w:val="0"/>
        <w:spacing w:before="203" w:beforeLines="50" w:after="203" w:afterLines="50"/>
        <w:outlineLvl w:val="2"/>
        <w:rPr>
          <w:rFonts w:ascii="宋体" w:hAnsi="宋体"/>
          <w:b/>
          <w:bCs/>
        </w:rPr>
      </w:pPr>
      <w:bookmarkStart w:id="7271" w:name="_Toc106883796"/>
      <w:bookmarkStart w:id="7272" w:name="_Toc401327954"/>
      <w:bookmarkStart w:id="7273" w:name="_Toc450584999"/>
      <w:r>
        <w:rPr>
          <w:rFonts w:hint="eastAsia" w:ascii="宋体" w:hAnsi="宋体"/>
          <w:b/>
          <w:bCs/>
        </w:rPr>
        <w:t>10.3.1</w:t>
      </w:r>
      <w:r>
        <w:rPr>
          <w:rFonts w:ascii="宋体" w:hAnsi="宋体"/>
          <w:b/>
          <w:bCs/>
        </w:rPr>
        <w:t>总体要求</w:t>
      </w:r>
      <w:bookmarkEnd w:id="7271"/>
      <w:bookmarkEnd w:id="7272"/>
      <w:bookmarkEnd w:id="7273"/>
    </w:p>
    <w:p>
      <w:pPr>
        <w:adjustRightInd w:val="0"/>
        <w:snapToGrid w:val="0"/>
        <w:spacing w:before="203" w:beforeLines="50" w:after="203" w:afterLines="50"/>
        <w:ind w:firstLine="500" w:firstLineChars="200"/>
        <w:rPr>
          <w:rFonts w:ascii="宋体" w:hAnsi="宋体"/>
        </w:rPr>
      </w:pPr>
      <w:r>
        <w:rPr>
          <w:rFonts w:ascii="宋体" w:hAnsi="宋体"/>
        </w:rPr>
        <w:t>标准化的外观、运行、维修、备品备件以及制造商服务，所提供的设备必须是一个制造商的最终产品。应提供所需的辅助和附加装置。例：检测元件至变送器电缆，变送器安装支架，保护罩等</w:t>
      </w:r>
      <w:r>
        <w:rPr>
          <w:rFonts w:hint="eastAsia" w:ascii="宋体" w:hAnsi="宋体"/>
        </w:rPr>
        <w:t>，</w:t>
      </w:r>
      <w:r>
        <w:rPr>
          <w:rFonts w:ascii="宋体" w:hAnsi="宋体"/>
        </w:rPr>
        <w:t>应提供厂家可靠的设计产品,产品应易于维护和检查，并提供易损害的备用部件。</w:t>
      </w:r>
    </w:p>
    <w:p>
      <w:pPr>
        <w:adjustRightInd w:val="0"/>
        <w:snapToGrid w:val="0"/>
        <w:spacing w:before="203" w:beforeLines="50" w:after="203" w:afterLines="50"/>
        <w:ind w:firstLine="500" w:firstLineChars="200"/>
        <w:rPr>
          <w:rFonts w:ascii="宋体" w:hAnsi="宋体"/>
        </w:rPr>
      </w:pPr>
      <w:r>
        <w:rPr>
          <w:rFonts w:ascii="宋体" w:hAnsi="宋体"/>
        </w:rPr>
        <w:t>每台设备仪表应成套地配备安全、有效及可靠运行所需的附件。供货范围包括该设备所有部件的供应及概述及总则规定的各项服务不论本标书是否指明，设备必须的部件也由承包商负责，由承包商根据不同规格的设备数量决定备品规格。</w:t>
      </w:r>
    </w:p>
    <w:p>
      <w:pPr>
        <w:adjustRightInd w:val="0"/>
        <w:snapToGrid w:val="0"/>
        <w:spacing w:before="203" w:beforeLines="50" w:after="203" w:afterLines="50"/>
        <w:ind w:firstLine="500" w:firstLineChars="200"/>
        <w:rPr>
          <w:rFonts w:ascii="宋体" w:hAnsi="宋体"/>
        </w:rPr>
      </w:pPr>
      <w:r>
        <w:rPr>
          <w:rFonts w:ascii="宋体" w:hAnsi="宋体"/>
        </w:rPr>
        <w:t>承包商到工作现场进行工作，安装、检查，提交安装完毕的证明。进行调试运行，进行启动前的培训和工作现场培训。仪表设备检验、验收及业主员工的培训将按照费用计入投标总价中，并含在合同价中。</w:t>
      </w:r>
    </w:p>
    <w:p>
      <w:pPr>
        <w:keepNext/>
        <w:tabs>
          <w:tab w:val="left" w:pos="993"/>
        </w:tabs>
        <w:adjustRightInd w:val="0"/>
        <w:snapToGrid w:val="0"/>
        <w:spacing w:before="203" w:beforeLines="50" w:after="203" w:afterLines="50"/>
        <w:outlineLvl w:val="0"/>
        <w:rPr>
          <w:rFonts w:ascii="宋体" w:hAnsi="宋体"/>
          <w:b/>
          <w:bCs/>
        </w:rPr>
      </w:pPr>
      <w:bookmarkStart w:id="7274" w:name="_Toc106883797"/>
      <w:bookmarkStart w:id="7275" w:name="_Toc401327955"/>
      <w:bookmarkStart w:id="7276" w:name="_Toc450585000"/>
      <w:r>
        <w:rPr>
          <w:rFonts w:hint="eastAsia" w:ascii="宋体" w:hAnsi="宋体"/>
          <w:b/>
          <w:bCs/>
        </w:rPr>
        <w:t>10.3.2</w:t>
      </w:r>
      <w:r>
        <w:rPr>
          <w:rFonts w:ascii="宋体" w:hAnsi="宋体"/>
          <w:b/>
          <w:bCs/>
        </w:rPr>
        <w:t>材质</w:t>
      </w:r>
      <w:bookmarkEnd w:id="7274"/>
      <w:bookmarkEnd w:id="7275"/>
      <w:bookmarkEnd w:id="7276"/>
    </w:p>
    <w:p>
      <w:pPr>
        <w:adjustRightInd w:val="0"/>
        <w:snapToGrid w:val="0"/>
        <w:spacing w:before="203" w:beforeLines="50" w:after="203" w:afterLines="50"/>
        <w:ind w:firstLine="500" w:firstLineChars="200"/>
        <w:rPr>
          <w:rFonts w:ascii="宋体" w:hAnsi="宋体"/>
        </w:rPr>
      </w:pPr>
      <w:r>
        <w:rPr>
          <w:rFonts w:ascii="宋体" w:hAnsi="宋体"/>
        </w:rPr>
        <w:t>除文件中明文规定外，承包商应根据仪表设备的使用环境，合理确定各部分的材质，以保证系统正常使用，并按合同中标明各部件材质。</w:t>
      </w:r>
    </w:p>
    <w:p>
      <w:pPr>
        <w:adjustRightInd w:val="0"/>
        <w:snapToGrid w:val="0"/>
        <w:spacing w:before="203" w:beforeLines="50" w:after="203" w:afterLines="50"/>
        <w:ind w:firstLine="500" w:firstLineChars="200"/>
        <w:rPr>
          <w:rFonts w:ascii="宋体" w:hAnsi="宋体"/>
        </w:rPr>
      </w:pPr>
      <w:r>
        <w:rPr>
          <w:rFonts w:ascii="宋体" w:hAnsi="宋体"/>
        </w:rPr>
        <w:t>所有仪表设备的全部材料应适用于污水环境。具体作法由承包商确定，投标书中应予说明。</w:t>
      </w:r>
    </w:p>
    <w:p>
      <w:pPr>
        <w:keepNext/>
        <w:tabs>
          <w:tab w:val="left" w:pos="993"/>
        </w:tabs>
        <w:adjustRightInd w:val="0"/>
        <w:snapToGrid w:val="0"/>
        <w:spacing w:before="203" w:beforeLines="50" w:after="203" w:afterLines="50"/>
        <w:outlineLvl w:val="0"/>
        <w:rPr>
          <w:rFonts w:ascii="宋体" w:hAnsi="宋体"/>
          <w:b/>
          <w:bCs/>
        </w:rPr>
      </w:pPr>
      <w:bookmarkStart w:id="7277" w:name="_Toc106883798"/>
      <w:bookmarkStart w:id="7278" w:name="_Toc450585001"/>
      <w:bookmarkStart w:id="7279" w:name="_Toc401327956"/>
      <w:r>
        <w:rPr>
          <w:rFonts w:hint="eastAsia" w:ascii="宋体" w:hAnsi="宋体"/>
          <w:b/>
          <w:bCs/>
        </w:rPr>
        <w:t>10.3.3</w:t>
      </w:r>
      <w:r>
        <w:rPr>
          <w:rFonts w:ascii="宋体" w:hAnsi="宋体"/>
          <w:b/>
          <w:bCs/>
        </w:rPr>
        <w:t>环境</w:t>
      </w:r>
      <w:bookmarkEnd w:id="7277"/>
      <w:bookmarkEnd w:id="7278"/>
      <w:bookmarkEnd w:id="7279"/>
    </w:p>
    <w:p>
      <w:pPr>
        <w:adjustRightInd w:val="0"/>
        <w:snapToGrid w:val="0"/>
        <w:spacing w:before="203" w:beforeLines="50" w:after="203" w:afterLines="50"/>
        <w:ind w:firstLine="500" w:firstLineChars="200"/>
        <w:rPr>
          <w:rFonts w:ascii="宋体" w:hAnsi="宋体"/>
        </w:rPr>
      </w:pPr>
      <w:r>
        <w:rPr>
          <w:rFonts w:ascii="宋体" w:hAnsi="宋体"/>
        </w:rPr>
        <w:t>仪表工作环境为－5℃到＋50℃，所有仪表应防尘、防水、防冻，能承受偶尔的高压水冲洗，外壳的防护等级至少为IP56。</w:t>
      </w:r>
    </w:p>
    <w:p>
      <w:pPr>
        <w:adjustRightInd w:val="0"/>
        <w:snapToGrid w:val="0"/>
        <w:spacing w:before="203" w:beforeLines="50" w:after="203" w:afterLines="50"/>
        <w:ind w:firstLine="500" w:firstLineChars="200"/>
        <w:rPr>
          <w:rFonts w:ascii="宋体" w:hAnsi="宋体"/>
        </w:rPr>
      </w:pPr>
      <w:r>
        <w:rPr>
          <w:rFonts w:ascii="宋体" w:hAnsi="宋体"/>
        </w:rPr>
        <w:t>安装在户外的仪表要适当地安排，要有可靠的防冻措施。户外指示器，变送器等要留有工作通道，以便更换和维修。4）</w:t>
      </w:r>
    </w:p>
    <w:p>
      <w:pPr>
        <w:adjustRightInd w:val="0"/>
        <w:snapToGrid w:val="0"/>
        <w:spacing w:before="203" w:beforeLines="50" w:after="203" w:afterLines="50"/>
        <w:ind w:firstLine="500" w:firstLineChars="200"/>
        <w:rPr>
          <w:rFonts w:ascii="宋体" w:hAnsi="宋体"/>
        </w:rPr>
      </w:pPr>
      <w:r>
        <w:rPr>
          <w:rFonts w:ascii="宋体" w:hAnsi="宋体"/>
        </w:rPr>
        <w:t>除另有规定外，所有仪表能适应如下电源：220VAC±10％，50Hz±1Hz、24VDC</w:t>
      </w:r>
    </w:p>
    <w:p>
      <w:pPr>
        <w:adjustRightInd w:val="0"/>
        <w:snapToGrid w:val="0"/>
        <w:spacing w:before="203" w:beforeLines="50" w:after="203" w:afterLines="50"/>
        <w:ind w:firstLine="500" w:firstLineChars="200"/>
        <w:rPr>
          <w:rFonts w:ascii="宋体" w:hAnsi="宋体"/>
        </w:rPr>
      </w:pPr>
      <w:r>
        <w:rPr>
          <w:rFonts w:ascii="宋体" w:hAnsi="宋体"/>
        </w:rPr>
        <w:t>所有检测元件，变送器，安装支架及保护罩等材料应满足污水环境防腐蚀要求。在该环境下，所有设备必须能够正常工作，并达到文件所规定的可靠性和精度。</w:t>
      </w:r>
    </w:p>
    <w:p>
      <w:pPr>
        <w:keepNext/>
        <w:tabs>
          <w:tab w:val="left" w:pos="993"/>
        </w:tabs>
        <w:adjustRightInd w:val="0"/>
        <w:snapToGrid w:val="0"/>
        <w:spacing w:before="203" w:beforeLines="50" w:after="203" w:afterLines="50"/>
        <w:outlineLvl w:val="0"/>
        <w:rPr>
          <w:rFonts w:ascii="宋体" w:hAnsi="宋体"/>
          <w:b/>
          <w:bCs/>
        </w:rPr>
      </w:pPr>
      <w:bookmarkStart w:id="7280" w:name="_Toc106883799"/>
      <w:bookmarkStart w:id="7281" w:name="_Toc450585002"/>
      <w:bookmarkStart w:id="7282" w:name="_Toc401327957"/>
      <w:r>
        <w:rPr>
          <w:rFonts w:hint="eastAsia" w:ascii="宋体" w:hAnsi="宋体"/>
          <w:b/>
          <w:bCs/>
        </w:rPr>
        <w:t>10.3.4</w:t>
      </w:r>
      <w:r>
        <w:rPr>
          <w:rFonts w:ascii="宋体" w:hAnsi="宋体"/>
          <w:b/>
          <w:bCs/>
        </w:rPr>
        <w:t>供货及安装</w:t>
      </w:r>
      <w:bookmarkEnd w:id="7280"/>
      <w:bookmarkEnd w:id="7281"/>
      <w:bookmarkEnd w:id="7282"/>
    </w:p>
    <w:p>
      <w:pPr>
        <w:adjustRightInd w:val="0"/>
        <w:snapToGrid w:val="0"/>
        <w:spacing w:before="203" w:beforeLines="50" w:after="203" w:afterLines="50"/>
        <w:ind w:firstLine="500" w:firstLineChars="200"/>
        <w:rPr>
          <w:rFonts w:ascii="宋体" w:hAnsi="宋体"/>
        </w:rPr>
      </w:pPr>
      <w:r>
        <w:rPr>
          <w:rFonts w:ascii="宋体" w:hAnsi="宋体"/>
        </w:rPr>
        <w:t>仪表运输到现场并安装完毕后，承包商应进行仪表现场试验，以保证仪表功能正常。承包商应提供仪表现场试验、调试和维修的所需的专用工具，并在完工后交给业主。</w:t>
      </w:r>
    </w:p>
    <w:p>
      <w:pPr>
        <w:adjustRightInd w:val="0"/>
        <w:snapToGrid w:val="0"/>
        <w:spacing w:before="203" w:beforeLines="50" w:after="203" w:afterLines="50"/>
        <w:ind w:firstLine="500" w:firstLineChars="200"/>
        <w:rPr>
          <w:rFonts w:ascii="宋体" w:hAnsi="宋体"/>
        </w:rPr>
      </w:pPr>
      <w:r>
        <w:rPr>
          <w:rFonts w:ascii="宋体" w:hAnsi="宋体"/>
        </w:rPr>
        <w:t>应提供所需的辅助和附加装置。例：检测元件至变送器电缆，变送器安装支架，保护罩、清洗所用空压机等。应提供仪表维修保养用专用工具。应提供仪表专用的试剂及电解液（二年使用）。</w:t>
      </w:r>
    </w:p>
    <w:p>
      <w:pPr>
        <w:adjustRightInd w:val="0"/>
        <w:snapToGrid w:val="0"/>
        <w:spacing w:before="203" w:beforeLines="50" w:after="203" w:afterLines="50"/>
        <w:ind w:firstLine="500" w:firstLineChars="200"/>
        <w:rPr>
          <w:rFonts w:ascii="宋体" w:hAnsi="宋体"/>
        </w:rPr>
      </w:pPr>
      <w:r>
        <w:rPr>
          <w:rFonts w:ascii="宋体" w:hAnsi="宋体"/>
        </w:rPr>
        <w:t>应有零度和满度调整电路，并能方便地进行调整。应设计有温度补偿电路和抗干扰电路。仪表信号通过屏蔽电缆和PLC采集模块连接，仪表的电缆应各自绝缘和屏蔽。</w:t>
      </w:r>
    </w:p>
    <w:p>
      <w:pPr>
        <w:adjustRightInd w:val="0"/>
        <w:snapToGrid w:val="0"/>
        <w:spacing w:before="203" w:beforeLines="50" w:after="203" w:afterLines="50"/>
        <w:ind w:firstLine="500" w:firstLineChars="200"/>
        <w:rPr>
          <w:rFonts w:ascii="宋体" w:hAnsi="宋体"/>
        </w:rPr>
      </w:pPr>
      <w:r>
        <w:rPr>
          <w:rFonts w:ascii="宋体" w:hAnsi="宋体"/>
        </w:rPr>
        <w:t>所提供产品必须不低于本技术规范中技术参数的要求。</w:t>
      </w:r>
    </w:p>
    <w:p>
      <w:pPr>
        <w:adjustRightInd w:val="0"/>
        <w:snapToGrid w:val="0"/>
        <w:spacing w:before="203" w:beforeLines="50" w:after="203" w:afterLines="50"/>
        <w:ind w:firstLine="500" w:firstLineChars="200"/>
        <w:rPr>
          <w:rFonts w:ascii="宋体" w:hAnsi="宋体"/>
        </w:rPr>
      </w:pPr>
      <w:r>
        <w:rPr>
          <w:rFonts w:ascii="宋体" w:hAnsi="宋体"/>
        </w:rPr>
        <w:t>所有仪表模拟信号输出应为4～20mA直流负载阻抗不小于500欧姆。</w:t>
      </w:r>
    </w:p>
    <w:p>
      <w:pPr>
        <w:adjustRightInd w:val="0"/>
        <w:snapToGrid w:val="0"/>
        <w:spacing w:before="203" w:beforeLines="50" w:after="203" w:afterLines="50"/>
        <w:ind w:firstLine="500" w:firstLineChars="200"/>
        <w:rPr>
          <w:rFonts w:ascii="宋体" w:hAnsi="宋体"/>
        </w:rPr>
      </w:pPr>
      <w:r>
        <w:rPr>
          <w:rFonts w:ascii="宋体" w:hAnsi="宋体"/>
        </w:rPr>
        <w:t>所有户外安装的仪表箱为不锈钢304，标签用不锈钢螺丝和铆钉永久固定在仪表箱盖上，标签上应刻上仪表编号。仪表变送器箱内应设置信号避雷器、电源避雷器、总线避雷器（若有总线通讯要求）。</w:t>
      </w:r>
    </w:p>
    <w:p>
      <w:pPr>
        <w:keepNext/>
        <w:tabs>
          <w:tab w:val="left" w:pos="993"/>
        </w:tabs>
        <w:adjustRightInd w:val="0"/>
        <w:snapToGrid w:val="0"/>
        <w:spacing w:before="203" w:beforeLines="50" w:after="203" w:afterLines="50"/>
        <w:outlineLvl w:val="0"/>
        <w:rPr>
          <w:rFonts w:ascii="宋体" w:hAnsi="宋体"/>
          <w:b/>
          <w:bCs/>
        </w:rPr>
      </w:pPr>
      <w:bookmarkStart w:id="7283" w:name="_Toc91946263"/>
      <w:bookmarkStart w:id="7284" w:name="_Toc86597161"/>
      <w:bookmarkStart w:id="7285" w:name="_Toc91995614"/>
      <w:bookmarkStart w:id="7286" w:name="_Toc301178838"/>
      <w:bookmarkStart w:id="7287" w:name="_Toc91945429"/>
      <w:bookmarkStart w:id="7288" w:name="_Toc98143082"/>
      <w:bookmarkStart w:id="7289" w:name="_Toc91947627"/>
      <w:bookmarkStart w:id="7290" w:name="_Toc86595664"/>
      <w:bookmarkStart w:id="7291" w:name="_Toc301171411"/>
      <w:bookmarkStart w:id="7292" w:name="_Toc91946643"/>
      <w:bookmarkStart w:id="7293" w:name="_Toc92514731"/>
      <w:bookmarkStart w:id="7294" w:name="_Toc91948382"/>
      <w:bookmarkStart w:id="7295" w:name="_Toc93283304"/>
      <w:bookmarkStart w:id="7296" w:name="_Toc91945883"/>
      <w:bookmarkStart w:id="7297" w:name="_Toc91947021"/>
      <w:bookmarkStart w:id="7298" w:name="_Toc84873734"/>
      <w:bookmarkStart w:id="7299" w:name="_Toc93845833"/>
      <w:bookmarkStart w:id="7300" w:name="_Toc106883800"/>
      <w:bookmarkStart w:id="7301" w:name="_Toc401327958"/>
      <w:bookmarkStart w:id="7302" w:name="_Toc450585003"/>
      <w:r>
        <w:rPr>
          <w:rFonts w:hint="eastAsia" w:ascii="宋体" w:hAnsi="宋体"/>
          <w:b/>
          <w:bCs/>
        </w:rPr>
        <w:t>10.3.5</w:t>
      </w:r>
      <w:r>
        <w:rPr>
          <w:rFonts w:ascii="宋体" w:hAnsi="宋体"/>
          <w:b/>
          <w:bCs/>
        </w:rPr>
        <w:t>仪表设备</w:t>
      </w:r>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r>
        <w:rPr>
          <w:rFonts w:ascii="宋体" w:hAnsi="宋体"/>
          <w:b/>
          <w:bCs/>
        </w:rPr>
        <w:t>技术要求</w:t>
      </w:r>
      <w:bookmarkEnd w:id="7300"/>
      <w:bookmarkEnd w:id="7301"/>
      <w:bookmarkEnd w:id="7302"/>
    </w:p>
    <w:p>
      <w:pPr>
        <w:adjustRightInd w:val="0"/>
        <w:snapToGrid w:val="0"/>
        <w:spacing w:before="203" w:beforeLines="50" w:after="203" w:afterLines="50"/>
        <w:ind w:firstLine="500" w:firstLineChars="200"/>
        <w:rPr>
          <w:rFonts w:ascii="宋体" w:hAnsi="宋体"/>
        </w:rPr>
      </w:pPr>
      <w:r>
        <w:rPr>
          <w:rFonts w:ascii="宋体" w:hAnsi="宋体"/>
        </w:rPr>
        <w:t>水质仪表、过程仪表及气体检测仪应符合相应技术参数，适合在线检测场合的型号。所有仪表应为生产厂家最新产品，产品应易于维护和检查，并提供易损害的备用部件，应符合国际通用标准和规范。仪表选型应与实际工况相符，承包商有义务将各种工艺状况与仪表参数的接口进行核实和对接。</w:t>
      </w:r>
    </w:p>
    <w:p>
      <w:pPr>
        <w:adjustRightInd w:val="0"/>
        <w:snapToGrid w:val="0"/>
        <w:spacing w:before="203" w:beforeLines="50" w:after="203" w:afterLines="50"/>
        <w:rPr>
          <w:rFonts w:ascii="宋体" w:hAnsi="宋体"/>
          <w:b/>
          <w:bCs/>
        </w:rPr>
      </w:pPr>
      <w:bookmarkStart w:id="7303" w:name="_Toc106050597"/>
      <w:r>
        <w:rPr>
          <w:rFonts w:ascii="宋体" w:hAnsi="宋体"/>
          <w:b/>
          <w:bCs/>
        </w:rPr>
        <w:t>1、电磁流量计</w:t>
      </w:r>
      <w:bookmarkEnd w:id="7303"/>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用途：用于测量流量信号，并显示、传送输出信号到PLC。</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类型：传感器与变送器分体式安装</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测量范围：见仪表清单</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技术参数：</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1）测量系统：4电极，带测量电极，空管检测电极和接地电极；</w:t>
      </w:r>
    </w:p>
    <w:p>
      <w:pPr>
        <w:adjustRightInd w:val="0"/>
        <w:snapToGrid w:val="0"/>
        <w:spacing w:before="203" w:beforeLines="50" w:after="203" w:afterLines="50"/>
        <w:ind w:firstLine="500" w:firstLineChars="200"/>
        <w:rPr>
          <w:rFonts w:ascii="宋体" w:hAnsi="宋体"/>
        </w:rPr>
      </w:pPr>
      <w:bookmarkStart w:id="7304" w:name="_Toc106050598"/>
      <w:r>
        <w:rPr>
          <w:rFonts w:ascii="宋体" w:hAnsi="宋体"/>
        </w:rPr>
        <w:t>2）电极材料：316L</w:t>
      </w:r>
      <w:bookmarkEnd w:id="7304"/>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3）衬里材料：硬橡胶、聚氨酯、PTFE等，根据介质选配</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4）测量误差：±0.2%</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5）输出：4～20mA</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6）外壳材料：铝，防水耐腐蚀。</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 xml:space="preserve">7）变送器：LCD显示，可显示瞬时、累积流量和故障，具有现场操作 </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 xml:space="preserve">8）供电电源：85～260VAC，45～65HZ </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9）功率消耗：AC〈15VA，含传感器</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10）其他功能：断电自动存储系统数据，可调零位及量程，具诊断功能。</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11）防护等级：传感器IP67，变送器IP65。</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12）安装方式：传感器可转动法兰安装，变送器装于仪表箱内。</w:t>
      </w:r>
    </w:p>
    <w:p>
      <w:pPr>
        <w:adjustRightInd w:val="0"/>
        <w:snapToGrid w:val="0"/>
        <w:spacing w:before="203" w:beforeLines="50" w:after="203" w:afterLines="50"/>
        <w:rPr>
          <w:rFonts w:ascii="宋体" w:hAnsi="宋体"/>
          <w:b/>
          <w:bCs/>
        </w:rPr>
      </w:pPr>
      <w:bookmarkStart w:id="7305" w:name="_Toc106050599"/>
      <w:r>
        <w:rPr>
          <w:rFonts w:ascii="宋体" w:hAnsi="宋体"/>
          <w:b/>
          <w:bCs/>
        </w:rPr>
        <w:t>2、超声波液位计</w:t>
      </w:r>
      <w:bookmarkEnd w:id="7305"/>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测量范围：详见设备清单。</w:t>
      </w:r>
    </w:p>
    <w:p>
      <w:pPr>
        <w:adjustRightInd w:val="0"/>
        <w:snapToGrid w:val="0"/>
        <w:spacing w:before="203" w:beforeLines="50" w:after="203" w:afterLines="50"/>
        <w:ind w:firstLine="500" w:firstLineChars="200"/>
        <w:rPr>
          <w:rFonts w:ascii="宋体" w:hAnsi="宋体"/>
        </w:rPr>
      </w:pPr>
      <w:r>
        <w:rPr>
          <w:rFonts w:ascii="宋体" w:hAnsi="宋体"/>
        </w:rPr>
        <w:t>（1）用途：用于测量、指示和传送液位信号；</w:t>
      </w:r>
    </w:p>
    <w:p>
      <w:pPr>
        <w:adjustRightInd w:val="0"/>
        <w:snapToGrid w:val="0"/>
        <w:spacing w:before="203" w:beforeLines="50" w:after="203" w:afterLines="50"/>
        <w:ind w:firstLine="500" w:firstLineChars="200"/>
        <w:rPr>
          <w:rFonts w:ascii="宋体" w:hAnsi="宋体"/>
        </w:rPr>
      </w:pPr>
      <w:r>
        <w:rPr>
          <w:rFonts w:ascii="宋体" w:hAnsi="宋体"/>
        </w:rPr>
        <w:t>（2）测量原理：超声波原理；</w:t>
      </w:r>
    </w:p>
    <w:p>
      <w:pPr>
        <w:adjustRightInd w:val="0"/>
        <w:snapToGrid w:val="0"/>
        <w:spacing w:before="203" w:beforeLines="50" w:after="203" w:afterLines="50"/>
        <w:ind w:firstLine="500" w:firstLineChars="200"/>
        <w:rPr>
          <w:rFonts w:ascii="宋体" w:hAnsi="宋体"/>
        </w:rPr>
      </w:pPr>
      <w:r>
        <w:rPr>
          <w:rFonts w:ascii="宋体" w:hAnsi="宋体"/>
        </w:rPr>
        <w:t>（3）技术参数：</w:t>
      </w:r>
    </w:p>
    <w:p>
      <w:pPr>
        <w:adjustRightInd w:val="0"/>
        <w:snapToGrid w:val="0"/>
        <w:spacing w:before="203" w:beforeLines="50" w:after="203" w:afterLines="50"/>
        <w:ind w:firstLine="500" w:firstLineChars="200"/>
        <w:rPr>
          <w:rFonts w:ascii="宋体" w:hAnsi="宋体"/>
        </w:rPr>
      </w:pPr>
      <w:r>
        <w:rPr>
          <w:rFonts w:ascii="宋体" w:hAnsi="宋体"/>
        </w:rPr>
        <w:t>1）</w:t>
      </w:r>
      <w:r>
        <w:rPr>
          <w:rFonts w:ascii="宋体" w:hAnsi="宋体"/>
        </w:rPr>
        <w:tab/>
      </w:r>
      <w:r>
        <w:rPr>
          <w:rFonts w:ascii="宋体" w:hAnsi="宋体"/>
        </w:rPr>
        <w:t>波束角： ≤9°；</w:t>
      </w:r>
    </w:p>
    <w:p>
      <w:pPr>
        <w:adjustRightInd w:val="0"/>
        <w:snapToGrid w:val="0"/>
        <w:spacing w:before="203" w:beforeLines="50" w:after="203" w:afterLines="50"/>
        <w:ind w:firstLine="500" w:firstLineChars="200"/>
        <w:rPr>
          <w:rFonts w:ascii="宋体" w:hAnsi="宋体"/>
        </w:rPr>
      </w:pPr>
      <w:r>
        <w:rPr>
          <w:rFonts w:ascii="宋体" w:hAnsi="宋体"/>
        </w:rPr>
        <w:t>2）</w:t>
      </w:r>
      <w:r>
        <w:rPr>
          <w:rFonts w:ascii="宋体" w:hAnsi="宋体"/>
        </w:rPr>
        <w:tab/>
      </w:r>
      <w:r>
        <w:rPr>
          <w:rFonts w:ascii="宋体" w:hAnsi="宋体"/>
        </w:rPr>
        <w:t>测量精度：±4mm或0.2%量程；</w:t>
      </w:r>
    </w:p>
    <w:p>
      <w:pPr>
        <w:adjustRightInd w:val="0"/>
        <w:snapToGrid w:val="0"/>
        <w:spacing w:before="203" w:beforeLines="50" w:after="203" w:afterLines="50"/>
        <w:ind w:firstLine="500" w:firstLineChars="200"/>
        <w:rPr>
          <w:rFonts w:ascii="宋体" w:hAnsi="宋体"/>
        </w:rPr>
      </w:pPr>
      <w:r>
        <w:rPr>
          <w:rFonts w:ascii="宋体" w:hAnsi="宋体"/>
        </w:rPr>
        <w:t>3）</w:t>
      </w:r>
      <w:r>
        <w:rPr>
          <w:rFonts w:ascii="宋体" w:hAnsi="宋体"/>
        </w:rPr>
        <w:tab/>
      </w:r>
      <w:r>
        <w:rPr>
          <w:rFonts w:ascii="宋体" w:hAnsi="宋体"/>
        </w:rPr>
        <w:t>测量分辨率：2mm；</w:t>
      </w:r>
    </w:p>
    <w:p>
      <w:pPr>
        <w:adjustRightInd w:val="0"/>
        <w:snapToGrid w:val="0"/>
        <w:spacing w:before="203" w:beforeLines="50" w:after="203" w:afterLines="50"/>
        <w:ind w:firstLine="500" w:firstLineChars="200"/>
        <w:rPr>
          <w:rFonts w:ascii="宋体" w:hAnsi="宋体"/>
        </w:rPr>
      </w:pPr>
      <w:r>
        <w:rPr>
          <w:rFonts w:ascii="宋体" w:hAnsi="宋体"/>
        </w:rPr>
        <w:t>4）</w:t>
      </w:r>
      <w:r>
        <w:rPr>
          <w:rFonts w:ascii="宋体" w:hAnsi="宋体"/>
        </w:rPr>
        <w:tab/>
      </w:r>
      <w:r>
        <w:rPr>
          <w:rFonts w:ascii="宋体" w:hAnsi="宋体"/>
        </w:rPr>
        <w:t>频率：42KHZ；</w:t>
      </w:r>
    </w:p>
    <w:p>
      <w:pPr>
        <w:adjustRightInd w:val="0"/>
        <w:snapToGrid w:val="0"/>
        <w:spacing w:before="203" w:beforeLines="50" w:after="203" w:afterLines="50"/>
        <w:ind w:firstLine="500" w:firstLineChars="200"/>
        <w:rPr>
          <w:rFonts w:ascii="宋体" w:hAnsi="宋体"/>
        </w:rPr>
      </w:pPr>
      <w:r>
        <w:rPr>
          <w:rFonts w:ascii="宋体" w:hAnsi="宋体"/>
        </w:rPr>
        <w:t>5）</w:t>
      </w:r>
      <w:r>
        <w:rPr>
          <w:rFonts w:ascii="宋体" w:hAnsi="宋体"/>
        </w:rPr>
        <w:tab/>
      </w:r>
      <w:r>
        <w:rPr>
          <w:rFonts w:ascii="宋体" w:hAnsi="宋体"/>
        </w:rPr>
        <w:t>过程温度：-40℃～80℃；</w:t>
      </w:r>
    </w:p>
    <w:p>
      <w:pPr>
        <w:adjustRightInd w:val="0"/>
        <w:snapToGrid w:val="0"/>
        <w:spacing w:before="203" w:beforeLines="50" w:after="203" w:afterLines="50"/>
        <w:ind w:firstLine="500" w:firstLineChars="200"/>
        <w:rPr>
          <w:rFonts w:ascii="宋体" w:hAnsi="宋体"/>
        </w:rPr>
      </w:pPr>
      <w:r>
        <w:rPr>
          <w:rFonts w:ascii="宋体" w:hAnsi="宋体"/>
        </w:rPr>
        <w:t>6）</w:t>
      </w:r>
      <w:r>
        <w:rPr>
          <w:rFonts w:ascii="宋体" w:hAnsi="宋体"/>
        </w:rPr>
        <w:tab/>
      </w:r>
      <w:r>
        <w:rPr>
          <w:rFonts w:ascii="宋体" w:hAnsi="宋体"/>
        </w:rPr>
        <w:t>防护等级：传感器IP68；</w:t>
      </w:r>
    </w:p>
    <w:p>
      <w:pPr>
        <w:adjustRightInd w:val="0"/>
        <w:snapToGrid w:val="0"/>
        <w:spacing w:before="203" w:beforeLines="50" w:after="203" w:afterLines="50"/>
        <w:ind w:firstLine="500" w:firstLineChars="200"/>
        <w:rPr>
          <w:rFonts w:ascii="宋体" w:hAnsi="宋体"/>
        </w:rPr>
      </w:pPr>
      <w:r>
        <w:rPr>
          <w:rFonts w:ascii="宋体" w:hAnsi="宋体"/>
        </w:rPr>
        <w:t>7）</w:t>
      </w:r>
      <w:r>
        <w:rPr>
          <w:rFonts w:ascii="宋体" w:hAnsi="宋体"/>
        </w:rPr>
        <w:tab/>
      </w:r>
      <w:r>
        <w:rPr>
          <w:rFonts w:ascii="宋体" w:hAnsi="宋体"/>
        </w:rPr>
        <w:t>输出阻尼时间：0…255s；</w:t>
      </w:r>
    </w:p>
    <w:p>
      <w:pPr>
        <w:adjustRightInd w:val="0"/>
        <w:snapToGrid w:val="0"/>
        <w:spacing w:before="203" w:beforeLines="50" w:after="203" w:afterLines="50"/>
        <w:ind w:firstLine="500" w:firstLineChars="200"/>
        <w:rPr>
          <w:rFonts w:ascii="宋体" w:hAnsi="宋体"/>
        </w:rPr>
      </w:pPr>
      <w:r>
        <w:rPr>
          <w:rFonts w:ascii="宋体" w:hAnsi="宋体"/>
        </w:rPr>
        <w:t>8）</w:t>
      </w:r>
      <w:r>
        <w:rPr>
          <w:rFonts w:ascii="宋体" w:hAnsi="宋体"/>
        </w:rPr>
        <w:tab/>
      </w:r>
      <w:r>
        <w:rPr>
          <w:rFonts w:ascii="宋体" w:hAnsi="宋体"/>
        </w:rPr>
        <w:t>显示：LCD液晶显示，带按键；</w:t>
      </w:r>
    </w:p>
    <w:p>
      <w:pPr>
        <w:adjustRightInd w:val="0"/>
        <w:snapToGrid w:val="0"/>
        <w:spacing w:before="203" w:beforeLines="50" w:after="203" w:afterLines="50"/>
        <w:ind w:firstLine="500" w:firstLineChars="200"/>
        <w:rPr>
          <w:rFonts w:ascii="宋体" w:hAnsi="宋体"/>
        </w:rPr>
      </w:pPr>
      <w:r>
        <w:rPr>
          <w:rFonts w:ascii="宋体" w:hAnsi="宋体"/>
        </w:rPr>
        <w:t>9）</w:t>
      </w:r>
      <w:r>
        <w:rPr>
          <w:rFonts w:ascii="宋体" w:hAnsi="宋体"/>
        </w:rPr>
        <w:tab/>
      </w:r>
      <w:r>
        <w:rPr>
          <w:rFonts w:ascii="宋体" w:hAnsi="宋体"/>
        </w:rPr>
        <w:t>输出信号：4～20mA+Hart；</w:t>
      </w:r>
    </w:p>
    <w:p>
      <w:pPr>
        <w:adjustRightInd w:val="0"/>
        <w:snapToGrid w:val="0"/>
        <w:spacing w:before="203" w:beforeLines="50" w:after="203" w:afterLines="50"/>
        <w:ind w:firstLine="500" w:firstLineChars="200"/>
        <w:rPr>
          <w:rFonts w:ascii="宋体" w:hAnsi="宋体"/>
        </w:rPr>
      </w:pPr>
      <w:r>
        <w:rPr>
          <w:rFonts w:ascii="宋体" w:hAnsi="宋体"/>
        </w:rPr>
        <w:t>10）</w:t>
      </w:r>
      <w:r>
        <w:rPr>
          <w:rFonts w:ascii="宋体" w:hAnsi="宋体"/>
        </w:rPr>
        <w:tab/>
      </w:r>
      <w:r>
        <w:rPr>
          <w:rFonts w:ascii="宋体" w:hAnsi="宋体"/>
        </w:rPr>
        <w:t>电源：10.5～32VDC 。</w:t>
      </w:r>
    </w:p>
    <w:p>
      <w:pPr>
        <w:adjustRightInd w:val="0"/>
        <w:snapToGrid w:val="0"/>
        <w:spacing w:before="203" w:beforeLines="50" w:after="203" w:afterLines="50"/>
        <w:rPr>
          <w:rFonts w:ascii="宋体" w:hAnsi="宋体"/>
          <w:b/>
          <w:bCs/>
        </w:rPr>
      </w:pPr>
      <w:r>
        <w:rPr>
          <w:rFonts w:ascii="宋体" w:hAnsi="宋体"/>
          <w:b/>
          <w:bCs/>
        </w:rPr>
        <w:t>3、静压液位计</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功能：测量、指示和传送静压液位信号</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形式： 2线制变送器，潜水式传感器</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性能：</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测量范围：0～20mH2O</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测量精度：0.3%满量程</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环境温度：-10℃～+80℃</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稳定性： 0.2%满量程/年</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输出：4～20mA</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电源：2线制10～36VDC</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防护等级：IP68</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外壳材料：不锈钢</w:t>
      </w:r>
    </w:p>
    <w:p>
      <w:pPr>
        <w:adjustRightInd w:val="0"/>
        <w:snapToGrid w:val="0"/>
        <w:spacing w:before="203" w:beforeLines="50" w:after="203" w:afterLines="50"/>
        <w:ind w:firstLine="500" w:firstLineChars="200"/>
        <w:rPr>
          <w:rFonts w:ascii="宋体" w:hAnsi="宋体"/>
          <w:b/>
        </w:rPr>
      </w:pPr>
      <w:r>
        <w:rPr>
          <w:rFonts w:ascii="宋体" w:hAnsi="宋体"/>
          <w:b/>
        </w:rPr>
        <w:t>4、压力变送器</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功能：测量、指示和传送压力信号</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原理：压力感应原理</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组成：压力传感器、变送器及全部安装附件</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1）测量介质：空气、水、污水</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2）测量精度：≤0.1%</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3）电源：11.5-45VDC</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4）过程温度：-20℃-100℃</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5）膜片材质：气体测量为陶瓷膜片，液体测量为316L。</w:t>
      </w:r>
    </w:p>
    <w:p>
      <w:pPr>
        <w:adjustRightInd w:val="0"/>
        <w:snapToGrid w:val="0"/>
        <w:spacing w:before="203" w:beforeLines="50" w:after="203" w:afterLines="50"/>
        <w:ind w:firstLine="500" w:firstLineChars="200"/>
        <w:rPr>
          <w:rFonts w:ascii="宋体" w:hAnsi="宋体"/>
          <w:kern w:val="0"/>
          <w:lang w:val="en-GB"/>
        </w:rPr>
      </w:pPr>
      <w:bookmarkStart w:id="7306" w:name="_Toc106050600"/>
      <w:r>
        <w:rPr>
          <w:rFonts w:ascii="宋体" w:hAnsi="宋体"/>
          <w:kern w:val="0"/>
          <w:lang w:val="en-GB"/>
        </w:rPr>
        <w:t>6）显示：中文液晶显示，按键操作，显示单元可90度旋转</w:t>
      </w:r>
      <w:bookmarkEnd w:id="7306"/>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7）输出：4～20mA 二线制</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8）密封圈材质：FKM Viton</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9）外壳：不锈钢外壳</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10）过程连接：压力测量时为螺纹，ISO228 G1/2，316L</w:t>
      </w:r>
    </w:p>
    <w:p>
      <w:pPr>
        <w:adjustRightInd w:val="0"/>
        <w:snapToGrid w:val="0"/>
        <w:spacing w:before="203" w:beforeLines="50" w:after="203" w:afterLines="50"/>
        <w:ind w:firstLine="500" w:firstLineChars="200"/>
        <w:rPr>
          <w:rFonts w:ascii="宋体" w:hAnsi="宋体"/>
          <w:kern w:val="0"/>
          <w:lang w:val="en-GB"/>
        </w:rPr>
      </w:pPr>
      <w:bookmarkStart w:id="7307" w:name="_Toc106050601"/>
      <w:r>
        <w:rPr>
          <w:rFonts w:ascii="宋体" w:hAnsi="宋体"/>
          <w:kern w:val="0"/>
          <w:lang w:val="en-GB"/>
        </w:rPr>
        <w:t>11）防护等级：IP68</w:t>
      </w:r>
      <w:bookmarkEnd w:id="7307"/>
    </w:p>
    <w:p>
      <w:pPr>
        <w:adjustRightInd w:val="0"/>
        <w:snapToGrid w:val="0"/>
        <w:spacing w:before="203" w:beforeLines="50" w:after="203" w:afterLines="50"/>
        <w:rPr>
          <w:rFonts w:ascii="宋体" w:hAnsi="宋体"/>
          <w:b/>
          <w:bCs/>
        </w:rPr>
      </w:pPr>
      <w:r>
        <w:rPr>
          <w:rFonts w:ascii="宋体" w:hAnsi="宋体"/>
          <w:b/>
          <w:bCs/>
        </w:rPr>
        <w:t>5、pH/T计</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用途：用于水质PH值检测；测量、指示和传送过程检测介质的PH值和温度信号；</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组成：变送器、专用电缆、支架及其他配件；</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 xml:space="preserve">测量原理：电化学原理； </w:t>
      </w:r>
    </w:p>
    <w:p>
      <w:pPr>
        <w:numPr>
          <w:ilvl w:val="0"/>
          <w:numId w:val="149"/>
        </w:numPr>
        <w:adjustRightInd w:val="0"/>
        <w:snapToGrid w:val="0"/>
        <w:spacing w:before="203" w:beforeLines="50" w:after="203" w:afterLines="50"/>
        <w:rPr>
          <w:rFonts w:ascii="宋体" w:hAnsi="宋体"/>
          <w:kern w:val="0"/>
          <w:lang w:val="en-GB"/>
        </w:rPr>
      </w:pPr>
      <w:r>
        <w:rPr>
          <w:rFonts w:ascii="宋体" w:hAnsi="宋体"/>
          <w:kern w:val="0"/>
          <w:lang w:val="en-GB"/>
        </w:rPr>
        <w:t>安装位置：进出常水仪表间</w:t>
      </w:r>
    </w:p>
    <w:p>
      <w:pPr>
        <w:numPr>
          <w:ilvl w:val="0"/>
          <w:numId w:val="149"/>
        </w:numPr>
        <w:adjustRightInd w:val="0"/>
        <w:snapToGrid w:val="0"/>
        <w:spacing w:before="203" w:beforeLines="50" w:after="203" w:afterLines="50"/>
        <w:rPr>
          <w:rFonts w:ascii="宋体" w:hAnsi="宋体"/>
          <w:kern w:val="0"/>
          <w:lang w:val="en-GB"/>
        </w:rPr>
      </w:pPr>
      <w:r>
        <w:rPr>
          <w:rFonts w:ascii="宋体" w:hAnsi="宋体"/>
          <w:kern w:val="0"/>
          <w:lang w:val="en-GB"/>
        </w:rPr>
        <w:t xml:space="preserve">测量介质：污水  </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 xml:space="preserve">pH 量程：-2-16.00 pH </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分辨率/ 精度：0.01 pH / ±0.01 Ph</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 xml:space="preserve">自动识别pH 缓冲液：pH 1.01，4.01，6.86，7.00，9.00，9.18，10.01 </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标定点：最多 2 点</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ORP量程：-1000～1000mV；0-100%</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分辨率/精度：1mV或者0.1%；±1mV或者读数的0.2%</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温度范围：-9.9-125℃（15.0-257° F）</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分辨率/ 精确度：0.1℃（0.1° F）/±0.5℃（0.9° F）</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温度电极（ATC）：PT100/1000，2线或3线</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控制类型：开关量，比例控制，比例积分PID</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电极类型选择：玻璃电极或者锑电极</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信号输入：对称模式/不对称模式</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4-20 mA 输出范围：pH 0-14（可调）</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继电器：1SPDT；3SPST(含1个清洗)</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电源：80-250V AC，50-60 Hz</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 xml:space="preserve">尺寸（宽× 高× 长）：144 ×144×111.5 mm </w:t>
      </w:r>
    </w:p>
    <w:p>
      <w:pPr>
        <w:pStyle w:val="1193"/>
        <w:numPr>
          <w:ilvl w:val="0"/>
          <w:numId w:val="149"/>
        </w:numPr>
        <w:adjustRightInd w:val="0"/>
        <w:snapToGrid w:val="0"/>
        <w:spacing w:before="203" w:beforeLines="50" w:after="203" w:afterLines="50"/>
        <w:ind w:firstLineChars="0"/>
        <w:rPr>
          <w:rFonts w:ascii="宋体" w:hAnsi="宋体"/>
        </w:rPr>
      </w:pPr>
      <w:r>
        <w:rPr>
          <w:rFonts w:ascii="宋体" w:hAnsi="宋体"/>
        </w:rPr>
        <w:t>防护等级：IP65（NEMA4X）</w:t>
      </w:r>
    </w:p>
    <w:p>
      <w:pPr>
        <w:numPr>
          <w:ilvl w:val="0"/>
          <w:numId w:val="149"/>
        </w:numPr>
        <w:adjustRightInd w:val="0"/>
        <w:snapToGrid w:val="0"/>
        <w:spacing w:before="203" w:beforeLines="50" w:after="203" w:afterLines="50"/>
        <w:rPr>
          <w:rFonts w:ascii="宋体" w:hAnsi="宋体"/>
        </w:rPr>
      </w:pPr>
      <w:r>
        <w:rPr>
          <w:rFonts w:ascii="宋体" w:hAnsi="宋体"/>
        </w:rPr>
        <w:t>安装方式：面板安装、壁挂式安装</w:t>
      </w:r>
    </w:p>
    <w:p>
      <w:pPr>
        <w:adjustRightInd w:val="0"/>
        <w:snapToGrid w:val="0"/>
        <w:spacing w:before="203" w:beforeLines="50" w:after="203" w:afterLines="50"/>
        <w:rPr>
          <w:rFonts w:ascii="宋体" w:hAnsi="宋体"/>
        </w:rPr>
      </w:pPr>
      <w:r>
        <w:rPr>
          <w:rFonts w:ascii="宋体" w:hAnsi="宋体"/>
          <w:b/>
          <w:bCs/>
        </w:rPr>
        <w:t>6、氨氮分析仪</w:t>
      </w:r>
    </w:p>
    <w:p>
      <w:pPr>
        <w:adjustRightInd w:val="0"/>
        <w:snapToGrid w:val="0"/>
        <w:spacing w:before="203" w:beforeLines="50" w:after="203" w:afterLines="50"/>
        <w:ind w:firstLine="500" w:firstLineChars="200"/>
        <w:rPr>
          <w:rFonts w:ascii="宋体" w:hAnsi="宋体"/>
          <w:kern w:val="0"/>
        </w:rPr>
      </w:pPr>
      <w:r>
        <w:rPr>
          <w:rFonts w:ascii="宋体" w:hAnsi="宋体"/>
          <w:kern w:val="0"/>
        </w:rPr>
        <w:t>测量范围及数量：详见设备清单。</w:t>
      </w:r>
    </w:p>
    <w:p>
      <w:pPr>
        <w:adjustRightInd w:val="0"/>
        <w:snapToGrid w:val="0"/>
        <w:spacing w:before="203" w:beforeLines="50" w:after="203" w:afterLines="50"/>
        <w:ind w:firstLine="500" w:firstLineChars="200"/>
        <w:rPr>
          <w:rFonts w:ascii="宋体" w:hAnsi="宋体"/>
          <w:kern w:val="0"/>
        </w:rPr>
      </w:pPr>
      <w:r>
        <w:rPr>
          <w:rFonts w:ascii="宋体" w:hAnsi="宋体"/>
          <w:kern w:val="0"/>
        </w:rPr>
        <w:t>原理：逐出比色法。将分析的样品和反应试剂混合后，将溶液中的NH4+转化成NH3，氨气从被分析的样品中释放出来。然后将氨气转移到装有指示剂的测量池中，重新溶解在指示剂之中。这将引起溶液颜色的改变，利用比色计进行比色法测量，最后计算并得出氨氮的浓度值；</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可根据水样浓度自动切换量程；</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特殊的测试流程设计和算法使得仪器具备更好的抗干扰（浊度和颜色等）能力</w:t>
      </w:r>
    </w:p>
    <w:p>
      <w:pPr>
        <w:pStyle w:val="1193"/>
        <w:widowControl/>
        <w:numPr>
          <w:ilvl w:val="0"/>
          <w:numId w:val="150"/>
        </w:numPr>
        <w:adjustRightInd w:val="0"/>
        <w:snapToGrid w:val="0"/>
        <w:spacing w:before="203" w:beforeLines="50" w:after="203" w:afterLines="50"/>
        <w:ind w:firstLineChars="0"/>
        <w:jc w:val="left"/>
        <w:rPr>
          <w:rFonts w:ascii="宋体" w:hAnsi="宋体"/>
        </w:rPr>
      </w:pPr>
      <w:r>
        <w:rPr>
          <w:rFonts w:ascii="宋体" w:hAnsi="宋体"/>
        </w:rPr>
        <w:t>模块化设计，IP65防护等级；</w:t>
      </w:r>
    </w:p>
    <w:p>
      <w:pPr>
        <w:pStyle w:val="1193"/>
        <w:widowControl/>
        <w:numPr>
          <w:ilvl w:val="0"/>
          <w:numId w:val="150"/>
        </w:numPr>
        <w:adjustRightInd w:val="0"/>
        <w:snapToGrid w:val="0"/>
        <w:spacing w:before="203" w:beforeLines="50" w:after="203" w:afterLines="50"/>
        <w:ind w:firstLineChars="0"/>
        <w:jc w:val="left"/>
        <w:rPr>
          <w:rFonts w:ascii="宋体" w:hAnsi="宋体"/>
        </w:rPr>
      </w:pPr>
      <w:r>
        <w:rPr>
          <w:rFonts w:ascii="宋体" w:hAnsi="宋体"/>
        </w:rPr>
        <w:t>高性能陶瓷ERV阀门，120万次寿命测试，确保设备长期稳定运行；</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测量方法：水杨酸比色法</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测试量程：0.02-300mg/L</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检测限：  0.02mg/L</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分辨率：  0.001mg/L</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准确度：  ±3%或±0.04mg/L（0.02-2mg/L）</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重现度：  读数3%±0.02mg/L，取大者（0.02-2mg/L）</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测量周期：连续，周期测量（可设置启动时间）</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仪表定量装置：高精度注射泵定量</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校准周期：具备自动校准功能，周期可调</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清洗周期：具备自动清洗功能，周期可调</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数字通讯：标配MODBUS RS485数字量通讯输出</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模拟量输出：2路4-20mA模拟量，最大负载900Ω</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 xml:space="preserve">电源：AC 220V ± 10%, </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环境温度：5～40℃</w:t>
      </w:r>
    </w:p>
    <w:p>
      <w:pPr>
        <w:pStyle w:val="1193"/>
        <w:numPr>
          <w:ilvl w:val="0"/>
          <w:numId w:val="150"/>
        </w:numPr>
        <w:adjustRightInd w:val="0"/>
        <w:snapToGrid w:val="0"/>
        <w:spacing w:before="203" w:beforeLines="50" w:after="203" w:afterLines="50"/>
        <w:ind w:firstLineChars="0"/>
        <w:rPr>
          <w:rFonts w:ascii="宋体" w:hAnsi="宋体"/>
        </w:rPr>
      </w:pPr>
      <w:r>
        <w:rPr>
          <w:rFonts w:ascii="宋体" w:hAnsi="宋体"/>
        </w:rPr>
        <w:t>环境湿度：≤85%</w:t>
      </w:r>
    </w:p>
    <w:p>
      <w:pPr>
        <w:adjustRightInd w:val="0"/>
        <w:snapToGrid w:val="0"/>
        <w:spacing w:before="203" w:beforeLines="50" w:after="203" w:afterLines="50"/>
        <w:rPr>
          <w:rFonts w:ascii="宋体" w:hAnsi="宋体"/>
          <w:b/>
          <w:bCs/>
          <w:highlight w:val="yellow"/>
        </w:rPr>
      </w:pPr>
      <w:bookmarkStart w:id="7308" w:name="_Hlk100212060"/>
      <w:r>
        <w:rPr>
          <w:rFonts w:ascii="宋体" w:hAnsi="宋体"/>
          <w:b/>
          <w:bCs/>
        </w:rPr>
        <w:t>7、CODMn</w:t>
      </w:r>
      <w:r>
        <w:rPr>
          <w:rFonts w:hint="eastAsia" w:ascii="宋体" w:hAnsi="宋体"/>
          <w:b/>
          <w:bCs/>
        </w:rPr>
        <w:t>检测仪</w:t>
      </w:r>
    </w:p>
    <w:p>
      <w:pPr>
        <w:adjustRightInd w:val="0"/>
        <w:snapToGrid w:val="0"/>
        <w:spacing w:before="203" w:beforeLines="50" w:after="203" w:afterLines="50"/>
        <w:ind w:firstLine="500" w:firstLineChars="200"/>
        <w:rPr>
          <w:rFonts w:ascii="宋体" w:hAnsi="宋体"/>
          <w:kern w:val="0"/>
          <w:lang w:val="en-GB"/>
        </w:rPr>
      </w:pPr>
      <w:r>
        <w:rPr>
          <w:rFonts w:hint="eastAsia" w:ascii="宋体" w:hAnsi="宋体"/>
          <w:kern w:val="0"/>
          <w:lang w:val="en-GB"/>
        </w:rPr>
        <w:t>用途：用于测量水中有机物含量</w:t>
      </w:r>
    </w:p>
    <w:p>
      <w:pPr>
        <w:pStyle w:val="1193"/>
        <w:numPr>
          <w:ilvl w:val="0"/>
          <w:numId w:val="151"/>
        </w:numPr>
        <w:adjustRightInd w:val="0"/>
        <w:snapToGrid w:val="0"/>
        <w:spacing w:before="203" w:beforeLines="50" w:after="203" w:afterLines="50"/>
        <w:ind w:firstLineChars="0"/>
        <w:rPr>
          <w:rFonts w:ascii="宋体" w:hAnsi="宋体"/>
        </w:rPr>
      </w:pPr>
      <w:r>
        <w:rPr>
          <w:rFonts w:hint="eastAsia" w:ascii="宋体" w:hAnsi="宋体"/>
        </w:rPr>
        <w:t>测量范围：0～</w:t>
      </w:r>
      <w:r>
        <w:rPr>
          <w:rFonts w:ascii="宋体" w:hAnsi="宋体"/>
        </w:rPr>
        <w:t>50</w:t>
      </w:r>
      <w:r>
        <w:rPr>
          <w:rFonts w:hint="eastAsia" w:ascii="宋体" w:hAnsi="宋体"/>
        </w:rPr>
        <w:t>0mg/L</w:t>
      </w:r>
    </w:p>
    <w:p>
      <w:pPr>
        <w:pStyle w:val="1193"/>
        <w:numPr>
          <w:ilvl w:val="0"/>
          <w:numId w:val="151"/>
        </w:numPr>
        <w:adjustRightInd w:val="0"/>
        <w:snapToGrid w:val="0"/>
        <w:spacing w:before="203" w:beforeLines="50" w:after="203" w:afterLines="50"/>
        <w:ind w:firstLineChars="0"/>
        <w:rPr>
          <w:rFonts w:ascii="宋体" w:hAnsi="宋体"/>
        </w:rPr>
      </w:pPr>
      <w:r>
        <w:rPr>
          <w:rFonts w:hint="eastAsia" w:ascii="宋体" w:hAnsi="宋体"/>
        </w:rPr>
        <w:t>测量周期：1小时，1～6 小时可任意认定</w:t>
      </w:r>
    </w:p>
    <w:p>
      <w:pPr>
        <w:pStyle w:val="1193"/>
        <w:numPr>
          <w:ilvl w:val="0"/>
          <w:numId w:val="151"/>
        </w:numPr>
        <w:adjustRightInd w:val="0"/>
        <w:snapToGrid w:val="0"/>
        <w:spacing w:before="203" w:beforeLines="50" w:after="203" w:afterLines="50"/>
        <w:ind w:firstLineChars="0"/>
        <w:rPr>
          <w:rFonts w:ascii="宋体" w:hAnsi="宋体"/>
        </w:rPr>
      </w:pPr>
      <w:r>
        <w:rPr>
          <w:rFonts w:hint="eastAsia" w:ascii="宋体" w:hAnsi="宋体"/>
        </w:rPr>
        <w:t>显示：LCD 液晶显示</w:t>
      </w:r>
    </w:p>
    <w:p>
      <w:pPr>
        <w:pStyle w:val="1193"/>
        <w:numPr>
          <w:ilvl w:val="0"/>
          <w:numId w:val="151"/>
        </w:numPr>
        <w:adjustRightInd w:val="0"/>
        <w:snapToGrid w:val="0"/>
        <w:spacing w:before="203" w:beforeLines="50" w:after="203" w:afterLines="50"/>
        <w:ind w:firstLineChars="0"/>
        <w:rPr>
          <w:rFonts w:ascii="宋体" w:hAnsi="宋体"/>
        </w:rPr>
      </w:pPr>
      <w:r>
        <w:rPr>
          <w:rFonts w:hint="eastAsia" w:ascii="宋体" w:hAnsi="宋体"/>
        </w:rPr>
        <w:t>重现性：0～20mg/L 时，± 1% FS；20～200mg/L 时，± 2% FS；200mg/L 以上时，± 5% FS</w:t>
      </w:r>
    </w:p>
    <w:p>
      <w:pPr>
        <w:pStyle w:val="1193"/>
        <w:numPr>
          <w:ilvl w:val="0"/>
          <w:numId w:val="151"/>
        </w:numPr>
        <w:adjustRightInd w:val="0"/>
        <w:snapToGrid w:val="0"/>
        <w:spacing w:before="203" w:beforeLines="50" w:after="203" w:afterLines="50"/>
        <w:ind w:firstLineChars="0"/>
        <w:rPr>
          <w:rFonts w:ascii="宋体" w:hAnsi="宋体"/>
        </w:rPr>
      </w:pPr>
      <w:r>
        <w:rPr>
          <w:rFonts w:hint="eastAsia" w:ascii="宋体" w:hAnsi="宋体"/>
        </w:rPr>
        <w:t>稳定性：</w:t>
      </w:r>
    </w:p>
    <w:p>
      <w:pPr>
        <w:pStyle w:val="1156"/>
        <w:numPr>
          <w:ilvl w:val="0"/>
          <w:numId w:val="152"/>
        </w:numPr>
        <w:spacing w:line="240" w:lineRule="auto"/>
        <w:ind w:firstLineChars="0"/>
        <w:rPr>
          <w:rFonts w:ascii="宋体" w:hAnsi="宋体"/>
        </w:rPr>
      </w:pPr>
      <w:r>
        <w:rPr>
          <w:rFonts w:hint="eastAsia" w:ascii="宋体" w:hAnsi="宋体"/>
        </w:rPr>
        <w:t>零点漂移：± 3% FS</w:t>
      </w:r>
    </w:p>
    <w:p>
      <w:pPr>
        <w:pStyle w:val="1156"/>
        <w:numPr>
          <w:ilvl w:val="0"/>
          <w:numId w:val="152"/>
        </w:numPr>
        <w:spacing w:line="240" w:lineRule="auto"/>
        <w:ind w:firstLineChars="0"/>
        <w:rPr>
          <w:rFonts w:ascii="宋体" w:hAnsi="宋体"/>
        </w:rPr>
      </w:pPr>
      <w:r>
        <w:rPr>
          <w:rFonts w:hint="eastAsia" w:ascii="宋体" w:hAnsi="宋体"/>
        </w:rPr>
        <w:t>量程漂移：0 ～ 20mg/L 时，± 3% FS；20～200mg/L 时，± 4% FS；200mg/L 以上时，± 5% FS</w:t>
      </w:r>
    </w:p>
    <w:p>
      <w:pPr>
        <w:pStyle w:val="1193"/>
        <w:numPr>
          <w:ilvl w:val="0"/>
          <w:numId w:val="151"/>
        </w:numPr>
        <w:adjustRightInd w:val="0"/>
        <w:snapToGrid w:val="0"/>
        <w:spacing w:before="203" w:beforeLines="50" w:after="203" w:afterLines="50"/>
        <w:ind w:firstLineChars="0"/>
        <w:rPr>
          <w:rFonts w:ascii="宋体" w:hAnsi="宋体"/>
        </w:rPr>
      </w:pPr>
      <w:r>
        <w:rPr>
          <w:rFonts w:hint="eastAsia" w:ascii="宋体" w:hAnsi="宋体"/>
        </w:rPr>
        <w:t>模拟输出：4～20mA，最大负载600Ω</w:t>
      </w:r>
    </w:p>
    <w:p>
      <w:pPr>
        <w:pStyle w:val="1193"/>
        <w:numPr>
          <w:ilvl w:val="0"/>
          <w:numId w:val="151"/>
        </w:numPr>
        <w:adjustRightInd w:val="0"/>
        <w:snapToGrid w:val="0"/>
        <w:spacing w:before="203" w:beforeLines="50" w:after="203" w:afterLines="50"/>
        <w:ind w:firstLineChars="0"/>
        <w:rPr>
          <w:rFonts w:ascii="宋体" w:hAnsi="宋体"/>
        </w:rPr>
      </w:pPr>
      <w:r>
        <w:rPr>
          <w:rFonts w:hint="eastAsia" w:ascii="宋体" w:hAnsi="宋体"/>
        </w:rPr>
        <w:t>数据通讯：RS485 串行端口</w:t>
      </w:r>
    </w:p>
    <w:p>
      <w:pPr>
        <w:adjustRightInd w:val="0"/>
        <w:snapToGrid w:val="0"/>
        <w:spacing w:before="203" w:beforeLines="50" w:after="203" w:afterLines="50"/>
        <w:rPr>
          <w:rFonts w:ascii="宋体" w:hAnsi="宋体"/>
          <w:b/>
          <w:bCs/>
        </w:rPr>
      </w:pPr>
      <w:r>
        <w:rPr>
          <w:rFonts w:ascii="宋体" w:hAnsi="宋体"/>
          <w:b/>
          <w:bCs/>
        </w:rPr>
        <w:t>8、</w:t>
      </w:r>
      <w:r>
        <w:rPr>
          <w:rFonts w:hint="eastAsia" w:ascii="宋体" w:hAnsi="宋体"/>
          <w:b/>
          <w:bCs/>
        </w:rPr>
        <w:t>进水生物毒性预警系统</w:t>
      </w:r>
    </w:p>
    <w:p>
      <w:pPr>
        <w:adjustRightInd w:val="0"/>
        <w:snapToGrid w:val="0"/>
        <w:spacing w:before="203" w:beforeLines="50" w:after="203" w:afterLines="50"/>
        <w:ind w:firstLine="500" w:firstLineChars="200"/>
        <w:rPr>
          <w:rFonts w:ascii="宋体" w:hAnsi="宋体"/>
          <w:kern w:val="0"/>
          <w:lang w:val="en-GB"/>
        </w:rPr>
      </w:pPr>
      <w:r>
        <w:rPr>
          <w:rFonts w:hint="eastAsia" w:ascii="宋体" w:hAnsi="宋体"/>
          <w:kern w:val="0"/>
          <w:lang w:val="en-GB"/>
        </w:rPr>
        <w:t>用途：用于测量水中重金属、杀虫剂、灭菌剂、除草剂、工业化学品等</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测量方法：发光细菌法，双通道对照检测</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检 测 器：光电倍增管</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测量范围：0～ 10000</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重 复 性：3%</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分 辨 率：1%</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响应时间：10min</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响应范围：大于5000种有毒物质</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测量时间：10-50min，可设置</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测量间隔：连续或者任意选择，可设置</w:t>
      </w:r>
    </w:p>
    <w:p>
      <w:pPr>
        <w:pStyle w:val="1193"/>
        <w:numPr>
          <w:ilvl w:val="0"/>
          <w:numId w:val="153"/>
        </w:numPr>
        <w:adjustRightInd w:val="0"/>
        <w:snapToGrid w:val="0"/>
        <w:spacing w:before="203" w:beforeLines="50" w:after="203" w:afterLines="50"/>
        <w:ind w:firstLineChars="0"/>
        <w:rPr>
          <w:rFonts w:ascii="宋体" w:hAnsi="宋体"/>
        </w:rPr>
      </w:pPr>
      <w:r>
        <w:rPr>
          <w:rFonts w:hint="eastAsia" w:ascii="宋体" w:hAnsi="宋体"/>
        </w:rPr>
        <w:t>校准：定时自动校准</w:t>
      </w:r>
    </w:p>
    <w:p>
      <w:pPr>
        <w:adjustRightInd w:val="0"/>
        <w:snapToGrid w:val="0"/>
        <w:spacing w:before="203" w:beforeLines="50" w:after="203" w:afterLines="50"/>
        <w:rPr>
          <w:rFonts w:ascii="宋体" w:hAnsi="宋体"/>
          <w:b/>
          <w:bCs/>
        </w:rPr>
      </w:pPr>
      <w:r>
        <w:rPr>
          <w:rFonts w:ascii="宋体" w:hAnsi="宋体"/>
          <w:b/>
          <w:bCs/>
        </w:rPr>
        <w:t>9、</w:t>
      </w:r>
      <w:r>
        <w:rPr>
          <w:rFonts w:hint="eastAsia" w:ascii="宋体" w:hAnsi="宋体"/>
          <w:b/>
          <w:bCs/>
        </w:rPr>
        <w:t>进水</w:t>
      </w:r>
      <w:r>
        <w:rPr>
          <w:rFonts w:ascii="宋体" w:hAnsi="宋体"/>
          <w:b/>
          <w:bCs/>
        </w:rPr>
        <w:t>ORP检测仪</w:t>
      </w:r>
    </w:p>
    <w:p>
      <w:pPr>
        <w:adjustRightInd w:val="0"/>
        <w:snapToGrid w:val="0"/>
        <w:spacing w:before="203" w:beforeLines="50" w:after="203" w:afterLines="50"/>
        <w:ind w:firstLine="500" w:firstLineChars="200"/>
        <w:rPr>
          <w:rFonts w:ascii="宋体" w:hAnsi="宋体"/>
          <w:kern w:val="0"/>
          <w:lang w:val="en-GB"/>
        </w:rPr>
      </w:pPr>
      <w:r>
        <w:rPr>
          <w:rFonts w:hint="eastAsia" w:ascii="宋体" w:hAnsi="宋体"/>
          <w:kern w:val="0"/>
          <w:lang w:val="en-GB"/>
        </w:rPr>
        <w:t>用途：用于测量氧化还原电位值及温度</w:t>
      </w:r>
    </w:p>
    <w:p>
      <w:pPr>
        <w:pStyle w:val="1193"/>
        <w:numPr>
          <w:ilvl w:val="0"/>
          <w:numId w:val="154"/>
        </w:numPr>
        <w:adjustRightInd w:val="0"/>
        <w:snapToGrid w:val="0"/>
        <w:spacing w:before="203" w:beforeLines="50" w:after="203" w:afterLines="50"/>
        <w:ind w:firstLineChars="0"/>
        <w:rPr>
          <w:rFonts w:ascii="宋体" w:hAnsi="宋体"/>
        </w:rPr>
      </w:pPr>
      <w:r>
        <w:rPr>
          <w:rFonts w:hint="eastAsia" w:ascii="宋体" w:hAnsi="宋体"/>
        </w:rPr>
        <w:t>测量形式：插入式</w:t>
      </w:r>
    </w:p>
    <w:p>
      <w:pPr>
        <w:pStyle w:val="1193"/>
        <w:numPr>
          <w:ilvl w:val="0"/>
          <w:numId w:val="154"/>
        </w:numPr>
        <w:adjustRightInd w:val="0"/>
        <w:snapToGrid w:val="0"/>
        <w:spacing w:before="203" w:beforeLines="50" w:after="203" w:afterLines="50"/>
        <w:ind w:firstLineChars="0"/>
        <w:rPr>
          <w:rFonts w:ascii="宋体" w:hAnsi="宋体"/>
        </w:rPr>
      </w:pPr>
      <w:r>
        <w:rPr>
          <w:rFonts w:hint="eastAsia" w:ascii="宋体" w:hAnsi="宋体"/>
        </w:rPr>
        <w:t>测量范围：</w:t>
      </w:r>
      <w:r>
        <w:rPr>
          <w:rFonts w:ascii="宋体" w:hAnsi="宋体"/>
        </w:rPr>
        <w:t>-2000～+2000 mV</w:t>
      </w:r>
    </w:p>
    <w:p>
      <w:pPr>
        <w:pStyle w:val="1193"/>
        <w:numPr>
          <w:ilvl w:val="0"/>
          <w:numId w:val="154"/>
        </w:numPr>
        <w:adjustRightInd w:val="0"/>
        <w:snapToGrid w:val="0"/>
        <w:spacing w:before="203" w:beforeLines="50" w:after="203" w:afterLines="50"/>
        <w:ind w:firstLineChars="0"/>
        <w:rPr>
          <w:rFonts w:ascii="宋体" w:hAnsi="宋体"/>
        </w:rPr>
      </w:pPr>
      <w:r>
        <w:rPr>
          <w:rFonts w:hint="eastAsia" w:ascii="宋体" w:hAnsi="宋体"/>
        </w:rPr>
        <w:t>温度范围：</w:t>
      </w:r>
      <w:r>
        <w:rPr>
          <w:rFonts w:ascii="宋体" w:hAnsi="宋体"/>
        </w:rPr>
        <w:t>0～105℃</w:t>
      </w:r>
    </w:p>
    <w:p>
      <w:pPr>
        <w:pStyle w:val="1193"/>
        <w:numPr>
          <w:ilvl w:val="0"/>
          <w:numId w:val="154"/>
        </w:numPr>
        <w:adjustRightInd w:val="0"/>
        <w:snapToGrid w:val="0"/>
        <w:spacing w:before="203" w:beforeLines="50" w:after="203" w:afterLines="50"/>
        <w:ind w:firstLineChars="0"/>
        <w:rPr>
          <w:rFonts w:ascii="宋体" w:hAnsi="宋体"/>
        </w:rPr>
      </w:pPr>
      <w:r>
        <w:rPr>
          <w:rFonts w:hint="eastAsia" w:ascii="宋体" w:hAnsi="宋体"/>
        </w:rPr>
        <w:t>精度：±</w:t>
      </w:r>
      <w:r>
        <w:rPr>
          <w:rFonts w:ascii="宋体" w:hAnsi="宋体"/>
        </w:rPr>
        <w:t>20mV</w:t>
      </w:r>
    </w:p>
    <w:p>
      <w:pPr>
        <w:pStyle w:val="1193"/>
        <w:numPr>
          <w:ilvl w:val="0"/>
          <w:numId w:val="154"/>
        </w:numPr>
        <w:adjustRightInd w:val="0"/>
        <w:snapToGrid w:val="0"/>
        <w:spacing w:before="203" w:beforeLines="50" w:after="203" w:afterLines="50"/>
        <w:ind w:firstLineChars="0"/>
        <w:rPr>
          <w:rFonts w:ascii="宋体" w:hAnsi="宋体"/>
        </w:rPr>
      </w:pPr>
      <w:r>
        <w:rPr>
          <w:rFonts w:hint="eastAsia" w:ascii="宋体" w:hAnsi="宋体"/>
        </w:rPr>
        <w:t>温度补偿：自动</w:t>
      </w:r>
    </w:p>
    <w:p>
      <w:pPr>
        <w:adjustRightInd w:val="0"/>
        <w:snapToGrid w:val="0"/>
        <w:spacing w:before="203" w:beforeLines="50" w:after="203" w:afterLines="50"/>
        <w:rPr>
          <w:rFonts w:ascii="宋体" w:hAnsi="宋体"/>
          <w:b/>
          <w:bCs/>
        </w:rPr>
      </w:pPr>
      <w:r>
        <w:rPr>
          <w:rFonts w:ascii="宋体" w:hAnsi="宋体"/>
          <w:b/>
          <w:bCs/>
        </w:rPr>
        <w:t>10、</w:t>
      </w:r>
      <w:r>
        <w:rPr>
          <w:rFonts w:hint="eastAsia" w:ascii="宋体" w:hAnsi="宋体"/>
          <w:b/>
          <w:bCs/>
        </w:rPr>
        <w:t>硫化氢检测仪</w:t>
      </w:r>
    </w:p>
    <w:p>
      <w:pPr>
        <w:adjustRightInd w:val="0"/>
        <w:snapToGrid w:val="0"/>
        <w:spacing w:before="203" w:beforeLines="50" w:after="203" w:afterLines="50"/>
        <w:ind w:firstLine="500" w:firstLineChars="200"/>
        <w:rPr>
          <w:rFonts w:ascii="宋体" w:hAnsi="宋体"/>
          <w:kern w:val="0"/>
          <w:lang w:val="en-GB"/>
        </w:rPr>
      </w:pPr>
      <w:r>
        <w:rPr>
          <w:rFonts w:hint="eastAsia" w:ascii="宋体" w:hAnsi="宋体"/>
          <w:kern w:val="0"/>
          <w:lang w:val="en-GB"/>
        </w:rPr>
        <w:t>用途：用于测量硫化物</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cs="宋体"/>
          <w:color w:val="333333"/>
          <w:kern w:val="0"/>
        </w:rPr>
      </w:pPr>
      <w:r>
        <w:rPr>
          <w:rFonts w:hint="eastAsia" w:ascii="宋体" w:hAnsi="宋体"/>
        </w:rPr>
        <w:t>分辨率：</w:t>
      </w:r>
      <w:r>
        <w:rPr>
          <w:rFonts w:hint="eastAsia" w:ascii="宋体" w:hAnsi="宋体" w:cs="宋体"/>
          <w:color w:val="333333"/>
          <w:kern w:val="0"/>
        </w:rPr>
        <w:t>0~Nμmol/mol，</w:t>
      </w:r>
      <w:r>
        <w:rPr>
          <w:rFonts w:ascii="宋体" w:hAnsi="宋体" w:cs="宋体"/>
          <w:color w:val="333333"/>
          <w:kern w:val="0"/>
        </w:rPr>
        <w:t>0~N%vol</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检测方式：扩散式</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响应时间：≤</w:t>
      </w:r>
      <w:r>
        <w:rPr>
          <w:rFonts w:ascii="宋体" w:hAnsi="宋体"/>
        </w:rPr>
        <w:t>30S</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报警方式：报警灯</w:t>
      </w:r>
      <w:r>
        <w:rPr>
          <w:rFonts w:ascii="宋体" w:hAnsi="宋体"/>
        </w:rPr>
        <w:t>+</w:t>
      </w:r>
      <w:r>
        <w:rPr>
          <w:rFonts w:hint="eastAsia" w:ascii="宋体" w:hAnsi="宋体"/>
        </w:rPr>
        <w:t>声音</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防护等级：</w:t>
      </w:r>
      <w:r>
        <w:rPr>
          <w:rFonts w:ascii="宋体" w:hAnsi="宋体"/>
        </w:rPr>
        <w:t>IP66</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安装方式：壁挂式、支架式、抱管式</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信号输出：</w:t>
      </w:r>
      <w:r>
        <w:rPr>
          <w:rFonts w:ascii="宋体" w:hAnsi="宋体"/>
        </w:rPr>
        <w:t xml:space="preserve"> 4-20mA</w:t>
      </w:r>
      <w:r>
        <w:rPr>
          <w:rFonts w:hint="eastAsia" w:ascii="宋体" w:hAnsi="宋体"/>
        </w:rPr>
        <w:t>信号；</w:t>
      </w:r>
      <w:r>
        <w:rPr>
          <w:rFonts w:ascii="宋体" w:hAnsi="宋体"/>
        </w:rPr>
        <w:t>RS485</w:t>
      </w:r>
      <w:r>
        <w:rPr>
          <w:rFonts w:hint="eastAsia" w:ascii="宋体" w:hAnsi="宋体"/>
        </w:rPr>
        <w:t>信号；开关量信号；</w:t>
      </w:r>
      <w:r>
        <w:rPr>
          <w:rFonts w:ascii="宋体" w:hAnsi="宋体"/>
        </w:rPr>
        <w:t>Powerbus</w:t>
      </w:r>
      <w:r>
        <w:rPr>
          <w:rFonts w:hint="eastAsia" w:ascii="宋体" w:hAnsi="宋体"/>
        </w:rPr>
        <w:t>接口</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接收设备：电脑、控制报警器、</w:t>
      </w:r>
      <w:r>
        <w:rPr>
          <w:rFonts w:ascii="宋体" w:hAnsi="宋体"/>
        </w:rPr>
        <w:t>PLC</w:t>
      </w:r>
      <w:r>
        <w:rPr>
          <w:rFonts w:hint="eastAsia" w:ascii="宋体" w:hAnsi="宋体"/>
        </w:rPr>
        <w:t>、</w:t>
      </w:r>
      <w:r>
        <w:rPr>
          <w:rFonts w:ascii="宋体" w:hAnsi="宋体"/>
        </w:rPr>
        <w:t>DCS</w:t>
      </w:r>
      <w:r>
        <w:rPr>
          <w:rFonts w:hint="eastAsia" w:ascii="宋体" w:hAnsi="宋体"/>
        </w:rPr>
        <w:t>、手机、平板电脑等可选</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报警方式：现场声光报警、外置报警器、远程控制器报警、电脑数据采集软件报警、手机</w:t>
      </w:r>
      <w:r>
        <w:rPr>
          <w:rFonts w:ascii="宋体" w:hAnsi="宋体"/>
        </w:rPr>
        <w:t>APP</w:t>
      </w:r>
      <w:r>
        <w:rPr>
          <w:rFonts w:hint="eastAsia" w:ascii="宋体" w:hAnsi="宋体"/>
        </w:rPr>
        <w:t>通知可选</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报警设置：可设定常规高低报警、区间控制两种报警模式，可控制气体的浓度区间范围</w:t>
      </w:r>
    </w:p>
    <w:p>
      <w:pPr>
        <w:pStyle w:val="1193"/>
        <w:widowControl/>
        <w:numPr>
          <w:ilvl w:val="0"/>
          <w:numId w:val="155"/>
        </w:numPr>
        <w:shd w:val="clear" w:color="auto" w:fill="FFFFFF"/>
        <w:adjustRightInd w:val="0"/>
        <w:snapToGrid w:val="0"/>
        <w:spacing w:before="203" w:beforeLines="50" w:after="203" w:afterLines="50"/>
        <w:ind w:firstLineChars="0"/>
        <w:jc w:val="left"/>
        <w:rPr>
          <w:rFonts w:ascii="宋体" w:hAnsi="宋体"/>
        </w:rPr>
      </w:pPr>
      <w:r>
        <w:rPr>
          <w:rFonts w:hint="eastAsia" w:ascii="宋体" w:hAnsi="宋体"/>
        </w:rPr>
        <w:t>壳体材料：防爆防腐蚀</w:t>
      </w:r>
    </w:p>
    <w:p>
      <w:pPr>
        <w:adjustRightInd w:val="0"/>
        <w:snapToGrid w:val="0"/>
        <w:spacing w:before="203" w:beforeLines="50" w:after="203" w:afterLines="50"/>
        <w:rPr>
          <w:rFonts w:ascii="宋体" w:hAnsi="宋体"/>
          <w:b/>
          <w:bCs/>
        </w:rPr>
      </w:pPr>
      <w:r>
        <w:rPr>
          <w:rFonts w:ascii="宋体" w:hAnsi="宋体"/>
          <w:b/>
          <w:bCs/>
        </w:rPr>
        <w:t>11、</w:t>
      </w:r>
      <w:r>
        <w:rPr>
          <w:rFonts w:hint="eastAsia" w:ascii="宋体" w:hAnsi="宋体"/>
          <w:b/>
          <w:bCs/>
        </w:rPr>
        <w:t>出水铝离子分析仪</w:t>
      </w:r>
    </w:p>
    <w:p>
      <w:pPr>
        <w:adjustRightInd w:val="0"/>
        <w:snapToGrid w:val="0"/>
        <w:spacing w:before="203" w:beforeLines="50" w:after="203" w:afterLines="50"/>
        <w:ind w:firstLine="500" w:firstLineChars="200"/>
        <w:rPr>
          <w:rFonts w:ascii="宋体" w:hAnsi="宋体"/>
          <w:kern w:val="0"/>
          <w:lang w:val="en-GB"/>
        </w:rPr>
      </w:pPr>
      <w:r>
        <w:rPr>
          <w:rFonts w:hint="eastAsia" w:ascii="宋体" w:hAnsi="宋体"/>
          <w:kern w:val="0"/>
          <w:lang w:val="en-GB"/>
        </w:rPr>
        <w:t>用途：用于测量水中铝离子的浓度</w:t>
      </w:r>
    </w:p>
    <w:p>
      <w:pPr>
        <w:pStyle w:val="1193"/>
        <w:numPr>
          <w:ilvl w:val="0"/>
          <w:numId w:val="156"/>
        </w:numPr>
        <w:adjustRightInd w:val="0"/>
        <w:snapToGrid w:val="0"/>
        <w:spacing w:before="203" w:beforeLines="50" w:after="203" w:afterLines="50"/>
        <w:ind w:firstLineChars="0"/>
        <w:rPr>
          <w:rFonts w:ascii="宋体" w:hAnsi="宋体"/>
        </w:rPr>
      </w:pPr>
      <w:r>
        <w:rPr>
          <w:rFonts w:hint="eastAsia" w:ascii="宋体" w:hAnsi="宋体"/>
        </w:rPr>
        <w:t>检测浓度范围：0.04-2 mg/L</w:t>
      </w:r>
    </w:p>
    <w:p>
      <w:pPr>
        <w:pStyle w:val="1193"/>
        <w:numPr>
          <w:ilvl w:val="0"/>
          <w:numId w:val="156"/>
        </w:numPr>
        <w:adjustRightInd w:val="0"/>
        <w:snapToGrid w:val="0"/>
        <w:spacing w:before="203" w:beforeLines="50" w:after="203" w:afterLines="50"/>
        <w:ind w:firstLineChars="0"/>
        <w:rPr>
          <w:rFonts w:ascii="宋体" w:hAnsi="宋体"/>
        </w:rPr>
      </w:pPr>
      <w:r>
        <w:rPr>
          <w:rFonts w:hint="eastAsia" w:ascii="宋体" w:hAnsi="宋体"/>
        </w:rPr>
        <w:t>每小时检测数量：1-4</w:t>
      </w:r>
    </w:p>
    <w:p>
      <w:pPr>
        <w:pStyle w:val="1193"/>
        <w:numPr>
          <w:ilvl w:val="0"/>
          <w:numId w:val="156"/>
        </w:numPr>
        <w:adjustRightInd w:val="0"/>
        <w:snapToGrid w:val="0"/>
        <w:spacing w:before="203" w:beforeLines="50" w:after="203" w:afterLines="50"/>
        <w:ind w:firstLineChars="0"/>
        <w:rPr>
          <w:rFonts w:ascii="宋体" w:hAnsi="宋体"/>
        </w:rPr>
      </w:pPr>
      <w:r>
        <w:rPr>
          <w:rFonts w:hint="eastAsia" w:ascii="宋体" w:hAnsi="宋体"/>
        </w:rPr>
        <w:t>输出端口：4-20 mA</w:t>
      </w:r>
    </w:p>
    <w:p>
      <w:pPr>
        <w:pStyle w:val="1193"/>
        <w:numPr>
          <w:ilvl w:val="0"/>
          <w:numId w:val="156"/>
        </w:numPr>
        <w:adjustRightInd w:val="0"/>
        <w:snapToGrid w:val="0"/>
        <w:spacing w:before="203" w:beforeLines="50" w:after="203" w:afterLines="50"/>
        <w:ind w:firstLineChars="0"/>
        <w:rPr>
          <w:rFonts w:ascii="宋体" w:hAnsi="宋体"/>
        </w:rPr>
      </w:pPr>
      <w:r>
        <w:rPr>
          <w:rFonts w:hint="eastAsia" w:ascii="宋体" w:hAnsi="宋体"/>
        </w:rPr>
        <w:t>环境温度：+ 5 到 + 50 ° C</w:t>
      </w:r>
    </w:p>
    <w:p>
      <w:pPr>
        <w:adjustRightInd w:val="0"/>
        <w:snapToGrid w:val="0"/>
        <w:spacing w:before="203" w:beforeLines="50" w:after="203" w:afterLines="50"/>
        <w:rPr>
          <w:rFonts w:ascii="宋体" w:hAnsi="宋体"/>
          <w:b/>
          <w:bCs/>
        </w:rPr>
      </w:pPr>
      <w:r>
        <w:rPr>
          <w:rFonts w:ascii="宋体" w:hAnsi="宋体"/>
          <w:b/>
          <w:bCs/>
        </w:rPr>
        <w:t>12</w:t>
      </w:r>
      <w:r>
        <w:rPr>
          <w:rFonts w:hint="eastAsia" w:ascii="宋体" w:hAnsi="宋体"/>
          <w:b/>
          <w:bCs/>
        </w:rPr>
        <w:t>、余氯检测仪</w:t>
      </w:r>
    </w:p>
    <w:p>
      <w:pPr>
        <w:adjustRightInd w:val="0"/>
        <w:snapToGrid w:val="0"/>
        <w:spacing w:before="203" w:beforeLines="50" w:after="203" w:afterLines="50"/>
        <w:ind w:firstLine="500" w:firstLineChars="200"/>
        <w:rPr>
          <w:rFonts w:ascii="宋体" w:hAnsi="宋体"/>
          <w:kern w:val="0"/>
          <w:lang w:val="en-GB"/>
        </w:rPr>
      </w:pPr>
      <w:r>
        <w:rPr>
          <w:rFonts w:ascii="宋体" w:hAnsi="宋体"/>
          <w:kern w:val="0"/>
          <w:lang w:val="en-GB"/>
        </w:rPr>
        <w:t>用途：用于</w:t>
      </w:r>
      <w:r>
        <w:rPr>
          <w:rFonts w:hint="eastAsia" w:ascii="宋体" w:hAnsi="宋体"/>
          <w:kern w:val="0"/>
          <w:lang w:val="en-GB"/>
        </w:rPr>
        <w:t>检测水中余氯浓度</w:t>
      </w:r>
      <w:r>
        <w:rPr>
          <w:rFonts w:ascii="宋体" w:hAnsi="宋体"/>
          <w:kern w:val="0"/>
          <w:lang w:val="en-GB"/>
        </w:rPr>
        <w:t>。</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ascii="宋体" w:hAnsi="宋体"/>
          <w:sz w:val="22"/>
        </w:rPr>
        <w:t>测量原理：DPD</w:t>
      </w:r>
      <w:r>
        <w:rPr>
          <w:rFonts w:hint="eastAsia" w:ascii="宋体" w:hAnsi="宋体"/>
          <w:sz w:val="22"/>
        </w:rPr>
        <w:t>比色法，可准确测量余氯或总氯含量</w:t>
      </w:r>
      <w:r>
        <w:rPr>
          <w:rFonts w:ascii="宋体" w:hAnsi="宋体"/>
          <w:sz w:val="22"/>
        </w:rPr>
        <w:t>；</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光源：</w:t>
      </w:r>
      <w:r>
        <w:rPr>
          <w:rFonts w:ascii="宋体" w:hAnsi="宋体"/>
          <w:sz w:val="22"/>
        </w:rPr>
        <w:t>LED</w:t>
      </w:r>
      <w:r>
        <w:rPr>
          <w:rFonts w:hint="eastAsia" w:ascii="宋体" w:hAnsi="宋体"/>
          <w:sz w:val="22"/>
        </w:rPr>
        <w:t>，在</w:t>
      </w:r>
      <w:r>
        <w:rPr>
          <w:rFonts w:ascii="宋体" w:hAnsi="宋体"/>
          <w:sz w:val="22"/>
        </w:rPr>
        <w:t>510nm</w:t>
      </w:r>
      <w:r>
        <w:rPr>
          <w:rFonts w:hint="eastAsia" w:ascii="宋体" w:hAnsi="宋体"/>
          <w:sz w:val="22"/>
        </w:rPr>
        <w:t>时测量，光程长为</w:t>
      </w:r>
      <w:r>
        <w:rPr>
          <w:rFonts w:ascii="宋体" w:hAnsi="宋体"/>
          <w:sz w:val="22"/>
        </w:rPr>
        <w:t>1cm</w:t>
      </w:r>
      <w:r>
        <w:rPr>
          <w:rFonts w:hint="eastAsia" w:ascii="宋体" w:hAnsi="宋体"/>
          <w:sz w:val="22"/>
        </w:rPr>
        <w:t>；</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利用内置曲线校正</w:t>
      </w:r>
      <w:r>
        <w:rPr>
          <w:rFonts w:ascii="宋体" w:hAnsi="宋体"/>
          <w:sz w:val="22"/>
        </w:rPr>
        <w:t>；</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测量范围</w:t>
      </w:r>
      <w:r>
        <w:rPr>
          <w:rFonts w:ascii="宋体" w:hAnsi="宋体"/>
          <w:sz w:val="22"/>
        </w:rPr>
        <w:t>：0～10 mg/L</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准确度</w:t>
      </w:r>
      <w:r>
        <w:rPr>
          <w:rFonts w:ascii="宋体" w:hAnsi="宋体"/>
          <w:sz w:val="22"/>
        </w:rPr>
        <w:t xml:space="preserve">：±5%读数或 ±0.04mg/L </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检测极限</w:t>
      </w:r>
      <w:r>
        <w:rPr>
          <w:rFonts w:ascii="宋体" w:hAnsi="宋体"/>
          <w:sz w:val="22"/>
        </w:rPr>
        <w:t xml:space="preserve">：0.03 mg/L </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测量周期：2</w:t>
      </w:r>
      <w:r>
        <w:rPr>
          <w:rFonts w:ascii="宋体" w:hAnsi="宋体"/>
          <w:sz w:val="22"/>
        </w:rPr>
        <w:t>.5</w:t>
      </w:r>
      <w:r>
        <w:rPr>
          <w:rFonts w:hint="eastAsia" w:ascii="宋体" w:hAnsi="宋体"/>
          <w:sz w:val="22"/>
        </w:rPr>
        <w:t>分钟</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ascii="宋体" w:hAnsi="宋体"/>
          <w:sz w:val="22"/>
        </w:rPr>
        <w:t>显示： LCD，带LED背景灯照明，半透明反射式；在任意光线下可读</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ascii="宋体" w:hAnsi="宋体"/>
          <w:sz w:val="22"/>
        </w:rPr>
        <w:t>输出：两路模拟的0/4-20mA输出信号</w:t>
      </w:r>
    </w:p>
    <w:p>
      <w:pPr>
        <w:pStyle w:val="1156"/>
        <w:numPr>
          <w:ilvl w:val="0"/>
          <w:numId w:val="157"/>
        </w:numPr>
        <w:adjustRightInd w:val="0"/>
        <w:snapToGrid w:val="0"/>
        <w:spacing w:before="203" w:beforeLines="50" w:after="203" w:afterLines="50" w:line="240" w:lineRule="auto"/>
        <w:ind w:firstLineChars="0"/>
        <w:rPr>
          <w:rFonts w:ascii="宋体" w:hAnsi="宋体"/>
          <w:sz w:val="22"/>
        </w:rPr>
      </w:pPr>
      <w:r>
        <w:rPr>
          <w:rFonts w:ascii="宋体" w:hAnsi="宋体"/>
          <w:sz w:val="22"/>
        </w:rPr>
        <w:t>工作环境：-20</w:t>
      </w:r>
      <w:r>
        <w:rPr>
          <w:rFonts w:hint="eastAsia" w:ascii="宋体" w:hAnsi="宋体"/>
          <w:sz w:val="22"/>
        </w:rPr>
        <w:t>～</w:t>
      </w:r>
      <w:r>
        <w:rPr>
          <w:rFonts w:ascii="宋体" w:hAnsi="宋体"/>
          <w:sz w:val="22"/>
        </w:rPr>
        <w:t xml:space="preserve">60℃，0～95％相对湿度、无冷凝； </w:t>
      </w:r>
    </w:p>
    <w:p>
      <w:pPr>
        <w:adjustRightInd w:val="0"/>
        <w:snapToGrid w:val="0"/>
        <w:spacing w:before="203" w:beforeLines="50" w:after="203" w:afterLines="50"/>
        <w:rPr>
          <w:rFonts w:ascii="宋体" w:hAnsi="宋体"/>
          <w:b/>
          <w:bCs/>
        </w:rPr>
      </w:pPr>
      <w:r>
        <w:rPr>
          <w:rFonts w:ascii="宋体" w:hAnsi="宋体"/>
          <w:b/>
          <w:bCs/>
        </w:rPr>
        <w:t>13</w:t>
      </w:r>
      <w:r>
        <w:rPr>
          <w:rFonts w:hint="eastAsia" w:ascii="宋体" w:hAnsi="宋体"/>
          <w:b/>
          <w:bCs/>
        </w:rPr>
        <w:t>、浊度仪</w:t>
      </w:r>
    </w:p>
    <w:p>
      <w:pPr>
        <w:adjustRightInd w:val="0"/>
        <w:snapToGrid w:val="0"/>
        <w:spacing w:before="203" w:beforeLines="50" w:after="203" w:afterLines="50"/>
        <w:ind w:firstLine="500" w:firstLineChars="200"/>
        <w:rPr>
          <w:rFonts w:ascii="宋体" w:hAnsi="宋体"/>
          <w:kern w:val="0"/>
          <w:lang w:val="en-GB"/>
        </w:rPr>
      </w:pPr>
      <w:r>
        <w:rPr>
          <w:rFonts w:hint="eastAsia" w:ascii="宋体" w:hAnsi="宋体"/>
          <w:kern w:val="0"/>
          <w:lang w:val="en-GB"/>
        </w:rPr>
        <w:t>用途：用于水的浊度测量。</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测量原理：90°散射光，内置气泡去除系统</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量程：0.0</w:t>
      </w:r>
      <w:r>
        <w:rPr>
          <w:rFonts w:hint="eastAsia" w:ascii="宋体" w:hAnsi="宋体"/>
          <w:sz w:val="22"/>
        </w:rPr>
        <w:t>00</w:t>
      </w:r>
      <w:r>
        <w:rPr>
          <w:rFonts w:ascii="宋体" w:hAnsi="宋体"/>
          <w:sz w:val="22"/>
        </w:rPr>
        <w:t>1～</w:t>
      </w:r>
      <w:r>
        <w:rPr>
          <w:rFonts w:hint="eastAsia" w:ascii="宋体" w:hAnsi="宋体"/>
          <w:sz w:val="22"/>
        </w:rPr>
        <w:t>9.9999；10.0～99.999</w:t>
      </w:r>
      <w:r>
        <w:rPr>
          <w:rFonts w:ascii="宋体" w:hAnsi="宋体"/>
          <w:sz w:val="22"/>
        </w:rPr>
        <w:t>NTU</w:t>
      </w:r>
      <w:r>
        <w:rPr>
          <w:rFonts w:hint="eastAsia" w:ascii="宋体" w:hAnsi="宋体"/>
          <w:sz w:val="22"/>
        </w:rPr>
        <w:t>，自动选择量程</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精度：0～40NTU：读数的±2%或±0.015 NTU，40～100NTU：读数的±5%</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分辨率：0～9.9999NTU：0.0001NTU，10.000～99.999NTU：0.001NTU</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重复性：优于读数的±1.0% 或±0.002NTU</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响应时间：</w:t>
      </w:r>
      <w:r>
        <w:rPr>
          <w:rFonts w:hint="eastAsia" w:ascii="宋体" w:hAnsi="宋体"/>
          <w:sz w:val="22"/>
        </w:rPr>
        <w:t>步进响应，初始响应时间1分</w:t>
      </w:r>
      <w:r>
        <w:rPr>
          <w:rFonts w:ascii="宋体" w:hAnsi="宋体"/>
          <w:sz w:val="22"/>
        </w:rPr>
        <w:t>15秒</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信号平均时间：6、30、60、90秒可选</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检出限：0.0032NTU控制器技术参数：</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显示： LCD，带LED背景灯照明，半透明反射式；在任意光线下可读</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输出：两路模拟的0/4-20mA输出信号</w:t>
      </w:r>
    </w:p>
    <w:p>
      <w:pPr>
        <w:pStyle w:val="1156"/>
        <w:numPr>
          <w:ilvl w:val="0"/>
          <w:numId w:val="158"/>
        </w:numPr>
        <w:adjustRightInd w:val="0"/>
        <w:snapToGrid w:val="0"/>
        <w:spacing w:before="203" w:beforeLines="50" w:after="203" w:afterLines="50" w:line="240" w:lineRule="auto"/>
        <w:ind w:firstLineChars="0"/>
        <w:rPr>
          <w:rFonts w:ascii="宋体" w:hAnsi="宋体"/>
          <w:sz w:val="22"/>
        </w:rPr>
      </w:pPr>
      <w:r>
        <w:rPr>
          <w:rFonts w:ascii="宋体" w:hAnsi="宋体"/>
          <w:sz w:val="22"/>
        </w:rPr>
        <w:t>工作环境：-20</w:t>
      </w:r>
      <w:r>
        <w:rPr>
          <w:rFonts w:hint="eastAsia" w:ascii="宋体" w:hAnsi="宋体"/>
          <w:sz w:val="22"/>
        </w:rPr>
        <w:t>～</w:t>
      </w:r>
      <w:r>
        <w:rPr>
          <w:rFonts w:ascii="宋体" w:hAnsi="宋体"/>
          <w:sz w:val="22"/>
        </w:rPr>
        <w:t>60℃，0～95％相对湿度、无冷凝</w:t>
      </w:r>
    </w:p>
    <w:p>
      <w:pPr>
        <w:adjustRightInd w:val="0"/>
        <w:snapToGrid w:val="0"/>
        <w:spacing w:before="203" w:beforeLines="50" w:after="203" w:afterLines="50"/>
        <w:rPr>
          <w:rFonts w:ascii="宋体" w:hAnsi="宋体"/>
          <w:b/>
          <w:bCs/>
        </w:rPr>
      </w:pPr>
      <w:r>
        <w:rPr>
          <w:rFonts w:ascii="宋体" w:hAnsi="宋体"/>
          <w:b/>
          <w:bCs/>
        </w:rPr>
        <w:t>14</w:t>
      </w:r>
      <w:r>
        <w:rPr>
          <w:rFonts w:hint="eastAsia" w:ascii="宋体" w:hAnsi="宋体"/>
          <w:b/>
          <w:bCs/>
        </w:rPr>
        <w:t>、污泥界面仪</w:t>
      </w:r>
    </w:p>
    <w:p>
      <w:pPr>
        <w:adjustRightInd w:val="0"/>
        <w:snapToGrid w:val="0"/>
        <w:spacing w:before="203" w:beforeLines="50" w:after="203" w:afterLines="50"/>
        <w:ind w:firstLine="500" w:firstLineChars="200"/>
        <w:rPr>
          <w:rFonts w:ascii="宋体" w:hAnsi="宋体"/>
          <w:kern w:val="0"/>
          <w:lang w:val="en-GB"/>
        </w:rPr>
      </w:pPr>
      <w:r>
        <w:rPr>
          <w:rFonts w:hint="eastAsia" w:ascii="宋体" w:hAnsi="宋体"/>
          <w:kern w:val="0"/>
          <w:lang w:val="en-GB"/>
        </w:rPr>
        <w:t>用途：用于污泥层的高度和厚度。</w:t>
      </w:r>
    </w:p>
    <w:p>
      <w:pPr>
        <w:pStyle w:val="1156"/>
        <w:numPr>
          <w:ilvl w:val="0"/>
          <w:numId w:val="159"/>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测量范围：0.2～12m</w:t>
      </w:r>
    </w:p>
    <w:p>
      <w:pPr>
        <w:pStyle w:val="1156"/>
        <w:numPr>
          <w:ilvl w:val="0"/>
          <w:numId w:val="159"/>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分辨率：&lt; 0.04m</w:t>
      </w:r>
    </w:p>
    <w:p>
      <w:pPr>
        <w:pStyle w:val="1156"/>
        <w:numPr>
          <w:ilvl w:val="0"/>
          <w:numId w:val="159"/>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精度：0.1m ± 0.05m</w:t>
      </w:r>
    </w:p>
    <w:p>
      <w:pPr>
        <w:pStyle w:val="1156"/>
        <w:numPr>
          <w:ilvl w:val="0"/>
          <w:numId w:val="159"/>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响应时间：10～600s（可调）</w:t>
      </w:r>
    </w:p>
    <w:p>
      <w:pPr>
        <w:pStyle w:val="1156"/>
        <w:numPr>
          <w:ilvl w:val="0"/>
          <w:numId w:val="159"/>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防护等级：IP68</w:t>
      </w:r>
    </w:p>
    <w:p>
      <w:pPr>
        <w:pStyle w:val="1156"/>
        <w:numPr>
          <w:ilvl w:val="0"/>
          <w:numId w:val="159"/>
        </w:numPr>
        <w:adjustRightInd w:val="0"/>
        <w:snapToGrid w:val="0"/>
        <w:spacing w:before="203" w:beforeLines="50" w:after="203" w:afterLines="50" w:line="240" w:lineRule="auto"/>
        <w:ind w:firstLineChars="0"/>
        <w:rPr>
          <w:rFonts w:ascii="宋体" w:hAnsi="宋体"/>
          <w:sz w:val="22"/>
        </w:rPr>
      </w:pPr>
      <w:r>
        <w:rPr>
          <w:rFonts w:ascii="宋体" w:hAnsi="宋体"/>
          <w:sz w:val="22"/>
        </w:rPr>
        <w:t>显示： LCD，带LED背景灯照明，半透明反射式；在任意光线下可读</w:t>
      </w:r>
    </w:p>
    <w:p>
      <w:pPr>
        <w:pStyle w:val="1156"/>
        <w:numPr>
          <w:ilvl w:val="0"/>
          <w:numId w:val="159"/>
        </w:numPr>
        <w:adjustRightInd w:val="0"/>
        <w:snapToGrid w:val="0"/>
        <w:spacing w:before="203" w:beforeLines="50" w:after="203" w:afterLines="50" w:line="240" w:lineRule="auto"/>
        <w:ind w:firstLineChars="0"/>
        <w:rPr>
          <w:rFonts w:ascii="宋体" w:hAnsi="宋体"/>
          <w:sz w:val="22"/>
        </w:rPr>
      </w:pPr>
      <w:r>
        <w:rPr>
          <w:rFonts w:ascii="宋体" w:hAnsi="宋体"/>
          <w:sz w:val="22"/>
        </w:rPr>
        <w:t>输出：两路模拟的0/4-20mA输出信号</w:t>
      </w:r>
    </w:p>
    <w:p>
      <w:pPr>
        <w:pStyle w:val="1156"/>
        <w:numPr>
          <w:ilvl w:val="0"/>
          <w:numId w:val="159"/>
        </w:numPr>
        <w:adjustRightInd w:val="0"/>
        <w:snapToGrid w:val="0"/>
        <w:spacing w:before="203" w:beforeLines="50" w:after="203" w:afterLines="50" w:line="240" w:lineRule="auto"/>
        <w:ind w:firstLineChars="0"/>
        <w:rPr>
          <w:rFonts w:ascii="宋体" w:hAnsi="宋体"/>
          <w:sz w:val="22"/>
        </w:rPr>
      </w:pPr>
      <w:r>
        <w:rPr>
          <w:rFonts w:ascii="宋体" w:hAnsi="宋体"/>
          <w:sz w:val="22"/>
        </w:rPr>
        <w:t>工作环境：-20</w:t>
      </w:r>
      <w:r>
        <w:rPr>
          <w:rFonts w:hint="eastAsia" w:ascii="宋体" w:hAnsi="宋体"/>
          <w:sz w:val="22"/>
        </w:rPr>
        <w:t>～</w:t>
      </w:r>
      <w:r>
        <w:rPr>
          <w:rFonts w:ascii="宋体" w:hAnsi="宋体"/>
          <w:sz w:val="22"/>
        </w:rPr>
        <w:t>60℃，0～95％相对湿度、无冷凝</w:t>
      </w:r>
    </w:p>
    <w:p>
      <w:pPr>
        <w:rPr>
          <w:rFonts w:ascii="宋体" w:hAnsi="宋体"/>
          <w:b/>
          <w:bCs/>
        </w:rPr>
      </w:pPr>
      <w:r>
        <w:rPr>
          <w:rFonts w:ascii="宋体" w:hAnsi="宋体"/>
          <w:b/>
          <w:bCs/>
        </w:rPr>
        <w:t>15</w:t>
      </w:r>
      <w:r>
        <w:rPr>
          <w:rFonts w:hint="eastAsia" w:ascii="宋体" w:hAnsi="宋体"/>
          <w:b/>
          <w:bCs/>
        </w:rPr>
        <w:t>、热式气体流量计</w:t>
      </w:r>
    </w:p>
    <w:p>
      <w:pPr>
        <w:adjustRightInd w:val="0"/>
        <w:snapToGrid w:val="0"/>
        <w:spacing w:before="203" w:beforeLines="50" w:after="203" w:afterLines="50"/>
        <w:ind w:firstLine="500" w:firstLineChars="200"/>
        <w:rPr>
          <w:rFonts w:ascii="宋体" w:hAnsi="宋体"/>
          <w:kern w:val="0"/>
          <w:lang w:val="en-GB"/>
        </w:rPr>
      </w:pPr>
      <w:r>
        <w:rPr>
          <w:rFonts w:hint="eastAsia" w:ascii="宋体" w:hAnsi="宋体"/>
          <w:kern w:val="0"/>
          <w:lang w:val="en-GB"/>
        </w:rPr>
        <w:t>用途：用于气体流量计量</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测量范围：0.5—100Nm/s</w:t>
      </w:r>
      <w:r>
        <w:rPr>
          <w:rFonts w:ascii="宋体" w:hAnsi="宋体" w:cs="Calibri"/>
          <w:sz w:val="22"/>
        </w:rPr>
        <w:t> </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准确度: ±1.5%的读数,±1.5%满量程</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量程比：100：1</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传感器材质：316不锈钢、哈氏合金、钛</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探杆材质（保护套）：316不锈钢（标准）、哈氏合金</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模拟量输出： 4-20mADC</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供电电源：24VDC/600mA；220VAC/2W；110VAC/3W</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报警：1－2路继电器输出、5A/220V、5A/30VDC、键入设定</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LCD显示：七位瞬时流量，八位累积流量</w:t>
      </w:r>
    </w:p>
    <w:p>
      <w:pPr>
        <w:pStyle w:val="1156"/>
        <w:numPr>
          <w:ilvl w:val="0"/>
          <w:numId w:val="160"/>
        </w:numPr>
        <w:adjustRightInd w:val="0"/>
        <w:snapToGrid w:val="0"/>
        <w:spacing w:before="203" w:beforeLines="50" w:after="203" w:afterLines="50" w:line="240" w:lineRule="auto"/>
        <w:ind w:firstLineChars="0"/>
        <w:rPr>
          <w:rFonts w:ascii="宋体" w:hAnsi="宋体"/>
          <w:sz w:val="22"/>
        </w:rPr>
      </w:pPr>
      <w:r>
        <w:rPr>
          <w:rFonts w:hint="eastAsia" w:ascii="宋体" w:hAnsi="宋体"/>
          <w:sz w:val="22"/>
        </w:rPr>
        <w:t>防护等级：IP65</w:t>
      </w:r>
    </w:p>
    <w:bookmarkEnd w:id="7308"/>
    <w:p>
      <w:pPr>
        <w:adjustRightInd w:val="0"/>
        <w:snapToGrid w:val="0"/>
        <w:spacing w:before="203" w:beforeLines="50" w:after="203" w:afterLines="50"/>
        <w:rPr>
          <w:rFonts w:ascii="宋体" w:hAnsi="宋体"/>
          <w:b/>
          <w:bCs/>
        </w:rPr>
      </w:pPr>
      <w:r>
        <w:rPr>
          <w:rFonts w:ascii="宋体" w:hAnsi="宋体"/>
          <w:b/>
          <w:bCs/>
        </w:rPr>
        <w:t>16、仪表箱</w:t>
      </w:r>
    </w:p>
    <w:p>
      <w:pPr>
        <w:adjustRightInd w:val="0"/>
        <w:snapToGrid w:val="0"/>
        <w:spacing w:before="203" w:beforeLines="50" w:after="203" w:afterLines="50"/>
        <w:ind w:firstLine="500" w:firstLineChars="200"/>
        <w:rPr>
          <w:rFonts w:ascii="宋体" w:hAnsi="宋体"/>
        </w:rPr>
      </w:pPr>
      <w:r>
        <w:rPr>
          <w:rFonts w:ascii="宋体" w:hAnsi="宋体"/>
        </w:rPr>
        <w:t>用途：安装仪表变送器，设置信号避雷器（4～20mA DC信号用） 、总线避雷器和电源避雷器。</w:t>
      </w:r>
    </w:p>
    <w:p>
      <w:pPr>
        <w:adjustRightInd w:val="0"/>
        <w:snapToGrid w:val="0"/>
        <w:spacing w:before="203" w:beforeLines="50" w:after="203" w:afterLines="50"/>
        <w:ind w:firstLine="500" w:firstLineChars="200"/>
        <w:rPr>
          <w:rFonts w:ascii="宋体" w:hAnsi="宋体"/>
        </w:rPr>
      </w:pPr>
      <w:r>
        <w:rPr>
          <w:rFonts w:ascii="宋体" w:hAnsi="宋体"/>
        </w:rPr>
        <w:t>防护等级：室外IP65,室内IP54</w:t>
      </w:r>
    </w:p>
    <w:p>
      <w:pPr>
        <w:adjustRightInd w:val="0"/>
        <w:snapToGrid w:val="0"/>
        <w:spacing w:before="203" w:beforeLines="50" w:after="203" w:afterLines="50"/>
        <w:ind w:firstLine="500" w:firstLineChars="200"/>
        <w:rPr>
          <w:rFonts w:ascii="宋体" w:hAnsi="宋体"/>
        </w:rPr>
      </w:pPr>
      <w:r>
        <w:rPr>
          <w:rFonts w:ascii="宋体" w:hAnsi="宋体"/>
        </w:rPr>
        <w:t>箱体材质：316L不锈钢，厚1.5mm；</w:t>
      </w:r>
    </w:p>
    <w:p>
      <w:pPr>
        <w:adjustRightInd w:val="0"/>
        <w:snapToGrid w:val="0"/>
        <w:spacing w:before="203" w:beforeLines="50" w:after="203" w:afterLines="50"/>
        <w:ind w:firstLine="500" w:firstLineChars="200"/>
        <w:rPr>
          <w:rFonts w:ascii="宋体" w:hAnsi="宋体"/>
        </w:rPr>
      </w:pPr>
      <w:r>
        <w:rPr>
          <w:rFonts w:ascii="宋体" w:hAnsi="宋体"/>
        </w:rPr>
        <w:t>尺寸：按施工图要求；</w:t>
      </w:r>
    </w:p>
    <w:p>
      <w:pPr>
        <w:adjustRightInd w:val="0"/>
        <w:snapToGrid w:val="0"/>
        <w:spacing w:before="203" w:beforeLines="50" w:after="203" w:afterLines="50"/>
        <w:ind w:firstLine="500" w:firstLineChars="200"/>
        <w:rPr>
          <w:rFonts w:ascii="宋体" w:hAnsi="宋体"/>
        </w:rPr>
      </w:pPr>
      <w:r>
        <w:rPr>
          <w:rFonts w:ascii="宋体" w:hAnsi="宋体"/>
        </w:rPr>
        <w:t>箱体：正面开门；</w:t>
      </w:r>
    </w:p>
    <w:p>
      <w:pPr>
        <w:adjustRightInd w:val="0"/>
        <w:snapToGrid w:val="0"/>
        <w:spacing w:before="203" w:beforeLines="50" w:after="203" w:afterLines="50"/>
        <w:ind w:firstLine="500" w:firstLineChars="200"/>
        <w:rPr>
          <w:rFonts w:ascii="宋体" w:hAnsi="宋体"/>
        </w:rPr>
      </w:pPr>
      <w:r>
        <w:rPr>
          <w:rFonts w:ascii="宋体" w:hAnsi="宋体"/>
        </w:rPr>
        <w:t>安装方式：支架安装；</w:t>
      </w:r>
    </w:p>
    <w:p>
      <w:pPr>
        <w:adjustRightInd w:val="0"/>
        <w:snapToGrid w:val="0"/>
        <w:spacing w:before="203" w:beforeLines="50" w:after="203" w:afterLines="50"/>
        <w:ind w:firstLine="500" w:firstLineChars="200"/>
        <w:rPr>
          <w:rFonts w:ascii="宋体" w:hAnsi="宋体"/>
        </w:rPr>
      </w:pPr>
      <w:r>
        <w:rPr>
          <w:rFonts w:ascii="宋体" w:hAnsi="宋体"/>
        </w:rPr>
        <w:t>采用箱体侧面开通风腮孔散热措施。</w:t>
      </w:r>
    </w:p>
    <w:p>
      <w:pPr>
        <w:keepNext/>
        <w:adjustRightInd w:val="0"/>
        <w:snapToGrid w:val="0"/>
        <w:spacing w:before="203" w:beforeLines="50" w:after="203" w:afterLines="50"/>
        <w:outlineLvl w:val="1"/>
        <w:rPr>
          <w:rFonts w:ascii="宋体" w:hAnsi="宋体" w:cs="楷体"/>
          <w:b/>
        </w:rPr>
      </w:pPr>
      <w:bookmarkStart w:id="7309" w:name="_Toc106883801"/>
      <w:bookmarkStart w:id="7310" w:name="_Toc450585011"/>
      <w:bookmarkStart w:id="7311" w:name="_Toc456692055"/>
      <w:bookmarkStart w:id="7312" w:name="_Toc98143099"/>
      <w:bookmarkStart w:id="7313" w:name="_Toc401327965"/>
      <w:bookmarkStart w:id="7314" w:name="_Toc301178853"/>
      <w:bookmarkStart w:id="7315" w:name="_Toc301171426"/>
      <w:r>
        <w:rPr>
          <w:rFonts w:hint="eastAsia" w:ascii="宋体" w:hAnsi="宋体" w:cs="楷体"/>
          <w:b/>
        </w:rPr>
        <w:t>10.4</w:t>
      </w:r>
      <w:r>
        <w:rPr>
          <w:rFonts w:ascii="宋体" w:hAnsi="宋体" w:cs="楷体"/>
          <w:b/>
        </w:rPr>
        <w:t>视频监控及安防系统</w:t>
      </w:r>
      <w:bookmarkEnd w:id="7309"/>
      <w:bookmarkEnd w:id="7310"/>
      <w:bookmarkEnd w:id="7311"/>
    </w:p>
    <w:p>
      <w:pPr>
        <w:adjustRightInd w:val="0"/>
        <w:snapToGrid w:val="0"/>
        <w:spacing w:before="203" w:beforeLines="50" w:after="203" w:afterLines="50"/>
        <w:ind w:firstLine="420"/>
        <w:rPr>
          <w:rFonts w:ascii="宋体" w:hAnsi="宋体"/>
        </w:rPr>
      </w:pPr>
      <w:r>
        <w:rPr>
          <w:rFonts w:ascii="宋体" w:hAnsi="宋体"/>
        </w:rPr>
        <w:t>本工程包括视频监控系统、门禁系统、电子围栏系统、大屏显示系统。</w:t>
      </w:r>
    </w:p>
    <w:p>
      <w:pPr>
        <w:adjustRightInd w:val="0"/>
        <w:snapToGrid w:val="0"/>
        <w:spacing w:before="203" w:beforeLines="50" w:after="203" w:afterLines="50"/>
        <w:ind w:firstLine="500" w:firstLineChars="200"/>
        <w:rPr>
          <w:rFonts w:ascii="宋体" w:hAnsi="宋体"/>
        </w:rPr>
      </w:pPr>
      <w:r>
        <w:rPr>
          <w:rFonts w:ascii="宋体" w:hAnsi="宋体"/>
        </w:rPr>
        <w:t>将系统建设成一个完整的、集成的、可靠的、易操作的水厂安防体系，使其作为一个有机的整体对水厂进行监控和管理。</w:t>
      </w:r>
    </w:p>
    <w:p>
      <w:pPr>
        <w:keepNext/>
        <w:tabs>
          <w:tab w:val="left" w:pos="993"/>
        </w:tabs>
        <w:adjustRightInd w:val="0"/>
        <w:snapToGrid w:val="0"/>
        <w:spacing w:before="203" w:beforeLines="50" w:after="203" w:afterLines="50"/>
        <w:outlineLvl w:val="0"/>
        <w:rPr>
          <w:rFonts w:ascii="宋体" w:hAnsi="宋体"/>
          <w:b/>
          <w:bCs/>
        </w:rPr>
      </w:pPr>
      <w:bookmarkStart w:id="7316" w:name="_Toc106883802"/>
      <w:bookmarkStart w:id="7317" w:name="_Toc450585012"/>
      <w:bookmarkStart w:id="7318" w:name="_Toc399399932"/>
      <w:r>
        <w:rPr>
          <w:rFonts w:hint="eastAsia" w:ascii="宋体" w:hAnsi="宋体"/>
          <w:b/>
          <w:bCs/>
        </w:rPr>
        <w:t>10.4.1</w:t>
      </w:r>
      <w:r>
        <w:rPr>
          <w:rFonts w:ascii="宋体" w:hAnsi="宋体"/>
          <w:b/>
          <w:bCs/>
        </w:rPr>
        <w:t>工作范围</w:t>
      </w:r>
      <w:bookmarkEnd w:id="7316"/>
      <w:bookmarkEnd w:id="7317"/>
      <w:bookmarkEnd w:id="7318"/>
    </w:p>
    <w:p>
      <w:pPr>
        <w:adjustRightInd w:val="0"/>
        <w:snapToGrid w:val="0"/>
        <w:spacing w:before="203" w:beforeLines="50" w:after="203" w:afterLines="50"/>
        <w:ind w:firstLine="500" w:firstLineChars="200"/>
        <w:rPr>
          <w:rFonts w:ascii="宋体" w:hAnsi="宋体"/>
        </w:rPr>
      </w:pPr>
      <w:r>
        <w:rPr>
          <w:rFonts w:ascii="宋体" w:hAnsi="宋体"/>
        </w:rPr>
        <w:t>承包商应按照但不仅限于施工图及本技术规范和工程量清单提供的建设上述系统必须需的软件、硬件、辅材辅料完成本水厂视频监控及安防系统的建设。</w:t>
      </w:r>
    </w:p>
    <w:p>
      <w:pPr>
        <w:adjustRightInd w:val="0"/>
        <w:snapToGrid w:val="0"/>
        <w:spacing w:before="203" w:beforeLines="50" w:after="203" w:afterLines="50"/>
        <w:ind w:firstLine="500" w:firstLineChars="200"/>
        <w:rPr>
          <w:rFonts w:ascii="宋体" w:hAnsi="宋体"/>
        </w:rPr>
      </w:pPr>
      <w:r>
        <w:rPr>
          <w:rFonts w:ascii="宋体" w:hAnsi="宋体"/>
          <w:kern w:val="0"/>
        </w:rPr>
        <w:t>设备供货</w:t>
      </w:r>
      <w:r>
        <w:rPr>
          <w:rFonts w:hint="eastAsia" w:ascii="宋体" w:hAnsi="宋体"/>
          <w:kern w:val="0"/>
        </w:rPr>
        <w:t>：</w:t>
      </w:r>
      <w:r>
        <w:rPr>
          <w:rFonts w:ascii="宋体" w:hAnsi="宋体"/>
        </w:rPr>
        <w:t>工程量清单中的各项内容、配套所必需的附件；其中摄像机、光端机、防雷器按</w:t>
      </w:r>
      <w:r>
        <w:rPr>
          <w:rFonts w:hint="eastAsia" w:ascii="宋体" w:hAnsi="宋体"/>
        </w:rPr>
        <w:t>2</w:t>
      </w:r>
      <w:r>
        <w:rPr>
          <w:rFonts w:ascii="宋体" w:hAnsi="宋体"/>
        </w:rPr>
        <w:t>0%预留备用。</w:t>
      </w:r>
    </w:p>
    <w:p>
      <w:pPr>
        <w:adjustRightInd w:val="0"/>
        <w:snapToGrid w:val="0"/>
        <w:spacing w:before="203" w:beforeLines="50" w:after="203" w:afterLines="50"/>
        <w:ind w:firstLine="500" w:firstLineChars="200"/>
        <w:rPr>
          <w:rFonts w:ascii="宋体" w:hAnsi="宋体"/>
          <w:kern w:val="0"/>
        </w:rPr>
      </w:pPr>
      <w:r>
        <w:rPr>
          <w:rFonts w:ascii="宋体" w:hAnsi="宋体"/>
          <w:kern w:val="0"/>
        </w:rPr>
        <w:t>二次设计</w:t>
      </w:r>
      <w:r>
        <w:rPr>
          <w:rFonts w:hint="eastAsia" w:ascii="宋体" w:hAnsi="宋体"/>
          <w:kern w:val="0"/>
        </w:rPr>
        <w:t>：</w:t>
      </w:r>
      <w:r>
        <w:rPr>
          <w:rFonts w:ascii="宋体" w:hAnsi="宋体"/>
          <w:kern w:val="0"/>
        </w:rPr>
        <w:t>根据施工图、工艺及电气设备厂家资料，完成二次设计。</w:t>
      </w:r>
    </w:p>
    <w:p>
      <w:pPr>
        <w:adjustRightInd w:val="0"/>
        <w:snapToGrid w:val="0"/>
        <w:spacing w:before="203" w:beforeLines="50" w:after="203" w:afterLines="50"/>
        <w:ind w:firstLine="500" w:firstLineChars="200"/>
        <w:rPr>
          <w:rFonts w:ascii="宋体" w:hAnsi="宋体"/>
          <w:kern w:val="0"/>
        </w:rPr>
      </w:pPr>
      <w:r>
        <w:rPr>
          <w:rFonts w:ascii="宋体" w:hAnsi="宋体"/>
          <w:kern w:val="0"/>
        </w:rPr>
        <w:t>设备安装工程</w:t>
      </w:r>
      <w:r>
        <w:rPr>
          <w:rFonts w:hint="eastAsia" w:ascii="宋体" w:hAnsi="宋体"/>
          <w:kern w:val="0"/>
        </w:rPr>
        <w:t>：</w:t>
      </w:r>
    </w:p>
    <w:p>
      <w:pPr>
        <w:adjustRightInd w:val="0"/>
        <w:snapToGrid w:val="0"/>
        <w:spacing w:before="203" w:beforeLines="50" w:after="203" w:afterLines="50"/>
        <w:ind w:firstLine="500" w:firstLineChars="200"/>
        <w:rPr>
          <w:rFonts w:ascii="宋体" w:hAnsi="宋体"/>
        </w:rPr>
      </w:pPr>
      <w:r>
        <w:rPr>
          <w:rFonts w:ascii="宋体" w:hAnsi="宋体"/>
        </w:rPr>
        <w:t>完成：全厂工艺视频监控、周界围墙视频监控及厂区视频监控系统施工，包含设备安装，电缆保护管、控制与信号电缆、光缆、网络电缆及电缆桥架安装、设备基础/设备支架制作等。</w:t>
      </w:r>
    </w:p>
    <w:p>
      <w:pPr>
        <w:adjustRightInd w:val="0"/>
        <w:snapToGrid w:val="0"/>
        <w:spacing w:before="203" w:beforeLines="50" w:after="203" w:afterLines="50"/>
        <w:ind w:firstLine="500" w:firstLineChars="200"/>
        <w:rPr>
          <w:rFonts w:ascii="宋体" w:hAnsi="宋体"/>
        </w:rPr>
      </w:pPr>
      <w:r>
        <w:rPr>
          <w:rFonts w:ascii="宋体" w:hAnsi="宋体"/>
          <w:kern w:val="0"/>
        </w:rPr>
        <w:t>设备调试</w:t>
      </w:r>
      <w:r>
        <w:rPr>
          <w:rFonts w:hint="eastAsia" w:ascii="宋体" w:hAnsi="宋体"/>
          <w:kern w:val="0"/>
        </w:rPr>
        <w:t>：</w:t>
      </w:r>
      <w:r>
        <w:rPr>
          <w:rFonts w:ascii="宋体" w:hAnsi="宋体"/>
        </w:rPr>
        <w:t>按照系统描述章节的要求完成应用软件开发与设备调试。</w:t>
      </w:r>
    </w:p>
    <w:p>
      <w:pPr>
        <w:keepNext/>
        <w:tabs>
          <w:tab w:val="left" w:pos="993"/>
        </w:tabs>
        <w:adjustRightInd w:val="0"/>
        <w:snapToGrid w:val="0"/>
        <w:spacing w:before="203" w:beforeLines="50" w:after="203" w:afterLines="50"/>
        <w:outlineLvl w:val="0"/>
        <w:rPr>
          <w:rFonts w:ascii="宋体" w:hAnsi="宋体"/>
          <w:b/>
          <w:bCs/>
        </w:rPr>
      </w:pPr>
      <w:bookmarkStart w:id="7319" w:name="_Toc106883803"/>
      <w:bookmarkStart w:id="7320" w:name="_Toc450585013"/>
      <w:bookmarkStart w:id="7321" w:name="_Toc399399933"/>
      <w:r>
        <w:rPr>
          <w:rFonts w:hint="eastAsia" w:ascii="宋体" w:hAnsi="宋体"/>
          <w:b/>
          <w:bCs/>
        </w:rPr>
        <w:t>10.4.2</w:t>
      </w:r>
      <w:r>
        <w:rPr>
          <w:rFonts w:ascii="宋体" w:hAnsi="宋体"/>
          <w:b/>
          <w:bCs/>
        </w:rPr>
        <w:t>系统架构及功能描述</w:t>
      </w:r>
      <w:bookmarkEnd w:id="7319"/>
      <w:bookmarkEnd w:id="7320"/>
      <w:bookmarkEnd w:id="7321"/>
    </w:p>
    <w:p>
      <w:pPr>
        <w:adjustRightInd w:val="0"/>
        <w:snapToGrid w:val="0"/>
        <w:spacing w:before="203" w:beforeLines="50" w:after="203" w:afterLines="50"/>
        <w:ind w:firstLine="500" w:firstLineChars="200"/>
        <w:rPr>
          <w:rFonts w:ascii="宋体" w:hAnsi="宋体"/>
        </w:rPr>
      </w:pPr>
      <w:r>
        <w:rPr>
          <w:rFonts w:ascii="宋体" w:hAnsi="宋体"/>
        </w:rPr>
        <w:t>在</w:t>
      </w:r>
      <w:r>
        <w:rPr>
          <w:rFonts w:hint="eastAsia" w:ascii="宋体" w:hAnsi="宋体"/>
        </w:rPr>
        <w:t>送水泵房、混合絮凝、平流沉淀及叠合清水池、砂滤池及反冲洗泵房、综合加药间</w:t>
      </w:r>
      <w:r>
        <w:rPr>
          <w:rFonts w:ascii="宋体" w:hAnsi="宋体"/>
        </w:rPr>
        <w:t>等单体设高清网络快球或室内高清半球摄像机，视频监控系统的中心设备放置于综合楼的中控室内，完成对视频的存储和显示。同时在门卫室配置视频工作站进行监控业务。</w:t>
      </w:r>
    </w:p>
    <w:p>
      <w:pPr>
        <w:adjustRightInd w:val="0"/>
        <w:snapToGrid w:val="0"/>
        <w:spacing w:before="203" w:beforeLines="50" w:after="203" w:afterLines="50"/>
        <w:ind w:firstLine="500" w:firstLineChars="200"/>
        <w:rPr>
          <w:rFonts w:ascii="宋体" w:hAnsi="宋体"/>
        </w:rPr>
      </w:pPr>
      <w:r>
        <w:rPr>
          <w:rFonts w:ascii="宋体" w:hAnsi="宋体"/>
        </w:rPr>
        <w:t>CCTV系统采用全网络化架构，管理灵活，存储方便，画质清晰。系统前端设备采用国际知名品牌网络摄像机，编码后的视频信号由光纤收发器点对点传输至中控室视频以太网交换机，在视频监控工作站显示，视频在视频存储服务器上存储和管理，存储时间不少于15天，存储分辨率不应低于D1或4CIF。</w:t>
      </w:r>
    </w:p>
    <w:p>
      <w:pPr>
        <w:adjustRightInd w:val="0"/>
        <w:snapToGrid w:val="0"/>
        <w:spacing w:before="203" w:beforeLines="50" w:after="203" w:afterLines="50"/>
        <w:ind w:firstLine="500" w:firstLineChars="200"/>
        <w:rPr>
          <w:rFonts w:ascii="宋体" w:hAnsi="宋体"/>
        </w:rPr>
      </w:pPr>
      <w:r>
        <w:rPr>
          <w:rFonts w:ascii="宋体" w:hAnsi="宋体"/>
        </w:rPr>
        <w:t>中控室配置一台带2</w:t>
      </w:r>
      <w:r>
        <w:rPr>
          <w:rFonts w:hint="eastAsia" w:ascii="宋体" w:hAnsi="宋体"/>
        </w:rPr>
        <w:t>9</w:t>
      </w:r>
      <w:r>
        <w:rPr>
          <w:rFonts w:ascii="宋体" w:hAnsi="宋体"/>
        </w:rPr>
        <w:t>寸液晶显示器的视频工作站，实时显示监控视频或工艺流程。</w:t>
      </w:r>
    </w:p>
    <w:p>
      <w:pPr>
        <w:adjustRightInd w:val="0"/>
        <w:snapToGrid w:val="0"/>
        <w:spacing w:before="203" w:beforeLines="50" w:after="203" w:afterLines="50"/>
        <w:ind w:firstLine="500" w:firstLineChars="200"/>
        <w:rPr>
          <w:rFonts w:ascii="宋体" w:hAnsi="宋体"/>
        </w:rPr>
      </w:pPr>
      <w:r>
        <w:rPr>
          <w:rFonts w:ascii="宋体" w:hAnsi="宋体"/>
        </w:rPr>
        <w:t>在门卫室配置一台带2</w:t>
      </w:r>
      <w:r>
        <w:rPr>
          <w:rFonts w:hint="eastAsia" w:ascii="宋体" w:hAnsi="宋体"/>
        </w:rPr>
        <w:t>9</w:t>
      </w:r>
      <w:r>
        <w:rPr>
          <w:rFonts w:ascii="宋体" w:hAnsi="宋体"/>
        </w:rPr>
        <w:t>寸液晶显示器的视频工作站，同时对视频进行监控。视频信号经光缆由中控室引来。</w:t>
      </w:r>
    </w:p>
    <w:p>
      <w:pPr>
        <w:adjustRightInd w:val="0"/>
        <w:snapToGrid w:val="0"/>
        <w:spacing w:before="203" w:beforeLines="50" w:after="203" w:afterLines="50"/>
        <w:ind w:firstLine="500" w:firstLineChars="200"/>
        <w:rPr>
          <w:rFonts w:ascii="宋体" w:hAnsi="宋体"/>
        </w:rPr>
      </w:pPr>
      <w:r>
        <w:rPr>
          <w:rFonts w:ascii="宋体" w:hAnsi="宋体"/>
        </w:rPr>
        <w:t>采用光纤收发器将每个摄像机信号通过光缆传入综合楼内中控室，经交换机汇入中控室存储管理平台进行相应的操作处理。摄像机的视频设备箱就地安装于摄像机旁，内装光端机、电源及防雷模块等。自综合楼沿电缆沟布放一条12芯光缆用于视频监控信号汇集，视频光缆至各视频设备箱采用4芯分支光缆。</w:t>
      </w:r>
    </w:p>
    <w:p>
      <w:pPr>
        <w:adjustRightInd w:val="0"/>
        <w:snapToGrid w:val="0"/>
        <w:spacing w:before="203" w:beforeLines="50" w:after="203" w:afterLines="50"/>
        <w:ind w:firstLine="500" w:firstLineChars="200"/>
        <w:rPr>
          <w:rFonts w:ascii="宋体" w:hAnsi="宋体"/>
        </w:rPr>
      </w:pPr>
      <w:r>
        <w:rPr>
          <w:rFonts w:ascii="宋体" w:hAnsi="宋体"/>
        </w:rPr>
        <w:t>厂区内可采用各工艺车间内的配电箱，也可就近采建筑用电。</w:t>
      </w:r>
    </w:p>
    <w:p>
      <w:pPr>
        <w:adjustRightInd w:val="0"/>
        <w:snapToGrid w:val="0"/>
        <w:spacing w:before="203" w:beforeLines="50" w:after="203" w:afterLines="50"/>
        <w:ind w:firstLine="500" w:firstLineChars="200"/>
        <w:rPr>
          <w:rFonts w:ascii="宋体" w:hAnsi="宋体"/>
        </w:rPr>
      </w:pPr>
      <w:r>
        <w:rPr>
          <w:rFonts w:ascii="宋体" w:hAnsi="宋体"/>
        </w:rPr>
        <w:t>本项目在厂区四周设置周界防范系统。厂区周界总长XXXX米，沿厂区围墙设置4个防区，2台双防区主机。采用4道电子缆线,间距20cm;电子墙垂直高度83cm，垂直中间柱每4米安装1根，垂直受力柱每50米或拐角处安装1根。</w:t>
      </w:r>
    </w:p>
    <w:p>
      <w:pPr>
        <w:adjustRightInd w:val="0"/>
        <w:snapToGrid w:val="0"/>
        <w:spacing w:before="203" w:beforeLines="50" w:after="203" w:afterLines="50"/>
        <w:ind w:firstLine="500" w:firstLineChars="200"/>
        <w:rPr>
          <w:rFonts w:ascii="宋体" w:hAnsi="宋体"/>
        </w:rPr>
      </w:pPr>
      <w:r>
        <w:rPr>
          <w:rFonts w:ascii="宋体" w:hAnsi="宋体"/>
          <w:lang w:val="en-GB"/>
        </w:rPr>
        <w:t>系统结构见招标图。</w:t>
      </w:r>
    </w:p>
    <w:bookmarkEnd w:id="7312"/>
    <w:bookmarkEnd w:id="7313"/>
    <w:bookmarkEnd w:id="7314"/>
    <w:bookmarkEnd w:id="7315"/>
    <w:p>
      <w:pPr>
        <w:keepNext/>
        <w:tabs>
          <w:tab w:val="left" w:pos="993"/>
        </w:tabs>
        <w:adjustRightInd w:val="0"/>
        <w:snapToGrid w:val="0"/>
        <w:spacing w:before="203" w:beforeLines="50" w:after="203" w:afterLines="50"/>
        <w:outlineLvl w:val="0"/>
        <w:rPr>
          <w:rFonts w:ascii="宋体" w:hAnsi="宋体"/>
          <w:b/>
          <w:bCs/>
        </w:rPr>
      </w:pPr>
      <w:bookmarkStart w:id="7322" w:name="_Toc106883804"/>
      <w:bookmarkStart w:id="7323" w:name="_Toc450585014"/>
      <w:bookmarkStart w:id="7324" w:name="_Toc401327966"/>
      <w:r>
        <w:rPr>
          <w:rFonts w:hint="eastAsia" w:ascii="宋体" w:hAnsi="宋体"/>
          <w:b/>
          <w:bCs/>
        </w:rPr>
        <w:t>10.4.3</w:t>
      </w:r>
      <w:r>
        <w:rPr>
          <w:rFonts w:ascii="宋体" w:hAnsi="宋体"/>
          <w:b/>
          <w:bCs/>
        </w:rPr>
        <w:t>总体要求</w:t>
      </w:r>
      <w:bookmarkEnd w:id="7322"/>
      <w:bookmarkEnd w:id="7323"/>
      <w:bookmarkEnd w:id="7324"/>
    </w:p>
    <w:p>
      <w:pPr>
        <w:adjustRightInd w:val="0"/>
        <w:snapToGrid w:val="0"/>
        <w:spacing w:before="203" w:beforeLines="50" w:after="203" w:afterLines="50"/>
        <w:ind w:firstLine="500" w:firstLineChars="200"/>
        <w:rPr>
          <w:rFonts w:ascii="宋体" w:hAnsi="宋体"/>
        </w:rPr>
      </w:pPr>
      <w:r>
        <w:rPr>
          <w:rFonts w:ascii="宋体" w:hAnsi="宋体"/>
        </w:rPr>
        <w:t>利用技术成熟、稳定、先进的视频监控技术，</w:t>
      </w:r>
      <w:r>
        <w:rPr>
          <w:rFonts w:ascii="宋体" w:hAnsi="宋体"/>
          <w:lang w:val="en-GB"/>
        </w:rPr>
        <w:t>高效、可靠</w:t>
      </w:r>
      <w:r>
        <w:rPr>
          <w:rFonts w:ascii="宋体" w:hAnsi="宋体"/>
        </w:rPr>
        <w:t>的安全防范系统，构建本</w:t>
      </w:r>
      <w:r>
        <w:rPr>
          <w:rFonts w:hint="eastAsia" w:ascii="宋体" w:hAnsi="宋体"/>
        </w:rPr>
        <w:t>净水</w:t>
      </w:r>
      <w:r>
        <w:rPr>
          <w:rFonts w:ascii="宋体" w:hAnsi="宋体"/>
        </w:rPr>
        <w:t>厂的视频监控及安全防卫系统平台，满足生产安全、管理的需要。</w:t>
      </w:r>
    </w:p>
    <w:p>
      <w:pPr>
        <w:adjustRightInd w:val="0"/>
        <w:snapToGrid w:val="0"/>
        <w:spacing w:before="203" w:beforeLines="50" w:after="203" w:afterLines="50"/>
        <w:ind w:firstLine="500" w:firstLineChars="200"/>
        <w:rPr>
          <w:rFonts w:ascii="宋体" w:hAnsi="宋体"/>
        </w:rPr>
      </w:pPr>
      <w:r>
        <w:rPr>
          <w:rFonts w:ascii="宋体" w:hAnsi="宋体"/>
        </w:rPr>
        <w:t>通过集成视频监控系统、周界安防系统、防盗报警系统和安全保卫系统及全厂办公网络系统，在控制室及保安值班室可以实现多画面显示及报警、录像控制等。承包商应充分考虑工程需要，配置必需的软件、硬件，满足系统功能要求。</w:t>
      </w:r>
    </w:p>
    <w:p>
      <w:pPr>
        <w:adjustRightInd w:val="0"/>
        <w:snapToGrid w:val="0"/>
        <w:spacing w:before="203" w:beforeLines="50" w:after="203" w:afterLines="50"/>
        <w:ind w:firstLine="500" w:firstLineChars="200"/>
        <w:rPr>
          <w:rFonts w:ascii="宋体" w:hAnsi="宋体"/>
        </w:rPr>
      </w:pPr>
      <w:r>
        <w:rPr>
          <w:rFonts w:ascii="宋体" w:hAnsi="宋体"/>
        </w:rPr>
        <w:t>安防系统触发报警信号时，监控室、门卫值班室报警，同时联动切换摄像机，能以各种明显方式快速提示，显示报警的位置，自动弹出报警画面，并同时进行录像。在控制台管理计算机上具备报警点闪烁标识提示，同时监视器上能够自动（手动）切换显示报警处的视频图像，提供高度集成的安保自动化系统，整个联动效果需达到快速有效。</w:t>
      </w:r>
    </w:p>
    <w:p>
      <w:pPr>
        <w:keepNext/>
        <w:tabs>
          <w:tab w:val="left" w:pos="993"/>
        </w:tabs>
        <w:adjustRightInd w:val="0"/>
        <w:snapToGrid w:val="0"/>
        <w:spacing w:before="203" w:beforeLines="50" w:after="203" w:afterLines="50"/>
        <w:outlineLvl w:val="0"/>
        <w:rPr>
          <w:rFonts w:ascii="宋体" w:hAnsi="宋体"/>
          <w:b/>
          <w:bCs/>
        </w:rPr>
      </w:pPr>
      <w:bookmarkStart w:id="7325" w:name="_Toc88727776"/>
      <w:bookmarkStart w:id="7326" w:name="_Toc106883805"/>
      <w:bookmarkStart w:id="7327" w:name="_Toc401327967"/>
      <w:bookmarkStart w:id="7328" w:name="_Toc245699511"/>
      <w:bookmarkStart w:id="7329" w:name="_Toc450585015"/>
      <w:r>
        <w:rPr>
          <w:rFonts w:hint="eastAsia" w:ascii="宋体" w:hAnsi="宋体"/>
          <w:b/>
          <w:bCs/>
        </w:rPr>
        <w:t>10.4.4</w:t>
      </w:r>
      <w:r>
        <w:rPr>
          <w:rFonts w:ascii="宋体" w:hAnsi="宋体"/>
          <w:b/>
          <w:bCs/>
        </w:rPr>
        <w:t>系统</w:t>
      </w:r>
      <w:bookmarkEnd w:id="7325"/>
      <w:r>
        <w:rPr>
          <w:rFonts w:ascii="宋体" w:hAnsi="宋体"/>
          <w:b/>
          <w:bCs/>
        </w:rPr>
        <w:t>范围</w:t>
      </w:r>
      <w:bookmarkEnd w:id="7326"/>
      <w:bookmarkEnd w:id="7327"/>
      <w:bookmarkEnd w:id="7328"/>
      <w:bookmarkEnd w:id="7329"/>
    </w:p>
    <w:p>
      <w:pPr>
        <w:adjustRightInd w:val="0"/>
        <w:snapToGrid w:val="0"/>
        <w:spacing w:before="203" w:beforeLines="50" w:after="203" w:afterLines="50"/>
        <w:ind w:firstLine="500" w:firstLineChars="200"/>
        <w:rPr>
          <w:rFonts w:ascii="宋体" w:hAnsi="宋体"/>
        </w:rPr>
      </w:pPr>
      <w:r>
        <w:rPr>
          <w:rFonts w:ascii="宋体" w:hAnsi="宋体"/>
        </w:rPr>
        <w:t>本工程范围包含:全厂工艺单体工况视频监控系统、周界安防系统及中控室、保安值班室控制、显示、存储系统的建设，以及全厂视频监控及周界安防系统建设需要的通信链路、通信设备、电源及防雷接地系统相关的软件、硬件、管路及系统集成。</w:t>
      </w:r>
    </w:p>
    <w:p>
      <w:pPr>
        <w:adjustRightInd w:val="0"/>
        <w:snapToGrid w:val="0"/>
        <w:spacing w:before="203" w:beforeLines="50" w:after="203" w:afterLines="50"/>
        <w:ind w:firstLine="500" w:firstLineChars="200"/>
        <w:rPr>
          <w:rFonts w:ascii="宋体" w:hAnsi="宋体"/>
        </w:rPr>
      </w:pPr>
      <w:r>
        <w:rPr>
          <w:rFonts w:ascii="宋体" w:hAnsi="宋体"/>
        </w:rPr>
        <w:t>内容包括：</w:t>
      </w:r>
    </w:p>
    <w:p>
      <w:pPr>
        <w:adjustRightInd w:val="0"/>
        <w:snapToGrid w:val="0"/>
        <w:spacing w:before="203" w:beforeLines="50" w:after="203" w:afterLines="50"/>
        <w:ind w:firstLine="500" w:firstLineChars="200"/>
        <w:rPr>
          <w:rFonts w:ascii="宋体" w:hAnsi="宋体"/>
        </w:rPr>
      </w:pPr>
      <w:r>
        <w:rPr>
          <w:rFonts w:ascii="宋体" w:hAnsi="宋体"/>
        </w:rPr>
        <w:t>全厂工艺单体及生产设备运行工况视频监控系统；</w:t>
      </w:r>
    </w:p>
    <w:p>
      <w:pPr>
        <w:adjustRightInd w:val="0"/>
        <w:snapToGrid w:val="0"/>
        <w:spacing w:before="203" w:beforeLines="50" w:after="203" w:afterLines="50"/>
        <w:ind w:firstLine="500" w:firstLineChars="200"/>
        <w:rPr>
          <w:rFonts w:ascii="宋体" w:hAnsi="宋体"/>
        </w:rPr>
      </w:pPr>
      <w:r>
        <w:rPr>
          <w:rFonts w:ascii="宋体" w:hAnsi="宋体"/>
        </w:rPr>
        <w:t>全厂周界安防系统；</w:t>
      </w:r>
    </w:p>
    <w:p>
      <w:pPr>
        <w:adjustRightInd w:val="0"/>
        <w:snapToGrid w:val="0"/>
        <w:spacing w:before="203" w:beforeLines="50" w:after="203" w:afterLines="50"/>
        <w:ind w:firstLine="500" w:firstLineChars="200"/>
        <w:rPr>
          <w:rFonts w:ascii="宋体" w:hAnsi="宋体"/>
        </w:rPr>
      </w:pPr>
      <w:r>
        <w:rPr>
          <w:rFonts w:ascii="宋体" w:hAnsi="宋体"/>
        </w:rPr>
        <w:t>安防系统与电视监控系统的集成；</w:t>
      </w:r>
    </w:p>
    <w:p>
      <w:pPr>
        <w:adjustRightInd w:val="0"/>
        <w:snapToGrid w:val="0"/>
        <w:spacing w:before="203" w:beforeLines="50" w:after="203" w:afterLines="50"/>
        <w:ind w:firstLine="500" w:firstLineChars="200"/>
        <w:rPr>
          <w:rFonts w:ascii="宋体" w:hAnsi="宋体"/>
        </w:rPr>
      </w:pPr>
      <w:r>
        <w:rPr>
          <w:rFonts w:ascii="宋体" w:hAnsi="宋体"/>
        </w:rPr>
        <w:t>办公、管理网络系统与电视监控系统的集成；</w:t>
      </w:r>
    </w:p>
    <w:p>
      <w:pPr>
        <w:adjustRightInd w:val="0"/>
        <w:snapToGrid w:val="0"/>
        <w:spacing w:before="203" w:beforeLines="50" w:after="203" w:afterLines="50"/>
        <w:ind w:firstLine="500" w:firstLineChars="200"/>
        <w:rPr>
          <w:rFonts w:ascii="宋体" w:hAnsi="宋体"/>
        </w:rPr>
      </w:pPr>
      <w:r>
        <w:rPr>
          <w:rFonts w:ascii="宋体" w:hAnsi="宋体"/>
        </w:rPr>
        <w:t>中控室及保安监控中心的建设以及所有系统电源与接地等。</w:t>
      </w:r>
    </w:p>
    <w:p>
      <w:pPr>
        <w:adjustRightInd w:val="0"/>
        <w:snapToGrid w:val="0"/>
        <w:spacing w:before="203" w:beforeLines="50" w:after="203" w:afterLines="50"/>
        <w:ind w:firstLine="500" w:firstLineChars="200"/>
        <w:rPr>
          <w:rFonts w:ascii="宋体" w:hAnsi="宋体"/>
        </w:rPr>
      </w:pPr>
      <w:r>
        <w:rPr>
          <w:rFonts w:ascii="宋体" w:hAnsi="宋体"/>
        </w:rPr>
        <w:t>系统施工应按“先产品，后系统；先子系统，后系统集成”的顺序进行。</w:t>
      </w:r>
    </w:p>
    <w:p>
      <w:pPr>
        <w:adjustRightInd w:val="0"/>
        <w:snapToGrid w:val="0"/>
        <w:spacing w:before="203" w:beforeLines="50" w:after="203" w:afterLines="50"/>
        <w:ind w:firstLine="500" w:firstLineChars="200"/>
        <w:rPr>
          <w:rFonts w:ascii="宋体" w:hAnsi="宋体"/>
        </w:rPr>
      </w:pPr>
      <w:r>
        <w:rPr>
          <w:rFonts w:ascii="宋体" w:hAnsi="宋体"/>
        </w:rPr>
        <w:t xml:space="preserve">承包商提供的系统设备及施工必须满足系统功能需要，并符合相关国家、地方、行业标准。 </w:t>
      </w:r>
    </w:p>
    <w:p>
      <w:pPr>
        <w:adjustRightInd w:val="0"/>
        <w:snapToGrid w:val="0"/>
        <w:spacing w:before="203" w:beforeLines="50" w:after="203" w:afterLines="50"/>
        <w:ind w:firstLine="500" w:firstLineChars="200"/>
        <w:rPr>
          <w:rFonts w:ascii="宋体" w:hAnsi="宋体"/>
        </w:rPr>
      </w:pPr>
      <w:r>
        <w:rPr>
          <w:rFonts w:ascii="宋体" w:hAnsi="宋体"/>
        </w:rPr>
        <w:t>安全防范系统、通信网络系统的检测验收应按相关国家现行标准和国家及地方的相关法律法规执行；其他系统的检测应由省市级以上的建设行政主管部门或质量技术监督部门认可的专业检测机构组织实施。</w:t>
      </w:r>
    </w:p>
    <w:p>
      <w:pPr>
        <w:adjustRightInd w:val="0"/>
        <w:snapToGrid w:val="0"/>
        <w:spacing w:before="203" w:beforeLines="50" w:after="203" w:afterLines="50"/>
        <w:ind w:firstLine="500" w:firstLineChars="200"/>
        <w:rPr>
          <w:rFonts w:ascii="宋体" w:hAnsi="宋体"/>
        </w:rPr>
      </w:pPr>
      <w:r>
        <w:rPr>
          <w:rFonts w:ascii="宋体" w:hAnsi="宋体"/>
        </w:rPr>
        <w:t>承包商应按照设计文件及JGJ16-2008等相关标准的要求进行施工组织设计，按图施工，不得随意更改。若根据实际情况确需作局部调整或变更的，应按程序进行审批，并提供建设（使用）单位、监理单位以及设计、施工单位等多方认可的更改审核单，报建设单位批准。重大变更要报公安技防管理部门备案，必要时要经审查认可。</w:t>
      </w:r>
    </w:p>
    <w:p>
      <w:pPr>
        <w:adjustRightInd w:val="0"/>
        <w:snapToGrid w:val="0"/>
        <w:spacing w:before="203" w:beforeLines="50" w:after="203" w:afterLines="50"/>
        <w:ind w:firstLine="500" w:firstLineChars="200"/>
        <w:rPr>
          <w:rFonts w:ascii="宋体" w:hAnsi="宋体"/>
        </w:rPr>
      </w:pPr>
      <w:r>
        <w:rPr>
          <w:rFonts w:ascii="宋体" w:hAnsi="宋体"/>
        </w:rPr>
        <w:t>承包商提供给业主的硬件设备、软件设备及系统应当具备并符合国家的相关规范、规定及标准要求。系统主要设备、材料、成品和半成品符合《建筑电气安装工程施工质量验收规范》要求。</w:t>
      </w:r>
    </w:p>
    <w:p>
      <w:pPr>
        <w:keepNext/>
        <w:tabs>
          <w:tab w:val="left" w:pos="993"/>
        </w:tabs>
        <w:adjustRightInd w:val="0"/>
        <w:snapToGrid w:val="0"/>
        <w:spacing w:before="203" w:beforeLines="50" w:after="203" w:afterLines="50"/>
        <w:outlineLvl w:val="0"/>
        <w:rPr>
          <w:rFonts w:ascii="宋体" w:hAnsi="宋体"/>
          <w:b/>
          <w:bCs/>
        </w:rPr>
      </w:pPr>
      <w:bookmarkStart w:id="7330" w:name="_Toc401327970"/>
      <w:bookmarkStart w:id="7331" w:name="_Toc450585017"/>
      <w:bookmarkStart w:id="7332" w:name="_Toc106883806"/>
      <w:r>
        <w:rPr>
          <w:rFonts w:hint="eastAsia" w:ascii="宋体" w:hAnsi="宋体"/>
          <w:b/>
          <w:bCs/>
        </w:rPr>
        <w:t>10.4.5</w:t>
      </w:r>
      <w:r>
        <w:rPr>
          <w:rFonts w:ascii="宋体" w:hAnsi="宋体"/>
          <w:b/>
          <w:bCs/>
        </w:rPr>
        <w:t>设备性能</w:t>
      </w:r>
      <w:bookmarkEnd w:id="7330"/>
      <w:r>
        <w:rPr>
          <w:rFonts w:ascii="宋体" w:hAnsi="宋体"/>
          <w:b/>
          <w:bCs/>
        </w:rPr>
        <w:t>指标</w:t>
      </w:r>
      <w:bookmarkEnd w:id="7331"/>
      <w:bookmarkEnd w:id="7332"/>
    </w:p>
    <w:p>
      <w:pPr>
        <w:pStyle w:val="6"/>
        <w:tabs>
          <w:tab w:val="left" w:pos="425"/>
        </w:tabs>
        <w:adjustRightInd w:val="0"/>
        <w:snapToGrid w:val="0"/>
        <w:spacing w:before="203" w:beforeLines="50" w:after="203" w:afterLines="50" w:line="240" w:lineRule="auto"/>
        <w:rPr>
          <w:rFonts w:ascii="宋体" w:hAnsi="宋体" w:eastAsia="宋体"/>
          <w:sz w:val="24"/>
        </w:rPr>
      </w:pPr>
      <w:r>
        <w:rPr>
          <w:rFonts w:hint="eastAsia" w:ascii="宋体" w:hAnsi="宋体" w:eastAsia="宋体"/>
          <w:sz w:val="24"/>
        </w:rPr>
        <w:t>10</w:t>
      </w:r>
      <w:r>
        <w:rPr>
          <w:rFonts w:ascii="宋体" w:hAnsi="宋体" w:eastAsia="宋体"/>
          <w:sz w:val="24"/>
        </w:rPr>
        <w:t>.</w:t>
      </w:r>
      <w:r>
        <w:rPr>
          <w:rFonts w:hint="eastAsia" w:ascii="宋体" w:hAnsi="宋体" w:eastAsia="宋体"/>
          <w:sz w:val="24"/>
        </w:rPr>
        <w:t>4.5</w:t>
      </w:r>
      <w:r>
        <w:rPr>
          <w:rFonts w:ascii="宋体" w:hAnsi="宋体" w:eastAsia="宋体"/>
          <w:sz w:val="24"/>
        </w:rPr>
        <w:t>.1 门禁系统</w:t>
      </w:r>
    </w:p>
    <w:p>
      <w:pPr>
        <w:adjustRightInd w:val="0"/>
        <w:snapToGrid w:val="0"/>
        <w:spacing w:before="203" w:beforeLines="50" w:after="203" w:afterLines="50"/>
        <w:ind w:firstLine="420"/>
        <w:rPr>
          <w:rFonts w:ascii="宋体" w:hAnsi="宋体"/>
        </w:rPr>
      </w:pPr>
      <w:r>
        <w:rPr>
          <w:rFonts w:ascii="宋体" w:hAnsi="宋体"/>
        </w:rPr>
        <w:t>总体要求</w:t>
      </w:r>
    </w:p>
    <w:p>
      <w:pPr>
        <w:adjustRightInd w:val="0"/>
        <w:snapToGrid w:val="0"/>
        <w:spacing w:before="203" w:beforeLines="50" w:after="203" w:afterLines="50"/>
        <w:ind w:firstLine="420"/>
        <w:rPr>
          <w:rFonts w:ascii="宋体" w:hAnsi="宋体"/>
        </w:rPr>
      </w:pPr>
      <w:r>
        <w:rPr>
          <w:rFonts w:ascii="宋体" w:hAnsi="宋体"/>
        </w:rPr>
        <w:t>门禁管理：可对区域内各重要的通行门，以及主要的通道口进行出入监视和控制；</w:t>
      </w:r>
    </w:p>
    <w:p>
      <w:pPr>
        <w:adjustRightInd w:val="0"/>
        <w:snapToGrid w:val="0"/>
        <w:spacing w:before="203" w:beforeLines="50" w:after="203" w:afterLines="50"/>
        <w:ind w:firstLine="420"/>
        <w:rPr>
          <w:rFonts w:ascii="宋体" w:hAnsi="宋体"/>
        </w:rPr>
      </w:pPr>
      <w:r>
        <w:rPr>
          <w:rFonts w:ascii="宋体" w:hAnsi="宋体"/>
        </w:rPr>
        <w:t>报警联动：与监控系统联动，报警后的联动处理；</w:t>
      </w:r>
    </w:p>
    <w:p>
      <w:pPr>
        <w:adjustRightInd w:val="0"/>
        <w:snapToGrid w:val="0"/>
        <w:spacing w:before="203" w:beforeLines="50" w:after="203" w:afterLines="50"/>
        <w:ind w:firstLine="420"/>
        <w:rPr>
          <w:rFonts w:ascii="宋体" w:hAnsi="宋体"/>
        </w:rPr>
      </w:pPr>
      <w:r>
        <w:rPr>
          <w:rFonts w:ascii="宋体" w:hAnsi="宋体"/>
        </w:rPr>
        <w:t>电子地图：在电子地图上直接对门禁进行管理；</w:t>
      </w:r>
    </w:p>
    <w:p>
      <w:pPr>
        <w:adjustRightInd w:val="0"/>
        <w:snapToGrid w:val="0"/>
        <w:spacing w:before="203" w:beforeLines="50" w:after="203" w:afterLines="50"/>
        <w:ind w:firstLine="420"/>
        <w:rPr>
          <w:rFonts w:ascii="宋体" w:hAnsi="宋体"/>
        </w:rPr>
      </w:pPr>
      <w:r>
        <w:rPr>
          <w:rFonts w:ascii="宋体" w:hAnsi="宋体"/>
        </w:rPr>
        <w:t>安全管理：分级分权限对用户进行管理；</w:t>
      </w:r>
    </w:p>
    <w:p>
      <w:pPr>
        <w:adjustRightInd w:val="0"/>
        <w:snapToGrid w:val="0"/>
        <w:spacing w:before="203" w:beforeLines="50" w:after="203" w:afterLines="50"/>
        <w:ind w:firstLine="420"/>
        <w:rPr>
          <w:rFonts w:ascii="宋体" w:hAnsi="宋体"/>
        </w:rPr>
      </w:pPr>
      <w:r>
        <w:rPr>
          <w:rFonts w:ascii="宋体" w:hAnsi="宋体"/>
        </w:rPr>
        <w:t>日志、报表管理：支持对操作、报警等功能日志的生成、保存及调用，支持报表数据的生成、保存及调用；</w:t>
      </w:r>
    </w:p>
    <w:p>
      <w:pPr>
        <w:adjustRightInd w:val="0"/>
        <w:snapToGrid w:val="0"/>
        <w:spacing w:before="203" w:beforeLines="50" w:after="203" w:afterLines="50"/>
        <w:ind w:firstLine="420"/>
        <w:rPr>
          <w:rFonts w:ascii="宋体" w:hAnsi="宋体"/>
        </w:rPr>
      </w:pPr>
      <w:r>
        <w:rPr>
          <w:rFonts w:ascii="宋体" w:hAnsi="宋体"/>
        </w:rPr>
        <w:t>门禁传输系统采用TCP/IP方式组建网络，由综合布线系统和网络系统为门禁系统配置控制专网，可通过划分VLAN的方式配置专网域，实现系统的网络接入与系统数据交互。</w:t>
      </w:r>
    </w:p>
    <w:p>
      <w:pPr>
        <w:adjustRightInd w:val="0"/>
        <w:snapToGrid w:val="0"/>
        <w:spacing w:before="203" w:beforeLines="50" w:after="203" w:afterLines="50"/>
        <w:ind w:firstLine="420"/>
        <w:rPr>
          <w:rFonts w:ascii="宋体" w:hAnsi="宋体"/>
        </w:rPr>
      </w:pPr>
      <w:r>
        <w:rPr>
          <w:rFonts w:ascii="宋体" w:hAnsi="宋体"/>
        </w:rPr>
        <w:t>所有门禁均为采用单门控制器</w:t>
      </w:r>
    </w:p>
    <w:p>
      <w:pPr>
        <w:adjustRightInd w:val="0"/>
        <w:snapToGrid w:val="0"/>
        <w:spacing w:before="203" w:beforeLines="50" w:after="203" w:afterLines="50"/>
        <w:ind w:firstLine="420"/>
        <w:rPr>
          <w:rFonts w:ascii="宋体" w:hAnsi="宋体"/>
        </w:rPr>
      </w:pPr>
      <w:r>
        <w:rPr>
          <w:rFonts w:ascii="宋体" w:hAnsi="宋体"/>
        </w:rPr>
        <w:t>具体安装地点详见图纸。</w:t>
      </w:r>
    </w:p>
    <w:p>
      <w:pPr>
        <w:adjustRightInd w:val="0"/>
        <w:snapToGrid w:val="0"/>
        <w:spacing w:before="203" w:beforeLines="50" w:after="203" w:afterLines="50"/>
        <w:ind w:firstLine="420"/>
        <w:rPr>
          <w:rFonts w:ascii="宋体" w:hAnsi="宋体"/>
        </w:rPr>
      </w:pPr>
      <w:r>
        <w:rPr>
          <w:rFonts w:ascii="宋体" w:hAnsi="宋体"/>
        </w:rPr>
        <w:t>门禁系统功能：</w:t>
      </w:r>
    </w:p>
    <w:p>
      <w:pPr>
        <w:adjustRightInd w:val="0"/>
        <w:snapToGrid w:val="0"/>
        <w:spacing w:before="203" w:beforeLines="50" w:after="203" w:afterLines="50"/>
        <w:ind w:firstLine="420"/>
        <w:rPr>
          <w:rFonts w:ascii="宋体" w:hAnsi="宋体"/>
        </w:rPr>
      </w:pPr>
      <w:r>
        <w:rPr>
          <w:rFonts w:ascii="宋体" w:hAnsi="宋体"/>
        </w:rPr>
        <w:t>发卡授权管理：统采用集中统一发卡、分散授权模式。由发卡中心统一制发个人门禁卡和管理卡，再由门禁系统独立授予门禁卡在本系统的权限。系统可对每张卡片进行分级别、分区域、分时段管理持卡人可进出授权的活动区域。</w:t>
      </w:r>
    </w:p>
    <w:p>
      <w:pPr>
        <w:adjustRightInd w:val="0"/>
        <w:snapToGrid w:val="0"/>
        <w:spacing w:before="203" w:beforeLines="50" w:after="203" w:afterLines="50"/>
        <w:ind w:firstLine="420"/>
        <w:rPr>
          <w:rFonts w:ascii="宋体" w:hAnsi="宋体"/>
        </w:rPr>
      </w:pPr>
      <w:r>
        <w:rPr>
          <w:rFonts w:ascii="宋体" w:hAnsi="宋体"/>
        </w:rPr>
        <w:t>设备管理：系统能实时监控门禁系统各级设备的通信状态、运行状态及故障情况，当设备发生状态变化时自动接受、保存状态数据；开启多个监视界面对不同设备进行分类监管；实现各类设备的数据下载、信息存储查询及设备升级等操作。</w:t>
      </w:r>
    </w:p>
    <w:p>
      <w:pPr>
        <w:adjustRightInd w:val="0"/>
        <w:snapToGrid w:val="0"/>
        <w:spacing w:before="203" w:beforeLines="50" w:after="203" w:afterLines="50"/>
        <w:ind w:firstLine="420"/>
        <w:rPr>
          <w:rFonts w:ascii="宋体" w:hAnsi="宋体"/>
        </w:rPr>
      </w:pPr>
      <w:r>
        <w:rPr>
          <w:rFonts w:ascii="宋体" w:hAnsi="宋体"/>
        </w:rPr>
        <w:t>实时监控：系统管理人员可以通过客户端实时查看每个门人员的进出情况（客户端可以显出当前开启的门号、通过人员的卡号及姓名、读卡和通行是否成功等信息）、每个门区的状态（包括门的开关，各种非正常状态报警等）；也可以在紧急状态远程打开或关闭所有的门区。</w:t>
      </w:r>
    </w:p>
    <w:p>
      <w:pPr>
        <w:adjustRightInd w:val="0"/>
        <w:snapToGrid w:val="0"/>
        <w:spacing w:before="203" w:beforeLines="50" w:after="203" w:afterLines="50"/>
        <w:ind w:firstLine="420"/>
        <w:rPr>
          <w:rFonts w:ascii="宋体" w:hAnsi="宋体"/>
        </w:rPr>
      </w:pPr>
      <w:r>
        <w:rPr>
          <w:rFonts w:ascii="宋体" w:hAnsi="宋体"/>
        </w:rPr>
        <w:t>权限管理：系统可针对不同的受控人员，设置不同的区域活动权限，将人员的活动范围限制在与权限相对应的区域内；对人员出入情况进行实时记录管理。实现对指定区域分级、分时段的通行权限管理，限制外来人员随意进入受控区域，并根据管理人员的职位或工作性质确定其通行级别和允许通行的时段，有效防止内盗外盗。系统充分考虑安全性，可设置一定数量的操作员并设置不同的密码，根据各受控区域的不同分配操作员的权限。</w:t>
      </w:r>
    </w:p>
    <w:p>
      <w:pPr>
        <w:adjustRightInd w:val="0"/>
        <w:snapToGrid w:val="0"/>
        <w:spacing w:before="203" w:beforeLines="50" w:after="203" w:afterLines="50"/>
        <w:ind w:firstLine="420"/>
        <w:rPr>
          <w:rFonts w:ascii="宋体" w:hAnsi="宋体"/>
        </w:rPr>
      </w:pPr>
      <w:r>
        <w:rPr>
          <w:rFonts w:ascii="宋体" w:hAnsi="宋体"/>
        </w:rPr>
        <w:t>动态电子地图：门禁系统以图形的形式显示门禁的状态，比如当前门是开门还是关门状态，或者是门长时间打开而产生的报警状态。此时管理人员可以透过这种直观的图示来监视当前各门的状态，或者对长时间没有关闭而产生的报警门进行现场察看。同时拥有权限的管理人员，在电子地图上可对各门点进行直接地开/闭控制。</w:t>
      </w:r>
    </w:p>
    <w:p>
      <w:pPr>
        <w:adjustRightInd w:val="0"/>
        <w:snapToGrid w:val="0"/>
        <w:spacing w:before="203" w:beforeLines="50" w:after="203" w:afterLines="50"/>
        <w:ind w:firstLine="420"/>
        <w:rPr>
          <w:rFonts w:ascii="宋体" w:hAnsi="宋体"/>
        </w:rPr>
      </w:pPr>
      <w:r>
        <w:rPr>
          <w:rFonts w:ascii="宋体" w:hAnsi="宋体"/>
        </w:rPr>
        <w:t>出入记录查询：系统可实时显示、记录所有事件数据；读卡器读卡数据实时传送给管理平台，可在管理中心客户端立即显示持卡人（姓名、照片等）、事件时间、门点地址、事件类型（进门刷卡记录、出门刷卡记录、按钮开门、无效卡读卡、开门超时、强行开门）等如实记录且记录不可更改。报警事件发生时，计算机屏幕上会弹出醒目的报警提示框。系统可储存所有的进出记录、状态记录，可按不同的查询条件查询，并生成相应的报表。</w:t>
      </w:r>
    </w:p>
    <w:p>
      <w:pPr>
        <w:adjustRightInd w:val="0"/>
        <w:snapToGrid w:val="0"/>
        <w:spacing w:before="203" w:beforeLines="50" w:after="203" w:afterLines="50"/>
        <w:ind w:firstLine="420"/>
        <w:rPr>
          <w:rFonts w:ascii="宋体" w:hAnsi="宋体"/>
        </w:rPr>
      </w:pPr>
      <w:r>
        <w:rPr>
          <w:rFonts w:ascii="宋体" w:hAnsi="宋体"/>
        </w:rPr>
        <w:t>刷卡加密码开门：在重要房间的读卡可设置为刷卡加密码方式，确保内部安全，禁止无关人员随意出入，以提高整个受控区域的安全及管理级别。</w:t>
      </w:r>
    </w:p>
    <w:p>
      <w:pPr>
        <w:adjustRightInd w:val="0"/>
        <w:snapToGrid w:val="0"/>
        <w:spacing w:before="203" w:beforeLines="50" w:after="203" w:afterLines="50"/>
        <w:ind w:firstLine="420"/>
        <w:rPr>
          <w:rFonts w:ascii="宋体" w:hAnsi="宋体"/>
        </w:rPr>
      </w:pPr>
      <w:r>
        <w:rPr>
          <w:rFonts w:ascii="宋体" w:hAnsi="宋体"/>
        </w:rPr>
        <w:t>逻辑开门（双重卡）：某些重要管理通道需同一个门二人同时刷卡才能打开电控门锁。例如金库等，只有两人同时读卡才能开门。</w:t>
      </w:r>
    </w:p>
    <w:p>
      <w:pPr>
        <w:adjustRightInd w:val="0"/>
        <w:snapToGrid w:val="0"/>
        <w:spacing w:before="203" w:beforeLines="50" w:after="203" w:afterLines="50"/>
        <w:ind w:firstLine="420"/>
        <w:rPr>
          <w:rFonts w:ascii="宋体" w:hAnsi="宋体"/>
        </w:rPr>
      </w:pPr>
      <w:r>
        <w:rPr>
          <w:rFonts w:ascii="宋体" w:hAnsi="宋体"/>
        </w:rPr>
        <w:t>胁迫码：胁迫密码输入功能。当管理人员被劫持入门时，可读卡后输入约定胁迫码进门，在入侵者不知情的情况下，中心将能及时接收此胁迫信息并启动应急处理机制，确实保障该人员及受控区域的安全。</w:t>
      </w:r>
    </w:p>
    <w:p>
      <w:pPr>
        <w:adjustRightInd w:val="0"/>
        <w:snapToGrid w:val="0"/>
        <w:spacing w:before="203" w:beforeLines="50" w:after="203" w:afterLines="50"/>
        <w:ind w:firstLine="420"/>
        <w:rPr>
          <w:rFonts w:ascii="宋体" w:hAnsi="宋体"/>
        </w:rPr>
      </w:pPr>
      <w:r>
        <w:rPr>
          <w:rFonts w:ascii="宋体" w:hAnsi="宋体"/>
        </w:rPr>
        <w:t>与消防联动：系统可以提供软件或硬件两种消防联动模式，根据消防要求，门禁系统的消防联动多采用硬件联动模式。当紧急状态发生时，消防系统直接通过门禁消防模块，控制相应区域的门禁打开，以配合消防人员疏散人群及灭火抢险。通过调整和合理安排电源的布线方式，结合接入楼层弱电井的消防信号，直接通过电源的切换，当紧急状态发生时，系统能够满足断电开门的功能。</w:t>
      </w:r>
    </w:p>
    <w:p>
      <w:pPr>
        <w:pStyle w:val="6"/>
        <w:tabs>
          <w:tab w:val="left" w:pos="425"/>
        </w:tabs>
        <w:adjustRightInd w:val="0"/>
        <w:snapToGrid w:val="0"/>
        <w:spacing w:before="203" w:beforeLines="50" w:after="203" w:afterLines="50" w:line="240" w:lineRule="auto"/>
        <w:rPr>
          <w:rFonts w:ascii="宋体" w:hAnsi="宋体" w:eastAsia="宋体"/>
          <w:sz w:val="24"/>
        </w:rPr>
      </w:pPr>
      <w:r>
        <w:rPr>
          <w:rFonts w:hint="eastAsia" w:ascii="宋体" w:hAnsi="宋体" w:eastAsia="宋体"/>
          <w:sz w:val="24"/>
        </w:rPr>
        <w:t>10</w:t>
      </w:r>
      <w:r>
        <w:rPr>
          <w:rFonts w:ascii="宋体" w:hAnsi="宋体" w:eastAsia="宋体"/>
          <w:sz w:val="24"/>
        </w:rPr>
        <w:t>.</w:t>
      </w:r>
      <w:r>
        <w:rPr>
          <w:rFonts w:hint="eastAsia" w:ascii="宋体" w:hAnsi="宋体" w:eastAsia="宋体"/>
          <w:sz w:val="24"/>
        </w:rPr>
        <w:t>4.5</w:t>
      </w:r>
      <w:r>
        <w:rPr>
          <w:rFonts w:ascii="宋体" w:hAnsi="宋体" w:eastAsia="宋体"/>
          <w:sz w:val="24"/>
        </w:rPr>
        <w:t>.2 电子围栏系统</w:t>
      </w:r>
    </w:p>
    <w:p>
      <w:pPr>
        <w:adjustRightInd w:val="0"/>
        <w:snapToGrid w:val="0"/>
        <w:spacing w:before="203" w:beforeLines="50" w:after="203" w:afterLines="50"/>
        <w:ind w:firstLine="420"/>
        <w:rPr>
          <w:rFonts w:ascii="宋体" w:hAnsi="宋体"/>
        </w:rPr>
      </w:pPr>
      <w:r>
        <w:rPr>
          <w:rFonts w:ascii="宋体" w:hAnsi="宋体"/>
        </w:rPr>
        <w:t>总体要求</w:t>
      </w:r>
    </w:p>
    <w:p>
      <w:pPr>
        <w:adjustRightInd w:val="0"/>
        <w:snapToGrid w:val="0"/>
        <w:spacing w:before="203" w:beforeLines="50" w:after="203" w:afterLines="50"/>
        <w:ind w:firstLine="420"/>
        <w:rPr>
          <w:rFonts w:ascii="宋体" w:hAnsi="宋体"/>
        </w:rPr>
      </w:pPr>
      <w:r>
        <w:rPr>
          <w:rFonts w:ascii="宋体" w:hAnsi="宋体"/>
        </w:rPr>
        <w:t>红外对射：一对对射由一个红外发射机和一个红外接收机组成，当发射机和接收机之间的红外光束被完全或部分遮断时产生报警信号。为了减少落叶、小鸟等外界干扰造成的误报，使用四光束的对射探测器来减少误报。</w:t>
      </w:r>
    </w:p>
    <w:p>
      <w:pPr>
        <w:adjustRightInd w:val="0"/>
        <w:snapToGrid w:val="0"/>
        <w:spacing w:before="203" w:beforeLines="50" w:after="203" w:afterLines="50"/>
        <w:ind w:firstLine="420"/>
        <w:rPr>
          <w:rFonts w:ascii="宋体" w:hAnsi="宋体"/>
        </w:rPr>
      </w:pPr>
      <w:r>
        <w:rPr>
          <w:rFonts w:ascii="宋体" w:hAnsi="宋体"/>
        </w:rPr>
        <w:t>脉冲电子围栏：具有普通围墙的阻挡作用的基础上，增加报警功能，同时脉冲主机发出的脉冲高压信号又具有威慑入侵者的作用。脉冲电子围栏具有物理屏障、主动反击、延迟入侵、准确报警、安全防护等特性。每个防区100米以为，采用4线单防区主机。</w:t>
      </w:r>
    </w:p>
    <w:p>
      <w:pPr>
        <w:adjustRightInd w:val="0"/>
        <w:snapToGrid w:val="0"/>
        <w:spacing w:before="203" w:beforeLines="50" w:after="203" w:afterLines="50"/>
        <w:ind w:firstLine="420"/>
        <w:rPr>
          <w:rFonts w:ascii="宋体" w:hAnsi="宋体"/>
        </w:rPr>
      </w:pPr>
      <w:r>
        <w:rPr>
          <w:rFonts w:ascii="宋体" w:hAnsi="宋体"/>
        </w:rPr>
        <w:t>电子围栏传输系统采用TCP/IP方式组建网络，由综合布线系统和网络系统为显示系统配置控制专网。</w:t>
      </w:r>
    </w:p>
    <w:p>
      <w:pPr>
        <w:adjustRightInd w:val="0"/>
        <w:snapToGrid w:val="0"/>
        <w:spacing w:before="203" w:beforeLines="50" w:after="203" w:afterLines="50"/>
        <w:ind w:firstLine="420"/>
        <w:rPr>
          <w:rFonts w:ascii="宋体" w:hAnsi="宋体"/>
        </w:rPr>
      </w:pPr>
      <w:r>
        <w:rPr>
          <w:rFonts w:ascii="宋体" w:hAnsi="宋体"/>
        </w:rPr>
        <w:t>具体安装地点详见图纸。</w:t>
      </w:r>
    </w:p>
    <w:p>
      <w:pPr>
        <w:adjustRightInd w:val="0"/>
        <w:snapToGrid w:val="0"/>
        <w:spacing w:before="203" w:beforeLines="50" w:after="203" w:afterLines="50"/>
        <w:ind w:firstLine="420"/>
        <w:rPr>
          <w:rFonts w:ascii="宋体" w:hAnsi="宋体"/>
        </w:rPr>
      </w:pPr>
      <w:r>
        <w:rPr>
          <w:rFonts w:ascii="宋体" w:hAnsi="宋体"/>
        </w:rPr>
        <w:t>电子围栏系统功能：</w:t>
      </w:r>
    </w:p>
    <w:p>
      <w:pPr>
        <w:adjustRightInd w:val="0"/>
        <w:snapToGrid w:val="0"/>
        <w:spacing w:before="203" w:beforeLines="50" w:after="203" w:afterLines="50"/>
        <w:ind w:firstLine="420"/>
        <w:rPr>
          <w:rFonts w:ascii="宋体" w:hAnsi="宋体"/>
        </w:rPr>
      </w:pPr>
      <w:r>
        <w:rPr>
          <w:rFonts w:ascii="宋体" w:hAnsi="宋体"/>
        </w:rPr>
        <w:t>通过报警服务器从报警主机获取报警区域、探测区域内的各类报警输入信息，对各类报警做出及时处理。通过信息获取，平台可对报警探测器的实时状态进行实时检测，有效地保障警情的实时传达及各类报警设备的正常运行。</w:t>
      </w:r>
    </w:p>
    <w:p>
      <w:pPr>
        <w:adjustRightInd w:val="0"/>
        <w:snapToGrid w:val="0"/>
        <w:spacing w:before="203" w:beforeLines="50" w:after="203" w:afterLines="50"/>
        <w:ind w:firstLine="420"/>
        <w:rPr>
          <w:rFonts w:ascii="宋体" w:hAnsi="宋体"/>
        </w:rPr>
      </w:pPr>
      <w:r>
        <w:rPr>
          <w:rFonts w:ascii="宋体" w:hAnsi="宋体"/>
        </w:rPr>
        <w:t>支持电子地图上显示探测器、紧急报警装置的运行状态及布撤防状态；</w:t>
      </w:r>
    </w:p>
    <w:p>
      <w:pPr>
        <w:adjustRightInd w:val="0"/>
        <w:snapToGrid w:val="0"/>
        <w:spacing w:before="203" w:beforeLines="50" w:after="203" w:afterLines="50"/>
        <w:ind w:firstLine="420"/>
        <w:rPr>
          <w:rFonts w:ascii="宋体" w:hAnsi="宋体"/>
        </w:rPr>
      </w:pPr>
      <w:r>
        <w:rPr>
          <w:rFonts w:ascii="宋体" w:hAnsi="宋体"/>
        </w:rPr>
        <w:t>出现警情后，在电子地图上及时显示精确的报警区域；</w:t>
      </w:r>
    </w:p>
    <w:p>
      <w:pPr>
        <w:adjustRightInd w:val="0"/>
        <w:snapToGrid w:val="0"/>
        <w:spacing w:before="203" w:beforeLines="50" w:after="203" w:afterLines="50"/>
        <w:ind w:firstLine="420"/>
        <w:rPr>
          <w:rFonts w:ascii="宋体" w:hAnsi="宋体"/>
        </w:rPr>
      </w:pPr>
      <w:r>
        <w:rPr>
          <w:rFonts w:ascii="宋体" w:hAnsi="宋体"/>
        </w:rPr>
        <w:t>接收到报警信号时产生相关声光报警，并与视频、短信、邮件等联动；</w:t>
      </w:r>
    </w:p>
    <w:p>
      <w:pPr>
        <w:adjustRightInd w:val="0"/>
        <w:snapToGrid w:val="0"/>
        <w:spacing w:before="203" w:beforeLines="50" w:after="203" w:afterLines="50"/>
        <w:ind w:firstLine="420"/>
        <w:rPr>
          <w:rFonts w:ascii="宋体" w:hAnsi="宋体"/>
        </w:rPr>
      </w:pPr>
      <w:r>
        <w:rPr>
          <w:rFonts w:ascii="宋体" w:hAnsi="宋体"/>
        </w:rPr>
        <w:t>可根据防区进行分组，同一组防区的监控、安防报警可设成一组，可统一设置相关预案；</w:t>
      </w:r>
    </w:p>
    <w:p>
      <w:pPr>
        <w:adjustRightInd w:val="0"/>
        <w:snapToGrid w:val="0"/>
        <w:spacing w:before="203" w:beforeLines="50" w:after="203" w:afterLines="50"/>
        <w:ind w:firstLine="420"/>
        <w:rPr>
          <w:rFonts w:ascii="宋体" w:hAnsi="宋体"/>
        </w:rPr>
      </w:pPr>
      <w:r>
        <w:rPr>
          <w:rFonts w:ascii="宋体" w:hAnsi="宋体"/>
        </w:rPr>
        <w:t>报警时对应区域实现相关联动，客户端将弹出窗口，以便相关人员对现场进行查看；</w:t>
      </w:r>
    </w:p>
    <w:p>
      <w:pPr>
        <w:adjustRightInd w:val="0"/>
        <w:snapToGrid w:val="0"/>
        <w:spacing w:before="203" w:beforeLines="50" w:after="203" w:afterLines="50"/>
        <w:ind w:firstLine="420"/>
        <w:rPr>
          <w:rFonts w:ascii="宋体" w:hAnsi="宋体"/>
        </w:rPr>
      </w:pPr>
      <w:r>
        <w:rPr>
          <w:rFonts w:ascii="宋体" w:hAnsi="宋体"/>
        </w:rPr>
        <w:t>可联动移动终端进行视频监控及云台控制；</w:t>
      </w:r>
    </w:p>
    <w:p>
      <w:pPr>
        <w:adjustRightInd w:val="0"/>
        <w:snapToGrid w:val="0"/>
        <w:spacing w:before="203" w:beforeLines="50" w:after="203" w:afterLines="50"/>
        <w:ind w:firstLine="420"/>
        <w:rPr>
          <w:rFonts w:ascii="宋体" w:hAnsi="宋体"/>
        </w:rPr>
      </w:pPr>
      <w:r>
        <w:rPr>
          <w:rFonts w:ascii="宋体" w:hAnsi="宋体"/>
        </w:rPr>
        <w:t>管理人员可根据报警时间点查询报警录像，以便事后取证。</w:t>
      </w:r>
    </w:p>
    <w:p>
      <w:pPr>
        <w:pStyle w:val="6"/>
        <w:tabs>
          <w:tab w:val="left" w:pos="425"/>
        </w:tabs>
        <w:adjustRightInd w:val="0"/>
        <w:snapToGrid w:val="0"/>
        <w:spacing w:before="203" w:beforeLines="50" w:after="203" w:afterLines="50" w:line="240" w:lineRule="auto"/>
        <w:rPr>
          <w:rFonts w:ascii="宋体" w:hAnsi="宋体" w:eastAsia="宋体"/>
          <w:sz w:val="24"/>
        </w:rPr>
      </w:pPr>
      <w:r>
        <w:rPr>
          <w:rFonts w:hint="eastAsia" w:ascii="宋体" w:hAnsi="宋体" w:eastAsia="宋体"/>
          <w:sz w:val="24"/>
        </w:rPr>
        <w:t>10</w:t>
      </w:r>
      <w:r>
        <w:rPr>
          <w:rFonts w:ascii="宋体" w:hAnsi="宋体" w:eastAsia="宋体"/>
          <w:sz w:val="24"/>
        </w:rPr>
        <w:t>.</w:t>
      </w:r>
      <w:r>
        <w:rPr>
          <w:rFonts w:hint="eastAsia" w:ascii="宋体" w:hAnsi="宋体" w:eastAsia="宋体"/>
          <w:sz w:val="24"/>
        </w:rPr>
        <w:t>4.5</w:t>
      </w:r>
      <w:r>
        <w:rPr>
          <w:rFonts w:ascii="宋体" w:hAnsi="宋体" w:eastAsia="宋体"/>
          <w:sz w:val="24"/>
        </w:rPr>
        <w:t>.3 显示系统</w:t>
      </w:r>
    </w:p>
    <w:p>
      <w:pPr>
        <w:adjustRightInd w:val="0"/>
        <w:snapToGrid w:val="0"/>
        <w:spacing w:before="203" w:beforeLines="50" w:after="203" w:afterLines="50"/>
        <w:ind w:firstLine="420"/>
        <w:rPr>
          <w:rFonts w:ascii="宋体" w:hAnsi="宋体"/>
        </w:rPr>
      </w:pPr>
      <w:r>
        <w:rPr>
          <w:rFonts w:ascii="宋体" w:hAnsi="宋体"/>
        </w:rPr>
        <w:t>总体要求</w:t>
      </w:r>
    </w:p>
    <w:p>
      <w:pPr>
        <w:adjustRightInd w:val="0"/>
        <w:snapToGrid w:val="0"/>
        <w:spacing w:before="203" w:beforeLines="50" w:after="203" w:afterLines="50"/>
        <w:ind w:firstLine="420"/>
        <w:rPr>
          <w:rFonts w:ascii="宋体" w:hAnsi="宋体"/>
        </w:rPr>
      </w:pPr>
      <w:r>
        <w:rPr>
          <w:rFonts w:ascii="宋体" w:hAnsi="宋体"/>
        </w:rPr>
        <w:t>显示系统：使用DLP大屏、LCD液晶拼接屏、多屏控制器、控制键盘，实现视频图像资源、物联网数据的汇聚，并对资源进行统一管理和调度；</w:t>
      </w:r>
    </w:p>
    <w:p>
      <w:pPr>
        <w:adjustRightInd w:val="0"/>
        <w:snapToGrid w:val="0"/>
        <w:spacing w:before="203" w:beforeLines="50" w:after="203" w:afterLines="50"/>
        <w:ind w:firstLine="420"/>
        <w:rPr>
          <w:rFonts w:ascii="宋体" w:hAnsi="宋体"/>
        </w:rPr>
      </w:pPr>
      <w:r>
        <w:rPr>
          <w:rFonts w:ascii="宋体" w:hAnsi="宋体"/>
        </w:rPr>
        <w:t>显示传输系统采用TCP/IP方式组建网络，由综合布线系统和网络系统为显示系统配置控制专网。</w:t>
      </w:r>
    </w:p>
    <w:p>
      <w:pPr>
        <w:adjustRightInd w:val="0"/>
        <w:snapToGrid w:val="0"/>
        <w:spacing w:before="203" w:beforeLines="50" w:after="203" w:afterLines="50"/>
        <w:ind w:firstLine="420"/>
        <w:rPr>
          <w:rFonts w:ascii="宋体" w:hAnsi="宋体"/>
        </w:rPr>
      </w:pPr>
      <w:r>
        <w:rPr>
          <w:rFonts w:ascii="宋体" w:hAnsi="宋体"/>
        </w:rPr>
        <w:t>显示系统功能：</w:t>
      </w:r>
    </w:p>
    <w:p>
      <w:pPr>
        <w:adjustRightInd w:val="0"/>
        <w:snapToGrid w:val="0"/>
        <w:spacing w:before="203" w:beforeLines="50" w:after="203" w:afterLines="50"/>
        <w:ind w:firstLine="420"/>
        <w:rPr>
          <w:rFonts w:ascii="宋体" w:hAnsi="宋体"/>
        </w:rPr>
      </w:pPr>
      <w:r>
        <w:rPr>
          <w:rFonts w:ascii="宋体" w:hAnsi="宋体"/>
        </w:rPr>
        <w:t>DLP大屏、LCD液晶拼接屏实现视频图像信息，快速响应时间，有效消除画面的拖尾现象，画面更加流畅，更佳的适应高速动态画面显示。超宽视角水平、垂直178°的超宽视角，站在任意角度观看视觉效果均保持良好。卓越的显示性能在组成超大拼接大屏幕墙时显示效果尤佳，有利于用户处于各个角度看到一致的图像效果。超窄边结构。</w:t>
      </w:r>
    </w:p>
    <w:p>
      <w:pPr>
        <w:adjustRightInd w:val="0"/>
        <w:snapToGrid w:val="0"/>
        <w:spacing w:before="203" w:beforeLines="50" w:after="203" w:afterLines="50"/>
        <w:ind w:firstLine="420"/>
        <w:rPr>
          <w:rFonts w:ascii="宋体" w:hAnsi="宋体"/>
        </w:rPr>
      </w:pPr>
      <w:r>
        <w:rPr>
          <w:rFonts w:ascii="宋体" w:hAnsi="宋体"/>
        </w:rPr>
        <w:t>多屏控制器：支持DVI 信号接入和DVI 信号接入，支持实时视频解码上墙，用户可以用鼠标直接拖拽树形资源上的监控点到解码窗口中，完成该监控点实时视频的解码上墙处理。支持历史录像回放视频解码上墙，用户可查询前端设备或中心存储录像，并将播放的录像视频直接拖拽到解码窗口中，立刻进行该监控点当前回放视频的解码上墙功能。支持动态解码上墙云台控制功能，在监控点实时视频进行解码上墙时，用户对解码窗口进行选中后，点击云台控制操作盘进行云台控制操作。支持多画面分割，解码窗口支持多画面分割，能够支持1、4、9、16等多种分割模式。支持大屏拼接功能，系统支持模数混合矩阵接入，能够实现模数混合矩阵解码板大屏拼控功能，通过鼠标框选的方式，快速的将多个独立的解码窗口拼接成一个大屏，适用于高清画面等需要重点监控的视频。支持单屏报警上墙，用户可以在独立的监视屏或拼接大屏中进行报警上大屏配置，当计划内的报警产生时能够在配置的大屏中进行报警上墙功能，整个配置可按监视屏配置多个报警，各个监视屏可独立配置。支持报警场景切换，用户可以单独配置一个报警场景，当该报警场景上配置的报警触发时，电视墙自动切换到报警场景中，并进行相应的视频解码上墙显示。</w:t>
      </w:r>
    </w:p>
    <w:p>
      <w:pPr>
        <w:adjustRightInd w:val="0"/>
        <w:snapToGrid w:val="0"/>
        <w:spacing w:before="203" w:beforeLines="50" w:after="203" w:afterLines="50"/>
        <w:ind w:firstLine="500" w:firstLineChars="200"/>
        <w:rPr>
          <w:rFonts w:ascii="宋体" w:hAnsi="宋体"/>
        </w:rPr>
      </w:pPr>
      <w:r>
        <w:rPr>
          <w:rFonts w:ascii="宋体" w:hAnsi="宋体"/>
        </w:rPr>
        <w:t>4、电源防雷器</w:t>
      </w:r>
    </w:p>
    <w:p>
      <w:pPr>
        <w:adjustRightInd w:val="0"/>
        <w:snapToGrid w:val="0"/>
        <w:spacing w:before="203" w:beforeLines="50" w:after="203" w:afterLines="50"/>
        <w:ind w:firstLine="500" w:firstLineChars="200"/>
        <w:rPr>
          <w:rFonts w:ascii="宋体" w:hAnsi="宋体"/>
        </w:rPr>
      </w:pPr>
      <w:r>
        <w:rPr>
          <w:rFonts w:ascii="宋体" w:hAnsi="宋体"/>
        </w:rPr>
        <w:t>设备控制柜（箱）进线端安装电源第二级防雷器（或组合），以保护中控室、机房设备及现场设备等的供电安全。同时，防雷器（或组合）应选用相应IP等级的保护箱，以满足现场环境对防雷器（或组合）的防尘、防潮、抗冲击等要求。通过CE认证、UL标准认证和ISO9001的认证。</w:t>
      </w:r>
    </w:p>
    <w:p>
      <w:pPr>
        <w:adjustRightInd w:val="0"/>
        <w:snapToGrid w:val="0"/>
        <w:spacing w:before="203" w:beforeLines="50" w:after="203" w:afterLines="50"/>
        <w:ind w:firstLine="500" w:firstLineChars="200"/>
        <w:rPr>
          <w:rFonts w:ascii="宋体" w:hAnsi="宋体"/>
        </w:rPr>
      </w:pPr>
      <w:r>
        <w:rPr>
          <w:rFonts w:ascii="宋体" w:hAnsi="宋体"/>
        </w:rPr>
        <w:t>采用性能指标不低于雷迅（ASP）或凯瑞达或OBO的产品，全厂统一品牌。</w:t>
      </w:r>
    </w:p>
    <w:p>
      <w:pPr>
        <w:adjustRightInd w:val="0"/>
        <w:snapToGrid w:val="0"/>
        <w:spacing w:before="203" w:beforeLines="50" w:after="203" w:afterLines="50"/>
        <w:ind w:firstLine="500" w:firstLineChars="200"/>
        <w:rPr>
          <w:rFonts w:ascii="宋体" w:hAnsi="宋体"/>
        </w:rPr>
      </w:pPr>
      <w:r>
        <w:rPr>
          <w:rFonts w:ascii="宋体" w:hAnsi="宋体"/>
        </w:rPr>
        <w:t>技术指标</w:t>
      </w:r>
    </w:p>
    <w:p>
      <w:pPr>
        <w:adjustRightInd w:val="0"/>
        <w:snapToGrid w:val="0"/>
        <w:spacing w:before="203" w:beforeLines="50" w:after="203" w:afterLines="50"/>
        <w:ind w:firstLine="500" w:firstLineChars="200"/>
        <w:rPr>
          <w:rFonts w:ascii="宋体" w:hAnsi="宋体"/>
        </w:rPr>
      </w:pPr>
      <w:r>
        <w:rPr>
          <w:rFonts w:ascii="宋体" w:hAnsi="宋体"/>
        </w:rPr>
        <w:t>供电方式  ： 单相</w:t>
      </w:r>
    </w:p>
    <w:p>
      <w:pPr>
        <w:adjustRightInd w:val="0"/>
        <w:snapToGrid w:val="0"/>
        <w:spacing w:before="203" w:beforeLines="50" w:after="203" w:afterLines="50"/>
        <w:ind w:firstLine="500" w:firstLineChars="200"/>
        <w:rPr>
          <w:rFonts w:ascii="宋体" w:hAnsi="宋体"/>
        </w:rPr>
      </w:pPr>
      <w:r>
        <w:rPr>
          <w:rFonts w:ascii="宋体" w:hAnsi="宋体"/>
        </w:rPr>
        <w:t>标称放电电流：Isn  8/20μs   20KA</w:t>
      </w:r>
    </w:p>
    <w:p>
      <w:pPr>
        <w:adjustRightInd w:val="0"/>
        <w:snapToGrid w:val="0"/>
        <w:spacing w:before="203" w:beforeLines="50" w:after="203" w:afterLines="50"/>
        <w:ind w:firstLine="500" w:firstLineChars="200"/>
        <w:rPr>
          <w:rFonts w:ascii="宋体" w:hAnsi="宋体"/>
        </w:rPr>
      </w:pPr>
      <w:r>
        <w:rPr>
          <w:rFonts w:ascii="宋体" w:hAnsi="宋体"/>
        </w:rPr>
        <w:t>最大放电电流：Imax  8/20μs  40KA</w:t>
      </w:r>
    </w:p>
    <w:p>
      <w:pPr>
        <w:adjustRightInd w:val="0"/>
        <w:snapToGrid w:val="0"/>
        <w:spacing w:before="203" w:beforeLines="50" w:after="203" w:afterLines="50"/>
        <w:ind w:firstLine="500" w:firstLineChars="200"/>
        <w:rPr>
          <w:rFonts w:ascii="宋体" w:hAnsi="宋体"/>
        </w:rPr>
      </w:pPr>
      <w:r>
        <w:rPr>
          <w:rFonts w:ascii="宋体" w:hAnsi="宋体"/>
        </w:rPr>
        <w:t>限制电压：Up  ≤1.5KV@5KA</w:t>
      </w:r>
    </w:p>
    <w:p>
      <w:pPr>
        <w:adjustRightInd w:val="0"/>
        <w:snapToGrid w:val="0"/>
        <w:spacing w:before="203" w:beforeLines="50" w:after="203" w:afterLines="50"/>
        <w:ind w:firstLine="500" w:firstLineChars="200"/>
        <w:rPr>
          <w:rFonts w:ascii="宋体" w:hAnsi="宋体"/>
        </w:rPr>
      </w:pPr>
      <w:r>
        <w:rPr>
          <w:rFonts w:ascii="宋体" w:hAnsi="宋体"/>
        </w:rPr>
        <w:t>标称导通电压：Un  IL=1mA   680±10%</w:t>
      </w:r>
    </w:p>
    <w:p>
      <w:pPr>
        <w:adjustRightInd w:val="0"/>
        <w:snapToGrid w:val="0"/>
        <w:spacing w:before="203" w:beforeLines="50" w:after="203" w:afterLines="50"/>
        <w:ind w:firstLine="500" w:firstLineChars="200"/>
        <w:rPr>
          <w:rFonts w:ascii="宋体" w:hAnsi="宋体"/>
        </w:rPr>
      </w:pPr>
      <w:r>
        <w:rPr>
          <w:rFonts w:ascii="宋体" w:hAnsi="宋体"/>
        </w:rPr>
        <w:t>响应时间：Ta   ≤25ns</w:t>
      </w:r>
    </w:p>
    <w:p>
      <w:pPr>
        <w:adjustRightInd w:val="0"/>
        <w:snapToGrid w:val="0"/>
        <w:spacing w:before="203" w:beforeLines="50" w:after="203" w:afterLines="50"/>
        <w:ind w:firstLine="500" w:firstLineChars="200"/>
        <w:rPr>
          <w:rFonts w:ascii="宋体" w:hAnsi="宋体"/>
        </w:rPr>
      </w:pPr>
      <w:r>
        <w:rPr>
          <w:rFonts w:ascii="宋体" w:hAnsi="宋体"/>
        </w:rPr>
        <w:t>防护等级：中控室IP41，现场IP65；</w:t>
      </w:r>
    </w:p>
    <w:p>
      <w:pPr>
        <w:adjustRightInd w:val="0"/>
        <w:snapToGrid w:val="0"/>
        <w:spacing w:before="203" w:beforeLines="50" w:after="203" w:afterLines="50"/>
        <w:ind w:firstLine="500" w:firstLineChars="200"/>
        <w:rPr>
          <w:rFonts w:ascii="宋体" w:hAnsi="宋体"/>
        </w:rPr>
      </w:pPr>
      <w:r>
        <w:rPr>
          <w:rFonts w:ascii="宋体" w:hAnsi="宋体"/>
        </w:rPr>
        <w:t>箱体材料：耐撞击热塑性工程塑料</w:t>
      </w:r>
    </w:p>
    <w:p>
      <w:pPr>
        <w:adjustRightInd w:val="0"/>
        <w:snapToGrid w:val="0"/>
        <w:spacing w:before="203" w:beforeLines="50" w:after="203" w:afterLines="50"/>
        <w:ind w:firstLine="500" w:firstLineChars="200"/>
        <w:rPr>
          <w:rFonts w:ascii="宋体" w:hAnsi="宋体"/>
        </w:rPr>
      </w:pPr>
      <w:r>
        <w:rPr>
          <w:rFonts w:ascii="宋体" w:hAnsi="宋体"/>
        </w:rPr>
        <w:t>5、防雷接地系统</w:t>
      </w:r>
    </w:p>
    <w:p>
      <w:pPr>
        <w:adjustRightInd w:val="0"/>
        <w:snapToGrid w:val="0"/>
        <w:spacing w:before="203" w:beforeLines="50" w:after="203" w:afterLines="50"/>
        <w:ind w:firstLine="500" w:firstLineChars="200"/>
        <w:rPr>
          <w:rFonts w:ascii="宋体" w:hAnsi="宋体"/>
        </w:rPr>
      </w:pPr>
      <w:r>
        <w:rPr>
          <w:rFonts w:ascii="宋体" w:hAnsi="宋体"/>
        </w:rPr>
        <w:t>前端设备的防雷</w:t>
      </w:r>
      <w:r>
        <w:rPr>
          <w:rFonts w:hint="eastAsia" w:ascii="宋体" w:hAnsi="宋体"/>
        </w:rPr>
        <w:t>：</w:t>
      </w:r>
      <w:r>
        <w:rPr>
          <w:rFonts w:ascii="宋体" w:hAnsi="宋体"/>
        </w:rPr>
        <w:t>　</w:t>
      </w:r>
    </w:p>
    <w:p>
      <w:pPr>
        <w:adjustRightInd w:val="0"/>
        <w:snapToGrid w:val="0"/>
        <w:spacing w:before="203" w:beforeLines="50" w:after="203" w:afterLines="50"/>
        <w:ind w:firstLine="500" w:firstLineChars="200"/>
        <w:rPr>
          <w:rFonts w:ascii="宋体" w:hAnsi="宋体"/>
        </w:rPr>
      </w:pPr>
      <w:r>
        <w:rPr>
          <w:rFonts w:ascii="宋体" w:hAnsi="宋体"/>
        </w:rPr>
        <w:t>安装在室内的设备需考虑防止雷电过电压对设备的侵害，室外的设备则同时需考虑防止直击雷击。</w:t>
      </w:r>
    </w:p>
    <w:p>
      <w:pPr>
        <w:adjustRightInd w:val="0"/>
        <w:snapToGrid w:val="0"/>
        <w:spacing w:before="203" w:beforeLines="50" w:after="203" w:afterLines="50"/>
        <w:ind w:firstLine="500" w:firstLineChars="200"/>
        <w:rPr>
          <w:rFonts w:ascii="宋体" w:hAnsi="宋体"/>
        </w:rPr>
      </w:pPr>
      <w:r>
        <w:rPr>
          <w:rFonts w:ascii="宋体" w:hAnsi="宋体"/>
        </w:rPr>
        <w:t>前端设备如摄像机应置于接闪器（避雷针或其它接闪导体）有效保护范围之内。当摄像机独立架设时，原则上为了防止避雷针及引下线上的暂态高电位，避雷针应距摄像机3－4米的距离。如有困难避雷针也可以架设在摄像机的支撑杆上，引下线可直接利用金属杆本身或选用Φ 8以上的镀锌圆钢并涂上绝缘油漆。</w:t>
      </w:r>
    </w:p>
    <w:p>
      <w:pPr>
        <w:adjustRightInd w:val="0"/>
        <w:snapToGrid w:val="0"/>
        <w:spacing w:before="203" w:beforeLines="50" w:after="203" w:afterLines="50"/>
        <w:ind w:firstLine="500" w:firstLineChars="200"/>
        <w:rPr>
          <w:rFonts w:ascii="宋体" w:hAnsi="宋体"/>
        </w:rPr>
      </w:pPr>
      <w:r>
        <w:rPr>
          <w:rFonts w:ascii="宋体" w:hAnsi="宋体"/>
        </w:rPr>
        <w:t>为防止电磁感应，沿电线杆引上的摄像机电源线和信号线应穿在金属管内以达到屏蔽作用，屏蔽金属管的两端均应接地。</w:t>
      </w:r>
    </w:p>
    <w:p>
      <w:pPr>
        <w:adjustRightInd w:val="0"/>
        <w:snapToGrid w:val="0"/>
        <w:spacing w:before="203" w:beforeLines="50" w:after="203" w:afterLines="50"/>
        <w:ind w:firstLine="500" w:firstLineChars="200"/>
        <w:rPr>
          <w:rFonts w:ascii="宋体" w:hAnsi="宋体"/>
        </w:rPr>
      </w:pPr>
      <w:r>
        <w:rPr>
          <w:rFonts w:ascii="宋体" w:hAnsi="宋体"/>
        </w:rPr>
        <w:t>为防止雷电波沿线路侵入前端设备，应在设备前的每条线路上加装合适的避雷器，如电源线（DC24V或220V）、视频线、信号线和云台控制线。　</w:t>
      </w:r>
    </w:p>
    <w:p>
      <w:pPr>
        <w:adjustRightInd w:val="0"/>
        <w:snapToGrid w:val="0"/>
        <w:spacing w:before="203" w:beforeLines="50" w:after="203" w:afterLines="50"/>
        <w:ind w:firstLine="500" w:firstLineChars="200"/>
        <w:rPr>
          <w:rFonts w:ascii="宋体" w:hAnsi="宋体"/>
        </w:rPr>
      </w:pPr>
      <w:r>
        <w:rPr>
          <w:rFonts w:ascii="宋体" w:hAnsi="宋体"/>
        </w:rPr>
        <w:t>电源输入前端还应加装B、C级防雷器，信号线两端加装信号放雷器。　　</w:t>
      </w:r>
    </w:p>
    <w:p>
      <w:pPr>
        <w:adjustRightInd w:val="0"/>
        <w:snapToGrid w:val="0"/>
        <w:spacing w:before="203" w:beforeLines="50" w:after="203" w:afterLines="50"/>
        <w:ind w:firstLine="500" w:firstLineChars="200"/>
        <w:rPr>
          <w:rFonts w:ascii="宋体" w:hAnsi="宋体"/>
        </w:rPr>
      </w:pPr>
      <w:r>
        <w:rPr>
          <w:rFonts w:ascii="宋体" w:hAnsi="宋体"/>
        </w:rPr>
        <w:t>传输线路的防雷</w:t>
      </w:r>
      <w:r>
        <w:rPr>
          <w:rFonts w:hint="eastAsia" w:ascii="宋体" w:hAnsi="宋体"/>
        </w:rPr>
        <w:t>：</w:t>
      </w:r>
      <w:r>
        <w:rPr>
          <w:rFonts w:ascii="宋体" w:hAnsi="宋体"/>
        </w:rPr>
        <w:t>视频、控制信号传输线和报警信号传输线的屏蔽层两端均应做良好的接地。穿线导管应保持电气连通，并与厂区防雷统一接地体电气连接。</w:t>
      </w:r>
    </w:p>
    <w:p>
      <w:pPr>
        <w:adjustRightInd w:val="0"/>
        <w:snapToGrid w:val="0"/>
        <w:spacing w:before="203" w:beforeLines="50" w:after="203" w:afterLines="50"/>
        <w:ind w:firstLine="500" w:firstLineChars="200"/>
        <w:rPr>
          <w:rFonts w:ascii="宋体" w:hAnsi="宋体"/>
        </w:rPr>
      </w:pPr>
      <w:r>
        <w:rPr>
          <w:rFonts w:ascii="宋体" w:hAnsi="宋体"/>
        </w:rPr>
        <w:t>终端设备的防雷</w:t>
      </w:r>
      <w:r>
        <w:rPr>
          <w:rFonts w:hint="eastAsia" w:ascii="宋体" w:hAnsi="宋体"/>
        </w:rPr>
        <w:t>：</w:t>
      </w:r>
      <w:r>
        <w:rPr>
          <w:rFonts w:ascii="宋体" w:hAnsi="宋体"/>
        </w:rPr>
        <w:t>终端设备防雷应从直击雷防护、雷电波侵入、等电位连接和电涌保护等方面进行。进入监控室的各种金属管线应接到防感应雷的接地装置上。在视频传输线进入中心控制台前端加装视频信号避雷器。在信号控制线进入中心控制台前端加装控制信号避雷器。在电源线进入中心控制台前加装电源防雷器。</w:t>
      </w:r>
    </w:p>
    <w:p>
      <w:pPr>
        <w:adjustRightInd w:val="0"/>
        <w:snapToGrid w:val="0"/>
        <w:spacing w:before="203" w:beforeLines="50" w:after="203" w:afterLines="50"/>
        <w:ind w:firstLine="500" w:firstLineChars="200"/>
        <w:rPr>
          <w:rFonts w:ascii="宋体" w:hAnsi="宋体"/>
        </w:rPr>
      </w:pPr>
      <w:r>
        <w:rPr>
          <w:rFonts w:ascii="宋体" w:hAnsi="宋体"/>
        </w:rPr>
        <w:t>闭路监视机房的等电位连接</w:t>
      </w:r>
      <w:r>
        <w:rPr>
          <w:rFonts w:hint="eastAsia" w:ascii="宋体" w:hAnsi="宋体"/>
        </w:rPr>
        <w:t>：</w:t>
      </w:r>
      <w:r>
        <w:rPr>
          <w:rFonts w:ascii="宋体" w:hAnsi="宋体"/>
        </w:rPr>
        <w:t>监控室内应设置一等电位连接母线（或金属板），该等电位连接母线应与建筑物防雷接地、PE线、设备保护地、防静电地等连接到一起防止危险的电位差。各种电涌保护器（避雷器）的接地线应以最直和最短的距离与等电位连接母排进行电气连接。</w:t>
      </w:r>
    </w:p>
    <w:p>
      <w:pPr>
        <w:adjustRightInd w:val="0"/>
        <w:snapToGrid w:val="0"/>
        <w:spacing w:before="203" w:beforeLines="50" w:after="203" w:afterLines="50"/>
        <w:ind w:firstLine="500" w:firstLineChars="200"/>
        <w:rPr>
          <w:rFonts w:ascii="宋体" w:hAnsi="宋体"/>
        </w:rPr>
      </w:pPr>
      <w:r>
        <w:rPr>
          <w:rFonts w:ascii="宋体" w:hAnsi="宋体"/>
        </w:rPr>
        <w:t>监控机房设备间内敷设400×100×10mm的铜板作为设备接地的局部等电位连接排。将室内所有电子设备以及所有进入机房的金属管道、金属门窗、信号电缆外屏蔽层、电力电缆外铠装、计算机装置本身（含外露可导电部分）、PE线、防静电地板等与等电位端子排连接并接地。</w:t>
      </w:r>
    </w:p>
    <w:p>
      <w:pPr>
        <w:adjustRightInd w:val="0"/>
        <w:snapToGrid w:val="0"/>
        <w:spacing w:before="203" w:beforeLines="50" w:after="203" w:afterLines="50"/>
        <w:ind w:firstLine="500" w:firstLineChars="200"/>
        <w:rPr>
          <w:rFonts w:ascii="宋体" w:hAnsi="宋体"/>
        </w:rPr>
      </w:pPr>
      <w:r>
        <w:rPr>
          <w:rFonts w:ascii="宋体" w:hAnsi="宋体"/>
        </w:rPr>
        <w:t>闭路监视系统的接地</w:t>
      </w:r>
      <w:r>
        <w:rPr>
          <w:rFonts w:hint="eastAsia" w:ascii="宋体" w:hAnsi="宋体"/>
        </w:rPr>
        <w:t>：</w:t>
      </w:r>
      <w:r>
        <w:rPr>
          <w:rFonts w:ascii="宋体" w:hAnsi="宋体"/>
        </w:rPr>
        <w:t>GB 50198-2011《民用闭路电视监控系统工程技术规范》：</w:t>
      </w:r>
    </w:p>
    <w:p>
      <w:pPr>
        <w:adjustRightInd w:val="0"/>
        <w:snapToGrid w:val="0"/>
        <w:spacing w:before="203" w:beforeLines="50" w:after="203" w:afterLines="50"/>
        <w:ind w:firstLine="500" w:firstLineChars="200"/>
        <w:rPr>
          <w:rFonts w:ascii="宋体" w:hAnsi="宋体"/>
        </w:rPr>
      </w:pPr>
      <w:r>
        <w:rPr>
          <w:rFonts w:ascii="宋体" w:hAnsi="宋体"/>
        </w:rPr>
        <w:t>第2．5．8条：“防雷接地装置宜与电气设备接地装置和埋地金属管道相连，当不相连时，两者间的距离不宜小于20m”</w:t>
      </w:r>
    </w:p>
    <w:p>
      <w:pPr>
        <w:adjustRightInd w:val="0"/>
        <w:snapToGrid w:val="0"/>
        <w:spacing w:before="203" w:beforeLines="50" w:after="203" w:afterLines="50"/>
        <w:ind w:firstLine="500" w:firstLineChars="200"/>
        <w:rPr>
          <w:rFonts w:ascii="宋体" w:hAnsi="宋体"/>
        </w:rPr>
      </w:pPr>
      <w:r>
        <w:rPr>
          <w:rFonts w:ascii="宋体" w:hAnsi="宋体"/>
        </w:rPr>
        <w:t>第2．5．4条：“系统采用专用接地装置时，其接地电阻不得大于4Ω，采用综合接地网时，其接地电阻不得大于1Ω。”</w:t>
      </w:r>
    </w:p>
    <w:p>
      <w:pPr>
        <w:adjustRightInd w:val="0"/>
        <w:snapToGrid w:val="0"/>
        <w:spacing w:before="203" w:beforeLines="50" w:after="203" w:afterLines="50"/>
        <w:ind w:firstLine="500" w:firstLineChars="200"/>
        <w:rPr>
          <w:rFonts w:ascii="宋体" w:hAnsi="宋体"/>
        </w:rPr>
      </w:pPr>
      <w:r>
        <w:rPr>
          <w:rFonts w:ascii="宋体" w:hAnsi="宋体"/>
        </w:rPr>
        <w:t>GB50343－2004《建筑物电子信息系统防雷技术规范》：</w:t>
      </w:r>
    </w:p>
    <w:p>
      <w:pPr>
        <w:adjustRightInd w:val="0"/>
        <w:snapToGrid w:val="0"/>
        <w:spacing w:before="203" w:beforeLines="50" w:after="203" w:afterLines="50"/>
        <w:ind w:firstLine="500" w:firstLineChars="200"/>
        <w:rPr>
          <w:rFonts w:ascii="宋体" w:hAnsi="宋体"/>
        </w:rPr>
      </w:pPr>
      <w:r>
        <w:rPr>
          <w:rFonts w:ascii="宋体" w:hAnsi="宋体"/>
        </w:rPr>
        <w:t>第5．2．5条（本条为强制性条款）：“防雷接地应与交流工作接地、直流工作接地、安全保护接地共用一组接地装置，接地装置的接地电阻值必须按接入设备中要求的最小值确定。”</w:t>
      </w:r>
    </w:p>
    <w:p>
      <w:pPr>
        <w:adjustRightInd w:val="0"/>
        <w:snapToGrid w:val="0"/>
        <w:spacing w:before="203" w:beforeLines="50" w:after="203" w:afterLines="50"/>
        <w:ind w:firstLine="500" w:firstLineChars="200"/>
        <w:rPr>
          <w:rFonts w:ascii="宋体" w:hAnsi="宋体"/>
        </w:rPr>
      </w:pPr>
      <w:r>
        <w:rPr>
          <w:rFonts w:ascii="宋体" w:hAnsi="宋体"/>
        </w:rPr>
        <w:t>第5．2．6条（本条为强制性条款）：“接地装置应利用建筑物的自然接地体，当自然接地体的接地电阻达不到要求时必须增加人工接地体。</w:t>
      </w:r>
    </w:p>
    <w:p>
      <w:pPr>
        <w:adjustRightInd w:val="0"/>
        <w:snapToGrid w:val="0"/>
        <w:spacing w:before="203" w:beforeLines="50" w:after="203" w:afterLines="50"/>
        <w:ind w:firstLine="500" w:firstLineChars="200"/>
        <w:rPr>
          <w:rFonts w:ascii="宋体" w:hAnsi="宋体"/>
        </w:rPr>
      </w:pPr>
      <w:r>
        <w:rPr>
          <w:rFonts w:ascii="宋体" w:hAnsi="宋体"/>
        </w:rPr>
        <w:t>因此，监控系统的防雷接地应与系统的交流工作接地、直流工作接地、安全保护接地共用一组接地装置，接地电阻不得大于1Ω。</w:t>
      </w:r>
    </w:p>
    <w:p>
      <w:pPr>
        <w:adjustRightInd w:val="0"/>
        <w:snapToGrid w:val="0"/>
        <w:spacing w:before="203" w:beforeLines="50" w:after="203" w:afterLines="50"/>
        <w:ind w:firstLine="500" w:firstLineChars="200"/>
        <w:rPr>
          <w:rFonts w:ascii="宋体" w:hAnsi="宋体"/>
        </w:rPr>
      </w:pPr>
      <w:r>
        <w:rPr>
          <w:rFonts w:ascii="宋体" w:hAnsi="宋体"/>
        </w:rPr>
        <w:t>围墙设备防雷</w:t>
      </w:r>
    </w:p>
    <w:p>
      <w:pPr>
        <w:adjustRightInd w:val="0"/>
        <w:snapToGrid w:val="0"/>
        <w:spacing w:before="203" w:beforeLines="50" w:after="203" w:afterLines="50"/>
        <w:ind w:firstLine="500" w:firstLineChars="200"/>
        <w:rPr>
          <w:rFonts w:ascii="宋体" w:hAnsi="宋体"/>
        </w:rPr>
      </w:pPr>
      <w:r>
        <w:rPr>
          <w:rFonts w:ascii="宋体" w:hAnsi="宋体"/>
        </w:rPr>
        <w:t>沿围墙的金属穿线管用Φ 10以上的镀锌圆钢与厂区统一接地体电气连接，连接点分布于围墙四周，围墙每面连接点至少4处共不低于20处。围墙设备加装避雷针，并用Φ 10以上的镀锌圆钢并涂上绝缘油漆做引下线并与接地体可靠连接。</w:t>
      </w:r>
    </w:p>
    <w:p>
      <w:pPr>
        <w:keepNext/>
        <w:adjustRightInd w:val="0"/>
        <w:snapToGrid w:val="0"/>
        <w:spacing w:before="203" w:beforeLines="50" w:after="203" w:afterLines="50"/>
        <w:outlineLvl w:val="1"/>
        <w:rPr>
          <w:rFonts w:ascii="宋体" w:hAnsi="宋体" w:cs="楷体"/>
          <w:b/>
        </w:rPr>
      </w:pPr>
      <w:bookmarkStart w:id="7333" w:name="_Toc456692056"/>
      <w:bookmarkStart w:id="7334" w:name="_Toc106883807"/>
      <w:bookmarkStart w:id="7335" w:name="_Toc450585019"/>
      <w:r>
        <w:rPr>
          <w:rFonts w:hint="eastAsia" w:ascii="宋体" w:hAnsi="宋体" w:cs="楷体"/>
          <w:b/>
        </w:rPr>
        <w:t>10.5</w:t>
      </w:r>
      <w:r>
        <w:rPr>
          <w:rFonts w:ascii="宋体" w:hAnsi="宋体" w:cs="楷体"/>
          <w:b/>
        </w:rPr>
        <w:t>安装技术规定</w:t>
      </w:r>
      <w:bookmarkEnd w:id="7333"/>
      <w:bookmarkEnd w:id="7334"/>
      <w:bookmarkEnd w:id="7335"/>
    </w:p>
    <w:p>
      <w:pPr>
        <w:keepNext/>
        <w:tabs>
          <w:tab w:val="left" w:pos="993"/>
        </w:tabs>
        <w:adjustRightInd w:val="0"/>
        <w:snapToGrid w:val="0"/>
        <w:spacing w:before="203" w:beforeLines="50" w:after="203" w:afterLines="50"/>
        <w:outlineLvl w:val="2"/>
        <w:rPr>
          <w:rFonts w:ascii="宋体" w:hAnsi="宋体"/>
          <w:b/>
          <w:bCs/>
        </w:rPr>
      </w:pPr>
      <w:bookmarkStart w:id="7336" w:name="_Toc450585020"/>
      <w:bookmarkStart w:id="7337" w:name="_Toc106883808"/>
      <w:r>
        <w:rPr>
          <w:rFonts w:hint="eastAsia" w:ascii="宋体" w:hAnsi="宋体"/>
          <w:b/>
          <w:bCs/>
        </w:rPr>
        <w:t>10.5.1</w:t>
      </w:r>
      <w:r>
        <w:rPr>
          <w:rFonts w:ascii="宋体" w:hAnsi="宋体"/>
          <w:b/>
          <w:bCs/>
        </w:rPr>
        <w:t>安装范围</w:t>
      </w:r>
      <w:bookmarkEnd w:id="7336"/>
      <w:bookmarkEnd w:id="7337"/>
    </w:p>
    <w:p>
      <w:pPr>
        <w:adjustRightInd w:val="0"/>
        <w:snapToGrid w:val="0"/>
        <w:spacing w:before="203" w:beforeLines="50" w:after="203" w:afterLines="50"/>
        <w:ind w:firstLine="500" w:firstLineChars="200"/>
        <w:rPr>
          <w:rFonts w:ascii="宋体" w:hAnsi="宋体"/>
        </w:rPr>
      </w:pPr>
      <w:r>
        <w:rPr>
          <w:rFonts w:ascii="宋体" w:hAnsi="宋体"/>
        </w:rPr>
        <w:t>承包商必须完成本技术规范和合同中要求的所有自动控制系统范围内的安装工程。主要内容有：</w:t>
      </w:r>
    </w:p>
    <w:p>
      <w:pPr>
        <w:adjustRightInd w:val="0"/>
        <w:snapToGrid w:val="0"/>
        <w:spacing w:before="203" w:beforeLines="50" w:after="203" w:afterLines="50"/>
        <w:ind w:firstLine="500" w:firstLineChars="200"/>
        <w:rPr>
          <w:rFonts w:ascii="宋体" w:hAnsi="宋体"/>
        </w:rPr>
      </w:pPr>
      <w:r>
        <w:rPr>
          <w:rFonts w:ascii="宋体" w:hAnsi="宋体"/>
        </w:rPr>
        <w:t>1）安装前对安装设备、材料的检验，试验和验收保管；对土建基础等有关构筑物</w:t>
      </w:r>
    </w:p>
    <w:p>
      <w:pPr>
        <w:adjustRightInd w:val="0"/>
        <w:snapToGrid w:val="0"/>
        <w:spacing w:before="203" w:beforeLines="50" w:after="203" w:afterLines="50"/>
        <w:ind w:firstLine="500" w:firstLineChars="200"/>
        <w:rPr>
          <w:rFonts w:ascii="宋体" w:hAnsi="宋体"/>
        </w:rPr>
      </w:pPr>
      <w:r>
        <w:rPr>
          <w:rFonts w:ascii="宋体" w:hAnsi="宋体"/>
        </w:rPr>
        <w:t>查验收；完成自控专业所有预埋管、件的预埋及预留孔、洞的预留。</w:t>
      </w:r>
    </w:p>
    <w:p>
      <w:pPr>
        <w:adjustRightInd w:val="0"/>
        <w:snapToGrid w:val="0"/>
        <w:spacing w:before="203" w:beforeLines="50" w:after="203" w:afterLines="50"/>
        <w:ind w:firstLine="500" w:firstLineChars="200"/>
        <w:rPr>
          <w:rFonts w:ascii="宋体" w:hAnsi="宋体"/>
        </w:rPr>
      </w:pPr>
      <w:r>
        <w:rPr>
          <w:rFonts w:ascii="宋体" w:hAnsi="宋体"/>
        </w:rPr>
        <w:t>2）控制柜及相关设备的安装及二次浇灌；</w:t>
      </w:r>
    </w:p>
    <w:p>
      <w:pPr>
        <w:adjustRightInd w:val="0"/>
        <w:snapToGrid w:val="0"/>
        <w:spacing w:before="203" w:beforeLines="50" w:after="203" w:afterLines="50"/>
        <w:ind w:firstLine="500" w:firstLineChars="200"/>
        <w:rPr>
          <w:rFonts w:ascii="宋体" w:hAnsi="宋体"/>
        </w:rPr>
      </w:pPr>
      <w:r>
        <w:rPr>
          <w:rFonts w:ascii="宋体" w:hAnsi="宋体"/>
        </w:rPr>
        <w:t>3）箱、柜等设备的基座、支、吊架的制作与安装；</w:t>
      </w:r>
    </w:p>
    <w:p>
      <w:pPr>
        <w:adjustRightInd w:val="0"/>
        <w:snapToGrid w:val="0"/>
        <w:spacing w:before="203" w:beforeLines="50" w:after="203" w:afterLines="50"/>
        <w:ind w:firstLine="500" w:firstLineChars="200"/>
        <w:rPr>
          <w:rFonts w:ascii="宋体" w:hAnsi="宋体"/>
        </w:rPr>
      </w:pPr>
      <w:r>
        <w:rPr>
          <w:rFonts w:ascii="宋体" w:hAnsi="宋体"/>
        </w:rPr>
        <w:t>4）电力、控制电缆、光缆等电线及保护管的敷设；</w:t>
      </w:r>
    </w:p>
    <w:p>
      <w:pPr>
        <w:adjustRightInd w:val="0"/>
        <w:snapToGrid w:val="0"/>
        <w:spacing w:before="203" w:beforeLines="50" w:after="203" w:afterLines="50"/>
        <w:ind w:firstLine="500" w:firstLineChars="200"/>
        <w:rPr>
          <w:rFonts w:ascii="宋体" w:hAnsi="宋体"/>
        </w:rPr>
      </w:pPr>
      <w:r>
        <w:rPr>
          <w:rFonts w:ascii="宋体" w:hAnsi="宋体"/>
        </w:rPr>
        <w:t>5）自控接地系统的安装；</w:t>
      </w:r>
    </w:p>
    <w:p>
      <w:pPr>
        <w:adjustRightInd w:val="0"/>
        <w:snapToGrid w:val="0"/>
        <w:spacing w:before="203" w:beforeLines="50" w:after="203" w:afterLines="50"/>
        <w:ind w:firstLine="500" w:firstLineChars="200"/>
        <w:rPr>
          <w:rFonts w:ascii="宋体" w:hAnsi="宋体"/>
        </w:rPr>
      </w:pPr>
      <w:r>
        <w:rPr>
          <w:rFonts w:ascii="宋体" w:hAnsi="宋体"/>
        </w:rPr>
        <w:t>6）电缆桥架的二次设计与安装；</w:t>
      </w:r>
    </w:p>
    <w:p>
      <w:pPr>
        <w:adjustRightInd w:val="0"/>
        <w:snapToGrid w:val="0"/>
        <w:spacing w:before="203" w:beforeLines="50" w:after="203" w:afterLines="50"/>
        <w:ind w:firstLine="500" w:firstLineChars="200"/>
        <w:rPr>
          <w:rFonts w:ascii="宋体" w:hAnsi="宋体"/>
        </w:rPr>
      </w:pPr>
      <w:r>
        <w:rPr>
          <w:rFonts w:ascii="宋体" w:hAnsi="宋体"/>
        </w:rPr>
        <w:t>7）设备及管件的全部金属构件的外部油漆防腐处理；</w:t>
      </w:r>
    </w:p>
    <w:p>
      <w:pPr>
        <w:adjustRightInd w:val="0"/>
        <w:snapToGrid w:val="0"/>
        <w:spacing w:before="203" w:beforeLines="50" w:after="203" w:afterLines="50"/>
        <w:ind w:firstLine="500" w:firstLineChars="200"/>
        <w:rPr>
          <w:rFonts w:ascii="宋体" w:hAnsi="宋体"/>
        </w:rPr>
      </w:pPr>
      <w:r>
        <w:rPr>
          <w:rFonts w:ascii="宋体" w:hAnsi="宋体"/>
        </w:rPr>
        <w:t>8）按规范和规定安装工程中完成有关的检验、试压、试验等检测工作，并办理与当地劳动部门的有关手续；</w:t>
      </w:r>
    </w:p>
    <w:p>
      <w:pPr>
        <w:keepNext/>
        <w:tabs>
          <w:tab w:val="left" w:pos="993"/>
        </w:tabs>
        <w:adjustRightInd w:val="0"/>
        <w:snapToGrid w:val="0"/>
        <w:spacing w:before="203" w:beforeLines="50" w:after="203" w:afterLines="50"/>
        <w:outlineLvl w:val="0"/>
        <w:rPr>
          <w:rFonts w:ascii="宋体" w:hAnsi="宋体"/>
          <w:b/>
          <w:bCs/>
        </w:rPr>
      </w:pPr>
      <w:bookmarkStart w:id="7338" w:name="_Toc450585021"/>
      <w:bookmarkStart w:id="7339" w:name="_Toc106883809"/>
      <w:r>
        <w:rPr>
          <w:rFonts w:hint="eastAsia" w:ascii="宋体" w:hAnsi="宋体"/>
          <w:b/>
          <w:bCs/>
        </w:rPr>
        <w:t>10.5.2</w:t>
      </w:r>
      <w:r>
        <w:rPr>
          <w:rFonts w:ascii="宋体" w:hAnsi="宋体"/>
          <w:b/>
          <w:bCs/>
        </w:rPr>
        <w:t>安装标准和规范</w:t>
      </w:r>
      <w:bookmarkEnd w:id="7338"/>
      <w:bookmarkEnd w:id="7339"/>
    </w:p>
    <w:p>
      <w:pPr>
        <w:adjustRightInd w:val="0"/>
        <w:snapToGrid w:val="0"/>
        <w:spacing w:before="203" w:beforeLines="50" w:after="203" w:afterLines="50"/>
        <w:ind w:firstLine="500" w:firstLineChars="200"/>
        <w:rPr>
          <w:rFonts w:ascii="宋体" w:hAnsi="宋体"/>
        </w:rPr>
      </w:pPr>
      <w:r>
        <w:rPr>
          <w:rFonts w:ascii="宋体" w:hAnsi="宋体"/>
        </w:rPr>
        <w:t>安装工程施工及验收规范按照中华人民共和国国家标准、部颁标准或IEC相似标准执行，主要标准如下：</w:t>
      </w:r>
    </w:p>
    <w:p>
      <w:pPr>
        <w:adjustRightInd w:val="0"/>
        <w:snapToGrid w:val="0"/>
        <w:spacing w:before="203" w:beforeLines="50" w:after="203" w:afterLines="50"/>
        <w:ind w:firstLine="500" w:firstLineChars="200"/>
        <w:rPr>
          <w:rFonts w:ascii="宋体" w:hAnsi="宋体"/>
        </w:rPr>
      </w:pPr>
      <w:r>
        <w:rPr>
          <w:rFonts w:ascii="宋体" w:hAnsi="宋体"/>
        </w:rPr>
        <w:t>《自动化仪表工程施工及验收规范》GB50093-2013。</w:t>
      </w:r>
    </w:p>
    <w:p>
      <w:pPr>
        <w:adjustRightInd w:val="0"/>
        <w:snapToGrid w:val="0"/>
        <w:spacing w:before="203" w:beforeLines="50" w:after="203" w:afterLines="50"/>
        <w:ind w:firstLine="500" w:firstLineChars="200"/>
        <w:rPr>
          <w:rFonts w:ascii="宋体" w:hAnsi="宋体"/>
        </w:rPr>
      </w:pPr>
      <w:bookmarkStart w:id="7340" w:name="_Toc106050611"/>
      <w:r>
        <w:rPr>
          <w:rFonts w:ascii="宋体" w:hAnsi="宋体"/>
        </w:rPr>
        <w:t>《民用闭路监视电视系统工程技术规范》GB50198-2011</w:t>
      </w:r>
      <w:bookmarkEnd w:id="7340"/>
    </w:p>
    <w:p>
      <w:pPr>
        <w:adjustRightInd w:val="0"/>
        <w:snapToGrid w:val="0"/>
        <w:spacing w:before="203" w:beforeLines="50" w:after="203" w:afterLines="50"/>
        <w:ind w:firstLine="500" w:firstLineChars="200"/>
        <w:rPr>
          <w:rFonts w:ascii="宋体" w:hAnsi="宋体"/>
        </w:rPr>
      </w:pPr>
      <w:r>
        <w:rPr>
          <w:rFonts w:ascii="宋体" w:hAnsi="宋体"/>
        </w:rPr>
        <w:t>《电子计算机场地通用规范》GB/T2887-2011</w:t>
      </w:r>
    </w:p>
    <w:p>
      <w:pPr>
        <w:adjustRightInd w:val="0"/>
        <w:snapToGrid w:val="0"/>
        <w:spacing w:before="203" w:beforeLines="50" w:after="203" w:afterLines="50"/>
        <w:ind w:firstLine="500" w:firstLineChars="200"/>
        <w:rPr>
          <w:rFonts w:ascii="宋体" w:hAnsi="宋体"/>
        </w:rPr>
      </w:pPr>
      <w:r>
        <w:rPr>
          <w:rFonts w:ascii="宋体" w:hAnsi="宋体"/>
        </w:rPr>
        <w:t>《工程建设标准强制性条文》（城市建设部份）（建标[2000]202号）</w:t>
      </w:r>
    </w:p>
    <w:p>
      <w:pPr>
        <w:adjustRightInd w:val="0"/>
        <w:snapToGrid w:val="0"/>
        <w:spacing w:before="203" w:beforeLines="50" w:after="203" w:afterLines="50"/>
        <w:ind w:firstLine="500" w:firstLineChars="200"/>
        <w:rPr>
          <w:rFonts w:ascii="宋体" w:hAnsi="宋体"/>
        </w:rPr>
      </w:pPr>
      <w:r>
        <w:rPr>
          <w:rFonts w:ascii="宋体" w:hAnsi="宋体"/>
        </w:rPr>
        <w:t>《商用建筑物通信布线标准》EIA/TIA-568</w:t>
      </w:r>
    </w:p>
    <w:p>
      <w:pPr>
        <w:adjustRightInd w:val="0"/>
        <w:snapToGrid w:val="0"/>
        <w:spacing w:before="203" w:beforeLines="50" w:after="203" w:afterLines="50"/>
        <w:ind w:firstLine="500" w:firstLineChars="200"/>
        <w:rPr>
          <w:rFonts w:ascii="宋体" w:hAnsi="宋体"/>
        </w:rPr>
      </w:pPr>
      <w:r>
        <w:rPr>
          <w:rFonts w:ascii="宋体" w:hAnsi="宋体"/>
        </w:rPr>
        <w:t>《公用计算机互联网工程验收规范》YD5070-2005</w:t>
      </w:r>
    </w:p>
    <w:p>
      <w:pPr>
        <w:adjustRightInd w:val="0"/>
        <w:snapToGrid w:val="0"/>
        <w:spacing w:before="203" w:beforeLines="50" w:after="203" w:afterLines="50"/>
        <w:ind w:firstLine="500" w:firstLineChars="200"/>
        <w:rPr>
          <w:rFonts w:ascii="宋体" w:hAnsi="宋体"/>
        </w:rPr>
      </w:pPr>
      <w:r>
        <w:rPr>
          <w:rFonts w:ascii="宋体" w:hAnsi="宋体"/>
        </w:rPr>
        <w:t>《仪表系统接地设计规定》 HG/T20513-2014</w:t>
      </w:r>
    </w:p>
    <w:p>
      <w:pPr>
        <w:adjustRightInd w:val="0"/>
        <w:snapToGrid w:val="0"/>
        <w:spacing w:before="203" w:beforeLines="50" w:after="203" w:afterLines="50"/>
        <w:ind w:firstLine="500" w:firstLineChars="200"/>
        <w:rPr>
          <w:rFonts w:ascii="宋体" w:hAnsi="宋体"/>
        </w:rPr>
      </w:pPr>
      <w:r>
        <w:rPr>
          <w:rFonts w:ascii="宋体" w:hAnsi="宋体"/>
        </w:rPr>
        <w:t>《仪表配管、配线设计规定》 HG/T20512-2014</w:t>
      </w:r>
    </w:p>
    <w:p>
      <w:pPr>
        <w:adjustRightInd w:val="0"/>
        <w:snapToGrid w:val="0"/>
        <w:spacing w:before="203" w:beforeLines="50" w:after="203" w:afterLines="50"/>
        <w:ind w:firstLine="500" w:firstLineChars="200"/>
        <w:rPr>
          <w:rFonts w:ascii="宋体" w:hAnsi="宋体"/>
        </w:rPr>
      </w:pPr>
      <w:r>
        <w:rPr>
          <w:rFonts w:ascii="宋体" w:hAnsi="宋体"/>
        </w:rPr>
        <w:t>《建筑物电子信息系统防雷技术规范》GB5033-2012</w:t>
      </w:r>
    </w:p>
    <w:p>
      <w:pPr>
        <w:adjustRightInd w:val="0"/>
        <w:snapToGrid w:val="0"/>
        <w:spacing w:before="203" w:beforeLines="50" w:after="203" w:afterLines="50"/>
        <w:ind w:firstLine="500" w:firstLineChars="200"/>
        <w:rPr>
          <w:rFonts w:ascii="宋体" w:hAnsi="宋体"/>
        </w:rPr>
      </w:pPr>
      <w:bookmarkStart w:id="7341" w:name="_Toc106050612"/>
      <w:r>
        <w:rPr>
          <w:rFonts w:ascii="宋体" w:hAnsi="宋体"/>
        </w:rPr>
        <w:t>《爆炸和火灾危险环境电力装置设计规范》GB50058-2014</w:t>
      </w:r>
      <w:bookmarkEnd w:id="7341"/>
    </w:p>
    <w:p>
      <w:pPr>
        <w:adjustRightInd w:val="0"/>
        <w:snapToGrid w:val="0"/>
        <w:spacing w:before="203" w:beforeLines="50" w:after="203" w:afterLines="50"/>
        <w:ind w:firstLine="500" w:firstLineChars="200"/>
        <w:rPr>
          <w:rFonts w:ascii="宋体" w:hAnsi="宋体"/>
        </w:rPr>
      </w:pPr>
      <w:r>
        <w:rPr>
          <w:rFonts w:ascii="宋体" w:hAnsi="宋体"/>
        </w:rPr>
        <w:t>《工业电视系统工程设计规范》GB50115-2009</w:t>
      </w:r>
    </w:p>
    <w:p>
      <w:pPr>
        <w:adjustRightInd w:val="0"/>
        <w:snapToGrid w:val="0"/>
        <w:spacing w:before="203" w:beforeLines="50" w:after="203" w:afterLines="50"/>
        <w:ind w:firstLine="500" w:firstLineChars="200"/>
        <w:rPr>
          <w:rFonts w:ascii="宋体" w:hAnsi="宋体"/>
        </w:rPr>
      </w:pPr>
      <w:r>
        <w:rPr>
          <w:rFonts w:ascii="宋体" w:hAnsi="宋体"/>
        </w:rPr>
        <w:t>《系统接地的形式及安全技术要求》GB14050-2008</w:t>
      </w:r>
    </w:p>
    <w:p>
      <w:pPr>
        <w:adjustRightInd w:val="0"/>
        <w:snapToGrid w:val="0"/>
        <w:spacing w:before="203" w:beforeLines="50" w:after="203" w:afterLines="50"/>
        <w:ind w:firstLine="500" w:firstLineChars="200"/>
        <w:rPr>
          <w:rFonts w:ascii="宋体" w:hAnsi="宋体"/>
        </w:rPr>
      </w:pPr>
      <w:r>
        <w:rPr>
          <w:rFonts w:ascii="宋体" w:hAnsi="宋体"/>
        </w:rPr>
        <w:t>《辐射电磁场干扰实验》GB/T145989-1995</w:t>
      </w:r>
    </w:p>
    <w:p>
      <w:pPr>
        <w:adjustRightInd w:val="0"/>
        <w:snapToGrid w:val="0"/>
        <w:spacing w:before="203" w:beforeLines="50" w:after="203" w:afterLines="50"/>
        <w:ind w:firstLine="500" w:firstLineChars="200"/>
        <w:rPr>
          <w:rFonts w:ascii="宋体" w:hAnsi="宋体"/>
        </w:rPr>
      </w:pPr>
      <w:r>
        <w:rPr>
          <w:rFonts w:ascii="宋体" w:hAnsi="宋体"/>
        </w:rPr>
        <w:t>《电子设备雷击保护守则》GB 7450-87</w:t>
      </w:r>
    </w:p>
    <w:p>
      <w:pPr>
        <w:adjustRightInd w:val="0"/>
        <w:snapToGrid w:val="0"/>
        <w:spacing w:before="203" w:beforeLines="50" w:after="203" w:afterLines="50"/>
        <w:ind w:firstLine="500" w:firstLineChars="200"/>
        <w:rPr>
          <w:rFonts w:ascii="宋体" w:hAnsi="宋体"/>
        </w:rPr>
      </w:pPr>
      <w:r>
        <w:rPr>
          <w:rFonts w:ascii="宋体" w:hAnsi="宋体"/>
        </w:rPr>
        <w:t>《自动化仪表安装工程施工及验收规范》GB50093-2013</w:t>
      </w:r>
    </w:p>
    <w:p>
      <w:pPr>
        <w:adjustRightInd w:val="0"/>
        <w:snapToGrid w:val="0"/>
        <w:spacing w:before="203" w:beforeLines="50" w:after="203" w:afterLines="50"/>
        <w:ind w:firstLine="500" w:firstLineChars="200"/>
        <w:rPr>
          <w:rFonts w:ascii="宋体" w:hAnsi="宋体"/>
        </w:rPr>
      </w:pPr>
      <w:bookmarkStart w:id="7342" w:name="_Toc106050613"/>
      <w:r>
        <w:rPr>
          <w:rFonts w:ascii="宋体" w:hAnsi="宋体"/>
        </w:rPr>
        <w:t>《自动化仪表工程施工质量验收规范》GB50131-2007</w:t>
      </w:r>
      <w:bookmarkEnd w:id="7342"/>
    </w:p>
    <w:p>
      <w:pPr>
        <w:adjustRightInd w:val="0"/>
        <w:snapToGrid w:val="0"/>
        <w:spacing w:before="203" w:beforeLines="50" w:after="203" w:afterLines="50"/>
        <w:ind w:firstLine="500" w:firstLineChars="200"/>
        <w:rPr>
          <w:rFonts w:ascii="宋体" w:hAnsi="宋体"/>
        </w:rPr>
      </w:pPr>
      <w:r>
        <w:rPr>
          <w:rFonts w:ascii="宋体" w:hAnsi="宋体"/>
        </w:rPr>
        <w:t>《电子信息系统机房施工及验收规范》GB50462-2008</w:t>
      </w:r>
    </w:p>
    <w:p>
      <w:pPr>
        <w:adjustRightInd w:val="0"/>
        <w:snapToGrid w:val="0"/>
        <w:spacing w:before="203" w:beforeLines="50" w:after="203" w:afterLines="50"/>
        <w:ind w:firstLine="500" w:firstLineChars="200"/>
        <w:rPr>
          <w:rFonts w:ascii="宋体" w:hAnsi="宋体"/>
        </w:rPr>
      </w:pPr>
      <w:bookmarkStart w:id="7343" w:name="_Toc106050614"/>
      <w:r>
        <w:rPr>
          <w:rFonts w:ascii="宋体" w:hAnsi="宋体"/>
        </w:rPr>
        <w:t>《机房空调安装和调试操作规范》</w:t>
      </w:r>
      <w:bookmarkEnd w:id="7343"/>
    </w:p>
    <w:p>
      <w:pPr>
        <w:adjustRightInd w:val="0"/>
        <w:snapToGrid w:val="0"/>
        <w:spacing w:before="203" w:beforeLines="50" w:after="203" w:afterLines="50"/>
        <w:ind w:firstLine="500" w:firstLineChars="200"/>
        <w:rPr>
          <w:rFonts w:ascii="宋体" w:hAnsi="宋体"/>
        </w:rPr>
      </w:pPr>
      <w:r>
        <w:rPr>
          <w:rFonts w:ascii="宋体" w:hAnsi="宋体"/>
        </w:rPr>
        <w:t>《通风与空调工程施工质量验收规范》GB50243-2002</w:t>
      </w:r>
    </w:p>
    <w:p>
      <w:pPr>
        <w:adjustRightInd w:val="0"/>
        <w:snapToGrid w:val="0"/>
        <w:spacing w:before="203" w:beforeLines="50" w:after="203" w:afterLines="50"/>
        <w:ind w:firstLine="500" w:firstLineChars="200"/>
        <w:rPr>
          <w:rFonts w:ascii="宋体" w:hAnsi="宋体"/>
        </w:rPr>
      </w:pPr>
      <w:bookmarkStart w:id="7344" w:name="_Toc106050615"/>
      <w:r>
        <w:rPr>
          <w:rFonts w:ascii="宋体" w:hAnsi="宋体"/>
        </w:rPr>
        <w:t>《电力通讯光缆工程施工规范》Q/GD-100-001-2005</w:t>
      </w:r>
      <w:bookmarkEnd w:id="7344"/>
    </w:p>
    <w:p>
      <w:pPr>
        <w:adjustRightInd w:val="0"/>
        <w:snapToGrid w:val="0"/>
        <w:spacing w:before="203" w:beforeLines="50" w:after="203" w:afterLines="50"/>
        <w:ind w:firstLine="500" w:firstLineChars="200"/>
        <w:rPr>
          <w:rFonts w:ascii="宋体" w:hAnsi="宋体"/>
        </w:rPr>
      </w:pPr>
      <w:r>
        <w:rPr>
          <w:rFonts w:ascii="宋体" w:hAnsi="宋体"/>
        </w:rPr>
        <w:t>《电气装置安装工程电缆电线施工及验收规范》GB50168-2006；</w:t>
      </w:r>
    </w:p>
    <w:p>
      <w:pPr>
        <w:adjustRightInd w:val="0"/>
        <w:snapToGrid w:val="0"/>
        <w:spacing w:before="203" w:beforeLines="50" w:after="203" w:afterLines="50"/>
        <w:ind w:firstLine="500" w:firstLineChars="200"/>
        <w:rPr>
          <w:rFonts w:ascii="宋体" w:hAnsi="宋体"/>
        </w:rPr>
      </w:pPr>
      <w:bookmarkStart w:id="7345" w:name="_Toc106050616"/>
      <w:r>
        <w:rPr>
          <w:rFonts w:ascii="宋体" w:hAnsi="宋体"/>
        </w:rPr>
        <w:t>《电气装置安装工程接地装置施工及验收规范》GB20168-2010；</w:t>
      </w:r>
      <w:bookmarkEnd w:id="7345"/>
    </w:p>
    <w:p>
      <w:pPr>
        <w:adjustRightInd w:val="0"/>
        <w:snapToGrid w:val="0"/>
        <w:spacing w:before="203" w:beforeLines="50" w:after="203" w:afterLines="50"/>
        <w:ind w:firstLine="500" w:firstLineChars="200"/>
        <w:rPr>
          <w:rFonts w:ascii="宋体" w:hAnsi="宋体"/>
        </w:rPr>
      </w:pPr>
      <w:r>
        <w:rPr>
          <w:rFonts w:ascii="宋体" w:hAnsi="宋体"/>
        </w:rPr>
        <w:t>《电气装置安装工程盘、柜及二次回路结线施工及验收规范》GB50171-92；</w:t>
      </w:r>
    </w:p>
    <w:p>
      <w:pPr>
        <w:adjustRightInd w:val="0"/>
        <w:snapToGrid w:val="0"/>
        <w:spacing w:before="203" w:beforeLines="50" w:after="203" w:afterLines="50"/>
        <w:ind w:firstLine="500" w:firstLineChars="200"/>
        <w:rPr>
          <w:rFonts w:ascii="宋体" w:hAnsi="宋体"/>
        </w:rPr>
      </w:pPr>
      <w:bookmarkStart w:id="7346" w:name="_Toc106050617"/>
      <w:r>
        <w:rPr>
          <w:rFonts w:ascii="宋体" w:hAnsi="宋体"/>
        </w:rPr>
        <w:t>《电气装置安装工程电气设备交接试验标准》GB50150-2006；</w:t>
      </w:r>
      <w:bookmarkEnd w:id="7346"/>
    </w:p>
    <w:p>
      <w:pPr>
        <w:adjustRightInd w:val="0"/>
        <w:snapToGrid w:val="0"/>
        <w:spacing w:before="203" w:beforeLines="50" w:after="203" w:afterLines="50"/>
        <w:ind w:firstLine="500" w:firstLineChars="200"/>
        <w:rPr>
          <w:rFonts w:ascii="宋体" w:hAnsi="宋体"/>
        </w:rPr>
      </w:pPr>
      <w:r>
        <w:rPr>
          <w:rFonts w:ascii="宋体" w:hAnsi="宋体"/>
        </w:rPr>
        <w:t>《电气装置安装工程低压电器施工及验收规范》GB50254-2014；</w:t>
      </w:r>
    </w:p>
    <w:p>
      <w:pPr>
        <w:adjustRightInd w:val="0"/>
        <w:snapToGrid w:val="0"/>
        <w:spacing w:before="203" w:beforeLines="50" w:after="203" w:afterLines="50"/>
        <w:ind w:firstLine="500" w:firstLineChars="200"/>
        <w:rPr>
          <w:rFonts w:ascii="宋体" w:hAnsi="宋体"/>
        </w:rPr>
      </w:pPr>
      <w:r>
        <w:rPr>
          <w:rFonts w:ascii="宋体" w:hAnsi="宋体"/>
        </w:rPr>
        <w:t xml:space="preserve">《电气装置安装工程爆炸和火灾危险环境电气装置施工及验收规范》GB50257-2014；  </w:t>
      </w:r>
    </w:p>
    <w:p>
      <w:pPr>
        <w:adjustRightInd w:val="0"/>
        <w:snapToGrid w:val="0"/>
        <w:spacing w:before="203" w:beforeLines="50" w:after="203" w:afterLines="50"/>
        <w:ind w:firstLine="500" w:firstLineChars="200"/>
        <w:rPr>
          <w:rFonts w:ascii="宋体" w:hAnsi="宋体"/>
        </w:rPr>
      </w:pPr>
      <w:r>
        <w:rPr>
          <w:rFonts w:ascii="宋体" w:hAnsi="宋体"/>
        </w:rPr>
        <w:t>《电气装置安装工程1kV及以下配线工程施工及验收规范》GB50258-96；</w:t>
      </w:r>
    </w:p>
    <w:p>
      <w:pPr>
        <w:adjustRightInd w:val="0"/>
        <w:snapToGrid w:val="0"/>
        <w:spacing w:before="203" w:beforeLines="50" w:after="203" w:afterLines="50"/>
        <w:ind w:firstLine="500" w:firstLineChars="200"/>
        <w:rPr>
          <w:rFonts w:ascii="宋体" w:hAnsi="宋体"/>
        </w:rPr>
      </w:pPr>
      <w:bookmarkStart w:id="7347" w:name="_Toc106050618"/>
      <w:r>
        <w:rPr>
          <w:rFonts w:ascii="宋体" w:hAnsi="宋体"/>
        </w:rPr>
        <w:t>《建筑电气安装工程质量检验评定标准》GBJ303-2012；</w:t>
      </w:r>
      <w:bookmarkEnd w:id="7347"/>
    </w:p>
    <w:p>
      <w:pPr>
        <w:adjustRightInd w:val="0"/>
        <w:snapToGrid w:val="0"/>
        <w:spacing w:before="203" w:beforeLines="50" w:after="203" w:afterLines="50"/>
        <w:ind w:firstLine="500" w:firstLineChars="200"/>
        <w:rPr>
          <w:rFonts w:ascii="宋体" w:hAnsi="宋体"/>
        </w:rPr>
      </w:pPr>
      <w:r>
        <w:rPr>
          <w:rFonts w:ascii="宋体" w:hAnsi="宋体"/>
        </w:rPr>
        <w:t>《电气装置国家标准图集》DXX。</w:t>
      </w:r>
    </w:p>
    <w:p>
      <w:pPr>
        <w:adjustRightInd w:val="0"/>
        <w:snapToGrid w:val="0"/>
        <w:spacing w:before="203" w:beforeLines="50" w:after="203" w:afterLines="50"/>
        <w:ind w:firstLine="500" w:firstLineChars="200"/>
        <w:rPr>
          <w:rFonts w:ascii="宋体" w:hAnsi="宋体"/>
        </w:rPr>
      </w:pPr>
      <w:r>
        <w:rPr>
          <w:rFonts w:ascii="宋体" w:hAnsi="宋体"/>
        </w:rPr>
        <w:t>《等电位联结安装》02D501-2。</w:t>
      </w:r>
    </w:p>
    <w:p>
      <w:pPr>
        <w:keepNext/>
        <w:tabs>
          <w:tab w:val="left" w:pos="993"/>
        </w:tabs>
        <w:adjustRightInd w:val="0"/>
        <w:snapToGrid w:val="0"/>
        <w:spacing w:before="203" w:beforeLines="50" w:after="203" w:afterLines="50"/>
        <w:outlineLvl w:val="2"/>
        <w:rPr>
          <w:rFonts w:ascii="宋体" w:hAnsi="宋体"/>
          <w:b/>
          <w:bCs/>
        </w:rPr>
      </w:pPr>
      <w:bookmarkStart w:id="7348" w:name="_Toc238874614"/>
      <w:bookmarkStart w:id="7349" w:name="_Toc159143781"/>
      <w:bookmarkStart w:id="7350" w:name="_Toc450585022"/>
      <w:bookmarkStart w:id="7351" w:name="_Toc106883810"/>
      <w:r>
        <w:rPr>
          <w:rFonts w:hint="eastAsia" w:ascii="宋体" w:hAnsi="宋体"/>
          <w:b/>
          <w:bCs/>
        </w:rPr>
        <w:t>10.5.3</w:t>
      </w:r>
      <w:r>
        <w:rPr>
          <w:rFonts w:ascii="宋体" w:hAnsi="宋体"/>
          <w:b/>
          <w:bCs/>
        </w:rPr>
        <w:t>安装</w:t>
      </w:r>
      <w:bookmarkEnd w:id="7348"/>
      <w:bookmarkEnd w:id="7349"/>
      <w:r>
        <w:rPr>
          <w:rFonts w:ascii="宋体" w:hAnsi="宋体"/>
          <w:b/>
          <w:bCs/>
        </w:rPr>
        <w:t>要求</w:t>
      </w:r>
      <w:bookmarkEnd w:id="7350"/>
      <w:bookmarkEnd w:id="7351"/>
    </w:p>
    <w:p>
      <w:pPr>
        <w:adjustRightInd w:val="0"/>
        <w:snapToGrid w:val="0"/>
        <w:spacing w:before="203" w:beforeLines="50" w:after="203" w:afterLines="50"/>
        <w:ind w:firstLine="500" w:firstLineChars="200"/>
        <w:rPr>
          <w:rFonts w:ascii="宋体" w:hAnsi="宋体"/>
        </w:rPr>
      </w:pPr>
      <w:r>
        <w:rPr>
          <w:rFonts w:ascii="宋体" w:hAnsi="宋体"/>
        </w:rPr>
        <w:t>安装一般技术要求</w:t>
      </w:r>
    </w:p>
    <w:p>
      <w:pPr>
        <w:adjustRightInd w:val="0"/>
        <w:snapToGrid w:val="0"/>
        <w:spacing w:before="203" w:beforeLines="50" w:after="203" w:afterLines="50"/>
        <w:ind w:firstLine="500" w:firstLineChars="200"/>
        <w:rPr>
          <w:rFonts w:ascii="宋体" w:hAnsi="宋体"/>
        </w:rPr>
      </w:pPr>
      <w:r>
        <w:rPr>
          <w:rFonts w:ascii="宋体" w:hAnsi="宋体"/>
        </w:rPr>
        <w:t>（1）设备安装技术要求应对混泥土设备基础的施工进行检查验收。除按有关建筑规范规定外，尚须符合以下要求：</w:t>
      </w:r>
    </w:p>
    <w:p>
      <w:pPr>
        <w:adjustRightInd w:val="0"/>
        <w:snapToGrid w:val="0"/>
        <w:spacing w:before="203" w:beforeLines="50" w:after="203" w:afterLines="50"/>
        <w:ind w:firstLine="500" w:firstLineChars="200"/>
        <w:rPr>
          <w:rFonts w:ascii="宋体" w:hAnsi="宋体"/>
        </w:rPr>
      </w:pPr>
      <w:r>
        <w:rPr>
          <w:rFonts w:ascii="宋体" w:hAnsi="宋体"/>
        </w:rPr>
        <w:t>1）设备基础的标高、中心线、水平度、垂直度及埋设件与预留孔部位等，均应符合设计规定，其表面必须平整密实，不得有缺陷；设备基础施工允许偏差为：</w:t>
      </w:r>
    </w:p>
    <w:p>
      <w:pPr>
        <w:adjustRightInd w:val="0"/>
        <w:snapToGrid w:val="0"/>
        <w:spacing w:before="203" w:beforeLines="50" w:after="203" w:afterLines="50"/>
        <w:ind w:firstLine="500" w:firstLineChars="200"/>
        <w:rPr>
          <w:rFonts w:ascii="宋体" w:hAnsi="宋体"/>
        </w:rPr>
      </w:pPr>
      <w:r>
        <w:rPr>
          <w:rFonts w:ascii="宋体" w:hAnsi="宋体"/>
        </w:rPr>
        <w:t xml:space="preserve">中心线、标高：                   </w:t>
      </w:r>
      <w:r>
        <w:rPr>
          <w:rFonts w:ascii="宋体" w:hAnsi="宋体"/>
        </w:rPr>
        <w:sym w:font="Symbol" w:char="F0A3"/>
      </w:r>
      <w:r>
        <w:rPr>
          <w:rFonts w:ascii="宋体" w:hAnsi="宋体"/>
        </w:rPr>
        <w:t xml:space="preserve">  10 mm</w:t>
      </w:r>
    </w:p>
    <w:p>
      <w:pPr>
        <w:adjustRightInd w:val="0"/>
        <w:snapToGrid w:val="0"/>
        <w:spacing w:before="203" w:beforeLines="50" w:after="203" w:afterLines="50"/>
        <w:ind w:firstLine="500" w:firstLineChars="200"/>
        <w:rPr>
          <w:rFonts w:ascii="宋体" w:hAnsi="宋体"/>
        </w:rPr>
      </w:pPr>
      <w:r>
        <w:rPr>
          <w:rFonts w:ascii="宋体" w:hAnsi="宋体"/>
        </w:rPr>
        <w:t xml:space="preserve">外形尺寸：                       </w:t>
      </w:r>
      <w:r>
        <w:rPr>
          <w:rFonts w:ascii="宋体" w:hAnsi="宋体"/>
        </w:rPr>
        <w:sym w:font="Symbol" w:char="F0A3"/>
      </w:r>
      <w:r>
        <w:rPr>
          <w:rFonts w:ascii="宋体" w:hAnsi="宋体"/>
        </w:rPr>
        <w:t xml:space="preserve">  30 mm</w:t>
      </w:r>
    </w:p>
    <w:p>
      <w:pPr>
        <w:adjustRightInd w:val="0"/>
        <w:snapToGrid w:val="0"/>
        <w:spacing w:before="203" w:beforeLines="50" w:after="203" w:afterLines="50"/>
        <w:ind w:firstLine="500" w:firstLineChars="200"/>
        <w:rPr>
          <w:rFonts w:ascii="宋体" w:hAnsi="宋体"/>
        </w:rPr>
      </w:pPr>
      <w:r>
        <w:rPr>
          <w:rFonts w:ascii="宋体" w:hAnsi="宋体"/>
        </w:rPr>
        <w:t xml:space="preserve">水平度：                         </w:t>
      </w:r>
      <w:r>
        <w:rPr>
          <w:rFonts w:ascii="宋体" w:hAnsi="宋体"/>
        </w:rPr>
        <w:sym w:font="Symbol" w:char="F0A3"/>
      </w:r>
      <w:r>
        <w:rPr>
          <w:rFonts w:ascii="宋体" w:hAnsi="宋体"/>
        </w:rPr>
        <w:t xml:space="preserve">  10 mm</w:t>
      </w:r>
    </w:p>
    <w:p>
      <w:pPr>
        <w:adjustRightInd w:val="0"/>
        <w:snapToGrid w:val="0"/>
        <w:spacing w:before="203" w:beforeLines="50" w:after="203" w:afterLines="50"/>
        <w:ind w:firstLine="500" w:firstLineChars="200"/>
        <w:rPr>
          <w:rFonts w:ascii="宋体" w:hAnsi="宋体"/>
        </w:rPr>
      </w:pPr>
      <w:r>
        <w:rPr>
          <w:rFonts w:ascii="宋体" w:hAnsi="宋体"/>
        </w:rPr>
        <w:t xml:space="preserve">预留孔中心位置：                 </w:t>
      </w:r>
      <w:r>
        <w:rPr>
          <w:rFonts w:ascii="宋体" w:hAnsi="宋体"/>
        </w:rPr>
        <w:sym w:font="Symbol" w:char="F0A3"/>
      </w:r>
      <w:r>
        <w:rPr>
          <w:rFonts w:ascii="宋体" w:hAnsi="宋体"/>
        </w:rPr>
        <w:t xml:space="preserve">  10 mm</w:t>
      </w:r>
    </w:p>
    <w:p>
      <w:pPr>
        <w:adjustRightInd w:val="0"/>
        <w:snapToGrid w:val="0"/>
        <w:spacing w:before="203" w:beforeLines="50" w:after="203" w:afterLines="50"/>
        <w:ind w:firstLine="500" w:firstLineChars="200"/>
        <w:rPr>
          <w:rFonts w:ascii="宋体" w:hAnsi="宋体"/>
        </w:rPr>
      </w:pPr>
      <w:r>
        <w:rPr>
          <w:rFonts w:ascii="宋体" w:hAnsi="宋体"/>
        </w:rPr>
        <w:t>2）设备安装前基础必须铲平，平面应均匀分部，垫铁处尚需铲平。</w:t>
      </w:r>
    </w:p>
    <w:p>
      <w:pPr>
        <w:adjustRightInd w:val="0"/>
        <w:snapToGrid w:val="0"/>
        <w:spacing w:before="203" w:beforeLines="50" w:after="203" w:afterLines="50"/>
        <w:ind w:firstLine="500" w:firstLineChars="200"/>
        <w:rPr>
          <w:rFonts w:ascii="宋体" w:hAnsi="宋体"/>
        </w:rPr>
      </w:pPr>
      <w:r>
        <w:rPr>
          <w:rFonts w:ascii="宋体" w:hAnsi="宋体"/>
        </w:rPr>
        <w:t>整体式的设备基础强度到80%，框架、条形等形式的设备基础强度达100%，并经隐蔽检验合格后，方许按设计规定铺抹防腐或安装设备、构件。</w:t>
      </w:r>
    </w:p>
    <w:p>
      <w:pPr>
        <w:adjustRightInd w:val="0"/>
        <w:snapToGrid w:val="0"/>
        <w:spacing w:before="203" w:beforeLines="50" w:after="203" w:afterLines="50"/>
        <w:ind w:firstLine="500" w:firstLineChars="200"/>
        <w:rPr>
          <w:rFonts w:ascii="宋体" w:hAnsi="宋体"/>
        </w:rPr>
      </w:pPr>
      <w:r>
        <w:rPr>
          <w:rFonts w:ascii="宋体" w:hAnsi="宋体"/>
        </w:rPr>
        <w:t>3）混凝土表面已铺抹防腐层的，均必须保持干燥，不得受潮、受冻。</w:t>
      </w:r>
    </w:p>
    <w:p>
      <w:pPr>
        <w:adjustRightInd w:val="0"/>
        <w:snapToGrid w:val="0"/>
        <w:spacing w:before="203" w:beforeLines="50" w:after="203" w:afterLines="50"/>
        <w:ind w:firstLine="500" w:firstLineChars="200"/>
        <w:rPr>
          <w:rFonts w:ascii="宋体" w:hAnsi="宋体"/>
        </w:rPr>
      </w:pPr>
      <w:r>
        <w:rPr>
          <w:rFonts w:ascii="宋体" w:hAnsi="宋体"/>
        </w:rPr>
        <w:t>4）主要设备安装后，应观测建筑沉陷情况，下沉不均匀度不得超过设计规定。</w:t>
      </w:r>
    </w:p>
    <w:p>
      <w:pPr>
        <w:adjustRightInd w:val="0"/>
        <w:snapToGrid w:val="0"/>
        <w:spacing w:before="203" w:beforeLines="50" w:after="203" w:afterLines="50"/>
        <w:ind w:firstLine="500" w:firstLineChars="200"/>
        <w:rPr>
          <w:rFonts w:ascii="宋体" w:hAnsi="宋体"/>
        </w:rPr>
      </w:pPr>
      <w:r>
        <w:rPr>
          <w:rFonts w:ascii="宋体" w:hAnsi="宋体"/>
        </w:rPr>
        <w:t>（2）设备基础二次灌浆必须捣固密实，不得有瀑灌或空隙现孔；设计无规定时，灌浆所用的混凝土不得低于150号。</w:t>
      </w:r>
    </w:p>
    <w:p>
      <w:pPr>
        <w:adjustRightInd w:val="0"/>
        <w:snapToGrid w:val="0"/>
        <w:spacing w:before="203" w:beforeLines="50" w:after="203" w:afterLines="50"/>
        <w:ind w:firstLine="500" w:firstLineChars="200"/>
        <w:rPr>
          <w:rFonts w:ascii="宋体" w:hAnsi="宋体"/>
        </w:rPr>
      </w:pPr>
      <w:r>
        <w:rPr>
          <w:rFonts w:ascii="宋体" w:hAnsi="宋体"/>
        </w:rPr>
        <w:t>（3）设备安装前应符合以下要求，并经检验合格：</w:t>
      </w:r>
    </w:p>
    <w:p>
      <w:pPr>
        <w:adjustRightInd w:val="0"/>
        <w:snapToGrid w:val="0"/>
        <w:spacing w:before="203" w:beforeLines="50" w:after="203" w:afterLines="50"/>
        <w:ind w:firstLine="500" w:firstLineChars="200"/>
        <w:rPr>
          <w:rFonts w:ascii="宋体" w:hAnsi="宋体"/>
        </w:rPr>
      </w:pPr>
      <w:r>
        <w:rPr>
          <w:rFonts w:ascii="宋体" w:hAnsi="宋体"/>
        </w:rPr>
        <w:t>1）所有的设备本体、附件、等均应经清洗检查，表面不得有铁锈、油污、杂物、探伤及裂痕，管孔不应有堵塞等现象。</w:t>
      </w:r>
    </w:p>
    <w:p>
      <w:pPr>
        <w:adjustRightInd w:val="0"/>
        <w:snapToGrid w:val="0"/>
        <w:spacing w:before="203" w:beforeLines="50" w:after="203" w:afterLines="50"/>
        <w:ind w:firstLine="500" w:firstLineChars="200"/>
        <w:rPr>
          <w:rFonts w:ascii="宋体" w:hAnsi="宋体"/>
        </w:rPr>
      </w:pPr>
      <w:r>
        <w:rPr>
          <w:rFonts w:ascii="宋体" w:hAnsi="宋体"/>
        </w:rPr>
        <w:t>2）设备及电缆应按规范要求进行耐压试验，并试验合格。</w:t>
      </w:r>
    </w:p>
    <w:p>
      <w:pPr>
        <w:adjustRightInd w:val="0"/>
        <w:snapToGrid w:val="0"/>
        <w:spacing w:before="203" w:beforeLines="50" w:after="203" w:afterLines="50"/>
        <w:ind w:firstLine="500" w:firstLineChars="200"/>
        <w:rPr>
          <w:rFonts w:ascii="宋体" w:hAnsi="宋体"/>
        </w:rPr>
      </w:pPr>
      <w:r>
        <w:rPr>
          <w:rFonts w:ascii="宋体" w:hAnsi="宋体"/>
        </w:rPr>
        <w:t>3）设备、构件或器材等安装前必须按规定进行防腐处理。</w:t>
      </w:r>
    </w:p>
    <w:p>
      <w:pPr>
        <w:adjustRightInd w:val="0"/>
        <w:snapToGrid w:val="0"/>
        <w:spacing w:before="203" w:beforeLines="50" w:after="203" w:afterLines="50"/>
        <w:ind w:firstLine="500" w:firstLineChars="200"/>
        <w:rPr>
          <w:rFonts w:ascii="宋体" w:hAnsi="宋体"/>
        </w:rPr>
      </w:pPr>
      <w:r>
        <w:rPr>
          <w:rFonts w:ascii="宋体" w:hAnsi="宋体"/>
        </w:rPr>
        <w:t>4）吊装设备或构件不得磨损及碰撞损伤。</w:t>
      </w:r>
    </w:p>
    <w:p>
      <w:pPr>
        <w:adjustRightInd w:val="0"/>
        <w:snapToGrid w:val="0"/>
        <w:spacing w:before="203" w:beforeLines="50" w:after="203" w:afterLines="50"/>
        <w:ind w:firstLine="500" w:firstLineChars="200"/>
        <w:rPr>
          <w:rFonts w:ascii="宋体" w:hAnsi="宋体"/>
        </w:rPr>
      </w:pPr>
      <w:r>
        <w:rPr>
          <w:rFonts w:ascii="宋体" w:hAnsi="宋体"/>
        </w:rPr>
        <w:t>5）地脚螺栓必须垂直，倾斜度不得大于1‰，安装后螺杆露出螺帽2～3扣，螺帽下垫片应为一个，丝扣端须涂油保护，地脚螺栓不许有松动或丝扣损坏现象。</w:t>
      </w:r>
    </w:p>
    <w:p>
      <w:pPr>
        <w:adjustRightInd w:val="0"/>
        <w:snapToGrid w:val="0"/>
        <w:spacing w:before="203" w:beforeLines="50" w:after="203" w:afterLines="50"/>
        <w:ind w:firstLine="500" w:firstLineChars="200"/>
        <w:rPr>
          <w:rFonts w:ascii="宋体" w:hAnsi="宋体"/>
        </w:rPr>
      </w:pPr>
      <w:r>
        <w:rPr>
          <w:rFonts w:ascii="宋体" w:hAnsi="宋体"/>
        </w:rPr>
        <w:t>6）安装设备如果用垫铁时，垫铁必须平整，不得有毛刺或其它缺陷；安装时地脚螺栓两旁应放垫铁，垫铁每隔300～500毫米需有一组，当每组数目不多于4块，全高应为30～60毫米。</w:t>
      </w:r>
    </w:p>
    <w:p>
      <w:pPr>
        <w:adjustRightInd w:val="0"/>
        <w:snapToGrid w:val="0"/>
        <w:spacing w:before="203" w:beforeLines="50" w:after="203" w:afterLines="50"/>
        <w:ind w:firstLine="500" w:firstLineChars="200"/>
        <w:rPr>
          <w:rFonts w:ascii="宋体" w:hAnsi="宋体"/>
        </w:rPr>
      </w:pPr>
      <w:r>
        <w:rPr>
          <w:rFonts w:ascii="宋体" w:hAnsi="宋体"/>
        </w:rPr>
        <w:t>7）设备与构件焊接时，应符合下述要求：</w:t>
      </w:r>
    </w:p>
    <w:p>
      <w:pPr>
        <w:adjustRightInd w:val="0"/>
        <w:snapToGrid w:val="0"/>
        <w:spacing w:before="203" w:beforeLines="50" w:after="203" w:afterLines="50"/>
        <w:ind w:firstLine="500" w:firstLineChars="200"/>
        <w:rPr>
          <w:rFonts w:ascii="宋体" w:hAnsi="宋体"/>
        </w:rPr>
      </w:pPr>
      <w:r>
        <w:rPr>
          <w:rFonts w:ascii="宋体" w:hAnsi="宋体"/>
        </w:rPr>
        <w:t>焊工必须具有考试合格证；</w:t>
      </w:r>
    </w:p>
    <w:p>
      <w:pPr>
        <w:adjustRightInd w:val="0"/>
        <w:snapToGrid w:val="0"/>
        <w:spacing w:before="203" w:beforeLines="50" w:after="203" w:afterLines="50"/>
        <w:ind w:firstLine="500" w:firstLineChars="200"/>
        <w:rPr>
          <w:rFonts w:ascii="宋体" w:hAnsi="宋体"/>
        </w:rPr>
      </w:pPr>
      <w:r>
        <w:rPr>
          <w:rFonts w:ascii="宋体" w:hAnsi="宋体"/>
        </w:rPr>
        <w:t>焊接时坡口对应符合要求；</w:t>
      </w:r>
    </w:p>
    <w:p>
      <w:pPr>
        <w:adjustRightInd w:val="0"/>
        <w:snapToGrid w:val="0"/>
        <w:spacing w:before="203" w:beforeLines="50" w:after="203" w:afterLines="50"/>
        <w:ind w:firstLine="500" w:firstLineChars="200"/>
        <w:rPr>
          <w:rFonts w:ascii="宋体" w:hAnsi="宋体"/>
        </w:rPr>
      </w:pPr>
      <w:r>
        <w:rPr>
          <w:rFonts w:ascii="宋体" w:hAnsi="宋体"/>
        </w:rPr>
        <w:t>所有焊缝均须经外观、强度与严密性检验；</w:t>
      </w:r>
    </w:p>
    <w:p>
      <w:pPr>
        <w:adjustRightInd w:val="0"/>
        <w:snapToGrid w:val="0"/>
        <w:spacing w:before="203" w:beforeLines="50" w:after="203" w:afterLines="50"/>
        <w:ind w:firstLine="500" w:firstLineChars="200"/>
        <w:rPr>
          <w:rFonts w:ascii="宋体" w:hAnsi="宋体"/>
        </w:rPr>
      </w:pPr>
      <w:r>
        <w:rPr>
          <w:rFonts w:ascii="宋体" w:hAnsi="宋体"/>
        </w:rPr>
        <w:t>在雨天施工时必须有防御措施。</w:t>
      </w:r>
    </w:p>
    <w:p>
      <w:pPr>
        <w:adjustRightInd w:val="0"/>
        <w:snapToGrid w:val="0"/>
        <w:spacing w:before="203" w:beforeLines="50" w:after="203" w:afterLines="50"/>
        <w:ind w:firstLine="500" w:firstLineChars="200"/>
        <w:rPr>
          <w:rFonts w:ascii="宋体" w:hAnsi="宋体"/>
        </w:rPr>
      </w:pPr>
      <w:r>
        <w:rPr>
          <w:rFonts w:ascii="宋体" w:hAnsi="宋体"/>
        </w:rPr>
        <w:t>其它要求说明</w:t>
      </w:r>
    </w:p>
    <w:p>
      <w:pPr>
        <w:adjustRightInd w:val="0"/>
        <w:snapToGrid w:val="0"/>
        <w:spacing w:before="203" w:beforeLines="50" w:after="203" w:afterLines="50"/>
        <w:ind w:firstLine="500" w:firstLineChars="200"/>
        <w:rPr>
          <w:rFonts w:ascii="宋体" w:hAnsi="宋体"/>
        </w:rPr>
      </w:pPr>
      <w:r>
        <w:rPr>
          <w:rFonts w:ascii="宋体" w:hAnsi="宋体"/>
        </w:rPr>
        <w:t>（1）非标准设备及专用设备的安装，除应充分注意上述施工及验收规范外，还应注意设计图中的施工技术要求。</w:t>
      </w:r>
    </w:p>
    <w:p>
      <w:pPr>
        <w:adjustRightInd w:val="0"/>
        <w:snapToGrid w:val="0"/>
        <w:spacing w:before="203" w:beforeLines="50" w:after="203" w:afterLines="50"/>
        <w:ind w:firstLine="500" w:firstLineChars="200"/>
        <w:rPr>
          <w:rFonts w:ascii="宋体" w:hAnsi="宋体"/>
        </w:rPr>
      </w:pPr>
      <w:r>
        <w:rPr>
          <w:rFonts w:ascii="宋体" w:hAnsi="宋体"/>
        </w:rPr>
        <w:t>（2）爆炸和火灾危险场所的施工及验收规范按GBJ232-82及设计规范GB50058-92执行。</w:t>
      </w:r>
    </w:p>
    <w:p>
      <w:pPr>
        <w:adjustRightInd w:val="0"/>
        <w:snapToGrid w:val="0"/>
        <w:spacing w:before="203" w:beforeLines="50" w:after="203" w:afterLines="50"/>
        <w:ind w:firstLine="500" w:firstLineChars="200"/>
        <w:rPr>
          <w:rFonts w:ascii="宋体" w:hAnsi="宋体"/>
        </w:rPr>
      </w:pPr>
      <w:r>
        <w:rPr>
          <w:rFonts w:ascii="宋体" w:hAnsi="宋体"/>
        </w:rPr>
        <w:t>（3）由于承包商采购的设备、材料与原设计不一，要求修改原设计的，承包商应以书面形式通告业主、监理及设计单位，并按有关程序完成相关手续，且经各方批准同意后方可实施。</w:t>
      </w:r>
    </w:p>
    <w:p>
      <w:pPr>
        <w:adjustRightInd w:val="0"/>
        <w:snapToGrid w:val="0"/>
        <w:spacing w:before="203" w:beforeLines="50" w:after="203" w:afterLines="50"/>
        <w:ind w:firstLine="500" w:firstLineChars="200"/>
        <w:rPr>
          <w:rFonts w:ascii="宋体" w:hAnsi="宋体"/>
        </w:rPr>
      </w:pPr>
      <w:r>
        <w:rPr>
          <w:rFonts w:ascii="宋体" w:hAnsi="宋体"/>
        </w:rPr>
        <w:t>（4）按规范和规定安装工程中完成有关的检验、试压、试验等检测工作；</w:t>
      </w:r>
    </w:p>
    <w:p>
      <w:pPr>
        <w:adjustRightInd w:val="0"/>
        <w:snapToGrid w:val="0"/>
        <w:spacing w:before="203" w:beforeLines="50" w:after="203" w:afterLines="50"/>
        <w:ind w:firstLine="500" w:firstLineChars="200"/>
        <w:rPr>
          <w:rFonts w:ascii="宋体" w:hAnsi="宋体"/>
        </w:rPr>
      </w:pPr>
      <w:r>
        <w:rPr>
          <w:rFonts w:ascii="宋体" w:hAnsi="宋体"/>
        </w:rPr>
        <w:t>（5）未尽事项均严格按现行规范以及其他相关规范和要求施工。</w:t>
      </w:r>
    </w:p>
    <w:p>
      <w:pPr>
        <w:adjustRightInd w:val="0"/>
        <w:snapToGrid w:val="0"/>
        <w:spacing w:before="203" w:beforeLines="50" w:after="203" w:afterLines="50"/>
        <w:ind w:firstLine="500" w:firstLineChars="200"/>
        <w:rPr>
          <w:rFonts w:ascii="宋体" w:hAnsi="宋体"/>
        </w:rPr>
      </w:pPr>
      <w:r>
        <w:rPr>
          <w:rFonts w:ascii="宋体" w:hAnsi="宋体"/>
        </w:rPr>
        <w:t>控制箱柜的安装</w:t>
      </w:r>
    </w:p>
    <w:p>
      <w:pPr>
        <w:adjustRightInd w:val="0"/>
        <w:snapToGrid w:val="0"/>
        <w:spacing w:before="203" w:beforeLines="50" w:after="203" w:afterLines="50"/>
        <w:ind w:firstLine="500" w:firstLineChars="200"/>
        <w:rPr>
          <w:rFonts w:ascii="宋体" w:hAnsi="宋体"/>
        </w:rPr>
      </w:pPr>
      <w:r>
        <w:rPr>
          <w:rFonts w:ascii="宋体" w:hAnsi="宋体"/>
        </w:rPr>
        <w:t>设备和器材到达现场后，应在规定的期限内作验收检查，并应符合下列要求：</w:t>
      </w:r>
    </w:p>
    <w:p>
      <w:pPr>
        <w:adjustRightInd w:val="0"/>
        <w:snapToGrid w:val="0"/>
        <w:spacing w:before="203" w:beforeLines="50" w:after="203" w:afterLines="50"/>
        <w:ind w:firstLine="500" w:firstLineChars="200"/>
        <w:rPr>
          <w:rFonts w:ascii="宋体" w:hAnsi="宋体"/>
        </w:rPr>
      </w:pPr>
      <w:r>
        <w:rPr>
          <w:rFonts w:ascii="宋体" w:hAnsi="宋体"/>
        </w:rPr>
        <w:t>包装及密封良好。</w:t>
      </w:r>
    </w:p>
    <w:p>
      <w:pPr>
        <w:adjustRightInd w:val="0"/>
        <w:snapToGrid w:val="0"/>
        <w:spacing w:before="203" w:beforeLines="50" w:after="203" w:afterLines="50"/>
        <w:ind w:firstLine="500" w:firstLineChars="200"/>
        <w:rPr>
          <w:rFonts w:ascii="宋体" w:hAnsi="宋体"/>
        </w:rPr>
      </w:pPr>
      <w:r>
        <w:rPr>
          <w:rFonts w:ascii="宋体" w:hAnsi="宋体"/>
        </w:rPr>
        <w:t>开箱检查型号、规格应符合设计要求，设备无损伤，附件、备件齐全。</w:t>
      </w:r>
    </w:p>
    <w:p>
      <w:pPr>
        <w:adjustRightInd w:val="0"/>
        <w:snapToGrid w:val="0"/>
        <w:spacing w:before="203" w:beforeLines="50" w:after="203" w:afterLines="50"/>
        <w:ind w:firstLine="500" w:firstLineChars="200"/>
        <w:rPr>
          <w:rFonts w:ascii="宋体" w:hAnsi="宋体"/>
        </w:rPr>
      </w:pPr>
      <w:r>
        <w:rPr>
          <w:rFonts w:ascii="宋体" w:hAnsi="宋体"/>
        </w:rPr>
        <w:t>产品的技术文件齐全。</w:t>
      </w:r>
    </w:p>
    <w:p>
      <w:pPr>
        <w:adjustRightInd w:val="0"/>
        <w:snapToGrid w:val="0"/>
        <w:spacing w:before="203" w:beforeLines="50" w:after="203" w:afterLines="50"/>
        <w:ind w:firstLine="500" w:firstLineChars="200"/>
        <w:rPr>
          <w:rFonts w:ascii="宋体" w:hAnsi="宋体"/>
        </w:rPr>
      </w:pPr>
      <w:r>
        <w:rPr>
          <w:rFonts w:ascii="宋体" w:hAnsi="宋体"/>
        </w:rPr>
        <w:t>按规范要求检查外观应合格。</w:t>
      </w:r>
    </w:p>
    <w:p>
      <w:pPr>
        <w:adjustRightInd w:val="0"/>
        <w:snapToGrid w:val="0"/>
        <w:spacing w:before="203" w:beforeLines="50" w:after="203" w:afterLines="50"/>
        <w:ind w:firstLine="500" w:firstLineChars="200"/>
        <w:rPr>
          <w:rFonts w:ascii="宋体" w:hAnsi="宋体"/>
        </w:rPr>
      </w:pPr>
      <w:r>
        <w:rPr>
          <w:rFonts w:ascii="宋体" w:hAnsi="宋体"/>
        </w:rPr>
        <w:t>箱、柜应存放在室内或能避雨、风、沙的干燥场所，对有特殊规定的装置性设备和电气元件，应按规定保管；在搬运和安装时应采取防震、防潮、防止框架变形和漆面受损等安全措施。</w:t>
      </w:r>
    </w:p>
    <w:p>
      <w:pPr>
        <w:adjustRightInd w:val="0"/>
        <w:snapToGrid w:val="0"/>
        <w:spacing w:before="203" w:beforeLines="50" w:after="203" w:afterLines="50"/>
        <w:ind w:firstLine="500" w:firstLineChars="200"/>
        <w:rPr>
          <w:rFonts w:ascii="宋体" w:hAnsi="宋体"/>
        </w:rPr>
      </w:pPr>
      <w:r>
        <w:rPr>
          <w:rFonts w:ascii="宋体" w:hAnsi="宋体"/>
        </w:rPr>
        <w:t>施工中的安全技术措施，应符合国家现行的规范和相关安全技术标准及产品技术文件的规定。与箱、柜装置安装有关的建筑物、构筑物的建筑施工质量，应符合国家现行的建筑工程施工及验收规范中的有关规定。</w:t>
      </w:r>
    </w:p>
    <w:p>
      <w:pPr>
        <w:adjustRightInd w:val="0"/>
        <w:snapToGrid w:val="0"/>
        <w:spacing w:before="203" w:beforeLines="50" w:after="203" w:afterLines="50"/>
        <w:ind w:firstLine="500" w:firstLineChars="200"/>
        <w:rPr>
          <w:rFonts w:ascii="宋体" w:hAnsi="宋体"/>
        </w:rPr>
      </w:pPr>
      <w:r>
        <w:rPr>
          <w:rFonts w:ascii="宋体" w:hAnsi="宋体"/>
        </w:rPr>
        <w:t>设备安装用的紧固件，应用镀锌制品，并宜采用标准件。</w:t>
      </w:r>
    </w:p>
    <w:p>
      <w:pPr>
        <w:adjustRightInd w:val="0"/>
        <w:snapToGrid w:val="0"/>
        <w:spacing w:before="203" w:beforeLines="50" w:after="203" w:afterLines="50"/>
        <w:ind w:firstLine="500" w:firstLineChars="200"/>
        <w:rPr>
          <w:rFonts w:ascii="宋体" w:hAnsi="宋体"/>
        </w:rPr>
      </w:pPr>
      <w:r>
        <w:rPr>
          <w:rFonts w:ascii="宋体" w:hAnsi="宋体"/>
        </w:rPr>
        <w:t>箱、柜的施工，应符合国家现行的相关标准、规范的规定。</w:t>
      </w:r>
    </w:p>
    <w:p>
      <w:pPr>
        <w:adjustRightInd w:val="0"/>
        <w:snapToGrid w:val="0"/>
        <w:spacing w:before="203" w:beforeLines="50" w:after="203" w:afterLines="50"/>
        <w:ind w:firstLine="500" w:firstLineChars="200"/>
        <w:rPr>
          <w:rFonts w:ascii="宋体" w:hAnsi="宋体"/>
        </w:rPr>
      </w:pPr>
      <w:r>
        <w:rPr>
          <w:rFonts w:ascii="宋体" w:hAnsi="宋体"/>
        </w:rPr>
        <w:t>电缆的安装</w:t>
      </w:r>
    </w:p>
    <w:p>
      <w:pPr>
        <w:adjustRightInd w:val="0"/>
        <w:snapToGrid w:val="0"/>
        <w:spacing w:before="203" w:beforeLines="50" w:after="203" w:afterLines="50"/>
        <w:ind w:firstLine="500" w:firstLineChars="200"/>
        <w:rPr>
          <w:rFonts w:ascii="宋体" w:hAnsi="宋体"/>
        </w:rPr>
      </w:pPr>
      <w:r>
        <w:rPr>
          <w:rFonts w:ascii="宋体" w:hAnsi="宋体"/>
        </w:rPr>
        <w:t>采用的电缆及其附件，均应符合国家现行技术标准的规定，并应有合格证，设备应有铭牌。</w:t>
      </w:r>
    </w:p>
    <w:p>
      <w:pPr>
        <w:adjustRightInd w:val="0"/>
        <w:snapToGrid w:val="0"/>
        <w:spacing w:before="203" w:beforeLines="50" w:after="203" w:afterLines="50"/>
        <w:ind w:firstLine="500" w:firstLineChars="200"/>
        <w:rPr>
          <w:rFonts w:ascii="宋体" w:hAnsi="宋体"/>
        </w:rPr>
      </w:pPr>
      <w:r>
        <w:rPr>
          <w:rFonts w:ascii="宋体" w:hAnsi="宋体"/>
        </w:rPr>
        <w:t>电缆及其附件到达现场后，应按下列要求及时进行检查：</w:t>
      </w:r>
    </w:p>
    <w:p>
      <w:pPr>
        <w:adjustRightInd w:val="0"/>
        <w:snapToGrid w:val="0"/>
        <w:spacing w:before="203" w:beforeLines="50" w:after="203" w:afterLines="50"/>
        <w:ind w:firstLine="500" w:firstLineChars="200"/>
        <w:rPr>
          <w:rFonts w:ascii="宋体" w:hAnsi="宋体"/>
        </w:rPr>
      </w:pPr>
      <w:r>
        <w:rPr>
          <w:rFonts w:ascii="宋体" w:hAnsi="宋体"/>
        </w:rPr>
        <w:t>产品的技术文件应齐全。</w:t>
      </w:r>
    </w:p>
    <w:p>
      <w:pPr>
        <w:adjustRightInd w:val="0"/>
        <w:snapToGrid w:val="0"/>
        <w:spacing w:before="203" w:beforeLines="50" w:after="203" w:afterLines="50"/>
        <w:ind w:firstLine="500" w:firstLineChars="200"/>
        <w:rPr>
          <w:rFonts w:ascii="宋体" w:hAnsi="宋体"/>
        </w:rPr>
      </w:pPr>
      <w:r>
        <w:rPr>
          <w:rFonts w:ascii="宋体" w:hAnsi="宋体"/>
        </w:rPr>
        <w:t>电缆型号、规格、长度应符合订货要求，附件应齐全；电缆外观不应受损。</w:t>
      </w:r>
    </w:p>
    <w:p>
      <w:pPr>
        <w:adjustRightInd w:val="0"/>
        <w:snapToGrid w:val="0"/>
        <w:spacing w:before="203" w:beforeLines="50" w:after="203" w:afterLines="50"/>
        <w:ind w:firstLine="500" w:firstLineChars="200"/>
        <w:rPr>
          <w:rFonts w:ascii="宋体" w:hAnsi="宋体"/>
        </w:rPr>
      </w:pPr>
      <w:r>
        <w:rPr>
          <w:rFonts w:ascii="宋体" w:hAnsi="宋体"/>
        </w:rPr>
        <w:t>电缆密封应严密。</w:t>
      </w:r>
    </w:p>
    <w:p>
      <w:pPr>
        <w:adjustRightInd w:val="0"/>
        <w:snapToGrid w:val="0"/>
        <w:spacing w:before="203" w:beforeLines="50" w:after="203" w:afterLines="50"/>
        <w:ind w:firstLine="500" w:firstLineChars="200"/>
        <w:rPr>
          <w:rFonts w:ascii="宋体" w:hAnsi="宋体"/>
        </w:rPr>
      </w:pPr>
      <w:r>
        <w:rPr>
          <w:rFonts w:ascii="宋体" w:hAnsi="宋体"/>
        </w:rPr>
        <w:t>在运输装卸过程中，不应使电缆和电缆盘受到损伤。运输或滚动电缆盘前，必须保证电缆盘牢固，电缆绕紧。滚动时须顺着电缆盘上的箭头指示或电缆的缠紧方向。</w:t>
      </w:r>
    </w:p>
    <w:p>
      <w:pPr>
        <w:adjustRightInd w:val="0"/>
        <w:snapToGrid w:val="0"/>
        <w:spacing w:before="203" w:beforeLines="50" w:after="203" w:afterLines="50"/>
        <w:ind w:firstLine="500" w:firstLineChars="200"/>
        <w:rPr>
          <w:rFonts w:ascii="宋体" w:hAnsi="宋体"/>
        </w:rPr>
      </w:pPr>
      <w:r>
        <w:rPr>
          <w:rFonts w:ascii="宋体" w:hAnsi="宋体"/>
        </w:rPr>
        <w:t>施工中的安全技术措施，应符合国家现行的规范和相关安全技术标准及产品技术文件的规定。</w:t>
      </w:r>
    </w:p>
    <w:p>
      <w:pPr>
        <w:adjustRightInd w:val="0"/>
        <w:snapToGrid w:val="0"/>
        <w:spacing w:before="203" w:beforeLines="50" w:after="203" w:afterLines="50"/>
        <w:ind w:firstLine="500" w:firstLineChars="200"/>
        <w:rPr>
          <w:rFonts w:ascii="宋体" w:hAnsi="宋体"/>
        </w:rPr>
      </w:pPr>
      <w:r>
        <w:rPr>
          <w:rFonts w:ascii="宋体" w:hAnsi="宋体"/>
        </w:rPr>
        <w:t>与电缆线路安装有关的建筑物、构筑物的建筑工程质量，应符合国家现行的建筑工程施工及验收规范中的有关规定。</w:t>
      </w:r>
    </w:p>
    <w:p>
      <w:pPr>
        <w:adjustRightInd w:val="0"/>
        <w:snapToGrid w:val="0"/>
        <w:spacing w:before="203" w:beforeLines="50" w:after="203" w:afterLines="50"/>
        <w:ind w:firstLine="500" w:firstLineChars="200"/>
        <w:rPr>
          <w:rFonts w:ascii="宋体" w:hAnsi="宋体"/>
        </w:rPr>
      </w:pPr>
      <w:r>
        <w:rPr>
          <w:rFonts w:ascii="宋体" w:hAnsi="宋体"/>
        </w:rPr>
        <w:t>电缆及其附件安装用的紧固件，除地脚螺栓外，应采用热镀锌制品。</w:t>
      </w:r>
    </w:p>
    <w:p>
      <w:pPr>
        <w:adjustRightInd w:val="0"/>
        <w:snapToGrid w:val="0"/>
        <w:spacing w:before="203" w:beforeLines="50" w:after="203" w:afterLines="50"/>
        <w:ind w:firstLine="500" w:firstLineChars="200"/>
        <w:rPr>
          <w:rFonts w:ascii="宋体" w:hAnsi="宋体"/>
        </w:rPr>
      </w:pPr>
      <w:r>
        <w:rPr>
          <w:rFonts w:ascii="宋体" w:hAnsi="宋体"/>
        </w:rPr>
        <w:t>对有抗干扰要求的电缆线路，应按设计要求采取抗干扰措施。</w:t>
      </w:r>
    </w:p>
    <w:p>
      <w:pPr>
        <w:adjustRightInd w:val="0"/>
        <w:snapToGrid w:val="0"/>
        <w:spacing w:before="203" w:beforeLines="50" w:after="203" w:afterLines="50"/>
        <w:ind w:firstLine="500" w:firstLineChars="200"/>
        <w:rPr>
          <w:rFonts w:ascii="宋体" w:hAnsi="宋体"/>
        </w:rPr>
      </w:pPr>
      <w:r>
        <w:rPr>
          <w:rFonts w:ascii="宋体" w:hAnsi="宋体"/>
        </w:rPr>
        <w:t>电缆及其附件的施工，应符合国家现行的相关标准、规范的规定。</w:t>
      </w:r>
    </w:p>
    <w:p>
      <w:pPr>
        <w:adjustRightInd w:val="0"/>
        <w:snapToGrid w:val="0"/>
        <w:spacing w:before="203" w:beforeLines="50" w:after="203" w:afterLines="50"/>
        <w:ind w:firstLine="500" w:firstLineChars="200"/>
        <w:rPr>
          <w:rFonts w:ascii="宋体" w:hAnsi="宋体"/>
        </w:rPr>
      </w:pPr>
      <w:r>
        <w:rPr>
          <w:rFonts w:ascii="宋体" w:hAnsi="宋体"/>
        </w:rPr>
        <w:t>自控装置的接地安装</w:t>
      </w:r>
    </w:p>
    <w:p>
      <w:pPr>
        <w:adjustRightInd w:val="0"/>
        <w:snapToGrid w:val="0"/>
        <w:spacing w:before="203" w:beforeLines="50" w:after="203" w:afterLines="50"/>
        <w:ind w:firstLine="500" w:firstLineChars="200"/>
        <w:rPr>
          <w:rFonts w:ascii="宋体" w:hAnsi="宋体"/>
        </w:rPr>
      </w:pPr>
      <w:r>
        <w:rPr>
          <w:rFonts w:ascii="宋体" w:hAnsi="宋体"/>
        </w:rPr>
        <w:t>采用的器材应符合国家现行技术标准的规定，并应有合格证件。</w:t>
      </w:r>
    </w:p>
    <w:p>
      <w:pPr>
        <w:adjustRightInd w:val="0"/>
        <w:snapToGrid w:val="0"/>
        <w:spacing w:before="203" w:beforeLines="50" w:after="203" w:afterLines="50"/>
        <w:ind w:firstLine="500" w:firstLineChars="200"/>
        <w:rPr>
          <w:rFonts w:ascii="宋体" w:hAnsi="宋体"/>
        </w:rPr>
      </w:pPr>
      <w:r>
        <w:rPr>
          <w:rFonts w:ascii="宋体" w:hAnsi="宋体"/>
        </w:rPr>
        <w:t>施工中的安全技术措施，应符合国家现行的规范和相关安全技术标准及产品技术文件的规定。</w:t>
      </w:r>
    </w:p>
    <w:p>
      <w:pPr>
        <w:adjustRightInd w:val="0"/>
        <w:snapToGrid w:val="0"/>
        <w:spacing w:before="203" w:beforeLines="50" w:after="203" w:afterLines="50"/>
        <w:ind w:firstLine="500" w:firstLineChars="200"/>
        <w:rPr>
          <w:rFonts w:ascii="宋体" w:hAnsi="宋体"/>
        </w:rPr>
      </w:pPr>
      <w:r>
        <w:rPr>
          <w:rFonts w:ascii="宋体" w:hAnsi="宋体"/>
        </w:rPr>
        <w:t>接地装置的安装应配合建筑工程的施工，隐蔽部分必须在覆盖前会同有关单位作好中间检查及验收记录。</w:t>
      </w:r>
    </w:p>
    <w:p>
      <w:pPr>
        <w:adjustRightInd w:val="0"/>
        <w:snapToGrid w:val="0"/>
        <w:spacing w:before="203" w:beforeLines="50" w:after="203" w:afterLines="50"/>
        <w:ind w:firstLine="500" w:firstLineChars="200"/>
        <w:rPr>
          <w:rFonts w:ascii="宋体" w:hAnsi="宋体"/>
        </w:rPr>
      </w:pPr>
      <w:r>
        <w:rPr>
          <w:rFonts w:ascii="宋体" w:hAnsi="宋体"/>
        </w:rPr>
        <w:t>下列金属部分均应接地或接零：</w:t>
      </w:r>
    </w:p>
    <w:p>
      <w:pPr>
        <w:adjustRightInd w:val="0"/>
        <w:snapToGrid w:val="0"/>
        <w:spacing w:before="203" w:beforeLines="50" w:after="203" w:afterLines="50"/>
        <w:ind w:firstLine="500" w:firstLineChars="200"/>
        <w:rPr>
          <w:rFonts w:ascii="宋体" w:hAnsi="宋体"/>
        </w:rPr>
      </w:pPr>
      <w:r>
        <w:rPr>
          <w:rFonts w:ascii="宋体" w:hAnsi="宋体"/>
        </w:rPr>
        <w:t>屋内外配电装置的金属以及靠近带电部分的金属遮栏和金属门。</w:t>
      </w:r>
    </w:p>
    <w:p>
      <w:pPr>
        <w:adjustRightInd w:val="0"/>
        <w:snapToGrid w:val="0"/>
        <w:spacing w:before="203" w:beforeLines="50" w:after="203" w:afterLines="50"/>
        <w:ind w:firstLine="500" w:firstLineChars="200"/>
        <w:rPr>
          <w:rFonts w:ascii="宋体" w:hAnsi="宋体"/>
        </w:rPr>
      </w:pPr>
      <w:r>
        <w:rPr>
          <w:rFonts w:ascii="宋体" w:hAnsi="宋体"/>
        </w:rPr>
        <w:t>配电、控制用的箱、柜及操纵台等的金属框架和底座。</w:t>
      </w:r>
    </w:p>
    <w:p>
      <w:pPr>
        <w:adjustRightInd w:val="0"/>
        <w:snapToGrid w:val="0"/>
        <w:spacing w:before="203" w:beforeLines="50" w:after="203" w:afterLines="50"/>
        <w:ind w:firstLine="500" w:firstLineChars="200"/>
        <w:rPr>
          <w:rFonts w:ascii="宋体" w:hAnsi="宋体"/>
        </w:rPr>
      </w:pPr>
      <w:r>
        <w:rPr>
          <w:rFonts w:ascii="宋体" w:hAnsi="宋体"/>
        </w:rPr>
        <w:t>接头盒、终端头和膨胀器的金属外壳和电缆的金属护层、可触及的电缆金属保护管和穿线的钢管。</w:t>
      </w:r>
    </w:p>
    <w:p>
      <w:pPr>
        <w:adjustRightInd w:val="0"/>
        <w:snapToGrid w:val="0"/>
        <w:spacing w:before="203" w:beforeLines="50" w:after="203" w:afterLines="50"/>
        <w:ind w:firstLine="500" w:firstLineChars="200"/>
        <w:rPr>
          <w:rFonts w:ascii="宋体" w:hAnsi="宋体"/>
        </w:rPr>
      </w:pPr>
      <w:r>
        <w:rPr>
          <w:rFonts w:ascii="宋体" w:hAnsi="宋体"/>
        </w:rPr>
        <w:t>电缆桥架、支架、线槽和井架。</w:t>
      </w:r>
    </w:p>
    <w:p>
      <w:pPr>
        <w:adjustRightInd w:val="0"/>
        <w:snapToGrid w:val="0"/>
        <w:spacing w:before="203" w:beforeLines="50" w:after="203" w:afterLines="50"/>
        <w:ind w:firstLine="500" w:firstLineChars="200"/>
        <w:rPr>
          <w:rFonts w:ascii="宋体" w:hAnsi="宋体"/>
        </w:rPr>
      </w:pPr>
      <w:r>
        <w:rPr>
          <w:rFonts w:ascii="宋体" w:hAnsi="宋体"/>
        </w:rPr>
        <w:t>装在配电线路杆上的设备。</w:t>
      </w:r>
    </w:p>
    <w:p>
      <w:pPr>
        <w:adjustRightInd w:val="0"/>
        <w:snapToGrid w:val="0"/>
        <w:spacing w:before="203" w:beforeLines="50" w:after="203" w:afterLines="50"/>
        <w:ind w:firstLine="500" w:firstLineChars="200"/>
        <w:rPr>
          <w:rFonts w:ascii="宋体" w:hAnsi="宋体"/>
        </w:rPr>
      </w:pPr>
      <w:r>
        <w:rPr>
          <w:rFonts w:ascii="宋体" w:hAnsi="宋体"/>
        </w:rPr>
        <w:t>仪表及仪表箱等设备的金属外壳。</w:t>
      </w:r>
    </w:p>
    <w:p>
      <w:pPr>
        <w:adjustRightInd w:val="0"/>
        <w:snapToGrid w:val="0"/>
        <w:spacing w:before="203" w:beforeLines="50" w:after="203" w:afterLines="50"/>
        <w:ind w:firstLine="500" w:firstLineChars="200"/>
        <w:rPr>
          <w:rFonts w:ascii="宋体" w:hAnsi="宋体"/>
        </w:rPr>
      </w:pPr>
      <w:r>
        <w:rPr>
          <w:rFonts w:ascii="宋体" w:hAnsi="宋体"/>
        </w:rPr>
        <w:t>控制电缆的金属外壳。</w:t>
      </w:r>
    </w:p>
    <w:p>
      <w:pPr>
        <w:adjustRightInd w:val="0"/>
        <w:snapToGrid w:val="0"/>
        <w:spacing w:before="203" w:beforeLines="50" w:after="203" w:afterLines="50"/>
        <w:ind w:firstLine="500" w:firstLineChars="200"/>
        <w:rPr>
          <w:rFonts w:ascii="宋体" w:hAnsi="宋体"/>
        </w:rPr>
      </w:pPr>
      <w:r>
        <w:rPr>
          <w:rFonts w:ascii="宋体" w:hAnsi="宋体"/>
        </w:rPr>
        <w:t>接地线不应作其它用途。</w:t>
      </w:r>
    </w:p>
    <w:p>
      <w:pPr>
        <w:adjustRightInd w:val="0"/>
        <w:snapToGrid w:val="0"/>
        <w:spacing w:before="203" w:beforeLines="50" w:after="203" w:afterLines="50"/>
        <w:ind w:firstLine="500" w:firstLineChars="200"/>
        <w:rPr>
          <w:rFonts w:ascii="宋体" w:hAnsi="宋体"/>
        </w:rPr>
      </w:pPr>
      <w:r>
        <w:rPr>
          <w:rFonts w:ascii="宋体" w:hAnsi="宋体"/>
        </w:rPr>
        <w:t>为预防间接接触电击和防电磁干扰，按设计要求做等电位联结。</w:t>
      </w:r>
    </w:p>
    <w:p>
      <w:pPr>
        <w:adjustRightInd w:val="0"/>
        <w:snapToGrid w:val="0"/>
        <w:spacing w:before="203" w:beforeLines="50" w:after="203" w:afterLines="50"/>
        <w:ind w:firstLine="500" w:firstLineChars="200"/>
        <w:rPr>
          <w:rFonts w:ascii="宋体" w:hAnsi="宋体"/>
        </w:rPr>
      </w:pPr>
      <w:r>
        <w:rPr>
          <w:rFonts w:ascii="宋体" w:hAnsi="宋体"/>
        </w:rPr>
        <w:t>接地装置的施工，应符合国家现行的相关标准、规范的规定。</w:t>
      </w:r>
    </w:p>
    <w:p>
      <w:pPr>
        <w:keepNext/>
        <w:tabs>
          <w:tab w:val="left" w:pos="993"/>
        </w:tabs>
        <w:adjustRightInd w:val="0"/>
        <w:snapToGrid w:val="0"/>
        <w:spacing w:before="203" w:beforeLines="50" w:after="203" w:afterLines="50"/>
        <w:outlineLvl w:val="0"/>
        <w:rPr>
          <w:rFonts w:ascii="宋体" w:hAnsi="宋体"/>
          <w:b/>
          <w:bCs/>
        </w:rPr>
      </w:pPr>
      <w:bookmarkStart w:id="7352" w:name="_Toc450585023"/>
      <w:bookmarkStart w:id="7353" w:name="_Toc106883811"/>
      <w:r>
        <w:rPr>
          <w:rFonts w:hint="eastAsia" w:ascii="宋体" w:hAnsi="宋体"/>
          <w:b/>
          <w:bCs/>
        </w:rPr>
        <w:t>10.5.4</w:t>
      </w:r>
      <w:r>
        <w:rPr>
          <w:rFonts w:ascii="宋体" w:hAnsi="宋体"/>
          <w:b/>
          <w:bCs/>
        </w:rPr>
        <w:t>安装管理</w:t>
      </w:r>
      <w:bookmarkEnd w:id="7352"/>
      <w:bookmarkEnd w:id="7353"/>
    </w:p>
    <w:p>
      <w:pPr>
        <w:adjustRightInd w:val="0"/>
        <w:snapToGrid w:val="0"/>
        <w:spacing w:before="203" w:beforeLines="50" w:after="203" w:afterLines="50"/>
        <w:ind w:firstLine="500" w:firstLineChars="200"/>
        <w:rPr>
          <w:rFonts w:ascii="宋体" w:hAnsi="宋体"/>
        </w:rPr>
      </w:pPr>
      <w:r>
        <w:rPr>
          <w:rFonts w:ascii="宋体" w:hAnsi="宋体"/>
        </w:rPr>
        <w:t>整个安装要有安装准备、施工记录、设备缺陷及安装缺陷处理程序等过程。</w:t>
      </w:r>
    </w:p>
    <w:p>
      <w:pPr>
        <w:adjustRightInd w:val="0"/>
        <w:snapToGrid w:val="0"/>
        <w:spacing w:before="203" w:beforeLines="50" w:after="203" w:afterLines="50"/>
        <w:ind w:firstLine="500" w:firstLineChars="200"/>
        <w:rPr>
          <w:rFonts w:ascii="宋体" w:hAnsi="宋体"/>
        </w:rPr>
      </w:pPr>
      <w:bookmarkStart w:id="7354" w:name="_Toc106050621"/>
      <w:r>
        <w:rPr>
          <w:rFonts w:ascii="宋体" w:hAnsi="宋体"/>
        </w:rPr>
        <w:t>（1）安装技术人员到位，分工号合理配置技术力量；</w:t>
      </w:r>
      <w:bookmarkEnd w:id="7354"/>
    </w:p>
    <w:p>
      <w:pPr>
        <w:adjustRightInd w:val="0"/>
        <w:snapToGrid w:val="0"/>
        <w:spacing w:before="203" w:beforeLines="50" w:after="203" w:afterLines="50"/>
        <w:ind w:firstLine="500" w:firstLineChars="200"/>
        <w:rPr>
          <w:rFonts w:ascii="宋体" w:hAnsi="宋体"/>
        </w:rPr>
      </w:pPr>
      <w:r>
        <w:rPr>
          <w:rFonts w:ascii="宋体" w:hAnsi="宋体"/>
        </w:rPr>
        <w:t>（2）安装所需的设备、工具、器具、仪表应准备齐全并到位；</w:t>
      </w:r>
    </w:p>
    <w:p>
      <w:pPr>
        <w:adjustRightInd w:val="0"/>
        <w:snapToGrid w:val="0"/>
        <w:spacing w:before="203" w:beforeLines="50" w:after="203" w:afterLines="50"/>
        <w:ind w:firstLine="500" w:firstLineChars="200"/>
        <w:rPr>
          <w:rFonts w:ascii="宋体" w:hAnsi="宋体"/>
        </w:rPr>
      </w:pPr>
      <w:r>
        <w:rPr>
          <w:rFonts w:ascii="宋体" w:hAnsi="宋体"/>
        </w:rPr>
        <w:t>（3）所安装的设备、材料、器具必须到位；且完成相关项目的开箱检查测试；</w:t>
      </w:r>
    </w:p>
    <w:p>
      <w:pPr>
        <w:adjustRightInd w:val="0"/>
        <w:snapToGrid w:val="0"/>
        <w:spacing w:before="203" w:beforeLines="50" w:after="203" w:afterLines="50"/>
        <w:ind w:firstLine="500" w:firstLineChars="200"/>
        <w:rPr>
          <w:rFonts w:ascii="宋体" w:hAnsi="宋体"/>
        </w:rPr>
      </w:pPr>
      <w:bookmarkStart w:id="7355" w:name="_Toc106050622"/>
      <w:r>
        <w:rPr>
          <w:rFonts w:ascii="宋体" w:hAnsi="宋体"/>
        </w:rPr>
        <w:t>（4）安装过程中必须做好详细记录；</w:t>
      </w:r>
      <w:bookmarkEnd w:id="7355"/>
    </w:p>
    <w:p>
      <w:pPr>
        <w:adjustRightInd w:val="0"/>
        <w:snapToGrid w:val="0"/>
        <w:spacing w:before="203" w:beforeLines="50" w:after="203" w:afterLines="50"/>
        <w:ind w:firstLine="500" w:firstLineChars="200"/>
        <w:rPr>
          <w:rFonts w:ascii="宋体" w:hAnsi="宋体"/>
        </w:rPr>
      </w:pPr>
      <w:r>
        <w:rPr>
          <w:rFonts w:ascii="宋体" w:hAnsi="宋体"/>
        </w:rPr>
        <w:t>（5）安装过程中发现有设备缺陷及安装缺陷问题时，应先分析原因，找出问题所在，研究解决方案及正确的处理手段和措施，并报告业主、设计、监理、质检等单位，经各方研究同意后方可实施整改。直到满足要求。</w:t>
      </w:r>
    </w:p>
    <w:p>
      <w:pPr>
        <w:keepNext/>
        <w:tabs>
          <w:tab w:val="left" w:pos="993"/>
        </w:tabs>
        <w:adjustRightInd w:val="0"/>
        <w:snapToGrid w:val="0"/>
        <w:spacing w:before="203" w:beforeLines="50" w:after="203" w:afterLines="50"/>
        <w:outlineLvl w:val="0"/>
        <w:rPr>
          <w:rFonts w:ascii="宋体" w:hAnsi="宋体"/>
          <w:b/>
          <w:bCs/>
        </w:rPr>
      </w:pPr>
      <w:bookmarkStart w:id="7356" w:name="_Toc324354010"/>
      <w:bookmarkStart w:id="7357" w:name="_Toc450585024"/>
      <w:bookmarkStart w:id="7358" w:name="_Toc317846495"/>
      <w:bookmarkStart w:id="7359" w:name="_Toc238874615"/>
      <w:bookmarkStart w:id="7360" w:name="_Toc159143782"/>
      <w:bookmarkStart w:id="7361" w:name="_Toc106883812"/>
      <w:r>
        <w:rPr>
          <w:rFonts w:hint="eastAsia" w:ascii="宋体" w:hAnsi="宋体"/>
          <w:b/>
          <w:bCs/>
        </w:rPr>
        <w:t>10.5.5</w:t>
      </w:r>
      <w:r>
        <w:rPr>
          <w:rFonts w:ascii="宋体" w:hAnsi="宋体"/>
          <w:b/>
          <w:bCs/>
        </w:rPr>
        <w:t>验收规定</w:t>
      </w:r>
      <w:bookmarkEnd w:id="7356"/>
      <w:bookmarkEnd w:id="7357"/>
      <w:bookmarkEnd w:id="7358"/>
      <w:bookmarkEnd w:id="7359"/>
      <w:bookmarkEnd w:id="7360"/>
      <w:bookmarkEnd w:id="7361"/>
    </w:p>
    <w:p>
      <w:pPr>
        <w:adjustRightInd w:val="0"/>
        <w:snapToGrid w:val="0"/>
        <w:spacing w:before="203" w:beforeLines="50" w:after="203" w:afterLines="50"/>
        <w:ind w:firstLine="500" w:firstLineChars="200"/>
        <w:rPr>
          <w:rFonts w:ascii="宋体" w:hAnsi="宋体"/>
        </w:rPr>
      </w:pPr>
      <w:r>
        <w:rPr>
          <w:rFonts w:ascii="宋体" w:hAnsi="宋体"/>
        </w:rPr>
        <w:t>所有设备、材料的采购、施工验收时除必须满足国家现行的相关规范及一般技术规定和要求外，还需按但不限于下列要求进行检验：</w:t>
      </w:r>
    </w:p>
    <w:p>
      <w:pPr>
        <w:adjustRightInd w:val="0"/>
        <w:snapToGrid w:val="0"/>
        <w:spacing w:before="203" w:beforeLines="50" w:after="203" w:afterLines="50"/>
        <w:ind w:firstLine="500" w:firstLineChars="200"/>
        <w:rPr>
          <w:rFonts w:ascii="宋体" w:hAnsi="宋体"/>
        </w:rPr>
      </w:pPr>
      <w:r>
        <w:rPr>
          <w:rFonts w:ascii="宋体" w:hAnsi="宋体"/>
        </w:rPr>
        <w:t>（1）箱、柜的固定及接地应可靠，柜油漆层应完好、清洁整齐。</w:t>
      </w:r>
    </w:p>
    <w:p>
      <w:pPr>
        <w:adjustRightInd w:val="0"/>
        <w:snapToGrid w:val="0"/>
        <w:spacing w:before="203" w:beforeLines="50" w:after="203" w:afterLines="50"/>
        <w:ind w:firstLine="500" w:firstLineChars="200"/>
        <w:rPr>
          <w:rFonts w:ascii="宋体" w:hAnsi="宋体"/>
        </w:rPr>
      </w:pPr>
      <w:r>
        <w:rPr>
          <w:rFonts w:ascii="宋体" w:hAnsi="宋体"/>
        </w:rPr>
        <w:t>（2）箱、柜内所装电气元件应齐全完好，安装位置正确，固定牢固。</w:t>
      </w:r>
    </w:p>
    <w:p>
      <w:pPr>
        <w:adjustRightInd w:val="0"/>
        <w:snapToGrid w:val="0"/>
        <w:spacing w:before="203" w:beforeLines="50" w:after="203" w:afterLines="50"/>
        <w:ind w:firstLine="500" w:firstLineChars="200"/>
        <w:rPr>
          <w:rFonts w:ascii="宋体" w:hAnsi="宋体"/>
        </w:rPr>
      </w:pPr>
      <w:r>
        <w:rPr>
          <w:rFonts w:ascii="宋体" w:hAnsi="宋体"/>
        </w:rPr>
        <w:t>（3）接线应准确，连接可靠，标志齐全清晰，绝缘符合要求。</w:t>
      </w:r>
    </w:p>
    <w:p>
      <w:pPr>
        <w:adjustRightInd w:val="0"/>
        <w:snapToGrid w:val="0"/>
        <w:spacing w:before="203" w:beforeLines="50" w:after="203" w:afterLines="50"/>
        <w:ind w:firstLine="500" w:firstLineChars="200"/>
        <w:rPr>
          <w:rFonts w:ascii="宋体" w:hAnsi="宋体"/>
        </w:rPr>
      </w:pPr>
      <w:r>
        <w:rPr>
          <w:rFonts w:ascii="宋体" w:hAnsi="宋体"/>
        </w:rPr>
        <w:t>（4）柜及电缆管道安装完后，应作好封堵处理。</w:t>
      </w:r>
    </w:p>
    <w:p>
      <w:pPr>
        <w:adjustRightInd w:val="0"/>
        <w:snapToGrid w:val="0"/>
        <w:spacing w:before="203" w:beforeLines="50" w:after="203" w:afterLines="50"/>
        <w:ind w:firstLine="500" w:firstLineChars="200"/>
        <w:rPr>
          <w:rFonts w:ascii="宋体" w:hAnsi="宋体"/>
        </w:rPr>
      </w:pPr>
      <w:r>
        <w:rPr>
          <w:rFonts w:ascii="宋体" w:hAnsi="宋体"/>
        </w:rPr>
        <w:t>（5）电缆规格应符合规定；排列整齐，无机械损伤；标志牌应装设齐全、正确、清晰。</w:t>
      </w:r>
    </w:p>
    <w:p>
      <w:pPr>
        <w:adjustRightInd w:val="0"/>
        <w:snapToGrid w:val="0"/>
        <w:spacing w:before="203" w:beforeLines="50" w:after="203" w:afterLines="50"/>
        <w:ind w:firstLine="500" w:firstLineChars="200"/>
        <w:rPr>
          <w:rFonts w:ascii="宋体" w:hAnsi="宋体"/>
        </w:rPr>
      </w:pPr>
      <w:r>
        <w:rPr>
          <w:rFonts w:ascii="宋体" w:hAnsi="宋体"/>
        </w:rPr>
        <w:t>（6）电缆的固定、弯曲半径、有关距离和单芯电缆的金属护层的接线、相序排列等应符合要求。</w:t>
      </w:r>
    </w:p>
    <w:p>
      <w:pPr>
        <w:adjustRightInd w:val="0"/>
        <w:snapToGrid w:val="0"/>
        <w:spacing w:before="203" w:beforeLines="50" w:after="203" w:afterLines="50"/>
        <w:ind w:firstLine="500" w:firstLineChars="200"/>
        <w:rPr>
          <w:rFonts w:ascii="宋体" w:hAnsi="宋体"/>
        </w:rPr>
      </w:pPr>
      <w:r>
        <w:rPr>
          <w:rFonts w:ascii="宋体" w:hAnsi="宋体"/>
        </w:rPr>
        <w:t>（7）电缆终端、电缆接头应安装牢固，接地应良好。</w:t>
      </w:r>
    </w:p>
    <w:p>
      <w:pPr>
        <w:adjustRightInd w:val="0"/>
        <w:snapToGrid w:val="0"/>
        <w:spacing w:before="203" w:beforeLines="50" w:after="203" w:afterLines="50"/>
        <w:ind w:firstLine="500" w:firstLineChars="200"/>
        <w:rPr>
          <w:rFonts w:ascii="宋体" w:hAnsi="宋体"/>
        </w:rPr>
      </w:pPr>
      <w:r>
        <w:rPr>
          <w:rFonts w:ascii="宋体" w:hAnsi="宋体"/>
        </w:rPr>
        <w:t>（8）电缆终端的相色应正确，电缆支架等的金属部件防腐层应完好。</w:t>
      </w:r>
    </w:p>
    <w:p>
      <w:pPr>
        <w:adjustRightInd w:val="0"/>
        <w:snapToGrid w:val="0"/>
        <w:spacing w:before="203" w:beforeLines="50" w:after="203" w:afterLines="50"/>
        <w:ind w:firstLine="500" w:firstLineChars="200"/>
        <w:rPr>
          <w:rFonts w:ascii="宋体" w:hAnsi="宋体"/>
        </w:rPr>
      </w:pPr>
      <w:r>
        <w:rPr>
          <w:rFonts w:ascii="宋体" w:hAnsi="宋体"/>
        </w:rPr>
        <w:t>（9）电缆沟内应无杂物，金属线槽可靠接地、盖板齐全。</w:t>
      </w:r>
    </w:p>
    <w:p>
      <w:pPr>
        <w:adjustRightInd w:val="0"/>
        <w:snapToGrid w:val="0"/>
        <w:spacing w:before="203" w:beforeLines="50" w:after="203" w:afterLines="50"/>
        <w:ind w:firstLine="500" w:firstLineChars="200"/>
        <w:rPr>
          <w:rFonts w:ascii="宋体" w:hAnsi="宋体"/>
        </w:rPr>
      </w:pPr>
      <w:r>
        <w:rPr>
          <w:rFonts w:ascii="宋体" w:hAnsi="宋体"/>
        </w:rPr>
        <w:t>（10）直埋电缆路径标志，应与实际路径相符。路径标志应清晰、牢固，间距适当。</w:t>
      </w:r>
    </w:p>
    <w:p>
      <w:pPr>
        <w:keepNext/>
        <w:tabs>
          <w:tab w:val="left" w:pos="993"/>
        </w:tabs>
        <w:adjustRightInd w:val="0"/>
        <w:snapToGrid w:val="0"/>
        <w:spacing w:before="203" w:beforeLines="50" w:after="203" w:afterLines="50"/>
        <w:outlineLvl w:val="0"/>
        <w:rPr>
          <w:rFonts w:ascii="宋体" w:hAnsi="宋体"/>
          <w:b/>
          <w:bCs/>
        </w:rPr>
      </w:pPr>
      <w:bookmarkStart w:id="7362" w:name="_Toc450585025"/>
      <w:bookmarkStart w:id="7363" w:name="_Toc238874601"/>
      <w:bookmarkStart w:id="7364" w:name="_Toc159143768"/>
      <w:bookmarkStart w:id="7365" w:name="_Toc324354011"/>
      <w:bookmarkStart w:id="7366" w:name="_Toc317846496"/>
      <w:bookmarkStart w:id="7367" w:name="_Toc106883813"/>
      <w:r>
        <w:rPr>
          <w:rFonts w:hint="eastAsia" w:ascii="宋体" w:hAnsi="宋体"/>
          <w:b/>
          <w:bCs/>
        </w:rPr>
        <w:t>10.5.6</w:t>
      </w:r>
      <w:r>
        <w:rPr>
          <w:rFonts w:ascii="宋体" w:hAnsi="宋体"/>
          <w:b/>
          <w:bCs/>
        </w:rPr>
        <w:t>安装工作技术资料的提交</w:t>
      </w:r>
      <w:bookmarkEnd w:id="7362"/>
      <w:bookmarkEnd w:id="7363"/>
      <w:bookmarkEnd w:id="7364"/>
      <w:bookmarkEnd w:id="7365"/>
      <w:bookmarkEnd w:id="7366"/>
      <w:bookmarkEnd w:id="7367"/>
    </w:p>
    <w:p>
      <w:pPr>
        <w:adjustRightInd w:val="0"/>
        <w:snapToGrid w:val="0"/>
        <w:spacing w:before="203" w:beforeLines="50" w:after="203" w:afterLines="50"/>
        <w:ind w:firstLine="500" w:firstLineChars="200"/>
        <w:rPr>
          <w:rFonts w:ascii="宋体" w:hAnsi="宋体"/>
        </w:rPr>
      </w:pPr>
      <w:r>
        <w:rPr>
          <w:rFonts w:ascii="宋体" w:hAnsi="宋体"/>
        </w:rPr>
        <w:t>（1）竣工资料和竣工图纸</w:t>
      </w:r>
    </w:p>
    <w:p>
      <w:pPr>
        <w:adjustRightInd w:val="0"/>
        <w:snapToGrid w:val="0"/>
        <w:spacing w:before="203" w:beforeLines="50" w:after="203" w:afterLines="50"/>
        <w:ind w:firstLine="500" w:firstLineChars="200"/>
        <w:rPr>
          <w:rFonts w:ascii="宋体" w:hAnsi="宋体"/>
        </w:rPr>
      </w:pPr>
      <w:r>
        <w:rPr>
          <w:rFonts w:ascii="宋体" w:hAnsi="宋体"/>
        </w:rPr>
        <w:t>（2）全部变更设计的证明文件。</w:t>
      </w:r>
    </w:p>
    <w:p>
      <w:pPr>
        <w:adjustRightInd w:val="0"/>
        <w:snapToGrid w:val="0"/>
        <w:spacing w:before="203" w:beforeLines="50" w:after="203" w:afterLines="50"/>
        <w:ind w:firstLine="500" w:firstLineChars="200"/>
        <w:rPr>
          <w:rFonts w:ascii="宋体" w:hAnsi="宋体"/>
        </w:rPr>
      </w:pPr>
      <w:r>
        <w:rPr>
          <w:rFonts w:ascii="宋体" w:hAnsi="宋体"/>
        </w:rPr>
        <w:t>（3）接线图及安装图纸等技术文件。</w:t>
      </w:r>
    </w:p>
    <w:p>
      <w:pPr>
        <w:adjustRightInd w:val="0"/>
        <w:snapToGrid w:val="0"/>
        <w:spacing w:before="203" w:beforeLines="50" w:after="203" w:afterLines="50"/>
        <w:ind w:firstLine="500" w:firstLineChars="200"/>
        <w:rPr>
          <w:rFonts w:ascii="宋体" w:hAnsi="宋体"/>
        </w:rPr>
      </w:pPr>
      <w:r>
        <w:rPr>
          <w:rFonts w:ascii="宋体" w:hAnsi="宋体"/>
        </w:rPr>
        <w:t>（4）安装技术纪录。</w:t>
      </w:r>
    </w:p>
    <w:p>
      <w:pPr>
        <w:adjustRightInd w:val="0"/>
        <w:snapToGrid w:val="0"/>
        <w:spacing w:before="203" w:beforeLines="50" w:after="203" w:afterLines="50"/>
        <w:ind w:firstLine="500" w:firstLineChars="200"/>
        <w:rPr>
          <w:rFonts w:ascii="宋体" w:hAnsi="宋体"/>
        </w:rPr>
      </w:pPr>
      <w:r>
        <w:rPr>
          <w:rFonts w:ascii="宋体" w:hAnsi="宋体"/>
        </w:rPr>
        <w:t>（5）调整试验纪录。</w:t>
      </w:r>
    </w:p>
    <w:p>
      <w:pPr>
        <w:adjustRightInd w:val="0"/>
        <w:snapToGrid w:val="0"/>
        <w:spacing w:before="203" w:beforeLines="50" w:after="203" w:afterLines="50"/>
        <w:ind w:firstLine="500" w:firstLineChars="200"/>
        <w:rPr>
          <w:rFonts w:ascii="宋体" w:hAnsi="宋体"/>
        </w:rPr>
      </w:pPr>
      <w:r>
        <w:rPr>
          <w:rFonts w:ascii="宋体" w:hAnsi="宋体"/>
        </w:rPr>
        <w:t>（6）隐蔽工程的技术纪录。</w:t>
      </w:r>
    </w:p>
    <w:p>
      <w:pPr>
        <w:keepNext/>
        <w:adjustRightInd w:val="0"/>
        <w:snapToGrid w:val="0"/>
        <w:spacing w:before="203" w:beforeLines="50" w:after="203" w:afterLines="50"/>
        <w:outlineLvl w:val="1"/>
        <w:rPr>
          <w:rFonts w:ascii="宋体" w:hAnsi="宋体" w:cs="楷体"/>
          <w:b/>
        </w:rPr>
      </w:pPr>
      <w:bookmarkStart w:id="7368" w:name="_Toc456692057"/>
      <w:bookmarkStart w:id="7369" w:name="_Toc106883814"/>
      <w:bookmarkStart w:id="7370" w:name="_Toc450585026"/>
      <w:r>
        <w:rPr>
          <w:rFonts w:hint="eastAsia" w:ascii="宋体" w:hAnsi="宋体" w:cs="楷体"/>
          <w:b/>
        </w:rPr>
        <w:t>10.6</w:t>
      </w:r>
      <w:r>
        <w:rPr>
          <w:rFonts w:ascii="宋体" w:hAnsi="宋体" w:cs="楷体"/>
          <w:b/>
        </w:rPr>
        <w:t>安装材料技术规定</w:t>
      </w:r>
      <w:bookmarkEnd w:id="7368"/>
      <w:bookmarkEnd w:id="7369"/>
      <w:bookmarkEnd w:id="7370"/>
    </w:p>
    <w:p>
      <w:pPr>
        <w:keepNext/>
        <w:tabs>
          <w:tab w:val="left" w:pos="993"/>
        </w:tabs>
        <w:adjustRightInd w:val="0"/>
        <w:snapToGrid w:val="0"/>
        <w:spacing w:before="203" w:beforeLines="50" w:after="203" w:afterLines="50"/>
        <w:outlineLvl w:val="2"/>
        <w:rPr>
          <w:rFonts w:ascii="宋体" w:hAnsi="宋体"/>
          <w:b/>
          <w:bCs/>
        </w:rPr>
      </w:pPr>
      <w:bookmarkStart w:id="7371" w:name="_Toc450585027"/>
      <w:bookmarkStart w:id="7372" w:name="_Toc159143773"/>
      <w:bookmarkStart w:id="7373" w:name="_Toc238874606"/>
      <w:bookmarkStart w:id="7374" w:name="_Toc106883815"/>
      <w:r>
        <w:rPr>
          <w:rFonts w:hint="eastAsia" w:ascii="宋体" w:hAnsi="宋体"/>
          <w:b/>
          <w:bCs/>
        </w:rPr>
        <w:t>10.6.1</w:t>
      </w:r>
      <w:r>
        <w:rPr>
          <w:rFonts w:ascii="宋体" w:hAnsi="宋体"/>
          <w:b/>
          <w:bCs/>
        </w:rPr>
        <w:t>控制电缆</w:t>
      </w:r>
      <w:bookmarkEnd w:id="7371"/>
      <w:bookmarkEnd w:id="7372"/>
      <w:bookmarkEnd w:id="7373"/>
      <w:bookmarkEnd w:id="7374"/>
    </w:p>
    <w:p>
      <w:pPr>
        <w:adjustRightInd w:val="0"/>
        <w:snapToGrid w:val="0"/>
        <w:spacing w:before="203" w:beforeLines="50" w:after="203" w:afterLines="50"/>
        <w:ind w:firstLine="500" w:firstLineChars="200"/>
        <w:rPr>
          <w:rFonts w:ascii="宋体" w:hAnsi="宋体"/>
        </w:rPr>
      </w:pPr>
      <w:r>
        <w:rPr>
          <w:rFonts w:ascii="宋体" w:hAnsi="宋体"/>
        </w:rPr>
        <w:t>制造及检验标准</w:t>
      </w:r>
      <w:r>
        <w:rPr>
          <w:rFonts w:hint="eastAsia" w:ascii="宋体" w:hAnsi="宋体"/>
        </w:rPr>
        <w:t>：</w:t>
      </w:r>
      <w:r>
        <w:rPr>
          <w:rFonts w:ascii="宋体" w:hAnsi="宋体"/>
        </w:rPr>
        <w:t>电缆制造标准还应符合现行IEC及中国国家标准。如以下标准，但不限于这些标准：</w:t>
      </w:r>
    </w:p>
    <w:p>
      <w:pPr>
        <w:adjustRightInd w:val="0"/>
        <w:snapToGrid w:val="0"/>
        <w:spacing w:before="203" w:beforeLines="50" w:after="203" w:afterLines="50"/>
        <w:ind w:firstLine="500" w:firstLineChars="200"/>
        <w:rPr>
          <w:rFonts w:ascii="宋体" w:hAnsi="宋体"/>
        </w:rPr>
      </w:pPr>
      <w:bookmarkStart w:id="7375" w:name="_Toc106050627"/>
      <w:r>
        <w:rPr>
          <w:rFonts w:ascii="宋体" w:hAnsi="宋体"/>
        </w:rPr>
        <w:t>GB12706</w:t>
      </w:r>
      <w:bookmarkEnd w:id="7375"/>
    </w:p>
    <w:p>
      <w:pPr>
        <w:adjustRightInd w:val="0"/>
        <w:snapToGrid w:val="0"/>
        <w:spacing w:before="203" w:beforeLines="50" w:after="203" w:afterLines="50"/>
        <w:ind w:firstLine="500" w:firstLineChars="200"/>
        <w:rPr>
          <w:rFonts w:ascii="宋体" w:hAnsi="宋体"/>
        </w:rPr>
      </w:pPr>
      <w:bookmarkStart w:id="7376" w:name="_Toc106050628"/>
      <w:r>
        <w:rPr>
          <w:rFonts w:ascii="宋体" w:hAnsi="宋体"/>
        </w:rPr>
        <w:t>GB12666</w:t>
      </w:r>
      <w:bookmarkEnd w:id="7376"/>
    </w:p>
    <w:p>
      <w:pPr>
        <w:adjustRightInd w:val="0"/>
        <w:snapToGrid w:val="0"/>
        <w:spacing w:before="203" w:beforeLines="50" w:after="203" w:afterLines="50"/>
        <w:ind w:firstLine="500" w:firstLineChars="200"/>
        <w:rPr>
          <w:rFonts w:ascii="宋体" w:hAnsi="宋体"/>
        </w:rPr>
      </w:pPr>
      <w:r>
        <w:rPr>
          <w:rFonts w:ascii="宋体" w:hAnsi="宋体"/>
        </w:rPr>
        <w:t>GB9330</w:t>
      </w:r>
    </w:p>
    <w:p>
      <w:pPr>
        <w:adjustRightInd w:val="0"/>
        <w:snapToGrid w:val="0"/>
        <w:spacing w:before="203" w:beforeLines="50" w:after="203" w:afterLines="50"/>
        <w:ind w:firstLine="500" w:firstLineChars="200"/>
        <w:rPr>
          <w:rFonts w:ascii="宋体" w:hAnsi="宋体"/>
        </w:rPr>
      </w:pPr>
      <w:r>
        <w:rPr>
          <w:rFonts w:ascii="宋体" w:hAnsi="宋体"/>
        </w:rPr>
        <w:t>GB3048</w:t>
      </w:r>
    </w:p>
    <w:p>
      <w:pPr>
        <w:adjustRightInd w:val="0"/>
        <w:snapToGrid w:val="0"/>
        <w:spacing w:before="203" w:beforeLines="50" w:after="203" w:afterLines="50"/>
        <w:ind w:firstLine="500" w:firstLineChars="200"/>
        <w:rPr>
          <w:rFonts w:ascii="宋体" w:hAnsi="宋体"/>
        </w:rPr>
      </w:pPr>
      <w:r>
        <w:rPr>
          <w:rFonts w:ascii="宋体" w:hAnsi="宋体"/>
        </w:rPr>
        <w:t>IEC60332</w:t>
      </w:r>
    </w:p>
    <w:p>
      <w:pPr>
        <w:adjustRightInd w:val="0"/>
        <w:snapToGrid w:val="0"/>
        <w:spacing w:before="203" w:beforeLines="50" w:after="203" w:afterLines="50"/>
        <w:ind w:firstLine="500" w:firstLineChars="200"/>
        <w:rPr>
          <w:rFonts w:ascii="宋体" w:hAnsi="宋体"/>
        </w:rPr>
      </w:pPr>
      <w:r>
        <w:rPr>
          <w:rFonts w:ascii="宋体" w:hAnsi="宋体"/>
        </w:rPr>
        <w:t>型号、名称、适用范围</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38"/>
        <w:gridCol w:w="6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857" w:type="dxa"/>
            <w:vAlign w:val="center"/>
          </w:tcPr>
          <w:p>
            <w:pPr>
              <w:keepNext/>
              <w:adjustRightInd w:val="0"/>
              <w:snapToGrid w:val="0"/>
              <w:jc w:val="center"/>
              <w:rPr>
                <w:rFonts w:ascii="宋体" w:hAnsi="宋体"/>
              </w:rPr>
            </w:pPr>
            <w:r>
              <w:rPr>
                <w:rFonts w:ascii="宋体" w:hAnsi="宋体"/>
              </w:rPr>
              <w:t>型  号</w:t>
            </w:r>
          </w:p>
        </w:tc>
        <w:tc>
          <w:tcPr>
            <w:tcW w:w="6794" w:type="dxa"/>
            <w:vAlign w:val="center"/>
          </w:tcPr>
          <w:p>
            <w:pPr>
              <w:keepNext/>
              <w:adjustRightInd w:val="0"/>
              <w:snapToGrid w:val="0"/>
              <w:jc w:val="center"/>
              <w:rPr>
                <w:rFonts w:ascii="宋体" w:hAnsi="宋体"/>
              </w:rPr>
            </w:pPr>
            <w:r>
              <w:rPr>
                <w:rFonts w:ascii="宋体" w:hAnsi="宋体"/>
              </w:rPr>
              <w:t>名    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857" w:type="dxa"/>
            <w:vAlign w:val="center"/>
          </w:tcPr>
          <w:p>
            <w:pPr>
              <w:adjustRightInd w:val="0"/>
              <w:snapToGrid w:val="0"/>
              <w:jc w:val="center"/>
              <w:rPr>
                <w:rFonts w:ascii="宋体" w:hAnsi="宋体"/>
              </w:rPr>
            </w:pPr>
            <w:r>
              <w:rPr>
                <w:rFonts w:ascii="宋体" w:hAnsi="宋体"/>
              </w:rPr>
              <w:t>KVV</w:t>
            </w:r>
          </w:p>
        </w:tc>
        <w:tc>
          <w:tcPr>
            <w:tcW w:w="6794" w:type="dxa"/>
            <w:vAlign w:val="center"/>
          </w:tcPr>
          <w:p>
            <w:pPr>
              <w:adjustRightInd w:val="0"/>
              <w:snapToGrid w:val="0"/>
              <w:jc w:val="center"/>
              <w:rPr>
                <w:rFonts w:ascii="宋体" w:hAnsi="宋体"/>
              </w:rPr>
            </w:pPr>
            <w:r>
              <w:rPr>
                <w:rFonts w:ascii="宋体" w:hAnsi="宋体"/>
              </w:rPr>
              <w:t>铜芯聚氯乙烯绝缘、聚氯乙烯护套控制电缆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857" w:type="dxa"/>
            <w:vAlign w:val="center"/>
          </w:tcPr>
          <w:p>
            <w:pPr>
              <w:adjustRightInd w:val="0"/>
              <w:snapToGrid w:val="0"/>
              <w:jc w:val="center"/>
              <w:rPr>
                <w:rFonts w:ascii="宋体" w:hAnsi="宋体"/>
              </w:rPr>
            </w:pPr>
            <w:r>
              <w:rPr>
                <w:rFonts w:ascii="宋体" w:hAnsi="宋体"/>
              </w:rPr>
              <w:t>KVVP</w:t>
            </w:r>
          </w:p>
        </w:tc>
        <w:tc>
          <w:tcPr>
            <w:tcW w:w="6794" w:type="dxa"/>
            <w:vAlign w:val="center"/>
          </w:tcPr>
          <w:p>
            <w:pPr>
              <w:adjustRightInd w:val="0"/>
              <w:snapToGrid w:val="0"/>
              <w:jc w:val="center"/>
              <w:rPr>
                <w:rFonts w:ascii="宋体" w:hAnsi="宋体"/>
              </w:rPr>
            </w:pPr>
            <w:r>
              <w:rPr>
                <w:rFonts w:ascii="宋体" w:hAnsi="宋体"/>
              </w:rPr>
              <w:t>铜芯聚氯乙烯绝缘、铜丝编织屏蔽聚氯乙烯护套屏蔽控制电缆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857" w:type="dxa"/>
            <w:vAlign w:val="center"/>
          </w:tcPr>
          <w:p>
            <w:pPr>
              <w:adjustRightInd w:val="0"/>
              <w:snapToGrid w:val="0"/>
              <w:jc w:val="center"/>
              <w:rPr>
                <w:rFonts w:ascii="宋体" w:hAnsi="宋体"/>
              </w:rPr>
            </w:pPr>
            <w:r>
              <w:rPr>
                <w:rFonts w:ascii="宋体" w:hAnsi="宋体"/>
              </w:rPr>
              <w:t>KYJV</w:t>
            </w:r>
          </w:p>
        </w:tc>
        <w:tc>
          <w:tcPr>
            <w:tcW w:w="6794" w:type="dxa"/>
            <w:vAlign w:val="center"/>
          </w:tcPr>
          <w:p>
            <w:pPr>
              <w:adjustRightInd w:val="0"/>
              <w:snapToGrid w:val="0"/>
              <w:jc w:val="center"/>
              <w:rPr>
                <w:rFonts w:ascii="宋体" w:hAnsi="宋体"/>
              </w:rPr>
            </w:pPr>
            <w:r>
              <w:rPr>
                <w:rFonts w:ascii="宋体" w:hAnsi="宋体"/>
              </w:rPr>
              <w:t>铜芯交联聚乙烯绝缘、聚氯乙烯护套控制电缆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857" w:type="dxa"/>
            <w:vAlign w:val="center"/>
          </w:tcPr>
          <w:p>
            <w:pPr>
              <w:adjustRightInd w:val="0"/>
              <w:snapToGrid w:val="0"/>
              <w:jc w:val="center"/>
              <w:rPr>
                <w:rFonts w:ascii="宋体" w:hAnsi="宋体"/>
              </w:rPr>
            </w:pPr>
            <w:r>
              <w:rPr>
                <w:rFonts w:ascii="宋体" w:hAnsi="宋体"/>
              </w:rPr>
              <w:t>KYJVP</w:t>
            </w:r>
          </w:p>
        </w:tc>
        <w:tc>
          <w:tcPr>
            <w:tcW w:w="6794" w:type="dxa"/>
            <w:vAlign w:val="center"/>
          </w:tcPr>
          <w:p>
            <w:pPr>
              <w:adjustRightInd w:val="0"/>
              <w:snapToGrid w:val="0"/>
              <w:jc w:val="center"/>
              <w:rPr>
                <w:rFonts w:ascii="宋体" w:hAnsi="宋体"/>
              </w:rPr>
            </w:pPr>
            <w:r>
              <w:rPr>
                <w:rFonts w:ascii="宋体" w:hAnsi="宋体"/>
              </w:rPr>
              <w:t>铜芯交联聚乙烯绝缘、铜丝编织屏蔽聚氯乙烯护套控制电缆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857" w:type="dxa"/>
            <w:vAlign w:val="center"/>
          </w:tcPr>
          <w:p>
            <w:pPr>
              <w:adjustRightInd w:val="0"/>
              <w:snapToGrid w:val="0"/>
              <w:jc w:val="center"/>
              <w:rPr>
                <w:rFonts w:ascii="宋体" w:hAnsi="宋体"/>
              </w:rPr>
            </w:pPr>
            <w:r>
              <w:rPr>
                <w:rFonts w:ascii="宋体" w:hAnsi="宋体"/>
              </w:rPr>
              <w:t>DJYVP</w:t>
            </w:r>
          </w:p>
        </w:tc>
        <w:tc>
          <w:tcPr>
            <w:tcW w:w="6794" w:type="dxa"/>
            <w:vAlign w:val="center"/>
          </w:tcPr>
          <w:p>
            <w:pPr>
              <w:adjustRightInd w:val="0"/>
              <w:snapToGrid w:val="0"/>
              <w:jc w:val="center"/>
              <w:rPr>
                <w:rFonts w:ascii="宋体" w:hAnsi="宋体"/>
              </w:rPr>
            </w:pPr>
            <w:r>
              <w:rPr>
                <w:rFonts w:ascii="宋体" w:hAnsi="宋体"/>
                <w:spacing w:val="8"/>
              </w:rPr>
              <w:t>聚乙烯绝缘对绞铜线编织总屏蔽聚氯乙烯护套计算机电缆</w:t>
            </w:r>
          </w:p>
        </w:tc>
      </w:tr>
    </w:tbl>
    <w:p>
      <w:pPr>
        <w:adjustRightInd w:val="0"/>
        <w:snapToGrid w:val="0"/>
        <w:spacing w:before="203" w:beforeLines="50" w:after="203" w:afterLines="50"/>
        <w:ind w:firstLine="500" w:firstLineChars="200"/>
        <w:rPr>
          <w:rFonts w:ascii="宋体" w:hAnsi="宋体"/>
        </w:rPr>
      </w:pPr>
      <w:r>
        <w:rPr>
          <w:rFonts w:ascii="宋体" w:hAnsi="宋体"/>
        </w:rPr>
        <w:t>KVV 、KYJV：　能敷设在室内、电缆沟、管道等固定场所。</w:t>
      </w:r>
    </w:p>
    <w:p>
      <w:pPr>
        <w:adjustRightInd w:val="0"/>
        <w:snapToGrid w:val="0"/>
        <w:spacing w:before="203" w:beforeLines="50" w:after="203" w:afterLines="50"/>
        <w:ind w:firstLine="500" w:firstLineChars="200"/>
        <w:rPr>
          <w:rFonts w:ascii="宋体" w:hAnsi="宋体"/>
        </w:rPr>
      </w:pPr>
      <w:r>
        <w:rPr>
          <w:rFonts w:ascii="宋体" w:hAnsi="宋体"/>
        </w:rPr>
        <w:t>KVVP、KYJVP：能敷设在室内、电缆沟、管道等要求屏蔽的固定场所。</w:t>
      </w:r>
    </w:p>
    <w:p>
      <w:pPr>
        <w:adjustRightInd w:val="0"/>
        <w:snapToGrid w:val="0"/>
        <w:spacing w:before="203" w:beforeLines="50" w:after="203" w:afterLines="50"/>
        <w:ind w:firstLine="500" w:firstLineChars="200"/>
        <w:rPr>
          <w:rFonts w:ascii="宋体" w:hAnsi="宋体"/>
          <w:spacing w:val="8"/>
        </w:rPr>
      </w:pPr>
      <w:r>
        <w:rPr>
          <w:rFonts w:ascii="宋体" w:hAnsi="宋体"/>
        </w:rPr>
        <w:t>DJYVP：</w:t>
      </w:r>
      <w:r>
        <w:rPr>
          <w:rFonts w:ascii="宋体" w:hAnsi="宋体"/>
          <w:spacing w:val="8"/>
        </w:rPr>
        <w:t>适用于室内、电缆沟、管道等要求非静电屏蔽场合。</w:t>
      </w:r>
    </w:p>
    <w:p>
      <w:pPr>
        <w:adjustRightInd w:val="0"/>
        <w:snapToGrid w:val="0"/>
        <w:spacing w:before="203" w:beforeLines="50" w:after="203" w:afterLines="50"/>
        <w:ind w:firstLine="500" w:firstLineChars="200"/>
        <w:rPr>
          <w:rFonts w:ascii="宋体" w:hAnsi="宋体"/>
        </w:rPr>
      </w:pPr>
      <w:r>
        <w:rPr>
          <w:rFonts w:ascii="宋体" w:hAnsi="宋体"/>
        </w:rPr>
        <w:t>产品的使用特性及主要性能</w:t>
      </w:r>
    </w:p>
    <w:p>
      <w:pPr>
        <w:adjustRightInd w:val="0"/>
        <w:snapToGrid w:val="0"/>
        <w:spacing w:before="203" w:beforeLines="50" w:after="203" w:afterLines="50"/>
        <w:ind w:firstLine="500" w:firstLineChars="200"/>
        <w:rPr>
          <w:rFonts w:ascii="宋体" w:hAnsi="宋体"/>
        </w:rPr>
      </w:pPr>
      <w:r>
        <w:rPr>
          <w:rFonts w:ascii="宋体" w:hAnsi="宋体"/>
        </w:rPr>
        <w:t>（1）控制电缆敷设落差应不受限制。</w:t>
      </w:r>
    </w:p>
    <w:p>
      <w:pPr>
        <w:adjustRightInd w:val="0"/>
        <w:snapToGrid w:val="0"/>
        <w:spacing w:before="203" w:beforeLines="50" w:after="203" w:afterLines="50"/>
        <w:ind w:firstLine="500" w:firstLineChars="200"/>
        <w:rPr>
          <w:rFonts w:ascii="宋体" w:hAnsi="宋体"/>
        </w:rPr>
      </w:pPr>
      <w:r>
        <w:rPr>
          <w:rFonts w:ascii="宋体" w:hAnsi="宋体"/>
        </w:rPr>
        <w:t>（2）电缆长期允许工作温度为</w:t>
      </w:r>
    </w:p>
    <w:p>
      <w:pPr>
        <w:adjustRightInd w:val="0"/>
        <w:snapToGrid w:val="0"/>
        <w:spacing w:before="203" w:beforeLines="50" w:after="203" w:afterLines="50"/>
        <w:ind w:firstLine="500" w:firstLineChars="200"/>
        <w:rPr>
          <w:rFonts w:ascii="宋体" w:hAnsi="宋体"/>
        </w:rPr>
      </w:pPr>
      <w:r>
        <w:rPr>
          <w:rFonts w:ascii="宋体" w:hAnsi="宋体"/>
        </w:rPr>
        <w:t>KVV、KVVP：  0℃～70℃；</w:t>
      </w:r>
    </w:p>
    <w:p>
      <w:pPr>
        <w:adjustRightInd w:val="0"/>
        <w:snapToGrid w:val="0"/>
        <w:spacing w:before="203" w:beforeLines="50" w:after="203" w:afterLines="50"/>
        <w:ind w:firstLine="500" w:firstLineChars="200"/>
        <w:rPr>
          <w:rFonts w:ascii="宋体" w:hAnsi="宋体"/>
        </w:rPr>
      </w:pPr>
      <w:r>
        <w:rPr>
          <w:rFonts w:ascii="宋体" w:hAnsi="宋体"/>
        </w:rPr>
        <w:t>KYJV、KYJVP：0℃～90℃；</w:t>
      </w:r>
    </w:p>
    <w:p>
      <w:pPr>
        <w:adjustRightInd w:val="0"/>
        <w:snapToGrid w:val="0"/>
        <w:spacing w:before="203" w:beforeLines="50" w:after="203" w:afterLines="50"/>
        <w:ind w:firstLine="500" w:firstLineChars="200"/>
        <w:rPr>
          <w:rFonts w:ascii="宋体" w:hAnsi="宋体"/>
        </w:rPr>
      </w:pPr>
      <w:r>
        <w:rPr>
          <w:rFonts w:ascii="宋体" w:hAnsi="宋体"/>
        </w:rPr>
        <w:t>（3）电缆敷设弯曲半径与电缆外径的比值应满足中国国家标准：</w:t>
      </w:r>
    </w:p>
    <w:p>
      <w:pPr>
        <w:adjustRightInd w:val="0"/>
        <w:snapToGrid w:val="0"/>
        <w:spacing w:before="203" w:beforeLines="50" w:after="203" w:afterLines="50"/>
        <w:ind w:firstLine="500" w:firstLineChars="200"/>
        <w:rPr>
          <w:rFonts w:ascii="宋体" w:hAnsi="宋体"/>
        </w:rPr>
      </w:pPr>
      <w:r>
        <w:rPr>
          <w:rFonts w:ascii="宋体" w:hAnsi="宋体"/>
        </w:rPr>
        <w:t>1） KVV、KYJV：     6倍</w:t>
      </w:r>
    </w:p>
    <w:p>
      <w:pPr>
        <w:adjustRightInd w:val="0"/>
        <w:snapToGrid w:val="0"/>
        <w:spacing w:before="203" w:beforeLines="50" w:after="203" w:afterLines="50"/>
        <w:ind w:firstLine="500" w:firstLineChars="200"/>
        <w:rPr>
          <w:rFonts w:ascii="宋体" w:hAnsi="宋体"/>
        </w:rPr>
      </w:pPr>
      <w:r>
        <w:rPr>
          <w:rFonts w:ascii="宋体" w:hAnsi="宋体"/>
        </w:rPr>
        <w:t>2）KVVP、KYJVP：   12倍</w:t>
      </w:r>
    </w:p>
    <w:p>
      <w:pPr>
        <w:adjustRightInd w:val="0"/>
        <w:snapToGrid w:val="0"/>
        <w:spacing w:before="203" w:beforeLines="50" w:after="203" w:afterLines="50"/>
        <w:ind w:firstLine="500" w:firstLineChars="200"/>
        <w:rPr>
          <w:rFonts w:ascii="宋体" w:hAnsi="宋体"/>
        </w:rPr>
      </w:pPr>
      <w:r>
        <w:rPr>
          <w:rFonts w:ascii="宋体" w:hAnsi="宋体"/>
        </w:rPr>
        <w:t>成品电缆导体直流电阻</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853"/>
        <w:gridCol w:w="2800"/>
        <w:gridCol w:w="2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2840" w:type="dxa"/>
            <w:vMerge w:val="restart"/>
            <w:vAlign w:val="center"/>
          </w:tcPr>
          <w:p>
            <w:pPr>
              <w:keepNext/>
              <w:adjustRightInd w:val="0"/>
              <w:snapToGrid w:val="0"/>
              <w:jc w:val="center"/>
              <w:rPr>
                <w:rFonts w:ascii="宋体" w:hAnsi="宋体"/>
              </w:rPr>
            </w:pPr>
            <w:r>
              <w:rPr>
                <w:rFonts w:ascii="宋体" w:hAnsi="宋体"/>
              </w:rPr>
              <w:t>标称截面mm2</w:t>
            </w:r>
          </w:p>
        </w:tc>
        <w:tc>
          <w:tcPr>
            <w:tcW w:w="5682" w:type="dxa"/>
            <w:gridSpan w:val="2"/>
            <w:vAlign w:val="center"/>
          </w:tcPr>
          <w:p>
            <w:pPr>
              <w:keepNext/>
              <w:adjustRightInd w:val="0"/>
              <w:snapToGrid w:val="0"/>
              <w:jc w:val="center"/>
              <w:rPr>
                <w:rFonts w:ascii="宋体" w:hAnsi="宋体"/>
              </w:rPr>
            </w:pPr>
            <w:r>
              <w:rPr>
                <w:rFonts w:ascii="宋体" w:hAnsi="宋体"/>
              </w:rPr>
              <w:t>铜芯体直流电阻Ω/Km20℃不大于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2840" w:type="dxa"/>
            <w:vMerge w:val="continue"/>
            <w:vAlign w:val="center"/>
          </w:tcPr>
          <w:p>
            <w:pPr>
              <w:keepNext/>
              <w:adjustRightInd w:val="0"/>
              <w:snapToGrid w:val="0"/>
              <w:jc w:val="center"/>
              <w:rPr>
                <w:rFonts w:ascii="宋体" w:hAnsi="宋体"/>
              </w:rPr>
            </w:pPr>
          </w:p>
        </w:tc>
        <w:tc>
          <w:tcPr>
            <w:tcW w:w="2788" w:type="dxa"/>
            <w:vAlign w:val="center"/>
          </w:tcPr>
          <w:p>
            <w:pPr>
              <w:keepNext/>
              <w:adjustRightInd w:val="0"/>
              <w:snapToGrid w:val="0"/>
              <w:jc w:val="center"/>
              <w:rPr>
                <w:rFonts w:ascii="宋体" w:hAnsi="宋体"/>
              </w:rPr>
            </w:pPr>
            <w:r>
              <w:rPr>
                <w:rFonts w:ascii="宋体" w:hAnsi="宋体"/>
              </w:rPr>
              <w:t>不镀锡</w:t>
            </w:r>
          </w:p>
        </w:tc>
        <w:tc>
          <w:tcPr>
            <w:tcW w:w="2894" w:type="dxa"/>
            <w:vAlign w:val="center"/>
          </w:tcPr>
          <w:p>
            <w:pPr>
              <w:keepNext/>
              <w:adjustRightInd w:val="0"/>
              <w:snapToGrid w:val="0"/>
              <w:jc w:val="center"/>
              <w:rPr>
                <w:rFonts w:ascii="宋体" w:hAnsi="宋体"/>
              </w:rPr>
            </w:pPr>
            <w:r>
              <w:rPr>
                <w:rFonts w:ascii="宋体" w:hAnsi="宋体"/>
              </w:rPr>
              <w:t>镀锡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2840" w:type="dxa"/>
            <w:vAlign w:val="center"/>
          </w:tcPr>
          <w:p>
            <w:pPr>
              <w:adjustRightInd w:val="0"/>
              <w:snapToGrid w:val="0"/>
              <w:jc w:val="center"/>
              <w:rPr>
                <w:rFonts w:ascii="宋体" w:hAnsi="宋体"/>
              </w:rPr>
            </w:pPr>
            <w:r>
              <w:rPr>
                <w:rFonts w:ascii="宋体" w:hAnsi="宋体"/>
              </w:rPr>
              <w:t>0.75</w:t>
            </w:r>
          </w:p>
        </w:tc>
        <w:tc>
          <w:tcPr>
            <w:tcW w:w="2788" w:type="dxa"/>
            <w:vAlign w:val="center"/>
          </w:tcPr>
          <w:p>
            <w:pPr>
              <w:adjustRightInd w:val="0"/>
              <w:snapToGrid w:val="0"/>
              <w:jc w:val="center"/>
              <w:rPr>
                <w:rFonts w:ascii="宋体" w:hAnsi="宋体"/>
              </w:rPr>
            </w:pPr>
            <w:r>
              <w:rPr>
                <w:rFonts w:ascii="宋体" w:hAnsi="宋体"/>
              </w:rPr>
              <w:t>24.5</w:t>
            </w:r>
          </w:p>
        </w:tc>
        <w:tc>
          <w:tcPr>
            <w:tcW w:w="2894" w:type="dxa"/>
            <w:vAlign w:val="center"/>
          </w:tcPr>
          <w:p>
            <w:pPr>
              <w:adjustRightInd w:val="0"/>
              <w:snapToGrid w:val="0"/>
              <w:jc w:val="center"/>
              <w:rPr>
                <w:rFonts w:ascii="宋体" w:hAnsi="宋体"/>
              </w:rPr>
            </w:pPr>
            <w:r>
              <w:rPr>
                <w:rFonts w:ascii="宋体" w:hAnsi="宋体"/>
              </w:rPr>
              <w:t>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2840" w:type="dxa"/>
            <w:vAlign w:val="center"/>
          </w:tcPr>
          <w:p>
            <w:pPr>
              <w:adjustRightInd w:val="0"/>
              <w:snapToGrid w:val="0"/>
              <w:jc w:val="center"/>
              <w:rPr>
                <w:rFonts w:ascii="宋体" w:hAnsi="宋体"/>
              </w:rPr>
            </w:pPr>
            <w:r>
              <w:rPr>
                <w:rFonts w:ascii="宋体" w:hAnsi="宋体"/>
              </w:rPr>
              <w:t>1</w:t>
            </w:r>
          </w:p>
        </w:tc>
        <w:tc>
          <w:tcPr>
            <w:tcW w:w="2788" w:type="dxa"/>
            <w:vAlign w:val="center"/>
          </w:tcPr>
          <w:p>
            <w:pPr>
              <w:adjustRightInd w:val="0"/>
              <w:snapToGrid w:val="0"/>
              <w:jc w:val="center"/>
              <w:rPr>
                <w:rFonts w:ascii="宋体" w:hAnsi="宋体"/>
              </w:rPr>
            </w:pPr>
            <w:r>
              <w:rPr>
                <w:rFonts w:ascii="宋体" w:hAnsi="宋体"/>
              </w:rPr>
              <w:t>18.1</w:t>
            </w:r>
          </w:p>
        </w:tc>
        <w:tc>
          <w:tcPr>
            <w:tcW w:w="2894" w:type="dxa"/>
            <w:vAlign w:val="center"/>
          </w:tcPr>
          <w:p>
            <w:pPr>
              <w:adjustRightInd w:val="0"/>
              <w:snapToGrid w:val="0"/>
              <w:jc w:val="center"/>
              <w:rPr>
                <w:rFonts w:ascii="宋体" w:hAnsi="宋体"/>
              </w:rPr>
            </w:pPr>
            <w:r>
              <w:rPr>
                <w:rFonts w:ascii="宋体" w:hAnsi="宋体"/>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2840" w:type="dxa"/>
            <w:vAlign w:val="center"/>
          </w:tcPr>
          <w:p>
            <w:pPr>
              <w:adjustRightInd w:val="0"/>
              <w:snapToGrid w:val="0"/>
              <w:jc w:val="center"/>
              <w:rPr>
                <w:rFonts w:ascii="宋体" w:hAnsi="宋体"/>
              </w:rPr>
            </w:pPr>
            <w:r>
              <w:rPr>
                <w:rFonts w:ascii="宋体" w:hAnsi="宋体"/>
              </w:rPr>
              <w:t>1.5</w:t>
            </w:r>
          </w:p>
        </w:tc>
        <w:tc>
          <w:tcPr>
            <w:tcW w:w="2788" w:type="dxa"/>
            <w:vAlign w:val="center"/>
          </w:tcPr>
          <w:p>
            <w:pPr>
              <w:adjustRightInd w:val="0"/>
              <w:snapToGrid w:val="0"/>
              <w:jc w:val="center"/>
              <w:rPr>
                <w:rFonts w:ascii="宋体" w:hAnsi="宋体"/>
              </w:rPr>
            </w:pPr>
            <w:r>
              <w:rPr>
                <w:rFonts w:ascii="宋体" w:hAnsi="宋体"/>
              </w:rPr>
              <w:t>12.1</w:t>
            </w:r>
          </w:p>
        </w:tc>
        <w:tc>
          <w:tcPr>
            <w:tcW w:w="2894" w:type="dxa"/>
            <w:vAlign w:val="center"/>
          </w:tcPr>
          <w:p>
            <w:pPr>
              <w:adjustRightInd w:val="0"/>
              <w:snapToGrid w:val="0"/>
              <w:jc w:val="center"/>
              <w:rPr>
                <w:rFonts w:ascii="宋体" w:hAnsi="宋体"/>
              </w:rPr>
            </w:pPr>
            <w:r>
              <w:rPr>
                <w:rFonts w:ascii="宋体" w:hAnsi="宋体"/>
              </w:rPr>
              <w:t>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2840" w:type="dxa"/>
            <w:vAlign w:val="center"/>
          </w:tcPr>
          <w:p>
            <w:pPr>
              <w:adjustRightInd w:val="0"/>
              <w:snapToGrid w:val="0"/>
              <w:jc w:val="center"/>
              <w:rPr>
                <w:rFonts w:ascii="宋体" w:hAnsi="宋体"/>
              </w:rPr>
            </w:pPr>
            <w:r>
              <w:rPr>
                <w:rFonts w:ascii="宋体" w:hAnsi="宋体"/>
              </w:rPr>
              <w:t>2.5</w:t>
            </w:r>
          </w:p>
        </w:tc>
        <w:tc>
          <w:tcPr>
            <w:tcW w:w="2788" w:type="dxa"/>
            <w:vAlign w:val="center"/>
          </w:tcPr>
          <w:p>
            <w:pPr>
              <w:adjustRightInd w:val="0"/>
              <w:snapToGrid w:val="0"/>
              <w:jc w:val="center"/>
              <w:rPr>
                <w:rFonts w:ascii="宋体" w:hAnsi="宋体"/>
              </w:rPr>
            </w:pPr>
            <w:r>
              <w:rPr>
                <w:rFonts w:ascii="宋体" w:hAnsi="宋体"/>
              </w:rPr>
              <w:t>7.41</w:t>
            </w:r>
          </w:p>
        </w:tc>
        <w:tc>
          <w:tcPr>
            <w:tcW w:w="2894" w:type="dxa"/>
            <w:vAlign w:val="center"/>
          </w:tcPr>
          <w:p>
            <w:pPr>
              <w:adjustRightInd w:val="0"/>
              <w:snapToGrid w:val="0"/>
              <w:jc w:val="center"/>
              <w:rPr>
                <w:rFonts w:ascii="宋体" w:hAnsi="宋体"/>
              </w:rPr>
            </w:pPr>
            <w:r>
              <w:rPr>
                <w:rFonts w:ascii="宋体" w:hAnsi="宋体"/>
              </w:rPr>
              <w:t>7.56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2840" w:type="dxa"/>
            <w:vAlign w:val="center"/>
          </w:tcPr>
          <w:p>
            <w:pPr>
              <w:adjustRightInd w:val="0"/>
              <w:snapToGrid w:val="0"/>
              <w:jc w:val="center"/>
              <w:rPr>
                <w:rFonts w:ascii="宋体" w:hAnsi="宋体"/>
              </w:rPr>
            </w:pPr>
            <w:r>
              <w:rPr>
                <w:rFonts w:ascii="宋体" w:hAnsi="宋体"/>
              </w:rPr>
              <w:t>4</w:t>
            </w:r>
          </w:p>
        </w:tc>
        <w:tc>
          <w:tcPr>
            <w:tcW w:w="2788" w:type="dxa"/>
            <w:vAlign w:val="center"/>
          </w:tcPr>
          <w:p>
            <w:pPr>
              <w:adjustRightInd w:val="0"/>
              <w:snapToGrid w:val="0"/>
              <w:jc w:val="center"/>
              <w:rPr>
                <w:rFonts w:ascii="宋体" w:hAnsi="宋体"/>
              </w:rPr>
            </w:pPr>
            <w:r>
              <w:rPr>
                <w:rFonts w:ascii="宋体" w:hAnsi="宋体"/>
              </w:rPr>
              <w:t>4.61</w:t>
            </w:r>
          </w:p>
        </w:tc>
        <w:tc>
          <w:tcPr>
            <w:tcW w:w="2894" w:type="dxa"/>
            <w:vAlign w:val="center"/>
          </w:tcPr>
          <w:p>
            <w:pPr>
              <w:adjustRightInd w:val="0"/>
              <w:snapToGrid w:val="0"/>
              <w:jc w:val="center"/>
              <w:rPr>
                <w:rFonts w:ascii="宋体" w:hAnsi="宋体"/>
              </w:rPr>
            </w:pPr>
            <w:r>
              <w:rPr>
                <w:rFonts w:ascii="宋体" w:hAnsi="宋体"/>
              </w:rPr>
              <w:t>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2840" w:type="dxa"/>
            <w:vAlign w:val="center"/>
          </w:tcPr>
          <w:p>
            <w:pPr>
              <w:adjustRightInd w:val="0"/>
              <w:snapToGrid w:val="0"/>
              <w:jc w:val="center"/>
              <w:rPr>
                <w:rFonts w:ascii="宋体" w:hAnsi="宋体"/>
              </w:rPr>
            </w:pPr>
            <w:r>
              <w:rPr>
                <w:rFonts w:ascii="宋体" w:hAnsi="宋体"/>
              </w:rPr>
              <w:t>6</w:t>
            </w:r>
          </w:p>
        </w:tc>
        <w:tc>
          <w:tcPr>
            <w:tcW w:w="2788" w:type="dxa"/>
            <w:vAlign w:val="center"/>
          </w:tcPr>
          <w:p>
            <w:pPr>
              <w:adjustRightInd w:val="0"/>
              <w:snapToGrid w:val="0"/>
              <w:jc w:val="center"/>
              <w:rPr>
                <w:rFonts w:ascii="宋体" w:hAnsi="宋体"/>
              </w:rPr>
            </w:pPr>
            <w:r>
              <w:rPr>
                <w:rFonts w:ascii="宋体" w:hAnsi="宋体"/>
              </w:rPr>
              <w:t>3.08</w:t>
            </w:r>
          </w:p>
        </w:tc>
        <w:tc>
          <w:tcPr>
            <w:tcW w:w="2894" w:type="dxa"/>
            <w:vAlign w:val="center"/>
          </w:tcPr>
          <w:p>
            <w:pPr>
              <w:adjustRightInd w:val="0"/>
              <w:snapToGrid w:val="0"/>
              <w:jc w:val="center"/>
              <w:rPr>
                <w:rFonts w:ascii="宋体" w:hAnsi="宋体"/>
              </w:rPr>
            </w:pPr>
            <w:r>
              <w:rPr>
                <w:rFonts w:ascii="宋体" w:hAnsi="宋体"/>
              </w:rPr>
              <w:t>3.11</w:t>
            </w:r>
          </w:p>
        </w:tc>
      </w:tr>
    </w:tbl>
    <w:p>
      <w:pPr>
        <w:adjustRightInd w:val="0"/>
        <w:snapToGrid w:val="0"/>
        <w:spacing w:before="203" w:beforeLines="50"/>
        <w:ind w:firstLine="500" w:firstLineChars="200"/>
        <w:jc w:val="center"/>
        <w:rPr>
          <w:rFonts w:ascii="宋体" w:hAnsi="宋体"/>
        </w:rPr>
      </w:pPr>
      <w:r>
        <w:rPr>
          <w:rFonts w:ascii="宋体" w:hAnsi="宋体"/>
        </w:rPr>
        <w:t>成品电缆绝缘电阻</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638"/>
        <w:gridCol w:w="5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2626" w:type="dxa"/>
            <w:vMerge w:val="restart"/>
            <w:vAlign w:val="center"/>
          </w:tcPr>
          <w:p>
            <w:pPr>
              <w:keepNext/>
              <w:adjustRightInd w:val="0"/>
              <w:snapToGrid w:val="0"/>
              <w:jc w:val="center"/>
              <w:rPr>
                <w:rFonts w:ascii="宋体" w:hAnsi="宋体"/>
              </w:rPr>
            </w:pPr>
            <w:r>
              <w:rPr>
                <w:rFonts w:ascii="宋体" w:hAnsi="宋体"/>
              </w:rPr>
              <w:t>标称截面mm2</w:t>
            </w:r>
          </w:p>
        </w:tc>
        <w:tc>
          <w:tcPr>
            <w:tcW w:w="5896" w:type="dxa"/>
            <w:vAlign w:val="center"/>
          </w:tcPr>
          <w:p>
            <w:pPr>
              <w:keepNext/>
              <w:adjustRightInd w:val="0"/>
              <w:snapToGrid w:val="0"/>
              <w:jc w:val="center"/>
              <w:rPr>
                <w:rFonts w:ascii="宋体" w:hAnsi="宋体"/>
              </w:rPr>
            </w:pPr>
            <w:r>
              <w:rPr>
                <w:rFonts w:ascii="宋体" w:hAnsi="宋体"/>
              </w:rPr>
              <w:t>绝缘电阻值MΩ.KM90℃不小于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2626" w:type="dxa"/>
            <w:vMerge w:val="continue"/>
            <w:vAlign w:val="center"/>
          </w:tcPr>
          <w:p>
            <w:pPr>
              <w:keepNext/>
              <w:adjustRightInd w:val="0"/>
              <w:snapToGrid w:val="0"/>
              <w:jc w:val="center"/>
              <w:rPr>
                <w:rFonts w:ascii="宋体" w:hAnsi="宋体"/>
              </w:rPr>
            </w:pPr>
          </w:p>
        </w:tc>
        <w:tc>
          <w:tcPr>
            <w:tcW w:w="5896" w:type="dxa"/>
            <w:vAlign w:val="center"/>
          </w:tcPr>
          <w:p>
            <w:pPr>
              <w:keepNext/>
              <w:adjustRightInd w:val="0"/>
              <w:snapToGrid w:val="0"/>
              <w:jc w:val="center"/>
              <w:rPr>
                <w:rFonts w:ascii="宋体" w:hAnsi="宋体"/>
              </w:rPr>
            </w:pPr>
            <w:r>
              <w:rPr>
                <w:rFonts w:ascii="宋体" w:hAnsi="宋体"/>
              </w:rPr>
              <w:t>交联聚乙烯绝缘XLPE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2626" w:type="dxa"/>
            <w:vAlign w:val="center"/>
          </w:tcPr>
          <w:p>
            <w:pPr>
              <w:adjustRightInd w:val="0"/>
              <w:snapToGrid w:val="0"/>
              <w:jc w:val="center"/>
              <w:rPr>
                <w:rFonts w:ascii="宋体" w:hAnsi="宋体"/>
              </w:rPr>
            </w:pPr>
            <w:r>
              <w:rPr>
                <w:rFonts w:ascii="宋体" w:hAnsi="宋体"/>
              </w:rPr>
              <w:t>1</w:t>
            </w:r>
          </w:p>
        </w:tc>
        <w:tc>
          <w:tcPr>
            <w:tcW w:w="5896" w:type="dxa"/>
            <w:vAlign w:val="center"/>
          </w:tcPr>
          <w:p>
            <w:pPr>
              <w:adjustRightInd w:val="0"/>
              <w:snapToGrid w:val="0"/>
              <w:jc w:val="center"/>
              <w:rPr>
                <w:rFonts w:ascii="宋体" w:hAnsi="宋体"/>
              </w:rPr>
            </w:pPr>
            <w:r>
              <w:rPr>
                <w:rFonts w:ascii="宋体" w:hAnsi="宋体"/>
              </w:rPr>
              <w:t>1.103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2626" w:type="dxa"/>
            <w:vAlign w:val="center"/>
          </w:tcPr>
          <w:p>
            <w:pPr>
              <w:adjustRightInd w:val="0"/>
              <w:snapToGrid w:val="0"/>
              <w:jc w:val="center"/>
              <w:rPr>
                <w:rFonts w:ascii="宋体" w:hAnsi="宋体"/>
              </w:rPr>
            </w:pPr>
            <w:r>
              <w:rPr>
                <w:rFonts w:ascii="宋体" w:hAnsi="宋体"/>
              </w:rPr>
              <w:t>1.5</w:t>
            </w:r>
          </w:p>
        </w:tc>
        <w:tc>
          <w:tcPr>
            <w:tcW w:w="5896" w:type="dxa"/>
            <w:vAlign w:val="center"/>
          </w:tcPr>
          <w:p>
            <w:pPr>
              <w:adjustRightInd w:val="0"/>
              <w:snapToGrid w:val="0"/>
              <w:jc w:val="center"/>
              <w:rPr>
                <w:rFonts w:ascii="宋体" w:hAnsi="宋体"/>
              </w:rPr>
            </w:pPr>
            <w:r>
              <w:rPr>
                <w:rFonts w:ascii="宋体" w:hAnsi="宋体"/>
              </w:rPr>
              <w:t>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2626" w:type="dxa"/>
            <w:vAlign w:val="center"/>
          </w:tcPr>
          <w:p>
            <w:pPr>
              <w:adjustRightInd w:val="0"/>
              <w:snapToGrid w:val="0"/>
              <w:jc w:val="center"/>
              <w:rPr>
                <w:rFonts w:ascii="宋体" w:hAnsi="宋体"/>
              </w:rPr>
            </w:pPr>
            <w:r>
              <w:rPr>
                <w:rFonts w:ascii="宋体" w:hAnsi="宋体"/>
              </w:rPr>
              <w:t>2.5</w:t>
            </w:r>
          </w:p>
        </w:tc>
        <w:tc>
          <w:tcPr>
            <w:tcW w:w="5896" w:type="dxa"/>
            <w:vAlign w:val="center"/>
          </w:tcPr>
          <w:p>
            <w:pPr>
              <w:adjustRightInd w:val="0"/>
              <w:snapToGrid w:val="0"/>
              <w:jc w:val="center"/>
              <w:rPr>
                <w:rFonts w:ascii="宋体" w:hAnsi="宋体"/>
              </w:rPr>
            </w:pPr>
            <w:r>
              <w:rPr>
                <w:rFonts w:ascii="宋体" w:hAnsi="宋体"/>
              </w:rPr>
              <w:t>0.784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2626" w:type="dxa"/>
            <w:vAlign w:val="center"/>
          </w:tcPr>
          <w:p>
            <w:pPr>
              <w:adjustRightInd w:val="0"/>
              <w:snapToGrid w:val="0"/>
              <w:jc w:val="center"/>
              <w:rPr>
                <w:rFonts w:ascii="宋体" w:hAnsi="宋体"/>
              </w:rPr>
            </w:pPr>
            <w:r>
              <w:rPr>
                <w:rFonts w:ascii="宋体" w:hAnsi="宋体"/>
              </w:rPr>
              <w:t>4</w:t>
            </w:r>
          </w:p>
        </w:tc>
        <w:tc>
          <w:tcPr>
            <w:tcW w:w="5896" w:type="dxa"/>
            <w:vAlign w:val="center"/>
          </w:tcPr>
          <w:p>
            <w:pPr>
              <w:adjustRightInd w:val="0"/>
              <w:snapToGrid w:val="0"/>
              <w:jc w:val="center"/>
              <w:rPr>
                <w:rFonts w:ascii="宋体" w:hAnsi="宋体"/>
              </w:rPr>
            </w:pPr>
            <w:r>
              <w:rPr>
                <w:rFonts w:ascii="宋体" w:hAnsi="宋体"/>
              </w:rPr>
              <w:t>0.665</w:t>
            </w:r>
          </w:p>
        </w:tc>
      </w:tr>
    </w:tbl>
    <w:p>
      <w:pPr>
        <w:adjustRightInd w:val="0"/>
        <w:snapToGrid w:val="0"/>
        <w:spacing w:before="203" w:beforeLines="50" w:after="203" w:afterLines="50"/>
        <w:ind w:firstLine="500" w:firstLineChars="200"/>
        <w:rPr>
          <w:rFonts w:ascii="宋体" w:hAnsi="宋体"/>
        </w:rPr>
      </w:pPr>
      <w:r>
        <w:rPr>
          <w:rFonts w:ascii="宋体" w:hAnsi="宋体"/>
        </w:rPr>
        <w:t>交货长度及包装</w:t>
      </w:r>
    </w:p>
    <w:p>
      <w:pPr>
        <w:adjustRightInd w:val="0"/>
        <w:snapToGrid w:val="0"/>
        <w:spacing w:before="203" w:beforeLines="50" w:after="203" w:afterLines="50"/>
        <w:ind w:firstLine="500" w:firstLineChars="200"/>
        <w:rPr>
          <w:rFonts w:ascii="宋体" w:hAnsi="宋体"/>
        </w:rPr>
      </w:pPr>
      <w:r>
        <w:rPr>
          <w:rFonts w:ascii="宋体" w:hAnsi="宋体"/>
        </w:rPr>
        <w:t>（1）一般情况下电缆敷设时，不允许中间接头。</w:t>
      </w:r>
    </w:p>
    <w:p>
      <w:pPr>
        <w:adjustRightInd w:val="0"/>
        <w:snapToGrid w:val="0"/>
        <w:spacing w:before="203" w:beforeLines="50" w:after="203" w:afterLines="50"/>
        <w:ind w:firstLine="500" w:firstLineChars="200"/>
        <w:rPr>
          <w:rFonts w:ascii="宋体" w:hAnsi="宋体"/>
        </w:rPr>
      </w:pPr>
      <w:r>
        <w:rPr>
          <w:rFonts w:ascii="宋体" w:hAnsi="宋体"/>
        </w:rPr>
        <w:t>（2）根据最终业主要求可协议任何长度电缆交货。</w:t>
      </w:r>
    </w:p>
    <w:p>
      <w:pPr>
        <w:adjustRightInd w:val="0"/>
        <w:snapToGrid w:val="0"/>
        <w:spacing w:before="203" w:beforeLines="50" w:after="203" w:afterLines="50"/>
        <w:ind w:firstLine="500" w:firstLineChars="200"/>
        <w:rPr>
          <w:rFonts w:ascii="宋体" w:hAnsi="宋体"/>
        </w:rPr>
      </w:pPr>
      <w:r>
        <w:rPr>
          <w:rFonts w:ascii="宋体" w:hAnsi="宋体"/>
        </w:rPr>
        <w:t>（3）电缆应成盘包装，短段电缆可成圈包装。成圈或成盘的电缆卷绕整齐、并有防尘包装，电缆盘具符合GB4005的现行标准规定。</w:t>
      </w:r>
    </w:p>
    <w:p>
      <w:pPr>
        <w:adjustRightInd w:val="0"/>
        <w:snapToGrid w:val="0"/>
        <w:spacing w:before="203" w:beforeLines="50" w:after="203" w:afterLines="50"/>
        <w:ind w:firstLine="500" w:firstLineChars="200"/>
        <w:rPr>
          <w:rFonts w:ascii="宋体" w:hAnsi="宋体"/>
        </w:rPr>
      </w:pPr>
      <w:r>
        <w:rPr>
          <w:rFonts w:ascii="宋体" w:hAnsi="宋体"/>
        </w:rPr>
        <w:t>（4）电缆端头应可靠密封，伸出盘外的电缆端头应钉保护罩，伸出长度不小于300mm。每个电缆盘只卷绕一根电缆。</w:t>
      </w:r>
    </w:p>
    <w:p>
      <w:pPr>
        <w:adjustRightInd w:val="0"/>
        <w:snapToGrid w:val="0"/>
        <w:spacing w:before="203" w:beforeLines="50" w:after="203" w:afterLines="50"/>
        <w:ind w:firstLine="500" w:firstLineChars="200"/>
        <w:rPr>
          <w:rFonts w:ascii="宋体" w:hAnsi="宋体"/>
        </w:rPr>
      </w:pPr>
      <w:r>
        <w:rPr>
          <w:rFonts w:ascii="宋体" w:hAnsi="宋体"/>
        </w:rPr>
        <w:t>（5）电缆交货长度应为正公差。</w:t>
      </w:r>
    </w:p>
    <w:p>
      <w:pPr>
        <w:adjustRightInd w:val="0"/>
        <w:snapToGrid w:val="0"/>
        <w:spacing w:before="203" w:beforeLines="50" w:after="203" w:afterLines="50"/>
        <w:ind w:firstLine="500" w:firstLineChars="200"/>
        <w:rPr>
          <w:rFonts w:ascii="宋体" w:hAnsi="宋体"/>
        </w:rPr>
      </w:pPr>
      <w:r>
        <w:rPr>
          <w:rFonts w:ascii="宋体" w:hAnsi="宋体"/>
        </w:rPr>
        <w:t>（6）电缆盘外侧应有牢固的标记，标明以下内容：</w:t>
      </w:r>
    </w:p>
    <w:p>
      <w:pPr>
        <w:adjustRightInd w:val="0"/>
        <w:snapToGrid w:val="0"/>
        <w:spacing w:before="203" w:beforeLines="50" w:after="203" w:afterLines="50"/>
        <w:ind w:firstLine="500" w:firstLineChars="200"/>
        <w:rPr>
          <w:rFonts w:ascii="宋体" w:hAnsi="宋体"/>
        </w:rPr>
      </w:pPr>
      <w:r>
        <w:rPr>
          <w:rFonts w:ascii="宋体" w:hAnsi="宋体"/>
        </w:rPr>
        <w:t>合同号、盘号；</w:t>
      </w:r>
    </w:p>
    <w:p>
      <w:pPr>
        <w:adjustRightInd w:val="0"/>
        <w:snapToGrid w:val="0"/>
        <w:spacing w:before="203" w:beforeLines="50" w:after="203" w:afterLines="50"/>
        <w:ind w:firstLine="500" w:firstLineChars="200"/>
        <w:rPr>
          <w:rFonts w:ascii="宋体" w:hAnsi="宋体"/>
        </w:rPr>
      </w:pPr>
      <w:r>
        <w:rPr>
          <w:rFonts w:ascii="宋体" w:hAnsi="宋体"/>
        </w:rPr>
        <w:t>收货单位；</w:t>
      </w:r>
    </w:p>
    <w:p>
      <w:pPr>
        <w:adjustRightInd w:val="0"/>
        <w:snapToGrid w:val="0"/>
        <w:spacing w:before="203" w:beforeLines="50" w:after="203" w:afterLines="50"/>
        <w:ind w:firstLine="500" w:firstLineChars="200"/>
        <w:rPr>
          <w:rFonts w:ascii="宋体" w:hAnsi="宋体"/>
        </w:rPr>
      </w:pPr>
      <w:r>
        <w:rPr>
          <w:rFonts w:ascii="宋体" w:hAnsi="宋体"/>
        </w:rPr>
        <w:t>产品名称、型号、规格；</w:t>
      </w:r>
    </w:p>
    <w:p>
      <w:pPr>
        <w:adjustRightInd w:val="0"/>
        <w:snapToGrid w:val="0"/>
        <w:spacing w:before="203" w:beforeLines="50" w:after="203" w:afterLines="50"/>
        <w:ind w:firstLine="500" w:firstLineChars="200"/>
        <w:rPr>
          <w:rFonts w:ascii="宋体" w:hAnsi="宋体"/>
        </w:rPr>
      </w:pPr>
      <w:r>
        <w:rPr>
          <w:rFonts w:ascii="宋体" w:hAnsi="宋体"/>
        </w:rPr>
        <w:t>电缆额定电压；</w:t>
      </w:r>
    </w:p>
    <w:p>
      <w:pPr>
        <w:adjustRightInd w:val="0"/>
        <w:snapToGrid w:val="0"/>
        <w:spacing w:before="203" w:beforeLines="50" w:after="203" w:afterLines="50"/>
        <w:ind w:firstLine="500" w:firstLineChars="200"/>
        <w:rPr>
          <w:rFonts w:ascii="宋体" w:hAnsi="宋体"/>
        </w:rPr>
      </w:pPr>
      <w:r>
        <w:rPr>
          <w:rFonts w:ascii="宋体" w:hAnsi="宋体"/>
        </w:rPr>
        <w:t>电缆长度；</w:t>
      </w:r>
    </w:p>
    <w:p>
      <w:pPr>
        <w:adjustRightInd w:val="0"/>
        <w:snapToGrid w:val="0"/>
        <w:spacing w:before="203" w:beforeLines="50" w:after="203" w:afterLines="50"/>
        <w:ind w:firstLine="500" w:firstLineChars="200"/>
        <w:rPr>
          <w:rFonts w:ascii="宋体" w:hAnsi="宋体"/>
        </w:rPr>
      </w:pPr>
      <w:r>
        <w:rPr>
          <w:rFonts w:ascii="宋体" w:hAnsi="宋体"/>
        </w:rPr>
        <w:t>电缆盘正确滚动方向符号；</w:t>
      </w:r>
    </w:p>
    <w:p>
      <w:pPr>
        <w:adjustRightInd w:val="0"/>
        <w:snapToGrid w:val="0"/>
        <w:spacing w:before="203" w:beforeLines="50" w:after="203" w:afterLines="50"/>
        <w:ind w:firstLine="500" w:firstLineChars="200"/>
        <w:rPr>
          <w:rFonts w:ascii="宋体" w:hAnsi="宋体"/>
        </w:rPr>
      </w:pPr>
      <w:r>
        <w:rPr>
          <w:rFonts w:ascii="宋体" w:hAnsi="宋体"/>
        </w:rPr>
        <w:t>制造厂名称和制造日期（年月）。</w:t>
      </w:r>
    </w:p>
    <w:p>
      <w:pPr>
        <w:adjustRightInd w:val="0"/>
        <w:snapToGrid w:val="0"/>
        <w:spacing w:before="203" w:beforeLines="50" w:after="203" w:afterLines="50"/>
        <w:ind w:firstLine="500" w:firstLineChars="200"/>
        <w:rPr>
          <w:rFonts w:ascii="宋体" w:hAnsi="宋体"/>
        </w:rPr>
      </w:pPr>
      <w:r>
        <w:rPr>
          <w:rFonts w:ascii="宋体" w:hAnsi="宋体"/>
        </w:rPr>
        <w:t>电缆的验收</w:t>
      </w:r>
    </w:p>
    <w:p>
      <w:pPr>
        <w:adjustRightInd w:val="0"/>
        <w:snapToGrid w:val="0"/>
        <w:spacing w:before="203" w:beforeLines="50" w:after="203" w:afterLines="50"/>
        <w:ind w:firstLine="500" w:firstLineChars="200"/>
        <w:rPr>
          <w:rFonts w:ascii="宋体" w:hAnsi="宋体"/>
        </w:rPr>
      </w:pPr>
      <w:r>
        <w:rPr>
          <w:rFonts w:ascii="宋体" w:hAnsi="宋体"/>
        </w:rPr>
        <w:t>（1）电缆应由制造厂的技检部门检验合格后方能出厂，出厂产品均应有生产许可证和检验合格证。</w:t>
      </w:r>
    </w:p>
    <w:p>
      <w:pPr>
        <w:adjustRightInd w:val="0"/>
        <w:snapToGrid w:val="0"/>
        <w:spacing w:before="203" w:beforeLines="50" w:after="203" w:afterLines="50"/>
        <w:ind w:firstLine="500" w:firstLineChars="200"/>
        <w:rPr>
          <w:rFonts w:ascii="宋体" w:hAnsi="宋体"/>
        </w:rPr>
      </w:pPr>
      <w:r>
        <w:rPr>
          <w:rFonts w:ascii="宋体" w:hAnsi="宋体"/>
        </w:rPr>
        <w:t>（2）产品交货时，按有关规定的检验项目按每批产品的1%抽样进行检查。抽检不合格时，应加倍取样进行第二次检查，如仍不合时，将视情况作退货处理或100%检查，其费用由承包商承担。</w:t>
      </w:r>
    </w:p>
    <w:p>
      <w:pPr>
        <w:adjustRightInd w:val="0"/>
        <w:snapToGrid w:val="0"/>
        <w:spacing w:before="203" w:beforeLines="50" w:after="203" w:afterLines="50"/>
        <w:ind w:firstLine="500" w:firstLineChars="200"/>
        <w:rPr>
          <w:rFonts w:ascii="宋体" w:hAnsi="宋体"/>
        </w:rPr>
      </w:pPr>
      <w:r>
        <w:rPr>
          <w:rFonts w:ascii="宋体" w:hAnsi="宋体"/>
        </w:rPr>
        <w:t>规格及数量等见各建（构）物图纸和工程量清单。</w:t>
      </w:r>
      <w:bookmarkStart w:id="7377" w:name="_Toc450585028"/>
    </w:p>
    <w:p>
      <w:pPr>
        <w:keepNext/>
        <w:tabs>
          <w:tab w:val="left" w:pos="993"/>
        </w:tabs>
        <w:adjustRightInd w:val="0"/>
        <w:snapToGrid w:val="0"/>
        <w:spacing w:before="203" w:beforeLines="50" w:after="203" w:afterLines="50"/>
        <w:outlineLvl w:val="0"/>
        <w:rPr>
          <w:rFonts w:ascii="宋体" w:hAnsi="宋体"/>
          <w:b/>
          <w:bCs/>
        </w:rPr>
      </w:pPr>
      <w:bookmarkStart w:id="7378" w:name="_Toc106883816"/>
      <w:r>
        <w:rPr>
          <w:rFonts w:hint="eastAsia" w:ascii="宋体" w:hAnsi="宋体"/>
          <w:b/>
          <w:bCs/>
        </w:rPr>
        <w:t>10.6.2</w:t>
      </w:r>
      <w:r>
        <w:rPr>
          <w:rFonts w:ascii="宋体" w:hAnsi="宋体"/>
          <w:b/>
          <w:bCs/>
        </w:rPr>
        <w:t>光缆</w:t>
      </w:r>
      <w:bookmarkEnd w:id="7377"/>
      <w:bookmarkEnd w:id="7378"/>
    </w:p>
    <w:p>
      <w:pPr>
        <w:adjustRightInd w:val="0"/>
        <w:snapToGrid w:val="0"/>
        <w:spacing w:before="203" w:beforeLines="50" w:after="203" w:afterLines="50"/>
        <w:ind w:firstLine="500" w:firstLineChars="200"/>
        <w:rPr>
          <w:rFonts w:ascii="宋体" w:hAnsi="宋体"/>
          <w:bCs/>
        </w:rPr>
      </w:pPr>
      <w:r>
        <w:rPr>
          <w:rFonts w:ascii="宋体" w:hAnsi="宋体"/>
          <w:bCs/>
        </w:rPr>
        <w:t>资质要求</w:t>
      </w:r>
    </w:p>
    <w:p>
      <w:pPr>
        <w:adjustRightInd w:val="0"/>
        <w:snapToGrid w:val="0"/>
        <w:spacing w:before="203" w:beforeLines="50" w:after="203" w:afterLines="50"/>
        <w:ind w:firstLine="500" w:firstLineChars="200"/>
        <w:rPr>
          <w:rFonts w:ascii="宋体" w:hAnsi="宋体"/>
        </w:rPr>
      </w:pPr>
      <w:r>
        <w:rPr>
          <w:rFonts w:ascii="宋体" w:hAnsi="宋体"/>
        </w:rPr>
        <w:t>产品通过ISO900质量管理体系认证。产品通过广电总局颁发的入网许可证或泰尔认证，光缆相关测试报告和指标。</w:t>
      </w:r>
    </w:p>
    <w:p>
      <w:pPr>
        <w:adjustRightInd w:val="0"/>
        <w:snapToGrid w:val="0"/>
        <w:spacing w:before="203" w:beforeLines="50" w:after="203" w:afterLines="50"/>
        <w:ind w:firstLine="500" w:firstLineChars="200"/>
        <w:rPr>
          <w:rFonts w:ascii="宋体" w:hAnsi="宋体"/>
        </w:rPr>
      </w:pPr>
      <w:r>
        <w:rPr>
          <w:rFonts w:ascii="宋体" w:hAnsi="宋体"/>
        </w:rPr>
        <w:t>光缆的环境性能</w:t>
      </w:r>
    </w:p>
    <w:p>
      <w:pPr>
        <w:adjustRightInd w:val="0"/>
        <w:snapToGrid w:val="0"/>
        <w:spacing w:before="203" w:beforeLines="50" w:after="203" w:afterLines="50"/>
        <w:ind w:firstLine="500" w:firstLineChars="200"/>
        <w:rPr>
          <w:rFonts w:ascii="宋体" w:hAnsi="宋体"/>
        </w:rPr>
      </w:pPr>
      <w:r>
        <w:rPr>
          <w:rFonts w:ascii="宋体" w:hAnsi="宋体"/>
        </w:rPr>
        <w:t>（1）光缆的温度环境试验</w:t>
      </w:r>
    </w:p>
    <w:p>
      <w:pPr>
        <w:adjustRightInd w:val="0"/>
        <w:snapToGrid w:val="0"/>
        <w:spacing w:before="203" w:beforeLines="50" w:after="203" w:afterLines="50"/>
        <w:ind w:firstLine="500" w:firstLineChars="200"/>
        <w:rPr>
          <w:rFonts w:ascii="宋体" w:hAnsi="宋体"/>
        </w:rPr>
      </w:pPr>
      <w:r>
        <w:rPr>
          <w:rFonts w:ascii="宋体" w:hAnsi="宋体"/>
        </w:rPr>
        <w:t>光缆的高低温特性可通过高低温循环试验来检验，按-40℃～+60℃且保温时间&gt;12h，有两层护套时为24h，循环2个周期，可保持原有光纤特性不变，衰减变化&lt;0.05dB/Km。</w:t>
      </w:r>
    </w:p>
    <w:p>
      <w:pPr>
        <w:adjustRightInd w:val="0"/>
        <w:snapToGrid w:val="0"/>
        <w:spacing w:before="203" w:beforeLines="50" w:after="203" w:afterLines="50"/>
        <w:ind w:firstLine="500" w:firstLineChars="200"/>
        <w:rPr>
          <w:rFonts w:ascii="宋体" w:hAnsi="宋体"/>
        </w:rPr>
      </w:pPr>
      <w:bookmarkStart w:id="7379" w:name="_Toc106050630"/>
      <w:r>
        <w:rPr>
          <w:rFonts w:ascii="宋体" w:hAnsi="宋体"/>
        </w:rPr>
        <w:t>（2）浸水试验</w:t>
      </w:r>
      <w:bookmarkEnd w:id="7379"/>
    </w:p>
    <w:p>
      <w:pPr>
        <w:adjustRightInd w:val="0"/>
        <w:snapToGrid w:val="0"/>
        <w:spacing w:before="203" w:beforeLines="50" w:after="203" w:afterLines="50"/>
        <w:ind w:firstLine="500" w:firstLineChars="200"/>
        <w:rPr>
          <w:rFonts w:ascii="宋体" w:hAnsi="宋体"/>
        </w:rPr>
      </w:pPr>
      <w:r>
        <w:rPr>
          <w:rFonts w:ascii="宋体" w:hAnsi="宋体"/>
        </w:rPr>
        <w:t>将光缆浸入水中，时间为24h，在直流500V下测试，聚乙烯外套的绝缘电阻&gt;2000MΩ.Km,耐电压不低于直流电压15KV.2min 不击穿。</w:t>
      </w:r>
    </w:p>
    <w:p>
      <w:pPr>
        <w:adjustRightInd w:val="0"/>
        <w:snapToGrid w:val="0"/>
        <w:spacing w:before="203" w:beforeLines="50" w:after="203" w:afterLines="50"/>
        <w:ind w:firstLine="500" w:firstLineChars="200"/>
        <w:rPr>
          <w:rFonts w:ascii="宋体" w:hAnsi="宋体"/>
        </w:rPr>
      </w:pPr>
      <w:bookmarkStart w:id="7380" w:name="_Toc106050631"/>
      <w:r>
        <w:rPr>
          <w:rFonts w:ascii="宋体" w:hAnsi="宋体"/>
        </w:rPr>
        <w:t>（3）直流火花试验</w:t>
      </w:r>
      <w:bookmarkEnd w:id="7380"/>
    </w:p>
    <w:p>
      <w:pPr>
        <w:adjustRightInd w:val="0"/>
        <w:snapToGrid w:val="0"/>
        <w:spacing w:before="203" w:beforeLines="50" w:after="203" w:afterLines="50"/>
        <w:ind w:firstLine="500" w:firstLineChars="200"/>
        <w:rPr>
          <w:rFonts w:ascii="宋体" w:hAnsi="宋体"/>
        </w:rPr>
      </w:pPr>
      <w:r>
        <w:rPr>
          <w:rFonts w:ascii="宋体" w:hAnsi="宋体"/>
        </w:rPr>
        <w:t>直流火花试验检验光缆的完整性，试验电压不小于18KV。</w:t>
      </w:r>
    </w:p>
    <w:p>
      <w:pPr>
        <w:adjustRightInd w:val="0"/>
        <w:snapToGrid w:val="0"/>
        <w:spacing w:before="203" w:beforeLines="50" w:after="203" w:afterLines="50"/>
        <w:ind w:firstLine="500" w:firstLineChars="200"/>
        <w:rPr>
          <w:rFonts w:ascii="宋体" w:hAnsi="宋体"/>
        </w:rPr>
      </w:pPr>
      <w:r>
        <w:rPr>
          <w:rFonts w:ascii="宋体" w:hAnsi="宋体"/>
        </w:rPr>
        <w:t>护套性能</w:t>
      </w:r>
    </w:p>
    <w:p>
      <w:pPr>
        <w:adjustRightInd w:val="0"/>
        <w:snapToGrid w:val="0"/>
        <w:spacing w:before="203" w:beforeLines="50" w:after="203" w:afterLines="50"/>
        <w:ind w:firstLine="500" w:firstLineChars="200"/>
        <w:rPr>
          <w:rFonts w:ascii="宋体" w:hAnsi="宋体"/>
        </w:rPr>
      </w:pPr>
      <w:r>
        <w:rPr>
          <w:rFonts w:ascii="宋体" w:hAnsi="宋体"/>
        </w:rPr>
        <w:t>（1）挡潮层钢带和金属铠装层在光缆纵向分别保持电气导通。</w:t>
      </w:r>
    </w:p>
    <w:p>
      <w:pPr>
        <w:adjustRightInd w:val="0"/>
        <w:snapToGrid w:val="0"/>
        <w:spacing w:before="203" w:beforeLines="50" w:after="203" w:afterLines="50"/>
        <w:ind w:firstLine="500" w:firstLineChars="200"/>
        <w:rPr>
          <w:rFonts w:ascii="宋体" w:hAnsi="宋体"/>
        </w:rPr>
      </w:pPr>
      <w:r>
        <w:rPr>
          <w:rFonts w:ascii="宋体" w:hAnsi="宋体"/>
        </w:rPr>
        <w:t>（2）粘接护套的钢带与聚乙烯之间的剥离强度不小于1.4N/mm，当采用阻水胶时，搭接处不考核剥离强度。</w:t>
      </w:r>
    </w:p>
    <w:p>
      <w:pPr>
        <w:adjustRightInd w:val="0"/>
        <w:snapToGrid w:val="0"/>
        <w:spacing w:before="203" w:beforeLines="50" w:after="203" w:afterLines="50"/>
        <w:ind w:firstLine="500" w:firstLineChars="200"/>
        <w:rPr>
          <w:rFonts w:ascii="宋体" w:hAnsi="宋体"/>
        </w:rPr>
      </w:pPr>
      <w:bookmarkStart w:id="7381" w:name="_Toc106050632"/>
      <w:r>
        <w:rPr>
          <w:rFonts w:ascii="宋体" w:hAnsi="宋体"/>
        </w:rPr>
        <w:t>（3）聚乙烯护套的机械性能</w:t>
      </w:r>
      <w:bookmarkEnd w:id="7381"/>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10"/>
        <w:gridCol w:w="2388"/>
        <w:gridCol w:w="920"/>
        <w:gridCol w:w="1204"/>
        <w:gridCol w:w="1113"/>
        <w:gridCol w:w="1137"/>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restart"/>
            <w:vAlign w:val="center"/>
          </w:tcPr>
          <w:p>
            <w:pPr>
              <w:keepNext/>
              <w:adjustRightInd w:val="0"/>
              <w:snapToGrid w:val="0"/>
              <w:jc w:val="center"/>
              <w:rPr>
                <w:rFonts w:ascii="宋体" w:hAnsi="宋体"/>
                <w:b/>
                <w:bCs/>
              </w:rPr>
            </w:pPr>
            <w:r>
              <w:rPr>
                <w:rFonts w:ascii="宋体" w:hAnsi="宋体"/>
                <w:b/>
                <w:bCs/>
              </w:rPr>
              <w:t>序</w:t>
            </w:r>
          </w:p>
          <w:p>
            <w:pPr>
              <w:keepNext/>
              <w:adjustRightInd w:val="0"/>
              <w:snapToGrid w:val="0"/>
              <w:jc w:val="center"/>
              <w:rPr>
                <w:rFonts w:ascii="宋体" w:hAnsi="宋体"/>
                <w:b/>
                <w:bCs/>
              </w:rPr>
            </w:pPr>
            <w:r>
              <w:rPr>
                <w:rFonts w:ascii="宋体" w:hAnsi="宋体"/>
                <w:b/>
                <w:bCs/>
              </w:rPr>
              <w:t>号</w:t>
            </w:r>
          </w:p>
        </w:tc>
        <w:tc>
          <w:tcPr>
            <w:tcW w:w="2577" w:type="dxa"/>
            <w:vMerge w:val="restart"/>
            <w:vAlign w:val="center"/>
          </w:tcPr>
          <w:p>
            <w:pPr>
              <w:keepNext/>
              <w:adjustRightInd w:val="0"/>
              <w:snapToGrid w:val="0"/>
              <w:jc w:val="center"/>
              <w:rPr>
                <w:rFonts w:ascii="宋体" w:hAnsi="宋体"/>
                <w:b/>
                <w:bCs/>
              </w:rPr>
            </w:pPr>
            <w:r>
              <w:rPr>
                <w:rFonts w:ascii="宋体" w:hAnsi="宋体"/>
                <w:b/>
                <w:bCs/>
              </w:rPr>
              <w:t>项    目</w:t>
            </w:r>
          </w:p>
        </w:tc>
        <w:tc>
          <w:tcPr>
            <w:tcW w:w="989" w:type="dxa"/>
            <w:vMerge w:val="restart"/>
            <w:vAlign w:val="center"/>
          </w:tcPr>
          <w:p>
            <w:pPr>
              <w:keepNext/>
              <w:adjustRightInd w:val="0"/>
              <w:snapToGrid w:val="0"/>
              <w:jc w:val="center"/>
              <w:rPr>
                <w:rFonts w:ascii="宋体" w:hAnsi="宋体"/>
                <w:b/>
                <w:bCs/>
              </w:rPr>
            </w:pPr>
            <w:r>
              <w:rPr>
                <w:rFonts w:ascii="宋体" w:hAnsi="宋体"/>
                <w:b/>
                <w:bCs/>
              </w:rPr>
              <w:t>单位</w:t>
            </w:r>
          </w:p>
        </w:tc>
        <w:tc>
          <w:tcPr>
            <w:tcW w:w="4889" w:type="dxa"/>
            <w:gridSpan w:val="4"/>
            <w:vAlign w:val="center"/>
          </w:tcPr>
          <w:p>
            <w:pPr>
              <w:keepNext/>
              <w:adjustRightInd w:val="0"/>
              <w:snapToGrid w:val="0"/>
              <w:jc w:val="center"/>
              <w:rPr>
                <w:rFonts w:ascii="宋体" w:hAnsi="宋体"/>
                <w:b/>
                <w:bCs/>
              </w:rPr>
            </w:pPr>
            <w:r>
              <w:rPr>
                <w:rFonts w:ascii="宋体" w:hAnsi="宋体"/>
                <w:b/>
                <w:bCs/>
              </w:rPr>
              <w:t>指   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continue"/>
            <w:vAlign w:val="center"/>
          </w:tcPr>
          <w:p>
            <w:pPr>
              <w:keepNext/>
              <w:adjustRightInd w:val="0"/>
              <w:snapToGrid w:val="0"/>
              <w:jc w:val="center"/>
              <w:rPr>
                <w:rFonts w:ascii="宋体" w:hAnsi="宋体"/>
                <w:b/>
                <w:bCs/>
              </w:rPr>
            </w:pPr>
          </w:p>
        </w:tc>
        <w:tc>
          <w:tcPr>
            <w:tcW w:w="2577" w:type="dxa"/>
            <w:vMerge w:val="continue"/>
            <w:vAlign w:val="center"/>
          </w:tcPr>
          <w:p>
            <w:pPr>
              <w:keepNext/>
              <w:adjustRightInd w:val="0"/>
              <w:snapToGrid w:val="0"/>
              <w:jc w:val="center"/>
              <w:rPr>
                <w:rFonts w:ascii="宋体" w:hAnsi="宋体"/>
                <w:b/>
                <w:bCs/>
              </w:rPr>
            </w:pPr>
          </w:p>
        </w:tc>
        <w:tc>
          <w:tcPr>
            <w:tcW w:w="989" w:type="dxa"/>
            <w:vMerge w:val="continue"/>
            <w:vAlign w:val="center"/>
          </w:tcPr>
          <w:p>
            <w:pPr>
              <w:keepNext/>
              <w:adjustRightInd w:val="0"/>
              <w:snapToGrid w:val="0"/>
              <w:jc w:val="center"/>
              <w:rPr>
                <w:rFonts w:ascii="宋体" w:hAnsi="宋体"/>
                <w:b/>
                <w:bCs/>
              </w:rPr>
            </w:pPr>
          </w:p>
        </w:tc>
        <w:tc>
          <w:tcPr>
            <w:tcW w:w="1296" w:type="dxa"/>
            <w:vAlign w:val="center"/>
          </w:tcPr>
          <w:p>
            <w:pPr>
              <w:keepNext/>
              <w:adjustRightInd w:val="0"/>
              <w:snapToGrid w:val="0"/>
              <w:jc w:val="center"/>
              <w:rPr>
                <w:rFonts w:ascii="宋体" w:hAnsi="宋体"/>
                <w:b/>
                <w:bCs/>
              </w:rPr>
            </w:pPr>
            <w:r>
              <w:rPr>
                <w:rFonts w:ascii="宋体" w:hAnsi="宋体"/>
                <w:b/>
                <w:bCs/>
              </w:rPr>
              <w:t>LLDPE</w:t>
            </w:r>
          </w:p>
        </w:tc>
        <w:tc>
          <w:tcPr>
            <w:tcW w:w="1198" w:type="dxa"/>
            <w:vAlign w:val="center"/>
          </w:tcPr>
          <w:p>
            <w:pPr>
              <w:keepNext/>
              <w:adjustRightInd w:val="0"/>
              <w:snapToGrid w:val="0"/>
              <w:jc w:val="center"/>
              <w:rPr>
                <w:rFonts w:ascii="宋体" w:hAnsi="宋体"/>
                <w:b/>
                <w:bCs/>
              </w:rPr>
            </w:pPr>
            <w:r>
              <w:rPr>
                <w:rFonts w:ascii="宋体" w:hAnsi="宋体"/>
                <w:b/>
                <w:bCs/>
              </w:rPr>
              <w:t>HDPE</w:t>
            </w:r>
          </w:p>
        </w:tc>
        <w:tc>
          <w:tcPr>
            <w:tcW w:w="1224" w:type="dxa"/>
            <w:vAlign w:val="center"/>
          </w:tcPr>
          <w:p>
            <w:pPr>
              <w:keepNext/>
              <w:adjustRightInd w:val="0"/>
              <w:snapToGrid w:val="0"/>
              <w:jc w:val="center"/>
              <w:rPr>
                <w:rFonts w:ascii="宋体" w:hAnsi="宋体"/>
                <w:b/>
                <w:bCs/>
              </w:rPr>
            </w:pPr>
            <w:r>
              <w:rPr>
                <w:rFonts w:ascii="宋体" w:hAnsi="宋体"/>
                <w:b/>
                <w:bCs/>
              </w:rPr>
              <w:t>MDPE</w:t>
            </w:r>
          </w:p>
        </w:tc>
        <w:tc>
          <w:tcPr>
            <w:tcW w:w="1171" w:type="dxa"/>
            <w:vAlign w:val="center"/>
          </w:tcPr>
          <w:p>
            <w:pPr>
              <w:keepNext/>
              <w:adjustRightInd w:val="0"/>
              <w:snapToGrid w:val="0"/>
              <w:jc w:val="center"/>
              <w:rPr>
                <w:rFonts w:ascii="宋体" w:hAnsi="宋体"/>
                <w:b/>
                <w:bCs/>
              </w:rPr>
            </w:pPr>
            <w:r>
              <w:rPr>
                <w:rFonts w:ascii="宋体" w:hAnsi="宋体"/>
                <w:b/>
                <w:bCs/>
              </w:rPr>
              <w:t>ZRPE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restart"/>
            <w:vAlign w:val="center"/>
          </w:tcPr>
          <w:p>
            <w:pPr>
              <w:adjustRightInd w:val="0"/>
              <w:snapToGrid w:val="0"/>
              <w:jc w:val="center"/>
              <w:rPr>
                <w:rFonts w:ascii="宋体" w:hAnsi="宋体"/>
              </w:rPr>
            </w:pPr>
            <w:r>
              <w:rPr>
                <w:rFonts w:ascii="宋体" w:hAnsi="宋体"/>
              </w:rPr>
              <w:t>1</w:t>
            </w:r>
          </w:p>
        </w:tc>
        <w:tc>
          <w:tcPr>
            <w:tcW w:w="2577" w:type="dxa"/>
            <w:vMerge w:val="restart"/>
            <w:vAlign w:val="center"/>
          </w:tcPr>
          <w:p>
            <w:pPr>
              <w:adjustRightInd w:val="0"/>
              <w:snapToGrid w:val="0"/>
              <w:jc w:val="center"/>
              <w:rPr>
                <w:rFonts w:ascii="宋体" w:hAnsi="宋体"/>
              </w:rPr>
            </w:pPr>
            <w:r>
              <w:rPr>
                <w:rFonts w:ascii="宋体" w:hAnsi="宋体"/>
              </w:rPr>
              <w:t>抗拉强度 热老化处理前 min（最小值）</w:t>
            </w:r>
          </w:p>
          <w:p>
            <w:pPr>
              <w:adjustRightInd w:val="0"/>
              <w:snapToGrid w:val="0"/>
              <w:jc w:val="center"/>
              <w:rPr>
                <w:rFonts w:ascii="宋体" w:hAnsi="宋体"/>
              </w:rPr>
            </w:pPr>
            <w:r>
              <w:rPr>
                <w:rFonts w:ascii="宋体" w:hAnsi="宋体"/>
              </w:rPr>
              <w:t>热老化前后变化率max    （最大值）</w:t>
            </w:r>
          </w:p>
          <w:p>
            <w:pPr>
              <w:adjustRightInd w:val="0"/>
              <w:snapToGrid w:val="0"/>
              <w:jc w:val="center"/>
              <w:rPr>
                <w:rFonts w:ascii="宋体" w:hAnsi="宋体"/>
              </w:rPr>
            </w:pPr>
            <w:r>
              <w:rPr>
                <w:rFonts w:ascii="宋体" w:hAnsi="宋体" w:cs="Calibri"/>
              </w:rPr>
              <w:t> </w:t>
            </w:r>
            <w:r>
              <w:rPr>
                <w:rFonts w:ascii="宋体" w:hAnsi="宋体"/>
              </w:rPr>
              <w:t xml:space="preserve"> 热老化处理温度</w:t>
            </w:r>
          </w:p>
          <w:p>
            <w:pPr>
              <w:adjustRightInd w:val="0"/>
              <w:snapToGrid w:val="0"/>
              <w:jc w:val="center"/>
              <w:rPr>
                <w:rFonts w:ascii="宋体" w:hAnsi="宋体"/>
              </w:rPr>
            </w:pPr>
            <w:r>
              <w:rPr>
                <w:rFonts w:ascii="宋体" w:hAnsi="宋体" w:cs="Calibri"/>
              </w:rPr>
              <w:t> </w:t>
            </w:r>
            <w:r>
              <w:rPr>
                <w:rFonts w:ascii="宋体" w:hAnsi="宋体"/>
              </w:rPr>
              <w:t xml:space="preserve"> 热老化处理时间</w:t>
            </w:r>
          </w:p>
        </w:tc>
        <w:tc>
          <w:tcPr>
            <w:tcW w:w="989" w:type="dxa"/>
            <w:vAlign w:val="center"/>
          </w:tcPr>
          <w:p>
            <w:pPr>
              <w:adjustRightInd w:val="0"/>
              <w:snapToGrid w:val="0"/>
              <w:jc w:val="center"/>
              <w:rPr>
                <w:rFonts w:ascii="宋体" w:hAnsi="宋体"/>
              </w:rPr>
            </w:pPr>
            <w:r>
              <w:rPr>
                <w:rFonts w:ascii="宋体" w:hAnsi="宋体"/>
              </w:rPr>
              <w:t>Mpa</w:t>
            </w:r>
          </w:p>
        </w:tc>
        <w:tc>
          <w:tcPr>
            <w:tcW w:w="1296" w:type="dxa"/>
            <w:vAlign w:val="center"/>
          </w:tcPr>
          <w:p>
            <w:pPr>
              <w:adjustRightInd w:val="0"/>
              <w:snapToGrid w:val="0"/>
              <w:jc w:val="center"/>
              <w:rPr>
                <w:rFonts w:ascii="宋体" w:hAnsi="宋体"/>
              </w:rPr>
            </w:pPr>
            <w:r>
              <w:rPr>
                <w:rFonts w:ascii="宋体" w:hAnsi="宋体"/>
              </w:rPr>
              <w:t>10.0</w:t>
            </w:r>
          </w:p>
        </w:tc>
        <w:tc>
          <w:tcPr>
            <w:tcW w:w="1198" w:type="dxa"/>
            <w:vAlign w:val="center"/>
          </w:tcPr>
          <w:p>
            <w:pPr>
              <w:adjustRightInd w:val="0"/>
              <w:snapToGrid w:val="0"/>
              <w:jc w:val="center"/>
              <w:rPr>
                <w:rFonts w:ascii="宋体" w:hAnsi="宋体"/>
              </w:rPr>
            </w:pPr>
            <w:r>
              <w:rPr>
                <w:rFonts w:ascii="宋体" w:hAnsi="宋体"/>
              </w:rPr>
              <w:t>12.0</w:t>
            </w:r>
          </w:p>
        </w:tc>
        <w:tc>
          <w:tcPr>
            <w:tcW w:w="1224" w:type="dxa"/>
            <w:vAlign w:val="center"/>
          </w:tcPr>
          <w:p>
            <w:pPr>
              <w:adjustRightInd w:val="0"/>
              <w:snapToGrid w:val="0"/>
              <w:jc w:val="center"/>
              <w:rPr>
                <w:rFonts w:ascii="宋体" w:hAnsi="宋体"/>
              </w:rPr>
            </w:pPr>
            <w:r>
              <w:rPr>
                <w:rFonts w:ascii="宋体" w:hAnsi="宋体"/>
              </w:rPr>
              <w:t>16.0</w:t>
            </w:r>
          </w:p>
        </w:tc>
        <w:tc>
          <w:tcPr>
            <w:tcW w:w="1171" w:type="dxa"/>
            <w:vAlign w:val="center"/>
          </w:tcPr>
          <w:p>
            <w:pPr>
              <w:adjustRightInd w:val="0"/>
              <w:snapToGrid w:val="0"/>
              <w:jc w:val="center"/>
              <w:rPr>
                <w:rFonts w:ascii="宋体" w:hAnsi="宋体"/>
              </w:rPr>
            </w:pPr>
            <w:r>
              <w:rPr>
                <w:rFonts w:ascii="宋体" w:hAnsi="宋体"/>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continue"/>
            <w:vAlign w:val="center"/>
          </w:tcPr>
          <w:p>
            <w:pPr>
              <w:adjustRightInd w:val="0"/>
              <w:snapToGrid w:val="0"/>
              <w:jc w:val="center"/>
              <w:rPr>
                <w:rFonts w:ascii="宋体" w:hAnsi="宋体"/>
              </w:rPr>
            </w:pPr>
          </w:p>
        </w:tc>
        <w:tc>
          <w:tcPr>
            <w:tcW w:w="2577" w:type="dxa"/>
            <w:vMerge w:val="continue"/>
            <w:vAlign w:val="center"/>
          </w:tcPr>
          <w:p>
            <w:pPr>
              <w:adjustRightInd w:val="0"/>
              <w:snapToGrid w:val="0"/>
              <w:jc w:val="center"/>
              <w:rPr>
                <w:rFonts w:ascii="宋体" w:hAnsi="宋体"/>
              </w:rPr>
            </w:pPr>
          </w:p>
        </w:tc>
        <w:tc>
          <w:tcPr>
            <w:tcW w:w="989" w:type="dxa"/>
            <w:vAlign w:val="center"/>
          </w:tcPr>
          <w:p>
            <w:pPr>
              <w:adjustRightInd w:val="0"/>
              <w:snapToGrid w:val="0"/>
              <w:jc w:val="center"/>
              <w:rPr>
                <w:rFonts w:ascii="宋体" w:hAnsi="宋体"/>
              </w:rPr>
            </w:pPr>
            <w:r>
              <w:rPr>
                <w:rFonts w:ascii="宋体" w:hAnsi="宋体"/>
              </w:rPr>
              <w:t>%</w:t>
            </w:r>
          </w:p>
        </w:tc>
        <w:tc>
          <w:tcPr>
            <w:tcW w:w="1296" w:type="dxa"/>
            <w:vAlign w:val="center"/>
          </w:tcPr>
          <w:p>
            <w:pPr>
              <w:adjustRightInd w:val="0"/>
              <w:snapToGrid w:val="0"/>
              <w:jc w:val="center"/>
              <w:rPr>
                <w:rFonts w:ascii="宋体" w:hAnsi="宋体"/>
              </w:rPr>
            </w:pPr>
            <w:r>
              <w:rPr>
                <w:rFonts w:ascii="宋体" w:hAnsi="宋体"/>
              </w:rPr>
              <w:t>20</w:t>
            </w:r>
          </w:p>
        </w:tc>
        <w:tc>
          <w:tcPr>
            <w:tcW w:w="1198" w:type="dxa"/>
            <w:vAlign w:val="center"/>
          </w:tcPr>
          <w:p>
            <w:pPr>
              <w:adjustRightInd w:val="0"/>
              <w:snapToGrid w:val="0"/>
              <w:jc w:val="center"/>
              <w:rPr>
                <w:rFonts w:ascii="宋体" w:hAnsi="宋体"/>
              </w:rPr>
            </w:pPr>
            <w:r>
              <w:rPr>
                <w:rFonts w:ascii="宋体" w:hAnsi="宋体"/>
              </w:rPr>
              <w:t>20</w:t>
            </w:r>
          </w:p>
        </w:tc>
        <w:tc>
          <w:tcPr>
            <w:tcW w:w="1224" w:type="dxa"/>
            <w:vAlign w:val="center"/>
          </w:tcPr>
          <w:p>
            <w:pPr>
              <w:adjustRightInd w:val="0"/>
              <w:snapToGrid w:val="0"/>
              <w:jc w:val="center"/>
              <w:rPr>
                <w:rFonts w:ascii="宋体" w:hAnsi="宋体"/>
              </w:rPr>
            </w:pPr>
            <w:r>
              <w:rPr>
                <w:rFonts w:ascii="宋体" w:hAnsi="宋体"/>
              </w:rPr>
              <w:t>25</w:t>
            </w:r>
          </w:p>
        </w:tc>
        <w:tc>
          <w:tcPr>
            <w:tcW w:w="1171" w:type="dxa"/>
            <w:vAlign w:val="center"/>
          </w:tcPr>
          <w:p>
            <w:pPr>
              <w:adjustRightInd w:val="0"/>
              <w:snapToGrid w:val="0"/>
              <w:jc w:val="center"/>
              <w:rPr>
                <w:rFonts w:ascii="宋体" w:hAnsi="宋体"/>
              </w:rPr>
            </w:pPr>
            <w:r>
              <w:rPr>
                <w:rFonts w:ascii="宋体" w:hAnsi="宋体"/>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continue"/>
            <w:vAlign w:val="center"/>
          </w:tcPr>
          <w:p>
            <w:pPr>
              <w:adjustRightInd w:val="0"/>
              <w:snapToGrid w:val="0"/>
              <w:jc w:val="center"/>
              <w:rPr>
                <w:rFonts w:ascii="宋体" w:hAnsi="宋体"/>
              </w:rPr>
            </w:pPr>
          </w:p>
        </w:tc>
        <w:tc>
          <w:tcPr>
            <w:tcW w:w="2577" w:type="dxa"/>
            <w:vMerge w:val="continue"/>
            <w:vAlign w:val="center"/>
          </w:tcPr>
          <w:p>
            <w:pPr>
              <w:adjustRightInd w:val="0"/>
              <w:snapToGrid w:val="0"/>
              <w:jc w:val="center"/>
              <w:rPr>
                <w:rFonts w:ascii="宋体" w:hAnsi="宋体"/>
              </w:rPr>
            </w:pPr>
          </w:p>
        </w:tc>
        <w:tc>
          <w:tcPr>
            <w:tcW w:w="989" w:type="dxa"/>
            <w:vAlign w:val="center"/>
          </w:tcPr>
          <w:p>
            <w:pPr>
              <w:adjustRightInd w:val="0"/>
              <w:snapToGrid w:val="0"/>
              <w:jc w:val="center"/>
              <w:rPr>
                <w:rFonts w:ascii="宋体" w:hAnsi="宋体"/>
              </w:rPr>
            </w:pPr>
            <w:r>
              <w:rPr>
                <w:rFonts w:ascii="宋体" w:hAnsi="宋体"/>
              </w:rPr>
              <w:t>℃</w:t>
            </w:r>
          </w:p>
          <w:p>
            <w:pPr>
              <w:adjustRightInd w:val="0"/>
              <w:snapToGrid w:val="0"/>
              <w:jc w:val="center"/>
              <w:rPr>
                <w:rFonts w:ascii="宋体" w:hAnsi="宋体"/>
              </w:rPr>
            </w:pPr>
            <w:r>
              <w:rPr>
                <w:rFonts w:ascii="宋体" w:hAnsi="宋体"/>
              </w:rPr>
              <w:t>h</w:t>
            </w:r>
          </w:p>
        </w:tc>
        <w:tc>
          <w:tcPr>
            <w:tcW w:w="4889" w:type="dxa"/>
            <w:gridSpan w:val="4"/>
            <w:vAlign w:val="center"/>
          </w:tcPr>
          <w:p>
            <w:pPr>
              <w:adjustRightInd w:val="0"/>
              <w:snapToGrid w:val="0"/>
              <w:jc w:val="center"/>
              <w:rPr>
                <w:rFonts w:ascii="宋体" w:hAnsi="宋体"/>
              </w:rPr>
            </w:pPr>
            <w:r>
              <w:rPr>
                <w:rFonts w:ascii="宋体" w:hAnsi="宋体"/>
              </w:rPr>
              <w:t>100±2</w:t>
            </w:r>
          </w:p>
          <w:p>
            <w:pPr>
              <w:adjustRightInd w:val="0"/>
              <w:snapToGrid w:val="0"/>
              <w:jc w:val="center"/>
              <w:rPr>
                <w:rFonts w:ascii="宋体" w:hAnsi="宋体"/>
              </w:rPr>
            </w:pPr>
            <w:r>
              <w:rPr>
                <w:rFonts w:ascii="宋体" w:hAnsi="宋体"/>
              </w:rPr>
              <w:t>24×10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restart"/>
            <w:vAlign w:val="center"/>
          </w:tcPr>
          <w:p>
            <w:pPr>
              <w:adjustRightInd w:val="0"/>
              <w:snapToGrid w:val="0"/>
              <w:jc w:val="center"/>
              <w:rPr>
                <w:rFonts w:ascii="宋体" w:hAnsi="宋体"/>
              </w:rPr>
            </w:pPr>
            <w:r>
              <w:rPr>
                <w:rFonts w:ascii="宋体" w:hAnsi="宋体"/>
              </w:rPr>
              <w:t>2</w:t>
            </w:r>
          </w:p>
        </w:tc>
        <w:tc>
          <w:tcPr>
            <w:tcW w:w="2577" w:type="dxa"/>
            <w:vMerge w:val="restart"/>
            <w:vAlign w:val="center"/>
          </w:tcPr>
          <w:p>
            <w:pPr>
              <w:adjustRightInd w:val="0"/>
              <w:snapToGrid w:val="0"/>
              <w:jc w:val="center"/>
              <w:rPr>
                <w:rFonts w:ascii="宋体" w:hAnsi="宋体"/>
              </w:rPr>
            </w:pPr>
            <w:r>
              <w:rPr>
                <w:rFonts w:ascii="宋体" w:hAnsi="宋体"/>
              </w:rPr>
              <w:t>断裂伸长率    热老化处理前  （最小值）</w:t>
            </w:r>
            <w:r>
              <w:rPr>
                <w:rFonts w:hint="eastAsia" w:ascii="宋体" w:hAnsi="宋体"/>
              </w:rPr>
              <w:t>；</w:t>
            </w:r>
            <w:r>
              <w:rPr>
                <w:rFonts w:ascii="宋体" w:hAnsi="宋体"/>
              </w:rPr>
              <w:t>热老化处理后   （最大值）</w:t>
            </w:r>
            <w:r>
              <w:rPr>
                <w:rFonts w:hint="eastAsia" w:ascii="宋体" w:hAnsi="宋体"/>
              </w:rPr>
              <w:t>；</w:t>
            </w:r>
            <w:r>
              <w:rPr>
                <w:rFonts w:ascii="宋体" w:hAnsi="宋体"/>
              </w:rPr>
              <w:t>热老化前后变化率|ES|</w:t>
            </w:r>
            <w:r>
              <w:rPr>
                <w:rFonts w:hint="eastAsia" w:ascii="宋体" w:hAnsi="宋体"/>
              </w:rPr>
              <w:t>；</w:t>
            </w:r>
            <w:r>
              <w:rPr>
                <w:rFonts w:ascii="宋体" w:hAnsi="宋体"/>
              </w:rPr>
              <w:t xml:space="preserve"> 热老化处理温度</w:t>
            </w:r>
            <w:r>
              <w:rPr>
                <w:rFonts w:hint="eastAsia" w:ascii="宋体" w:hAnsi="宋体"/>
              </w:rPr>
              <w:t>；</w:t>
            </w:r>
            <w:r>
              <w:rPr>
                <w:rFonts w:ascii="宋体" w:hAnsi="宋体"/>
              </w:rPr>
              <w:t>热老化处理时间</w:t>
            </w:r>
          </w:p>
        </w:tc>
        <w:tc>
          <w:tcPr>
            <w:tcW w:w="989" w:type="dxa"/>
            <w:vAlign w:val="center"/>
          </w:tcPr>
          <w:p>
            <w:pPr>
              <w:adjustRightInd w:val="0"/>
              <w:snapToGrid w:val="0"/>
              <w:jc w:val="center"/>
              <w:rPr>
                <w:rFonts w:ascii="宋体" w:hAnsi="宋体"/>
              </w:rPr>
            </w:pPr>
            <w:r>
              <w:rPr>
                <w:rFonts w:ascii="宋体" w:hAnsi="宋体"/>
              </w:rPr>
              <w:t>%</w:t>
            </w:r>
          </w:p>
          <w:p>
            <w:pPr>
              <w:adjustRightInd w:val="0"/>
              <w:snapToGrid w:val="0"/>
              <w:jc w:val="center"/>
              <w:rPr>
                <w:rFonts w:ascii="宋体" w:hAnsi="宋体"/>
              </w:rPr>
            </w:pPr>
            <w:r>
              <w:rPr>
                <w:rFonts w:ascii="宋体" w:hAnsi="宋体"/>
              </w:rPr>
              <w:t>%</w:t>
            </w:r>
          </w:p>
          <w:p>
            <w:pPr>
              <w:adjustRightInd w:val="0"/>
              <w:snapToGrid w:val="0"/>
              <w:jc w:val="center"/>
              <w:rPr>
                <w:rFonts w:ascii="宋体" w:hAnsi="宋体"/>
              </w:rPr>
            </w:pPr>
            <w:r>
              <w:rPr>
                <w:rFonts w:ascii="宋体" w:hAnsi="宋体"/>
              </w:rPr>
              <w:t>%</w:t>
            </w:r>
          </w:p>
        </w:tc>
        <w:tc>
          <w:tcPr>
            <w:tcW w:w="3718" w:type="dxa"/>
            <w:gridSpan w:val="3"/>
            <w:vAlign w:val="center"/>
          </w:tcPr>
          <w:p>
            <w:pPr>
              <w:adjustRightInd w:val="0"/>
              <w:snapToGrid w:val="0"/>
              <w:jc w:val="center"/>
              <w:rPr>
                <w:rFonts w:ascii="宋体" w:hAnsi="宋体"/>
              </w:rPr>
            </w:pPr>
            <w:r>
              <w:rPr>
                <w:rFonts w:ascii="宋体" w:hAnsi="宋体"/>
              </w:rPr>
              <w:t>350</w:t>
            </w:r>
          </w:p>
          <w:p>
            <w:pPr>
              <w:adjustRightInd w:val="0"/>
              <w:snapToGrid w:val="0"/>
              <w:jc w:val="center"/>
              <w:rPr>
                <w:rFonts w:ascii="宋体" w:hAnsi="宋体"/>
              </w:rPr>
            </w:pPr>
            <w:r>
              <w:rPr>
                <w:rFonts w:ascii="宋体" w:hAnsi="宋体"/>
              </w:rPr>
              <w:t>300</w:t>
            </w:r>
          </w:p>
          <w:p>
            <w:pPr>
              <w:adjustRightInd w:val="0"/>
              <w:snapToGrid w:val="0"/>
              <w:jc w:val="center"/>
              <w:rPr>
                <w:rFonts w:ascii="宋体" w:hAnsi="宋体"/>
              </w:rPr>
            </w:pPr>
            <w:r>
              <w:rPr>
                <w:rFonts w:ascii="宋体" w:hAnsi="宋体"/>
              </w:rPr>
              <w:t>20</w:t>
            </w:r>
          </w:p>
        </w:tc>
        <w:tc>
          <w:tcPr>
            <w:tcW w:w="1171" w:type="dxa"/>
            <w:vAlign w:val="center"/>
          </w:tcPr>
          <w:p>
            <w:pPr>
              <w:adjustRightInd w:val="0"/>
              <w:snapToGrid w:val="0"/>
              <w:jc w:val="center"/>
              <w:rPr>
                <w:rFonts w:ascii="宋体" w:hAnsi="宋体"/>
              </w:rPr>
            </w:pPr>
            <w:r>
              <w:rPr>
                <w:rFonts w:ascii="宋体" w:hAnsi="宋体"/>
              </w:rPr>
              <w:t>125</w:t>
            </w:r>
          </w:p>
          <w:p>
            <w:pPr>
              <w:adjustRightInd w:val="0"/>
              <w:snapToGrid w:val="0"/>
              <w:jc w:val="center"/>
              <w:rPr>
                <w:rFonts w:ascii="宋体" w:hAnsi="宋体"/>
              </w:rPr>
            </w:pPr>
            <w:r>
              <w:rPr>
                <w:rFonts w:ascii="宋体" w:hAnsi="宋体"/>
              </w:rPr>
              <w:t>100</w:t>
            </w:r>
          </w:p>
          <w:p>
            <w:pPr>
              <w:adjustRightInd w:val="0"/>
              <w:snapToGrid w:val="0"/>
              <w:jc w:val="center"/>
              <w:rPr>
                <w:rFonts w:ascii="宋体" w:hAnsi="宋体"/>
              </w:rPr>
            </w:pPr>
            <w:r>
              <w:rPr>
                <w:rFonts w:ascii="宋体" w:hAnsi="宋体"/>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continue"/>
            <w:vAlign w:val="center"/>
          </w:tcPr>
          <w:p>
            <w:pPr>
              <w:adjustRightInd w:val="0"/>
              <w:snapToGrid w:val="0"/>
              <w:jc w:val="center"/>
              <w:rPr>
                <w:rFonts w:ascii="宋体" w:hAnsi="宋体"/>
              </w:rPr>
            </w:pPr>
          </w:p>
        </w:tc>
        <w:tc>
          <w:tcPr>
            <w:tcW w:w="2577" w:type="dxa"/>
            <w:vMerge w:val="continue"/>
            <w:vAlign w:val="center"/>
          </w:tcPr>
          <w:p>
            <w:pPr>
              <w:adjustRightInd w:val="0"/>
              <w:snapToGrid w:val="0"/>
              <w:jc w:val="center"/>
              <w:rPr>
                <w:rFonts w:ascii="宋体" w:hAnsi="宋体"/>
              </w:rPr>
            </w:pPr>
          </w:p>
        </w:tc>
        <w:tc>
          <w:tcPr>
            <w:tcW w:w="989" w:type="dxa"/>
            <w:vAlign w:val="center"/>
          </w:tcPr>
          <w:p>
            <w:pPr>
              <w:adjustRightInd w:val="0"/>
              <w:snapToGrid w:val="0"/>
              <w:jc w:val="center"/>
              <w:rPr>
                <w:rFonts w:ascii="宋体" w:hAnsi="宋体"/>
              </w:rPr>
            </w:pPr>
            <w:r>
              <w:rPr>
                <w:rFonts w:ascii="宋体" w:hAnsi="宋体"/>
              </w:rPr>
              <w:t>℃</w:t>
            </w:r>
          </w:p>
          <w:p>
            <w:pPr>
              <w:adjustRightInd w:val="0"/>
              <w:snapToGrid w:val="0"/>
              <w:jc w:val="center"/>
              <w:rPr>
                <w:rFonts w:ascii="宋体" w:hAnsi="宋体"/>
              </w:rPr>
            </w:pPr>
            <w:r>
              <w:rPr>
                <w:rFonts w:ascii="宋体" w:hAnsi="宋体"/>
              </w:rPr>
              <w:t>h</w:t>
            </w:r>
          </w:p>
        </w:tc>
        <w:tc>
          <w:tcPr>
            <w:tcW w:w="4889" w:type="dxa"/>
            <w:gridSpan w:val="4"/>
            <w:vAlign w:val="center"/>
          </w:tcPr>
          <w:p>
            <w:pPr>
              <w:adjustRightInd w:val="0"/>
              <w:snapToGrid w:val="0"/>
              <w:jc w:val="center"/>
              <w:rPr>
                <w:rFonts w:ascii="宋体" w:hAnsi="宋体"/>
              </w:rPr>
            </w:pPr>
            <w:r>
              <w:rPr>
                <w:rFonts w:ascii="宋体" w:hAnsi="宋体"/>
              </w:rPr>
              <w:t>10±2</w:t>
            </w:r>
          </w:p>
          <w:p>
            <w:pPr>
              <w:adjustRightInd w:val="0"/>
              <w:snapToGrid w:val="0"/>
              <w:jc w:val="center"/>
              <w:rPr>
                <w:rFonts w:ascii="宋体" w:hAnsi="宋体"/>
              </w:rPr>
            </w:pPr>
            <w:r>
              <w:rPr>
                <w:rFonts w:ascii="宋体" w:hAnsi="宋体"/>
              </w:rPr>
              <w:t>24×10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restart"/>
            <w:vAlign w:val="center"/>
          </w:tcPr>
          <w:p>
            <w:pPr>
              <w:adjustRightInd w:val="0"/>
              <w:snapToGrid w:val="0"/>
              <w:jc w:val="center"/>
              <w:rPr>
                <w:rFonts w:ascii="宋体" w:hAnsi="宋体"/>
              </w:rPr>
            </w:pPr>
            <w:r>
              <w:rPr>
                <w:rFonts w:ascii="宋体" w:hAnsi="宋体"/>
              </w:rPr>
              <w:t>3</w:t>
            </w:r>
          </w:p>
        </w:tc>
        <w:tc>
          <w:tcPr>
            <w:tcW w:w="2577" w:type="dxa"/>
            <w:vMerge w:val="restart"/>
            <w:vAlign w:val="center"/>
          </w:tcPr>
          <w:p>
            <w:pPr>
              <w:adjustRightInd w:val="0"/>
              <w:snapToGrid w:val="0"/>
              <w:jc w:val="center"/>
              <w:rPr>
                <w:rFonts w:ascii="宋体" w:hAnsi="宋体"/>
              </w:rPr>
            </w:pPr>
            <w:r>
              <w:rPr>
                <w:rFonts w:ascii="宋体" w:hAnsi="宋体"/>
              </w:rPr>
              <w:t>热收缩率（最大值）</w:t>
            </w:r>
          </w:p>
          <w:p>
            <w:pPr>
              <w:adjustRightInd w:val="0"/>
              <w:snapToGrid w:val="0"/>
              <w:jc w:val="center"/>
              <w:rPr>
                <w:rFonts w:ascii="宋体" w:hAnsi="宋体"/>
              </w:rPr>
            </w:pPr>
            <w:r>
              <w:rPr>
                <w:rFonts w:ascii="宋体" w:hAnsi="宋体"/>
              </w:rPr>
              <w:t>热老化处理温度</w:t>
            </w:r>
          </w:p>
          <w:p>
            <w:pPr>
              <w:adjustRightInd w:val="0"/>
              <w:snapToGrid w:val="0"/>
              <w:jc w:val="center"/>
              <w:rPr>
                <w:rFonts w:ascii="宋体" w:hAnsi="宋体"/>
              </w:rPr>
            </w:pPr>
            <w:r>
              <w:rPr>
                <w:rFonts w:ascii="宋体" w:hAnsi="宋体"/>
              </w:rPr>
              <w:t>热老化处理时间</w:t>
            </w:r>
          </w:p>
        </w:tc>
        <w:tc>
          <w:tcPr>
            <w:tcW w:w="989" w:type="dxa"/>
            <w:vAlign w:val="center"/>
          </w:tcPr>
          <w:p>
            <w:pPr>
              <w:adjustRightInd w:val="0"/>
              <w:snapToGrid w:val="0"/>
              <w:jc w:val="center"/>
              <w:rPr>
                <w:rFonts w:ascii="宋体" w:hAnsi="宋体"/>
              </w:rPr>
            </w:pPr>
            <w:r>
              <w:rPr>
                <w:rFonts w:ascii="宋体" w:hAnsi="宋体"/>
              </w:rPr>
              <w:t>%</w:t>
            </w:r>
          </w:p>
        </w:tc>
        <w:tc>
          <w:tcPr>
            <w:tcW w:w="4889" w:type="dxa"/>
            <w:gridSpan w:val="4"/>
            <w:vAlign w:val="center"/>
          </w:tcPr>
          <w:p>
            <w:pPr>
              <w:adjustRightInd w:val="0"/>
              <w:snapToGrid w:val="0"/>
              <w:jc w:val="center"/>
              <w:rPr>
                <w:rFonts w:ascii="宋体" w:hAnsi="宋体"/>
              </w:rPr>
            </w:pPr>
            <w:r>
              <w:rPr>
                <w:rFonts w:ascii="宋体" w:hAnsi="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continue"/>
            <w:vAlign w:val="center"/>
          </w:tcPr>
          <w:p>
            <w:pPr>
              <w:adjustRightInd w:val="0"/>
              <w:snapToGrid w:val="0"/>
              <w:jc w:val="center"/>
              <w:rPr>
                <w:rFonts w:ascii="宋体" w:hAnsi="宋体"/>
              </w:rPr>
            </w:pPr>
          </w:p>
        </w:tc>
        <w:tc>
          <w:tcPr>
            <w:tcW w:w="2577" w:type="dxa"/>
            <w:vMerge w:val="continue"/>
            <w:vAlign w:val="center"/>
          </w:tcPr>
          <w:p>
            <w:pPr>
              <w:adjustRightInd w:val="0"/>
              <w:snapToGrid w:val="0"/>
              <w:jc w:val="center"/>
              <w:rPr>
                <w:rFonts w:ascii="宋体" w:hAnsi="宋体"/>
              </w:rPr>
            </w:pPr>
          </w:p>
        </w:tc>
        <w:tc>
          <w:tcPr>
            <w:tcW w:w="989" w:type="dxa"/>
            <w:vMerge w:val="restart"/>
            <w:vAlign w:val="center"/>
          </w:tcPr>
          <w:p>
            <w:pPr>
              <w:adjustRightInd w:val="0"/>
              <w:snapToGrid w:val="0"/>
              <w:jc w:val="center"/>
              <w:rPr>
                <w:rFonts w:ascii="宋体" w:hAnsi="宋体"/>
              </w:rPr>
            </w:pPr>
            <w:r>
              <w:rPr>
                <w:rFonts w:ascii="宋体" w:hAnsi="宋体"/>
              </w:rPr>
              <w:t>℃</w:t>
            </w:r>
          </w:p>
          <w:p>
            <w:pPr>
              <w:adjustRightInd w:val="0"/>
              <w:snapToGrid w:val="0"/>
              <w:jc w:val="center"/>
              <w:rPr>
                <w:rFonts w:ascii="宋体" w:hAnsi="宋体"/>
              </w:rPr>
            </w:pPr>
            <w:r>
              <w:rPr>
                <w:rFonts w:ascii="宋体" w:hAnsi="宋体"/>
              </w:rPr>
              <w:t>h</w:t>
            </w:r>
          </w:p>
        </w:tc>
        <w:tc>
          <w:tcPr>
            <w:tcW w:w="1296" w:type="dxa"/>
            <w:vAlign w:val="center"/>
          </w:tcPr>
          <w:p>
            <w:pPr>
              <w:adjustRightInd w:val="0"/>
              <w:snapToGrid w:val="0"/>
              <w:jc w:val="center"/>
              <w:rPr>
                <w:rFonts w:ascii="宋体" w:hAnsi="宋体"/>
              </w:rPr>
            </w:pPr>
            <w:r>
              <w:rPr>
                <w:rFonts w:ascii="宋体" w:hAnsi="宋体"/>
              </w:rPr>
              <w:t>100±2</w:t>
            </w:r>
          </w:p>
        </w:tc>
        <w:tc>
          <w:tcPr>
            <w:tcW w:w="3593" w:type="dxa"/>
            <w:gridSpan w:val="3"/>
            <w:vAlign w:val="center"/>
          </w:tcPr>
          <w:p>
            <w:pPr>
              <w:adjustRightInd w:val="0"/>
              <w:snapToGrid w:val="0"/>
              <w:jc w:val="center"/>
              <w:rPr>
                <w:rFonts w:ascii="宋体" w:hAnsi="宋体"/>
              </w:rPr>
            </w:pPr>
            <w:r>
              <w:rPr>
                <w:rFonts w:ascii="宋体" w:hAnsi="宋体"/>
              </w:rPr>
              <w:t>115±2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Merge w:val="continue"/>
            <w:vAlign w:val="center"/>
          </w:tcPr>
          <w:p>
            <w:pPr>
              <w:adjustRightInd w:val="0"/>
              <w:snapToGrid w:val="0"/>
              <w:jc w:val="center"/>
              <w:rPr>
                <w:rFonts w:ascii="宋体" w:hAnsi="宋体"/>
              </w:rPr>
            </w:pPr>
          </w:p>
        </w:tc>
        <w:tc>
          <w:tcPr>
            <w:tcW w:w="2577" w:type="dxa"/>
            <w:vMerge w:val="continue"/>
            <w:vAlign w:val="center"/>
          </w:tcPr>
          <w:p>
            <w:pPr>
              <w:adjustRightInd w:val="0"/>
              <w:snapToGrid w:val="0"/>
              <w:jc w:val="center"/>
              <w:rPr>
                <w:rFonts w:ascii="宋体" w:hAnsi="宋体"/>
              </w:rPr>
            </w:pPr>
          </w:p>
        </w:tc>
        <w:tc>
          <w:tcPr>
            <w:tcW w:w="989" w:type="dxa"/>
            <w:vMerge w:val="continue"/>
            <w:vAlign w:val="center"/>
          </w:tcPr>
          <w:p>
            <w:pPr>
              <w:adjustRightInd w:val="0"/>
              <w:snapToGrid w:val="0"/>
              <w:jc w:val="center"/>
              <w:rPr>
                <w:rFonts w:ascii="宋体" w:hAnsi="宋体"/>
              </w:rPr>
            </w:pPr>
          </w:p>
        </w:tc>
        <w:tc>
          <w:tcPr>
            <w:tcW w:w="1296" w:type="dxa"/>
            <w:vAlign w:val="center"/>
          </w:tcPr>
          <w:p>
            <w:pPr>
              <w:adjustRightInd w:val="0"/>
              <w:snapToGrid w:val="0"/>
              <w:jc w:val="center"/>
              <w:rPr>
                <w:rFonts w:ascii="宋体" w:hAnsi="宋体"/>
              </w:rPr>
            </w:pPr>
            <w:r>
              <w:rPr>
                <w:rFonts w:ascii="宋体" w:hAnsi="宋体"/>
              </w:rPr>
              <w:t>4</w:t>
            </w:r>
          </w:p>
        </w:tc>
        <w:tc>
          <w:tcPr>
            <w:tcW w:w="3593" w:type="dxa"/>
            <w:gridSpan w:val="3"/>
            <w:vAlign w:val="center"/>
          </w:tcPr>
          <w:p>
            <w:pPr>
              <w:adjustRightInd w:val="0"/>
              <w:snapToGrid w:val="0"/>
              <w:jc w:val="center"/>
              <w:rPr>
                <w:rFonts w:ascii="宋体" w:hAnsi="宋体"/>
              </w:rPr>
            </w:pPr>
            <w:r>
              <w:rPr>
                <w:rFonts w:ascii="宋体" w:hAnsi="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761" w:type="dxa"/>
            <w:vAlign w:val="center"/>
          </w:tcPr>
          <w:p>
            <w:pPr>
              <w:adjustRightInd w:val="0"/>
              <w:snapToGrid w:val="0"/>
              <w:jc w:val="center"/>
              <w:rPr>
                <w:rFonts w:ascii="宋体" w:hAnsi="宋体"/>
              </w:rPr>
            </w:pPr>
            <w:r>
              <w:rPr>
                <w:rFonts w:ascii="宋体" w:hAnsi="宋体"/>
              </w:rPr>
              <w:t>4</w:t>
            </w:r>
          </w:p>
        </w:tc>
        <w:tc>
          <w:tcPr>
            <w:tcW w:w="2577" w:type="dxa"/>
            <w:vAlign w:val="center"/>
          </w:tcPr>
          <w:p>
            <w:pPr>
              <w:adjustRightInd w:val="0"/>
              <w:snapToGrid w:val="0"/>
              <w:jc w:val="center"/>
              <w:rPr>
                <w:rFonts w:ascii="宋体" w:hAnsi="宋体"/>
              </w:rPr>
            </w:pPr>
            <w:r>
              <w:rPr>
                <w:rFonts w:ascii="宋体" w:hAnsi="宋体"/>
              </w:rPr>
              <w:t>耐环境应力开裂（50℃，96h）</w:t>
            </w:r>
          </w:p>
        </w:tc>
        <w:tc>
          <w:tcPr>
            <w:tcW w:w="989" w:type="dxa"/>
            <w:vAlign w:val="center"/>
          </w:tcPr>
          <w:p>
            <w:pPr>
              <w:adjustRightInd w:val="0"/>
              <w:snapToGrid w:val="0"/>
              <w:jc w:val="center"/>
              <w:rPr>
                <w:rFonts w:ascii="宋体" w:hAnsi="宋体"/>
              </w:rPr>
            </w:pPr>
            <w:r>
              <w:rPr>
                <w:rFonts w:ascii="宋体" w:hAnsi="宋体"/>
              </w:rPr>
              <w:t>个</w:t>
            </w:r>
          </w:p>
        </w:tc>
        <w:tc>
          <w:tcPr>
            <w:tcW w:w="4889" w:type="dxa"/>
            <w:gridSpan w:val="4"/>
            <w:vAlign w:val="center"/>
          </w:tcPr>
          <w:p>
            <w:pPr>
              <w:adjustRightInd w:val="0"/>
              <w:snapToGrid w:val="0"/>
              <w:jc w:val="center"/>
              <w:rPr>
                <w:rFonts w:ascii="宋体" w:hAnsi="宋体"/>
              </w:rPr>
            </w:pPr>
            <w:r>
              <w:rPr>
                <w:rFonts w:ascii="宋体" w:hAnsi="宋体"/>
              </w:rPr>
              <w:t>失效数/试样数：0/10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3" w:hRule="atLeast"/>
          <w:jc w:val="center"/>
        </w:trPr>
        <w:tc>
          <w:tcPr>
            <w:tcW w:w="9216" w:type="dxa"/>
            <w:gridSpan w:val="7"/>
            <w:vAlign w:val="center"/>
          </w:tcPr>
          <w:p>
            <w:pPr>
              <w:adjustRightInd w:val="0"/>
              <w:snapToGrid w:val="0"/>
              <w:jc w:val="center"/>
              <w:rPr>
                <w:rFonts w:ascii="宋体" w:hAnsi="宋体"/>
              </w:rPr>
            </w:pPr>
            <w:r>
              <w:rPr>
                <w:rFonts w:ascii="宋体" w:hAnsi="宋体"/>
              </w:rPr>
              <w:t>注：LLDPE、MDPE、HDPE和ZRPE 分别为线性低密度、中密度、高密度聚乙烯和阻燃聚烯烃的简称。</w:t>
            </w:r>
          </w:p>
        </w:tc>
      </w:tr>
    </w:tbl>
    <w:p>
      <w:pPr>
        <w:adjustRightInd w:val="0"/>
        <w:snapToGrid w:val="0"/>
        <w:spacing w:before="203" w:beforeLines="50" w:after="203" w:afterLines="50"/>
        <w:ind w:firstLine="500" w:firstLineChars="200"/>
        <w:rPr>
          <w:rFonts w:ascii="宋体" w:hAnsi="宋体"/>
        </w:rPr>
      </w:pPr>
      <w:r>
        <w:rPr>
          <w:rFonts w:ascii="宋体" w:hAnsi="宋体"/>
        </w:rPr>
        <w:t>识别色谱</w:t>
      </w:r>
      <w:r>
        <w:rPr>
          <w:rFonts w:hint="eastAsia" w:ascii="宋体" w:hAnsi="宋体"/>
        </w:rPr>
        <w:t>：</w:t>
      </w:r>
      <w:r>
        <w:rPr>
          <w:rFonts w:ascii="宋体" w:hAnsi="宋体"/>
        </w:rPr>
        <w:t>光缆束管及纤芯按国标全色谱分色。</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53"/>
        <w:gridCol w:w="653"/>
        <w:gridCol w:w="653"/>
        <w:gridCol w:w="653"/>
        <w:gridCol w:w="654"/>
        <w:gridCol w:w="654"/>
        <w:gridCol w:w="655"/>
        <w:gridCol w:w="655"/>
        <w:gridCol w:w="655"/>
        <w:gridCol w:w="655"/>
        <w:gridCol w:w="678"/>
        <w:gridCol w:w="658"/>
        <w:gridCol w:w="6"/>
        <w:gridCol w:w="658"/>
        <w:gridCol w:w="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27" w:hRule="atLeast"/>
          <w:jc w:val="center"/>
        </w:trPr>
        <w:tc>
          <w:tcPr>
            <w:tcW w:w="650" w:type="dxa"/>
            <w:vAlign w:val="center"/>
          </w:tcPr>
          <w:p>
            <w:pPr>
              <w:keepNext/>
              <w:adjustRightInd w:val="0"/>
              <w:snapToGrid w:val="0"/>
              <w:jc w:val="center"/>
              <w:rPr>
                <w:rFonts w:ascii="宋体" w:hAnsi="宋体"/>
                <w:b/>
                <w:bCs/>
              </w:rPr>
            </w:pPr>
            <w:r>
              <w:rPr>
                <w:rFonts w:ascii="宋体" w:hAnsi="宋体"/>
                <w:b/>
                <w:bCs/>
              </w:rPr>
              <w:t>序号</w:t>
            </w:r>
          </w:p>
        </w:tc>
        <w:tc>
          <w:tcPr>
            <w:tcW w:w="650" w:type="dxa"/>
            <w:vAlign w:val="center"/>
          </w:tcPr>
          <w:p>
            <w:pPr>
              <w:keepNext/>
              <w:adjustRightInd w:val="0"/>
              <w:snapToGrid w:val="0"/>
              <w:jc w:val="center"/>
              <w:rPr>
                <w:rFonts w:ascii="宋体" w:hAnsi="宋体"/>
                <w:b/>
                <w:bCs/>
              </w:rPr>
            </w:pPr>
            <w:r>
              <w:rPr>
                <w:rFonts w:ascii="宋体" w:hAnsi="宋体"/>
                <w:b/>
                <w:bCs/>
              </w:rPr>
              <w:t>1</w:t>
            </w:r>
          </w:p>
        </w:tc>
        <w:tc>
          <w:tcPr>
            <w:tcW w:w="650" w:type="dxa"/>
            <w:vAlign w:val="center"/>
          </w:tcPr>
          <w:p>
            <w:pPr>
              <w:keepNext/>
              <w:adjustRightInd w:val="0"/>
              <w:snapToGrid w:val="0"/>
              <w:jc w:val="center"/>
              <w:rPr>
                <w:rFonts w:ascii="宋体" w:hAnsi="宋体"/>
                <w:b/>
                <w:bCs/>
              </w:rPr>
            </w:pPr>
            <w:r>
              <w:rPr>
                <w:rFonts w:ascii="宋体" w:hAnsi="宋体"/>
                <w:b/>
                <w:bCs/>
              </w:rPr>
              <w:t>2</w:t>
            </w:r>
          </w:p>
        </w:tc>
        <w:tc>
          <w:tcPr>
            <w:tcW w:w="650" w:type="dxa"/>
            <w:vAlign w:val="center"/>
          </w:tcPr>
          <w:p>
            <w:pPr>
              <w:keepNext/>
              <w:adjustRightInd w:val="0"/>
              <w:snapToGrid w:val="0"/>
              <w:jc w:val="center"/>
              <w:rPr>
                <w:rFonts w:ascii="宋体" w:hAnsi="宋体"/>
                <w:b/>
                <w:bCs/>
              </w:rPr>
            </w:pPr>
            <w:r>
              <w:rPr>
                <w:rFonts w:ascii="宋体" w:hAnsi="宋体"/>
                <w:b/>
                <w:bCs/>
              </w:rPr>
              <w:t>3</w:t>
            </w:r>
          </w:p>
        </w:tc>
        <w:tc>
          <w:tcPr>
            <w:tcW w:w="651" w:type="dxa"/>
            <w:vAlign w:val="center"/>
          </w:tcPr>
          <w:p>
            <w:pPr>
              <w:keepNext/>
              <w:adjustRightInd w:val="0"/>
              <w:snapToGrid w:val="0"/>
              <w:jc w:val="center"/>
              <w:rPr>
                <w:rFonts w:ascii="宋体" w:hAnsi="宋体"/>
                <w:b/>
                <w:bCs/>
              </w:rPr>
            </w:pPr>
            <w:r>
              <w:rPr>
                <w:rFonts w:ascii="宋体" w:hAnsi="宋体"/>
                <w:b/>
                <w:bCs/>
              </w:rPr>
              <w:t>4</w:t>
            </w:r>
          </w:p>
        </w:tc>
        <w:tc>
          <w:tcPr>
            <w:tcW w:w="651" w:type="dxa"/>
            <w:vAlign w:val="center"/>
          </w:tcPr>
          <w:p>
            <w:pPr>
              <w:keepNext/>
              <w:adjustRightInd w:val="0"/>
              <w:snapToGrid w:val="0"/>
              <w:jc w:val="center"/>
              <w:rPr>
                <w:rFonts w:ascii="宋体" w:hAnsi="宋体"/>
                <w:b/>
                <w:bCs/>
              </w:rPr>
            </w:pPr>
            <w:r>
              <w:rPr>
                <w:rFonts w:ascii="宋体" w:hAnsi="宋体"/>
                <w:b/>
                <w:bCs/>
              </w:rPr>
              <w:t>5</w:t>
            </w:r>
          </w:p>
        </w:tc>
        <w:tc>
          <w:tcPr>
            <w:tcW w:w="651" w:type="dxa"/>
            <w:vAlign w:val="center"/>
          </w:tcPr>
          <w:p>
            <w:pPr>
              <w:keepNext/>
              <w:adjustRightInd w:val="0"/>
              <w:snapToGrid w:val="0"/>
              <w:jc w:val="center"/>
              <w:rPr>
                <w:rFonts w:ascii="宋体" w:hAnsi="宋体"/>
                <w:b/>
                <w:bCs/>
              </w:rPr>
            </w:pPr>
            <w:r>
              <w:rPr>
                <w:rFonts w:ascii="宋体" w:hAnsi="宋体"/>
                <w:b/>
                <w:bCs/>
              </w:rPr>
              <w:t>6</w:t>
            </w:r>
          </w:p>
        </w:tc>
        <w:tc>
          <w:tcPr>
            <w:tcW w:w="651" w:type="dxa"/>
            <w:vAlign w:val="center"/>
          </w:tcPr>
          <w:p>
            <w:pPr>
              <w:keepNext/>
              <w:adjustRightInd w:val="0"/>
              <w:snapToGrid w:val="0"/>
              <w:jc w:val="center"/>
              <w:rPr>
                <w:rFonts w:ascii="宋体" w:hAnsi="宋体"/>
                <w:b/>
                <w:bCs/>
              </w:rPr>
            </w:pPr>
            <w:r>
              <w:rPr>
                <w:rFonts w:ascii="宋体" w:hAnsi="宋体"/>
                <w:b/>
                <w:bCs/>
              </w:rPr>
              <w:t>7</w:t>
            </w:r>
          </w:p>
        </w:tc>
        <w:tc>
          <w:tcPr>
            <w:tcW w:w="651" w:type="dxa"/>
            <w:vAlign w:val="center"/>
          </w:tcPr>
          <w:p>
            <w:pPr>
              <w:keepNext/>
              <w:adjustRightInd w:val="0"/>
              <w:snapToGrid w:val="0"/>
              <w:jc w:val="center"/>
              <w:rPr>
                <w:rFonts w:ascii="宋体" w:hAnsi="宋体"/>
                <w:b/>
                <w:bCs/>
              </w:rPr>
            </w:pPr>
            <w:r>
              <w:rPr>
                <w:rFonts w:ascii="宋体" w:hAnsi="宋体"/>
                <w:b/>
                <w:bCs/>
              </w:rPr>
              <w:t>8</w:t>
            </w:r>
          </w:p>
        </w:tc>
        <w:tc>
          <w:tcPr>
            <w:tcW w:w="651" w:type="dxa"/>
            <w:vAlign w:val="center"/>
          </w:tcPr>
          <w:p>
            <w:pPr>
              <w:keepNext/>
              <w:adjustRightInd w:val="0"/>
              <w:snapToGrid w:val="0"/>
              <w:jc w:val="center"/>
              <w:rPr>
                <w:rFonts w:ascii="宋体" w:hAnsi="宋体"/>
                <w:b/>
                <w:bCs/>
              </w:rPr>
            </w:pPr>
            <w:r>
              <w:rPr>
                <w:rFonts w:ascii="宋体" w:hAnsi="宋体"/>
                <w:b/>
                <w:bCs/>
              </w:rPr>
              <w:t>9</w:t>
            </w:r>
          </w:p>
        </w:tc>
        <w:tc>
          <w:tcPr>
            <w:tcW w:w="674" w:type="dxa"/>
            <w:vAlign w:val="center"/>
          </w:tcPr>
          <w:p>
            <w:pPr>
              <w:keepNext/>
              <w:adjustRightInd w:val="0"/>
              <w:snapToGrid w:val="0"/>
              <w:jc w:val="center"/>
              <w:rPr>
                <w:rFonts w:ascii="宋体" w:hAnsi="宋体"/>
                <w:b/>
                <w:bCs/>
              </w:rPr>
            </w:pPr>
            <w:r>
              <w:rPr>
                <w:rFonts w:ascii="宋体" w:hAnsi="宋体"/>
                <w:b/>
                <w:bCs/>
              </w:rPr>
              <w:t>10</w:t>
            </w:r>
          </w:p>
        </w:tc>
        <w:tc>
          <w:tcPr>
            <w:tcW w:w="660" w:type="dxa"/>
            <w:gridSpan w:val="2"/>
            <w:vAlign w:val="center"/>
          </w:tcPr>
          <w:p>
            <w:pPr>
              <w:keepNext/>
              <w:adjustRightInd w:val="0"/>
              <w:snapToGrid w:val="0"/>
              <w:jc w:val="center"/>
              <w:rPr>
                <w:rFonts w:ascii="宋体" w:hAnsi="宋体"/>
                <w:b/>
                <w:bCs/>
              </w:rPr>
            </w:pPr>
            <w:r>
              <w:rPr>
                <w:rFonts w:ascii="宋体" w:hAnsi="宋体"/>
                <w:b/>
                <w:bCs/>
              </w:rPr>
              <w:t>11</w:t>
            </w:r>
          </w:p>
        </w:tc>
        <w:tc>
          <w:tcPr>
            <w:tcW w:w="674" w:type="dxa"/>
            <w:gridSpan w:val="2"/>
            <w:vAlign w:val="center"/>
          </w:tcPr>
          <w:p>
            <w:pPr>
              <w:keepNext/>
              <w:adjustRightInd w:val="0"/>
              <w:snapToGrid w:val="0"/>
              <w:jc w:val="center"/>
              <w:rPr>
                <w:rFonts w:ascii="宋体" w:hAnsi="宋体"/>
                <w:b/>
                <w:bCs/>
              </w:rPr>
            </w:pPr>
            <w:r>
              <w:rPr>
                <w:rFonts w:ascii="宋体" w:hAnsi="宋体"/>
                <w:b/>
                <w:bCs/>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20" w:type="dxa"/>
          <w:cantSplit/>
          <w:trHeight w:val="227" w:hRule="atLeast"/>
          <w:jc w:val="center"/>
        </w:trPr>
        <w:tc>
          <w:tcPr>
            <w:tcW w:w="650" w:type="dxa"/>
            <w:vAlign w:val="center"/>
          </w:tcPr>
          <w:p>
            <w:pPr>
              <w:adjustRightInd w:val="0"/>
              <w:snapToGrid w:val="0"/>
              <w:jc w:val="center"/>
              <w:rPr>
                <w:rFonts w:ascii="宋体" w:hAnsi="宋体"/>
              </w:rPr>
            </w:pPr>
            <w:r>
              <w:rPr>
                <w:rFonts w:ascii="宋体" w:hAnsi="宋体"/>
              </w:rPr>
              <w:t>颜色</w:t>
            </w:r>
          </w:p>
        </w:tc>
        <w:tc>
          <w:tcPr>
            <w:tcW w:w="650" w:type="dxa"/>
            <w:vAlign w:val="center"/>
          </w:tcPr>
          <w:p>
            <w:pPr>
              <w:adjustRightInd w:val="0"/>
              <w:snapToGrid w:val="0"/>
              <w:jc w:val="center"/>
              <w:rPr>
                <w:rFonts w:ascii="宋体" w:hAnsi="宋体"/>
              </w:rPr>
            </w:pPr>
            <w:r>
              <w:rPr>
                <w:rFonts w:ascii="宋体" w:hAnsi="宋体"/>
              </w:rPr>
              <w:t>蓝</w:t>
            </w:r>
          </w:p>
        </w:tc>
        <w:tc>
          <w:tcPr>
            <w:tcW w:w="650" w:type="dxa"/>
            <w:vAlign w:val="center"/>
          </w:tcPr>
          <w:p>
            <w:pPr>
              <w:adjustRightInd w:val="0"/>
              <w:snapToGrid w:val="0"/>
              <w:jc w:val="center"/>
              <w:rPr>
                <w:rFonts w:ascii="宋体" w:hAnsi="宋体"/>
              </w:rPr>
            </w:pPr>
            <w:r>
              <w:rPr>
                <w:rFonts w:ascii="宋体" w:hAnsi="宋体"/>
              </w:rPr>
              <w:t>橙</w:t>
            </w:r>
          </w:p>
        </w:tc>
        <w:tc>
          <w:tcPr>
            <w:tcW w:w="650" w:type="dxa"/>
            <w:vAlign w:val="center"/>
          </w:tcPr>
          <w:p>
            <w:pPr>
              <w:adjustRightInd w:val="0"/>
              <w:snapToGrid w:val="0"/>
              <w:jc w:val="center"/>
              <w:rPr>
                <w:rFonts w:ascii="宋体" w:hAnsi="宋体"/>
              </w:rPr>
            </w:pPr>
            <w:r>
              <w:rPr>
                <w:rFonts w:ascii="宋体" w:hAnsi="宋体"/>
              </w:rPr>
              <w:t>绿</w:t>
            </w:r>
          </w:p>
        </w:tc>
        <w:tc>
          <w:tcPr>
            <w:tcW w:w="651" w:type="dxa"/>
            <w:vAlign w:val="center"/>
          </w:tcPr>
          <w:p>
            <w:pPr>
              <w:adjustRightInd w:val="0"/>
              <w:snapToGrid w:val="0"/>
              <w:jc w:val="center"/>
              <w:rPr>
                <w:rFonts w:ascii="宋体" w:hAnsi="宋体"/>
              </w:rPr>
            </w:pPr>
            <w:r>
              <w:rPr>
                <w:rFonts w:ascii="宋体" w:hAnsi="宋体"/>
              </w:rPr>
              <w:t>棕</w:t>
            </w:r>
          </w:p>
        </w:tc>
        <w:tc>
          <w:tcPr>
            <w:tcW w:w="651" w:type="dxa"/>
            <w:vAlign w:val="center"/>
          </w:tcPr>
          <w:p>
            <w:pPr>
              <w:adjustRightInd w:val="0"/>
              <w:snapToGrid w:val="0"/>
              <w:jc w:val="center"/>
              <w:rPr>
                <w:rFonts w:ascii="宋体" w:hAnsi="宋体"/>
              </w:rPr>
            </w:pPr>
            <w:r>
              <w:rPr>
                <w:rFonts w:ascii="宋体" w:hAnsi="宋体"/>
              </w:rPr>
              <w:t>灰</w:t>
            </w:r>
          </w:p>
        </w:tc>
        <w:tc>
          <w:tcPr>
            <w:tcW w:w="651" w:type="dxa"/>
            <w:vAlign w:val="center"/>
          </w:tcPr>
          <w:p>
            <w:pPr>
              <w:adjustRightInd w:val="0"/>
              <w:snapToGrid w:val="0"/>
              <w:jc w:val="center"/>
              <w:rPr>
                <w:rFonts w:ascii="宋体" w:hAnsi="宋体"/>
              </w:rPr>
            </w:pPr>
            <w:r>
              <w:rPr>
                <w:rFonts w:ascii="宋体" w:hAnsi="宋体"/>
              </w:rPr>
              <w:t>白</w:t>
            </w:r>
          </w:p>
        </w:tc>
        <w:tc>
          <w:tcPr>
            <w:tcW w:w="651" w:type="dxa"/>
            <w:vAlign w:val="center"/>
          </w:tcPr>
          <w:p>
            <w:pPr>
              <w:adjustRightInd w:val="0"/>
              <w:snapToGrid w:val="0"/>
              <w:jc w:val="center"/>
              <w:rPr>
                <w:rFonts w:ascii="宋体" w:hAnsi="宋体"/>
              </w:rPr>
            </w:pPr>
            <w:r>
              <w:rPr>
                <w:rFonts w:ascii="宋体" w:hAnsi="宋体"/>
              </w:rPr>
              <w:t>红</w:t>
            </w:r>
          </w:p>
        </w:tc>
        <w:tc>
          <w:tcPr>
            <w:tcW w:w="651" w:type="dxa"/>
            <w:vAlign w:val="center"/>
          </w:tcPr>
          <w:p>
            <w:pPr>
              <w:adjustRightInd w:val="0"/>
              <w:snapToGrid w:val="0"/>
              <w:jc w:val="center"/>
              <w:rPr>
                <w:rFonts w:ascii="宋体" w:hAnsi="宋体"/>
              </w:rPr>
            </w:pPr>
            <w:r>
              <w:rPr>
                <w:rFonts w:ascii="宋体" w:hAnsi="宋体"/>
              </w:rPr>
              <w:t>黑</w:t>
            </w:r>
          </w:p>
        </w:tc>
        <w:tc>
          <w:tcPr>
            <w:tcW w:w="651" w:type="dxa"/>
            <w:vAlign w:val="center"/>
          </w:tcPr>
          <w:p>
            <w:pPr>
              <w:adjustRightInd w:val="0"/>
              <w:snapToGrid w:val="0"/>
              <w:jc w:val="center"/>
              <w:rPr>
                <w:rFonts w:ascii="宋体" w:hAnsi="宋体"/>
              </w:rPr>
            </w:pPr>
            <w:r>
              <w:rPr>
                <w:rFonts w:ascii="宋体" w:hAnsi="宋体"/>
              </w:rPr>
              <w:t>黄</w:t>
            </w:r>
          </w:p>
        </w:tc>
        <w:tc>
          <w:tcPr>
            <w:tcW w:w="674" w:type="dxa"/>
            <w:vAlign w:val="center"/>
          </w:tcPr>
          <w:p>
            <w:pPr>
              <w:adjustRightInd w:val="0"/>
              <w:snapToGrid w:val="0"/>
              <w:jc w:val="center"/>
              <w:rPr>
                <w:rFonts w:ascii="宋体" w:hAnsi="宋体"/>
              </w:rPr>
            </w:pPr>
            <w:r>
              <w:rPr>
                <w:rFonts w:ascii="宋体" w:hAnsi="宋体"/>
              </w:rPr>
              <w:t>紫</w:t>
            </w:r>
          </w:p>
        </w:tc>
        <w:tc>
          <w:tcPr>
            <w:tcW w:w="654" w:type="dxa"/>
            <w:vAlign w:val="center"/>
          </w:tcPr>
          <w:p>
            <w:pPr>
              <w:adjustRightInd w:val="0"/>
              <w:snapToGrid w:val="0"/>
              <w:jc w:val="center"/>
              <w:rPr>
                <w:rFonts w:ascii="宋体" w:hAnsi="宋体"/>
              </w:rPr>
            </w:pPr>
            <w:r>
              <w:rPr>
                <w:rFonts w:ascii="宋体" w:hAnsi="宋体"/>
              </w:rPr>
              <w:t>粉红</w:t>
            </w:r>
          </w:p>
        </w:tc>
        <w:tc>
          <w:tcPr>
            <w:tcW w:w="660" w:type="dxa"/>
            <w:gridSpan w:val="2"/>
            <w:vAlign w:val="center"/>
          </w:tcPr>
          <w:p>
            <w:pPr>
              <w:adjustRightInd w:val="0"/>
              <w:snapToGrid w:val="0"/>
              <w:jc w:val="center"/>
              <w:rPr>
                <w:rFonts w:ascii="宋体" w:hAnsi="宋体"/>
              </w:rPr>
            </w:pPr>
            <w:r>
              <w:rPr>
                <w:rFonts w:ascii="宋体" w:hAnsi="宋体"/>
              </w:rPr>
              <w:t>浅兰</w:t>
            </w:r>
          </w:p>
        </w:tc>
      </w:tr>
    </w:tbl>
    <w:p>
      <w:pPr>
        <w:adjustRightInd w:val="0"/>
        <w:snapToGrid w:val="0"/>
        <w:spacing w:before="203" w:beforeLines="50" w:after="203" w:afterLines="50"/>
        <w:ind w:firstLine="500" w:firstLineChars="200"/>
        <w:rPr>
          <w:rFonts w:ascii="宋体" w:hAnsi="宋体"/>
        </w:rPr>
      </w:pPr>
      <w:r>
        <w:rPr>
          <w:rFonts w:ascii="宋体" w:hAnsi="宋体"/>
        </w:rPr>
        <w:t>光缆结构：PE护套-双面涂塑钢带-阻水纱-缆芯填充物-加强件-松套管-套管填充物-光纤</w:t>
      </w:r>
    </w:p>
    <w:p>
      <w:pPr>
        <w:adjustRightInd w:val="0"/>
        <w:snapToGrid w:val="0"/>
        <w:spacing w:before="203" w:beforeLines="50" w:after="203" w:afterLines="50"/>
        <w:ind w:firstLine="500" w:firstLineChars="200"/>
        <w:rPr>
          <w:rFonts w:ascii="宋体" w:hAnsi="宋体"/>
        </w:rPr>
      </w:pPr>
      <w:r>
        <w:rPr>
          <w:rFonts w:ascii="宋体" w:hAnsi="宋体"/>
        </w:rPr>
        <w:t>（1）光缆材料</w:t>
      </w:r>
      <w:r>
        <w:rPr>
          <w:rFonts w:hint="eastAsia" w:ascii="宋体" w:hAnsi="宋体"/>
        </w:rPr>
        <w:t>：</w:t>
      </w:r>
      <w:r>
        <w:rPr>
          <w:rFonts w:ascii="宋体" w:hAnsi="宋体"/>
        </w:rPr>
        <w:t>光缆中所有原材料均经过进厂测试，检验合格后才投入使用，主要原材料详见施工图。</w:t>
      </w:r>
    </w:p>
    <w:p>
      <w:pPr>
        <w:adjustRightInd w:val="0"/>
        <w:snapToGrid w:val="0"/>
        <w:spacing w:before="203" w:beforeLines="50" w:after="203" w:afterLines="50"/>
        <w:ind w:firstLine="500" w:firstLineChars="200"/>
        <w:rPr>
          <w:rFonts w:ascii="宋体" w:hAnsi="宋体"/>
        </w:rPr>
      </w:pPr>
      <w:r>
        <w:rPr>
          <w:rFonts w:ascii="宋体" w:hAnsi="宋体"/>
        </w:rPr>
        <w:t>（2）缆芯</w:t>
      </w:r>
      <w:r>
        <w:rPr>
          <w:rFonts w:hint="eastAsia" w:ascii="宋体" w:hAnsi="宋体"/>
        </w:rPr>
        <w:t>：</w:t>
      </w:r>
      <w:r>
        <w:rPr>
          <w:rFonts w:ascii="宋体" w:hAnsi="宋体"/>
        </w:rPr>
        <w:t>光纤着色：颜色不迁移、不褪色（用酒精擦拭也不褪色）。</w:t>
      </w:r>
    </w:p>
    <w:p>
      <w:pPr>
        <w:adjustRightInd w:val="0"/>
        <w:snapToGrid w:val="0"/>
        <w:spacing w:before="203" w:beforeLines="50" w:after="203" w:afterLines="50"/>
        <w:ind w:firstLine="500" w:firstLineChars="200"/>
        <w:rPr>
          <w:rFonts w:ascii="宋体" w:hAnsi="宋体"/>
        </w:rPr>
      </w:pPr>
      <w:r>
        <w:rPr>
          <w:rFonts w:ascii="宋体" w:hAnsi="宋体"/>
        </w:rPr>
        <w:t>松套层绞填充式，每松套管内设4--12芯光纤。（例如24芯为2×12）</w:t>
      </w:r>
    </w:p>
    <w:p>
      <w:pPr>
        <w:adjustRightInd w:val="0"/>
        <w:snapToGrid w:val="0"/>
        <w:spacing w:before="203" w:beforeLines="50" w:after="203" w:afterLines="50"/>
        <w:ind w:firstLine="500" w:firstLineChars="200"/>
        <w:rPr>
          <w:rFonts w:ascii="宋体" w:hAnsi="宋体"/>
        </w:rPr>
      </w:pPr>
      <w:bookmarkStart w:id="7382" w:name="_Toc106050633"/>
      <w:r>
        <w:rPr>
          <w:rFonts w:ascii="宋体" w:hAnsi="宋体"/>
        </w:rPr>
        <w:t>（3）护套</w:t>
      </w:r>
      <w:bookmarkEnd w:id="7382"/>
    </w:p>
    <w:p>
      <w:pPr>
        <w:adjustRightInd w:val="0"/>
        <w:snapToGrid w:val="0"/>
        <w:spacing w:before="203" w:beforeLines="50" w:after="203" w:afterLines="50"/>
        <w:ind w:firstLine="500" w:firstLineChars="200"/>
        <w:rPr>
          <w:rFonts w:ascii="宋体" w:hAnsi="宋体"/>
        </w:rPr>
      </w:pPr>
      <w:r>
        <w:rPr>
          <w:rFonts w:ascii="宋体" w:hAnsi="宋体"/>
        </w:rPr>
        <w:t>护套： PE外护套+双面涂塑钢带，双面涂塑轧纹钢带的厚度≥ 0.15mm，外护套标称厚度应为≥1.8mm。</w:t>
      </w:r>
    </w:p>
    <w:p>
      <w:pPr>
        <w:adjustRightInd w:val="0"/>
        <w:snapToGrid w:val="0"/>
        <w:spacing w:before="203" w:beforeLines="50" w:after="203" w:afterLines="50"/>
        <w:ind w:firstLine="500" w:firstLineChars="200"/>
        <w:rPr>
          <w:rFonts w:ascii="宋体" w:hAnsi="宋体"/>
        </w:rPr>
      </w:pPr>
      <w:r>
        <w:rPr>
          <w:rFonts w:ascii="宋体" w:hAnsi="宋体"/>
        </w:rPr>
        <w:t>外护套应紧密,表面应圆整光滑,其横断面无肉眼可见的砂眼,裂缝。</w:t>
      </w:r>
    </w:p>
    <w:p>
      <w:pPr>
        <w:adjustRightInd w:val="0"/>
        <w:snapToGrid w:val="0"/>
        <w:spacing w:before="203" w:beforeLines="50" w:after="203" w:afterLines="50"/>
        <w:ind w:firstLine="500" w:firstLineChars="200"/>
        <w:rPr>
          <w:rFonts w:ascii="宋体" w:hAnsi="宋体"/>
        </w:rPr>
      </w:pPr>
      <w:r>
        <w:rPr>
          <w:rFonts w:ascii="宋体" w:hAnsi="宋体"/>
        </w:rPr>
        <w:t>金属加强构件直径≥1.8mm，光纤束管壁厚≥0.3mm。</w:t>
      </w:r>
    </w:p>
    <w:p>
      <w:pPr>
        <w:adjustRightInd w:val="0"/>
        <w:snapToGrid w:val="0"/>
        <w:spacing w:before="203" w:beforeLines="50" w:after="203" w:afterLines="50"/>
        <w:ind w:firstLine="500" w:firstLineChars="200"/>
        <w:rPr>
          <w:rFonts w:ascii="宋体" w:hAnsi="宋体"/>
        </w:rPr>
      </w:pPr>
      <w:r>
        <w:rPr>
          <w:rFonts w:ascii="宋体" w:hAnsi="宋体"/>
        </w:rPr>
        <w:t>其他性能指标及要求</w:t>
      </w:r>
    </w:p>
    <w:p>
      <w:pPr>
        <w:adjustRightInd w:val="0"/>
        <w:snapToGrid w:val="0"/>
        <w:spacing w:before="203" w:beforeLines="50" w:after="203" w:afterLines="50"/>
        <w:ind w:firstLine="500" w:firstLineChars="200"/>
        <w:rPr>
          <w:rFonts w:ascii="宋体" w:hAnsi="宋体"/>
        </w:rPr>
      </w:pPr>
      <w:r>
        <w:rPr>
          <w:rFonts w:ascii="宋体" w:hAnsi="宋体"/>
        </w:rPr>
        <w:t>（1）光缆的外径和重量（不小于）</w:t>
      </w:r>
    </w:p>
    <w:p>
      <w:pPr>
        <w:adjustRightInd w:val="0"/>
        <w:snapToGrid w:val="0"/>
        <w:spacing w:before="203" w:beforeLines="50" w:after="203" w:afterLines="50"/>
        <w:ind w:firstLine="500" w:firstLineChars="200"/>
        <w:rPr>
          <w:rFonts w:hint="eastAsia" w:ascii="宋体" w:hAnsi="宋体" w:eastAsia="宋体"/>
          <w:lang w:eastAsia="zh-CN"/>
        </w:rPr>
      </w:pPr>
      <w:r>
        <w:rPr>
          <w:rFonts w:ascii="宋体" w:hAnsi="宋体"/>
        </w:rPr>
        <w:t xml:space="preserve">光纤数量（芯）   4-30   32-36   38-60  62-72  </w:t>
      </w:r>
    </w:p>
    <w:p>
      <w:pPr>
        <w:adjustRightInd w:val="0"/>
        <w:snapToGrid w:val="0"/>
        <w:spacing w:before="203" w:beforeLines="50" w:after="203" w:afterLines="50"/>
        <w:ind w:firstLine="500" w:firstLineChars="200"/>
        <w:rPr>
          <w:rFonts w:hint="eastAsia" w:ascii="宋体" w:hAnsi="宋体" w:eastAsia="宋体"/>
          <w:lang w:eastAsia="zh-CN"/>
        </w:rPr>
      </w:pPr>
      <w:r>
        <w:rPr>
          <w:rFonts w:ascii="宋体" w:hAnsi="宋体"/>
        </w:rPr>
        <w:t xml:space="preserve">光缆外径（mm）   9.6    10.2     11.5   12    </w:t>
      </w:r>
    </w:p>
    <w:p>
      <w:pPr>
        <w:adjustRightInd w:val="0"/>
        <w:snapToGrid w:val="0"/>
        <w:spacing w:before="203" w:beforeLines="50" w:after="203" w:afterLines="50"/>
        <w:ind w:firstLine="500" w:firstLineChars="200"/>
        <w:rPr>
          <w:rFonts w:ascii="宋体" w:hAnsi="宋体"/>
        </w:rPr>
      </w:pPr>
      <w:r>
        <w:rPr>
          <w:rFonts w:ascii="宋体" w:hAnsi="宋体"/>
        </w:rPr>
        <w:t>光缆重量（kg/km）100    115      144    170</w:t>
      </w:r>
    </w:p>
    <w:p>
      <w:pPr>
        <w:adjustRightInd w:val="0"/>
        <w:snapToGrid w:val="0"/>
        <w:spacing w:before="203" w:beforeLines="50" w:after="203" w:afterLines="50"/>
        <w:ind w:firstLine="500" w:firstLineChars="200"/>
        <w:rPr>
          <w:rFonts w:ascii="宋体" w:hAnsi="宋体"/>
        </w:rPr>
      </w:pPr>
      <w:r>
        <w:rPr>
          <w:rFonts w:ascii="宋体" w:hAnsi="宋体"/>
        </w:rPr>
        <w:t>（2）光缆允许弯曲半径</w:t>
      </w:r>
      <w:r>
        <w:rPr>
          <w:rFonts w:hint="eastAsia" w:ascii="宋体" w:hAnsi="宋体"/>
        </w:rPr>
        <w:t>：</w:t>
      </w:r>
      <w:r>
        <w:rPr>
          <w:rFonts w:ascii="宋体" w:hAnsi="宋体"/>
        </w:rPr>
        <w:t>光缆在敷设时允许弯曲半径为光缆外径的20倍，不受力时允许弯曲半径为光缆外径的10倍。</w:t>
      </w:r>
    </w:p>
    <w:p>
      <w:pPr>
        <w:adjustRightInd w:val="0"/>
        <w:snapToGrid w:val="0"/>
        <w:spacing w:before="203" w:beforeLines="50" w:after="203" w:afterLines="50"/>
        <w:ind w:firstLine="500" w:firstLineChars="200"/>
        <w:rPr>
          <w:rFonts w:ascii="宋体" w:hAnsi="宋体"/>
        </w:rPr>
      </w:pPr>
      <w:r>
        <w:rPr>
          <w:rFonts w:ascii="宋体" w:hAnsi="宋体"/>
        </w:rPr>
        <w:t>（3）光缆预期使用寿命&gt;25年</w:t>
      </w:r>
    </w:p>
    <w:p>
      <w:pPr>
        <w:adjustRightInd w:val="0"/>
        <w:snapToGrid w:val="0"/>
        <w:spacing w:before="203" w:beforeLines="50" w:after="203" w:afterLines="50"/>
        <w:ind w:firstLine="500" w:firstLineChars="200"/>
        <w:rPr>
          <w:rFonts w:ascii="宋体" w:hAnsi="宋体"/>
        </w:rPr>
      </w:pPr>
      <w:r>
        <w:rPr>
          <w:rFonts w:ascii="宋体" w:hAnsi="宋体"/>
        </w:rPr>
        <w:t>（4）光缆的标准盘长</w:t>
      </w:r>
    </w:p>
    <w:p>
      <w:pPr>
        <w:adjustRightInd w:val="0"/>
        <w:snapToGrid w:val="0"/>
        <w:spacing w:before="203" w:beforeLines="50" w:after="203" w:afterLines="50"/>
        <w:ind w:firstLine="500" w:firstLineChars="200"/>
        <w:rPr>
          <w:rFonts w:ascii="宋体" w:hAnsi="宋体"/>
        </w:rPr>
      </w:pPr>
      <w:r>
        <w:rPr>
          <w:rFonts w:ascii="宋体" w:hAnsi="宋体"/>
        </w:rPr>
        <w:t>单盘光缆的标准盘长为2000m。</w:t>
      </w:r>
    </w:p>
    <w:p>
      <w:pPr>
        <w:adjustRightInd w:val="0"/>
        <w:snapToGrid w:val="0"/>
        <w:spacing w:before="203" w:beforeLines="50" w:after="203" w:afterLines="50"/>
        <w:ind w:firstLine="500" w:firstLineChars="200"/>
        <w:rPr>
          <w:rFonts w:ascii="宋体" w:hAnsi="宋体"/>
        </w:rPr>
      </w:pPr>
      <w:r>
        <w:rPr>
          <w:rFonts w:ascii="宋体" w:hAnsi="宋体"/>
        </w:rPr>
        <w:t>光缆交货要求</w:t>
      </w:r>
    </w:p>
    <w:p>
      <w:pPr>
        <w:adjustRightInd w:val="0"/>
        <w:snapToGrid w:val="0"/>
        <w:spacing w:before="203" w:beforeLines="50" w:after="203" w:afterLines="50"/>
        <w:ind w:firstLine="500" w:firstLineChars="200"/>
        <w:rPr>
          <w:rFonts w:ascii="宋体" w:hAnsi="宋体"/>
        </w:rPr>
      </w:pPr>
      <w:r>
        <w:rPr>
          <w:rFonts w:ascii="宋体" w:hAnsi="宋体"/>
        </w:rPr>
        <w:t>所有光缆均应按盘交货。且必须加固以防止敷设时产生损坏。</w:t>
      </w:r>
    </w:p>
    <w:p>
      <w:pPr>
        <w:adjustRightInd w:val="0"/>
        <w:snapToGrid w:val="0"/>
        <w:spacing w:before="203" w:beforeLines="50" w:after="203" w:afterLines="50"/>
        <w:ind w:firstLine="500" w:firstLineChars="200"/>
        <w:rPr>
          <w:rFonts w:ascii="宋体" w:hAnsi="宋体"/>
        </w:rPr>
      </w:pPr>
      <w:r>
        <w:rPr>
          <w:rFonts w:ascii="宋体" w:hAnsi="宋体"/>
        </w:rPr>
        <w:t>光缆两端应密封和具有表示端别的颜色标志，A端为红色，B端为绿色。并且，光缆两端应固定在光缆盘内，其内端应预留可移出长度不少于3m的光缆，以供测试之用。</w:t>
      </w:r>
    </w:p>
    <w:p>
      <w:pPr>
        <w:adjustRightInd w:val="0"/>
        <w:snapToGrid w:val="0"/>
        <w:spacing w:before="203" w:beforeLines="50" w:after="203" w:afterLines="50"/>
        <w:ind w:firstLine="500" w:firstLineChars="200"/>
        <w:rPr>
          <w:rFonts w:ascii="宋体" w:hAnsi="宋体"/>
        </w:rPr>
      </w:pPr>
      <w:r>
        <w:rPr>
          <w:rFonts w:ascii="宋体" w:hAnsi="宋体"/>
        </w:rPr>
        <w:t>每盘光缆应具有金属或其它耐磨材料制作的符号，表明厂名、年份、光缆类型、光缆长度（以米为单位）、毛重、光缆外径、光缆重量及光缆最小允许弯曲半径。</w:t>
      </w:r>
    </w:p>
    <w:p>
      <w:pPr>
        <w:adjustRightInd w:val="0"/>
        <w:snapToGrid w:val="0"/>
        <w:spacing w:before="203" w:beforeLines="50" w:after="203" w:afterLines="50"/>
        <w:ind w:firstLine="500" w:firstLineChars="200"/>
        <w:rPr>
          <w:rFonts w:ascii="宋体" w:hAnsi="宋体"/>
        </w:rPr>
      </w:pPr>
      <w:r>
        <w:rPr>
          <w:rFonts w:ascii="宋体" w:hAnsi="宋体"/>
        </w:rPr>
        <w:t>供货方应同时提供该盘光缆中所有光纤在1310nm处的衰减值和模场直径、折射率的标称值。</w:t>
      </w:r>
    </w:p>
    <w:p>
      <w:pPr>
        <w:adjustRightInd w:val="0"/>
        <w:snapToGrid w:val="0"/>
        <w:spacing w:before="203" w:beforeLines="50" w:after="203" w:afterLines="50"/>
        <w:ind w:firstLine="500" w:firstLineChars="200"/>
        <w:rPr>
          <w:rFonts w:ascii="宋体" w:hAnsi="宋体"/>
        </w:rPr>
      </w:pPr>
      <w:r>
        <w:rPr>
          <w:rFonts w:ascii="宋体" w:hAnsi="宋体"/>
        </w:rPr>
        <w:t>光缆外护层上应以1米间隔印出以下内容：</w:t>
      </w:r>
    </w:p>
    <w:p>
      <w:pPr>
        <w:adjustRightInd w:val="0"/>
        <w:snapToGrid w:val="0"/>
        <w:spacing w:before="203" w:beforeLines="50" w:after="203" w:afterLines="50"/>
        <w:ind w:firstLine="500" w:firstLineChars="200"/>
        <w:rPr>
          <w:rFonts w:ascii="宋体" w:hAnsi="宋体"/>
        </w:rPr>
      </w:pPr>
      <w:r>
        <w:rPr>
          <w:rFonts w:ascii="宋体" w:hAnsi="宋体"/>
        </w:rPr>
        <w:t>（1）纵长米</w:t>
      </w:r>
    </w:p>
    <w:p>
      <w:pPr>
        <w:adjustRightInd w:val="0"/>
        <w:snapToGrid w:val="0"/>
        <w:spacing w:before="203" w:beforeLines="50" w:after="203" w:afterLines="50"/>
        <w:ind w:firstLine="500" w:firstLineChars="200"/>
        <w:rPr>
          <w:rFonts w:ascii="宋体" w:hAnsi="宋体"/>
        </w:rPr>
      </w:pPr>
      <w:r>
        <w:rPr>
          <w:rFonts w:ascii="宋体" w:hAnsi="宋体"/>
        </w:rPr>
        <w:t>（2）光纤数量和类型</w:t>
      </w:r>
    </w:p>
    <w:p>
      <w:pPr>
        <w:adjustRightInd w:val="0"/>
        <w:snapToGrid w:val="0"/>
        <w:spacing w:before="203" w:beforeLines="50" w:after="203" w:afterLines="50"/>
        <w:ind w:firstLine="500" w:firstLineChars="200"/>
        <w:rPr>
          <w:rFonts w:ascii="宋体" w:hAnsi="宋体"/>
        </w:rPr>
      </w:pPr>
      <w:r>
        <w:rPr>
          <w:rFonts w:ascii="宋体" w:hAnsi="宋体"/>
        </w:rPr>
        <w:t>（3）制造厂家</w:t>
      </w:r>
    </w:p>
    <w:p>
      <w:pPr>
        <w:adjustRightInd w:val="0"/>
        <w:snapToGrid w:val="0"/>
        <w:spacing w:before="203" w:beforeLines="50" w:after="203" w:afterLines="50"/>
        <w:ind w:firstLine="500" w:firstLineChars="200"/>
        <w:rPr>
          <w:rFonts w:ascii="宋体" w:hAnsi="宋体"/>
        </w:rPr>
      </w:pPr>
      <w:r>
        <w:rPr>
          <w:rFonts w:ascii="宋体" w:hAnsi="宋体"/>
        </w:rPr>
        <w:t>（4）制造年份</w:t>
      </w:r>
    </w:p>
    <w:p>
      <w:pPr>
        <w:adjustRightInd w:val="0"/>
        <w:snapToGrid w:val="0"/>
        <w:spacing w:before="203" w:beforeLines="50" w:after="203" w:afterLines="50"/>
        <w:ind w:firstLine="500" w:firstLineChars="200"/>
        <w:rPr>
          <w:rFonts w:ascii="宋体" w:hAnsi="宋体"/>
        </w:rPr>
      </w:pPr>
      <w:r>
        <w:rPr>
          <w:rFonts w:ascii="宋体" w:hAnsi="宋体"/>
        </w:rPr>
        <w:t>采用凹印刻字，要求字迹清晰，耐磨，该标志在光缆寿命期内清晰、永久。</w:t>
      </w:r>
    </w:p>
    <w:p>
      <w:pPr>
        <w:adjustRightInd w:val="0"/>
        <w:snapToGrid w:val="0"/>
        <w:spacing w:before="203" w:beforeLines="50" w:after="203" w:afterLines="50"/>
        <w:ind w:firstLine="500" w:firstLineChars="200"/>
        <w:rPr>
          <w:rFonts w:ascii="宋体" w:hAnsi="宋体"/>
        </w:rPr>
      </w:pPr>
      <w:r>
        <w:rPr>
          <w:rFonts w:ascii="宋体" w:hAnsi="宋体"/>
        </w:rPr>
        <w:t>规格及数量等见各建（构）物设计附图。</w:t>
      </w:r>
    </w:p>
    <w:p>
      <w:pPr>
        <w:keepNext/>
        <w:tabs>
          <w:tab w:val="left" w:pos="993"/>
        </w:tabs>
        <w:adjustRightInd w:val="0"/>
        <w:snapToGrid w:val="0"/>
        <w:spacing w:before="203" w:beforeLines="50" w:after="203" w:afterLines="50"/>
        <w:outlineLvl w:val="0"/>
        <w:rPr>
          <w:rFonts w:ascii="宋体" w:hAnsi="宋体"/>
          <w:b/>
          <w:bCs/>
        </w:rPr>
      </w:pPr>
      <w:bookmarkStart w:id="7383" w:name="_Toc450585029"/>
      <w:bookmarkStart w:id="7384" w:name="_Toc238874605"/>
      <w:bookmarkStart w:id="7385" w:name="_Toc159143772"/>
      <w:bookmarkStart w:id="7386" w:name="_Toc106883817"/>
      <w:r>
        <w:rPr>
          <w:rFonts w:hint="eastAsia" w:ascii="宋体" w:hAnsi="宋体"/>
          <w:b/>
          <w:bCs/>
        </w:rPr>
        <w:t>10.6.3</w:t>
      </w:r>
      <w:r>
        <w:rPr>
          <w:rFonts w:ascii="宋体" w:hAnsi="宋体"/>
          <w:b/>
          <w:bCs/>
        </w:rPr>
        <w:t>电力电缆</w:t>
      </w:r>
      <w:bookmarkEnd w:id="7383"/>
      <w:bookmarkEnd w:id="7384"/>
      <w:bookmarkEnd w:id="7385"/>
      <w:bookmarkEnd w:id="7386"/>
    </w:p>
    <w:p>
      <w:pPr>
        <w:adjustRightInd w:val="0"/>
        <w:snapToGrid w:val="0"/>
        <w:spacing w:before="203" w:beforeLines="50" w:after="203" w:afterLines="50"/>
        <w:ind w:firstLine="500" w:firstLineChars="200"/>
        <w:rPr>
          <w:rFonts w:ascii="宋体" w:hAnsi="宋体"/>
        </w:rPr>
      </w:pPr>
      <w:r>
        <w:rPr>
          <w:rFonts w:ascii="宋体" w:hAnsi="宋体"/>
        </w:rPr>
        <w:t>承包商除应按标书的要求提供优质的产品外，还应提供产品的名称、型号规格、主要使用范围及有关技术参数，如额定工作电压、耐受电压、工作温度、载流量、电缆外径、转弯半径、电缆芯数以及制造及检验标准等。</w:t>
      </w:r>
    </w:p>
    <w:p>
      <w:pPr>
        <w:adjustRightInd w:val="0"/>
        <w:snapToGrid w:val="0"/>
        <w:spacing w:before="203" w:beforeLines="50" w:after="203" w:afterLines="50"/>
        <w:ind w:firstLine="500" w:firstLineChars="200"/>
        <w:rPr>
          <w:rFonts w:ascii="宋体" w:hAnsi="宋体"/>
        </w:rPr>
      </w:pPr>
      <w:r>
        <w:rPr>
          <w:rFonts w:ascii="宋体" w:hAnsi="宋体"/>
        </w:rPr>
        <w:t>制造及检验标准</w:t>
      </w:r>
      <w:r>
        <w:rPr>
          <w:rFonts w:hint="eastAsia" w:ascii="宋体" w:hAnsi="宋体"/>
        </w:rPr>
        <w:t>：</w:t>
      </w:r>
      <w:r>
        <w:rPr>
          <w:rFonts w:ascii="宋体" w:hAnsi="宋体"/>
        </w:rPr>
        <w:t>电缆制造标准应符合现行IEC及中国国家标准。如以下标准，但不仅仅限于这些标准：</w:t>
      </w:r>
    </w:p>
    <w:p>
      <w:pPr>
        <w:adjustRightInd w:val="0"/>
        <w:snapToGrid w:val="0"/>
        <w:spacing w:before="203" w:beforeLines="50" w:after="203" w:afterLines="50"/>
        <w:ind w:firstLine="500" w:firstLineChars="200"/>
        <w:rPr>
          <w:rFonts w:ascii="宋体" w:hAnsi="宋体"/>
        </w:rPr>
      </w:pPr>
      <w:bookmarkStart w:id="7387" w:name="_Toc106050635"/>
      <w:r>
        <w:rPr>
          <w:rFonts w:ascii="宋体" w:hAnsi="宋体"/>
        </w:rPr>
        <w:t>GB12706</w:t>
      </w:r>
      <w:bookmarkEnd w:id="7387"/>
    </w:p>
    <w:p>
      <w:pPr>
        <w:adjustRightInd w:val="0"/>
        <w:snapToGrid w:val="0"/>
        <w:spacing w:before="203" w:beforeLines="50" w:after="203" w:afterLines="50"/>
        <w:ind w:firstLine="500" w:firstLineChars="200"/>
        <w:rPr>
          <w:rFonts w:ascii="宋体" w:hAnsi="宋体"/>
        </w:rPr>
      </w:pPr>
      <w:bookmarkStart w:id="7388" w:name="_Toc106050636"/>
      <w:r>
        <w:rPr>
          <w:rFonts w:ascii="宋体" w:hAnsi="宋体"/>
        </w:rPr>
        <w:t>GB12666</w:t>
      </w:r>
      <w:bookmarkEnd w:id="7388"/>
    </w:p>
    <w:p>
      <w:pPr>
        <w:adjustRightInd w:val="0"/>
        <w:snapToGrid w:val="0"/>
        <w:spacing w:before="203" w:beforeLines="50" w:after="203" w:afterLines="50"/>
        <w:ind w:firstLine="500" w:firstLineChars="200"/>
        <w:rPr>
          <w:rFonts w:ascii="宋体" w:hAnsi="宋体"/>
        </w:rPr>
      </w:pPr>
      <w:r>
        <w:rPr>
          <w:rFonts w:ascii="宋体" w:hAnsi="宋体"/>
        </w:rPr>
        <w:t>GB3957</w:t>
      </w:r>
    </w:p>
    <w:p>
      <w:pPr>
        <w:adjustRightInd w:val="0"/>
        <w:snapToGrid w:val="0"/>
        <w:spacing w:before="203" w:beforeLines="50" w:after="203" w:afterLines="50"/>
        <w:ind w:firstLine="500" w:firstLineChars="200"/>
        <w:rPr>
          <w:rFonts w:ascii="宋体" w:hAnsi="宋体"/>
        </w:rPr>
      </w:pPr>
      <w:r>
        <w:rPr>
          <w:rFonts w:ascii="宋体" w:hAnsi="宋体"/>
        </w:rPr>
        <w:t>GB9330</w:t>
      </w:r>
    </w:p>
    <w:p>
      <w:pPr>
        <w:adjustRightInd w:val="0"/>
        <w:snapToGrid w:val="0"/>
        <w:spacing w:before="203" w:beforeLines="50" w:after="203" w:afterLines="50"/>
        <w:ind w:firstLine="500" w:firstLineChars="200"/>
        <w:rPr>
          <w:rFonts w:ascii="宋体" w:hAnsi="宋体"/>
        </w:rPr>
      </w:pPr>
      <w:r>
        <w:rPr>
          <w:rFonts w:ascii="宋体" w:hAnsi="宋体"/>
        </w:rPr>
        <w:t>GB3048</w:t>
      </w:r>
    </w:p>
    <w:p>
      <w:pPr>
        <w:adjustRightInd w:val="0"/>
        <w:snapToGrid w:val="0"/>
        <w:spacing w:before="203" w:beforeLines="50" w:after="203" w:afterLines="50"/>
        <w:ind w:firstLine="500" w:firstLineChars="200"/>
        <w:rPr>
          <w:rFonts w:ascii="宋体" w:hAnsi="宋体"/>
        </w:rPr>
      </w:pPr>
      <w:r>
        <w:rPr>
          <w:rFonts w:ascii="宋体" w:hAnsi="宋体"/>
        </w:rPr>
        <w:t>GB2951</w:t>
      </w:r>
    </w:p>
    <w:p>
      <w:pPr>
        <w:adjustRightInd w:val="0"/>
        <w:snapToGrid w:val="0"/>
        <w:spacing w:before="203" w:beforeLines="50" w:after="203" w:afterLines="50"/>
        <w:ind w:firstLine="500" w:firstLineChars="200"/>
        <w:rPr>
          <w:rFonts w:ascii="宋体" w:hAnsi="宋体"/>
        </w:rPr>
      </w:pPr>
      <w:r>
        <w:rPr>
          <w:rFonts w:ascii="宋体" w:hAnsi="宋体"/>
        </w:rPr>
        <w:t>GB126</w:t>
      </w:r>
    </w:p>
    <w:p>
      <w:pPr>
        <w:adjustRightInd w:val="0"/>
        <w:snapToGrid w:val="0"/>
        <w:spacing w:before="203" w:beforeLines="50" w:after="203" w:afterLines="50"/>
        <w:ind w:firstLine="500" w:firstLineChars="200"/>
        <w:rPr>
          <w:rFonts w:ascii="宋体" w:hAnsi="宋体"/>
        </w:rPr>
      </w:pPr>
      <w:r>
        <w:rPr>
          <w:rFonts w:ascii="宋体" w:hAnsi="宋体"/>
        </w:rPr>
        <w:t>IEC228</w:t>
      </w:r>
    </w:p>
    <w:p>
      <w:pPr>
        <w:adjustRightInd w:val="0"/>
        <w:snapToGrid w:val="0"/>
        <w:spacing w:before="203" w:beforeLines="50" w:after="203" w:afterLines="50"/>
        <w:ind w:firstLine="500" w:firstLineChars="200"/>
        <w:rPr>
          <w:rFonts w:ascii="宋体" w:hAnsi="宋体"/>
        </w:rPr>
      </w:pPr>
      <w:r>
        <w:rPr>
          <w:rFonts w:ascii="宋体" w:hAnsi="宋体"/>
        </w:rPr>
        <w:t>IEC227</w:t>
      </w:r>
    </w:p>
    <w:p>
      <w:pPr>
        <w:adjustRightInd w:val="0"/>
        <w:snapToGrid w:val="0"/>
        <w:spacing w:before="203" w:beforeLines="50" w:after="203" w:afterLines="50"/>
        <w:ind w:firstLine="500" w:firstLineChars="200"/>
        <w:rPr>
          <w:rFonts w:ascii="宋体" w:hAnsi="宋体"/>
        </w:rPr>
      </w:pPr>
      <w:r>
        <w:rPr>
          <w:rFonts w:ascii="宋体" w:hAnsi="宋体"/>
        </w:rPr>
        <w:t>IEC332</w:t>
      </w:r>
    </w:p>
    <w:p>
      <w:pPr>
        <w:adjustRightInd w:val="0"/>
        <w:snapToGrid w:val="0"/>
        <w:spacing w:before="203" w:beforeLines="50" w:after="203" w:afterLines="50"/>
        <w:ind w:firstLine="500" w:firstLineChars="200"/>
        <w:rPr>
          <w:rFonts w:ascii="宋体" w:hAnsi="宋体"/>
        </w:rPr>
      </w:pPr>
      <w:r>
        <w:rPr>
          <w:rFonts w:ascii="宋体" w:hAnsi="宋体"/>
        </w:rPr>
        <w:t>型号、名称、适用范围</w:t>
      </w:r>
      <w:r>
        <w:rPr>
          <w:rFonts w:hint="eastAsia" w:ascii="宋体" w:hAnsi="宋体"/>
        </w:rPr>
        <w:t>：</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058"/>
        <w:gridCol w:w="6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980" w:type="dxa"/>
            <w:vAlign w:val="center"/>
          </w:tcPr>
          <w:p>
            <w:pPr>
              <w:keepNext/>
              <w:adjustRightInd w:val="0"/>
              <w:snapToGrid w:val="0"/>
              <w:jc w:val="center"/>
              <w:rPr>
                <w:rFonts w:ascii="宋体" w:hAnsi="宋体"/>
                <w:b/>
                <w:bCs/>
              </w:rPr>
            </w:pPr>
            <w:r>
              <w:rPr>
                <w:rFonts w:ascii="宋体" w:hAnsi="宋体"/>
                <w:b/>
                <w:bCs/>
              </w:rPr>
              <w:t>型  号</w:t>
            </w:r>
          </w:p>
        </w:tc>
        <w:tc>
          <w:tcPr>
            <w:tcW w:w="6254" w:type="dxa"/>
            <w:vAlign w:val="center"/>
          </w:tcPr>
          <w:p>
            <w:pPr>
              <w:keepNext/>
              <w:adjustRightInd w:val="0"/>
              <w:snapToGrid w:val="0"/>
              <w:jc w:val="center"/>
              <w:rPr>
                <w:rFonts w:ascii="宋体" w:hAnsi="宋体"/>
                <w:b/>
                <w:bCs/>
              </w:rPr>
            </w:pPr>
            <w:r>
              <w:rPr>
                <w:rFonts w:ascii="宋体" w:hAnsi="宋体"/>
                <w:b/>
                <w:bCs/>
              </w:rPr>
              <w:t>名    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980" w:type="dxa"/>
            <w:vAlign w:val="center"/>
          </w:tcPr>
          <w:p>
            <w:pPr>
              <w:adjustRightInd w:val="0"/>
              <w:snapToGrid w:val="0"/>
              <w:jc w:val="center"/>
              <w:rPr>
                <w:rFonts w:ascii="宋体" w:hAnsi="宋体"/>
              </w:rPr>
            </w:pPr>
            <w:r>
              <w:rPr>
                <w:rFonts w:ascii="宋体" w:hAnsi="宋体"/>
              </w:rPr>
              <w:t>YJV</w:t>
            </w:r>
          </w:p>
        </w:tc>
        <w:tc>
          <w:tcPr>
            <w:tcW w:w="6254" w:type="dxa"/>
            <w:vAlign w:val="center"/>
          </w:tcPr>
          <w:p>
            <w:pPr>
              <w:adjustRightInd w:val="0"/>
              <w:snapToGrid w:val="0"/>
              <w:jc w:val="center"/>
              <w:rPr>
                <w:rFonts w:ascii="宋体" w:hAnsi="宋体"/>
              </w:rPr>
            </w:pPr>
            <w:r>
              <w:rPr>
                <w:rFonts w:ascii="宋体" w:hAnsi="宋体"/>
              </w:rPr>
              <w:t>铜芯交联聚乙烯绝缘聚氯乙烯护套电力电缆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9" w:hRule="atLeast"/>
          <w:jc w:val="center"/>
        </w:trPr>
        <w:tc>
          <w:tcPr>
            <w:tcW w:w="1980" w:type="dxa"/>
            <w:vAlign w:val="center"/>
          </w:tcPr>
          <w:p>
            <w:pPr>
              <w:adjustRightInd w:val="0"/>
              <w:snapToGrid w:val="0"/>
              <w:jc w:val="center"/>
              <w:rPr>
                <w:rFonts w:ascii="宋体" w:hAnsi="宋体"/>
              </w:rPr>
            </w:pPr>
            <w:r>
              <w:rPr>
                <w:rFonts w:ascii="宋体" w:hAnsi="宋体"/>
              </w:rPr>
              <w:t>YJV22</w:t>
            </w:r>
          </w:p>
        </w:tc>
        <w:tc>
          <w:tcPr>
            <w:tcW w:w="6254" w:type="dxa"/>
            <w:vAlign w:val="center"/>
          </w:tcPr>
          <w:p>
            <w:pPr>
              <w:adjustRightInd w:val="0"/>
              <w:snapToGrid w:val="0"/>
              <w:jc w:val="center"/>
              <w:rPr>
                <w:rFonts w:ascii="宋体" w:hAnsi="宋体"/>
              </w:rPr>
            </w:pPr>
            <w:r>
              <w:rPr>
                <w:rFonts w:ascii="宋体" w:hAnsi="宋体"/>
              </w:rPr>
              <w:t>铜芯交联聚乙烯绝缘钢带铠装聚氯乙烯护套电力电缆</w:t>
            </w:r>
          </w:p>
        </w:tc>
      </w:tr>
    </w:tbl>
    <w:p>
      <w:pPr>
        <w:adjustRightInd w:val="0"/>
        <w:snapToGrid w:val="0"/>
        <w:spacing w:before="203" w:beforeLines="50" w:after="203" w:afterLines="50"/>
        <w:ind w:firstLine="500" w:firstLineChars="200"/>
        <w:rPr>
          <w:rFonts w:ascii="宋体" w:hAnsi="宋体"/>
        </w:rPr>
      </w:pPr>
      <w:r>
        <w:rPr>
          <w:rFonts w:ascii="宋体" w:hAnsi="宋体"/>
        </w:rPr>
        <w:t>YJV电缆均能敷设在室内、电缆沟、管道等固定场所。</w:t>
      </w:r>
    </w:p>
    <w:p>
      <w:pPr>
        <w:adjustRightInd w:val="0"/>
        <w:snapToGrid w:val="0"/>
        <w:spacing w:before="203" w:beforeLines="50" w:after="203" w:afterLines="50"/>
        <w:ind w:firstLine="500" w:firstLineChars="200"/>
        <w:rPr>
          <w:rFonts w:ascii="宋体" w:hAnsi="宋体"/>
        </w:rPr>
      </w:pPr>
      <w:r>
        <w:rPr>
          <w:rFonts w:ascii="宋体" w:hAnsi="宋体"/>
        </w:rPr>
        <w:t>YJV22电缆均能敷设在室内、电缆沟、管道、直埋等能承受较大机械外力的固定场所。</w:t>
      </w:r>
    </w:p>
    <w:p>
      <w:pPr>
        <w:adjustRightInd w:val="0"/>
        <w:snapToGrid w:val="0"/>
        <w:spacing w:before="203" w:beforeLines="50" w:after="203" w:afterLines="50"/>
        <w:ind w:firstLine="500" w:firstLineChars="200"/>
        <w:rPr>
          <w:rFonts w:ascii="宋体" w:hAnsi="宋体"/>
        </w:rPr>
      </w:pPr>
      <w:r>
        <w:rPr>
          <w:rFonts w:ascii="宋体" w:hAnsi="宋体"/>
        </w:rPr>
        <w:t>0.6/1kV交联聚乙烯绝缘电力电缆适用于0.6/1kV电力线路输配电使用。</w:t>
      </w:r>
    </w:p>
    <w:p>
      <w:pPr>
        <w:adjustRightInd w:val="0"/>
        <w:snapToGrid w:val="0"/>
        <w:spacing w:before="203" w:beforeLines="50" w:after="203" w:afterLines="50"/>
        <w:ind w:firstLine="500" w:firstLineChars="200"/>
        <w:rPr>
          <w:rFonts w:ascii="宋体" w:hAnsi="宋体"/>
        </w:rPr>
      </w:pPr>
      <w:r>
        <w:rPr>
          <w:rFonts w:ascii="宋体" w:hAnsi="宋体"/>
        </w:rPr>
        <w:t>产品的使用特性及主要性能</w:t>
      </w:r>
    </w:p>
    <w:p>
      <w:pPr>
        <w:adjustRightInd w:val="0"/>
        <w:snapToGrid w:val="0"/>
        <w:spacing w:before="203" w:beforeLines="50" w:after="203" w:afterLines="50"/>
        <w:ind w:firstLine="500" w:firstLineChars="200"/>
        <w:rPr>
          <w:rFonts w:ascii="宋体" w:hAnsi="宋体"/>
        </w:rPr>
      </w:pPr>
      <w:r>
        <w:rPr>
          <w:rFonts w:ascii="宋体" w:hAnsi="宋体"/>
        </w:rPr>
        <w:t>（1）电力电缆敷设落差应不受限制。</w:t>
      </w:r>
    </w:p>
    <w:p>
      <w:pPr>
        <w:adjustRightInd w:val="0"/>
        <w:snapToGrid w:val="0"/>
        <w:spacing w:before="203" w:beforeLines="50" w:after="203" w:afterLines="50"/>
        <w:ind w:firstLine="500" w:firstLineChars="200"/>
        <w:rPr>
          <w:rFonts w:ascii="宋体" w:hAnsi="宋体"/>
        </w:rPr>
      </w:pPr>
      <w:r>
        <w:rPr>
          <w:rFonts w:ascii="宋体" w:hAnsi="宋体"/>
        </w:rPr>
        <w:t>（2）电力电缆线芯采用铜绞合紧压圆导体。</w:t>
      </w:r>
    </w:p>
    <w:p>
      <w:pPr>
        <w:adjustRightInd w:val="0"/>
        <w:snapToGrid w:val="0"/>
        <w:spacing w:before="203" w:beforeLines="50" w:after="203" w:afterLines="50"/>
        <w:ind w:firstLine="500" w:firstLineChars="200"/>
        <w:rPr>
          <w:rFonts w:ascii="宋体" w:hAnsi="宋体"/>
        </w:rPr>
      </w:pPr>
      <w:r>
        <w:rPr>
          <w:rFonts w:ascii="宋体" w:hAnsi="宋体"/>
        </w:rPr>
        <w:t>（3）交联电力电缆：</w:t>
      </w:r>
    </w:p>
    <w:p>
      <w:pPr>
        <w:adjustRightInd w:val="0"/>
        <w:snapToGrid w:val="0"/>
        <w:spacing w:before="203" w:beforeLines="50" w:after="203" w:afterLines="50"/>
        <w:ind w:firstLine="500" w:firstLineChars="200"/>
        <w:rPr>
          <w:rFonts w:ascii="宋体" w:hAnsi="宋体"/>
        </w:rPr>
      </w:pPr>
      <w:r>
        <w:rPr>
          <w:rFonts w:ascii="宋体" w:hAnsi="宋体"/>
        </w:rPr>
        <w:t>交联电力电缆采用聚乙烯绝缘、聚氯乙烯护套。</w:t>
      </w:r>
    </w:p>
    <w:p>
      <w:pPr>
        <w:adjustRightInd w:val="0"/>
        <w:snapToGrid w:val="0"/>
        <w:spacing w:before="203" w:beforeLines="50" w:after="203" w:afterLines="50"/>
        <w:ind w:firstLine="500" w:firstLineChars="200"/>
        <w:rPr>
          <w:rFonts w:ascii="宋体" w:hAnsi="宋体"/>
        </w:rPr>
      </w:pPr>
      <w:r>
        <w:rPr>
          <w:rFonts w:ascii="宋体" w:hAnsi="宋体"/>
        </w:rPr>
        <w:t>交联电力电缆其电缆导体的长期允许工作温度－10℃～90℃，短路时电缆导体应能承受250℃高温。单相接地故障最大耐受时间8小时。</w:t>
      </w:r>
    </w:p>
    <w:p>
      <w:pPr>
        <w:adjustRightInd w:val="0"/>
        <w:snapToGrid w:val="0"/>
        <w:spacing w:before="203" w:beforeLines="50" w:after="203" w:afterLines="50"/>
        <w:ind w:firstLine="500" w:firstLineChars="200"/>
        <w:rPr>
          <w:rFonts w:ascii="宋体" w:hAnsi="宋体"/>
        </w:rPr>
      </w:pPr>
      <w:r>
        <w:rPr>
          <w:rFonts w:ascii="宋体" w:hAnsi="宋体"/>
        </w:rPr>
        <w:t>交联电力电缆敷设弯曲半径与电缆外径的比值应满足中国国家标准：</w:t>
      </w:r>
    </w:p>
    <w:p>
      <w:pPr>
        <w:adjustRightInd w:val="0"/>
        <w:snapToGrid w:val="0"/>
        <w:spacing w:before="203" w:beforeLines="50" w:after="203" w:afterLines="50"/>
        <w:ind w:firstLine="500" w:firstLineChars="200"/>
        <w:rPr>
          <w:rFonts w:ascii="宋体" w:hAnsi="宋体"/>
        </w:rPr>
      </w:pPr>
      <w:r>
        <w:rPr>
          <w:rFonts w:ascii="宋体" w:hAnsi="宋体"/>
        </w:rPr>
        <w:t>·单芯电缆为20D。</w:t>
      </w:r>
    </w:p>
    <w:p>
      <w:pPr>
        <w:adjustRightInd w:val="0"/>
        <w:snapToGrid w:val="0"/>
        <w:spacing w:before="203" w:beforeLines="50" w:after="203" w:afterLines="50"/>
        <w:ind w:firstLine="500" w:firstLineChars="200"/>
        <w:rPr>
          <w:rFonts w:ascii="宋体" w:hAnsi="宋体"/>
        </w:rPr>
      </w:pPr>
      <w:r>
        <w:rPr>
          <w:rFonts w:ascii="宋体" w:hAnsi="宋体"/>
        </w:rPr>
        <w:t>·多芯电缆为15D。</w:t>
      </w:r>
    </w:p>
    <w:p>
      <w:pPr>
        <w:adjustRightInd w:val="0"/>
        <w:snapToGrid w:val="0"/>
        <w:spacing w:before="203" w:beforeLines="50" w:after="203" w:afterLines="50"/>
        <w:ind w:firstLine="500" w:firstLineChars="200"/>
        <w:rPr>
          <w:rFonts w:ascii="宋体" w:hAnsi="宋体"/>
        </w:rPr>
      </w:pPr>
      <w:r>
        <w:rPr>
          <w:rFonts w:ascii="宋体" w:hAnsi="宋体"/>
        </w:rPr>
        <w:t>式中D是电缆的实际外径</w:t>
      </w:r>
    </w:p>
    <w:p>
      <w:pPr>
        <w:adjustRightInd w:val="0"/>
        <w:snapToGrid w:val="0"/>
        <w:spacing w:before="203" w:beforeLines="50" w:after="203" w:afterLines="50"/>
        <w:ind w:firstLine="500" w:firstLineChars="200"/>
        <w:rPr>
          <w:rFonts w:ascii="宋体" w:hAnsi="宋体"/>
        </w:rPr>
      </w:pPr>
      <w:r>
        <w:rPr>
          <w:rFonts w:ascii="宋体" w:hAnsi="宋体"/>
        </w:rPr>
        <w:t>主要技术性能指标</w:t>
      </w:r>
    </w:p>
    <w:tbl>
      <w:tblPr>
        <w:tblStyle w:val="77"/>
        <w:tblW w:w="5000" w:type="pct"/>
        <w:jc w:val="center"/>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Layout w:type="fixed"/>
        <w:tblCellMar>
          <w:top w:w="0" w:type="dxa"/>
          <w:left w:w="28" w:type="dxa"/>
          <w:bottom w:w="0" w:type="dxa"/>
          <w:right w:w="28" w:type="dxa"/>
        </w:tblCellMar>
      </w:tblPr>
      <w:tblGrid>
        <w:gridCol w:w="803"/>
        <w:gridCol w:w="2334"/>
        <w:gridCol w:w="715"/>
        <w:gridCol w:w="663"/>
        <w:gridCol w:w="212"/>
        <w:gridCol w:w="639"/>
        <w:gridCol w:w="353"/>
        <w:gridCol w:w="353"/>
        <w:gridCol w:w="354"/>
        <w:gridCol w:w="1067"/>
        <w:gridCol w:w="1067"/>
      </w:tblGrid>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keepNext/>
              <w:adjustRightInd w:val="0"/>
              <w:snapToGrid w:val="0"/>
              <w:jc w:val="center"/>
              <w:rPr>
                <w:rFonts w:ascii="宋体" w:hAnsi="宋体"/>
              </w:rPr>
            </w:pPr>
            <w:r>
              <w:rPr>
                <w:rFonts w:ascii="宋体" w:hAnsi="宋体"/>
              </w:rPr>
              <w:t>序号</w:t>
            </w:r>
          </w:p>
        </w:tc>
        <w:tc>
          <w:tcPr>
            <w:tcW w:w="2316" w:type="dxa"/>
            <w:vAlign w:val="center"/>
          </w:tcPr>
          <w:p>
            <w:pPr>
              <w:keepNext/>
              <w:adjustRightInd w:val="0"/>
              <w:snapToGrid w:val="0"/>
              <w:jc w:val="center"/>
              <w:rPr>
                <w:rFonts w:ascii="宋体" w:hAnsi="宋体"/>
              </w:rPr>
            </w:pPr>
            <w:r>
              <w:rPr>
                <w:rFonts w:ascii="宋体" w:hAnsi="宋体"/>
              </w:rPr>
              <w:t>额定电压Uo/U（kV）</w:t>
            </w:r>
          </w:p>
        </w:tc>
        <w:tc>
          <w:tcPr>
            <w:tcW w:w="709" w:type="dxa"/>
            <w:vAlign w:val="center"/>
          </w:tcPr>
          <w:p>
            <w:pPr>
              <w:keepNext/>
              <w:adjustRightInd w:val="0"/>
              <w:snapToGrid w:val="0"/>
              <w:jc w:val="center"/>
              <w:rPr>
                <w:rFonts w:ascii="宋体" w:hAnsi="宋体"/>
              </w:rPr>
            </w:pPr>
            <w:r>
              <w:rPr>
                <w:rFonts w:ascii="宋体" w:hAnsi="宋体"/>
              </w:rPr>
              <w:t>0.6/1</w:t>
            </w:r>
          </w:p>
        </w:tc>
        <w:tc>
          <w:tcPr>
            <w:tcW w:w="868" w:type="dxa"/>
            <w:gridSpan w:val="2"/>
            <w:vAlign w:val="center"/>
          </w:tcPr>
          <w:p>
            <w:pPr>
              <w:keepNext/>
              <w:adjustRightInd w:val="0"/>
              <w:snapToGrid w:val="0"/>
              <w:jc w:val="center"/>
              <w:rPr>
                <w:rFonts w:ascii="宋体" w:hAnsi="宋体"/>
              </w:rPr>
            </w:pPr>
            <w:r>
              <w:rPr>
                <w:rFonts w:ascii="宋体" w:hAnsi="宋体"/>
              </w:rPr>
              <w:t>6/10</w:t>
            </w:r>
          </w:p>
        </w:tc>
        <w:tc>
          <w:tcPr>
            <w:tcW w:w="1685" w:type="dxa"/>
            <w:gridSpan w:val="4"/>
            <w:vAlign w:val="center"/>
          </w:tcPr>
          <w:p>
            <w:pPr>
              <w:keepNext/>
              <w:adjustRightInd w:val="0"/>
              <w:snapToGrid w:val="0"/>
              <w:jc w:val="center"/>
              <w:rPr>
                <w:rFonts w:ascii="宋体" w:hAnsi="宋体"/>
              </w:rPr>
            </w:pPr>
            <w:r>
              <w:rPr>
                <w:rFonts w:ascii="宋体" w:hAnsi="宋体"/>
              </w:rPr>
              <w:t>8.7/10</w:t>
            </w:r>
          </w:p>
        </w:tc>
        <w:tc>
          <w:tcPr>
            <w:tcW w:w="1059" w:type="dxa"/>
            <w:vAlign w:val="center"/>
          </w:tcPr>
          <w:p>
            <w:pPr>
              <w:keepNext/>
              <w:adjustRightInd w:val="0"/>
              <w:snapToGrid w:val="0"/>
              <w:jc w:val="center"/>
              <w:rPr>
                <w:rFonts w:ascii="宋体" w:hAnsi="宋体"/>
              </w:rPr>
            </w:pPr>
            <w:r>
              <w:rPr>
                <w:rFonts w:ascii="宋体" w:hAnsi="宋体"/>
              </w:rPr>
              <w:t>12/20</w:t>
            </w:r>
          </w:p>
        </w:tc>
        <w:tc>
          <w:tcPr>
            <w:tcW w:w="1059" w:type="dxa"/>
            <w:vAlign w:val="center"/>
          </w:tcPr>
          <w:p>
            <w:pPr>
              <w:keepNext/>
              <w:adjustRightInd w:val="0"/>
              <w:snapToGrid w:val="0"/>
              <w:jc w:val="center"/>
              <w:rPr>
                <w:rFonts w:ascii="宋体" w:hAnsi="宋体"/>
              </w:rPr>
            </w:pPr>
            <w:r>
              <w:rPr>
                <w:rFonts w:ascii="宋体" w:hAnsi="宋体"/>
              </w:rPr>
              <w:t>18/20</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1</w:t>
            </w:r>
          </w:p>
        </w:tc>
        <w:tc>
          <w:tcPr>
            <w:tcW w:w="2316" w:type="dxa"/>
            <w:vAlign w:val="center"/>
          </w:tcPr>
          <w:p>
            <w:pPr>
              <w:adjustRightInd w:val="0"/>
              <w:snapToGrid w:val="0"/>
              <w:jc w:val="center"/>
              <w:rPr>
                <w:rFonts w:ascii="宋体" w:hAnsi="宋体"/>
              </w:rPr>
            </w:pPr>
            <w:r>
              <w:rPr>
                <w:rFonts w:ascii="宋体" w:hAnsi="宋体"/>
              </w:rPr>
              <w:t>线芯直流电阻（Ω/Km）</w:t>
            </w:r>
          </w:p>
        </w:tc>
        <w:tc>
          <w:tcPr>
            <w:tcW w:w="5380" w:type="dxa"/>
            <w:gridSpan w:val="9"/>
            <w:vAlign w:val="center"/>
          </w:tcPr>
          <w:p>
            <w:pPr>
              <w:adjustRightInd w:val="0"/>
              <w:snapToGrid w:val="0"/>
              <w:jc w:val="center"/>
              <w:rPr>
                <w:rFonts w:ascii="宋体" w:hAnsi="宋体"/>
              </w:rPr>
            </w:pPr>
            <w:r>
              <w:rPr>
                <w:rFonts w:ascii="宋体" w:hAnsi="宋体"/>
              </w:rPr>
              <w:t>见GB3957--83“电力电缆铜、铝导电线芯”标准。</w:t>
            </w:r>
            <w:r>
              <w:rPr>
                <w:rFonts w:ascii="宋体" w:hAnsi="宋体"/>
                <w:lang w:val="en-GB"/>
              </w:rPr>
              <w:t>（</w:t>
            </w:r>
            <w:r>
              <w:rPr>
                <w:rFonts w:ascii="宋体" w:hAnsi="宋体"/>
              </w:rPr>
              <w:t>同IEC228</w:t>
            </w:r>
            <w:r>
              <w:rPr>
                <w:rFonts w:ascii="宋体" w:hAnsi="宋体"/>
                <w:lang w:val="en-GB"/>
              </w:rPr>
              <w:t>）</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2</w:t>
            </w:r>
          </w:p>
        </w:tc>
        <w:tc>
          <w:tcPr>
            <w:tcW w:w="2316" w:type="dxa"/>
            <w:vAlign w:val="center"/>
          </w:tcPr>
          <w:p>
            <w:pPr>
              <w:adjustRightInd w:val="0"/>
              <w:snapToGrid w:val="0"/>
              <w:jc w:val="center"/>
              <w:rPr>
                <w:rFonts w:ascii="宋体" w:hAnsi="宋体"/>
              </w:rPr>
            </w:pPr>
            <w:r>
              <w:rPr>
                <w:rFonts w:ascii="宋体" w:hAnsi="宋体"/>
              </w:rPr>
              <w:t>局部放电试验（Pc）</w:t>
            </w:r>
          </w:p>
          <w:p>
            <w:pPr>
              <w:adjustRightInd w:val="0"/>
              <w:snapToGrid w:val="0"/>
              <w:jc w:val="center"/>
              <w:rPr>
                <w:rFonts w:ascii="宋体" w:hAnsi="宋体"/>
              </w:rPr>
            </w:pPr>
            <w:r>
              <w:rPr>
                <w:rFonts w:ascii="宋体" w:hAnsi="宋体"/>
              </w:rPr>
              <w:t>1.5Uo不大于</w:t>
            </w:r>
          </w:p>
        </w:tc>
        <w:tc>
          <w:tcPr>
            <w:tcW w:w="5380" w:type="dxa"/>
            <w:gridSpan w:val="9"/>
            <w:vAlign w:val="center"/>
          </w:tcPr>
          <w:p>
            <w:pPr>
              <w:adjustRightInd w:val="0"/>
              <w:snapToGrid w:val="0"/>
              <w:jc w:val="center"/>
              <w:rPr>
                <w:rFonts w:ascii="宋体" w:hAnsi="宋体"/>
              </w:rPr>
            </w:pPr>
            <w:r>
              <w:rPr>
                <w:rFonts w:ascii="宋体" w:hAnsi="宋体"/>
              </w:rPr>
              <w:t>10</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3</w:t>
            </w:r>
          </w:p>
        </w:tc>
        <w:tc>
          <w:tcPr>
            <w:tcW w:w="2316" w:type="dxa"/>
            <w:vAlign w:val="center"/>
          </w:tcPr>
          <w:p>
            <w:pPr>
              <w:adjustRightInd w:val="0"/>
              <w:snapToGrid w:val="0"/>
              <w:jc w:val="center"/>
              <w:rPr>
                <w:rFonts w:ascii="宋体" w:hAnsi="宋体"/>
              </w:rPr>
            </w:pPr>
            <w:r>
              <w:rPr>
                <w:rFonts w:ascii="宋体" w:hAnsi="宋体"/>
              </w:rPr>
              <w:t>工频5min耐压试验（kV）</w:t>
            </w:r>
          </w:p>
        </w:tc>
        <w:tc>
          <w:tcPr>
            <w:tcW w:w="709" w:type="dxa"/>
            <w:vAlign w:val="center"/>
          </w:tcPr>
          <w:p>
            <w:pPr>
              <w:adjustRightInd w:val="0"/>
              <w:snapToGrid w:val="0"/>
              <w:jc w:val="center"/>
              <w:rPr>
                <w:rFonts w:ascii="宋体" w:hAnsi="宋体"/>
              </w:rPr>
            </w:pPr>
            <w:r>
              <w:rPr>
                <w:rFonts w:ascii="宋体" w:hAnsi="宋体"/>
              </w:rPr>
              <w:t>3.5</w:t>
            </w:r>
          </w:p>
        </w:tc>
        <w:tc>
          <w:tcPr>
            <w:tcW w:w="868" w:type="dxa"/>
            <w:gridSpan w:val="2"/>
            <w:vAlign w:val="center"/>
          </w:tcPr>
          <w:p>
            <w:pPr>
              <w:adjustRightInd w:val="0"/>
              <w:snapToGrid w:val="0"/>
              <w:jc w:val="center"/>
              <w:rPr>
                <w:rFonts w:ascii="宋体" w:hAnsi="宋体"/>
              </w:rPr>
            </w:pPr>
            <w:r>
              <w:rPr>
                <w:rFonts w:ascii="宋体" w:hAnsi="宋体"/>
              </w:rPr>
              <w:t>15</w:t>
            </w:r>
          </w:p>
        </w:tc>
        <w:tc>
          <w:tcPr>
            <w:tcW w:w="1685" w:type="dxa"/>
            <w:gridSpan w:val="4"/>
            <w:vAlign w:val="center"/>
          </w:tcPr>
          <w:p>
            <w:pPr>
              <w:adjustRightInd w:val="0"/>
              <w:snapToGrid w:val="0"/>
              <w:jc w:val="center"/>
              <w:rPr>
                <w:rFonts w:ascii="宋体" w:hAnsi="宋体"/>
              </w:rPr>
            </w:pPr>
            <w:r>
              <w:rPr>
                <w:rFonts w:ascii="宋体" w:hAnsi="宋体"/>
              </w:rPr>
              <w:t>22</w:t>
            </w:r>
          </w:p>
        </w:tc>
        <w:tc>
          <w:tcPr>
            <w:tcW w:w="1059" w:type="dxa"/>
            <w:vAlign w:val="center"/>
          </w:tcPr>
          <w:p>
            <w:pPr>
              <w:adjustRightInd w:val="0"/>
              <w:snapToGrid w:val="0"/>
              <w:jc w:val="center"/>
              <w:rPr>
                <w:rFonts w:ascii="宋体" w:hAnsi="宋体"/>
              </w:rPr>
            </w:pPr>
            <w:r>
              <w:rPr>
                <w:rFonts w:ascii="宋体" w:hAnsi="宋体"/>
              </w:rPr>
              <w:t>30</w:t>
            </w:r>
          </w:p>
        </w:tc>
        <w:tc>
          <w:tcPr>
            <w:tcW w:w="1059" w:type="dxa"/>
            <w:vAlign w:val="center"/>
          </w:tcPr>
          <w:p>
            <w:pPr>
              <w:adjustRightInd w:val="0"/>
              <w:snapToGrid w:val="0"/>
              <w:jc w:val="center"/>
              <w:rPr>
                <w:rFonts w:ascii="宋体" w:hAnsi="宋体"/>
              </w:rPr>
            </w:pPr>
            <w:r>
              <w:rPr>
                <w:rFonts w:ascii="宋体" w:hAnsi="宋体"/>
              </w:rPr>
              <w:t>45</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4</w:t>
            </w:r>
          </w:p>
        </w:tc>
        <w:tc>
          <w:tcPr>
            <w:tcW w:w="2316" w:type="dxa"/>
            <w:vAlign w:val="center"/>
          </w:tcPr>
          <w:p>
            <w:pPr>
              <w:adjustRightInd w:val="0"/>
              <w:snapToGrid w:val="0"/>
              <w:jc w:val="center"/>
              <w:rPr>
                <w:rFonts w:ascii="宋体" w:hAnsi="宋体"/>
              </w:rPr>
            </w:pPr>
            <w:r>
              <w:rPr>
                <w:rFonts w:ascii="宋体" w:hAnsi="宋体"/>
              </w:rPr>
              <w:t>4hour工频试验（kV）</w:t>
            </w:r>
          </w:p>
        </w:tc>
        <w:tc>
          <w:tcPr>
            <w:tcW w:w="709" w:type="dxa"/>
            <w:vAlign w:val="center"/>
          </w:tcPr>
          <w:p>
            <w:pPr>
              <w:adjustRightInd w:val="0"/>
              <w:snapToGrid w:val="0"/>
              <w:jc w:val="center"/>
              <w:rPr>
                <w:rFonts w:ascii="宋体" w:hAnsi="宋体"/>
              </w:rPr>
            </w:pPr>
            <w:r>
              <w:rPr>
                <w:rFonts w:ascii="宋体" w:hAnsi="宋体"/>
              </w:rPr>
              <w:t>－</w:t>
            </w:r>
          </w:p>
        </w:tc>
        <w:tc>
          <w:tcPr>
            <w:tcW w:w="868" w:type="dxa"/>
            <w:gridSpan w:val="2"/>
            <w:vAlign w:val="center"/>
          </w:tcPr>
          <w:p>
            <w:pPr>
              <w:adjustRightInd w:val="0"/>
              <w:snapToGrid w:val="0"/>
              <w:jc w:val="center"/>
              <w:rPr>
                <w:rFonts w:ascii="宋体" w:hAnsi="宋体"/>
              </w:rPr>
            </w:pPr>
            <w:r>
              <w:rPr>
                <w:rFonts w:ascii="宋体" w:hAnsi="宋体"/>
              </w:rPr>
              <w:t>－</w:t>
            </w:r>
          </w:p>
        </w:tc>
        <w:tc>
          <w:tcPr>
            <w:tcW w:w="1685" w:type="dxa"/>
            <w:gridSpan w:val="4"/>
            <w:vAlign w:val="center"/>
          </w:tcPr>
          <w:p>
            <w:pPr>
              <w:adjustRightInd w:val="0"/>
              <w:snapToGrid w:val="0"/>
              <w:jc w:val="center"/>
              <w:rPr>
                <w:rFonts w:ascii="宋体" w:hAnsi="宋体"/>
              </w:rPr>
            </w:pPr>
            <w:r>
              <w:rPr>
                <w:rFonts w:ascii="宋体" w:hAnsi="宋体"/>
              </w:rPr>
              <w:t>34.8</w:t>
            </w:r>
          </w:p>
        </w:tc>
        <w:tc>
          <w:tcPr>
            <w:tcW w:w="1059" w:type="dxa"/>
            <w:vAlign w:val="center"/>
          </w:tcPr>
          <w:p>
            <w:pPr>
              <w:adjustRightInd w:val="0"/>
              <w:snapToGrid w:val="0"/>
              <w:jc w:val="center"/>
              <w:rPr>
                <w:rFonts w:ascii="宋体" w:hAnsi="宋体"/>
              </w:rPr>
            </w:pPr>
            <w:r>
              <w:rPr>
                <w:rFonts w:ascii="宋体" w:hAnsi="宋体"/>
              </w:rPr>
              <w:t>48</w:t>
            </w:r>
          </w:p>
        </w:tc>
        <w:tc>
          <w:tcPr>
            <w:tcW w:w="1059" w:type="dxa"/>
            <w:vAlign w:val="center"/>
          </w:tcPr>
          <w:p>
            <w:pPr>
              <w:adjustRightInd w:val="0"/>
              <w:snapToGrid w:val="0"/>
              <w:jc w:val="center"/>
              <w:rPr>
                <w:rFonts w:ascii="宋体" w:hAnsi="宋体"/>
              </w:rPr>
            </w:pPr>
            <w:r>
              <w:rPr>
                <w:rFonts w:ascii="宋体" w:hAnsi="宋体"/>
              </w:rPr>
              <w:t>72</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5</w:t>
            </w:r>
          </w:p>
        </w:tc>
        <w:tc>
          <w:tcPr>
            <w:tcW w:w="2316" w:type="dxa"/>
            <w:vAlign w:val="center"/>
          </w:tcPr>
          <w:p>
            <w:pPr>
              <w:adjustRightInd w:val="0"/>
              <w:snapToGrid w:val="0"/>
              <w:jc w:val="center"/>
              <w:rPr>
                <w:rFonts w:ascii="宋体" w:hAnsi="宋体"/>
              </w:rPr>
            </w:pPr>
            <w:r>
              <w:rPr>
                <w:rFonts w:ascii="宋体" w:hAnsi="宋体"/>
              </w:rPr>
              <w:t>绝缘的热延伸试验200℃</w:t>
            </w:r>
          </w:p>
          <w:p>
            <w:pPr>
              <w:adjustRightInd w:val="0"/>
              <w:snapToGrid w:val="0"/>
              <w:jc w:val="center"/>
              <w:rPr>
                <w:rFonts w:ascii="宋体" w:hAnsi="宋体"/>
              </w:rPr>
            </w:pPr>
            <w:r>
              <w:rPr>
                <w:rFonts w:ascii="宋体" w:hAnsi="宋体"/>
              </w:rPr>
              <w:t>15min0.2Mpa载荷下最大伸长率%冷却后最大永久伸长率%</w:t>
            </w:r>
          </w:p>
        </w:tc>
        <w:tc>
          <w:tcPr>
            <w:tcW w:w="5380" w:type="dxa"/>
            <w:gridSpan w:val="9"/>
            <w:vAlign w:val="center"/>
          </w:tcPr>
          <w:p>
            <w:pPr>
              <w:adjustRightInd w:val="0"/>
              <w:snapToGrid w:val="0"/>
              <w:jc w:val="center"/>
              <w:rPr>
                <w:rFonts w:ascii="宋体" w:hAnsi="宋体"/>
              </w:rPr>
            </w:pPr>
          </w:p>
          <w:p>
            <w:pPr>
              <w:adjustRightInd w:val="0"/>
              <w:snapToGrid w:val="0"/>
              <w:jc w:val="center"/>
              <w:rPr>
                <w:rFonts w:ascii="宋体" w:hAnsi="宋体"/>
              </w:rPr>
            </w:pPr>
            <w:r>
              <w:rPr>
                <w:rFonts w:ascii="宋体" w:hAnsi="宋体"/>
              </w:rPr>
              <w:t>175±15</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6</w:t>
            </w:r>
          </w:p>
        </w:tc>
        <w:tc>
          <w:tcPr>
            <w:tcW w:w="2316" w:type="dxa"/>
            <w:vAlign w:val="center"/>
          </w:tcPr>
          <w:p>
            <w:pPr>
              <w:adjustRightInd w:val="0"/>
              <w:snapToGrid w:val="0"/>
              <w:jc w:val="center"/>
              <w:rPr>
                <w:rFonts w:ascii="宋体" w:hAnsi="宋体"/>
              </w:rPr>
            </w:pPr>
            <w:r>
              <w:rPr>
                <w:rFonts w:ascii="宋体" w:hAnsi="宋体"/>
              </w:rPr>
              <w:t>三次弯曲的热循环后的局部放电1.5Uo不大于（PC）</w:t>
            </w:r>
          </w:p>
        </w:tc>
        <w:tc>
          <w:tcPr>
            <w:tcW w:w="2561" w:type="dxa"/>
            <w:gridSpan w:val="5"/>
            <w:vAlign w:val="center"/>
          </w:tcPr>
          <w:p>
            <w:pPr>
              <w:adjustRightInd w:val="0"/>
              <w:snapToGrid w:val="0"/>
              <w:jc w:val="center"/>
              <w:rPr>
                <w:rFonts w:ascii="宋体" w:hAnsi="宋体"/>
              </w:rPr>
            </w:pPr>
          </w:p>
          <w:p>
            <w:pPr>
              <w:adjustRightInd w:val="0"/>
              <w:snapToGrid w:val="0"/>
              <w:jc w:val="center"/>
              <w:rPr>
                <w:rFonts w:ascii="宋体" w:hAnsi="宋体"/>
              </w:rPr>
            </w:pPr>
            <w:r>
              <w:rPr>
                <w:rFonts w:ascii="宋体" w:hAnsi="宋体"/>
              </w:rPr>
              <w:t>－</w:t>
            </w:r>
          </w:p>
        </w:tc>
        <w:tc>
          <w:tcPr>
            <w:tcW w:w="2819" w:type="dxa"/>
            <w:gridSpan w:val="4"/>
            <w:vAlign w:val="center"/>
          </w:tcPr>
          <w:p>
            <w:pPr>
              <w:adjustRightInd w:val="0"/>
              <w:snapToGrid w:val="0"/>
              <w:jc w:val="center"/>
              <w:rPr>
                <w:rFonts w:ascii="宋体" w:hAnsi="宋体"/>
              </w:rPr>
            </w:pPr>
          </w:p>
          <w:p>
            <w:pPr>
              <w:adjustRightInd w:val="0"/>
              <w:snapToGrid w:val="0"/>
              <w:jc w:val="center"/>
              <w:rPr>
                <w:rFonts w:ascii="宋体" w:hAnsi="宋体"/>
              </w:rPr>
            </w:pPr>
            <w:r>
              <w:rPr>
                <w:rFonts w:ascii="宋体" w:hAnsi="宋体"/>
              </w:rPr>
              <w:t>20</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7</w:t>
            </w:r>
          </w:p>
        </w:tc>
        <w:tc>
          <w:tcPr>
            <w:tcW w:w="2316" w:type="dxa"/>
            <w:vAlign w:val="center"/>
          </w:tcPr>
          <w:p>
            <w:pPr>
              <w:adjustRightInd w:val="0"/>
              <w:snapToGrid w:val="0"/>
              <w:jc w:val="center"/>
              <w:rPr>
                <w:rFonts w:ascii="宋体" w:hAnsi="宋体"/>
              </w:rPr>
            </w:pPr>
            <w:r>
              <w:rPr>
                <w:rFonts w:ascii="宋体" w:hAnsi="宋体"/>
              </w:rPr>
              <w:t>室温下tgδUo不大于Δtgδ2Uo—0.5Uo不大于</w:t>
            </w:r>
          </w:p>
        </w:tc>
        <w:tc>
          <w:tcPr>
            <w:tcW w:w="2561" w:type="dxa"/>
            <w:gridSpan w:val="5"/>
            <w:vAlign w:val="center"/>
          </w:tcPr>
          <w:p>
            <w:pPr>
              <w:adjustRightInd w:val="0"/>
              <w:snapToGrid w:val="0"/>
              <w:jc w:val="center"/>
              <w:rPr>
                <w:rFonts w:ascii="宋体" w:hAnsi="宋体"/>
              </w:rPr>
            </w:pPr>
          </w:p>
          <w:p>
            <w:pPr>
              <w:adjustRightInd w:val="0"/>
              <w:snapToGrid w:val="0"/>
              <w:jc w:val="center"/>
              <w:rPr>
                <w:rFonts w:ascii="宋体" w:hAnsi="宋体"/>
              </w:rPr>
            </w:pPr>
            <w:r>
              <w:rPr>
                <w:rFonts w:ascii="宋体" w:hAnsi="宋体"/>
              </w:rPr>
              <w:t>－</w:t>
            </w:r>
          </w:p>
          <w:p>
            <w:pPr>
              <w:adjustRightInd w:val="0"/>
              <w:snapToGrid w:val="0"/>
              <w:jc w:val="center"/>
              <w:rPr>
                <w:rFonts w:ascii="宋体" w:hAnsi="宋体"/>
              </w:rPr>
            </w:pPr>
          </w:p>
        </w:tc>
        <w:tc>
          <w:tcPr>
            <w:tcW w:w="2819" w:type="dxa"/>
            <w:gridSpan w:val="4"/>
            <w:vAlign w:val="center"/>
          </w:tcPr>
          <w:p>
            <w:pPr>
              <w:adjustRightInd w:val="0"/>
              <w:snapToGrid w:val="0"/>
              <w:jc w:val="center"/>
              <w:rPr>
                <w:rFonts w:ascii="宋体" w:hAnsi="宋体"/>
              </w:rPr>
            </w:pPr>
            <w:r>
              <w:rPr>
                <w:rFonts w:ascii="宋体" w:hAnsi="宋体"/>
              </w:rPr>
              <w:t>40×10-4</w:t>
            </w:r>
          </w:p>
          <w:p>
            <w:pPr>
              <w:adjustRightInd w:val="0"/>
              <w:snapToGrid w:val="0"/>
              <w:jc w:val="center"/>
              <w:rPr>
                <w:rFonts w:ascii="宋体" w:hAnsi="宋体"/>
              </w:rPr>
            </w:pPr>
            <w:r>
              <w:rPr>
                <w:rFonts w:ascii="宋体" w:hAnsi="宋体"/>
              </w:rPr>
              <w:t>20×10-4</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8</w:t>
            </w:r>
          </w:p>
        </w:tc>
        <w:tc>
          <w:tcPr>
            <w:tcW w:w="3025" w:type="dxa"/>
            <w:gridSpan w:val="2"/>
            <w:vAlign w:val="center"/>
          </w:tcPr>
          <w:p>
            <w:pPr>
              <w:adjustRightInd w:val="0"/>
              <w:snapToGrid w:val="0"/>
              <w:jc w:val="center"/>
              <w:rPr>
                <w:rFonts w:ascii="宋体" w:hAnsi="宋体"/>
              </w:rPr>
            </w:pPr>
            <w:r>
              <w:rPr>
                <w:rFonts w:ascii="宋体" w:hAnsi="宋体"/>
              </w:rPr>
              <w:t>加热到长期工作温度时2kV下tgδ不大于</w:t>
            </w:r>
          </w:p>
        </w:tc>
        <w:tc>
          <w:tcPr>
            <w:tcW w:w="2202" w:type="dxa"/>
            <w:gridSpan w:val="5"/>
            <w:vAlign w:val="center"/>
          </w:tcPr>
          <w:p>
            <w:pPr>
              <w:adjustRightInd w:val="0"/>
              <w:snapToGrid w:val="0"/>
              <w:jc w:val="center"/>
              <w:rPr>
                <w:rFonts w:ascii="宋体" w:hAnsi="宋体"/>
              </w:rPr>
            </w:pPr>
          </w:p>
          <w:p>
            <w:pPr>
              <w:adjustRightInd w:val="0"/>
              <w:snapToGrid w:val="0"/>
              <w:jc w:val="center"/>
              <w:rPr>
                <w:rFonts w:ascii="宋体" w:hAnsi="宋体"/>
              </w:rPr>
            </w:pPr>
            <w:r>
              <w:rPr>
                <w:rFonts w:ascii="宋体" w:hAnsi="宋体"/>
              </w:rPr>
              <w:t>－</w:t>
            </w:r>
          </w:p>
          <w:p>
            <w:pPr>
              <w:adjustRightInd w:val="0"/>
              <w:snapToGrid w:val="0"/>
              <w:jc w:val="center"/>
              <w:rPr>
                <w:rFonts w:ascii="宋体" w:hAnsi="宋体"/>
              </w:rPr>
            </w:pPr>
          </w:p>
        </w:tc>
        <w:tc>
          <w:tcPr>
            <w:tcW w:w="2469" w:type="dxa"/>
            <w:gridSpan w:val="3"/>
            <w:vAlign w:val="center"/>
          </w:tcPr>
          <w:p>
            <w:pPr>
              <w:adjustRightInd w:val="0"/>
              <w:snapToGrid w:val="0"/>
              <w:jc w:val="center"/>
              <w:rPr>
                <w:rFonts w:ascii="宋体" w:hAnsi="宋体"/>
              </w:rPr>
            </w:pPr>
            <w:r>
              <w:rPr>
                <w:rFonts w:ascii="宋体" w:hAnsi="宋体"/>
              </w:rPr>
              <w:t>80×10-4</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9</w:t>
            </w:r>
          </w:p>
        </w:tc>
        <w:tc>
          <w:tcPr>
            <w:tcW w:w="3025" w:type="dxa"/>
            <w:gridSpan w:val="2"/>
            <w:vAlign w:val="center"/>
          </w:tcPr>
          <w:p>
            <w:pPr>
              <w:adjustRightInd w:val="0"/>
              <w:snapToGrid w:val="0"/>
              <w:jc w:val="center"/>
              <w:rPr>
                <w:rFonts w:ascii="宋体" w:hAnsi="宋体"/>
              </w:rPr>
            </w:pPr>
            <w:r>
              <w:rPr>
                <w:rFonts w:ascii="宋体" w:hAnsi="宋体"/>
              </w:rPr>
              <w:t>加热到比长期工作温度高5℃，热冲击（±10次）（kV）</w:t>
            </w:r>
          </w:p>
        </w:tc>
        <w:tc>
          <w:tcPr>
            <w:tcW w:w="658" w:type="dxa"/>
            <w:vAlign w:val="center"/>
          </w:tcPr>
          <w:p>
            <w:pPr>
              <w:adjustRightInd w:val="0"/>
              <w:snapToGrid w:val="0"/>
              <w:jc w:val="center"/>
              <w:rPr>
                <w:rFonts w:ascii="宋体" w:hAnsi="宋体"/>
              </w:rPr>
            </w:pPr>
          </w:p>
        </w:tc>
        <w:tc>
          <w:tcPr>
            <w:tcW w:w="844" w:type="dxa"/>
            <w:gridSpan w:val="2"/>
            <w:vAlign w:val="center"/>
          </w:tcPr>
          <w:p>
            <w:pPr>
              <w:adjustRightInd w:val="0"/>
              <w:snapToGrid w:val="0"/>
              <w:jc w:val="center"/>
              <w:rPr>
                <w:rFonts w:ascii="宋体" w:hAnsi="宋体"/>
              </w:rPr>
            </w:pPr>
            <w:r>
              <w:rPr>
                <w:rFonts w:ascii="宋体" w:hAnsi="宋体"/>
              </w:rPr>
              <w:t>75</w:t>
            </w:r>
          </w:p>
        </w:tc>
        <w:tc>
          <w:tcPr>
            <w:tcW w:w="1051" w:type="dxa"/>
            <w:gridSpan w:val="3"/>
            <w:vAlign w:val="center"/>
          </w:tcPr>
          <w:p>
            <w:pPr>
              <w:adjustRightInd w:val="0"/>
              <w:snapToGrid w:val="0"/>
              <w:jc w:val="center"/>
              <w:rPr>
                <w:rFonts w:ascii="宋体" w:hAnsi="宋体"/>
              </w:rPr>
            </w:pPr>
            <w:r>
              <w:rPr>
                <w:rFonts w:ascii="宋体" w:hAnsi="宋体"/>
              </w:rPr>
              <w:t>95</w:t>
            </w:r>
          </w:p>
        </w:tc>
        <w:tc>
          <w:tcPr>
            <w:tcW w:w="1059" w:type="dxa"/>
            <w:vAlign w:val="center"/>
          </w:tcPr>
          <w:p>
            <w:pPr>
              <w:adjustRightInd w:val="0"/>
              <w:snapToGrid w:val="0"/>
              <w:jc w:val="center"/>
              <w:rPr>
                <w:rFonts w:ascii="宋体" w:hAnsi="宋体"/>
              </w:rPr>
            </w:pPr>
            <w:r>
              <w:rPr>
                <w:rFonts w:ascii="宋体" w:hAnsi="宋体"/>
              </w:rPr>
              <w:t>125</w:t>
            </w:r>
          </w:p>
        </w:tc>
        <w:tc>
          <w:tcPr>
            <w:tcW w:w="1059" w:type="dxa"/>
            <w:vAlign w:val="center"/>
          </w:tcPr>
          <w:p>
            <w:pPr>
              <w:adjustRightInd w:val="0"/>
              <w:snapToGrid w:val="0"/>
              <w:jc w:val="center"/>
              <w:rPr>
                <w:rFonts w:ascii="宋体" w:hAnsi="宋体"/>
              </w:rPr>
            </w:pPr>
            <w:r>
              <w:rPr>
                <w:rFonts w:ascii="宋体" w:hAnsi="宋体"/>
              </w:rPr>
              <w:t>170</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10</w:t>
            </w:r>
          </w:p>
        </w:tc>
        <w:tc>
          <w:tcPr>
            <w:tcW w:w="3025" w:type="dxa"/>
            <w:gridSpan w:val="2"/>
            <w:vAlign w:val="center"/>
          </w:tcPr>
          <w:p>
            <w:pPr>
              <w:adjustRightInd w:val="0"/>
              <w:snapToGrid w:val="0"/>
              <w:jc w:val="center"/>
              <w:rPr>
                <w:rFonts w:ascii="宋体" w:hAnsi="宋体"/>
              </w:rPr>
            </w:pPr>
          </w:p>
          <w:p>
            <w:pPr>
              <w:adjustRightInd w:val="0"/>
              <w:snapToGrid w:val="0"/>
              <w:jc w:val="center"/>
              <w:rPr>
                <w:rFonts w:ascii="宋体" w:hAnsi="宋体"/>
              </w:rPr>
            </w:pPr>
            <w:r>
              <w:rPr>
                <w:rFonts w:ascii="宋体" w:hAnsi="宋体"/>
              </w:rPr>
              <w:t>4hour工频试验（kV）</w:t>
            </w:r>
          </w:p>
          <w:p>
            <w:pPr>
              <w:adjustRightInd w:val="0"/>
              <w:snapToGrid w:val="0"/>
              <w:jc w:val="center"/>
              <w:rPr>
                <w:rFonts w:ascii="宋体" w:hAnsi="宋体"/>
              </w:rPr>
            </w:pPr>
          </w:p>
        </w:tc>
        <w:tc>
          <w:tcPr>
            <w:tcW w:w="658" w:type="dxa"/>
            <w:vAlign w:val="center"/>
          </w:tcPr>
          <w:p>
            <w:pPr>
              <w:adjustRightInd w:val="0"/>
              <w:snapToGrid w:val="0"/>
              <w:jc w:val="center"/>
              <w:rPr>
                <w:rFonts w:ascii="宋体" w:hAnsi="宋体"/>
              </w:rPr>
            </w:pPr>
          </w:p>
        </w:tc>
        <w:tc>
          <w:tcPr>
            <w:tcW w:w="844" w:type="dxa"/>
            <w:gridSpan w:val="2"/>
            <w:vAlign w:val="center"/>
          </w:tcPr>
          <w:p>
            <w:pPr>
              <w:adjustRightInd w:val="0"/>
              <w:snapToGrid w:val="0"/>
              <w:jc w:val="center"/>
              <w:rPr>
                <w:rFonts w:ascii="宋体" w:hAnsi="宋体"/>
              </w:rPr>
            </w:pPr>
            <w:r>
              <w:rPr>
                <w:rFonts w:ascii="宋体" w:hAnsi="宋体"/>
              </w:rPr>
              <w:t>24</w:t>
            </w:r>
          </w:p>
        </w:tc>
        <w:tc>
          <w:tcPr>
            <w:tcW w:w="1051" w:type="dxa"/>
            <w:gridSpan w:val="3"/>
            <w:vAlign w:val="center"/>
          </w:tcPr>
          <w:p>
            <w:pPr>
              <w:adjustRightInd w:val="0"/>
              <w:snapToGrid w:val="0"/>
              <w:jc w:val="center"/>
              <w:rPr>
                <w:rFonts w:ascii="宋体" w:hAnsi="宋体"/>
              </w:rPr>
            </w:pPr>
            <w:r>
              <w:rPr>
                <w:rFonts w:ascii="宋体" w:hAnsi="宋体"/>
              </w:rPr>
              <w:t>34.8</w:t>
            </w:r>
          </w:p>
        </w:tc>
        <w:tc>
          <w:tcPr>
            <w:tcW w:w="1059" w:type="dxa"/>
            <w:vAlign w:val="center"/>
          </w:tcPr>
          <w:p>
            <w:pPr>
              <w:adjustRightInd w:val="0"/>
              <w:snapToGrid w:val="0"/>
              <w:jc w:val="center"/>
              <w:rPr>
                <w:rFonts w:ascii="宋体" w:hAnsi="宋体"/>
              </w:rPr>
            </w:pPr>
            <w:r>
              <w:rPr>
                <w:rFonts w:ascii="宋体" w:hAnsi="宋体"/>
              </w:rPr>
              <w:t>48</w:t>
            </w:r>
          </w:p>
        </w:tc>
        <w:tc>
          <w:tcPr>
            <w:tcW w:w="1059" w:type="dxa"/>
            <w:vAlign w:val="center"/>
          </w:tcPr>
          <w:p>
            <w:pPr>
              <w:adjustRightInd w:val="0"/>
              <w:snapToGrid w:val="0"/>
              <w:jc w:val="center"/>
              <w:rPr>
                <w:rFonts w:ascii="宋体" w:hAnsi="宋体"/>
              </w:rPr>
            </w:pPr>
            <w:r>
              <w:rPr>
                <w:rFonts w:ascii="宋体" w:hAnsi="宋体"/>
              </w:rPr>
              <w:t>72</w:t>
            </w:r>
          </w:p>
        </w:tc>
      </w:tr>
      <w:tr>
        <w:tblPrEx>
          <w:tblBorders>
            <w:top w:val="single" w:color="000000" w:sz="4" w:space="0"/>
            <w:left w:val="single" w:color="000000" w:sz="4" w:space="0"/>
            <w:bottom w:val="single" w:color="000000" w:sz="4" w:space="0"/>
            <w:right w:val="single" w:color="000000" w:sz="4" w:space="0"/>
            <w:insideH w:val="single" w:color="auto" w:sz="4" w:space="0"/>
            <w:insideV w:val="single" w:color="000000" w:sz="4" w:space="0"/>
          </w:tblBorders>
          <w:tblCellMar>
            <w:top w:w="0" w:type="dxa"/>
            <w:left w:w="28" w:type="dxa"/>
            <w:bottom w:w="0" w:type="dxa"/>
            <w:right w:w="28" w:type="dxa"/>
          </w:tblCellMar>
        </w:tblPrEx>
        <w:trPr>
          <w:cantSplit/>
          <w:trHeight w:val="283" w:hRule="atLeast"/>
          <w:jc w:val="center"/>
        </w:trPr>
        <w:tc>
          <w:tcPr>
            <w:tcW w:w="798" w:type="dxa"/>
            <w:vAlign w:val="center"/>
          </w:tcPr>
          <w:p>
            <w:pPr>
              <w:adjustRightInd w:val="0"/>
              <w:snapToGrid w:val="0"/>
              <w:jc w:val="center"/>
              <w:rPr>
                <w:rFonts w:ascii="宋体" w:hAnsi="宋体"/>
              </w:rPr>
            </w:pPr>
            <w:r>
              <w:rPr>
                <w:rFonts w:ascii="宋体" w:hAnsi="宋体"/>
              </w:rPr>
              <w:t>11</w:t>
            </w:r>
          </w:p>
        </w:tc>
        <w:tc>
          <w:tcPr>
            <w:tcW w:w="3025" w:type="dxa"/>
            <w:gridSpan w:val="2"/>
            <w:vAlign w:val="center"/>
          </w:tcPr>
          <w:p>
            <w:pPr>
              <w:adjustRightInd w:val="0"/>
              <w:snapToGrid w:val="0"/>
              <w:jc w:val="center"/>
              <w:rPr>
                <w:rFonts w:ascii="宋体" w:hAnsi="宋体"/>
              </w:rPr>
            </w:pPr>
            <w:r>
              <w:rPr>
                <w:rFonts w:ascii="宋体" w:hAnsi="宋体"/>
              </w:rPr>
              <w:t>绝缘和护套的</w:t>
            </w:r>
          </w:p>
          <w:p>
            <w:pPr>
              <w:adjustRightInd w:val="0"/>
              <w:snapToGrid w:val="0"/>
              <w:jc w:val="center"/>
              <w:rPr>
                <w:rFonts w:ascii="宋体" w:hAnsi="宋体"/>
              </w:rPr>
            </w:pPr>
            <w:r>
              <w:rPr>
                <w:rFonts w:ascii="宋体" w:hAnsi="宋体"/>
              </w:rPr>
              <w:t>非电性试验</w:t>
            </w:r>
          </w:p>
        </w:tc>
        <w:tc>
          <w:tcPr>
            <w:tcW w:w="4671" w:type="dxa"/>
            <w:gridSpan w:val="8"/>
            <w:vAlign w:val="center"/>
          </w:tcPr>
          <w:p>
            <w:pPr>
              <w:adjustRightInd w:val="0"/>
              <w:snapToGrid w:val="0"/>
              <w:jc w:val="center"/>
              <w:rPr>
                <w:rFonts w:ascii="宋体" w:hAnsi="宋体"/>
              </w:rPr>
            </w:pPr>
            <w:r>
              <w:rPr>
                <w:rFonts w:ascii="宋体" w:hAnsi="宋体"/>
              </w:rPr>
              <w:t>略</w:t>
            </w:r>
          </w:p>
        </w:tc>
      </w:tr>
    </w:tbl>
    <w:p>
      <w:pPr>
        <w:adjustRightInd w:val="0"/>
        <w:snapToGrid w:val="0"/>
        <w:spacing w:before="203" w:beforeLines="50" w:after="203" w:afterLines="50"/>
        <w:ind w:firstLine="500" w:firstLineChars="200"/>
        <w:rPr>
          <w:rFonts w:ascii="宋体" w:hAnsi="宋体"/>
        </w:rPr>
      </w:pPr>
      <w:r>
        <w:rPr>
          <w:rFonts w:ascii="宋体" w:hAnsi="宋体"/>
        </w:rPr>
        <w:t xml:space="preserve">注：序号1-3为每盘出厂试验，序号4-5为抽样试验项目，序号6-11为形式试验项目。 </w:t>
      </w:r>
    </w:p>
    <w:p>
      <w:pPr>
        <w:adjustRightInd w:val="0"/>
        <w:snapToGrid w:val="0"/>
        <w:spacing w:before="203" w:beforeLines="50" w:after="203" w:afterLines="50"/>
        <w:ind w:firstLine="500" w:firstLineChars="200"/>
        <w:rPr>
          <w:rFonts w:ascii="宋体" w:hAnsi="宋体"/>
        </w:rPr>
      </w:pPr>
      <w:r>
        <w:rPr>
          <w:rFonts w:ascii="宋体" w:hAnsi="宋体"/>
        </w:rPr>
        <w:t>交货长度及包装</w:t>
      </w:r>
    </w:p>
    <w:p>
      <w:pPr>
        <w:adjustRightInd w:val="0"/>
        <w:snapToGrid w:val="0"/>
        <w:spacing w:before="203" w:beforeLines="50" w:after="203" w:afterLines="50"/>
        <w:ind w:firstLine="500" w:firstLineChars="200"/>
        <w:rPr>
          <w:rFonts w:ascii="宋体" w:hAnsi="宋体"/>
        </w:rPr>
      </w:pPr>
      <w:r>
        <w:rPr>
          <w:rFonts w:ascii="宋体" w:hAnsi="宋体"/>
        </w:rPr>
        <w:t>（1）一般情况下电缆敷设时，不允许中间接头。</w:t>
      </w:r>
    </w:p>
    <w:p>
      <w:pPr>
        <w:adjustRightInd w:val="0"/>
        <w:snapToGrid w:val="0"/>
        <w:spacing w:before="203" w:beforeLines="50" w:after="203" w:afterLines="50"/>
        <w:ind w:firstLine="500" w:firstLineChars="200"/>
        <w:rPr>
          <w:rFonts w:ascii="宋体" w:hAnsi="宋体"/>
        </w:rPr>
      </w:pPr>
      <w:r>
        <w:rPr>
          <w:rFonts w:ascii="宋体" w:hAnsi="宋体"/>
        </w:rPr>
        <w:t>（2）根据最终业主要求可协议任何长度电缆交货。</w:t>
      </w:r>
    </w:p>
    <w:p>
      <w:pPr>
        <w:adjustRightInd w:val="0"/>
        <w:snapToGrid w:val="0"/>
        <w:spacing w:before="203" w:beforeLines="50" w:after="203" w:afterLines="50"/>
        <w:ind w:firstLine="500" w:firstLineChars="200"/>
        <w:rPr>
          <w:rFonts w:ascii="宋体" w:hAnsi="宋体"/>
        </w:rPr>
      </w:pPr>
      <w:r>
        <w:rPr>
          <w:rFonts w:ascii="宋体" w:hAnsi="宋体"/>
        </w:rPr>
        <w:t>（3）电缆应成盘包装，短段电缆可成圈包装。成圈或成盘的电缆卷绕整齐、并有防尘包装，电缆盘具符合GB4005的现行标准规定。</w:t>
      </w:r>
    </w:p>
    <w:p>
      <w:pPr>
        <w:adjustRightInd w:val="0"/>
        <w:snapToGrid w:val="0"/>
        <w:spacing w:before="203" w:beforeLines="50" w:after="203" w:afterLines="50"/>
        <w:ind w:firstLine="500" w:firstLineChars="200"/>
        <w:rPr>
          <w:rFonts w:ascii="宋体" w:hAnsi="宋体"/>
        </w:rPr>
      </w:pPr>
      <w:r>
        <w:rPr>
          <w:rFonts w:ascii="宋体" w:hAnsi="宋体"/>
        </w:rPr>
        <w:t>（4）电缆端头应可靠密封，伸出盘外的电缆端头应钉保护罩，伸出长度不小于300mm。每个电缆盘只卷绕一根电缆。</w:t>
      </w:r>
    </w:p>
    <w:p>
      <w:pPr>
        <w:adjustRightInd w:val="0"/>
        <w:snapToGrid w:val="0"/>
        <w:spacing w:before="203" w:beforeLines="50" w:after="203" w:afterLines="50"/>
        <w:ind w:firstLine="500" w:firstLineChars="200"/>
        <w:rPr>
          <w:rFonts w:ascii="宋体" w:hAnsi="宋体"/>
        </w:rPr>
      </w:pPr>
      <w:r>
        <w:rPr>
          <w:rFonts w:ascii="宋体" w:hAnsi="宋体"/>
        </w:rPr>
        <w:t>（5）电缆交货长度应为正公差。</w:t>
      </w:r>
    </w:p>
    <w:p>
      <w:pPr>
        <w:adjustRightInd w:val="0"/>
        <w:snapToGrid w:val="0"/>
        <w:spacing w:before="203" w:beforeLines="50" w:after="203" w:afterLines="50"/>
        <w:ind w:firstLine="500" w:firstLineChars="200"/>
        <w:rPr>
          <w:rFonts w:ascii="宋体" w:hAnsi="宋体"/>
        </w:rPr>
      </w:pPr>
      <w:r>
        <w:rPr>
          <w:rFonts w:ascii="宋体" w:hAnsi="宋体"/>
        </w:rPr>
        <w:t>（6）电缆盘外侧应有牢固的标记，标明以下内容：</w:t>
      </w:r>
    </w:p>
    <w:p>
      <w:pPr>
        <w:adjustRightInd w:val="0"/>
        <w:snapToGrid w:val="0"/>
        <w:spacing w:before="203" w:beforeLines="50" w:after="203" w:afterLines="50"/>
        <w:ind w:firstLine="500" w:firstLineChars="200"/>
        <w:rPr>
          <w:rFonts w:ascii="宋体" w:hAnsi="宋体"/>
        </w:rPr>
      </w:pPr>
      <w:r>
        <w:rPr>
          <w:rFonts w:ascii="宋体" w:hAnsi="宋体"/>
        </w:rPr>
        <w:t>合同号、盘号；</w:t>
      </w:r>
    </w:p>
    <w:p>
      <w:pPr>
        <w:adjustRightInd w:val="0"/>
        <w:snapToGrid w:val="0"/>
        <w:spacing w:before="203" w:beforeLines="50" w:after="203" w:afterLines="50"/>
        <w:ind w:firstLine="500" w:firstLineChars="200"/>
        <w:rPr>
          <w:rFonts w:ascii="宋体" w:hAnsi="宋体"/>
        </w:rPr>
      </w:pPr>
      <w:r>
        <w:rPr>
          <w:rFonts w:ascii="宋体" w:hAnsi="宋体"/>
        </w:rPr>
        <w:t>收货单位；</w:t>
      </w:r>
    </w:p>
    <w:p>
      <w:pPr>
        <w:adjustRightInd w:val="0"/>
        <w:snapToGrid w:val="0"/>
        <w:spacing w:before="203" w:beforeLines="50" w:after="203" w:afterLines="50"/>
        <w:ind w:firstLine="500" w:firstLineChars="200"/>
        <w:rPr>
          <w:rFonts w:ascii="宋体" w:hAnsi="宋体"/>
        </w:rPr>
      </w:pPr>
      <w:r>
        <w:rPr>
          <w:rFonts w:ascii="宋体" w:hAnsi="宋体"/>
        </w:rPr>
        <w:t>产品名称、型号、规格；</w:t>
      </w:r>
    </w:p>
    <w:p>
      <w:pPr>
        <w:adjustRightInd w:val="0"/>
        <w:snapToGrid w:val="0"/>
        <w:spacing w:before="203" w:beforeLines="50" w:after="203" w:afterLines="50"/>
        <w:ind w:firstLine="500" w:firstLineChars="200"/>
        <w:rPr>
          <w:rFonts w:ascii="宋体" w:hAnsi="宋体"/>
        </w:rPr>
      </w:pPr>
      <w:r>
        <w:rPr>
          <w:rFonts w:ascii="宋体" w:hAnsi="宋体"/>
        </w:rPr>
        <w:t>电缆额定电压；</w:t>
      </w:r>
    </w:p>
    <w:p>
      <w:pPr>
        <w:adjustRightInd w:val="0"/>
        <w:snapToGrid w:val="0"/>
        <w:spacing w:before="203" w:beforeLines="50" w:after="203" w:afterLines="50"/>
        <w:ind w:firstLine="500" w:firstLineChars="200"/>
        <w:rPr>
          <w:rFonts w:ascii="宋体" w:hAnsi="宋体"/>
        </w:rPr>
      </w:pPr>
      <w:r>
        <w:rPr>
          <w:rFonts w:ascii="宋体" w:hAnsi="宋体"/>
        </w:rPr>
        <w:t>电缆长度；</w:t>
      </w:r>
    </w:p>
    <w:p>
      <w:pPr>
        <w:adjustRightInd w:val="0"/>
        <w:snapToGrid w:val="0"/>
        <w:spacing w:before="203" w:beforeLines="50" w:after="203" w:afterLines="50"/>
        <w:ind w:firstLine="500" w:firstLineChars="200"/>
        <w:rPr>
          <w:rFonts w:ascii="宋体" w:hAnsi="宋体"/>
        </w:rPr>
      </w:pPr>
      <w:r>
        <w:rPr>
          <w:rFonts w:ascii="宋体" w:hAnsi="宋体"/>
        </w:rPr>
        <w:t>电缆盘正确滚动方向符号；</w:t>
      </w:r>
    </w:p>
    <w:p>
      <w:pPr>
        <w:adjustRightInd w:val="0"/>
        <w:snapToGrid w:val="0"/>
        <w:spacing w:before="203" w:beforeLines="50" w:after="203" w:afterLines="50"/>
        <w:ind w:firstLine="500" w:firstLineChars="200"/>
        <w:rPr>
          <w:rFonts w:ascii="宋体" w:hAnsi="宋体"/>
        </w:rPr>
      </w:pPr>
      <w:r>
        <w:rPr>
          <w:rFonts w:ascii="宋体" w:hAnsi="宋体"/>
        </w:rPr>
        <w:t>制造厂名称和制造日期（年月）。</w:t>
      </w:r>
    </w:p>
    <w:p>
      <w:pPr>
        <w:adjustRightInd w:val="0"/>
        <w:snapToGrid w:val="0"/>
        <w:spacing w:before="203" w:beforeLines="50" w:after="203" w:afterLines="50"/>
        <w:ind w:firstLine="500" w:firstLineChars="200"/>
        <w:rPr>
          <w:rFonts w:ascii="宋体" w:hAnsi="宋体"/>
        </w:rPr>
      </w:pPr>
      <w:r>
        <w:rPr>
          <w:rFonts w:ascii="宋体" w:hAnsi="宋体"/>
        </w:rPr>
        <w:t>电缆的验收</w:t>
      </w:r>
    </w:p>
    <w:p>
      <w:pPr>
        <w:adjustRightInd w:val="0"/>
        <w:snapToGrid w:val="0"/>
        <w:spacing w:before="203" w:beforeLines="50" w:after="203" w:afterLines="50"/>
        <w:ind w:firstLine="500" w:firstLineChars="200"/>
        <w:rPr>
          <w:rFonts w:ascii="宋体" w:hAnsi="宋体"/>
        </w:rPr>
      </w:pPr>
      <w:r>
        <w:rPr>
          <w:rFonts w:ascii="宋体" w:hAnsi="宋体"/>
        </w:rPr>
        <w:t>（1）电缆应由制造厂的技检部门检验合格后方能出厂，出厂产品均应有生产许可证和检验合格证。</w:t>
      </w:r>
    </w:p>
    <w:p>
      <w:pPr>
        <w:adjustRightInd w:val="0"/>
        <w:snapToGrid w:val="0"/>
        <w:spacing w:before="203" w:beforeLines="50" w:after="203" w:afterLines="50"/>
        <w:ind w:firstLine="500" w:firstLineChars="200"/>
        <w:rPr>
          <w:rFonts w:ascii="宋体" w:hAnsi="宋体"/>
        </w:rPr>
      </w:pPr>
      <w:r>
        <w:rPr>
          <w:rFonts w:ascii="宋体" w:hAnsi="宋体"/>
        </w:rPr>
        <w:t>（2）产品交货时，按有关规定的检验项目按每批产品的1%抽样进行检查。抽检不合格时，应加倍取样进行第二次检查，如仍不合格时，将视情况作退货处理或100%检查，其费用由承包商承担。</w:t>
      </w:r>
    </w:p>
    <w:p>
      <w:pPr>
        <w:adjustRightInd w:val="0"/>
        <w:snapToGrid w:val="0"/>
        <w:spacing w:before="203" w:beforeLines="50" w:after="203" w:afterLines="50"/>
        <w:ind w:firstLine="500" w:firstLineChars="200"/>
        <w:rPr>
          <w:rFonts w:ascii="宋体" w:hAnsi="宋体"/>
        </w:rPr>
      </w:pPr>
      <w:r>
        <w:rPr>
          <w:rFonts w:ascii="宋体" w:hAnsi="宋体"/>
        </w:rPr>
        <w:t>其它要求</w:t>
      </w:r>
      <w:r>
        <w:rPr>
          <w:rFonts w:hint="eastAsia" w:ascii="宋体" w:hAnsi="宋体"/>
        </w:rPr>
        <w:t>：</w:t>
      </w:r>
      <w:r>
        <w:rPr>
          <w:rFonts w:ascii="宋体" w:hAnsi="宋体"/>
        </w:rPr>
        <w:t>规格及数量等见各建（构）物图纸和工程量清单。</w:t>
      </w:r>
    </w:p>
    <w:p>
      <w:pPr>
        <w:keepNext/>
        <w:tabs>
          <w:tab w:val="left" w:pos="993"/>
        </w:tabs>
        <w:adjustRightInd w:val="0"/>
        <w:snapToGrid w:val="0"/>
        <w:spacing w:before="203" w:beforeLines="50" w:after="203" w:afterLines="50"/>
        <w:outlineLvl w:val="2"/>
        <w:rPr>
          <w:rFonts w:ascii="宋体" w:hAnsi="宋体"/>
          <w:b/>
          <w:bCs/>
        </w:rPr>
      </w:pPr>
      <w:bookmarkStart w:id="7389" w:name="_Toc159143774"/>
      <w:bookmarkStart w:id="7390" w:name="_Toc450585030"/>
      <w:bookmarkStart w:id="7391" w:name="_Toc238874607"/>
      <w:bookmarkStart w:id="7392" w:name="_Toc106883818"/>
      <w:r>
        <w:rPr>
          <w:rFonts w:hint="eastAsia" w:ascii="宋体" w:hAnsi="宋体"/>
          <w:b/>
          <w:bCs/>
        </w:rPr>
        <w:t>10.6.4</w:t>
      </w:r>
      <w:r>
        <w:rPr>
          <w:rFonts w:ascii="宋体" w:hAnsi="宋体"/>
          <w:b/>
          <w:bCs/>
        </w:rPr>
        <w:t>电缆桥架</w:t>
      </w:r>
      <w:bookmarkEnd w:id="7389"/>
      <w:bookmarkEnd w:id="7390"/>
      <w:bookmarkEnd w:id="7391"/>
      <w:bookmarkEnd w:id="7392"/>
    </w:p>
    <w:p>
      <w:pPr>
        <w:adjustRightInd w:val="0"/>
        <w:snapToGrid w:val="0"/>
        <w:spacing w:before="203" w:beforeLines="50" w:after="203" w:afterLines="50"/>
        <w:ind w:firstLine="500" w:firstLineChars="200"/>
        <w:rPr>
          <w:rFonts w:ascii="宋体" w:hAnsi="宋体"/>
        </w:rPr>
      </w:pPr>
      <w:r>
        <w:rPr>
          <w:rFonts w:ascii="宋体" w:hAnsi="宋体"/>
        </w:rPr>
        <w:t>CSP合金塑料电缆桥架规格及数量等见各建（构）物设计附图及相关电气施工图附图。</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承包商应按设计院提供的电缆桥架布置图，提供梯架、桥架安装图。</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支吊架安装图和材料表，并完成二次设计再列出订供货清单，经需方认可后，订货完成各种规格标准件，特殊件的零部件设计，提供电缆桥架的制成品。</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承包商应按需方要求提供电缆桥架现场安装部件组装详图，供现场安装指导用。</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承包商应按需方提供的电缆桥架布置图，对不同规格的长度和主要附件进行报价。</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工程施工安装中现场临时变更，所需补充增订部件，应按设计要求，承包商应尽力及早提供，不要影响施工进度。</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承包商应说明承包商提供的电缆桥架的使用寿命不会受到本规范书提供的环境条件的影响，如果受到影响，承包商应对这些条件进行鉴定，并以文字形式说明其影响。</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电缆桥架应采用符合产品要求的材料生产。不能使用不合格的材料或不合格的代用材料生产。</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质量保证和试验</w:t>
      </w:r>
      <w:r>
        <w:rPr>
          <w:rFonts w:hint="eastAsia" w:ascii="宋体" w:hAnsi="宋体"/>
          <w:lang w:val="zh-CN"/>
        </w:rPr>
        <w:t>：</w:t>
      </w:r>
      <w:r>
        <w:rPr>
          <w:rFonts w:ascii="宋体" w:hAnsi="宋体"/>
          <w:lang w:val="zh-CN"/>
        </w:rPr>
        <w:t>质量保证和试验要求应符合需方有关电缆桥架的要求。</w:t>
      </w:r>
    </w:p>
    <w:p>
      <w:pPr>
        <w:adjustRightInd w:val="0"/>
        <w:snapToGrid w:val="0"/>
        <w:spacing w:before="203" w:beforeLines="50" w:after="203" w:afterLines="50"/>
        <w:ind w:firstLine="500" w:firstLineChars="200"/>
        <w:rPr>
          <w:rFonts w:ascii="宋体" w:hAnsi="宋体"/>
        </w:rPr>
      </w:pPr>
      <w:r>
        <w:rPr>
          <w:rFonts w:ascii="宋体" w:hAnsi="宋体"/>
        </w:rPr>
        <w:t>质量保证</w:t>
      </w:r>
      <w:r>
        <w:rPr>
          <w:rFonts w:hint="eastAsia" w:ascii="宋体" w:hAnsi="宋体"/>
        </w:rPr>
        <w:t>：</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定购的新型产品除应满足本规范书外，承包商还应提供该产品的鉴定证书。</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承包商应保证制造过程中的所有工艺、材料试验等（包括承包商的外购件在内）均应符合本规范书的规定。若需方根据运行经验指定承包商提供某种外购零部件，承包商应积极配合。</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附属及配套设备必须满足本规范书的有关规定的厂标和行业标准、国标的要求，并提供试验报告和产品合格证。</w:t>
      </w:r>
    </w:p>
    <w:p>
      <w:pPr>
        <w:adjustRightInd w:val="0"/>
        <w:snapToGrid w:val="0"/>
        <w:spacing w:before="203" w:beforeLines="50" w:after="203" w:afterLines="50"/>
        <w:ind w:firstLine="500" w:firstLineChars="200"/>
        <w:rPr>
          <w:rFonts w:ascii="宋体" w:hAnsi="宋体"/>
        </w:rPr>
      </w:pPr>
      <w:r>
        <w:rPr>
          <w:rFonts w:ascii="宋体" w:hAnsi="宋体"/>
        </w:rPr>
        <w:t>试验和验收准则</w:t>
      </w:r>
      <w:r>
        <w:rPr>
          <w:rFonts w:hint="eastAsia" w:ascii="宋体" w:hAnsi="宋体"/>
        </w:rPr>
        <w:t>：</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承包商提供的所有电缆桥架产品应进行适用标准中规定的全部检验、出厂试验和形式试验，以确保材料和工艺符合规范和图纸的技术要求。</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承包商应提供产品或材料和适用标准中规定的出厂试验和形式试验的技术要求相一致的证明书。</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需方保留最终车间功能性试验期间拥有代表性文件的权利。承包商至少提前60天通知需方试验的日期。</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专用工具</w:t>
      </w:r>
      <w:r>
        <w:rPr>
          <w:rFonts w:hint="eastAsia" w:ascii="宋体" w:hAnsi="宋体"/>
          <w:lang w:val="zh-CN"/>
        </w:rPr>
        <w:t>：</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承包商应向需方提供为了电缆桥架装配和维修用的全部必须的专用工具和辅助设备，并说明每种专用工具用途和使用方法。</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图纸和资料</w:t>
      </w:r>
      <w:r>
        <w:rPr>
          <w:rFonts w:hint="eastAsia" w:ascii="宋体" w:hAnsi="宋体"/>
          <w:lang w:val="zh-CN"/>
        </w:rPr>
        <w:t>：</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需方提供的资料</w:t>
      </w:r>
      <w:r>
        <w:rPr>
          <w:rFonts w:hint="eastAsia" w:ascii="宋体" w:hAnsi="宋体"/>
          <w:lang w:val="zh-CN"/>
        </w:rPr>
        <w:t>：</w:t>
      </w:r>
      <w:r>
        <w:rPr>
          <w:rFonts w:ascii="宋体" w:hAnsi="宋体"/>
          <w:lang w:val="zh-CN"/>
        </w:rPr>
        <w:t>在合同生效后由需方提供电缆桥架的平断面布置图</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承包商提供的资料</w:t>
      </w:r>
      <w:r>
        <w:rPr>
          <w:rFonts w:hint="eastAsia" w:ascii="宋体" w:hAnsi="宋体"/>
          <w:lang w:val="zh-CN"/>
        </w:rPr>
        <w:t>：</w:t>
      </w:r>
      <w:r>
        <w:rPr>
          <w:rFonts w:ascii="宋体" w:hAnsi="宋体"/>
          <w:lang w:val="zh-CN"/>
        </w:rPr>
        <w:t>承包商应按本规范书要求提供电缆桥架的资料，并对提供资料的正确性负责。</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（1）</w:t>
      </w:r>
      <w:r>
        <w:rPr>
          <w:rFonts w:ascii="宋体" w:hAnsi="宋体"/>
          <w:lang w:val="zh-CN"/>
        </w:rPr>
        <w:tab/>
      </w:r>
      <w:r>
        <w:rPr>
          <w:rFonts w:ascii="宋体" w:hAnsi="宋体"/>
          <w:lang w:val="zh-CN"/>
        </w:rPr>
        <w:t>电缆桥架详细样本及有关资料</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（2）</w:t>
      </w:r>
      <w:r>
        <w:rPr>
          <w:rFonts w:ascii="宋体" w:hAnsi="宋体"/>
          <w:lang w:val="zh-CN"/>
        </w:rPr>
        <w:tab/>
      </w:r>
      <w:r>
        <w:rPr>
          <w:rFonts w:ascii="宋体" w:hAnsi="宋体"/>
          <w:lang w:val="zh-CN"/>
        </w:rPr>
        <w:t>建议的备品备件清单</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（3）</w:t>
      </w:r>
      <w:r>
        <w:rPr>
          <w:rFonts w:ascii="宋体" w:hAnsi="宋体"/>
          <w:lang w:val="zh-CN"/>
        </w:rPr>
        <w:tab/>
      </w:r>
      <w:r>
        <w:rPr>
          <w:rFonts w:ascii="宋体" w:hAnsi="宋体"/>
          <w:lang w:val="zh-CN"/>
        </w:rPr>
        <w:t>专用工具清单</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（4）</w:t>
      </w:r>
      <w:r>
        <w:rPr>
          <w:rFonts w:ascii="宋体" w:hAnsi="宋体"/>
          <w:lang w:val="zh-CN"/>
        </w:rPr>
        <w:tab/>
      </w:r>
      <w:r>
        <w:rPr>
          <w:rFonts w:ascii="宋体" w:hAnsi="宋体"/>
          <w:lang w:val="zh-CN"/>
        </w:rPr>
        <w:t>工厂试验通知</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（5）</w:t>
      </w:r>
      <w:r>
        <w:rPr>
          <w:rFonts w:ascii="宋体" w:hAnsi="宋体"/>
          <w:lang w:val="zh-CN"/>
        </w:rPr>
        <w:tab/>
      </w:r>
      <w:r>
        <w:rPr>
          <w:rFonts w:ascii="宋体" w:hAnsi="宋体"/>
          <w:lang w:val="zh-CN"/>
        </w:rPr>
        <w:t>记录文件</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（6）</w:t>
      </w:r>
      <w:r>
        <w:rPr>
          <w:rFonts w:ascii="宋体" w:hAnsi="宋体"/>
          <w:lang w:val="zh-CN"/>
        </w:rPr>
        <w:tab/>
      </w:r>
      <w:r>
        <w:rPr>
          <w:rFonts w:ascii="宋体" w:hAnsi="宋体"/>
          <w:lang w:val="zh-CN"/>
        </w:rPr>
        <w:t>合格证书及文件</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（7）</w:t>
      </w:r>
      <w:r>
        <w:rPr>
          <w:rFonts w:ascii="宋体" w:hAnsi="宋体"/>
          <w:lang w:val="zh-CN"/>
        </w:rPr>
        <w:tab/>
      </w:r>
      <w:r>
        <w:rPr>
          <w:rFonts w:ascii="宋体" w:hAnsi="宋体"/>
          <w:lang w:val="zh-CN"/>
        </w:rPr>
        <w:t>安装指导手册</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（8）完成二次设计后列出的供货详细清单</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（9）部件安装详图</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试验和验收准则</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承包商提供的所有电缆桥架产品应进行适用标准中规定的全部检验、出厂试验和形式试验，以确保材料和工艺符合规范和图纸的技术要求。</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承包商应提供产品或材料和适用标准中规定的出厂试验和形式试验的技术要求相一致的证明书。</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需方保留最终车间功能性试验期间拥有代表性文件的权利。承包商至少提前60天通知需方试验的日期。质量保证期为电缆桥架、盖板到货验收、安装、投运后24个月。保证期内由于承包商的原因（如设计错误、制造不良、组装不好等）致使电缆桥架、盖板运到现场，在安装和运行过程中出现缺陷和损坏时，承包商应在48小时内自费到现场免费修理或更换。</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铭牌</w:t>
      </w:r>
      <w:r>
        <w:rPr>
          <w:rFonts w:hint="eastAsia" w:ascii="宋体" w:hAnsi="宋体"/>
          <w:lang w:val="zh-CN"/>
        </w:rPr>
        <w:t>：</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（1）每块电缆桥架的侧面外正中位置应配有铭牌。铭牌内容包括：产品名称、型号、规格、生产厂家、出厂日期（年月）</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（2）铭牌应清晰且不易损坏。</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供货范围</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（1）电缆桥架、桥架弯通、盖板、托臂、连接板和紧固件。</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（2）电缆桥架弯通、盖板、托臂（配弯通）、连接板和紧固件的数量、规格由生产厂家确定。</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包装和运输</w:t>
      </w:r>
      <w:r>
        <w:rPr>
          <w:rFonts w:hint="eastAsia" w:ascii="宋体" w:hAnsi="宋体"/>
          <w:lang w:val="zh-CN"/>
        </w:rPr>
        <w:t>：</w:t>
      </w:r>
    </w:p>
    <w:p>
      <w:pPr>
        <w:adjustRightInd w:val="0"/>
        <w:snapToGrid w:val="0"/>
        <w:spacing w:before="203" w:beforeLines="50" w:after="203" w:afterLines="50"/>
        <w:ind w:firstLine="500" w:firstLineChars="200"/>
        <w:rPr>
          <w:rFonts w:ascii="宋体" w:hAnsi="宋体"/>
          <w:lang w:val="zh-CN"/>
        </w:rPr>
      </w:pPr>
      <w:r>
        <w:rPr>
          <w:rFonts w:ascii="宋体" w:hAnsi="宋体"/>
          <w:lang w:val="zh-CN"/>
        </w:rPr>
        <w:t>（1）包装和运输应符合GB7251-87标准及JB3084-82标准的规定。</w:t>
      </w:r>
    </w:p>
    <w:p>
      <w:pPr>
        <w:adjustRightInd w:val="0"/>
        <w:snapToGrid w:val="0"/>
        <w:spacing w:before="203" w:beforeLines="50" w:after="203" w:afterLines="50"/>
        <w:ind w:firstLine="500" w:firstLineChars="200"/>
        <w:rPr>
          <w:rFonts w:ascii="宋体" w:hAnsi="宋体"/>
        </w:rPr>
      </w:pPr>
      <w:r>
        <w:rPr>
          <w:rFonts w:ascii="宋体" w:hAnsi="宋体"/>
          <w:lang w:val="zh-CN"/>
        </w:rPr>
        <w:t>（2）货物在发运前一周，承包商应将发运日期、货物名称、箱号、件数、每件重量及体积、合同号、运输方式、总重量、总体积、储运注意事项等信息以电报、传真等方式通知业主，以便业主及时安排接运和贮存。</w:t>
      </w:r>
    </w:p>
    <w:p>
      <w:pPr>
        <w:keepNext/>
        <w:adjustRightInd w:val="0"/>
        <w:snapToGrid w:val="0"/>
        <w:spacing w:before="203" w:beforeLines="50" w:after="203" w:afterLines="50"/>
        <w:outlineLvl w:val="1"/>
        <w:rPr>
          <w:rFonts w:ascii="宋体" w:hAnsi="宋体" w:cs="楷体"/>
          <w:b/>
        </w:rPr>
      </w:pPr>
      <w:bookmarkStart w:id="7393" w:name="_Toc301178873"/>
      <w:bookmarkStart w:id="7394" w:name="_Toc450585033"/>
      <w:bookmarkStart w:id="7395" w:name="_Toc401327972"/>
      <w:bookmarkStart w:id="7396" w:name="_Toc301171446"/>
      <w:bookmarkStart w:id="7397" w:name="_Toc456692058"/>
      <w:bookmarkStart w:id="7398" w:name="_Toc98143131"/>
      <w:bookmarkStart w:id="7399" w:name="_Toc106883819"/>
      <w:r>
        <w:rPr>
          <w:rFonts w:hint="eastAsia" w:ascii="宋体" w:hAnsi="宋体" w:cs="楷体"/>
          <w:b/>
        </w:rPr>
        <w:t>10.7</w:t>
      </w:r>
      <w:r>
        <w:rPr>
          <w:rFonts w:ascii="宋体" w:hAnsi="宋体" w:cs="楷体"/>
          <w:b/>
        </w:rPr>
        <w:t>实施要求</w:t>
      </w:r>
      <w:bookmarkEnd w:id="7393"/>
      <w:bookmarkEnd w:id="7394"/>
      <w:bookmarkEnd w:id="7395"/>
      <w:bookmarkEnd w:id="7396"/>
      <w:bookmarkEnd w:id="7397"/>
      <w:bookmarkEnd w:id="7398"/>
      <w:bookmarkEnd w:id="7399"/>
    </w:p>
    <w:p>
      <w:pPr>
        <w:keepNext/>
        <w:adjustRightInd w:val="0"/>
        <w:snapToGrid w:val="0"/>
        <w:spacing w:before="203" w:beforeLines="50" w:after="203" w:afterLines="50"/>
        <w:outlineLvl w:val="0"/>
        <w:rPr>
          <w:rFonts w:ascii="宋体" w:hAnsi="宋体"/>
          <w:b/>
          <w:bCs/>
        </w:rPr>
      </w:pPr>
      <w:bookmarkStart w:id="7400" w:name="_Toc301171447"/>
      <w:bookmarkStart w:id="7401" w:name="_Toc301178874"/>
      <w:bookmarkStart w:id="7402" w:name="_Toc98143132"/>
      <w:bookmarkStart w:id="7403" w:name="_Toc401327973"/>
      <w:bookmarkStart w:id="7404" w:name="_Toc450585034"/>
      <w:bookmarkStart w:id="7405" w:name="_Toc106883820"/>
      <w:r>
        <w:rPr>
          <w:rFonts w:hint="eastAsia" w:ascii="宋体" w:hAnsi="宋体"/>
          <w:b/>
          <w:bCs/>
        </w:rPr>
        <w:t>10.7.1</w:t>
      </w:r>
      <w:r>
        <w:rPr>
          <w:rFonts w:ascii="宋体" w:hAnsi="宋体"/>
          <w:b/>
          <w:bCs/>
        </w:rPr>
        <w:t>质量保证</w:t>
      </w:r>
      <w:bookmarkEnd w:id="7400"/>
      <w:bookmarkEnd w:id="7401"/>
      <w:bookmarkEnd w:id="7402"/>
      <w:bookmarkEnd w:id="7403"/>
      <w:bookmarkEnd w:id="7404"/>
      <w:bookmarkEnd w:id="7405"/>
    </w:p>
    <w:p>
      <w:pPr>
        <w:adjustRightInd w:val="0"/>
        <w:snapToGrid w:val="0"/>
        <w:spacing w:before="203" w:beforeLines="50" w:after="203" w:afterLines="50"/>
        <w:ind w:firstLine="500" w:firstLineChars="200"/>
        <w:rPr>
          <w:rFonts w:ascii="宋体" w:hAnsi="宋体"/>
        </w:rPr>
      </w:pPr>
      <w:r>
        <w:rPr>
          <w:rFonts w:ascii="宋体" w:hAnsi="宋体"/>
        </w:rPr>
        <w:t>承包商所提供产品的质量、安装施工工艺、测试手段及方法都应符合国际、国内最新颁布的标准和规范要求。</w:t>
      </w:r>
    </w:p>
    <w:p>
      <w:pPr>
        <w:adjustRightInd w:val="0"/>
        <w:snapToGrid w:val="0"/>
        <w:spacing w:before="203" w:beforeLines="50" w:after="203" w:afterLines="50"/>
        <w:ind w:firstLine="500" w:firstLineChars="200"/>
        <w:rPr>
          <w:rFonts w:ascii="宋体" w:hAnsi="宋体"/>
        </w:rPr>
      </w:pPr>
      <w:r>
        <w:rPr>
          <w:rFonts w:ascii="宋体" w:hAnsi="宋体"/>
        </w:rPr>
        <w:t>承包商所提供的产品必须是全新的、无破损的，并为原厂包装，并符合合同规定的规格、质量，如不符时，承包商应负全责并免费更换全部不合格产品。所有因产品规格不符、产品质量不符及产品损坏而造成的工程延误和由此产生的相关费用由承包商负责，招标方保留终止合同和向承包商索赔的权利。</w:t>
      </w:r>
    </w:p>
    <w:p>
      <w:pPr>
        <w:keepNext/>
        <w:tabs>
          <w:tab w:val="left" w:pos="993"/>
        </w:tabs>
        <w:adjustRightInd w:val="0"/>
        <w:snapToGrid w:val="0"/>
        <w:spacing w:before="203" w:beforeLines="50" w:after="203" w:afterLines="50"/>
        <w:outlineLvl w:val="0"/>
        <w:rPr>
          <w:rFonts w:ascii="宋体" w:hAnsi="宋体"/>
          <w:b/>
          <w:bCs/>
        </w:rPr>
      </w:pPr>
      <w:bookmarkStart w:id="7406" w:name="_Toc401327974"/>
      <w:bookmarkStart w:id="7407" w:name="_Toc98143133"/>
      <w:bookmarkStart w:id="7408" w:name="_Toc301178875"/>
      <w:bookmarkStart w:id="7409" w:name="_Toc301171448"/>
      <w:bookmarkStart w:id="7410" w:name="_Toc450585035"/>
      <w:bookmarkStart w:id="7411" w:name="_Toc106883821"/>
      <w:r>
        <w:rPr>
          <w:rFonts w:hint="eastAsia" w:ascii="宋体" w:hAnsi="宋体"/>
          <w:b/>
          <w:bCs/>
        </w:rPr>
        <w:t>10.7.2</w:t>
      </w:r>
      <w:r>
        <w:rPr>
          <w:rFonts w:hint="eastAsia" w:ascii="宋体" w:hAnsi="宋体"/>
          <w:b/>
          <w:bCs/>
        </w:rPr>
        <w:tab/>
      </w:r>
      <w:r>
        <w:rPr>
          <w:rFonts w:ascii="宋体" w:hAnsi="宋体"/>
          <w:b/>
          <w:bCs/>
        </w:rPr>
        <w:t>工程安装</w:t>
      </w:r>
      <w:bookmarkEnd w:id="7406"/>
      <w:bookmarkEnd w:id="7407"/>
      <w:bookmarkEnd w:id="7408"/>
      <w:bookmarkEnd w:id="7409"/>
      <w:bookmarkEnd w:id="7410"/>
      <w:bookmarkEnd w:id="7411"/>
    </w:p>
    <w:p>
      <w:pPr>
        <w:adjustRightInd w:val="0"/>
        <w:snapToGrid w:val="0"/>
        <w:spacing w:before="203" w:beforeLines="50" w:after="203" w:afterLines="50"/>
        <w:ind w:firstLine="500" w:firstLineChars="200"/>
        <w:rPr>
          <w:rFonts w:ascii="宋体" w:hAnsi="宋体"/>
        </w:rPr>
      </w:pPr>
      <w:r>
        <w:rPr>
          <w:rFonts w:ascii="宋体" w:hAnsi="宋体"/>
        </w:rPr>
        <w:t>承包商应按项目监理发出的开工通知中约定的时间和其他要求进场并开工。承包商必须定期参加现场会议，积极配合业主工作，以解决安装、调试、试运行中的所有问题。</w:t>
      </w:r>
    </w:p>
    <w:p>
      <w:pPr>
        <w:adjustRightInd w:val="0"/>
        <w:snapToGrid w:val="0"/>
        <w:spacing w:before="203" w:beforeLines="50" w:after="203" w:afterLines="50"/>
        <w:ind w:firstLine="500" w:firstLineChars="200"/>
        <w:rPr>
          <w:rFonts w:ascii="宋体" w:hAnsi="宋体"/>
        </w:rPr>
      </w:pPr>
      <w:r>
        <w:rPr>
          <w:rFonts w:ascii="宋体" w:hAnsi="宋体"/>
        </w:rPr>
        <w:t>为了保证在进场后能尽快实施安装调试，承包商应在进场前做好必要和适当的任何准备工作。这些准备工作应视为承包商为了完成合同而进行的工作的一部分。承包商应当设置合理可行的现场组织机构，并为此安排具有足够经验、认真负责和精干职称的管理和技术人员。除非事先得到业主书面批准，承包商不得更换或厂撤回主要管理人员和技术人员。</w:t>
      </w:r>
    </w:p>
    <w:p>
      <w:pPr>
        <w:adjustRightInd w:val="0"/>
        <w:snapToGrid w:val="0"/>
        <w:spacing w:before="203" w:beforeLines="50" w:after="203" w:afterLines="50"/>
        <w:ind w:firstLine="500" w:firstLineChars="200"/>
        <w:rPr>
          <w:rFonts w:ascii="宋体" w:hAnsi="宋体"/>
        </w:rPr>
      </w:pPr>
      <w:r>
        <w:rPr>
          <w:rFonts w:ascii="宋体" w:hAnsi="宋体"/>
        </w:rPr>
        <w:t>如果承包商擅自调配资格能力不符合业主要求的队伍或施工人员进驻现场，将遭到拒绝，由此引起的一切后果和费用均由承包商负责承担。</w:t>
      </w:r>
    </w:p>
    <w:p>
      <w:pPr>
        <w:adjustRightInd w:val="0"/>
        <w:snapToGrid w:val="0"/>
        <w:spacing w:before="203" w:beforeLines="50" w:after="203" w:afterLines="50"/>
        <w:ind w:firstLine="500" w:firstLineChars="200"/>
        <w:rPr>
          <w:rFonts w:ascii="宋体" w:hAnsi="宋体"/>
        </w:rPr>
      </w:pPr>
      <w:r>
        <w:rPr>
          <w:rFonts w:ascii="宋体" w:hAnsi="宋体"/>
        </w:rPr>
        <w:t>承包商应承担其在工地的一切人员劳务报酬、住宿、膳食、交通、必要的证件、许可和注册、办公和生活环境所需的必需品等所发生的费用。承包商负责其在工地的一切人员的人身安全及一切保险，若发生任何安全事故，应由承包商承担全部赔偿责任。承包商应为由于承包商任何人员的伤亡所导致的损失和索赔保险，并能使业主依此保险得到保障而免除损失、索赔或诉讼。</w:t>
      </w:r>
    </w:p>
    <w:p>
      <w:pPr>
        <w:adjustRightInd w:val="0"/>
        <w:snapToGrid w:val="0"/>
        <w:spacing w:before="203" w:beforeLines="50" w:after="203" w:afterLines="50"/>
        <w:ind w:firstLine="500" w:firstLineChars="200"/>
        <w:rPr>
          <w:rFonts w:ascii="宋体" w:hAnsi="宋体"/>
        </w:rPr>
      </w:pPr>
      <w:r>
        <w:rPr>
          <w:rFonts w:ascii="宋体" w:hAnsi="宋体"/>
        </w:rPr>
        <w:t>承包商为本工程雇佣的特殊工种的工人和操作人员应手过专门的培训，并已取得政府和有关管理机构规定的上岗证书。除非合同中另有约定，承包商应在中标通知书发出的28天内，按业主和项目监理同意的格式和详细程度，向业主和项目监理提交一份完整的工程进度计划。以获取项目监理的批准。无论业主和项目监理何时需要，承包商还以书面形式提交一份为保证该进度计划而拟采用的方法和安排的说明，以供业主和项目监理参考。</w:t>
      </w:r>
    </w:p>
    <w:p>
      <w:pPr>
        <w:adjustRightInd w:val="0"/>
        <w:snapToGrid w:val="0"/>
        <w:spacing w:before="203" w:beforeLines="50" w:after="203" w:afterLines="50"/>
        <w:ind w:firstLine="500" w:firstLineChars="200"/>
        <w:rPr>
          <w:rFonts w:ascii="宋体" w:hAnsi="宋体"/>
        </w:rPr>
      </w:pPr>
      <w:r>
        <w:rPr>
          <w:rFonts w:ascii="宋体" w:hAnsi="宋体"/>
        </w:rPr>
        <w:t>无论何时，如果项目监理认为设备安装调试的实际进度与已经批准的进度计划不符，承包商应根据项目监理的要求提出一份经过修订的进度计划，以显示为保证工程按期竣工而对原进度计划所做的修改。</w:t>
      </w:r>
    </w:p>
    <w:p>
      <w:pPr>
        <w:adjustRightInd w:val="0"/>
        <w:snapToGrid w:val="0"/>
        <w:spacing w:before="203" w:beforeLines="50" w:after="203" w:afterLines="50"/>
        <w:ind w:firstLine="500" w:firstLineChars="200"/>
        <w:rPr>
          <w:rFonts w:ascii="宋体" w:hAnsi="宋体"/>
        </w:rPr>
      </w:pPr>
      <w:r>
        <w:rPr>
          <w:rFonts w:ascii="宋体" w:hAnsi="宋体"/>
        </w:rPr>
        <w:t>承包商应采取任何必要和适当的措施来保证工程按照批准的进度计划或按照经过修订的进度计划进行，任何与此类措施有关的费用由承包商承担。承包商有责任对土建工程为弱电系统预留或开凿的孔洞位置、大小尺寸进行指导和复核，否则造成的任何返工和修复的费用以及供气的延误，由承包商承担。</w:t>
      </w:r>
    </w:p>
    <w:p>
      <w:pPr>
        <w:keepNext/>
        <w:tabs>
          <w:tab w:val="left" w:pos="993"/>
        </w:tabs>
        <w:adjustRightInd w:val="0"/>
        <w:snapToGrid w:val="0"/>
        <w:spacing w:before="203" w:beforeLines="50" w:after="203" w:afterLines="50"/>
        <w:outlineLvl w:val="2"/>
        <w:rPr>
          <w:rFonts w:ascii="宋体" w:hAnsi="宋体"/>
          <w:b/>
          <w:bCs/>
        </w:rPr>
      </w:pPr>
      <w:bookmarkStart w:id="7412" w:name="_Toc401327975"/>
      <w:bookmarkStart w:id="7413" w:name="_Toc301178876"/>
      <w:bookmarkStart w:id="7414" w:name="_Toc450585036"/>
      <w:bookmarkStart w:id="7415" w:name="_Toc98143134"/>
      <w:bookmarkStart w:id="7416" w:name="_Toc301171449"/>
      <w:bookmarkStart w:id="7417" w:name="_Toc106883822"/>
      <w:r>
        <w:rPr>
          <w:rFonts w:hint="eastAsia" w:ascii="宋体" w:hAnsi="宋体"/>
          <w:b/>
          <w:bCs/>
        </w:rPr>
        <w:t>10.7.3</w:t>
      </w:r>
      <w:r>
        <w:rPr>
          <w:rFonts w:hint="eastAsia" w:ascii="宋体" w:hAnsi="宋体"/>
          <w:b/>
          <w:bCs/>
        </w:rPr>
        <w:tab/>
      </w:r>
      <w:r>
        <w:rPr>
          <w:rFonts w:ascii="宋体" w:hAnsi="宋体"/>
          <w:b/>
          <w:bCs/>
        </w:rPr>
        <w:t>变更</w:t>
      </w:r>
      <w:bookmarkEnd w:id="7412"/>
      <w:bookmarkEnd w:id="7413"/>
      <w:bookmarkEnd w:id="7414"/>
      <w:bookmarkEnd w:id="7415"/>
      <w:bookmarkEnd w:id="7416"/>
      <w:bookmarkEnd w:id="7417"/>
    </w:p>
    <w:p>
      <w:pPr>
        <w:adjustRightInd w:val="0"/>
        <w:snapToGrid w:val="0"/>
        <w:spacing w:before="203" w:beforeLines="50" w:after="203" w:afterLines="50"/>
        <w:ind w:firstLine="500" w:firstLineChars="200"/>
        <w:rPr>
          <w:rFonts w:ascii="宋体" w:hAnsi="宋体"/>
        </w:rPr>
      </w:pPr>
      <w:r>
        <w:rPr>
          <w:rFonts w:ascii="宋体" w:hAnsi="宋体"/>
        </w:rPr>
        <w:t>承包商在设备和系统上做出任何超出合同规定的调整，必须经过业主和项目监理的同意。如果发现设备或系统的性能指标已严重影响工程质量和进度，承包商必须事先取得业主和项目监理的同意才能做出调整。</w:t>
      </w:r>
    </w:p>
    <w:p>
      <w:pPr>
        <w:adjustRightInd w:val="0"/>
        <w:snapToGrid w:val="0"/>
        <w:spacing w:before="203" w:beforeLines="50" w:after="203" w:afterLines="50"/>
        <w:ind w:firstLine="500" w:firstLineChars="200"/>
        <w:rPr>
          <w:rFonts w:ascii="宋体" w:hAnsi="宋体"/>
        </w:rPr>
      </w:pPr>
      <w:r>
        <w:rPr>
          <w:rFonts w:ascii="宋体" w:hAnsi="宋体"/>
        </w:rPr>
        <w:t>业主可以根据工程的实际情况向承包商发出更改通知，包括增加或减少设备和材料的数量，承包商应在业主要求的期限内完成修改工作。</w:t>
      </w:r>
    </w:p>
    <w:p>
      <w:pPr>
        <w:adjustRightInd w:val="0"/>
        <w:snapToGrid w:val="0"/>
        <w:spacing w:before="203" w:beforeLines="50" w:after="203" w:afterLines="50"/>
        <w:ind w:firstLine="500" w:firstLineChars="200"/>
        <w:rPr>
          <w:rFonts w:ascii="宋体" w:hAnsi="宋体"/>
        </w:rPr>
      </w:pPr>
      <w:r>
        <w:rPr>
          <w:rFonts w:ascii="宋体" w:hAnsi="宋体"/>
        </w:rPr>
        <w:t>所有设备的安装位置、线缆及线槽敷设的走向、监控点位置等，由于建筑结构、机电设备、装修、使用需求或其它因素造成的变更，由业主和项目监理发出变更指示，承包商应遵照执行。没有业主和项目监理的书面指示，承包商不得作任何变更。</w:t>
      </w:r>
    </w:p>
    <w:p>
      <w:pPr>
        <w:adjustRightInd w:val="0"/>
        <w:snapToGrid w:val="0"/>
        <w:spacing w:before="203" w:beforeLines="50" w:after="203" w:afterLines="50"/>
        <w:ind w:firstLine="500" w:firstLineChars="200"/>
        <w:rPr>
          <w:rFonts w:ascii="宋体" w:hAnsi="宋体"/>
        </w:rPr>
      </w:pPr>
      <w:r>
        <w:rPr>
          <w:rFonts w:ascii="宋体" w:hAnsi="宋体"/>
        </w:rPr>
        <w:t>由于变更产生的费用，属于产品供货范围的，在产品供货合同中做出相应调整；属于施工安装范围的，由项目监理确认后，按全约定的方法进行调整。</w:t>
      </w:r>
    </w:p>
    <w:p>
      <w:pPr>
        <w:keepNext/>
        <w:tabs>
          <w:tab w:val="left" w:pos="993"/>
        </w:tabs>
        <w:adjustRightInd w:val="0"/>
        <w:snapToGrid w:val="0"/>
        <w:spacing w:before="203" w:beforeLines="50" w:after="203" w:afterLines="50"/>
        <w:outlineLvl w:val="0"/>
        <w:rPr>
          <w:rFonts w:ascii="宋体" w:hAnsi="宋体"/>
          <w:b/>
          <w:bCs/>
        </w:rPr>
      </w:pPr>
      <w:bookmarkStart w:id="7418" w:name="_Toc401327976"/>
      <w:bookmarkStart w:id="7419" w:name="_Toc98143135"/>
      <w:bookmarkStart w:id="7420" w:name="_Toc301178877"/>
      <w:bookmarkStart w:id="7421" w:name="_Toc301171450"/>
      <w:bookmarkStart w:id="7422" w:name="_Toc450585037"/>
      <w:bookmarkStart w:id="7423" w:name="_Toc106883823"/>
      <w:r>
        <w:rPr>
          <w:rFonts w:hint="eastAsia" w:ascii="宋体" w:hAnsi="宋体"/>
          <w:b/>
          <w:bCs/>
        </w:rPr>
        <w:t>10.7.4</w:t>
      </w:r>
      <w:r>
        <w:rPr>
          <w:rFonts w:hint="eastAsia" w:ascii="宋体" w:hAnsi="宋体"/>
          <w:b/>
          <w:bCs/>
        </w:rPr>
        <w:tab/>
      </w:r>
      <w:r>
        <w:rPr>
          <w:rFonts w:ascii="宋体" w:hAnsi="宋体"/>
          <w:b/>
          <w:bCs/>
        </w:rPr>
        <w:t>现场成品保护</w:t>
      </w:r>
      <w:bookmarkEnd w:id="7418"/>
      <w:bookmarkEnd w:id="7419"/>
      <w:bookmarkEnd w:id="7420"/>
      <w:bookmarkEnd w:id="7421"/>
      <w:bookmarkEnd w:id="7422"/>
      <w:bookmarkEnd w:id="7423"/>
    </w:p>
    <w:p>
      <w:pPr>
        <w:adjustRightInd w:val="0"/>
        <w:snapToGrid w:val="0"/>
        <w:spacing w:before="203" w:beforeLines="50" w:after="203" w:afterLines="50"/>
        <w:ind w:firstLine="500" w:firstLineChars="200"/>
        <w:rPr>
          <w:rFonts w:ascii="宋体" w:hAnsi="宋体"/>
        </w:rPr>
      </w:pPr>
      <w:r>
        <w:rPr>
          <w:rFonts w:ascii="宋体" w:hAnsi="宋体"/>
        </w:rPr>
        <w:t>在工程施工期间，承包商应保持现场整洁，按规定存放并处置好承包商的任何设备和材料。</w:t>
      </w:r>
    </w:p>
    <w:p>
      <w:pPr>
        <w:adjustRightInd w:val="0"/>
        <w:snapToGrid w:val="0"/>
        <w:spacing w:before="203" w:beforeLines="50" w:after="203" w:afterLines="50"/>
        <w:ind w:firstLine="500" w:firstLineChars="200"/>
        <w:rPr>
          <w:rFonts w:ascii="宋体" w:hAnsi="宋体"/>
        </w:rPr>
      </w:pPr>
      <w:r>
        <w:rPr>
          <w:rFonts w:ascii="宋体" w:hAnsi="宋体"/>
        </w:rPr>
        <w:t>在工程结束正式移交给业主之前，承包商应从其所涉及的施工现场清除并运出承包商的全部施工设备、多余材料、垃圾和各种临时工程。承包商有权在现场保留为完成承包商在缺陷保修期内的各项义务所需要的那些材料、承包商的设备和临时工程，直至缺陷保修期结束。但承包商须服从业主的安排，并承担可能发生的费用。</w:t>
      </w:r>
    </w:p>
    <w:p>
      <w:pPr>
        <w:adjustRightInd w:val="0"/>
        <w:snapToGrid w:val="0"/>
        <w:spacing w:before="203" w:beforeLines="50" w:after="203" w:afterLines="50"/>
        <w:ind w:firstLine="500" w:firstLineChars="200"/>
        <w:rPr>
          <w:rFonts w:ascii="宋体" w:hAnsi="宋体"/>
        </w:rPr>
      </w:pPr>
      <w:r>
        <w:rPr>
          <w:rFonts w:ascii="宋体" w:hAnsi="宋体"/>
        </w:rPr>
        <w:t>除非合同中另有约定，从工程开工日期起直到颁发整个工程的竣工移交证书日期止，承包商应对整个工程、施工工程的中间成果、工程材料、待安装的工程设备等的保护负完全责任。这种保护的责任应随竣工移交证书一起移交给业主。</w:t>
      </w:r>
    </w:p>
    <w:p>
      <w:pPr>
        <w:adjustRightInd w:val="0"/>
        <w:snapToGrid w:val="0"/>
        <w:spacing w:before="203" w:beforeLines="50" w:after="203" w:afterLines="50"/>
        <w:ind w:firstLine="500" w:firstLineChars="200"/>
        <w:rPr>
          <w:rFonts w:ascii="宋体" w:hAnsi="宋体"/>
        </w:rPr>
      </w:pPr>
      <w:r>
        <w:rPr>
          <w:rFonts w:ascii="宋体" w:hAnsi="宋体"/>
        </w:rPr>
        <w:t>在承包商实施期间，如果承包商所负责工程、施工过程的中间成果、工程材料、设备出现任何损失或损坏，除非合同中另有约定，不论出于其他任何原因，承包商必须弥补此类损失或损坏，以使永久工程在各方面符合合同的约定，所发生的费用由承包商承担。</w:t>
      </w:r>
    </w:p>
    <w:p>
      <w:pPr>
        <w:adjustRightInd w:val="0"/>
        <w:snapToGrid w:val="0"/>
        <w:spacing w:before="203" w:beforeLines="50" w:after="203" w:afterLines="50"/>
        <w:ind w:firstLine="500" w:firstLineChars="200"/>
        <w:rPr>
          <w:rFonts w:ascii="宋体" w:hAnsi="宋体"/>
        </w:rPr>
      </w:pPr>
      <w:r>
        <w:rPr>
          <w:rFonts w:ascii="宋体" w:hAnsi="宋体"/>
        </w:rPr>
        <w:t>在承包商安装调试实施期间，除非经项目监理和业主同意，承包商不得对其责任以外的工程、施工过程中的中间成果、工程材料和设备造成损坏。承包商应对其在进行施工过程中造成的对工程的任何损失或损坏承担责任。</w:t>
      </w:r>
    </w:p>
    <w:p>
      <w:pPr>
        <w:keepNext/>
        <w:tabs>
          <w:tab w:val="left" w:pos="993"/>
        </w:tabs>
        <w:adjustRightInd w:val="0"/>
        <w:snapToGrid w:val="0"/>
        <w:spacing w:before="203" w:beforeLines="50" w:after="203" w:afterLines="50"/>
        <w:outlineLvl w:val="2"/>
        <w:rPr>
          <w:rFonts w:ascii="宋体" w:hAnsi="宋体"/>
          <w:b/>
          <w:bCs/>
        </w:rPr>
      </w:pPr>
      <w:bookmarkStart w:id="7424" w:name="_Toc301171451"/>
      <w:bookmarkStart w:id="7425" w:name="_Toc401327977"/>
      <w:bookmarkStart w:id="7426" w:name="_Toc301178878"/>
      <w:bookmarkStart w:id="7427" w:name="_Toc450585038"/>
      <w:bookmarkStart w:id="7428" w:name="_Toc98143136"/>
      <w:bookmarkStart w:id="7429" w:name="_Toc106883824"/>
      <w:r>
        <w:rPr>
          <w:rFonts w:hint="eastAsia" w:ascii="宋体" w:hAnsi="宋体"/>
          <w:b/>
          <w:bCs/>
        </w:rPr>
        <w:t>10.7.5</w:t>
      </w:r>
      <w:r>
        <w:rPr>
          <w:rFonts w:hint="eastAsia" w:ascii="宋体" w:hAnsi="宋体"/>
          <w:b/>
          <w:bCs/>
        </w:rPr>
        <w:tab/>
      </w:r>
      <w:r>
        <w:rPr>
          <w:rFonts w:ascii="宋体" w:hAnsi="宋体"/>
          <w:b/>
          <w:bCs/>
        </w:rPr>
        <w:t>测试与调试</w:t>
      </w:r>
      <w:bookmarkEnd w:id="7424"/>
      <w:bookmarkEnd w:id="7425"/>
      <w:bookmarkEnd w:id="7426"/>
      <w:bookmarkEnd w:id="7427"/>
      <w:bookmarkEnd w:id="7428"/>
      <w:bookmarkEnd w:id="7429"/>
    </w:p>
    <w:p>
      <w:pPr>
        <w:adjustRightInd w:val="0"/>
        <w:snapToGrid w:val="0"/>
        <w:spacing w:before="203" w:beforeLines="50" w:after="203" w:afterLines="50"/>
        <w:ind w:firstLine="500" w:firstLineChars="200"/>
        <w:rPr>
          <w:rFonts w:ascii="宋体" w:hAnsi="宋体"/>
        </w:rPr>
      </w:pPr>
      <w:r>
        <w:rPr>
          <w:rFonts w:ascii="宋体" w:hAnsi="宋体"/>
        </w:rPr>
        <w:t>安装结束后，承包商负责对系统所有布线、设备等进行全面的检查与测试，并在测试表中签字，然后完成系统的局部及整体的调试工作，并完成竣工图。</w:t>
      </w:r>
    </w:p>
    <w:p>
      <w:pPr>
        <w:adjustRightInd w:val="0"/>
        <w:snapToGrid w:val="0"/>
        <w:spacing w:before="203" w:beforeLines="50" w:after="203" w:afterLines="50"/>
        <w:ind w:firstLine="500" w:firstLineChars="200"/>
        <w:rPr>
          <w:rFonts w:ascii="宋体" w:hAnsi="宋体"/>
        </w:rPr>
      </w:pPr>
      <w:r>
        <w:rPr>
          <w:rFonts w:ascii="宋体" w:hAnsi="宋体"/>
        </w:rPr>
        <w:t>承包商必须负责整个系统的测试工作，所有测试工作都必须由经过产品制造商的认证的工程师参与进行，测试时应采用符合相应精度的要求的仪表，测试工作所需的仪器仪表、工具、材料均由承包商负责。</w:t>
      </w:r>
    </w:p>
    <w:p>
      <w:pPr>
        <w:adjustRightInd w:val="0"/>
        <w:snapToGrid w:val="0"/>
        <w:spacing w:before="203" w:beforeLines="50" w:after="203" w:afterLines="50"/>
        <w:ind w:firstLine="500" w:firstLineChars="200"/>
        <w:rPr>
          <w:rFonts w:ascii="宋体" w:hAnsi="宋体"/>
        </w:rPr>
      </w:pPr>
      <w:r>
        <w:rPr>
          <w:rFonts w:ascii="宋体" w:hAnsi="宋体"/>
        </w:rPr>
        <w:t>承包商必须在系统测试工作开始前20天，提交测试工作计划和方案，详细说明测试工作内容、测试方法、测试仪器和仪表由业主和项目监理审核批准。</w:t>
      </w:r>
    </w:p>
    <w:p>
      <w:pPr>
        <w:adjustRightInd w:val="0"/>
        <w:snapToGrid w:val="0"/>
        <w:spacing w:before="203" w:beforeLines="50" w:after="203" w:afterLines="50"/>
        <w:ind w:firstLine="500" w:firstLineChars="200"/>
        <w:rPr>
          <w:rFonts w:ascii="宋体" w:hAnsi="宋体"/>
        </w:rPr>
      </w:pPr>
      <w:r>
        <w:rPr>
          <w:rFonts w:ascii="宋体" w:hAnsi="宋体"/>
        </w:rPr>
        <w:t>承包商必须依照批准的测试工作计划和方案、相关标准及规范对系统中所有的控制器、线缆、连接点和设备进行测试。所有的测试工作必须在合同约定的时间内完成。</w:t>
      </w:r>
    </w:p>
    <w:p>
      <w:pPr>
        <w:adjustRightInd w:val="0"/>
        <w:snapToGrid w:val="0"/>
        <w:spacing w:before="203" w:beforeLines="50" w:after="203" w:afterLines="50"/>
        <w:ind w:firstLine="500" w:firstLineChars="200"/>
        <w:rPr>
          <w:rFonts w:ascii="宋体" w:hAnsi="宋体"/>
        </w:rPr>
      </w:pPr>
      <w:r>
        <w:rPr>
          <w:rFonts w:ascii="宋体" w:hAnsi="宋体"/>
        </w:rPr>
        <w:t>承包商承担所有测试的记录工作，并分别以书面和电子文件的形式向业主提交8份测试报告。承包商提交的测试报告必须签署并盖章。</w:t>
      </w:r>
    </w:p>
    <w:p>
      <w:pPr>
        <w:adjustRightInd w:val="0"/>
        <w:snapToGrid w:val="0"/>
        <w:spacing w:before="203" w:beforeLines="50" w:after="203" w:afterLines="50"/>
        <w:ind w:firstLine="500" w:firstLineChars="200"/>
        <w:rPr>
          <w:rFonts w:ascii="宋体" w:hAnsi="宋体"/>
        </w:rPr>
      </w:pPr>
      <w:r>
        <w:rPr>
          <w:rFonts w:ascii="宋体" w:hAnsi="宋体"/>
        </w:rPr>
        <w:t>承包商必须修复在测试中发现的故障和缺陷，并承担修复故障和缺陷所发生的费用。业主有权追究承包商由于修复故障和缺陷造成工期延误而产生的损失。</w:t>
      </w:r>
    </w:p>
    <w:p>
      <w:pPr>
        <w:adjustRightInd w:val="0"/>
        <w:snapToGrid w:val="0"/>
        <w:spacing w:before="203" w:beforeLines="50" w:after="203" w:afterLines="50"/>
        <w:ind w:firstLine="500" w:firstLineChars="200"/>
        <w:rPr>
          <w:rFonts w:ascii="宋体" w:hAnsi="宋体"/>
        </w:rPr>
      </w:pPr>
      <w:r>
        <w:rPr>
          <w:rFonts w:ascii="宋体" w:hAnsi="宋体"/>
        </w:rPr>
        <w:t>业主和项目监理有权采用承包商同意的测试方法和仪器，对承包商提供的测试报告进行抽样复查，如果发现抽样复查结果与承包商提供的测试报告有不一致，业主和项目监理有权对承包商提供的测试报告质疑，并要求承包商重新进行全面测试，由此造成的费用和工期延误损失由承包商负责。</w:t>
      </w:r>
    </w:p>
    <w:p>
      <w:pPr>
        <w:keepNext/>
        <w:tabs>
          <w:tab w:val="left" w:pos="993"/>
        </w:tabs>
        <w:adjustRightInd w:val="0"/>
        <w:snapToGrid w:val="0"/>
        <w:spacing w:before="203" w:beforeLines="50" w:after="203" w:afterLines="50"/>
        <w:outlineLvl w:val="0"/>
        <w:rPr>
          <w:rFonts w:ascii="宋体" w:hAnsi="宋体"/>
          <w:b/>
          <w:bCs/>
        </w:rPr>
      </w:pPr>
      <w:bookmarkStart w:id="7430" w:name="_Toc301171452"/>
      <w:bookmarkStart w:id="7431" w:name="_Toc301178879"/>
      <w:bookmarkStart w:id="7432" w:name="_Toc450585039"/>
      <w:bookmarkStart w:id="7433" w:name="_Toc401327978"/>
      <w:bookmarkStart w:id="7434" w:name="_Toc98143137"/>
      <w:bookmarkStart w:id="7435" w:name="_Toc106883825"/>
      <w:r>
        <w:rPr>
          <w:rFonts w:hint="eastAsia" w:ascii="宋体" w:hAnsi="宋体"/>
          <w:b/>
          <w:bCs/>
        </w:rPr>
        <w:t>10.7.6</w:t>
      </w:r>
      <w:r>
        <w:rPr>
          <w:rFonts w:hint="eastAsia" w:ascii="宋体" w:hAnsi="宋体"/>
          <w:b/>
          <w:bCs/>
        </w:rPr>
        <w:tab/>
      </w:r>
      <w:r>
        <w:rPr>
          <w:rFonts w:ascii="宋体" w:hAnsi="宋体"/>
          <w:b/>
          <w:bCs/>
        </w:rPr>
        <w:t>试运行</w:t>
      </w:r>
      <w:bookmarkEnd w:id="7430"/>
      <w:bookmarkEnd w:id="7431"/>
      <w:bookmarkEnd w:id="7432"/>
      <w:bookmarkEnd w:id="7433"/>
      <w:bookmarkEnd w:id="7434"/>
      <w:bookmarkEnd w:id="7435"/>
    </w:p>
    <w:p>
      <w:pPr>
        <w:adjustRightInd w:val="0"/>
        <w:snapToGrid w:val="0"/>
        <w:spacing w:before="203" w:beforeLines="50" w:after="203" w:afterLines="50"/>
        <w:ind w:firstLine="500" w:firstLineChars="200"/>
        <w:rPr>
          <w:rFonts w:ascii="宋体" w:hAnsi="宋体"/>
        </w:rPr>
      </w:pPr>
      <w:r>
        <w:rPr>
          <w:rFonts w:ascii="宋体" w:hAnsi="宋体"/>
        </w:rPr>
        <w:t>承包商负责系统试运行的全过程；试运行是考核整个系统的工程质量和可靠性的重要步骤，试运行期为三个月，当主要指标（监控性能、可靠性、稳定性）在试运行验收满足要求后，最终验收才能进行，如果上述条件不满足，需进行另外三个月的试运行期。</w:t>
      </w:r>
    </w:p>
    <w:p>
      <w:pPr>
        <w:adjustRightInd w:val="0"/>
        <w:snapToGrid w:val="0"/>
        <w:spacing w:before="203" w:beforeLines="50" w:after="203" w:afterLines="50"/>
        <w:ind w:firstLine="500" w:firstLineChars="200"/>
        <w:rPr>
          <w:rFonts w:ascii="宋体" w:hAnsi="宋体"/>
        </w:rPr>
      </w:pPr>
      <w:r>
        <w:rPr>
          <w:rFonts w:ascii="宋体" w:hAnsi="宋体"/>
        </w:rPr>
        <w:t>在试运行前七天，承包商需要提交操作和维护手册，使业主及有关人员能事前熟悉所安装的设备和系统。手册内应包括控制程序、操作和维修的程序。每一本手册应包括不少于以下资料：</w:t>
      </w:r>
    </w:p>
    <w:p>
      <w:pPr>
        <w:adjustRightInd w:val="0"/>
        <w:snapToGrid w:val="0"/>
        <w:spacing w:before="203" w:beforeLines="50" w:after="203" w:afterLines="50"/>
        <w:ind w:firstLine="500" w:firstLineChars="200"/>
        <w:rPr>
          <w:rFonts w:ascii="宋体" w:hAnsi="宋体"/>
        </w:rPr>
      </w:pPr>
      <w:r>
        <w:rPr>
          <w:rFonts w:ascii="宋体" w:hAnsi="宋体"/>
        </w:rPr>
        <w:t>⑴所有设备的规格及详细的中文操作手册、调试手册及质量保证书8套。</w:t>
      </w:r>
    </w:p>
    <w:p>
      <w:pPr>
        <w:adjustRightInd w:val="0"/>
        <w:snapToGrid w:val="0"/>
        <w:spacing w:before="203" w:beforeLines="50" w:after="203" w:afterLines="50"/>
        <w:ind w:firstLine="500" w:firstLineChars="200"/>
        <w:rPr>
          <w:rFonts w:ascii="宋体" w:hAnsi="宋体"/>
        </w:rPr>
      </w:pPr>
      <w:r>
        <w:rPr>
          <w:rFonts w:ascii="宋体" w:hAnsi="宋体"/>
        </w:rPr>
        <w:t>⑵系统和主要部件故障说明，包括，配件及装配图、一般事故说明。说明书需包括操作及手册和常见备件清单。</w:t>
      </w:r>
    </w:p>
    <w:p>
      <w:pPr>
        <w:adjustRightInd w:val="0"/>
        <w:snapToGrid w:val="0"/>
        <w:spacing w:before="203" w:beforeLines="50" w:after="203" w:afterLines="50"/>
        <w:ind w:firstLine="500" w:firstLineChars="200"/>
        <w:rPr>
          <w:rFonts w:ascii="宋体" w:hAnsi="宋体"/>
        </w:rPr>
      </w:pPr>
      <w:r>
        <w:rPr>
          <w:rFonts w:ascii="宋体" w:hAnsi="宋体"/>
        </w:rPr>
        <w:t>⑶建议的定期保养期及项目。</w:t>
      </w:r>
    </w:p>
    <w:p>
      <w:pPr>
        <w:adjustRightInd w:val="0"/>
        <w:snapToGrid w:val="0"/>
        <w:spacing w:before="203" w:beforeLines="50" w:after="203" w:afterLines="50"/>
        <w:ind w:firstLine="500" w:firstLineChars="200"/>
        <w:rPr>
          <w:rFonts w:ascii="宋体" w:hAnsi="宋体"/>
        </w:rPr>
      </w:pPr>
      <w:r>
        <w:rPr>
          <w:rFonts w:ascii="宋体" w:hAnsi="宋体"/>
        </w:rPr>
        <w:t>系统开通和试运行期间，承包商有责任配合其它相关的调试和测试工作，并不得以此为借口要求业主方增加费用。</w:t>
      </w:r>
    </w:p>
    <w:p>
      <w:pPr>
        <w:keepNext/>
        <w:tabs>
          <w:tab w:val="left" w:pos="993"/>
        </w:tabs>
        <w:adjustRightInd w:val="0"/>
        <w:snapToGrid w:val="0"/>
        <w:spacing w:before="203" w:beforeLines="50" w:after="203" w:afterLines="50"/>
        <w:outlineLvl w:val="0"/>
        <w:rPr>
          <w:rFonts w:ascii="宋体" w:hAnsi="宋体"/>
          <w:b/>
          <w:bCs/>
        </w:rPr>
      </w:pPr>
      <w:bookmarkStart w:id="7436" w:name="_Toc401327979"/>
      <w:bookmarkStart w:id="7437" w:name="_Toc450585040"/>
      <w:bookmarkStart w:id="7438" w:name="_Toc301178880"/>
      <w:bookmarkStart w:id="7439" w:name="_Toc301171453"/>
      <w:bookmarkStart w:id="7440" w:name="_Toc98143138"/>
      <w:bookmarkStart w:id="7441" w:name="_Toc106883826"/>
      <w:r>
        <w:rPr>
          <w:rFonts w:hint="eastAsia" w:ascii="宋体" w:hAnsi="宋体"/>
          <w:b/>
          <w:bCs/>
        </w:rPr>
        <w:t>10.7.7</w:t>
      </w:r>
      <w:r>
        <w:rPr>
          <w:rFonts w:hint="eastAsia" w:ascii="宋体" w:hAnsi="宋体"/>
          <w:b/>
          <w:bCs/>
        </w:rPr>
        <w:tab/>
      </w:r>
      <w:r>
        <w:rPr>
          <w:rFonts w:ascii="宋体" w:hAnsi="宋体"/>
          <w:b/>
          <w:bCs/>
        </w:rPr>
        <w:t>工程质量保证</w:t>
      </w:r>
      <w:bookmarkEnd w:id="7436"/>
      <w:bookmarkEnd w:id="7437"/>
      <w:bookmarkEnd w:id="7438"/>
      <w:bookmarkEnd w:id="7439"/>
      <w:bookmarkEnd w:id="7440"/>
      <w:bookmarkEnd w:id="7441"/>
    </w:p>
    <w:p>
      <w:pPr>
        <w:adjustRightInd w:val="0"/>
        <w:snapToGrid w:val="0"/>
        <w:spacing w:before="203" w:beforeLines="50" w:after="203" w:afterLines="50"/>
        <w:ind w:firstLine="500" w:firstLineChars="200"/>
        <w:rPr>
          <w:rFonts w:ascii="宋体" w:hAnsi="宋体"/>
        </w:rPr>
      </w:pPr>
      <w:r>
        <w:rPr>
          <w:rFonts w:ascii="宋体" w:hAnsi="宋体"/>
        </w:rPr>
        <w:t>承包商应为工程的实施、竣工和修补缺陷建立适当和可行的质量保证体系，并保证工程的实施、竣工和修补缺陷的全部过程符合该质量保证体系的要求。</w:t>
      </w:r>
    </w:p>
    <w:p>
      <w:pPr>
        <w:adjustRightInd w:val="0"/>
        <w:snapToGrid w:val="0"/>
        <w:spacing w:before="203" w:beforeLines="50" w:after="203" w:afterLines="50"/>
        <w:ind w:firstLine="500" w:firstLineChars="200"/>
        <w:rPr>
          <w:rFonts w:ascii="宋体" w:hAnsi="宋体"/>
        </w:rPr>
      </w:pPr>
      <w:r>
        <w:rPr>
          <w:rFonts w:ascii="宋体" w:hAnsi="宋体"/>
        </w:rPr>
        <w:t>承包商应按照质量保证体系的要求提供、填写、整理并保存任何必要的过程记录。这些过程记录应随时可供业主、项目监理或有关主管部门查阅。</w:t>
      </w:r>
    </w:p>
    <w:p>
      <w:pPr>
        <w:adjustRightInd w:val="0"/>
        <w:snapToGrid w:val="0"/>
        <w:spacing w:before="203" w:beforeLines="50" w:after="203" w:afterLines="50"/>
        <w:ind w:firstLine="500" w:firstLineChars="200"/>
        <w:rPr>
          <w:rFonts w:ascii="宋体" w:hAnsi="宋体"/>
        </w:rPr>
      </w:pPr>
      <w:r>
        <w:rPr>
          <w:rFonts w:ascii="宋体" w:hAnsi="宋体"/>
        </w:rPr>
        <w:t>对于按合同约定必须进行检查和检验的施工工序及其工艺，承包商应同项目监理商定对其检查和检验的时间，承包商应提前24小时通知项目监理批准参加此类检查和检验，由项目监理对检查和检验的结果进行确认。</w:t>
      </w:r>
    </w:p>
    <w:p>
      <w:pPr>
        <w:adjustRightInd w:val="0"/>
        <w:snapToGrid w:val="0"/>
        <w:spacing w:before="203" w:beforeLines="50" w:after="203" w:afterLines="50"/>
        <w:ind w:firstLine="500" w:firstLineChars="200"/>
        <w:rPr>
          <w:rFonts w:ascii="宋体" w:hAnsi="宋体"/>
        </w:rPr>
      </w:pPr>
      <w:r>
        <w:rPr>
          <w:rFonts w:ascii="宋体" w:hAnsi="宋体"/>
        </w:rPr>
        <w:t>任何隐蔽工程或中间验收部位在被覆盖、包装或隐蔽之前，必须经过检验并得到项目监理的批准。检验过程中由承包商填写并准备检验记录。如检验结果表明其施工符合合同约定的标准与规范，项目监理在验收记录上签字，承包商可进行包装、覆盖、隐蔽和继续施工。</w:t>
      </w:r>
    </w:p>
    <w:p>
      <w:pPr>
        <w:adjustRightInd w:val="0"/>
        <w:snapToGrid w:val="0"/>
        <w:spacing w:before="203" w:beforeLines="50" w:after="203" w:afterLines="50"/>
        <w:ind w:firstLine="500" w:firstLineChars="200"/>
        <w:rPr>
          <w:rFonts w:ascii="宋体" w:hAnsi="宋体"/>
        </w:rPr>
      </w:pPr>
      <w:r>
        <w:rPr>
          <w:rFonts w:ascii="宋体" w:hAnsi="宋体"/>
        </w:rPr>
        <w:t>如果上述任何检验的材料、设备、工艺质量或工程不符合合同约定的标准与规范，则业主和项目监理有权指示承包商：</w:t>
      </w:r>
    </w:p>
    <w:p>
      <w:pPr>
        <w:adjustRightInd w:val="0"/>
        <w:snapToGrid w:val="0"/>
        <w:spacing w:before="203" w:beforeLines="50" w:after="203" w:afterLines="50"/>
        <w:ind w:firstLine="500" w:firstLineChars="200"/>
        <w:rPr>
          <w:rFonts w:ascii="宋体" w:hAnsi="宋体"/>
        </w:rPr>
      </w:pPr>
      <w:r>
        <w:rPr>
          <w:rFonts w:ascii="宋体" w:hAnsi="宋体"/>
        </w:rPr>
        <w:t>⑴在指示规定的时间内一次或分几次将业主和项目监理认为不符合合同约定的任何材料或工程设备运出现场，用符合合同约定的合格材料或工程设备取代。</w:t>
      </w:r>
    </w:p>
    <w:p>
      <w:pPr>
        <w:adjustRightInd w:val="0"/>
        <w:snapToGrid w:val="0"/>
        <w:spacing w:before="203" w:beforeLines="50" w:after="203" w:afterLines="50"/>
        <w:ind w:firstLine="500" w:firstLineChars="200"/>
        <w:rPr>
          <w:rFonts w:ascii="宋体" w:hAnsi="宋体"/>
        </w:rPr>
      </w:pPr>
      <w:r>
        <w:rPr>
          <w:rFonts w:ascii="宋体" w:hAnsi="宋体"/>
        </w:rPr>
        <w:t>⑵承包商必须在指定的时间内，完成建立工程师的指示，并不得以此为借口要求业主增加费用。</w:t>
      </w:r>
    </w:p>
    <w:p>
      <w:pPr>
        <w:adjustRightInd w:val="0"/>
        <w:snapToGrid w:val="0"/>
        <w:spacing w:before="203" w:beforeLines="50" w:after="203" w:afterLines="50"/>
        <w:ind w:firstLine="500" w:firstLineChars="200"/>
        <w:rPr>
          <w:rFonts w:ascii="宋体" w:hAnsi="宋体"/>
        </w:rPr>
      </w:pPr>
      <w:r>
        <w:rPr>
          <w:rFonts w:ascii="宋体" w:hAnsi="宋体"/>
        </w:rPr>
        <w:t>⑶所有在合同中明确要求必须进行检验的材料和设备在经过检验并获得项目监理批准以前，不得直接用于工程。</w:t>
      </w:r>
    </w:p>
    <w:p>
      <w:pPr>
        <w:adjustRightInd w:val="0"/>
        <w:snapToGrid w:val="0"/>
        <w:spacing w:before="203" w:beforeLines="50" w:after="203" w:afterLines="50"/>
        <w:ind w:firstLine="500" w:firstLineChars="200"/>
        <w:rPr>
          <w:rFonts w:ascii="宋体" w:hAnsi="宋体"/>
        </w:rPr>
      </w:pPr>
      <w:r>
        <w:rPr>
          <w:rFonts w:ascii="宋体" w:hAnsi="宋体"/>
        </w:rPr>
        <w:t>对于合同中约定的所有需要报送样品的材料或设备，承包商应在用于工程之前至少30天，向项目监理提交样品，并提交必要的说明书、证书、出厂报告、性能介绍、使用说明等相关资料，以供检验。</w:t>
      </w:r>
    </w:p>
    <w:p>
      <w:pPr>
        <w:adjustRightInd w:val="0"/>
        <w:snapToGrid w:val="0"/>
        <w:spacing w:before="203" w:beforeLines="50" w:after="203" w:afterLines="50"/>
        <w:ind w:firstLine="500" w:firstLineChars="200"/>
        <w:rPr>
          <w:rFonts w:ascii="宋体" w:hAnsi="宋体"/>
        </w:rPr>
      </w:pPr>
      <w:r>
        <w:rPr>
          <w:rFonts w:ascii="宋体" w:hAnsi="宋体"/>
        </w:rPr>
        <w:t>如果检查、检测、检验或试验的结果表明，任何送检的设备、材料有缺陷或不符合合同的约定，项目监理可拒收此类设备、材料、并应立即通知承包商，同时说明理由。承包商应立即修复缺陷并保证其符合合同约定，并再次送交见面礼工程师检验。</w:t>
      </w:r>
    </w:p>
    <w:p>
      <w:pPr>
        <w:keepNext/>
        <w:tabs>
          <w:tab w:val="left" w:pos="993"/>
        </w:tabs>
        <w:adjustRightInd w:val="0"/>
        <w:snapToGrid w:val="0"/>
        <w:spacing w:before="203" w:beforeLines="50" w:after="203" w:afterLines="50"/>
        <w:outlineLvl w:val="0"/>
        <w:rPr>
          <w:rFonts w:ascii="宋体" w:hAnsi="宋体"/>
          <w:b/>
          <w:bCs/>
        </w:rPr>
      </w:pPr>
      <w:bookmarkStart w:id="7442" w:name="_Toc450585041"/>
      <w:bookmarkStart w:id="7443" w:name="_Toc301178881"/>
      <w:bookmarkStart w:id="7444" w:name="_Toc98143139"/>
      <w:bookmarkStart w:id="7445" w:name="_Toc301171454"/>
      <w:bookmarkStart w:id="7446" w:name="_Toc401327980"/>
      <w:bookmarkStart w:id="7447" w:name="_Toc106883827"/>
      <w:r>
        <w:rPr>
          <w:rFonts w:hint="eastAsia" w:ascii="宋体" w:hAnsi="宋体"/>
          <w:b/>
          <w:bCs/>
        </w:rPr>
        <w:t>10.7.8</w:t>
      </w:r>
      <w:r>
        <w:rPr>
          <w:rFonts w:hint="eastAsia" w:ascii="宋体" w:hAnsi="宋体"/>
          <w:b/>
          <w:bCs/>
        </w:rPr>
        <w:tab/>
      </w:r>
      <w:r>
        <w:rPr>
          <w:rFonts w:ascii="宋体" w:hAnsi="宋体"/>
          <w:b/>
          <w:bCs/>
        </w:rPr>
        <w:t>工程竣工验收</w:t>
      </w:r>
      <w:bookmarkEnd w:id="7442"/>
      <w:bookmarkEnd w:id="7443"/>
      <w:bookmarkEnd w:id="7444"/>
      <w:bookmarkEnd w:id="7445"/>
      <w:bookmarkEnd w:id="7446"/>
      <w:bookmarkEnd w:id="7447"/>
    </w:p>
    <w:p>
      <w:pPr>
        <w:adjustRightInd w:val="0"/>
        <w:snapToGrid w:val="0"/>
        <w:spacing w:before="203" w:beforeLines="50" w:after="203" w:afterLines="50"/>
        <w:ind w:firstLine="500" w:firstLineChars="200"/>
        <w:rPr>
          <w:rFonts w:ascii="宋体" w:hAnsi="宋体"/>
        </w:rPr>
      </w:pPr>
      <w:r>
        <w:rPr>
          <w:rFonts w:ascii="宋体" w:hAnsi="宋体"/>
        </w:rPr>
        <w:t>工程竣工验收的条件</w:t>
      </w:r>
    </w:p>
    <w:p>
      <w:pPr>
        <w:adjustRightInd w:val="0"/>
        <w:snapToGrid w:val="0"/>
        <w:spacing w:before="203" w:beforeLines="50" w:after="203" w:afterLines="50"/>
        <w:ind w:firstLine="500" w:firstLineChars="200"/>
        <w:rPr>
          <w:rFonts w:ascii="宋体" w:hAnsi="宋体"/>
        </w:rPr>
      </w:pPr>
      <w:r>
        <w:rPr>
          <w:rFonts w:ascii="宋体" w:hAnsi="宋体"/>
        </w:rPr>
        <w:t>⑴承包商已完成按合同约定的工程施工安装、软件编制、设备测试及系统调试工作。</w:t>
      </w:r>
    </w:p>
    <w:p>
      <w:pPr>
        <w:adjustRightInd w:val="0"/>
        <w:snapToGrid w:val="0"/>
        <w:spacing w:before="203" w:beforeLines="50" w:after="203" w:afterLines="50"/>
        <w:ind w:firstLine="500" w:firstLineChars="200"/>
        <w:rPr>
          <w:rFonts w:ascii="宋体" w:hAnsi="宋体"/>
        </w:rPr>
      </w:pPr>
      <w:r>
        <w:rPr>
          <w:rFonts w:ascii="宋体" w:hAnsi="宋体"/>
        </w:rPr>
        <w:t>⑵性能测试和试运行验收时出现的问题已被解决至业主满意。</w:t>
      </w:r>
    </w:p>
    <w:p>
      <w:pPr>
        <w:adjustRightInd w:val="0"/>
        <w:snapToGrid w:val="0"/>
        <w:spacing w:before="203" w:beforeLines="50" w:after="203" w:afterLines="50"/>
        <w:ind w:firstLine="500" w:firstLineChars="200"/>
        <w:rPr>
          <w:rFonts w:ascii="宋体" w:hAnsi="宋体"/>
        </w:rPr>
      </w:pPr>
      <w:r>
        <w:rPr>
          <w:rFonts w:ascii="宋体" w:hAnsi="宋体"/>
        </w:rPr>
        <w:t>⑶试运行期间，系统性能满足合同要求。</w:t>
      </w:r>
    </w:p>
    <w:p>
      <w:pPr>
        <w:adjustRightInd w:val="0"/>
        <w:snapToGrid w:val="0"/>
        <w:spacing w:before="203" w:beforeLines="50" w:after="203" w:afterLines="50"/>
        <w:ind w:firstLine="500" w:firstLineChars="200"/>
        <w:rPr>
          <w:rFonts w:ascii="宋体" w:hAnsi="宋体"/>
        </w:rPr>
      </w:pPr>
      <w:r>
        <w:rPr>
          <w:rFonts w:ascii="宋体" w:hAnsi="宋体"/>
        </w:rPr>
        <w:t>⑷承包商已提供了合同中约定的全部货物。</w:t>
      </w:r>
    </w:p>
    <w:p>
      <w:pPr>
        <w:adjustRightInd w:val="0"/>
        <w:snapToGrid w:val="0"/>
        <w:spacing w:before="203" w:beforeLines="50" w:after="203" w:afterLines="50"/>
        <w:ind w:firstLine="500" w:firstLineChars="200"/>
        <w:rPr>
          <w:rFonts w:ascii="宋体" w:hAnsi="宋体"/>
        </w:rPr>
      </w:pPr>
      <w:r>
        <w:rPr>
          <w:rFonts w:ascii="宋体" w:hAnsi="宋体"/>
        </w:rPr>
        <w:t>⑸承包商竣工资料齐备完整，满足竣工验收要求。</w:t>
      </w:r>
    </w:p>
    <w:p>
      <w:pPr>
        <w:adjustRightInd w:val="0"/>
        <w:snapToGrid w:val="0"/>
        <w:spacing w:before="203" w:beforeLines="50" w:after="203" w:afterLines="50"/>
        <w:ind w:firstLine="500" w:firstLineChars="200"/>
        <w:rPr>
          <w:rFonts w:ascii="宋体" w:hAnsi="宋体"/>
        </w:rPr>
      </w:pPr>
      <w:r>
        <w:rPr>
          <w:rFonts w:ascii="宋体" w:hAnsi="宋体"/>
        </w:rPr>
        <w:t>⑹符合政府或有关管理机构规定的其他任何竣工资料条件。</w:t>
      </w:r>
    </w:p>
    <w:p>
      <w:pPr>
        <w:adjustRightInd w:val="0"/>
        <w:snapToGrid w:val="0"/>
        <w:spacing w:before="203" w:beforeLines="50" w:after="203" w:afterLines="50"/>
        <w:ind w:firstLine="500" w:firstLineChars="200"/>
        <w:rPr>
          <w:rFonts w:ascii="宋体" w:hAnsi="宋体"/>
        </w:rPr>
      </w:pPr>
      <w:r>
        <w:rPr>
          <w:rFonts w:ascii="宋体" w:hAnsi="宋体"/>
        </w:rPr>
        <w:t>承包商在施工过程中应负责全部设备的保护和清洁工作直至项目验收合格。若因承包商对设施、设备的保护措施不当等原因造成设备、设施的受污、受损，须由承包商负责清洁或给予无偿更换。</w:t>
      </w:r>
    </w:p>
    <w:p>
      <w:pPr>
        <w:adjustRightInd w:val="0"/>
        <w:snapToGrid w:val="0"/>
        <w:spacing w:before="203" w:beforeLines="50" w:after="203" w:afterLines="50"/>
        <w:ind w:firstLine="500" w:firstLineChars="200"/>
        <w:rPr>
          <w:rFonts w:ascii="宋体" w:hAnsi="宋体"/>
        </w:rPr>
      </w:pPr>
      <w:r>
        <w:rPr>
          <w:rFonts w:ascii="宋体" w:hAnsi="宋体"/>
        </w:rPr>
        <w:t>如果工程或某部分工程未能通过竣工验收，则承包商应根据验收结果对工程和某部分工程进行整改或修复。整改修复完毕之后，应重新验收。</w:t>
      </w:r>
    </w:p>
    <w:p>
      <w:pPr>
        <w:adjustRightInd w:val="0"/>
        <w:snapToGrid w:val="0"/>
        <w:spacing w:before="203" w:beforeLines="50" w:after="203" w:afterLines="50"/>
        <w:ind w:firstLine="500" w:firstLineChars="200"/>
        <w:rPr>
          <w:rFonts w:ascii="宋体" w:hAnsi="宋体"/>
        </w:rPr>
      </w:pPr>
      <w:r>
        <w:rPr>
          <w:rFonts w:ascii="宋体" w:hAnsi="宋体"/>
        </w:rPr>
        <w:t>工程通过了竣工验收或重新验收，则项目监理应在验收通过之日后7天内向承包商颁发由业主、监理过除、承包商和设计方四方共同签署的竣工验收证书。</w:t>
      </w:r>
    </w:p>
    <w:p>
      <w:pPr>
        <w:adjustRightInd w:val="0"/>
        <w:snapToGrid w:val="0"/>
        <w:spacing w:before="203" w:beforeLines="50" w:after="203" w:afterLines="50"/>
        <w:ind w:firstLine="500" w:firstLineChars="200"/>
        <w:rPr>
          <w:rFonts w:ascii="宋体" w:hAnsi="宋体"/>
        </w:rPr>
      </w:pPr>
      <w:r>
        <w:rPr>
          <w:rFonts w:ascii="宋体" w:hAnsi="宋体"/>
        </w:rPr>
        <w:t>承包商有义务协助业主向政府及有关管理机构办理的竣工批准和登记手续。如果政府及有关管理机构要求对工程进行痉的核验，则承包商应给予配合，对于在这种核验过程中发现的任何缺陷，承包商有义务进行整改和修复并承担相应的费用。</w:t>
      </w:r>
    </w:p>
    <w:p>
      <w:pPr>
        <w:adjustRightInd w:val="0"/>
        <w:snapToGrid w:val="0"/>
        <w:spacing w:before="203" w:beforeLines="50" w:after="203" w:afterLines="50"/>
        <w:ind w:firstLine="500" w:firstLineChars="200"/>
        <w:rPr>
          <w:rFonts w:ascii="宋体" w:hAnsi="宋体"/>
        </w:rPr>
      </w:pPr>
      <w:r>
        <w:rPr>
          <w:rFonts w:ascii="宋体" w:hAnsi="宋体"/>
        </w:rPr>
        <w:t>承包商提供的设备材料到达现场后由业主会同监理、承包商进行现场验收；设备材料安装调试运行完成后，业主会同监理、设计院、有关部门进行最终验收。</w:t>
      </w:r>
    </w:p>
    <w:p>
      <w:pPr>
        <w:adjustRightInd w:val="0"/>
        <w:snapToGrid w:val="0"/>
        <w:spacing w:before="203" w:beforeLines="50" w:after="203" w:afterLines="50"/>
        <w:ind w:firstLine="500" w:firstLineChars="200"/>
        <w:rPr>
          <w:rFonts w:ascii="宋体" w:hAnsi="宋体"/>
          <w:bCs/>
        </w:rPr>
      </w:pPr>
      <w:bookmarkStart w:id="7448" w:name="_Toc98142993"/>
      <w:bookmarkStart w:id="7449" w:name="_Toc301178765"/>
      <w:bookmarkStart w:id="7450" w:name="_Toc50177527"/>
      <w:bookmarkStart w:id="7451" w:name="_Toc301171338"/>
      <w:r>
        <w:rPr>
          <w:rFonts w:ascii="宋体" w:hAnsi="宋体"/>
          <w:bCs/>
        </w:rPr>
        <w:t>1、</w:t>
      </w:r>
      <w:r>
        <w:rPr>
          <w:rFonts w:ascii="宋体" w:hAnsi="宋体"/>
        </w:rPr>
        <w:t>现场</w:t>
      </w:r>
      <w:r>
        <w:rPr>
          <w:rFonts w:ascii="宋体" w:hAnsi="宋体"/>
          <w:bCs/>
        </w:rPr>
        <w:t>验收</w:t>
      </w:r>
      <w:bookmarkEnd w:id="7448"/>
      <w:bookmarkEnd w:id="7449"/>
      <w:bookmarkEnd w:id="7450"/>
      <w:bookmarkEnd w:id="7451"/>
    </w:p>
    <w:p>
      <w:pPr>
        <w:adjustRightInd w:val="0"/>
        <w:snapToGrid w:val="0"/>
        <w:spacing w:before="203" w:beforeLines="50" w:after="203" w:afterLines="50"/>
        <w:ind w:firstLine="500" w:firstLineChars="200"/>
        <w:rPr>
          <w:rFonts w:ascii="宋体" w:hAnsi="宋体"/>
        </w:rPr>
      </w:pPr>
      <w:r>
        <w:rPr>
          <w:rFonts w:ascii="宋体" w:hAnsi="宋体"/>
        </w:rPr>
        <w:t>现场验收在安装现场进行，业主和监理对承包商提供的所有设备材料进行检查验收。</w:t>
      </w:r>
    </w:p>
    <w:p>
      <w:pPr>
        <w:adjustRightInd w:val="0"/>
        <w:snapToGrid w:val="0"/>
        <w:spacing w:before="203" w:beforeLines="50" w:after="203" w:afterLines="50"/>
        <w:ind w:firstLine="500" w:firstLineChars="200"/>
        <w:rPr>
          <w:rFonts w:ascii="宋体" w:hAnsi="宋体"/>
          <w:bCs/>
        </w:rPr>
      </w:pPr>
      <w:bookmarkStart w:id="7452" w:name="_Toc301178766"/>
      <w:bookmarkStart w:id="7453" w:name="_Toc50177528"/>
      <w:bookmarkStart w:id="7454" w:name="_Toc98142994"/>
      <w:bookmarkStart w:id="7455" w:name="_Toc301171339"/>
      <w:r>
        <w:rPr>
          <w:rFonts w:ascii="宋体" w:hAnsi="宋体"/>
          <w:bCs/>
        </w:rPr>
        <w:t>2、</w:t>
      </w:r>
      <w:r>
        <w:rPr>
          <w:rFonts w:ascii="宋体" w:hAnsi="宋体"/>
        </w:rPr>
        <w:t>最终</w:t>
      </w:r>
      <w:r>
        <w:rPr>
          <w:rFonts w:ascii="宋体" w:hAnsi="宋体"/>
          <w:bCs/>
        </w:rPr>
        <w:t>验收</w:t>
      </w:r>
      <w:bookmarkEnd w:id="7452"/>
      <w:bookmarkEnd w:id="7453"/>
      <w:bookmarkEnd w:id="7454"/>
      <w:bookmarkEnd w:id="7455"/>
    </w:p>
    <w:p>
      <w:pPr>
        <w:adjustRightInd w:val="0"/>
        <w:snapToGrid w:val="0"/>
        <w:spacing w:before="203" w:beforeLines="50" w:after="203" w:afterLines="50"/>
        <w:ind w:firstLine="500" w:firstLineChars="200"/>
        <w:rPr>
          <w:rFonts w:ascii="宋体" w:hAnsi="宋体"/>
        </w:rPr>
      </w:pPr>
      <w:r>
        <w:rPr>
          <w:rFonts w:ascii="宋体" w:hAnsi="宋体"/>
        </w:rPr>
        <w:t>最终验收在设备材料安装调试运行完成后进行，由承包商按照合同及相关标准提供一份书面的验收方法和步骤，经业主审核认可后，由业主、监理、设计院等有关部门进行验收。验收依据和主要标准及规范如下：</w:t>
      </w:r>
    </w:p>
    <w:p>
      <w:pPr>
        <w:adjustRightInd w:val="0"/>
        <w:snapToGrid w:val="0"/>
        <w:spacing w:before="203" w:beforeLines="50" w:after="203" w:afterLines="50"/>
        <w:ind w:firstLine="500" w:firstLineChars="200"/>
        <w:rPr>
          <w:rFonts w:ascii="宋体" w:hAnsi="宋体"/>
        </w:rPr>
      </w:pPr>
      <w:r>
        <w:rPr>
          <w:rFonts w:ascii="宋体" w:hAnsi="宋体"/>
        </w:rPr>
        <w:t>由业主、监理审核、签发，同意用于工程的施工图；</w:t>
      </w:r>
    </w:p>
    <w:p>
      <w:pPr>
        <w:adjustRightInd w:val="0"/>
        <w:snapToGrid w:val="0"/>
        <w:spacing w:before="203" w:beforeLines="50" w:after="203" w:afterLines="50"/>
        <w:ind w:firstLine="500" w:firstLineChars="200"/>
        <w:rPr>
          <w:rFonts w:ascii="宋体" w:hAnsi="宋体"/>
        </w:rPr>
      </w:pPr>
      <w:r>
        <w:rPr>
          <w:rFonts w:ascii="宋体" w:hAnsi="宋体"/>
        </w:rPr>
        <w:t>经业主、监理审核，用梯形图、语句表、源程序编制的各种PLC、控制程序和应用软件；</w:t>
      </w:r>
    </w:p>
    <w:p>
      <w:pPr>
        <w:adjustRightInd w:val="0"/>
        <w:snapToGrid w:val="0"/>
        <w:spacing w:before="203" w:beforeLines="50" w:after="203" w:afterLines="50"/>
        <w:ind w:firstLine="500" w:firstLineChars="200"/>
        <w:rPr>
          <w:rFonts w:ascii="宋体" w:hAnsi="宋体"/>
        </w:rPr>
      </w:pPr>
      <w:r>
        <w:rPr>
          <w:rFonts w:ascii="宋体" w:hAnsi="宋体"/>
        </w:rPr>
        <w:t>由业主、监理审核、签发的验收文件（包括：验收标准和方法、验收程序、验收项目、分部分项验收结论）。</w:t>
      </w:r>
    </w:p>
    <w:p>
      <w:pPr>
        <w:adjustRightInd w:val="0"/>
        <w:snapToGrid w:val="0"/>
        <w:spacing w:before="203" w:beforeLines="50" w:after="203" w:afterLines="50"/>
        <w:ind w:firstLine="500" w:firstLineChars="200"/>
        <w:rPr>
          <w:rFonts w:ascii="宋体" w:hAnsi="宋体"/>
        </w:rPr>
      </w:pPr>
      <w:r>
        <w:rPr>
          <w:rFonts w:ascii="宋体" w:hAnsi="宋体"/>
        </w:rPr>
        <w:t>《电气装置安装工程施工和验收规范》；</w:t>
      </w:r>
    </w:p>
    <w:p>
      <w:pPr>
        <w:adjustRightInd w:val="0"/>
        <w:snapToGrid w:val="0"/>
        <w:spacing w:before="203" w:beforeLines="50" w:after="203" w:afterLines="50"/>
        <w:ind w:firstLine="500" w:firstLineChars="200"/>
        <w:rPr>
          <w:rFonts w:ascii="宋体" w:hAnsi="宋体"/>
        </w:rPr>
      </w:pPr>
      <w:r>
        <w:rPr>
          <w:rFonts w:ascii="宋体" w:hAnsi="宋体"/>
        </w:rPr>
        <w:t>《自动化仪表工程施工和验收规范》，GB50093-2002；</w:t>
      </w:r>
    </w:p>
    <w:p>
      <w:pPr>
        <w:adjustRightInd w:val="0"/>
        <w:snapToGrid w:val="0"/>
        <w:spacing w:before="203" w:beforeLines="50" w:after="203" w:afterLines="50"/>
        <w:ind w:firstLine="500" w:firstLineChars="200"/>
        <w:rPr>
          <w:rFonts w:ascii="宋体" w:hAnsi="宋体"/>
        </w:rPr>
      </w:pPr>
      <w:r>
        <w:rPr>
          <w:rFonts w:ascii="宋体" w:hAnsi="宋体"/>
        </w:rPr>
        <w:t>《电气设备交接试验标准》，GB50150-1991；</w:t>
      </w:r>
    </w:p>
    <w:p>
      <w:pPr>
        <w:adjustRightInd w:val="0"/>
        <w:snapToGrid w:val="0"/>
        <w:spacing w:before="203" w:beforeLines="50" w:after="203" w:afterLines="50"/>
        <w:ind w:firstLine="500" w:firstLineChars="200"/>
        <w:rPr>
          <w:rFonts w:ascii="宋体" w:hAnsi="宋体"/>
        </w:rPr>
      </w:pPr>
      <w:r>
        <w:rPr>
          <w:rFonts w:ascii="宋体" w:hAnsi="宋体"/>
        </w:rPr>
        <w:t>《电缆线路施工及验收规范》，GB50168-1992；</w:t>
      </w:r>
    </w:p>
    <w:p>
      <w:pPr>
        <w:adjustRightInd w:val="0"/>
        <w:snapToGrid w:val="0"/>
        <w:spacing w:before="203" w:beforeLines="50" w:after="203" w:afterLines="50"/>
        <w:ind w:firstLine="500" w:firstLineChars="200"/>
        <w:rPr>
          <w:rFonts w:ascii="宋体" w:hAnsi="宋体"/>
        </w:rPr>
      </w:pPr>
      <w:r>
        <w:rPr>
          <w:rFonts w:ascii="宋体" w:hAnsi="宋体"/>
        </w:rPr>
        <w:t>《接地装置施工及验收规范》，GB50169-1992；</w:t>
      </w:r>
    </w:p>
    <w:p>
      <w:pPr>
        <w:adjustRightInd w:val="0"/>
        <w:snapToGrid w:val="0"/>
        <w:spacing w:before="203" w:beforeLines="50" w:after="203" w:afterLines="50"/>
        <w:ind w:firstLine="500" w:firstLineChars="200"/>
        <w:rPr>
          <w:rFonts w:ascii="宋体" w:hAnsi="宋体"/>
        </w:rPr>
      </w:pPr>
      <w:r>
        <w:rPr>
          <w:rFonts w:ascii="宋体" w:hAnsi="宋体"/>
        </w:rPr>
        <w:t>《低压电器施工及验收规范》，GB50254 -1996；</w:t>
      </w:r>
    </w:p>
    <w:p>
      <w:pPr>
        <w:adjustRightInd w:val="0"/>
        <w:snapToGrid w:val="0"/>
        <w:spacing w:before="203" w:beforeLines="50" w:after="203" w:afterLines="50"/>
        <w:ind w:firstLine="500" w:firstLineChars="200"/>
        <w:rPr>
          <w:rFonts w:ascii="宋体" w:hAnsi="宋体"/>
        </w:rPr>
      </w:pPr>
      <w:r>
        <w:rPr>
          <w:rFonts w:ascii="宋体" w:hAnsi="宋体"/>
        </w:rPr>
        <w:t>《电子计算机场地通用规范》，GB/T2887-2002；</w:t>
      </w:r>
    </w:p>
    <w:p>
      <w:pPr>
        <w:adjustRightInd w:val="0"/>
        <w:snapToGrid w:val="0"/>
        <w:spacing w:before="203" w:beforeLines="50" w:after="203" w:afterLines="50"/>
        <w:ind w:firstLine="500" w:firstLineChars="200"/>
        <w:rPr>
          <w:rFonts w:ascii="宋体" w:hAnsi="宋体"/>
        </w:rPr>
      </w:pPr>
      <w:r>
        <w:rPr>
          <w:rFonts w:ascii="宋体" w:hAnsi="宋体"/>
        </w:rPr>
        <w:t>《计算机场地安全要求》，GB/9361-1998；</w:t>
      </w:r>
    </w:p>
    <w:p>
      <w:pPr>
        <w:adjustRightInd w:val="0"/>
        <w:snapToGrid w:val="0"/>
        <w:spacing w:before="203" w:beforeLines="50" w:after="203" w:afterLines="50"/>
        <w:ind w:firstLine="500" w:firstLineChars="200"/>
        <w:rPr>
          <w:rFonts w:ascii="宋体" w:hAnsi="宋体"/>
        </w:rPr>
      </w:pPr>
      <w:r>
        <w:rPr>
          <w:rFonts w:ascii="宋体" w:hAnsi="宋体"/>
        </w:rPr>
        <w:t>《建筑电气工程施工质量验收规范》，GB50303-2002；</w:t>
      </w:r>
    </w:p>
    <w:p>
      <w:pPr>
        <w:adjustRightInd w:val="0"/>
        <w:snapToGrid w:val="0"/>
        <w:spacing w:before="203" w:beforeLines="50" w:after="203" w:afterLines="50"/>
        <w:ind w:firstLine="500" w:firstLineChars="200"/>
        <w:rPr>
          <w:rFonts w:ascii="宋体" w:hAnsi="宋体"/>
        </w:rPr>
      </w:pPr>
      <w:r>
        <w:rPr>
          <w:rFonts w:ascii="宋体" w:hAnsi="宋体"/>
        </w:rPr>
        <w:t>招投标内容有关的施工和验收规范，按投标截止时最新的国际电工技术协会（IEC）的有关标准和国家标准。</w:t>
      </w:r>
    </w:p>
    <w:p>
      <w:pPr>
        <w:adjustRightInd w:val="0"/>
        <w:snapToGrid w:val="0"/>
        <w:spacing w:before="203" w:beforeLines="50" w:after="203" w:afterLines="50"/>
        <w:ind w:firstLine="500" w:firstLineChars="200"/>
        <w:rPr>
          <w:rFonts w:ascii="宋体" w:hAnsi="宋体"/>
        </w:rPr>
      </w:pPr>
      <w:r>
        <w:rPr>
          <w:rFonts w:ascii="宋体" w:hAnsi="宋体"/>
        </w:rPr>
        <w:t>设备正式运行后各项性能指标符合和达到设计图、标书和设备技术说明规定的标准。</w:t>
      </w:r>
    </w:p>
    <w:p>
      <w:pPr>
        <w:adjustRightInd w:val="0"/>
        <w:snapToGrid w:val="0"/>
        <w:spacing w:before="203" w:beforeLines="50" w:after="203" w:afterLines="50"/>
        <w:ind w:firstLine="500" w:firstLineChars="200"/>
        <w:rPr>
          <w:rFonts w:ascii="宋体" w:hAnsi="宋体"/>
          <w:bCs/>
        </w:rPr>
      </w:pPr>
      <w:bookmarkStart w:id="7456" w:name="_Toc301178767"/>
      <w:bookmarkStart w:id="7457" w:name="_Toc98142995"/>
      <w:bookmarkStart w:id="7458" w:name="_Toc301171340"/>
      <w:r>
        <w:rPr>
          <w:rFonts w:ascii="宋体" w:hAnsi="宋体"/>
          <w:bCs/>
        </w:rPr>
        <w:t>3、</w:t>
      </w:r>
      <w:r>
        <w:rPr>
          <w:rFonts w:ascii="宋体" w:hAnsi="宋体"/>
        </w:rPr>
        <w:t>验收</w:t>
      </w:r>
      <w:r>
        <w:rPr>
          <w:rFonts w:ascii="宋体" w:hAnsi="宋体"/>
          <w:bCs/>
        </w:rPr>
        <w:t>内容</w:t>
      </w:r>
      <w:bookmarkEnd w:id="7456"/>
      <w:bookmarkEnd w:id="7457"/>
      <w:bookmarkEnd w:id="7458"/>
    </w:p>
    <w:p>
      <w:pPr>
        <w:adjustRightInd w:val="0"/>
        <w:snapToGrid w:val="0"/>
        <w:spacing w:before="203" w:beforeLines="50" w:after="203" w:afterLines="50"/>
        <w:ind w:firstLine="500" w:firstLineChars="200"/>
        <w:rPr>
          <w:rFonts w:ascii="宋体" w:hAnsi="宋体"/>
        </w:rPr>
      </w:pPr>
      <w:r>
        <w:rPr>
          <w:rFonts w:ascii="宋体" w:hAnsi="宋体"/>
        </w:rPr>
        <w:t>（1）PLC系统的检查、试验应包括：</w:t>
      </w:r>
    </w:p>
    <w:p>
      <w:pPr>
        <w:adjustRightInd w:val="0"/>
        <w:snapToGrid w:val="0"/>
        <w:spacing w:before="203" w:beforeLines="50" w:after="203" w:afterLines="50"/>
        <w:ind w:firstLine="500" w:firstLineChars="200"/>
        <w:rPr>
          <w:rFonts w:ascii="宋体" w:hAnsi="宋体"/>
        </w:rPr>
      </w:pPr>
      <w:r>
        <w:rPr>
          <w:rFonts w:ascii="宋体" w:hAnsi="宋体"/>
        </w:rPr>
        <w:t>a、设备到货验收。</w:t>
      </w:r>
    </w:p>
    <w:p>
      <w:pPr>
        <w:adjustRightInd w:val="0"/>
        <w:snapToGrid w:val="0"/>
        <w:spacing w:before="203" w:beforeLines="50" w:after="203" w:afterLines="50"/>
        <w:ind w:firstLine="500" w:firstLineChars="200"/>
        <w:rPr>
          <w:rFonts w:ascii="宋体" w:hAnsi="宋体"/>
        </w:rPr>
      </w:pPr>
      <w:r>
        <w:rPr>
          <w:rFonts w:ascii="宋体" w:hAnsi="宋体"/>
        </w:rPr>
        <w:t>b、程序编制完成后的仿真试验。</w:t>
      </w:r>
    </w:p>
    <w:p>
      <w:pPr>
        <w:adjustRightInd w:val="0"/>
        <w:snapToGrid w:val="0"/>
        <w:spacing w:before="203" w:beforeLines="50" w:after="203" w:afterLines="50"/>
        <w:ind w:firstLine="500" w:firstLineChars="200"/>
        <w:rPr>
          <w:rFonts w:ascii="宋体" w:hAnsi="宋体"/>
        </w:rPr>
      </w:pPr>
      <w:r>
        <w:rPr>
          <w:rFonts w:ascii="宋体" w:hAnsi="宋体"/>
        </w:rPr>
        <w:t>c、设备安装后的检查。</w:t>
      </w:r>
    </w:p>
    <w:p>
      <w:pPr>
        <w:adjustRightInd w:val="0"/>
        <w:snapToGrid w:val="0"/>
        <w:spacing w:before="203" w:beforeLines="50" w:after="203" w:afterLines="50"/>
        <w:ind w:firstLine="500" w:firstLineChars="200"/>
        <w:rPr>
          <w:rFonts w:ascii="宋体" w:hAnsi="宋体"/>
        </w:rPr>
      </w:pPr>
      <w:r>
        <w:rPr>
          <w:rFonts w:ascii="宋体" w:hAnsi="宋体"/>
        </w:rPr>
        <w:t>d、线路检查、接线检查和测试。</w:t>
      </w:r>
    </w:p>
    <w:p>
      <w:pPr>
        <w:adjustRightInd w:val="0"/>
        <w:snapToGrid w:val="0"/>
        <w:spacing w:before="203" w:beforeLines="50" w:after="203" w:afterLines="50"/>
        <w:ind w:firstLine="500" w:firstLineChars="200"/>
        <w:rPr>
          <w:rFonts w:ascii="宋体" w:hAnsi="宋体"/>
        </w:rPr>
      </w:pPr>
      <w:r>
        <w:rPr>
          <w:rFonts w:ascii="宋体" w:hAnsi="宋体"/>
        </w:rPr>
        <w:t>e、I/O试验。</w:t>
      </w:r>
    </w:p>
    <w:p>
      <w:pPr>
        <w:adjustRightInd w:val="0"/>
        <w:snapToGrid w:val="0"/>
        <w:spacing w:before="203" w:beforeLines="50" w:after="203" w:afterLines="50"/>
        <w:ind w:firstLine="500" w:firstLineChars="200"/>
        <w:rPr>
          <w:rFonts w:ascii="宋体" w:hAnsi="宋体"/>
        </w:rPr>
      </w:pPr>
      <w:r>
        <w:rPr>
          <w:rFonts w:ascii="宋体" w:hAnsi="宋体"/>
        </w:rPr>
        <w:t>f、模拟试验。</w:t>
      </w:r>
    </w:p>
    <w:p>
      <w:pPr>
        <w:adjustRightInd w:val="0"/>
        <w:snapToGrid w:val="0"/>
        <w:spacing w:before="203" w:beforeLines="50" w:after="203" w:afterLines="50"/>
        <w:ind w:firstLine="500" w:firstLineChars="200"/>
        <w:rPr>
          <w:rFonts w:ascii="宋体" w:hAnsi="宋体"/>
        </w:rPr>
      </w:pPr>
      <w:r>
        <w:rPr>
          <w:rFonts w:ascii="宋体" w:hAnsi="宋体"/>
        </w:rPr>
        <w:t>g、运行试验。</w:t>
      </w:r>
    </w:p>
    <w:p>
      <w:pPr>
        <w:adjustRightInd w:val="0"/>
        <w:snapToGrid w:val="0"/>
        <w:spacing w:before="203" w:beforeLines="50" w:after="203" w:afterLines="50"/>
        <w:ind w:firstLine="500" w:firstLineChars="200"/>
        <w:rPr>
          <w:rFonts w:ascii="宋体" w:hAnsi="宋体"/>
        </w:rPr>
      </w:pPr>
      <w:r>
        <w:rPr>
          <w:rFonts w:ascii="宋体" w:hAnsi="宋体"/>
        </w:rPr>
        <w:t>h、各现场控控制站的控制程序对生产过程的控制达到工艺设计要求。</w:t>
      </w:r>
    </w:p>
    <w:p>
      <w:pPr>
        <w:adjustRightInd w:val="0"/>
        <w:snapToGrid w:val="0"/>
        <w:spacing w:before="203" w:beforeLines="50" w:after="203" w:afterLines="50"/>
        <w:ind w:firstLine="500" w:firstLineChars="200"/>
        <w:rPr>
          <w:rFonts w:ascii="宋体" w:hAnsi="宋体"/>
        </w:rPr>
      </w:pPr>
      <w:r>
        <w:rPr>
          <w:rFonts w:ascii="宋体" w:hAnsi="宋体"/>
        </w:rPr>
        <w:t>i、提供设计程序流程图、程序清单、程序清单加以中文注释。</w:t>
      </w:r>
    </w:p>
    <w:p>
      <w:pPr>
        <w:adjustRightInd w:val="0"/>
        <w:snapToGrid w:val="0"/>
        <w:spacing w:before="203" w:beforeLines="50" w:after="203" w:afterLines="50"/>
        <w:ind w:firstLine="500" w:firstLineChars="200"/>
        <w:rPr>
          <w:rFonts w:ascii="宋体" w:hAnsi="宋体"/>
        </w:rPr>
      </w:pPr>
      <w:r>
        <w:rPr>
          <w:rFonts w:ascii="宋体" w:hAnsi="宋体"/>
        </w:rPr>
        <w:t>j、PLC等控制设备连续72小时运行无故障。</w:t>
      </w:r>
    </w:p>
    <w:p>
      <w:pPr>
        <w:adjustRightInd w:val="0"/>
        <w:snapToGrid w:val="0"/>
        <w:spacing w:before="203" w:beforeLines="50" w:after="203" w:afterLines="50"/>
        <w:ind w:firstLine="500" w:firstLineChars="200"/>
        <w:rPr>
          <w:rFonts w:ascii="宋体" w:hAnsi="宋体"/>
        </w:rPr>
      </w:pPr>
      <w:r>
        <w:rPr>
          <w:rFonts w:ascii="宋体" w:hAnsi="宋体"/>
        </w:rPr>
        <w:t>k、控制电缆需挂电缆标识、电线需穿线号。PLC控制柜内的元器件的安装需整洁、有序。</w:t>
      </w:r>
    </w:p>
    <w:p>
      <w:pPr>
        <w:adjustRightInd w:val="0"/>
        <w:snapToGrid w:val="0"/>
        <w:spacing w:before="203" w:beforeLines="50" w:after="203" w:afterLines="50"/>
        <w:ind w:firstLine="500" w:firstLineChars="200"/>
        <w:rPr>
          <w:rFonts w:ascii="宋体" w:hAnsi="宋体"/>
        </w:rPr>
      </w:pPr>
      <w:r>
        <w:rPr>
          <w:rFonts w:ascii="宋体" w:hAnsi="宋体"/>
        </w:rPr>
        <w:t>（2）计算机监控的检查、试验应包含：</w:t>
      </w:r>
    </w:p>
    <w:p>
      <w:pPr>
        <w:adjustRightInd w:val="0"/>
        <w:snapToGrid w:val="0"/>
        <w:spacing w:before="203" w:beforeLines="50" w:after="203" w:afterLines="50"/>
        <w:ind w:firstLine="500" w:firstLineChars="200"/>
        <w:rPr>
          <w:rFonts w:ascii="宋体" w:hAnsi="宋体"/>
        </w:rPr>
      </w:pPr>
      <w:r>
        <w:rPr>
          <w:rFonts w:ascii="宋体" w:hAnsi="宋体"/>
        </w:rPr>
        <w:t>a、设备到货验收。</w:t>
      </w:r>
    </w:p>
    <w:p>
      <w:pPr>
        <w:adjustRightInd w:val="0"/>
        <w:snapToGrid w:val="0"/>
        <w:spacing w:before="203" w:beforeLines="50" w:after="203" w:afterLines="50"/>
        <w:ind w:firstLine="500" w:firstLineChars="200"/>
        <w:rPr>
          <w:rFonts w:ascii="宋体" w:hAnsi="宋体"/>
        </w:rPr>
      </w:pPr>
      <w:r>
        <w:rPr>
          <w:rFonts w:ascii="宋体" w:hAnsi="宋体"/>
        </w:rPr>
        <w:t>b、设备安装检查。</w:t>
      </w:r>
    </w:p>
    <w:p>
      <w:pPr>
        <w:adjustRightInd w:val="0"/>
        <w:snapToGrid w:val="0"/>
        <w:spacing w:before="203" w:beforeLines="50" w:after="203" w:afterLines="50"/>
        <w:ind w:firstLine="500" w:firstLineChars="200"/>
        <w:rPr>
          <w:rFonts w:ascii="宋体" w:hAnsi="宋体"/>
        </w:rPr>
      </w:pPr>
      <w:r>
        <w:rPr>
          <w:rFonts w:ascii="宋体" w:hAnsi="宋体"/>
        </w:rPr>
        <w:t>c、系统功能测试。</w:t>
      </w:r>
    </w:p>
    <w:p>
      <w:pPr>
        <w:adjustRightInd w:val="0"/>
        <w:snapToGrid w:val="0"/>
        <w:spacing w:before="203" w:beforeLines="50" w:after="203" w:afterLines="50"/>
        <w:ind w:firstLine="500" w:firstLineChars="200"/>
        <w:rPr>
          <w:rFonts w:ascii="宋体" w:hAnsi="宋体"/>
        </w:rPr>
      </w:pPr>
      <w:r>
        <w:rPr>
          <w:rFonts w:ascii="宋体" w:hAnsi="宋体"/>
        </w:rPr>
        <w:t>d、中央监控计算机安装相关的监控平台软件、监控软件的画面需以中文对设备、信号、画面名称进行描述。监控计算机的监控画面需包括所有的被控设备、仪表的画面。被控设备的运行在画面上的显示需通过颜色区分：红色-----运行（阀门全开）、绿色----停止（阀门全关）、黄色----故障。连续动作的被控设备需用动态画面表示。仪表信号需以字符串方式显示。需能实现报表功能、报警功能，并能实现报表、报警打印。</w:t>
      </w:r>
    </w:p>
    <w:p>
      <w:pPr>
        <w:adjustRightInd w:val="0"/>
        <w:snapToGrid w:val="0"/>
        <w:spacing w:before="203" w:beforeLines="50" w:after="203" w:afterLines="50"/>
        <w:ind w:firstLine="500" w:firstLineChars="200"/>
        <w:rPr>
          <w:rFonts w:ascii="宋体" w:hAnsi="宋体"/>
        </w:rPr>
      </w:pPr>
      <w:r>
        <w:rPr>
          <w:rFonts w:ascii="宋体" w:hAnsi="宋体"/>
        </w:rPr>
        <w:t>e、系统连续72小时运行无故障。</w:t>
      </w:r>
    </w:p>
    <w:p>
      <w:pPr>
        <w:adjustRightInd w:val="0"/>
        <w:snapToGrid w:val="0"/>
        <w:spacing w:before="203" w:beforeLines="50" w:after="203" w:afterLines="50"/>
        <w:ind w:firstLine="500" w:firstLineChars="200"/>
        <w:rPr>
          <w:rFonts w:ascii="宋体" w:hAnsi="宋体"/>
        </w:rPr>
      </w:pPr>
      <w:r>
        <w:rPr>
          <w:rFonts w:ascii="宋体" w:hAnsi="宋体"/>
        </w:rPr>
        <w:t>（3）仪表系统的检查、试验应包含：</w:t>
      </w:r>
    </w:p>
    <w:p>
      <w:pPr>
        <w:adjustRightInd w:val="0"/>
        <w:snapToGrid w:val="0"/>
        <w:spacing w:before="203" w:beforeLines="50" w:after="203" w:afterLines="50"/>
        <w:ind w:firstLine="500" w:firstLineChars="200"/>
        <w:rPr>
          <w:rFonts w:ascii="宋体" w:hAnsi="宋体"/>
        </w:rPr>
      </w:pPr>
      <w:r>
        <w:rPr>
          <w:rFonts w:ascii="宋体" w:hAnsi="宋体"/>
        </w:rPr>
        <w:t>a、设备到货验收。</w:t>
      </w:r>
    </w:p>
    <w:p>
      <w:pPr>
        <w:adjustRightInd w:val="0"/>
        <w:snapToGrid w:val="0"/>
        <w:spacing w:before="203" w:beforeLines="50" w:after="203" w:afterLines="50"/>
        <w:ind w:firstLine="500" w:firstLineChars="200"/>
        <w:rPr>
          <w:rFonts w:ascii="宋体" w:hAnsi="宋体"/>
        </w:rPr>
      </w:pPr>
      <w:r>
        <w:rPr>
          <w:rFonts w:ascii="宋体" w:hAnsi="宋体"/>
        </w:rPr>
        <w:t>b、仪表校验和送检。</w:t>
      </w:r>
    </w:p>
    <w:p>
      <w:pPr>
        <w:adjustRightInd w:val="0"/>
        <w:snapToGrid w:val="0"/>
        <w:spacing w:before="203" w:beforeLines="50" w:after="203" w:afterLines="50"/>
        <w:ind w:firstLine="500" w:firstLineChars="200"/>
        <w:rPr>
          <w:rFonts w:ascii="宋体" w:hAnsi="宋体"/>
        </w:rPr>
      </w:pPr>
      <w:r>
        <w:rPr>
          <w:rFonts w:ascii="宋体" w:hAnsi="宋体"/>
        </w:rPr>
        <w:t>c、仪表安装检查。</w:t>
      </w:r>
    </w:p>
    <w:p>
      <w:pPr>
        <w:adjustRightInd w:val="0"/>
        <w:snapToGrid w:val="0"/>
        <w:spacing w:before="203" w:beforeLines="50" w:after="203" w:afterLines="50"/>
        <w:ind w:firstLine="500" w:firstLineChars="200"/>
        <w:rPr>
          <w:rFonts w:ascii="宋体" w:hAnsi="宋体"/>
        </w:rPr>
      </w:pPr>
      <w:r>
        <w:rPr>
          <w:rFonts w:ascii="宋体" w:hAnsi="宋体"/>
        </w:rPr>
        <w:t>d、接线检查。</w:t>
      </w:r>
    </w:p>
    <w:p>
      <w:pPr>
        <w:adjustRightInd w:val="0"/>
        <w:snapToGrid w:val="0"/>
        <w:spacing w:before="203" w:beforeLines="50" w:after="203" w:afterLines="50"/>
        <w:ind w:firstLine="500" w:firstLineChars="200"/>
        <w:rPr>
          <w:rFonts w:ascii="宋体" w:hAnsi="宋体"/>
        </w:rPr>
      </w:pPr>
      <w:r>
        <w:rPr>
          <w:rFonts w:ascii="宋体" w:hAnsi="宋体"/>
        </w:rPr>
        <w:t>e、仪表的输出信号需准确、无波动。</w:t>
      </w:r>
    </w:p>
    <w:p>
      <w:pPr>
        <w:adjustRightInd w:val="0"/>
        <w:snapToGrid w:val="0"/>
        <w:spacing w:before="203" w:beforeLines="50" w:after="203" w:afterLines="50"/>
        <w:ind w:firstLine="500" w:firstLineChars="200"/>
        <w:rPr>
          <w:rFonts w:ascii="宋体" w:hAnsi="宋体"/>
        </w:rPr>
      </w:pPr>
      <w:r>
        <w:rPr>
          <w:rFonts w:ascii="宋体" w:hAnsi="宋体"/>
        </w:rPr>
        <w:t>（4）闭路电视系统的检查、试验应包含：</w:t>
      </w:r>
    </w:p>
    <w:p>
      <w:pPr>
        <w:adjustRightInd w:val="0"/>
        <w:snapToGrid w:val="0"/>
        <w:spacing w:before="203" w:beforeLines="50" w:after="203" w:afterLines="50"/>
        <w:ind w:firstLine="500" w:firstLineChars="200"/>
        <w:rPr>
          <w:rFonts w:ascii="宋体" w:hAnsi="宋体"/>
        </w:rPr>
      </w:pPr>
      <w:r>
        <w:rPr>
          <w:rFonts w:ascii="宋体" w:hAnsi="宋体"/>
        </w:rPr>
        <w:t>a、设备到货验收。</w:t>
      </w:r>
    </w:p>
    <w:p>
      <w:pPr>
        <w:adjustRightInd w:val="0"/>
        <w:snapToGrid w:val="0"/>
        <w:spacing w:before="203" w:beforeLines="50" w:after="203" w:afterLines="50"/>
        <w:ind w:firstLine="500" w:firstLineChars="200"/>
        <w:rPr>
          <w:rFonts w:ascii="宋体" w:hAnsi="宋体"/>
        </w:rPr>
      </w:pPr>
      <w:r>
        <w:rPr>
          <w:rFonts w:ascii="宋体" w:hAnsi="宋体"/>
        </w:rPr>
        <w:t>b、线路及接线检查、测试。</w:t>
      </w:r>
    </w:p>
    <w:p>
      <w:pPr>
        <w:adjustRightInd w:val="0"/>
        <w:snapToGrid w:val="0"/>
        <w:spacing w:before="203" w:beforeLines="50" w:after="203" w:afterLines="50"/>
        <w:ind w:firstLine="500" w:firstLineChars="200"/>
        <w:rPr>
          <w:rFonts w:ascii="宋体" w:hAnsi="宋体"/>
        </w:rPr>
      </w:pPr>
      <w:r>
        <w:rPr>
          <w:rFonts w:ascii="宋体" w:hAnsi="宋体"/>
        </w:rPr>
        <w:t>c、系统功能测试。</w:t>
      </w:r>
    </w:p>
    <w:p>
      <w:pPr>
        <w:adjustRightInd w:val="0"/>
        <w:snapToGrid w:val="0"/>
        <w:spacing w:before="203" w:beforeLines="50" w:after="203" w:afterLines="50"/>
        <w:ind w:firstLine="500" w:firstLineChars="200"/>
        <w:rPr>
          <w:rFonts w:ascii="宋体" w:hAnsi="宋体"/>
        </w:rPr>
      </w:pPr>
      <w:r>
        <w:rPr>
          <w:rFonts w:ascii="宋体" w:hAnsi="宋体"/>
        </w:rPr>
        <w:t>所有检查承包商及时通知业主参加，检查结果不能免除承包商的任何责任。</w:t>
      </w:r>
    </w:p>
    <w:p>
      <w:pPr>
        <w:keepNext/>
        <w:tabs>
          <w:tab w:val="left" w:pos="993"/>
        </w:tabs>
        <w:adjustRightInd w:val="0"/>
        <w:snapToGrid w:val="0"/>
        <w:spacing w:before="203" w:beforeLines="50" w:after="203" w:afterLines="50"/>
        <w:outlineLvl w:val="0"/>
        <w:rPr>
          <w:rFonts w:ascii="宋体" w:hAnsi="宋体"/>
          <w:b/>
          <w:bCs/>
        </w:rPr>
      </w:pPr>
      <w:bookmarkStart w:id="7459" w:name="_Toc301171455"/>
      <w:bookmarkStart w:id="7460" w:name="_Toc301178882"/>
      <w:bookmarkStart w:id="7461" w:name="_Toc98143140"/>
      <w:bookmarkStart w:id="7462" w:name="_Toc401327981"/>
      <w:bookmarkStart w:id="7463" w:name="_Toc450585042"/>
      <w:bookmarkStart w:id="7464" w:name="_Toc106883828"/>
      <w:r>
        <w:rPr>
          <w:rFonts w:hint="eastAsia" w:ascii="宋体" w:hAnsi="宋体"/>
          <w:b/>
          <w:bCs/>
        </w:rPr>
        <w:t>10.7.9</w:t>
      </w:r>
      <w:r>
        <w:rPr>
          <w:rFonts w:hint="eastAsia" w:ascii="宋体" w:hAnsi="宋体"/>
          <w:b/>
          <w:bCs/>
        </w:rPr>
        <w:tab/>
      </w:r>
      <w:r>
        <w:rPr>
          <w:rFonts w:ascii="宋体" w:hAnsi="宋体"/>
          <w:b/>
          <w:bCs/>
        </w:rPr>
        <w:t>工程保修</w:t>
      </w:r>
      <w:bookmarkEnd w:id="7459"/>
      <w:bookmarkEnd w:id="7460"/>
      <w:bookmarkEnd w:id="7461"/>
      <w:bookmarkEnd w:id="7462"/>
      <w:bookmarkEnd w:id="7463"/>
      <w:bookmarkEnd w:id="7464"/>
    </w:p>
    <w:p>
      <w:pPr>
        <w:adjustRightInd w:val="0"/>
        <w:snapToGrid w:val="0"/>
        <w:spacing w:before="203" w:beforeLines="50" w:after="203" w:afterLines="50"/>
        <w:ind w:firstLine="500" w:firstLineChars="200"/>
        <w:rPr>
          <w:rFonts w:ascii="宋体" w:hAnsi="宋体"/>
        </w:rPr>
      </w:pPr>
      <w:r>
        <w:rPr>
          <w:rFonts w:ascii="宋体" w:hAnsi="宋体"/>
        </w:rPr>
        <w:t>保修范围：承包商安装过程中所涉及到的，由于安装质量所造成的使用功能不齐全、不稳定或无法使用问题，均属于安装承包商的保修范围。</w:t>
      </w:r>
    </w:p>
    <w:p>
      <w:pPr>
        <w:adjustRightInd w:val="0"/>
        <w:snapToGrid w:val="0"/>
        <w:spacing w:before="203" w:beforeLines="50" w:after="203" w:afterLines="50"/>
        <w:ind w:firstLine="500" w:firstLineChars="200"/>
        <w:rPr>
          <w:rFonts w:ascii="宋体" w:hAnsi="宋体"/>
        </w:rPr>
      </w:pPr>
      <w:r>
        <w:rPr>
          <w:rFonts w:ascii="宋体" w:hAnsi="宋体"/>
        </w:rPr>
        <w:t>保修方法：</w:t>
      </w:r>
    </w:p>
    <w:p>
      <w:pPr>
        <w:adjustRightInd w:val="0"/>
        <w:snapToGrid w:val="0"/>
        <w:spacing w:before="203" w:beforeLines="50" w:after="203" w:afterLines="50"/>
        <w:ind w:firstLine="500" w:firstLineChars="200"/>
        <w:rPr>
          <w:rFonts w:ascii="宋体" w:hAnsi="宋体"/>
        </w:rPr>
      </w:pPr>
      <w:r>
        <w:rPr>
          <w:rFonts w:ascii="宋体" w:hAnsi="宋体"/>
          <w:bCs/>
        </w:rPr>
        <w:t>发送保修证书</w:t>
      </w:r>
      <w:r>
        <w:rPr>
          <w:rFonts w:hint="eastAsia" w:ascii="宋体" w:hAnsi="宋体"/>
          <w:bCs/>
        </w:rPr>
        <w:t>：</w:t>
      </w:r>
      <w:r>
        <w:rPr>
          <w:rFonts w:ascii="宋体" w:hAnsi="宋体"/>
        </w:rPr>
        <w:t>在工程竣工验收之后1周内承包商向业主发送《安装工程保修证书》。主要内容有：工程简况、使用管理要求、保修范围和保修内容、保修时间、保修说明、保修情况记录。此外，还附有保修单位的名称、地址、电话、联系人（单位）等。</w:t>
      </w:r>
    </w:p>
    <w:p>
      <w:pPr>
        <w:adjustRightInd w:val="0"/>
        <w:snapToGrid w:val="0"/>
        <w:spacing w:before="203" w:beforeLines="50" w:after="203" w:afterLines="50"/>
        <w:ind w:firstLine="500" w:firstLineChars="200"/>
        <w:rPr>
          <w:rFonts w:ascii="宋体" w:hAnsi="宋体"/>
        </w:rPr>
      </w:pPr>
      <w:r>
        <w:rPr>
          <w:rFonts w:ascii="宋体" w:hAnsi="宋体"/>
          <w:bCs/>
        </w:rPr>
        <w:t>检查修理和验收</w:t>
      </w:r>
      <w:r>
        <w:rPr>
          <w:rFonts w:hint="eastAsia" w:ascii="宋体" w:hAnsi="宋体"/>
          <w:bCs/>
        </w:rPr>
        <w:t>：</w:t>
      </w:r>
      <w:r>
        <w:rPr>
          <w:rFonts w:ascii="宋体" w:hAnsi="宋体"/>
        </w:rPr>
        <w:t>在保修期内，施工单位接到业主的要求或通知，应立即派人检查，服务相应时间为24小时以内，合同建设单位共同签定，提出修理方案，进行修理。修理完毕，在保修证书上作保修记录，经业主签字。</w:t>
      </w:r>
    </w:p>
    <w:p>
      <w:pPr>
        <w:adjustRightInd w:val="0"/>
        <w:snapToGrid w:val="0"/>
        <w:spacing w:before="203" w:beforeLines="50" w:after="203" w:afterLines="50"/>
        <w:ind w:firstLine="500" w:firstLineChars="200"/>
        <w:rPr>
          <w:rFonts w:ascii="宋体" w:hAnsi="宋体"/>
        </w:rPr>
      </w:pPr>
      <w:r>
        <w:rPr>
          <w:rFonts w:ascii="宋体" w:hAnsi="宋体"/>
          <w:bCs/>
        </w:rPr>
        <w:t>保修费用</w:t>
      </w:r>
      <w:r>
        <w:rPr>
          <w:rFonts w:hint="eastAsia" w:ascii="宋体" w:hAnsi="宋体"/>
          <w:bCs/>
        </w:rPr>
        <w:t>：</w:t>
      </w:r>
      <w:r>
        <w:rPr>
          <w:rFonts w:ascii="宋体" w:hAnsi="宋体"/>
        </w:rPr>
        <w:t>修理项目确属承包商的责任造成的或遗留的隐患，应由承包商承担全部修理费用。修理项目由于承包商的责任造成的，由双方协商各自应承担的修理费用。</w:t>
      </w:r>
    </w:p>
    <w:p>
      <w:pPr>
        <w:keepNext/>
        <w:tabs>
          <w:tab w:val="left" w:pos="993"/>
        </w:tabs>
        <w:adjustRightInd w:val="0"/>
        <w:snapToGrid w:val="0"/>
        <w:spacing w:before="203" w:beforeLines="50" w:after="203" w:afterLines="50"/>
        <w:outlineLvl w:val="0"/>
        <w:rPr>
          <w:rFonts w:ascii="宋体" w:hAnsi="宋体"/>
          <w:b/>
          <w:bCs/>
        </w:rPr>
      </w:pPr>
      <w:bookmarkStart w:id="7465" w:name="_Toc106883829"/>
      <w:bookmarkStart w:id="7466" w:name="_Toc450585043"/>
      <w:r>
        <w:rPr>
          <w:rFonts w:hint="eastAsia" w:ascii="宋体" w:hAnsi="宋体"/>
          <w:b/>
          <w:bCs/>
        </w:rPr>
        <w:t>10.7.10</w:t>
      </w:r>
      <w:r>
        <w:rPr>
          <w:rFonts w:hint="eastAsia" w:ascii="宋体" w:hAnsi="宋体"/>
          <w:b/>
          <w:bCs/>
        </w:rPr>
        <w:tab/>
      </w:r>
      <w:r>
        <w:rPr>
          <w:rFonts w:ascii="宋体" w:hAnsi="宋体"/>
          <w:b/>
          <w:bCs/>
        </w:rPr>
        <w:t>培训</w:t>
      </w:r>
      <w:bookmarkEnd w:id="7465"/>
      <w:bookmarkEnd w:id="7466"/>
    </w:p>
    <w:p>
      <w:pPr>
        <w:adjustRightInd w:val="0"/>
        <w:snapToGrid w:val="0"/>
        <w:spacing w:before="203" w:beforeLines="50" w:after="203" w:afterLines="50"/>
        <w:ind w:firstLine="500" w:firstLineChars="200"/>
        <w:rPr>
          <w:rFonts w:ascii="宋体" w:hAnsi="宋体"/>
        </w:rPr>
      </w:pPr>
      <w:r>
        <w:rPr>
          <w:rFonts w:ascii="宋体" w:hAnsi="宋体"/>
        </w:rPr>
        <w:t>承包商应提供受过良好培训而且经验丰富的人员，给业主的自动化工程师、仪表设备工程师和从事操作和维护设备的员工提供培训。</w:t>
      </w:r>
    </w:p>
    <w:p>
      <w:pPr>
        <w:adjustRightInd w:val="0"/>
        <w:snapToGrid w:val="0"/>
        <w:spacing w:before="203" w:beforeLines="50" w:after="203" w:afterLines="50"/>
        <w:ind w:firstLine="500" w:firstLineChars="200"/>
        <w:rPr>
          <w:rFonts w:ascii="宋体" w:hAnsi="宋体"/>
        </w:rPr>
      </w:pPr>
      <w:r>
        <w:rPr>
          <w:rFonts w:ascii="宋体" w:hAnsi="宋体"/>
        </w:rPr>
        <w:t>培训由承包商短期正式培训，采用准备好的《用户手册》、《设备安装、调试和维修手册》、注释、讲义、讨论会、视听演示，以及在生产厂家的工厂内或适当时在工程现场进行实际操作示范，让参加培训人员做好操作和维护设备的充分准备，承包商应提交一份详细的培训计划给业主以获批准。</w:t>
      </w:r>
    </w:p>
    <w:p>
      <w:pPr>
        <w:adjustRightInd w:val="0"/>
        <w:snapToGrid w:val="0"/>
        <w:spacing w:before="203" w:beforeLines="50" w:after="203" w:afterLines="50"/>
        <w:ind w:firstLine="500" w:firstLineChars="200"/>
        <w:rPr>
          <w:rFonts w:ascii="宋体" w:hAnsi="宋体"/>
        </w:rPr>
      </w:pPr>
      <w:r>
        <w:rPr>
          <w:rFonts w:ascii="宋体" w:hAnsi="宋体"/>
        </w:rPr>
        <w:t>所有培训使用汉语。培训涵盖的主要内容应包括：</w:t>
      </w:r>
    </w:p>
    <w:p>
      <w:pPr>
        <w:adjustRightInd w:val="0"/>
        <w:snapToGrid w:val="0"/>
        <w:spacing w:before="203" w:beforeLines="50" w:after="203" w:afterLines="50"/>
        <w:ind w:firstLine="500" w:firstLineChars="200"/>
        <w:rPr>
          <w:rFonts w:ascii="宋体" w:hAnsi="宋体"/>
        </w:rPr>
      </w:pPr>
      <w:r>
        <w:rPr>
          <w:rFonts w:ascii="宋体" w:hAnsi="宋体"/>
        </w:rPr>
        <w:t>·健康和安全</w:t>
      </w:r>
    </w:p>
    <w:p>
      <w:pPr>
        <w:adjustRightInd w:val="0"/>
        <w:snapToGrid w:val="0"/>
        <w:spacing w:before="203" w:beforeLines="50" w:after="203" w:afterLines="50"/>
        <w:ind w:firstLine="500" w:firstLineChars="200"/>
        <w:rPr>
          <w:rFonts w:ascii="宋体" w:hAnsi="宋体"/>
        </w:rPr>
      </w:pPr>
      <w:r>
        <w:rPr>
          <w:rFonts w:ascii="宋体" w:hAnsi="宋体"/>
        </w:rPr>
        <w:t>·工艺流程及系统控制程序</w:t>
      </w:r>
    </w:p>
    <w:p>
      <w:pPr>
        <w:adjustRightInd w:val="0"/>
        <w:snapToGrid w:val="0"/>
        <w:spacing w:before="203" w:beforeLines="50" w:after="203" w:afterLines="50"/>
        <w:ind w:firstLine="500" w:firstLineChars="200"/>
        <w:rPr>
          <w:rFonts w:ascii="宋体" w:hAnsi="宋体"/>
        </w:rPr>
      </w:pPr>
      <w:r>
        <w:rPr>
          <w:rFonts w:ascii="宋体" w:hAnsi="宋体"/>
        </w:rPr>
        <w:t>·自动化系统原理、操作说明</w:t>
      </w:r>
    </w:p>
    <w:p>
      <w:pPr>
        <w:adjustRightInd w:val="0"/>
        <w:snapToGrid w:val="0"/>
        <w:spacing w:before="203" w:beforeLines="50" w:after="203" w:afterLines="50"/>
        <w:ind w:firstLine="500" w:firstLineChars="200"/>
        <w:rPr>
          <w:rFonts w:ascii="宋体" w:hAnsi="宋体"/>
        </w:rPr>
      </w:pPr>
      <w:r>
        <w:rPr>
          <w:rFonts w:ascii="宋体" w:hAnsi="宋体"/>
        </w:rPr>
        <w:t>·装置和设备的结构及安装</w:t>
      </w:r>
    </w:p>
    <w:p>
      <w:pPr>
        <w:adjustRightInd w:val="0"/>
        <w:snapToGrid w:val="0"/>
        <w:spacing w:before="203" w:beforeLines="50" w:after="203" w:afterLines="50"/>
        <w:ind w:firstLine="500" w:firstLineChars="200"/>
        <w:rPr>
          <w:rFonts w:ascii="宋体" w:hAnsi="宋体"/>
        </w:rPr>
      </w:pPr>
      <w:r>
        <w:rPr>
          <w:rFonts w:ascii="宋体" w:hAnsi="宋体"/>
        </w:rPr>
        <w:t>·网络及软件的编程</w:t>
      </w:r>
    </w:p>
    <w:p>
      <w:pPr>
        <w:adjustRightInd w:val="0"/>
        <w:snapToGrid w:val="0"/>
        <w:spacing w:before="203" w:beforeLines="50" w:after="203" w:afterLines="50"/>
        <w:ind w:firstLine="500" w:firstLineChars="200"/>
        <w:rPr>
          <w:rFonts w:ascii="宋体" w:hAnsi="宋体"/>
        </w:rPr>
      </w:pPr>
      <w:r>
        <w:rPr>
          <w:rFonts w:ascii="宋体" w:hAnsi="宋体"/>
        </w:rPr>
        <w:t>·装置和设备的手动操作</w:t>
      </w:r>
    </w:p>
    <w:p>
      <w:pPr>
        <w:adjustRightInd w:val="0"/>
        <w:snapToGrid w:val="0"/>
        <w:spacing w:before="203" w:beforeLines="50" w:after="203" w:afterLines="50"/>
        <w:ind w:firstLine="500" w:firstLineChars="200"/>
        <w:rPr>
          <w:rFonts w:ascii="宋体" w:hAnsi="宋体"/>
        </w:rPr>
      </w:pPr>
      <w:r>
        <w:rPr>
          <w:rFonts w:ascii="宋体" w:hAnsi="宋体"/>
        </w:rPr>
        <w:t>·装置和设备的自动操作</w:t>
      </w:r>
    </w:p>
    <w:p>
      <w:pPr>
        <w:adjustRightInd w:val="0"/>
        <w:snapToGrid w:val="0"/>
        <w:spacing w:before="203" w:beforeLines="50" w:after="203" w:afterLines="50"/>
        <w:ind w:firstLine="500" w:firstLineChars="200"/>
        <w:rPr>
          <w:rFonts w:ascii="宋体" w:hAnsi="宋体"/>
        </w:rPr>
      </w:pPr>
      <w:r>
        <w:rPr>
          <w:rFonts w:ascii="宋体" w:hAnsi="宋体"/>
        </w:rPr>
        <w:t>·正常运行中需要的手动运作</w:t>
      </w:r>
    </w:p>
    <w:p>
      <w:pPr>
        <w:adjustRightInd w:val="0"/>
        <w:snapToGrid w:val="0"/>
        <w:spacing w:before="203" w:beforeLines="50" w:after="203" w:afterLines="50"/>
        <w:ind w:firstLine="500" w:firstLineChars="200"/>
        <w:rPr>
          <w:rFonts w:ascii="宋体" w:hAnsi="宋体"/>
        </w:rPr>
      </w:pPr>
      <w:r>
        <w:rPr>
          <w:rFonts w:ascii="宋体" w:hAnsi="宋体"/>
        </w:rPr>
        <w:t>·调节和缺省值设定</w:t>
      </w:r>
    </w:p>
    <w:p>
      <w:pPr>
        <w:adjustRightInd w:val="0"/>
        <w:snapToGrid w:val="0"/>
        <w:spacing w:before="203" w:beforeLines="50" w:after="203" w:afterLines="50"/>
        <w:ind w:firstLine="500" w:firstLineChars="200"/>
        <w:rPr>
          <w:rFonts w:ascii="宋体" w:hAnsi="宋体"/>
        </w:rPr>
      </w:pPr>
      <w:r>
        <w:rPr>
          <w:rFonts w:ascii="宋体" w:hAnsi="宋体"/>
        </w:rPr>
        <w:t>·装置和设备在故障状态下的处理程序</w:t>
      </w:r>
    </w:p>
    <w:p>
      <w:pPr>
        <w:adjustRightInd w:val="0"/>
        <w:snapToGrid w:val="0"/>
        <w:spacing w:before="203" w:beforeLines="50" w:after="203" w:afterLines="50"/>
        <w:ind w:firstLine="500" w:firstLineChars="200"/>
        <w:rPr>
          <w:rFonts w:ascii="宋体" w:hAnsi="宋体"/>
        </w:rPr>
      </w:pPr>
      <w:r>
        <w:rPr>
          <w:rFonts w:ascii="宋体" w:hAnsi="宋体"/>
        </w:rPr>
        <w:t>·维护保养</w:t>
      </w:r>
    </w:p>
    <w:p>
      <w:pPr>
        <w:adjustRightInd w:val="0"/>
        <w:snapToGrid w:val="0"/>
        <w:spacing w:before="203" w:beforeLines="50" w:after="203" w:afterLines="50"/>
        <w:ind w:firstLine="500" w:firstLineChars="200"/>
        <w:rPr>
          <w:rFonts w:ascii="宋体" w:hAnsi="宋体"/>
        </w:rPr>
      </w:pPr>
      <w:r>
        <w:rPr>
          <w:rFonts w:ascii="宋体" w:hAnsi="宋体"/>
        </w:rPr>
        <w:t>·装置的隔离、拆卸和更换</w:t>
      </w:r>
    </w:p>
    <w:p>
      <w:pPr>
        <w:adjustRightInd w:val="0"/>
        <w:snapToGrid w:val="0"/>
        <w:spacing w:before="203" w:beforeLines="50" w:after="203" w:afterLines="50"/>
        <w:ind w:firstLine="500" w:firstLineChars="200"/>
        <w:rPr>
          <w:rFonts w:ascii="宋体" w:hAnsi="宋体"/>
        </w:rPr>
      </w:pPr>
      <w:r>
        <w:rPr>
          <w:rFonts w:ascii="宋体" w:hAnsi="宋体"/>
        </w:rPr>
        <w:t>·故障的查找</w:t>
      </w:r>
    </w:p>
    <w:p>
      <w:pPr>
        <w:keepNext/>
        <w:tabs>
          <w:tab w:val="left" w:pos="993"/>
        </w:tabs>
        <w:adjustRightInd w:val="0"/>
        <w:snapToGrid w:val="0"/>
        <w:spacing w:before="203" w:beforeLines="50" w:after="203" w:afterLines="50"/>
        <w:outlineLvl w:val="0"/>
        <w:rPr>
          <w:rFonts w:ascii="宋体" w:hAnsi="宋体"/>
          <w:b/>
          <w:bCs/>
        </w:rPr>
      </w:pPr>
      <w:bookmarkStart w:id="7467" w:name="_Toc301178759"/>
      <w:bookmarkStart w:id="7468" w:name="_Toc15548814"/>
      <w:bookmarkStart w:id="7469" w:name="_Toc450585044"/>
      <w:bookmarkStart w:id="7470" w:name="_Toc301171332"/>
      <w:bookmarkStart w:id="7471" w:name="_Toc401327940"/>
      <w:bookmarkStart w:id="7472" w:name="_Toc19673934"/>
      <w:bookmarkStart w:id="7473" w:name="_Toc50177514"/>
      <w:bookmarkStart w:id="7474" w:name="_Toc98142987"/>
      <w:bookmarkStart w:id="7475" w:name="_Toc106883830"/>
      <w:r>
        <w:rPr>
          <w:rFonts w:hint="eastAsia" w:ascii="宋体" w:hAnsi="宋体"/>
          <w:b/>
          <w:bCs/>
        </w:rPr>
        <w:t>10.7.11</w:t>
      </w:r>
      <w:r>
        <w:rPr>
          <w:rFonts w:hint="eastAsia" w:ascii="宋体" w:hAnsi="宋体"/>
          <w:b/>
          <w:bCs/>
        </w:rPr>
        <w:tab/>
      </w:r>
      <w:r>
        <w:rPr>
          <w:rFonts w:ascii="宋体" w:hAnsi="宋体"/>
          <w:b/>
          <w:bCs/>
        </w:rPr>
        <w:t>工具、备件和附件</w:t>
      </w:r>
      <w:bookmarkEnd w:id="7467"/>
      <w:bookmarkEnd w:id="7468"/>
      <w:bookmarkEnd w:id="7469"/>
      <w:bookmarkEnd w:id="7470"/>
      <w:bookmarkEnd w:id="7471"/>
      <w:bookmarkEnd w:id="7472"/>
      <w:bookmarkEnd w:id="7473"/>
      <w:bookmarkEnd w:id="7474"/>
      <w:bookmarkEnd w:id="7475"/>
    </w:p>
    <w:p>
      <w:pPr>
        <w:adjustRightInd w:val="0"/>
        <w:snapToGrid w:val="0"/>
        <w:spacing w:before="203" w:beforeLines="50" w:after="203" w:afterLines="50"/>
        <w:ind w:firstLine="500" w:firstLineChars="200"/>
        <w:rPr>
          <w:rFonts w:ascii="宋体" w:hAnsi="宋体"/>
          <w:bCs/>
        </w:rPr>
      </w:pPr>
      <w:bookmarkStart w:id="7476" w:name="_Toc15548815"/>
      <w:bookmarkStart w:id="7477" w:name="_Toc19673935"/>
      <w:bookmarkStart w:id="7478" w:name="_Toc301171333"/>
      <w:bookmarkStart w:id="7479" w:name="_Toc98142988"/>
      <w:bookmarkStart w:id="7480" w:name="_Toc50177515"/>
      <w:bookmarkStart w:id="7481" w:name="_Toc301178760"/>
      <w:r>
        <w:rPr>
          <w:rFonts w:ascii="宋体" w:hAnsi="宋体"/>
          <w:bCs/>
        </w:rPr>
        <w:t>1、一般性要求</w:t>
      </w:r>
      <w:bookmarkEnd w:id="7476"/>
      <w:bookmarkEnd w:id="7477"/>
      <w:bookmarkEnd w:id="7478"/>
      <w:bookmarkEnd w:id="7479"/>
      <w:bookmarkEnd w:id="7480"/>
      <w:bookmarkEnd w:id="7481"/>
    </w:p>
    <w:p>
      <w:pPr>
        <w:adjustRightInd w:val="0"/>
        <w:snapToGrid w:val="0"/>
        <w:spacing w:before="203" w:beforeLines="50" w:after="203" w:afterLines="50"/>
        <w:ind w:firstLine="500" w:firstLineChars="200"/>
        <w:rPr>
          <w:rFonts w:ascii="宋体" w:hAnsi="宋体"/>
        </w:rPr>
      </w:pPr>
      <w:r>
        <w:rPr>
          <w:rFonts w:ascii="宋体" w:hAnsi="宋体"/>
        </w:rPr>
        <w:t>承包商应提供整套用于保证自动化系统设备正常运行的操作维护及安装、修理、备件与附件，总价应包括在合同价中。业主有权决定是否需要采购，或在不改变合同单价的情况下有权决定购买的数量。</w:t>
      </w:r>
    </w:p>
    <w:p>
      <w:pPr>
        <w:adjustRightInd w:val="0"/>
        <w:snapToGrid w:val="0"/>
        <w:spacing w:before="203" w:beforeLines="50" w:after="203" w:afterLines="50"/>
        <w:ind w:firstLine="500" w:firstLineChars="200"/>
        <w:rPr>
          <w:rFonts w:ascii="宋体" w:hAnsi="宋体"/>
        </w:rPr>
      </w:pPr>
      <w:r>
        <w:rPr>
          <w:rFonts w:ascii="宋体" w:hAnsi="宋体"/>
        </w:rPr>
        <w:t>在完成供货、安装和取得验收证书之前，承包商应更换或修理好由于其安装而造成损坏的部件。</w:t>
      </w:r>
    </w:p>
    <w:p>
      <w:pPr>
        <w:adjustRightInd w:val="0"/>
        <w:snapToGrid w:val="0"/>
        <w:spacing w:before="203" w:beforeLines="50" w:after="203" w:afterLines="50"/>
        <w:ind w:firstLine="500" w:firstLineChars="200"/>
        <w:rPr>
          <w:rFonts w:ascii="宋体" w:hAnsi="宋体"/>
        </w:rPr>
      </w:pPr>
      <w:r>
        <w:rPr>
          <w:rFonts w:ascii="宋体" w:hAnsi="宋体"/>
        </w:rPr>
        <w:t>所有备品备件都应完好包装，即使在气温炎热和湿度较大的条件下也能长期库存，以保证备品备件完好，备品备件应密封在塑料袋或类似袋中，并配有充足的干燥剂，每一个密封包上应附有便于识别的信息标签。备品备件包装在安全可行的箱子内，外包装上用中英文标明备品备件零件编号，名称，型号规格、数量、制造厂家等；内包装里应有产品使用说明书，内容清单、标有合同号。</w:t>
      </w:r>
    </w:p>
    <w:p>
      <w:pPr>
        <w:adjustRightInd w:val="0"/>
        <w:snapToGrid w:val="0"/>
        <w:spacing w:before="203" w:beforeLines="50" w:after="203" w:afterLines="50"/>
        <w:ind w:firstLine="500" w:firstLineChars="200"/>
        <w:rPr>
          <w:rFonts w:ascii="宋体" w:hAnsi="宋体"/>
        </w:rPr>
      </w:pPr>
      <w:r>
        <w:rPr>
          <w:rFonts w:ascii="宋体" w:hAnsi="宋体"/>
        </w:rPr>
        <w:t xml:space="preserve">备品备件价格，在设备验收后3年内不高于合同价，不能由于该设备停产而使业主不能得到维修备件。 </w:t>
      </w:r>
    </w:p>
    <w:p>
      <w:pPr>
        <w:rPr>
          <w:rFonts w:ascii="宋体" w:hAnsi="宋体"/>
        </w:rPr>
      </w:pPr>
      <w:r>
        <w:rPr>
          <w:rFonts w:ascii="宋体" w:hAnsi="宋体"/>
        </w:rPr>
        <w:br w:type="page"/>
      </w:r>
    </w:p>
    <w:p>
      <w:pPr>
        <w:keepNext/>
        <w:adjustRightInd w:val="0"/>
        <w:snapToGrid w:val="0"/>
        <w:spacing w:before="203" w:beforeLines="50" w:after="203" w:afterLines="50"/>
        <w:outlineLvl w:val="1"/>
        <w:rPr>
          <w:rFonts w:ascii="宋体" w:hAnsi="宋体" w:cs="楷体"/>
          <w:b/>
        </w:rPr>
      </w:pPr>
      <w:bookmarkStart w:id="7482" w:name="_Toc106883831"/>
      <w:r>
        <w:rPr>
          <w:rFonts w:hint="eastAsia" w:ascii="宋体" w:hAnsi="宋体" w:cs="楷体"/>
          <w:b/>
        </w:rPr>
        <w:t>10.8厂区设备推荐一览表</w:t>
      </w:r>
      <w:bookmarkEnd w:id="7482"/>
    </w:p>
    <w:p>
      <w:pPr>
        <w:pStyle w:val="47"/>
        <w:spacing w:after="200"/>
        <w:jc w:val="both"/>
        <w:rPr>
          <w:rFonts w:ascii="宋体" w:hAnsi="宋体"/>
        </w:rPr>
      </w:pPr>
      <w:r>
        <w:rPr>
          <w:rFonts w:hint="eastAsia" w:ascii="宋体" w:hAnsi="宋体"/>
          <w:b/>
          <w:iCs/>
          <w:sz w:val="24"/>
          <w:szCs w:val="24"/>
        </w:rPr>
        <w:t>★下表</w:t>
      </w:r>
      <w:r>
        <w:rPr>
          <w:rFonts w:ascii="宋体" w:hAnsi="宋体"/>
          <w:b/>
          <w:iCs/>
          <w:sz w:val="24"/>
          <w:szCs w:val="24"/>
        </w:rPr>
        <w:t>注明推荐品牌及参考厂家的设备，投标人应在此范围内选择，或选择相当于或更优于推荐品牌及参考厂家的设备（须提供</w:t>
      </w:r>
      <w:r>
        <w:rPr>
          <w:rFonts w:hint="eastAsia" w:ascii="宋体" w:hAnsi="宋体"/>
          <w:b/>
          <w:iCs/>
          <w:sz w:val="24"/>
          <w:szCs w:val="24"/>
        </w:rPr>
        <w:t>有效力的佐证资料</w:t>
      </w:r>
      <w:r>
        <w:rPr>
          <w:rFonts w:ascii="宋体" w:hAnsi="宋体"/>
          <w:b/>
          <w:iCs/>
          <w:sz w:val="24"/>
          <w:szCs w:val="24"/>
        </w:rPr>
        <w:t>）</w:t>
      </w:r>
      <w:r>
        <w:rPr>
          <w:rFonts w:hint="eastAsia" w:ascii="宋体" w:hAnsi="宋体"/>
          <w:b/>
          <w:iCs/>
          <w:sz w:val="24"/>
          <w:szCs w:val="24"/>
        </w:rPr>
        <w:t>，</w:t>
      </w:r>
      <w:r>
        <w:rPr>
          <w:rFonts w:ascii="宋体" w:hAnsi="宋体"/>
          <w:b/>
          <w:iCs/>
          <w:sz w:val="24"/>
          <w:szCs w:val="24"/>
        </w:rPr>
        <w:t>但投标人选择的设备须满足招标文件的要求。</w:t>
      </w:r>
      <w:r>
        <w:rPr>
          <w:rFonts w:hint="eastAsia" w:ascii="宋体" w:hAnsi="宋体"/>
          <w:b/>
          <w:iCs/>
          <w:sz w:val="24"/>
          <w:szCs w:val="24"/>
        </w:rPr>
        <w:t>如提供的佐证资料无法证明同档次或优于推荐品牌</w:t>
      </w:r>
      <w:r>
        <w:rPr>
          <w:rFonts w:ascii="宋体" w:hAnsi="宋体"/>
          <w:b/>
          <w:iCs/>
          <w:sz w:val="24"/>
          <w:szCs w:val="24"/>
        </w:rPr>
        <w:t>，</w:t>
      </w:r>
      <w:r>
        <w:rPr>
          <w:rFonts w:hint="eastAsia" w:ascii="宋体" w:hAnsi="宋体"/>
          <w:b/>
          <w:iCs/>
          <w:sz w:val="24"/>
          <w:szCs w:val="24"/>
        </w:rPr>
        <w:t>评标委员会有权否决其招标文件。</w:t>
      </w:r>
    </w:p>
    <w:tbl>
      <w:tblPr>
        <w:tblStyle w:val="77"/>
        <w:tblW w:w="52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228"/>
        <w:gridCol w:w="3031"/>
        <w:gridCol w:w="4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hint="eastAsia" w:ascii="宋体" w:hAnsi="宋体" w:eastAsia="宋体" w:cs="宋体"/>
                <w:b/>
                <w:bCs/>
                <w:lang w:eastAsia="zh-CN"/>
              </w:rPr>
            </w:pPr>
            <w:r>
              <w:rPr>
                <w:rFonts w:hint="eastAsia" w:ascii="宋体" w:hAnsi="宋体" w:cs="宋体"/>
                <w:b/>
                <w:bCs/>
                <w:lang w:eastAsia="zh-CN"/>
              </w:rPr>
              <w:t>序号</w:t>
            </w:r>
          </w:p>
        </w:tc>
        <w:tc>
          <w:tcPr>
            <w:tcW w:w="665" w:type="pct"/>
            <w:vAlign w:val="center"/>
          </w:tcPr>
          <w:p>
            <w:pPr>
              <w:widowControl/>
              <w:textAlignment w:val="center"/>
              <w:rPr>
                <w:rFonts w:hint="eastAsia" w:ascii="宋体" w:hAnsi="宋体" w:eastAsia="宋体" w:cs="宋体"/>
                <w:b/>
                <w:bCs/>
                <w:lang w:eastAsia="zh-CN"/>
              </w:rPr>
            </w:pPr>
            <w:r>
              <w:rPr>
                <w:rFonts w:hint="eastAsia" w:ascii="宋体" w:hAnsi="宋体" w:cs="宋体"/>
                <w:b/>
                <w:bCs/>
                <w:lang w:eastAsia="zh-CN"/>
              </w:rPr>
              <w:t>类型</w:t>
            </w:r>
          </w:p>
        </w:tc>
        <w:tc>
          <w:tcPr>
            <w:tcW w:w="1642" w:type="pct"/>
            <w:vAlign w:val="center"/>
          </w:tcPr>
          <w:p>
            <w:pPr>
              <w:widowControl/>
              <w:jc w:val="center"/>
              <w:textAlignment w:val="center"/>
              <w:rPr>
                <w:rFonts w:hint="eastAsia" w:ascii="宋体" w:hAnsi="宋体" w:eastAsia="宋体" w:cs="宋体"/>
                <w:b/>
                <w:bCs/>
                <w:kern w:val="0"/>
                <w:lang w:eastAsia="zh-CN" w:bidi="ar"/>
              </w:rPr>
            </w:pPr>
            <w:r>
              <w:rPr>
                <w:rFonts w:hint="eastAsia" w:ascii="宋体" w:hAnsi="宋体" w:cs="宋体"/>
                <w:b/>
                <w:bCs/>
                <w:kern w:val="0"/>
                <w:lang w:eastAsia="zh-CN" w:bidi="ar"/>
              </w:rPr>
              <w:t>名称</w:t>
            </w:r>
          </w:p>
        </w:tc>
        <w:tc>
          <w:tcPr>
            <w:tcW w:w="2230" w:type="pct"/>
            <w:vAlign w:val="center"/>
          </w:tcPr>
          <w:p>
            <w:pPr>
              <w:widowControl/>
              <w:jc w:val="center"/>
              <w:textAlignment w:val="center"/>
              <w:rPr>
                <w:rFonts w:ascii="宋体" w:hAnsi="宋体" w:cs="宋体"/>
                <w:b/>
                <w:bCs/>
                <w:kern w:val="1"/>
                <w:shd w:val="clear" w:color="auto" w:fill="FFFFFF"/>
              </w:rPr>
            </w:pPr>
            <w:r>
              <w:rPr>
                <w:rFonts w:hint="eastAsia" w:ascii="宋体" w:hAnsi="宋体" w:cs="Arial"/>
                <w:b/>
                <w:bCs/>
                <w:lang w:eastAsia="zh-CN"/>
              </w:rPr>
              <w:t>推荐</w:t>
            </w:r>
            <w:r>
              <w:rPr>
                <w:rFonts w:hint="eastAsia" w:ascii="宋体" w:hAnsi="宋体" w:cs="Arial"/>
                <w:b/>
                <w:bCs/>
              </w:rPr>
              <w:t>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restart"/>
            <w:vAlign w:val="center"/>
          </w:tcPr>
          <w:p>
            <w:pPr>
              <w:widowControl/>
              <w:jc w:val="center"/>
              <w:textAlignment w:val="center"/>
              <w:rPr>
                <w:rFonts w:ascii="宋体" w:hAnsi="宋体" w:cs="宋体"/>
              </w:rPr>
            </w:pPr>
            <w:r>
              <w:rPr>
                <w:rFonts w:hint="eastAsia" w:ascii="宋体" w:hAnsi="宋体" w:cs="宋体"/>
              </w:rPr>
              <w:t>1</w:t>
            </w:r>
          </w:p>
        </w:tc>
        <w:tc>
          <w:tcPr>
            <w:tcW w:w="665" w:type="pct"/>
            <w:vMerge w:val="restart"/>
            <w:vAlign w:val="center"/>
          </w:tcPr>
          <w:p>
            <w:pPr>
              <w:widowControl/>
              <w:textAlignment w:val="center"/>
              <w:rPr>
                <w:rFonts w:ascii="宋体" w:hAnsi="宋体" w:cs="宋体"/>
              </w:rPr>
            </w:pPr>
            <w:r>
              <w:rPr>
                <w:rFonts w:hint="eastAsia" w:ascii="宋体" w:hAnsi="宋体" w:cs="宋体"/>
              </w:rPr>
              <w:t>阀门类</w:t>
            </w: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调流调压阀</w:t>
            </w:r>
          </w:p>
        </w:tc>
        <w:tc>
          <w:tcPr>
            <w:tcW w:w="2230" w:type="pct"/>
            <w:vAlign w:val="center"/>
          </w:tcPr>
          <w:p>
            <w:pPr>
              <w:widowControl/>
              <w:jc w:val="center"/>
              <w:textAlignment w:val="center"/>
              <w:rPr>
                <w:rFonts w:ascii="宋体" w:hAnsi="宋体" w:cs="宋体"/>
              </w:rPr>
            </w:pPr>
            <w:r>
              <w:rPr>
                <w:rFonts w:ascii="宋体" w:hAnsi="宋体" w:cs="宋体"/>
                <w:kern w:val="1"/>
                <w:shd w:val="clear" w:color="auto" w:fill="FFFFFF"/>
              </w:rPr>
              <w:t>AVK</w:t>
            </w:r>
            <w:r>
              <w:rPr>
                <w:rFonts w:hint="eastAsia" w:ascii="宋体" w:hAnsi="宋体" w:cs="宋体"/>
                <w:kern w:val="1"/>
                <w:shd w:val="clear" w:color="auto" w:fill="FFFFFF"/>
              </w:rPr>
              <w:t>、</w:t>
            </w:r>
            <w:r>
              <w:rPr>
                <w:rFonts w:ascii="宋体" w:hAnsi="宋体" w:cs="宋体"/>
                <w:kern w:val="1"/>
                <w:shd w:val="clear" w:color="auto" w:fill="FFFFFF"/>
              </w:rPr>
              <w:t>VAG</w:t>
            </w:r>
            <w:r>
              <w:rPr>
                <w:rFonts w:hint="eastAsia" w:ascii="宋体" w:hAnsi="宋体" w:cs="宋体"/>
                <w:kern w:val="1"/>
                <w:shd w:val="clear" w:color="auto" w:fill="FFFFFF"/>
              </w:rPr>
              <w:t>、</w:t>
            </w:r>
            <w:r>
              <w:rPr>
                <w:rFonts w:ascii="宋体" w:hAnsi="宋体" w:cs="宋体"/>
                <w:kern w:val="1"/>
                <w:shd w:val="clear" w:color="auto" w:fill="FFFFFF"/>
              </w:rPr>
              <w:t>ERHARD</w:t>
            </w:r>
            <w:r>
              <w:rPr>
                <w:rFonts w:hint="eastAsia" w:ascii="宋体" w:hAnsi="宋体" w:cs="宋体"/>
                <w:kern w:val="1"/>
                <w:shd w:val="clear" w:color="auto" w:fill="FFFFFF"/>
              </w:rPr>
              <w:t>，配套电动执行器采用</w:t>
            </w:r>
            <w:r>
              <w:rPr>
                <w:rFonts w:ascii="宋体" w:hAnsi="宋体" w:cs="宋体"/>
                <w:kern w:val="1"/>
                <w:shd w:val="clear" w:color="auto" w:fill="FFFFFF"/>
              </w:rPr>
              <w:t>AUMA</w:t>
            </w:r>
            <w:r>
              <w:rPr>
                <w:rFonts w:hint="eastAsia" w:ascii="宋体" w:hAnsi="宋体" w:cs="宋体"/>
                <w:kern w:val="1"/>
                <w:shd w:val="clear" w:color="auto" w:fill="FFFFFF"/>
              </w:rPr>
              <w:t>、</w:t>
            </w:r>
            <w:r>
              <w:rPr>
                <w:rFonts w:ascii="宋体" w:hAnsi="宋体" w:cs="宋体"/>
                <w:kern w:val="1"/>
                <w:shd w:val="clear" w:color="auto" w:fill="FFFFFF"/>
              </w:rPr>
              <w:t>ROTORK</w:t>
            </w:r>
            <w:r>
              <w:rPr>
                <w:rFonts w:hint="eastAsia" w:ascii="宋体" w:hAnsi="宋体" w:cs="宋体"/>
                <w:kern w:val="1"/>
                <w:shd w:val="clear" w:color="auto" w:fill="FFFFFF"/>
              </w:rPr>
              <w:t>、 ABB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jc w:val="center"/>
              <w:textAlignment w:val="center"/>
              <w:rPr>
                <w:rFonts w:ascii="宋体" w:hAnsi="宋体" w:cs="宋体"/>
              </w:rPr>
            </w:pPr>
          </w:p>
        </w:tc>
        <w:tc>
          <w:tcPr>
            <w:tcW w:w="665" w:type="pct"/>
            <w:vMerge w:val="continue"/>
            <w:vAlign w:val="center"/>
          </w:tcPr>
          <w:p>
            <w:pPr>
              <w:widowControl/>
              <w:textAlignment w:val="center"/>
              <w:rPr>
                <w:rFonts w:ascii="宋体" w:hAnsi="宋体" w:cs="宋体"/>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电动阀门</w:t>
            </w:r>
          </w:p>
        </w:tc>
        <w:tc>
          <w:tcPr>
            <w:tcW w:w="2230" w:type="pct"/>
            <w:vAlign w:val="center"/>
          </w:tcPr>
          <w:p>
            <w:pPr>
              <w:widowControl/>
              <w:jc w:val="center"/>
              <w:textAlignment w:val="center"/>
              <w:rPr>
                <w:rFonts w:ascii="宋体" w:hAnsi="宋体" w:cs="宋体"/>
                <w:kern w:val="1"/>
                <w:shd w:val="clear" w:color="auto" w:fill="FFFFFF"/>
              </w:rPr>
            </w:pPr>
            <w:r>
              <w:rPr>
                <w:rFonts w:ascii="宋体" w:hAnsi="宋体" w:cs="宋体"/>
                <w:kern w:val="1"/>
                <w:shd w:val="clear" w:color="auto" w:fill="FFFFFF"/>
              </w:rPr>
              <w:t>AVK</w:t>
            </w:r>
            <w:r>
              <w:rPr>
                <w:rFonts w:hint="eastAsia" w:ascii="宋体" w:hAnsi="宋体" w:cs="宋体"/>
                <w:kern w:val="1"/>
                <w:shd w:val="clear" w:color="auto" w:fill="FFFFFF"/>
              </w:rPr>
              <w:t>、</w:t>
            </w:r>
            <w:r>
              <w:rPr>
                <w:rFonts w:ascii="宋体" w:hAnsi="宋体" w:cs="宋体"/>
                <w:kern w:val="1"/>
                <w:shd w:val="clear" w:color="auto" w:fill="FFFFFF"/>
              </w:rPr>
              <w:t>VAG</w:t>
            </w:r>
            <w:r>
              <w:rPr>
                <w:rFonts w:hint="eastAsia" w:ascii="宋体" w:hAnsi="宋体" w:cs="宋体"/>
                <w:kern w:val="1"/>
                <w:shd w:val="clear" w:color="auto" w:fill="FFFFFF"/>
              </w:rPr>
              <w:t>、</w:t>
            </w:r>
            <w:r>
              <w:rPr>
                <w:rFonts w:ascii="宋体" w:hAnsi="宋体" w:cs="宋体"/>
                <w:kern w:val="1"/>
                <w:shd w:val="clear" w:color="auto" w:fill="FFFFFF"/>
              </w:rPr>
              <w:t>ERHARD</w:t>
            </w:r>
            <w:r>
              <w:rPr>
                <w:rFonts w:hint="eastAsia" w:ascii="宋体" w:hAnsi="宋体" w:cs="宋体"/>
                <w:kern w:val="1"/>
                <w:shd w:val="clear" w:color="auto" w:fill="FFFFFF"/>
              </w:rPr>
              <w:t>，配套电动执行器采用</w:t>
            </w:r>
            <w:r>
              <w:rPr>
                <w:rFonts w:ascii="宋体" w:hAnsi="宋体" w:cs="宋体"/>
                <w:kern w:val="1"/>
                <w:shd w:val="clear" w:color="auto" w:fill="FFFFFF"/>
              </w:rPr>
              <w:t>AUMA</w:t>
            </w:r>
            <w:r>
              <w:rPr>
                <w:rFonts w:hint="eastAsia" w:ascii="宋体" w:hAnsi="宋体" w:cs="宋体"/>
                <w:kern w:val="1"/>
                <w:shd w:val="clear" w:color="auto" w:fill="FFFFFF"/>
              </w:rPr>
              <w:t>、</w:t>
            </w:r>
            <w:r>
              <w:rPr>
                <w:rFonts w:ascii="宋体" w:hAnsi="宋体" w:cs="宋体"/>
                <w:kern w:val="1"/>
                <w:shd w:val="clear" w:color="auto" w:fill="FFFFFF"/>
              </w:rPr>
              <w:t>ROTORK</w:t>
            </w:r>
            <w:r>
              <w:rPr>
                <w:rFonts w:hint="eastAsia" w:ascii="宋体" w:hAnsi="宋体" w:cs="宋体"/>
                <w:kern w:val="1"/>
                <w:shd w:val="clear" w:color="auto" w:fill="FFFFFF"/>
              </w:rPr>
              <w:t>、 ABB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气动阀门</w:t>
            </w:r>
          </w:p>
        </w:tc>
        <w:tc>
          <w:tcPr>
            <w:tcW w:w="2230" w:type="pct"/>
            <w:vAlign w:val="center"/>
          </w:tcPr>
          <w:p>
            <w:pPr>
              <w:jc w:val="center"/>
              <w:rPr>
                <w:rFonts w:ascii="宋体" w:hAnsi="宋体" w:cs="宋体"/>
                <w:kern w:val="1"/>
                <w:shd w:val="clear" w:color="auto" w:fill="FFFFFF"/>
              </w:rPr>
            </w:pPr>
            <w:r>
              <w:rPr>
                <w:rFonts w:ascii="宋体" w:hAnsi="宋体" w:cs="宋体"/>
                <w:kern w:val="1"/>
                <w:shd w:val="clear" w:color="auto" w:fill="FFFFFF"/>
              </w:rPr>
              <w:t>AVK</w:t>
            </w:r>
            <w:r>
              <w:rPr>
                <w:rFonts w:hint="eastAsia" w:ascii="宋体" w:hAnsi="宋体" w:cs="宋体"/>
                <w:kern w:val="1"/>
                <w:shd w:val="clear" w:color="auto" w:fill="FFFFFF"/>
              </w:rPr>
              <w:t>、</w:t>
            </w:r>
            <w:r>
              <w:rPr>
                <w:rFonts w:ascii="宋体" w:hAnsi="宋体" w:cs="宋体"/>
                <w:kern w:val="1"/>
                <w:shd w:val="clear" w:color="auto" w:fill="FFFFFF"/>
              </w:rPr>
              <w:t>VAG</w:t>
            </w:r>
            <w:r>
              <w:rPr>
                <w:rFonts w:hint="eastAsia" w:ascii="宋体" w:hAnsi="宋体" w:cs="宋体"/>
                <w:kern w:val="1"/>
                <w:shd w:val="clear" w:color="auto" w:fill="FFFFFF"/>
              </w:rPr>
              <w:t>、</w:t>
            </w:r>
            <w:r>
              <w:rPr>
                <w:rFonts w:ascii="宋体" w:hAnsi="宋体" w:cs="宋体"/>
                <w:kern w:val="1"/>
                <w:shd w:val="clear" w:color="auto" w:fill="FFFFFF"/>
              </w:rPr>
              <w:t xml:space="preserve"> ERHARD</w:t>
            </w:r>
            <w:r>
              <w:rPr>
                <w:rFonts w:hint="eastAsia" w:ascii="宋体" w:hAnsi="宋体" w:cs="宋体"/>
                <w:kern w:val="1"/>
                <w:shd w:val="clear" w:color="auto" w:fill="FFFFFF"/>
              </w:rPr>
              <w:t>；</w:t>
            </w:r>
          </w:p>
          <w:p>
            <w:pPr>
              <w:jc w:val="center"/>
              <w:rPr>
                <w:rFonts w:ascii="宋体" w:hAnsi="宋体" w:cs="宋体"/>
                <w:kern w:val="1"/>
                <w:shd w:val="clear" w:color="auto" w:fill="FFFFFF"/>
              </w:rPr>
            </w:pPr>
            <w:r>
              <w:rPr>
                <w:rFonts w:hint="eastAsia" w:ascii="宋体" w:hAnsi="宋体" w:cs="宋体"/>
                <w:kern w:val="1"/>
                <w:shd w:val="clear" w:color="auto" w:fill="FFFFFF"/>
              </w:rPr>
              <w:t>配套</w:t>
            </w:r>
            <w:r>
              <w:rPr>
                <w:rFonts w:ascii="宋体" w:hAnsi="宋体" w:cs="宋体"/>
                <w:kern w:val="1"/>
                <w:shd w:val="clear" w:color="auto" w:fill="FFFFFF"/>
              </w:rPr>
              <w:t>气动</w:t>
            </w:r>
            <w:r>
              <w:rPr>
                <w:rFonts w:hint="eastAsia" w:ascii="宋体" w:hAnsi="宋体" w:cs="宋体"/>
                <w:kern w:val="1"/>
                <w:shd w:val="clear" w:color="auto" w:fill="FFFFFF"/>
              </w:rPr>
              <w:t>角行程</w:t>
            </w:r>
            <w:r>
              <w:rPr>
                <w:rFonts w:ascii="宋体" w:hAnsi="宋体" w:cs="宋体"/>
                <w:kern w:val="1"/>
                <w:shd w:val="clear" w:color="auto" w:fill="FFFFFF"/>
              </w:rPr>
              <w:t>执行器采用FESTO、I.A、BAR</w:t>
            </w:r>
            <w:r>
              <w:rPr>
                <w:rFonts w:hint="eastAsia" w:ascii="宋体" w:hAnsi="宋体" w:cs="宋体"/>
                <w:kern w:val="1"/>
                <w:shd w:val="clear" w:color="auto" w:fill="FFFFFF"/>
              </w:rPr>
              <w:t>；气动直行程执行器要求</w:t>
            </w:r>
            <w:r>
              <w:rPr>
                <w:rFonts w:ascii="宋体" w:hAnsi="宋体" w:cs="宋体"/>
                <w:kern w:val="1"/>
                <w:shd w:val="clear" w:color="auto" w:fill="FFFFFF"/>
              </w:rPr>
              <w:t>采用FESTO、Orbinox、SISTAG</w:t>
            </w:r>
            <w:r>
              <w:rPr>
                <w:rFonts w:hint="eastAsia" w:ascii="宋体" w:hAnsi="宋体" w:cs="宋体"/>
                <w:kern w:val="1"/>
                <w:shd w:val="clear" w:color="auto" w:fill="FFFFFF"/>
              </w:rPr>
              <w:t>、</w:t>
            </w:r>
            <w:r>
              <w:rPr>
                <w:rFonts w:ascii="宋体" w:hAnsi="宋体" w:cs="宋体"/>
                <w:kern w:val="1"/>
                <w:shd w:val="clear" w:color="auto" w:fill="FFFFFF"/>
              </w:rPr>
              <w:t>BAR</w:t>
            </w:r>
            <w:r>
              <w:rPr>
                <w:rFonts w:hint="eastAsia" w:ascii="宋体" w:hAnsi="宋体" w:cs="宋体"/>
                <w:kern w:val="1"/>
                <w:shd w:val="clear" w:color="auto" w:fill="FFFFFF"/>
              </w:rPr>
              <w:t>、SIEMENS；</w:t>
            </w:r>
          </w:p>
          <w:p>
            <w:pPr>
              <w:jc w:val="center"/>
              <w:rPr>
                <w:rFonts w:ascii="宋体" w:hAnsi="宋体" w:cs="宋体"/>
                <w:kern w:val="1"/>
                <w:shd w:val="clear" w:color="auto" w:fill="FFFFFF"/>
              </w:rPr>
            </w:pPr>
            <w:r>
              <w:rPr>
                <w:rFonts w:hint="eastAsia" w:ascii="宋体" w:hAnsi="宋体" w:cs="宋体"/>
                <w:kern w:val="1"/>
                <w:shd w:val="clear" w:color="auto" w:fill="FFFFFF"/>
              </w:rPr>
              <w:t>配套</w:t>
            </w:r>
            <w:r>
              <w:rPr>
                <w:rFonts w:ascii="宋体" w:hAnsi="宋体" w:cs="宋体"/>
                <w:kern w:val="1"/>
                <w:shd w:val="clear" w:color="auto" w:fill="FFFFFF"/>
              </w:rPr>
              <w:t>定位器器采用ABB、西门子、费希尔；</w:t>
            </w:r>
          </w:p>
          <w:p>
            <w:pPr>
              <w:widowControl/>
              <w:jc w:val="center"/>
              <w:textAlignment w:val="center"/>
              <w:rPr>
                <w:rFonts w:ascii="宋体" w:hAnsi="宋体" w:cs="宋体"/>
              </w:rPr>
            </w:pPr>
            <w:r>
              <w:rPr>
                <w:rFonts w:hint="eastAsia" w:ascii="宋体" w:hAnsi="宋体" w:cs="宋体"/>
                <w:kern w:val="1"/>
                <w:shd w:val="clear" w:color="auto" w:fill="FFFFFF"/>
              </w:rPr>
              <w:t>配套电磁阀采用FESTO、诺冠、ASCO、派克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1"/>
                <w:shd w:val="clear" w:color="auto" w:fill="FFFFFF"/>
              </w:rPr>
              <w:t>手动蝶阀、</w:t>
            </w:r>
            <w:r>
              <w:rPr>
                <w:rFonts w:hint="eastAsia" w:ascii="宋体" w:hAnsi="宋体"/>
                <w:shd w:val="clear" w:color="auto" w:fill="FFFFFF"/>
              </w:rPr>
              <w:t>手动刀闸阀</w:t>
            </w:r>
            <w:r>
              <w:rPr>
                <w:rFonts w:hint="eastAsia" w:ascii="宋体" w:hAnsi="宋体" w:cs="宋体"/>
                <w:kern w:val="1"/>
                <w:shd w:val="clear" w:color="auto" w:fill="FFFFFF"/>
              </w:rPr>
              <w:t>、手动弹性座封闸阀、</w:t>
            </w:r>
            <w:r>
              <w:rPr>
                <w:rFonts w:hint="eastAsia" w:ascii="宋体" w:hAnsi="宋体"/>
                <w:shd w:val="clear" w:color="auto" w:fill="FFFFFF"/>
              </w:rPr>
              <w:t>自动排气阀、</w:t>
            </w:r>
            <w:r>
              <w:rPr>
                <w:rFonts w:ascii="宋体" w:hAnsi="宋体" w:cs="宋体"/>
                <w:kern w:val="1"/>
                <w:shd w:val="clear" w:color="auto" w:fill="FFFFFF"/>
              </w:rPr>
              <w:t>手动闸阀</w:t>
            </w:r>
          </w:p>
        </w:tc>
        <w:tc>
          <w:tcPr>
            <w:tcW w:w="2230" w:type="pct"/>
            <w:vAlign w:val="center"/>
          </w:tcPr>
          <w:p>
            <w:pPr>
              <w:widowControl/>
              <w:jc w:val="center"/>
              <w:textAlignment w:val="center"/>
              <w:rPr>
                <w:rFonts w:ascii="宋体" w:hAnsi="宋体" w:cs="宋体"/>
                <w:kern w:val="1"/>
                <w:shd w:val="clear" w:color="auto" w:fill="FFFFFF"/>
              </w:rPr>
            </w:pPr>
            <w:r>
              <w:rPr>
                <w:rFonts w:hint="eastAsia" w:ascii="宋体" w:hAnsi="宋体" w:cs="宋体"/>
                <w:kern w:val="0"/>
                <w:lang w:bidi="ar"/>
              </w:rPr>
              <w:t>上海冠龙、AVK、</w:t>
            </w:r>
            <w:r>
              <w:rPr>
                <w:rFonts w:hint="eastAsia" w:ascii="宋体" w:hAnsi="宋体" w:cs="宋体"/>
                <w:kern w:val="1"/>
                <w:shd w:val="clear" w:color="auto" w:fill="FFFFFF"/>
              </w:rPr>
              <w:t>V</w:t>
            </w:r>
            <w:r>
              <w:rPr>
                <w:rFonts w:ascii="宋体" w:hAnsi="宋体" w:cs="宋体"/>
                <w:kern w:val="1"/>
                <w:shd w:val="clear" w:color="auto" w:fill="FFFFFF"/>
              </w:rPr>
              <w:t>AG</w:t>
            </w:r>
            <w:r>
              <w:rPr>
                <w:rFonts w:hint="eastAsia" w:ascii="宋体" w:hAnsi="宋体" w:cs="宋体"/>
                <w:kern w:val="0"/>
                <w:lang w:bidi="ar"/>
              </w:rPr>
              <w:t>、KEYSTONE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rPr>
            </w:pPr>
          </w:p>
        </w:tc>
        <w:tc>
          <w:tcPr>
            <w:tcW w:w="1642" w:type="pct"/>
            <w:vAlign w:val="center"/>
          </w:tcPr>
          <w:p>
            <w:pPr>
              <w:widowControl/>
              <w:textAlignment w:val="center"/>
              <w:rPr>
                <w:rFonts w:ascii="宋体" w:hAnsi="宋体" w:cs="宋体"/>
                <w:kern w:val="0"/>
                <w:lang w:bidi="ar"/>
              </w:rPr>
            </w:pPr>
            <w:r>
              <w:rPr>
                <w:rFonts w:hint="eastAsia" w:ascii="宋体" w:hAnsi="宋体" w:cs="宋体"/>
                <w:kern w:val="0"/>
                <w:lang w:bidi="ar"/>
              </w:rPr>
              <w:t>活塞式快开排泥阀（气动）</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上海冠龙、AVK、</w:t>
            </w:r>
            <w:r>
              <w:rPr>
                <w:rFonts w:hint="eastAsia" w:ascii="宋体" w:hAnsi="宋体" w:cs="宋体"/>
                <w:kern w:val="1"/>
                <w:shd w:val="clear" w:color="auto" w:fill="FFFFFF"/>
              </w:rPr>
              <w:t>V</w:t>
            </w:r>
            <w:r>
              <w:rPr>
                <w:rFonts w:ascii="宋体" w:hAnsi="宋体" w:cs="宋体"/>
                <w:kern w:val="1"/>
                <w:shd w:val="clear" w:color="auto" w:fill="FFFFFF"/>
              </w:rPr>
              <w:t>AG</w:t>
            </w:r>
            <w:r>
              <w:rPr>
                <w:rFonts w:hint="eastAsia" w:ascii="宋体" w:hAnsi="宋体" w:cs="宋体"/>
                <w:kern w:val="1"/>
                <w:shd w:val="clear" w:color="auto" w:fill="FFFFFF"/>
              </w:rPr>
              <w:t>、株洲华清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多功能水泵控制阀</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上海冠龙、AVK、</w:t>
            </w:r>
            <w:r>
              <w:rPr>
                <w:rFonts w:hint="eastAsia" w:ascii="宋体" w:hAnsi="宋体" w:cs="宋体"/>
                <w:kern w:val="1"/>
                <w:shd w:val="clear" w:color="auto" w:fill="FFFFFF"/>
              </w:rPr>
              <w:t>V</w:t>
            </w:r>
            <w:r>
              <w:rPr>
                <w:rFonts w:ascii="宋体" w:hAnsi="宋体" w:cs="宋体"/>
                <w:kern w:val="1"/>
                <w:shd w:val="clear" w:color="auto" w:fill="FFFFFF"/>
              </w:rPr>
              <w:t>AG</w:t>
            </w:r>
            <w:r>
              <w:rPr>
                <w:rFonts w:hint="eastAsia" w:ascii="宋体" w:hAnsi="宋体" w:cs="宋体"/>
                <w:kern w:val="1"/>
                <w:shd w:val="clear" w:color="auto" w:fill="FFFFFF"/>
              </w:rPr>
              <w:t>、株洲南方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461" w:type="pct"/>
            <w:vMerge w:val="restart"/>
            <w:vAlign w:val="center"/>
          </w:tcPr>
          <w:p>
            <w:pPr>
              <w:widowControl/>
              <w:jc w:val="center"/>
              <w:textAlignment w:val="center"/>
              <w:rPr>
                <w:rFonts w:ascii="宋体" w:hAnsi="宋体" w:cs="宋体"/>
              </w:rPr>
            </w:pPr>
            <w:r>
              <w:rPr>
                <w:rFonts w:hint="eastAsia" w:ascii="宋体" w:hAnsi="宋体" w:cs="宋体"/>
                <w:kern w:val="0"/>
                <w:lang w:bidi="ar"/>
              </w:rPr>
              <w:t>2</w:t>
            </w:r>
          </w:p>
        </w:tc>
        <w:tc>
          <w:tcPr>
            <w:tcW w:w="665" w:type="pct"/>
            <w:vMerge w:val="restart"/>
            <w:vAlign w:val="center"/>
          </w:tcPr>
          <w:p>
            <w:pPr>
              <w:widowControl/>
              <w:textAlignment w:val="center"/>
              <w:rPr>
                <w:rFonts w:ascii="宋体" w:hAnsi="宋体" w:cs="宋体"/>
              </w:rPr>
            </w:pPr>
            <w:r>
              <w:rPr>
                <w:rFonts w:hint="eastAsia" w:ascii="宋体" w:hAnsi="宋体" w:cs="宋体"/>
              </w:rPr>
              <w:t>水泵类</w:t>
            </w:r>
          </w:p>
        </w:tc>
        <w:tc>
          <w:tcPr>
            <w:tcW w:w="1642" w:type="pct"/>
            <w:vAlign w:val="center"/>
          </w:tcPr>
          <w:p>
            <w:pPr>
              <w:widowControl/>
              <w:jc w:val="center"/>
              <w:textAlignment w:val="center"/>
              <w:rPr>
                <w:rFonts w:ascii="宋体" w:hAnsi="宋体" w:cs="宋体"/>
              </w:rPr>
            </w:pPr>
            <w:r>
              <w:rPr>
                <w:rFonts w:hint="eastAsia" w:ascii="宋体" w:hAnsi="宋体" w:cs="楷体"/>
                <w:szCs w:val="21"/>
              </w:rPr>
              <w:t>离心泵</w:t>
            </w:r>
          </w:p>
        </w:tc>
        <w:tc>
          <w:tcPr>
            <w:tcW w:w="2230" w:type="pct"/>
            <w:vAlign w:val="center"/>
          </w:tcPr>
          <w:p>
            <w:pPr>
              <w:widowControl/>
              <w:jc w:val="center"/>
              <w:textAlignment w:val="center"/>
              <w:rPr>
                <w:rFonts w:ascii="宋体" w:hAnsi="宋体" w:cs="宋体"/>
              </w:rPr>
            </w:pPr>
            <w:r>
              <w:rPr>
                <w:rFonts w:hint="eastAsia" w:ascii="宋体" w:hAnsi="宋体" w:cs="宋体"/>
                <w:kern w:val="1"/>
                <w:shd w:val="clear" w:color="auto" w:fill="FFFFFF"/>
              </w:rPr>
              <w:t>凯士比、荏原、安德里兹、赛莱默（飞力）</w:t>
            </w:r>
            <w:r>
              <w:rPr>
                <w:rFonts w:hint="eastAsia" w:ascii="宋体" w:hAnsi="宋体" w:cs="宋体"/>
                <w:kern w:val="0"/>
                <w:lang w:bidi="ar"/>
              </w:rPr>
              <w:t>、格兰富</w:t>
            </w:r>
            <w:r>
              <w:rPr>
                <w:rFonts w:hint="eastAsia" w:ascii="宋体" w:hAnsi="宋体" w:cs="宋体"/>
                <w:kern w:val="1"/>
                <w:shd w:val="clear" w:color="auto" w:fill="FFFFFF"/>
              </w:rPr>
              <w:t>。配套的低压电机为</w:t>
            </w:r>
            <w:r>
              <w:rPr>
                <w:rFonts w:ascii="宋体" w:hAnsi="宋体" w:cs="宋体"/>
                <w:kern w:val="1"/>
                <w:shd w:val="clear" w:color="auto" w:fill="FFFFFF"/>
              </w:rPr>
              <w:t>AB</w:t>
            </w:r>
            <w:r>
              <w:rPr>
                <w:rFonts w:hint="eastAsia" w:ascii="宋体" w:hAnsi="宋体" w:cs="宋体"/>
                <w:kern w:val="1"/>
                <w:shd w:val="clear" w:color="auto" w:fill="FFFFFF"/>
              </w:rPr>
              <w:t>B、西门子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潜水泵</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1"/>
                <w:shd w:val="clear" w:color="auto" w:fill="FFFFFF"/>
              </w:rPr>
              <w:t>凯士比、荏原、安德里兹、赛莱默（飞力）</w:t>
            </w:r>
            <w:r>
              <w:rPr>
                <w:rFonts w:hint="eastAsia" w:ascii="宋体" w:hAnsi="宋体" w:cs="宋体"/>
                <w:kern w:val="0"/>
                <w:lang w:bidi="ar"/>
              </w:rPr>
              <w:t>、格兰富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潜水搅拌机</w:t>
            </w:r>
          </w:p>
        </w:tc>
        <w:tc>
          <w:tcPr>
            <w:tcW w:w="2230" w:type="pct"/>
            <w:vAlign w:val="center"/>
          </w:tcPr>
          <w:p>
            <w:pPr>
              <w:jc w:val="center"/>
              <w:rPr>
                <w:rFonts w:ascii="宋体" w:hAnsi="宋体" w:cs="宋体"/>
              </w:rPr>
            </w:pPr>
            <w:r>
              <w:rPr>
                <w:rFonts w:hint="eastAsia" w:ascii="宋体" w:hAnsi="宋体" w:cs="宋体"/>
              </w:rPr>
              <w:t>凯士比、荏原、</w:t>
            </w:r>
            <w:r>
              <w:rPr>
                <w:rFonts w:hint="eastAsia" w:ascii="宋体" w:hAnsi="宋体" w:cs="宋体"/>
                <w:kern w:val="1"/>
                <w:shd w:val="clear" w:color="auto" w:fill="FFFFFF"/>
              </w:rPr>
              <w:t>赛莱默（飞力）、</w:t>
            </w:r>
            <w:r>
              <w:rPr>
                <w:rFonts w:hint="eastAsia" w:ascii="宋体" w:hAnsi="宋体" w:cs="宋体"/>
              </w:rPr>
              <w:t>ABS、海斯特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3</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泵虹吸排泥机</w:t>
            </w:r>
          </w:p>
        </w:tc>
        <w:tc>
          <w:tcPr>
            <w:tcW w:w="2230" w:type="pct"/>
            <w:vAlign w:val="center"/>
          </w:tcPr>
          <w:p>
            <w:pPr>
              <w:widowControl/>
              <w:jc w:val="center"/>
              <w:textAlignment w:val="center"/>
              <w:rPr>
                <w:rFonts w:ascii="宋体" w:hAnsi="宋体" w:cs="宋体"/>
                <w:kern w:val="1"/>
                <w:shd w:val="clear" w:color="auto" w:fill="FFFFFF"/>
                <w:lang w:bidi="ar"/>
              </w:rPr>
            </w:pPr>
            <w:r>
              <w:rPr>
                <w:rFonts w:ascii="宋体" w:hAnsi="宋体" w:cs="宋体"/>
                <w:kern w:val="1"/>
                <w:shd w:val="clear" w:color="auto" w:fill="FFFFFF"/>
              </w:rPr>
              <w:t>玉环净化、台州中昌、浙江联池、金剑环保、金山环保、广州新之地，配套减速机要求采用莱宁、SEW、NORD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4</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混合搅拌机</w:t>
            </w:r>
          </w:p>
        </w:tc>
        <w:tc>
          <w:tcPr>
            <w:tcW w:w="2230" w:type="pct"/>
            <w:vAlign w:val="center"/>
          </w:tcPr>
          <w:p>
            <w:pPr>
              <w:widowControl/>
              <w:jc w:val="center"/>
              <w:textAlignment w:val="center"/>
              <w:rPr>
                <w:rFonts w:ascii="宋体" w:hAnsi="宋体" w:cs="宋体"/>
                <w:kern w:val="1"/>
                <w:shd w:val="clear" w:color="auto" w:fill="FFFFFF"/>
                <w:lang w:bidi="ar"/>
              </w:rPr>
            </w:pPr>
            <w:r>
              <w:rPr>
                <w:rFonts w:ascii="宋体" w:hAnsi="宋体" w:cs="宋体"/>
                <w:kern w:val="1"/>
                <w:shd w:val="clear" w:color="auto" w:fill="FFFFFF"/>
                <w:lang w:bidi="ar"/>
              </w:rPr>
              <w:t>凯米尼尔、MIX</w:t>
            </w:r>
            <w:r>
              <w:rPr>
                <w:rFonts w:ascii="宋体" w:hAnsi="宋体" w:cs="宋体"/>
                <w:kern w:val="1"/>
                <w:shd w:val="clear" w:color="auto" w:fill="FFFFFF"/>
              </w:rPr>
              <w:t>EL、莱宁</w:t>
            </w:r>
            <w:r>
              <w:rPr>
                <w:rFonts w:hint="eastAsia" w:ascii="宋体" w:hAnsi="宋体" w:cs="宋体"/>
                <w:kern w:val="1"/>
                <w:shd w:val="clear" w:color="auto" w:fill="FFFFFF"/>
              </w:rPr>
              <w:t>、德国伊卡托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restart"/>
            <w:vAlign w:val="center"/>
          </w:tcPr>
          <w:p>
            <w:pPr>
              <w:widowControl/>
              <w:jc w:val="center"/>
              <w:textAlignment w:val="center"/>
              <w:rPr>
                <w:rFonts w:ascii="宋体" w:hAnsi="宋体" w:cs="宋体"/>
              </w:rPr>
            </w:pPr>
            <w:r>
              <w:rPr>
                <w:rFonts w:hint="eastAsia" w:ascii="宋体" w:hAnsi="宋体" w:cs="宋体"/>
              </w:rPr>
              <w:t>6</w:t>
            </w:r>
          </w:p>
        </w:tc>
        <w:tc>
          <w:tcPr>
            <w:tcW w:w="665" w:type="pct"/>
            <w:vMerge w:val="restart"/>
            <w:vAlign w:val="center"/>
          </w:tcPr>
          <w:p>
            <w:pPr>
              <w:widowControl/>
              <w:textAlignment w:val="center"/>
              <w:rPr>
                <w:rFonts w:ascii="宋体" w:hAnsi="宋体" w:cs="宋体"/>
                <w:kern w:val="0"/>
                <w:lang w:bidi="ar"/>
              </w:rPr>
            </w:pPr>
            <w:r>
              <w:rPr>
                <w:rFonts w:hint="eastAsia" w:ascii="宋体" w:hAnsi="宋体" w:cs="宋体"/>
                <w:kern w:val="0"/>
                <w:lang w:bidi="ar"/>
              </w:rPr>
              <w:t>非标不锈钢设备</w:t>
            </w:r>
          </w:p>
        </w:tc>
        <w:tc>
          <w:tcPr>
            <w:tcW w:w="1642" w:type="pct"/>
            <w:vMerge w:val="restart"/>
            <w:vAlign w:val="center"/>
          </w:tcPr>
          <w:p>
            <w:pPr>
              <w:widowControl/>
              <w:jc w:val="center"/>
              <w:textAlignment w:val="center"/>
              <w:rPr>
                <w:rFonts w:ascii="宋体" w:hAnsi="宋体" w:cs="宋体"/>
                <w:kern w:val="0"/>
                <w:lang w:bidi="ar"/>
              </w:rPr>
            </w:pPr>
            <w:r>
              <w:rPr>
                <w:rFonts w:hint="eastAsia" w:ascii="宋体" w:hAnsi="宋体" w:cs="宋体"/>
                <w:kern w:val="0"/>
                <w:lang w:bidi="ar"/>
              </w:rPr>
              <w:t>折板絮凝设备、集水槽、ABS长柄滤头、滤帽</w:t>
            </w:r>
          </w:p>
        </w:tc>
        <w:tc>
          <w:tcPr>
            <w:tcW w:w="2230" w:type="pct"/>
            <w:vAlign w:val="center"/>
          </w:tcPr>
          <w:p>
            <w:pPr>
              <w:widowControl/>
              <w:jc w:val="center"/>
              <w:textAlignment w:val="center"/>
              <w:rPr>
                <w:rFonts w:ascii="宋体" w:hAnsi="宋体" w:cs="宋体"/>
                <w:kern w:val="0"/>
                <w:lang w:bidi="ar"/>
              </w:rPr>
            </w:pPr>
            <w:r>
              <w:rPr>
                <w:rFonts w:ascii="宋体" w:hAnsi="宋体" w:cs="宋体"/>
                <w:kern w:val="1"/>
                <w:shd w:val="clear" w:color="auto" w:fill="FFFFFF"/>
              </w:rPr>
              <w:t>金剑环保</w:t>
            </w:r>
            <w:r>
              <w:rPr>
                <w:rFonts w:hint="eastAsia" w:ascii="宋体" w:hAnsi="宋体" w:cs="宋体"/>
                <w:kern w:val="1"/>
                <w:shd w:val="clear" w:color="auto" w:fill="FFFFFF"/>
              </w:rPr>
              <w:t>、</w:t>
            </w:r>
            <w:r>
              <w:rPr>
                <w:rFonts w:ascii="宋体" w:hAnsi="宋体" w:cs="宋体"/>
                <w:kern w:val="1"/>
                <w:shd w:val="clear" w:color="auto" w:fill="FFFFFF"/>
              </w:rPr>
              <w:t>玉环净化、台州中昌、浙江联池、</w:t>
            </w:r>
            <w:r>
              <w:rPr>
                <w:rFonts w:hint="eastAsia" w:ascii="宋体" w:hAnsi="宋体" w:cs="宋体"/>
                <w:kern w:val="1"/>
                <w:shd w:val="clear" w:color="auto" w:fill="FFFFFF"/>
              </w:rPr>
              <w:t>金山环保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Merge w:val="continue"/>
            <w:vAlign w:val="center"/>
          </w:tcPr>
          <w:p>
            <w:pPr>
              <w:widowControl/>
              <w:jc w:val="center"/>
              <w:textAlignment w:val="center"/>
              <w:rPr>
                <w:rFonts w:ascii="宋体" w:hAnsi="宋体" w:cs="宋体"/>
                <w:kern w:val="0"/>
                <w:lang w:bidi="ar"/>
              </w:rPr>
            </w:pPr>
          </w:p>
        </w:tc>
        <w:tc>
          <w:tcPr>
            <w:tcW w:w="2230" w:type="pct"/>
            <w:vAlign w:val="center"/>
          </w:tcPr>
          <w:p>
            <w:pPr>
              <w:widowControl/>
              <w:ind w:firstLine="500" w:firstLineChars="200"/>
              <w:jc w:val="center"/>
              <w:textAlignment w:val="center"/>
              <w:rPr>
                <w:rFonts w:ascii="宋体" w:hAnsi="宋体" w:cs="宋体"/>
                <w:kern w:val="0"/>
                <w:lang w:bidi="ar"/>
              </w:rPr>
            </w:pPr>
            <w:r>
              <w:rPr>
                <w:rFonts w:ascii="宋体" w:hAnsi="宋体" w:cs="宋体"/>
                <w:kern w:val="1"/>
                <w:shd w:val="clear" w:color="auto" w:fill="FFFFFF"/>
              </w:rPr>
              <w:t>金剑环保</w:t>
            </w:r>
            <w:r>
              <w:rPr>
                <w:rFonts w:hint="eastAsia" w:ascii="宋体" w:hAnsi="宋体" w:cs="宋体"/>
                <w:kern w:val="1"/>
                <w:shd w:val="clear" w:color="auto" w:fill="FFFFFF"/>
              </w:rPr>
              <w:t>、</w:t>
            </w:r>
            <w:r>
              <w:rPr>
                <w:rFonts w:ascii="宋体" w:hAnsi="宋体" w:cs="宋体"/>
                <w:kern w:val="1"/>
                <w:shd w:val="clear" w:color="auto" w:fill="FFFFFF"/>
              </w:rPr>
              <w:t>玉环净化、台州中昌、浙江联池</w:t>
            </w:r>
            <w:r>
              <w:rPr>
                <w:rFonts w:hint="eastAsia" w:ascii="宋体" w:hAnsi="宋体" w:cs="宋体"/>
                <w:kern w:val="1"/>
                <w:shd w:val="clear" w:color="auto" w:fill="FFFFFF"/>
              </w:rPr>
              <w:t>、金山环保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7</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石英砂滤料</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晋江西峰、福建海峡、福建榕霞、福建滨海、</w:t>
            </w:r>
            <w:r>
              <w:rPr>
                <w:rFonts w:hint="eastAsia" w:ascii="宋体" w:hAnsi="宋体" w:cs="楷体"/>
                <w:szCs w:val="21"/>
              </w:rPr>
              <w:t>石英砂</w:t>
            </w:r>
            <w:r>
              <w:rPr>
                <w:rFonts w:ascii="宋体" w:hAnsi="宋体" w:cs="楷体"/>
                <w:szCs w:val="21"/>
              </w:rPr>
              <w:t>实业、鲁</w:t>
            </w:r>
            <w:r>
              <w:rPr>
                <w:rFonts w:hint="eastAsia" w:ascii="宋体" w:hAnsi="宋体" w:cs="楷体"/>
                <w:szCs w:val="21"/>
              </w:rPr>
              <w:t>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8</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罗茨鼓风机</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kaisae、aerzen、美国GD、日本anlet、法国HIBON,配套电机ABB/西门子,进口机核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9</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空压机</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美国ingersollrand、德国boge、kaeser、瑞典atlas、美国GD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10</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起重设备</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1"/>
                <w:shd w:val="clear" w:color="auto" w:fill="FFFFFF"/>
              </w:rPr>
              <w:t>江苏凯澄、河南矿山、天津起重机、浙江众擎、黄河防爆</w:t>
            </w:r>
            <w:r>
              <w:rPr>
                <w:rFonts w:hint="eastAsia" w:ascii="宋体" w:hAnsi="宋体" w:cs="宋体"/>
                <w:kern w:val="0"/>
                <w:lang w:bidi="ar"/>
              </w:rPr>
              <w:t>、杭州浙起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restart"/>
            <w:vAlign w:val="center"/>
          </w:tcPr>
          <w:p>
            <w:pPr>
              <w:widowControl/>
              <w:jc w:val="center"/>
              <w:textAlignment w:val="center"/>
              <w:rPr>
                <w:rFonts w:ascii="宋体" w:hAnsi="宋体" w:cs="宋体"/>
              </w:rPr>
            </w:pPr>
            <w:r>
              <w:rPr>
                <w:rFonts w:hint="eastAsia" w:ascii="宋体" w:hAnsi="宋体" w:cs="宋体"/>
              </w:rPr>
              <w:t>11</w:t>
            </w:r>
          </w:p>
        </w:tc>
        <w:tc>
          <w:tcPr>
            <w:tcW w:w="665" w:type="pct"/>
            <w:vMerge w:val="restart"/>
            <w:vAlign w:val="center"/>
          </w:tcPr>
          <w:p>
            <w:pPr>
              <w:widowControl/>
              <w:textAlignment w:val="center"/>
              <w:rPr>
                <w:rFonts w:ascii="宋体" w:hAnsi="宋体" w:cs="宋体"/>
                <w:kern w:val="0"/>
                <w:lang w:bidi="ar"/>
              </w:rPr>
            </w:pPr>
            <w:r>
              <w:rPr>
                <w:rFonts w:hint="eastAsia" w:ascii="宋体" w:hAnsi="宋体" w:cs="宋体"/>
                <w:kern w:val="0"/>
                <w:lang w:bidi="ar"/>
              </w:rPr>
              <w:t>加药系统</w:t>
            </w: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加药系统</w:t>
            </w:r>
          </w:p>
        </w:tc>
        <w:tc>
          <w:tcPr>
            <w:tcW w:w="2230" w:type="pct"/>
            <w:vAlign w:val="center"/>
          </w:tcPr>
          <w:p>
            <w:pPr>
              <w:widowControl/>
              <w:jc w:val="center"/>
              <w:textAlignment w:val="center"/>
              <w:rPr>
                <w:rFonts w:hint="eastAsia" w:ascii="宋体" w:hAnsi="宋体" w:eastAsia="宋体" w:cs="宋体"/>
                <w:kern w:val="0"/>
                <w:lang w:eastAsia="zh-CN" w:bidi="ar"/>
              </w:rPr>
            </w:pPr>
            <w:r>
              <w:rPr>
                <w:rFonts w:hint="eastAsia" w:ascii="宋体" w:hAnsi="宋体" w:cs="宋体"/>
                <w:kern w:val="0"/>
                <w:lang w:bidi="ar"/>
              </w:rPr>
              <w:t>集成商：浙江天健水务、上海轩浦、浙江卓锦、格兰富（高锰酸钾）、上海费波</w:t>
            </w:r>
            <w:r>
              <w:rPr>
                <w:rFonts w:hint="eastAsia" w:ascii="宋体" w:hAnsi="宋体" w:cs="宋体"/>
                <w:kern w:val="0"/>
                <w:lang w:eastAsia="zh-CN" w:bidi="ar"/>
              </w:rPr>
              <w:t>、杭州普联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数字隔膜计量泵</w:t>
            </w:r>
          </w:p>
        </w:tc>
        <w:tc>
          <w:tcPr>
            <w:tcW w:w="2230" w:type="pct"/>
            <w:vAlign w:val="center"/>
          </w:tcPr>
          <w:p>
            <w:pPr>
              <w:widowControl/>
              <w:jc w:val="center"/>
              <w:textAlignment w:val="center"/>
              <w:rPr>
                <w:rFonts w:ascii="宋体" w:hAnsi="宋体" w:cs="宋体"/>
              </w:rPr>
            </w:pPr>
            <w:r>
              <w:rPr>
                <w:rFonts w:hint="eastAsia" w:ascii="宋体" w:hAnsi="宋体"/>
              </w:rPr>
              <w:t>格兰富、普罗名特、sera、W＆T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bottom"/>
              <w:rPr>
                <w:rFonts w:ascii="宋体" w:hAnsi="宋体" w:cs="宋体"/>
              </w:rPr>
            </w:pPr>
          </w:p>
        </w:tc>
        <w:tc>
          <w:tcPr>
            <w:tcW w:w="1642" w:type="pct"/>
            <w:vAlign w:val="center"/>
          </w:tcPr>
          <w:p>
            <w:pPr>
              <w:widowControl/>
              <w:jc w:val="center"/>
              <w:textAlignment w:val="bottom"/>
              <w:rPr>
                <w:rFonts w:ascii="宋体" w:hAnsi="宋体" w:cs="宋体"/>
              </w:rPr>
            </w:pPr>
            <w:r>
              <w:rPr>
                <w:rFonts w:hint="eastAsia" w:ascii="宋体" w:hAnsi="宋体" w:cs="宋体"/>
                <w:kern w:val="0"/>
                <w:lang w:bidi="ar"/>
              </w:rPr>
              <w:t>螺杆泵</w:t>
            </w:r>
          </w:p>
        </w:tc>
        <w:tc>
          <w:tcPr>
            <w:tcW w:w="2230" w:type="pct"/>
            <w:vAlign w:val="center"/>
          </w:tcPr>
          <w:p>
            <w:pPr>
              <w:widowControl/>
              <w:jc w:val="center"/>
              <w:textAlignment w:val="bottom"/>
              <w:rPr>
                <w:rFonts w:ascii="宋体" w:hAnsi="宋体" w:cs="宋体"/>
              </w:rPr>
            </w:pPr>
            <w:r>
              <w:rPr>
                <w:rFonts w:hint="eastAsia" w:ascii="宋体" w:hAnsi="宋体"/>
              </w:rPr>
              <w:t>西派克、</w:t>
            </w:r>
            <w:r>
              <w:rPr>
                <w:rFonts w:ascii="宋体" w:hAnsi="宋体"/>
              </w:rPr>
              <w:t>耐驰、莫诺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12</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污泥浓缩机</w:t>
            </w:r>
          </w:p>
        </w:tc>
        <w:tc>
          <w:tcPr>
            <w:tcW w:w="2230" w:type="pct"/>
            <w:vAlign w:val="center"/>
          </w:tcPr>
          <w:p>
            <w:pPr>
              <w:widowControl/>
              <w:jc w:val="center"/>
              <w:textAlignment w:val="center"/>
              <w:rPr>
                <w:rFonts w:ascii="宋体" w:hAnsi="宋体" w:cs="宋体"/>
                <w:kern w:val="0"/>
                <w:lang w:bidi="ar"/>
              </w:rPr>
            </w:pPr>
            <w:r>
              <w:rPr>
                <w:rFonts w:ascii="宋体" w:hAnsi="宋体" w:cs="宋体"/>
                <w:kern w:val="1"/>
                <w:shd w:val="clear" w:color="auto" w:fill="FFFFFF"/>
              </w:rPr>
              <w:t>玉环净化、台州中昌、浙江联池、金剑环保</w:t>
            </w:r>
            <w:r>
              <w:rPr>
                <w:rFonts w:hint="eastAsia" w:ascii="宋体" w:hAnsi="宋体" w:cs="宋体"/>
                <w:kern w:val="1"/>
                <w:shd w:val="clear" w:color="auto" w:fill="FFFFFF"/>
              </w:rPr>
              <w:t>、金山环保、广州新之地，配套减速机要求采用莱宁、SEW、NORD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13</w:t>
            </w:r>
          </w:p>
        </w:tc>
        <w:tc>
          <w:tcPr>
            <w:tcW w:w="665" w:type="pct"/>
            <w:vAlign w:val="center"/>
          </w:tcPr>
          <w:p>
            <w:pPr>
              <w:widowControl/>
              <w:textAlignment w:val="center"/>
              <w:rPr>
                <w:rFonts w:ascii="宋体" w:hAnsi="宋体" w:cs="宋体"/>
                <w:kern w:val="0"/>
                <w:lang w:bidi="ar"/>
              </w:rPr>
            </w:pPr>
            <w:r>
              <w:rPr>
                <w:rFonts w:hint="eastAsia" w:ascii="宋体" w:hAnsi="宋体" w:cs="宋体"/>
                <w:kern w:val="0"/>
                <w:lang w:bidi="ar"/>
              </w:rPr>
              <w:t>脱水系统</w:t>
            </w: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压榨机</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同臣、景津、兴源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14</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低压变频系统</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施耐德、AB、东芝、三菱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15</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低压元器件</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施耐德、ABB、西门子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restart"/>
            <w:vAlign w:val="center"/>
          </w:tcPr>
          <w:p>
            <w:pPr>
              <w:widowControl/>
              <w:jc w:val="center"/>
              <w:textAlignment w:val="center"/>
              <w:rPr>
                <w:rFonts w:ascii="宋体" w:hAnsi="宋体" w:cs="宋体"/>
              </w:rPr>
            </w:pPr>
            <w:r>
              <w:rPr>
                <w:rFonts w:hint="eastAsia" w:ascii="宋体" w:hAnsi="宋体" w:cs="宋体"/>
              </w:rPr>
              <w:t>16</w:t>
            </w:r>
          </w:p>
        </w:tc>
        <w:tc>
          <w:tcPr>
            <w:tcW w:w="665" w:type="pct"/>
            <w:vMerge w:val="restart"/>
            <w:vAlign w:val="center"/>
          </w:tcPr>
          <w:p>
            <w:pPr>
              <w:widowControl/>
              <w:textAlignment w:val="center"/>
              <w:rPr>
                <w:rFonts w:ascii="宋体" w:hAnsi="宋体" w:cs="宋体"/>
                <w:kern w:val="0"/>
                <w:lang w:bidi="ar"/>
              </w:rPr>
            </w:pPr>
            <w:r>
              <w:rPr>
                <w:rFonts w:hint="eastAsia" w:ascii="宋体" w:hAnsi="宋体" w:cs="宋体"/>
                <w:kern w:val="0"/>
                <w:lang w:bidi="ar"/>
              </w:rPr>
              <w:t>仪表类</w:t>
            </w: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超声波液位仪</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E+H、西门子、ABB、partech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压力变送器</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E+H、西门子、ABB、partech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电磁流量计</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德国科隆、ABB、西门子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hint="eastAsia" w:ascii="宋体" w:hAnsi="宋体" w:cs="宋体"/>
                <w:kern w:val="0"/>
                <w:lang w:bidi="ar"/>
              </w:rPr>
            </w:pPr>
            <w:r>
              <w:rPr>
                <w:rFonts w:hint="eastAsia" w:ascii="宋体" w:hAnsi="宋体" w:cs="宋体"/>
                <w:kern w:val="0"/>
                <w:lang w:bidi="ar"/>
              </w:rPr>
              <w:t>气体流量计</w:t>
            </w:r>
          </w:p>
        </w:tc>
        <w:tc>
          <w:tcPr>
            <w:tcW w:w="2230" w:type="pct"/>
            <w:vAlign w:val="center"/>
          </w:tcPr>
          <w:p>
            <w:pPr>
              <w:widowControl/>
              <w:jc w:val="center"/>
              <w:textAlignment w:val="center"/>
              <w:rPr>
                <w:rFonts w:hint="default" w:ascii="宋体" w:hAnsi="宋体" w:eastAsia="宋体" w:cs="宋体"/>
                <w:kern w:val="0"/>
                <w:lang w:val="en-US" w:eastAsia="zh-CN" w:bidi="ar"/>
              </w:rPr>
            </w:pPr>
            <w:r>
              <w:rPr>
                <w:rFonts w:hint="eastAsia" w:ascii="宋体" w:hAnsi="宋体" w:cs="宋体"/>
                <w:kern w:val="0"/>
                <w:lang w:bidi="ar"/>
              </w:rPr>
              <w:t>Hoentzsch、FCI、E+H</w:t>
            </w:r>
            <w:r>
              <w:rPr>
                <w:rFonts w:hint="eastAsia" w:ascii="宋体" w:hAnsi="宋体" w:cs="宋体"/>
                <w:kern w:val="0"/>
                <w:lang w:eastAsia="zh-CN" w:bidi="ar"/>
              </w:rPr>
              <w:t>、</w:t>
            </w:r>
            <w:r>
              <w:rPr>
                <w:rFonts w:hint="eastAsia" w:ascii="宋体" w:hAnsi="宋体" w:cs="宋体"/>
                <w:kern w:val="0"/>
                <w:lang w:val="en-US" w:eastAsia="zh-CN" w:bidi="ar"/>
              </w:rPr>
              <w:t>doweston</w:t>
            </w:r>
            <w:bookmarkStart w:id="7624" w:name="_GoBack"/>
            <w:bookmarkEnd w:id="762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浊度仪、余氯分析仪、pH/T分析仪</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SWAN、HACH、E+H、WTW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插入式污泥浓度仪</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HACH、E+H、WTW、partech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rPr>
              <w:t>氨氮分析仪</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E+H、HACH、</w:t>
            </w:r>
            <w:r>
              <w:rPr>
                <w:rFonts w:hint="eastAsia" w:ascii="宋体" w:hAnsi="宋体"/>
                <w:kern w:val="0"/>
                <w:lang w:bidi="ar"/>
              </w:rPr>
              <w:t>UNIVERSAL</w:t>
            </w:r>
            <w:r>
              <w:rPr>
                <w:rFonts w:hint="eastAsia" w:ascii="宋体" w:hAnsi="宋体" w:cs="宋体"/>
                <w:kern w:val="0"/>
                <w:lang w:bidi="ar"/>
              </w:rPr>
              <w:t>、岛津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rPr>
              <w:t>高锰酸钾指数仪</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HACH、</w:t>
            </w:r>
            <w:r>
              <w:rPr>
                <w:rFonts w:hint="eastAsia" w:ascii="宋体" w:hAnsi="宋体"/>
                <w:kern w:val="0"/>
                <w:lang w:bidi="ar"/>
              </w:rPr>
              <w:t>UNIVERSAL</w:t>
            </w:r>
            <w:r>
              <w:rPr>
                <w:rFonts w:hint="eastAsia" w:ascii="宋体" w:hAnsi="宋体" w:cs="宋体"/>
                <w:kern w:val="0"/>
                <w:lang w:bidi="ar"/>
              </w:rPr>
              <w:t>、DKK、岛津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61" w:type="pct"/>
            <w:vMerge w:val="continue"/>
            <w:vAlign w:val="center"/>
          </w:tcPr>
          <w:p>
            <w:pPr>
              <w:widowControl/>
              <w:ind w:firstLine="500" w:firstLineChars="200"/>
              <w:jc w:val="center"/>
              <w:textAlignment w:val="center"/>
              <w:rPr>
                <w:rFonts w:ascii="宋体" w:hAnsi="宋体" w:cs="宋体"/>
              </w:rPr>
            </w:pPr>
          </w:p>
        </w:tc>
        <w:tc>
          <w:tcPr>
            <w:tcW w:w="665" w:type="pct"/>
            <w:vMerge w:val="continue"/>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rPr>
              <w:t>铝离子分析仪</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E+H、HACH、</w:t>
            </w:r>
            <w:r>
              <w:rPr>
                <w:rFonts w:hint="eastAsia" w:ascii="宋体" w:hAnsi="宋体"/>
                <w:kern w:val="0"/>
                <w:lang w:bidi="ar"/>
              </w:rPr>
              <w:t>UNIVERSAL</w:t>
            </w:r>
            <w:r>
              <w:rPr>
                <w:rFonts w:hint="eastAsia" w:ascii="宋体" w:hAnsi="宋体" w:cs="宋体"/>
                <w:kern w:val="0"/>
                <w:lang w:bidi="ar"/>
              </w:rPr>
              <w:t>、岛津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61" w:type="pct"/>
            <w:vMerge w:val="continue"/>
            <w:vAlign w:val="center"/>
          </w:tcPr>
          <w:p>
            <w:pPr>
              <w:widowControl/>
              <w:jc w:val="center"/>
              <w:textAlignment w:val="center"/>
              <w:rPr>
                <w:rFonts w:ascii="宋体" w:hAnsi="宋体"/>
              </w:rPr>
            </w:pPr>
          </w:p>
        </w:tc>
        <w:tc>
          <w:tcPr>
            <w:tcW w:w="665" w:type="pct"/>
            <w:vMerge w:val="continue"/>
            <w:vAlign w:val="center"/>
          </w:tcPr>
          <w:p>
            <w:pPr>
              <w:widowControl/>
              <w:jc w:val="center"/>
              <w:textAlignment w:val="center"/>
              <w:rPr>
                <w:rFonts w:ascii="宋体" w:hAnsi="宋体"/>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进水生物毒性预警系统</w:t>
            </w:r>
          </w:p>
        </w:tc>
        <w:tc>
          <w:tcPr>
            <w:tcW w:w="2230" w:type="pct"/>
            <w:vAlign w:val="center"/>
          </w:tcPr>
          <w:p>
            <w:pPr>
              <w:widowControl/>
              <w:jc w:val="center"/>
              <w:textAlignment w:val="center"/>
              <w:rPr>
                <w:rFonts w:ascii="宋体" w:hAnsi="宋体" w:cs="宋体"/>
              </w:rPr>
            </w:pPr>
            <w:r>
              <w:rPr>
                <w:rFonts w:hint="eastAsia" w:ascii="宋体" w:hAnsi="宋体" w:cs="宋体"/>
              </w:rPr>
              <w:t>荷兰Microlan，HACH，M</w:t>
            </w:r>
            <w:r>
              <w:rPr>
                <w:rFonts w:ascii="宋体" w:hAnsi="宋体" w:cs="宋体"/>
              </w:rPr>
              <w:t xml:space="preserve">odern </w:t>
            </w:r>
            <w:r>
              <w:rPr>
                <w:rFonts w:hint="eastAsia" w:ascii="宋体" w:hAnsi="宋体" w:cs="宋体"/>
              </w:rPr>
              <w:t>W</w:t>
            </w:r>
            <w:r>
              <w:rPr>
                <w:rFonts w:ascii="宋体" w:hAnsi="宋体" w:cs="宋体"/>
              </w:rPr>
              <w:t>ater</w:t>
            </w:r>
            <w:r>
              <w:rPr>
                <w:rFonts w:hint="eastAsia" w:ascii="宋体" w:hAnsi="宋体" w:cs="宋体"/>
              </w:rPr>
              <w:t>，法国Ponsel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61" w:type="pct"/>
            <w:vMerge w:val="continue"/>
            <w:vAlign w:val="center"/>
          </w:tcPr>
          <w:p>
            <w:pPr>
              <w:widowControl/>
              <w:jc w:val="center"/>
              <w:textAlignment w:val="center"/>
              <w:rPr>
                <w:rFonts w:ascii="宋体" w:hAnsi="宋体"/>
              </w:rPr>
            </w:pPr>
          </w:p>
        </w:tc>
        <w:tc>
          <w:tcPr>
            <w:tcW w:w="665" w:type="pct"/>
            <w:vMerge w:val="continue"/>
            <w:vAlign w:val="center"/>
          </w:tcPr>
          <w:p>
            <w:pPr>
              <w:widowControl/>
              <w:jc w:val="center"/>
              <w:textAlignment w:val="center"/>
              <w:rPr>
                <w:rFonts w:ascii="宋体" w:hAnsi="宋体"/>
              </w:rPr>
            </w:pPr>
          </w:p>
        </w:tc>
        <w:tc>
          <w:tcPr>
            <w:tcW w:w="1642" w:type="pct"/>
            <w:vAlign w:val="center"/>
          </w:tcPr>
          <w:p>
            <w:pPr>
              <w:widowControl/>
              <w:jc w:val="center"/>
              <w:textAlignment w:val="center"/>
              <w:rPr>
                <w:rFonts w:ascii="宋体" w:hAnsi="宋体" w:cs="宋体"/>
              </w:rPr>
            </w:pPr>
            <w:r>
              <w:rPr>
                <w:rFonts w:hint="eastAsia" w:ascii="宋体" w:hAnsi="宋体" w:cs="宋体"/>
              </w:rPr>
              <w:t>颗粒计数器</w:t>
            </w:r>
          </w:p>
        </w:tc>
        <w:tc>
          <w:tcPr>
            <w:tcW w:w="2230" w:type="pct"/>
            <w:vAlign w:val="center"/>
          </w:tcPr>
          <w:p>
            <w:pPr>
              <w:widowControl/>
              <w:jc w:val="center"/>
              <w:textAlignment w:val="center"/>
              <w:rPr>
                <w:rFonts w:ascii="宋体" w:hAnsi="宋体" w:cs="宋体"/>
              </w:rPr>
            </w:pPr>
            <w:r>
              <w:rPr>
                <w:rFonts w:ascii="宋体" w:hAnsi="宋体" w:cs="宋体"/>
              </w:rPr>
              <w:t>HACH</w:t>
            </w:r>
            <w:r>
              <w:rPr>
                <w:rFonts w:hint="eastAsia" w:ascii="宋体" w:hAnsi="宋体" w:cs="宋体"/>
              </w:rPr>
              <w:t>、</w:t>
            </w:r>
            <w:r>
              <w:rPr>
                <w:rFonts w:ascii="宋体" w:hAnsi="宋体" w:cs="宋体"/>
              </w:rPr>
              <w:t>GREAN</w:t>
            </w:r>
            <w:r>
              <w:rPr>
                <w:rFonts w:hint="eastAsia" w:ascii="宋体" w:hAnsi="宋体" w:cs="宋体"/>
              </w:rPr>
              <w:t>、I</w:t>
            </w:r>
            <w:r>
              <w:rPr>
                <w:rFonts w:ascii="宋体" w:hAnsi="宋体" w:cs="宋体"/>
              </w:rPr>
              <w:t>BR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17</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kern w:val="0"/>
                <w:lang w:bidi="ar"/>
              </w:rPr>
              <w:t>PLC</w:t>
            </w:r>
          </w:p>
        </w:tc>
        <w:tc>
          <w:tcPr>
            <w:tcW w:w="2230" w:type="pct"/>
            <w:vAlign w:val="center"/>
          </w:tcPr>
          <w:p>
            <w:pPr>
              <w:widowControl/>
              <w:jc w:val="center"/>
              <w:textAlignment w:val="center"/>
              <w:rPr>
                <w:rFonts w:ascii="宋体" w:hAnsi="宋体" w:cs="宋体"/>
              </w:rPr>
            </w:pPr>
            <w:r>
              <w:rPr>
                <w:rFonts w:hint="eastAsia" w:ascii="宋体" w:hAnsi="宋体" w:cs="宋体"/>
                <w:kern w:val="0"/>
                <w:lang w:bidi="ar"/>
              </w:rPr>
              <w:t>施耐德、西门子、SUPCON、AB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18</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LED拼接屏</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海康、大华、宇视、GQY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19</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UPS</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APC、山特、华为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20</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视频监控</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海康、大华、宇视、萤石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21</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工业交换机</w:t>
            </w:r>
          </w:p>
        </w:tc>
        <w:tc>
          <w:tcPr>
            <w:tcW w:w="2230" w:type="pct"/>
            <w:vAlign w:val="center"/>
          </w:tcPr>
          <w:p>
            <w:pPr>
              <w:widowControl/>
              <w:jc w:val="center"/>
              <w:textAlignment w:val="center"/>
              <w:rPr>
                <w:rFonts w:ascii="宋体" w:hAnsi="宋体" w:cs="宋体"/>
                <w:kern w:val="0"/>
                <w:lang w:bidi="ar"/>
              </w:rPr>
            </w:pPr>
            <w:r>
              <w:rPr>
                <w:rFonts w:hint="eastAsia" w:ascii="宋体" w:hAnsi="宋体" w:cs="宋体"/>
                <w:kern w:val="0"/>
                <w:lang w:bidi="ar"/>
              </w:rPr>
              <w:t>CISCO、KORENIX、赫斯曼、GE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Align w:val="center"/>
          </w:tcPr>
          <w:p>
            <w:pPr>
              <w:widowControl/>
              <w:jc w:val="center"/>
              <w:textAlignment w:val="center"/>
              <w:rPr>
                <w:rFonts w:ascii="宋体" w:hAnsi="宋体" w:cs="宋体"/>
              </w:rPr>
            </w:pPr>
            <w:r>
              <w:rPr>
                <w:rFonts w:hint="eastAsia" w:ascii="宋体" w:hAnsi="宋体" w:cs="宋体"/>
              </w:rPr>
              <w:t>22</w:t>
            </w:r>
          </w:p>
        </w:tc>
        <w:tc>
          <w:tcPr>
            <w:tcW w:w="665" w:type="pct"/>
            <w:vAlign w:val="center"/>
          </w:tcPr>
          <w:p>
            <w:pPr>
              <w:widowControl/>
              <w:ind w:firstLine="500" w:firstLineChars="200"/>
              <w:jc w:val="center"/>
              <w:textAlignment w:val="center"/>
              <w:rPr>
                <w:rFonts w:ascii="宋体" w:hAnsi="宋体" w:cs="宋体"/>
                <w:kern w:val="0"/>
                <w:lang w:bidi="ar"/>
              </w:rPr>
            </w:pPr>
          </w:p>
        </w:tc>
        <w:tc>
          <w:tcPr>
            <w:tcW w:w="1642" w:type="pct"/>
            <w:vAlign w:val="center"/>
          </w:tcPr>
          <w:p>
            <w:pPr>
              <w:widowControl/>
              <w:jc w:val="center"/>
              <w:textAlignment w:val="center"/>
              <w:rPr>
                <w:rFonts w:ascii="宋体" w:hAnsi="宋体" w:cs="宋体"/>
              </w:rPr>
            </w:pPr>
            <w:r>
              <w:rPr>
                <w:rFonts w:hint="eastAsia" w:ascii="宋体" w:hAnsi="宋体" w:cs="宋体"/>
              </w:rPr>
              <w:t>电缆</w:t>
            </w:r>
          </w:p>
        </w:tc>
        <w:tc>
          <w:tcPr>
            <w:tcW w:w="2230" w:type="pct"/>
            <w:vAlign w:val="center"/>
          </w:tcPr>
          <w:p>
            <w:pPr>
              <w:widowControl/>
              <w:jc w:val="center"/>
              <w:textAlignment w:val="center"/>
              <w:rPr>
                <w:rFonts w:ascii="宋体" w:hAnsi="宋体" w:cs="宋体"/>
                <w:kern w:val="0"/>
                <w:lang w:bidi="ar"/>
              </w:rPr>
            </w:pPr>
            <w:r>
              <w:rPr>
                <w:rFonts w:hint="eastAsia" w:ascii="宋体" w:hAnsi="宋体" w:cs="Arial"/>
              </w:rPr>
              <w:t>远东电缆、千岛湖永通、浙江万马、江苏上上</w:t>
            </w:r>
          </w:p>
        </w:tc>
      </w:tr>
    </w:tbl>
    <w:p>
      <w:pPr>
        <w:adjustRightInd w:val="0"/>
        <w:snapToGrid w:val="0"/>
        <w:spacing w:before="203" w:beforeLines="50" w:after="203" w:afterLines="50"/>
        <w:rPr>
          <w:rFonts w:ascii="宋体" w:hAnsi="宋体" w:cs="楷体"/>
        </w:rPr>
      </w:pPr>
      <w:r>
        <w:rPr>
          <w:rFonts w:hint="eastAsia" w:ascii="宋体" w:hAnsi="宋体" w:cs="楷体"/>
          <w:b/>
        </w:rPr>
        <w:t>厂外管材推荐一览表</w:t>
      </w:r>
    </w:p>
    <w:tbl>
      <w:tblPr>
        <w:tblStyle w:val="78"/>
        <w:tblW w:w="9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739"/>
        <w:gridCol w:w="6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05" w:type="dxa"/>
          </w:tcPr>
          <w:p>
            <w:pPr>
              <w:widowControl/>
              <w:jc w:val="center"/>
              <w:rPr>
                <w:rFonts w:ascii="宋体" w:hAnsi="宋体" w:cs="Arial"/>
                <w:b/>
                <w:bCs/>
              </w:rPr>
            </w:pPr>
            <w:r>
              <w:rPr>
                <w:rFonts w:hint="eastAsia" w:ascii="宋体" w:hAnsi="宋体" w:cs="Arial"/>
                <w:b/>
                <w:bCs/>
              </w:rPr>
              <w:t>序号</w:t>
            </w:r>
          </w:p>
        </w:tc>
        <w:tc>
          <w:tcPr>
            <w:tcW w:w="1739" w:type="dxa"/>
          </w:tcPr>
          <w:p>
            <w:pPr>
              <w:widowControl/>
              <w:jc w:val="center"/>
              <w:rPr>
                <w:rFonts w:ascii="宋体" w:hAnsi="宋体" w:cs="Arial"/>
                <w:b/>
                <w:bCs/>
              </w:rPr>
            </w:pPr>
            <w:r>
              <w:rPr>
                <w:rFonts w:hint="eastAsia" w:ascii="宋体" w:hAnsi="宋体" w:cs="Arial"/>
                <w:b/>
                <w:bCs/>
              </w:rPr>
              <w:t>项目名称</w:t>
            </w:r>
          </w:p>
        </w:tc>
        <w:tc>
          <w:tcPr>
            <w:tcW w:w="6591" w:type="dxa"/>
          </w:tcPr>
          <w:p>
            <w:pPr>
              <w:widowControl/>
              <w:jc w:val="center"/>
              <w:rPr>
                <w:rFonts w:ascii="宋体" w:hAnsi="宋体" w:cs="Arial"/>
                <w:b/>
                <w:bCs/>
              </w:rPr>
            </w:pPr>
            <w:r>
              <w:rPr>
                <w:rFonts w:hint="eastAsia" w:ascii="宋体" w:hAnsi="宋体" w:cs="Arial"/>
                <w:b/>
                <w:bCs/>
                <w:lang w:eastAsia="zh-CN"/>
              </w:rPr>
              <w:t>推荐</w:t>
            </w:r>
            <w:r>
              <w:rPr>
                <w:rFonts w:hint="eastAsia" w:ascii="宋体" w:hAnsi="宋体" w:cs="Arial"/>
                <w:b/>
                <w:bCs/>
              </w:rPr>
              <w:t>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05" w:type="dxa"/>
            <w:vAlign w:val="center"/>
          </w:tcPr>
          <w:p>
            <w:pPr>
              <w:widowControl/>
              <w:jc w:val="center"/>
              <w:textAlignment w:val="center"/>
              <w:rPr>
                <w:rFonts w:ascii="宋体" w:hAnsi="宋体" w:cs="Arial"/>
              </w:rPr>
            </w:pPr>
            <w:r>
              <w:rPr>
                <w:rFonts w:hint="eastAsia" w:ascii="宋体" w:hAnsi="宋体" w:cs="Arial"/>
              </w:rPr>
              <w:t>1</w:t>
            </w:r>
          </w:p>
        </w:tc>
        <w:tc>
          <w:tcPr>
            <w:tcW w:w="1739" w:type="dxa"/>
            <w:vAlign w:val="center"/>
          </w:tcPr>
          <w:p>
            <w:pPr>
              <w:widowControl/>
              <w:jc w:val="center"/>
              <w:textAlignment w:val="center"/>
              <w:rPr>
                <w:rFonts w:ascii="宋体" w:hAnsi="宋体" w:cs="Arial"/>
              </w:rPr>
            </w:pPr>
            <w:r>
              <w:rPr>
                <w:rFonts w:hint="eastAsia" w:ascii="宋体" w:hAnsi="宋体" w:cs="Arial"/>
              </w:rPr>
              <w:t>钢管</w:t>
            </w:r>
          </w:p>
        </w:tc>
        <w:tc>
          <w:tcPr>
            <w:tcW w:w="6591" w:type="dxa"/>
            <w:vAlign w:val="center"/>
          </w:tcPr>
          <w:p>
            <w:pPr>
              <w:widowControl/>
              <w:jc w:val="center"/>
              <w:textAlignment w:val="center"/>
              <w:rPr>
                <w:rFonts w:ascii="宋体" w:hAnsi="宋体" w:cs="Arial"/>
              </w:rPr>
            </w:pPr>
            <w:r>
              <w:rPr>
                <w:rFonts w:hint="eastAsia" w:ascii="宋体" w:hAnsi="宋体" w:cs="Arial"/>
              </w:rPr>
              <w:t>浙江金洲、上海宝世威、江苏玉龙、上海佳方、江苏通宇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905" w:type="dxa"/>
            <w:vAlign w:val="center"/>
          </w:tcPr>
          <w:p>
            <w:pPr>
              <w:widowControl/>
              <w:jc w:val="center"/>
              <w:textAlignment w:val="center"/>
              <w:rPr>
                <w:rFonts w:ascii="宋体" w:hAnsi="宋体" w:cs="Arial"/>
              </w:rPr>
            </w:pPr>
            <w:r>
              <w:rPr>
                <w:rFonts w:hint="eastAsia" w:ascii="宋体" w:hAnsi="宋体" w:cs="Arial"/>
              </w:rPr>
              <w:t>2</w:t>
            </w:r>
          </w:p>
        </w:tc>
        <w:tc>
          <w:tcPr>
            <w:tcW w:w="1739" w:type="dxa"/>
            <w:vAlign w:val="center"/>
          </w:tcPr>
          <w:p>
            <w:pPr>
              <w:widowControl/>
              <w:jc w:val="center"/>
              <w:textAlignment w:val="center"/>
              <w:rPr>
                <w:rFonts w:ascii="宋体" w:hAnsi="宋体" w:cs="Arial"/>
              </w:rPr>
            </w:pPr>
            <w:r>
              <w:rPr>
                <w:rFonts w:hint="eastAsia" w:ascii="宋体" w:hAnsi="宋体" w:cs="Arial"/>
              </w:rPr>
              <w:t>钢板原产地</w:t>
            </w:r>
          </w:p>
        </w:tc>
        <w:tc>
          <w:tcPr>
            <w:tcW w:w="6591" w:type="dxa"/>
            <w:vAlign w:val="center"/>
          </w:tcPr>
          <w:p>
            <w:pPr>
              <w:widowControl/>
              <w:jc w:val="center"/>
              <w:textAlignment w:val="center"/>
              <w:rPr>
                <w:rFonts w:ascii="宋体" w:hAnsi="宋体" w:cs="Arial"/>
              </w:rPr>
            </w:pPr>
            <w:r>
              <w:rPr>
                <w:rFonts w:hint="eastAsia" w:ascii="宋体" w:hAnsi="宋体" w:cs="Arial"/>
              </w:rPr>
              <w:t>宝钢、武钢、鞍钢、宁钢、马钢、沙钢、日照钢铁、首钢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905" w:type="dxa"/>
            <w:vAlign w:val="center"/>
          </w:tcPr>
          <w:p>
            <w:pPr>
              <w:widowControl/>
              <w:jc w:val="center"/>
              <w:textAlignment w:val="center"/>
              <w:rPr>
                <w:rFonts w:ascii="宋体" w:hAnsi="宋体" w:cs="Arial"/>
              </w:rPr>
            </w:pPr>
            <w:r>
              <w:rPr>
                <w:rFonts w:hint="eastAsia" w:ascii="宋体" w:hAnsi="宋体" w:cs="Arial"/>
              </w:rPr>
              <w:t>3</w:t>
            </w:r>
          </w:p>
        </w:tc>
        <w:tc>
          <w:tcPr>
            <w:tcW w:w="1739" w:type="dxa"/>
            <w:vAlign w:val="center"/>
          </w:tcPr>
          <w:p>
            <w:pPr>
              <w:widowControl/>
              <w:jc w:val="center"/>
              <w:textAlignment w:val="center"/>
              <w:rPr>
                <w:rFonts w:ascii="宋体" w:hAnsi="宋体" w:cs="Arial"/>
              </w:rPr>
            </w:pPr>
            <w:r>
              <w:rPr>
                <w:rFonts w:hint="eastAsia" w:ascii="宋体" w:hAnsi="宋体" w:cs="Arial"/>
              </w:rPr>
              <w:t>防腐材料</w:t>
            </w:r>
          </w:p>
        </w:tc>
        <w:tc>
          <w:tcPr>
            <w:tcW w:w="6591" w:type="dxa"/>
            <w:vAlign w:val="center"/>
          </w:tcPr>
          <w:p>
            <w:pPr>
              <w:widowControl/>
              <w:textAlignment w:val="center"/>
              <w:rPr>
                <w:rFonts w:ascii="宋体" w:hAnsi="宋体" w:cs="Arial"/>
              </w:rPr>
            </w:pPr>
            <w:r>
              <w:rPr>
                <w:rFonts w:hint="eastAsia" w:ascii="宋体" w:hAnsi="宋体" w:cs="Arial"/>
              </w:rPr>
              <w:t>艾士得华佳、3M、威士伯（美国）、宣伟（美国）、立邦（新加坡）、PPG(美国)、巴斯夫（德国）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05" w:type="dxa"/>
            <w:vAlign w:val="center"/>
          </w:tcPr>
          <w:p>
            <w:pPr>
              <w:widowControl/>
              <w:jc w:val="center"/>
              <w:textAlignment w:val="center"/>
              <w:rPr>
                <w:rFonts w:ascii="宋体" w:hAnsi="宋体" w:cs="Arial"/>
              </w:rPr>
            </w:pPr>
            <w:r>
              <w:rPr>
                <w:rFonts w:hint="eastAsia" w:ascii="宋体" w:hAnsi="宋体" w:cs="Arial"/>
              </w:rPr>
              <w:t>4</w:t>
            </w:r>
          </w:p>
        </w:tc>
        <w:tc>
          <w:tcPr>
            <w:tcW w:w="1739" w:type="dxa"/>
            <w:vAlign w:val="center"/>
          </w:tcPr>
          <w:p>
            <w:pPr>
              <w:widowControl/>
              <w:jc w:val="center"/>
              <w:textAlignment w:val="center"/>
              <w:rPr>
                <w:rFonts w:ascii="宋体" w:hAnsi="宋体" w:cs="Arial"/>
              </w:rPr>
            </w:pPr>
            <w:r>
              <w:rPr>
                <w:rFonts w:hint="eastAsia" w:ascii="宋体" w:hAnsi="宋体" w:cs="Arial"/>
              </w:rPr>
              <w:t>球墨铸铁管</w:t>
            </w:r>
          </w:p>
        </w:tc>
        <w:tc>
          <w:tcPr>
            <w:tcW w:w="6591" w:type="dxa"/>
            <w:vAlign w:val="center"/>
          </w:tcPr>
          <w:p>
            <w:pPr>
              <w:widowControl/>
              <w:jc w:val="center"/>
              <w:textAlignment w:val="center"/>
              <w:rPr>
                <w:rFonts w:hint="eastAsia" w:ascii="宋体" w:hAnsi="宋体" w:eastAsia="宋体" w:cs="Arial"/>
                <w:lang w:eastAsia="zh-CN"/>
              </w:rPr>
            </w:pPr>
            <w:r>
              <w:rPr>
                <w:rFonts w:hint="eastAsia" w:ascii="宋体" w:hAnsi="宋体" w:cs="Arial"/>
              </w:rPr>
              <w:t>新兴、圣戈班、国铭</w:t>
            </w:r>
            <w:r>
              <w:rPr>
                <w:rFonts w:hint="eastAsia" w:ascii="宋体" w:hAnsi="宋体" w:cs="Arial"/>
                <w:lang w:eastAsia="zh-CN"/>
              </w:rPr>
              <w:t>、新丰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5" w:type="dxa"/>
            <w:vAlign w:val="center"/>
          </w:tcPr>
          <w:p>
            <w:pPr>
              <w:widowControl/>
              <w:jc w:val="center"/>
              <w:textAlignment w:val="center"/>
              <w:rPr>
                <w:rFonts w:ascii="宋体" w:hAnsi="宋体" w:cs="Arial"/>
              </w:rPr>
            </w:pPr>
            <w:r>
              <w:rPr>
                <w:rFonts w:hint="eastAsia" w:ascii="宋体" w:hAnsi="宋体" w:cs="Arial"/>
              </w:rPr>
              <w:t>5</w:t>
            </w:r>
          </w:p>
        </w:tc>
        <w:tc>
          <w:tcPr>
            <w:tcW w:w="1739" w:type="dxa"/>
            <w:vAlign w:val="center"/>
          </w:tcPr>
          <w:p>
            <w:pPr>
              <w:widowControl/>
              <w:jc w:val="center"/>
              <w:textAlignment w:val="center"/>
              <w:rPr>
                <w:rFonts w:ascii="宋体" w:hAnsi="宋体" w:cs="Arial"/>
              </w:rPr>
            </w:pPr>
            <w:r>
              <w:rPr>
                <w:rFonts w:hint="eastAsia" w:ascii="宋体" w:hAnsi="宋体" w:cs="Arial"/>
              </w:rPr>
              <w:t>球墨铸铁管件</w:t>
            </w:r>
          </w:p>
        </w:tc>
        <w:tc>
          <w:tcPr>
            <w:tcW w:w="6591" w:type="dxa"/>
            <w:vAlign w:val="center"/>
          </w:tcPr>
          <w:p>
            <w:pPr>
              <w:widowControl/>
              <w:jc w:val="center"/>
              <w:textAlignment w:val="center"/>
              <w:rPr>
                <w:rFonts w:ascii="宋体" w:hAnsi="宋体" w:cs="Arial"/>
              </w:rPr>
            </w:pPr>
            <w:r>
              <w:rPr>
                <w:rFonts w:hint="eastAsia" w:ascii="宋体" w:hAnsi="宋体" w:cs="Arial"/>
              </w:rPr>
              <w:t>球墨铸铁管原厂</w:t>
            </w:r>
          </w:p>
          <w:p>
            <w:pPr>
              <w:widowControl/>
              <w:jc w:val="center"/>
              <w:textAlignment w:val="center"/>
              <w:rPr>
                <w:rFonts w:ascii="宋体" w:hAnsi="宋体" w:cs="Arial"/>
              </w:rPr>
            </w:pPr>
            <w:r>
              <w:rPr>
                <w:rFonts w:hint="eastAsia" w:ascii="宋体" w:hAnsi="宋体" w:cs="Arial"/>
              </w:rPr>
              <w:t>或山东建华、无锡华水、辽宁爱维尔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905" w:type="dxa"/>
            <w:vAlign w:val="center"/>
          </w:tcPr>
          <w:p>
            <w:pPr>
              <w:widowControl/>
              <w:jc w:val="center"/>
              <w:textAlignment w:val="center"/>
              <w:rPr>
                <w:rFonts w:ascii="宋体" w:hAnsi="宋体" w:cs="Arial"/>
              </w:rPr>
            </w:pPr>
            <w:r>
              <w:rPr>
                <w:rFonts w:hint="eastAsia" w:ascii="宋体" w:hAnsi="宋体" w:cs="Arial"/>
              </w:rPr>
              <w:t>6</w:t>
            </w:r>
          </w:p>
        </w:tc>
        <w:tc>
          <w:tcPr>
            <w:tcW w:w="1739" w:type="dxa"/>
            <w:vAlign w:val="center"/>
          </w:tcPr>
          <w:p>
            <w:pPr>
              <w:widowControl/>
              <w:jc w:val="center"/>
              <w:textAlignment w:val="center"/>
              <w:rPr>
                <w:rFonts w:ascii="宋体" w:hAnsi="宋体" w:cs="Arial"/>
              </w:rPr>
            </w:pPr>
            <w:r>
              <w:rPr>
                <w:rFonts w:hint="eastAsia" w:ascii="宋体" w:hAnsi="宋体" w:cs="Arial"/>
              </w:rPr>
              <w:t>胶圈密封圈</w:t>
            </w:r>
          </w:p>
        </w:tc>
        <w:tc>
          <w:tcPr>
            <w:tcW w:w="6591" w:type="dxa"/>
            <w:vAlign w:val="center"/>
          </w:tcPr>
          <w:p>
            <w:pPr>
              <w:widowControl/>
              <w:jc w:val="center"/>
              <w:textAlignment w:val="center"/>
              <w:rPr>
                <w:rFonts w:ascii="宋体" w:hAnsi="宋体" w:cs="Arial"/>
              </w:rPr>
            </w:pPr>
            <w:r>
              <w:rPr>
                <w:rFonts w:hint="eastAsia" w:ascii="宋体" w:hAnsi="宋体" w:cs="Arial"/>
              </w:rPr>
              <w:t>球墨铸铁管原厂</w:t>
            </w:r>
          </w:p>
          <w:p>
            <w:pPr>
              <w:widowControl/>
              <w:jc w:val="center"/>
              <w:textAlignment w:val="center"/>
              <w:rPr>
                <w:rFonts w:ascii="宋体" w:hAnsi="宋体" w:cs="Arial"/>
              </w:rPr>
            </w:pPr>
            <w:r>
              <w:rPr>
                <w:rFonts w:hint="eastAsia" w:ascii="宋体" w:hAnsi="宋体" w:cs="Arial"/>
              </w:rPr>
              <w:t>或靖江三星、马鞍山宏力、河北邢台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5" w:type="dxa"/>
            <w:vAlign w:val="center"/>
          </w:tcPr>
          <w:p>
            <w:pPr>
              <w:widowControl/>
              <w:jc w:val="center"/>
              <w:textAlignment w:val="center"/>
              <w:rPr>
                <w:rFonts w:ascii="宋体" w:hAnsi="宋体" w:cs="Arial"/>
              </w:rPr>
            </w:pPr>
            <w:r>
              <w:rPr>
                <w:rFonts w:hint="eastAsia" w:ascii="宋体" w:hAnsi="宋体" w:cs="Arial"/>
              </w:rPr>
              <w:t>7</w:t>
            </w:r>
          </w:p>
        </w:tc>
        <w:tc>
          <w:tcPr>
            <w:tcW w:w="1739" w:type="dxa"/>
            <w:vAlign w:val="center"/>
          </w:tcPr>
          <w:p>
            <w:pPr>
              <w:widowControl/>
              <w:jc w:val="center"/>
              <w:textAlignment w:val="center"/>
              <w:rPr>
                <w:rFonts w:ascii="宋体" w:hAnsi="宋体" w:cs="Arial"/>
              </w:rPr>
            </w:pPr>
            <w:r>
              <w:rPr>
                <w:rFonts w:hint="eastAsia" w:ascii="宋体" w:hAnsi="宋体" w:cs="Arial"/>
              </w:rPr>
              <w:t>阀门</w:t>
            </w:r>
          </w:p>
        </w:tc>
        <w:tc>
          <w:tcPr>
            <w:tcW w:w="6591" w:type="dxa"/>
            <w:vAlign w:val="center"/>
          </w:tcPr>
          <w:p>
            <w:pPr>
              <w:widowControl/>
              <w:jc w:val="center"/>
              <w:textAlignment w:val="center"/>
              <w:rPr>
                <w:rFonts w:ascii="宋体" w:hAnsi="宋体" w:cs="Arial"/>
              </w:rPr>
            </w:pPr>
            <w:r>
              <w:rPr>
                <w:rFonts w:hint="eastAsia" w:ascii="宋体" w:hAnsi="宋体" w:cs="Arial"/>
              </w:rPr>
              <w:t>上海冠龙、中核苏阀、宁波一机、北京好利、班尼戈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905" w:type="dxa"/>
            <w:vAlign w:val="center"/>
          </w:tcPr>
          <w:p>
            <w:pPr>
              <w:widowControl/>
              <w:jc w:val="center"/>
              <w:textAlignment w:val="center"/>
              <w:rPr>
                <w:rFonts w:ascii="宋体" w:hAnsi="宋体" w:cs="Arial"/>
              </w:rPr>
            </w:pPr>
            <w:r>
              <w:rPr>
                <w:rFonts w:hint="eastAsia" w:ascii="宋体" w:hAnsi="宋体" w:cs="Arial"/>
              </w:rPr>
              <w:t>8</w:t>
            </w:r>
          </w:p>
        </w:tc>
        <w:tc>
          <w:tcPr>
            <w:tcW w:w="1739" w:type="dxa"/>
            <w:vAlign w:val="center"/>
          </w:tcPr>
          <w:p>
            <w:pPr>
              <w:widowControl/>
              <w:jc w:val="center"/>
              <w:textAlignment w:val="center"/>
              <w:rPr>
                <w:rFonts w:ascii="宋体" w:hAnsi="宋体" w:cs="Arial"/>
              </w:rPr>
            </w:pPr>
            <w:r>
              <w:rPr>
                <w:rFonts w:hint="eastAsia" w:ascii="宋体" w:hAnsi="宋体" w:cs="Arial"/>
              </w:rPr>
              <w:t>双法兰式限位伸缩接头、双法兰限位伸缩器等</w:t>
            </w:r>
          </w:p>
        </w:tc>
        <w:tc>
          <w:tcPr>
            <w:tcW w:w="6591" w:type="dxa"/>
            <w:vAlign w:val="center"/>
          </w:tcPr>
          <w:p>
            <w:pPr>
              <w:widowControl/>
              <w:jc w:val="center"/>
              <w:textAlignment w:val="center"/>
              <w:rPr>
                <w:rFonts w:hint="eastAsia"/>
                <w:lang w:eastAsia="zh-CN"/>
              </w:rPr>
            </w:pPr>
            <w:r>
              <w:rPr>
                <w:rFonts w:hint="eastAsia"/>
              </w:rPr>
              <w:t>阀门</w:t>
            </w:r>
            <w:r>
              <w:rPr>
                <w:rFonts w:hint="eastAsia"/>
                <w:lang w:eastAsia="zh-CN"/>
              </w:rPr>
              <w:t>原厂配套</w:t>
            </w:r>
          </w:p>
          <w:p>
            <w:pPr>
              <w:pStyle w:val="2"/>
              <w:numPr>
                <w:ilvl w:val="0"/>
                <w:numId w:val="0"/>
              </w:numPr>
              <w:ind w:leftChars="0"/>
              <w:jc w:val="center"/>
            </w:pPr>
            <w:r>
              <w:rPr>
                <w:rFonts w:hint="eastAsia" w:ascii="Arial" w:hAnsi="Arial" w:eastAsia="宋体" w:cs="Arial"/>
                <w:sz w:val="24"/>
                <w:szCs w:val="24"/>
                <w:highlight w:val="none"/>
                <w:lang w:eastAsia="zh-CN"/>
              </w:rPr>
              <w:t>或</w:t>
            </w:r>
            <w:r>
              <w:rPr>
                <w:rFonts w:hint="eastAsia" w:ascii="Arial" w:hAnsi="Arial" w:eastAsia="宋体" w:cs="Arial"/>
                <w:sz w:val="24"/>
                <w:szCs w:val="24"/>
                <w:highlight w:val="none"/>
              </w:rPr>
              <w:t>陕西英联、无锡金羊</w:t>
            </w:r>
          </w:p>
        </w:tc>
      </w:tr>
    </w:tbl>
    <w:p>
      <w:pPr>
        <w:adjustRightInd w:val="0"/>
        <w:snapToGrid w:val="0"/>
        <w:spacing w:before="203" w:beforeLines="50" w:after="203" w:afterLines="50"/>
        <w:rPr>
          <w:rFonts w:ascii="宋体" w:hAnsi="宋体"/>
        </w:rPr>
      </w:pPr>
    </w:p>
    <w:p>
      <w:pPr>
        <w:widowControl/>
        <w:jc w:val="left"/>
        <w:rPr>
          <w:rFonts w:ascii="宋体" w:hAnsi="宋体"/>
        </w:rPr>
      </w:pPr>
      <w:r>
        <w:rPr>
          <w:rFonts w:hint="eastAsia" w:ascii="宋体" w:hAnsi="宋体"/>
        </w:rPr>
        <w:t>注：投标人须按照招标文件所附货物清单进行报价，清单中每个品目有且只能对应填写一个品牌，填写两个及以上品牌将导致其投被拒绝。如投标人被授予合同，则合同签订后不允许更换品牌，否则视为其违约。</w:t>
      </w:r>
    </w:p>
    <w:p>
      <w:pPr>
        <w:adjustRightInd w:val="0"/>
        <w:snapToGrid w:val="0"/>
        <w:spacing w:before="203" w:beforeLines="50" w:after="203" w:afterLines="50"/>
        <w:ind w:firstLine="500" w:firstLineChars="200"/>
        <w:rPr>
          <w:rFonts w:ascii="宋体" w:hAnsi="宋体"/>
          <w:b/>
          <w:sz w:val="32"/>
        </w:rPr>
      </w:pPr>
      <w:r>
        <w:rPr>
          <w:rFonts w:ascii="宋体" w:hAnsi="宋体"/>
        </w:rPr>
        <w:br w:type="page"/>
      </w:r>
    </w:p>
    <w:p>
      <w:pPr>
        <w:keepNext/>
        <w:spacing w:line="480" w:lineRule="auto"/>
        <w:jc w:val="center"/>
        <w:outlineLvl w:val="0"/>
        <w:rPr>
          <w:rFonts w:ascii="宋体" w:hAnsi="宋体"/>
          <w:b/>
          <w:sz w:val="32"/>
        </w:rPr>
      </w:pPr>
      <w:bookmarkStart w:id="7483" w:name="_Toc480442720"/>
      <w:bookmarkStart w:id="7484" w:name="_Toc106883832"/>
      <w:bookmarkStart w:id="7485" w:name="_Toc479408500"/>
      <w:r>
        <w:rPr>
          <w:rFonts w:hint="eastAsia" w:ascii="宋体" w:hAnsi="宋体"/>
          <w:b/>
          <w:sz w:val="32"/>
        </w:rPr>
        <w:t>11</w:t>
      </w:r>
      <w:r>
        <w:rPr>
          <w:rFonts w:ascii="宋体" w:hAnsi="宋体"/>
          <w:b/>
          <w:sz w:val="32"/>
        </w:rPr>
        <w:t>主要设备</w:t>
      </w:r>
      <w:r>
        <w:rPr>
          <w:rFonts w:hint="eastAsia" w:ascii="宋体" w:hAnsi="宋体"/>
          <w:b/>
          <w:sz w:val="32"/>
        </w:rPr>
        <w:t>技术参数</w:t>
      </w:r>
      <w:r>
        <w:rPr>
          <w:rFonts w:ascii="宋体" w:hAnsi="宋体"/>
          <w:b/>
          <w:sz w:val="32"/>
        </w:rPr>
        <w:t>响应表</w:t>
      </w:r>
      <w:bookmarkEnd w:id="7483"/>
      <w:bookmarkEnd w:id="7484"/>
      <w:bookmarkEnd w:id="7485"/>
    </w:p>
    <w:p>
      <w:pPr>
        <w:adjustRightInd w:val="0"/>
        <w:snapToGrid w:val="0"/>
        <w:spacing w:before="203" w:beforeLines="50"/>
        <w:ind w:firstLine="500" w:firstLineChars="200"/>
        <w:rPr>
          <w:rFonts w:ascii="宋体" w:hAnsi="宋体"/>
        </w:rPr>
      </w:pPr>
      <w:r>
        <w:rPr>
          <w:rFonts w:ascii="宋体" w:hAnsi="宋体"/>
        </w:rPr>
        <w:t>说明</w:t>
      </w:r>
      <w:r>
        <w:rPr>
          <w:rFonts w:hint="eastAsia" w:ascii="宋体" w:hAnsi="宋体"/>
        </w:rPr>
        <w:t>：</w:t>
      </w:r>
      <w:r>
        <w:rPr>
          <w:rFonts w:ascii="宋体" w:hAnsi="宋体"/>
        </w:rPr>
        <w:t>下列表格由投标人在投标期间完成，表格中加进的特殊技术性能应成为合同的约束部分，并且在未得到业主同意之前不得修改。</w:t>
      </w:r>
      <w:r>
        <w:rPr>
          <w:rFonts w:hint="eastAsia" w:ascii="宋体" w:hAnsi="宋体"/>
        </w:rPr>
        <w:t>本节进入合同。</w:t>
      </w:r>
    </w:p>
    <w:p>
      <w:pPr>
        <w:adjustRightInd w:val="0"/>
        <w:snapToGrid w:val="0"/>
        <w:spacing w:before="203" w:beforeLines="50"/>
        <w:ind w:firstLine="500" w:firstLineChars="200"/>
        <w:rPr>
          <w:rFonts w:ascii="宋体" w:hAnsi="宋体"/>
        </w:rPr>
      </w:pPr>
      <w:r>
        <w:rPr>
          <w:rFonts w:ascii="宋体" w:hAnsi="宋体"/>
        </w:rPr>
        <w:t>所有特殊性能必须在表格中明确列出。不符合送给投标人的标准标书中规定的代号以及以制造商和供应商的产品目录、散页资料代替制造商和供应商均不予接受。</w:t>
      </w:r>
    </w:p>
    <w:p>
      <w:pPr>
        <w:adjustRightInd w:val="0"/>
        <w:snapToGrid w:val="0"/>
        <w:spacing w:before="203" w:beforeLines="50"/>
        <w:ind w:firstLine="500" w:firstLineChars="200"/>
        <w:rPr>
          <w:rFonts w:ascii="宋体" w:hAnsi="宋体"/>
        </w:rPr>
      </w:pPr>
      <w:r>
        <w:rPr>
          <w:rFonts w:ascii="宋体" w:hAnsi="宋体"/>
        </w:rPr>
        <w:t>在项目中需要列出制造商的姓名的地方，只能列出一家。</w:t>
      </w:r>
    </w:p>
    <w:p>
      <w:pPr>
        <w:adjustRightInd w:val="0"/>
        <w:snapToGrid w:val="0"/>
        <w:spacing w:before="203" w:beforeLines="50"/>
        <w:ind w:firstLine="500" w:firstLineChars="200"/>
        <w:rPr>
          <w:rFonts w:ascii="宋体" w:hAnsi="宋体"/>
        </w:rPr>
      </w:pPr>
      <w:r>
        <w:rPr>
          <w:rFonts w:ascii="宋体" w:hAnsi="宋体"/>
        </w:rPr>
        <w:t>在合同执行期间，项目监理可能要求承包商提供设备的附加说明，承包商应立即根据项目监理书面提出的要求提供设备的附加说明。</w:t>
      </w:r>
    </w:p>
    <w:p>
      <w:pPr>
        <w:adjustRightInd w:val="0"/>
        <w:snapToGrid w:val="0"/>
        <w:spacing w:before="203" w:beforeLines="50"/>
        <w:ind w:firstLine="500" w:firstLineChars="200"/>
        <w:rPr>
          <w:rFonts w:ascii="宋体" w:hAnsi="宋体"/>
        </w:rPr>
      </w:pPr>
      <w:r>
        <w:rPr>
          <w:rFonts w:ascii="宋体" w:hAnsi="宋体"/>
        </w:rPr>
        <w:t>提出的特殊性能考虑了技术要求的最小满足程度，也是为理解承包商为进行工程而提出的建议的基本要求。除下列投标表格外，如果承包商还提出一些详细的说明，则这些说明要符合标书的规定，除非在下表中另有说明。</w:t>
      </w:r>
    </w:p>
    <w:p>
      <w:pPr>
        <w:adjustRightInd w:val="0"/>
        <w:snapToGrid w:val="0"/>
        <w:spacing w:before="203" w:beforeLines="50"/>
        <w:ind w:firstLine="500" w:firstLineChars="200"/>
        <w:rPr>
          <w:rFonts w:ascii="宋体" w:hAnsi="宋体"/>
        </w:rPr>
      </w:pPr>
      <w:r>
        <w:rPr>
          <w:rFonts w:ascii="宋体" w:hAnsi="宋体"/>
        </w:rPr>
        <w:t>投标人必须完整填写下列表格中的承包商响应参数部分。其中“/”表示技术要求中没有强制要求，但投标人应给与填写；“—”表示不需要填写。</w:t>
      </w:r>
    </w:p>
    <w:p>
      <w:pPr>
        <w:adjustRightInd w:val="0"/>
        <w:snapToGrid w:val="0"/>
        <w:spacing w:before="203" w:beforeLines="50"/>
        <w:ind w:firstLine="500" w:firstLineChars="200"/>
        <w:rPr>
          <w:rFonts w:ascii="宋体" w:hAnsi="宋体"/>
        </w:rPr>
      </w:pPr>
      <w:r>
        <w:rPr>
          <w:rFonts w:ascii="宋体" w:hAnsi="宋体"/>
        </w:rPr>
        <w:t>本节所有表格的参数要求和填写，不降低原标书技术规范的所有要求，不代替标书规定的应由承包商应提供的所有资料。</w:t>
      </w:r>
    </w:p>
    <w:p>
      <w:pPr>
        <w:adjustRightInd w:val="0"/>
        <w:snapToGrid w:val="0"/>
        <w:spacing w:before="203" w:beforeLines="50"/>
        <w:ind w:firstLine="500" w:firstLineChars="200"/>
        <w:rPr>
          <w:rFonts w:ascii="宋体" w:hAnsi="宋体"/>
        </w:rPr>
      </w:pPr>
      <w:r>
        <w:rPr>
          <w:rFonts w:ascii="宋体" w:hAnsi="宋体"/>
        </w:rPr>
        <w:t>投标人所提供的技术响应数据必须有设备制造厂商的技术资料支持，如有任何偏差，须在表中的备注中说明偏差的优缺点，对于偏差导致净水厂运行成本和维修成本增加的投标将会被拒绝。投标人必须事实求是填写相应的技术参数，任何不符合事实的虚假相应将被认为是“欺诈行为”，并按招标文件投标人须知要求予以废标。</w:t>
      </w:r>
    </w:p>
    <w:p>
      <w:pPr>
        <w:keepNext/>
        <w:adjustRightInd w:val="0"/>
        <w:snapToGrid w:val="0"/>
        <w:spacing w:before="203" w:beforeLines="50" w:after="203" w:afterLines="50"/>
        <w:outlineLvl w:val="0"/>
        <w:rPr>
          <w:rFonts w:ascii="宋体" w:hAnsi="宋体" w:cs="楷体"/>
          <w:b/>
        </w:rPr>
      </w:pPr>
      <w:bookmarkStart w:id="7486" w:name="_Toc480442722"/>
      <w:bookmarkStart w:id="7487" w:name="_Toc479408502"/>
      <w:bookmarkStart w:id="7488" w:name="_Toc106883833"/>
      <w:r>
        <w:rPr>
          <w:rFonts w:hint="eastAsia" w:ascii="宋体" w:hAnsi="宋体" w:cs="楷体"/>
          <w:b/>
        </w:rPr>
        <w:t>11.1</w:t>
      </w:r>
      <w:r>
        <w:rPr>
          <w:rFonts w:ascii="宋体" w:hAnsi="宋体" w:cs="楷体"/>
          <w:b/>
        </w:rPr>
        <w:t>机械</w:t>
      </w:r>
      <w:r>
        <w:rPr>
          <w:rFonts w:hint="eastAsia" w:ascii="宋体" w:hAnsi="宋体" w:cs="楷体"/>
          <w:b/>
        </w:rPr>
        <w:t>和工艺</w:t>
      </w:r>
      <w:r>
        <w:rPr>
          <w:rFonts w:ascii="宋体" w:hAnsi="宋体" w:cs="楷体"/>
          <w:b/>
        </w:rPr>
        <w:t>设备</w:t>
      </w:r>
      <w:bookmarkEnd w:id="7486"/>
      <w:bookmarkEnd w:id="7487"/>
      <w:bookmarkEnd w:id="7488"/>
    </w:p>
    <w:p>
      <w:pPr>
        <w:adjustRightInd w:val="0"/>
        <w:snapToGrid w:val="0"/>
        <w:spacing w:before="203" w:beforeLines="50"/>
        <w:ind w:firstLine="500" w:firstLineChars="200"/>
        <w:rPr>
          <w:rFonts w:ascii="宋体" w:hAnsi="宋体"/>
        </w:rPr>
      </w:pPr>
      <w:r>
        <w:rPr>
          <w:rFonts w:ascii="宋体" w:hAnsi="宋体"/>
        </w:rPr>
        <w:t>下列表格为净水厂主要工艺机械设备技术响应表。未列的其它工艺设备技术参数，承包商应根据设备技术规范章节所要求的参数提供相应设备。</w:t>
      </w:r>
      <w:bookmarkStart w:id="7489" w:name="_Toc479408503"/>
    </w:p>
    <w:p>
      <w:pPr>
        <w:adjustRightInd w:val="0"/>
        <w:snapToGrid w:val="0"/>
        <w:spacing w:before="203" w:beforeLines="50"/>
        <w:ind w:firstLine="500" w:firstLineChars="200"/>
        <w:rPr>
          <w:rFonts w:ascii="宋体" w:hAnsi="宋体"/>
        </w:rPr>
      </w:pPr>
      <w:r>
        <w:rPr>
          <w:rFonts w:ascii="宋体" w:hAnsi="宋体"/>
        </w:rPr>
        <w:t>承包商响应参数</w:t>
      </w:r>
      <w:r>
        <w:rPr>
          <w:rFonts w:hint="eastAsia" w:ascii="宋体" w:hAnsi="宋体"/>
        </w:rPr>
        <w:t>根据所提供产品如实填写参数，是否响应中如参数响应则打√，如偏离则打×，</w:t>
      </w:r>
      <w:r>
        <w:rPr>
          <w:rFonts w:ascii="宋体" w:hAnsi="宋体"/>
        </w:rPr>
        <w:t>备注中说明偏差的优缺点</w:t>
      </w:r>
      <w:r>
        <w:rPr>
          <w:rFonts w:hint="eastAsia" w:ascii="宋体" w:hAnsi="宋体"/>
        </w:rPr>
        <w:t>。</w:t>
      </w:r>
    </w:p>
    <w:p>
      <w:pPr>
        <w:keepNext/>
        <w:tabs>
          <w:tab w:val="left" w:pos="993"/>
        </w:tabs>
        <w:adjustRightInd w:val="0"/>
        <w:snapToGrid w:val="0"/>
        <w:spacing w:before="203" w:beforeLines="50" w:after="203" w:afterLines="50"/>
        <w:outlineLvl w:val="2"/>
        <w:rPr>
          <w:rFonts w:ascii="宋体" w:hAnsi="宋体"/>
        </w:rPr>
      </w:pPr>
      <w:bookmarkStart w:id="7490" w:name="_Toc479408514"/>
      <w:bookmarkStart w:id="7491" w:name="_Toc106883834"/>
      <w:r>
        <w:rPr>
          <w:rFonts w:hint="eastAsia" w:ascii="宋体" w:hAnsi="宋体"/>
        </w:rPr>
        <w:t>11.1.1</w:t>
      </w:r>
      <w:bookmarkEnd w:id="7490"/>
      <w:r>
        <w:rPr>
          <w:rFonts w:hint="eastAsia" w:ascii="宋体" w:hAnsi="宋体"/>
        </w:rPr>
        <w:t>蝶阀</w:t>
      </w:r>
      <w:bookmarkEnd w:id="7491"/>
    </w:p>
    <w:p>
      <w:pPr>
        <w:adjustRightInd w:val="0"/>
        <w:snapToGrid w:val="0"/>
        <w:spacing w:before="203" w:beforeLines="50"/>
        <w:rPr>
          <w:rFonts w:ascii="宋体" w:hAnsi="宋体"/>
        </w:rPr>
      </w:pPr>
      <w:r>
        <w:rPr>
          <w:rFonts w:ascii="宋体" w:hAnsi="宋体"/>
        </w:rPr>
        <w:t>（1）手动蝶阀</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646"/>
        <w:gridCol w:w="2620"/>
        <w:gridCol w:w="1986"/>
        <w:gridCol w:w="1279"/>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jc w:val="center"/>
              <w:rPr>
                <w:rFonts w:ascii="宋体" w:hAnsi="宋体"/>
              </w:rPr>
            </w:pPr>
            <w:r>
              <w:rPr>
                <w:rFonts w:ascii="宋体" w:hAnsi="宋体"/>
              </w:rPr>
              <w:t>项目</w:t>
            </w:r>
          </w:p>
        </w:tc>
        <w:tc>
          <w:tcPr>
            <w:tcW w:w="1530" w:type="pct"/>
            <w:shd w:val="clear" w:color="auto" w:fill="auto"/>
            <w:vAlign w:val="center"/>
          </w:tcPr>
          <w:p>
            <w:pPr>
              <w:adjustRightInd w:val="0"/>
              <w:snapToGrid w:val="0"/>
              <w:jc w:val="center"/>
              <w:rPr>
                <w:rFonts w:ascii="宋体" w:hAnsi="宋体"/>
              </w:rPr>
            </w:pPr>
            <w:r>
              <w:rPr>
                <w:rFonts w:ascii="宋体" w:hAnsi="宋体"/>
              </w:rPr>
              <w:t>技术参数要求</w:t>
            </w:r>
          </w:p>
        </w:tc>
        <w:tc>
          <w:tcPr>
            <w:tcW w:w="1160" w:type="pct"/>
            <w:shd w:val="clear" w:color="auto" w:fill="auto"/>
            <w:vAlign w:val="center"/>
          </w:tcPr>
          <w:p>
            <w:pPr>
              <w:adjustRightInd w:val="0"/>
              <w:snapToGrid w:val="0"/>
              <w:jc w:val="center"/>
              <w:rPr>
                <w:rFonts w:ascii="宋体" w:hAnsi="宋体"/>
              </w:rPr>
            </w:pPr>
            <w:r>
              <w:rPr>
                <w:rFonts w:ascii="宋体" w:hAnsi="宋体"/>
              </w:rPr>
              <w:t>承包商响应参数</w:t>
            </w:r>
          </w:p>
        </w:tc>
        <w:tc>
          <w:tcPr>
            <w:tcW w:w="747"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9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制造商</w:t>
            </w:r>
          </w:p>
        </w:tc>
        <w:tc>
          <w:tcPr>
            <w:tcW w:w="1530" w:type="pct"/>
            <w:shd w:val="clear" w:color="auto" w:fill="auto"/>
            <w:vAlign w:val="center"/>
          </w:tcPr>
          <w:p>
            <w:pPr>
              <w:adjustRightInd w:val="0"/>
              <w:snapToGrid w:val="0"/>
              <w:rPr>
                <w:rFonts w:ascii="宋体" w:hAnsi="宋体"/>
              </w:rPr>
            </w:pPr>
            <w:r>
              <w:rPr>
                <w:rFonts w:ascii="宋体" w:hAnsi="宋体"/>
              </w:rPr>
              <w:t>/</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原产地</w:t>
            </w:r>
          </w:p>
        </w:tc>
        <w:tc>
          <w:tcPr>
            <w:tcW w:w="1530" w:type="pct"/>
            <w:shd w:val="clear" w:color="auto" w:fill="auto"/>
            <w:vAlign w:val="center"/>
          </w:tcPr>
          <w:p>
            <w:pPr>
              <w:adjustRightInd w:val="0"/>
              <w:snapToGrid w:val="0"/>
              <w:rPr>
                <w:rFonts w:ascii="宋体" w:hAnsi="宋体"/>
              </w:rPr>
            </w:pPr>
            <w:r>
              <w:rPr>
                <w:rFonts w:ascii="宋体" w:hAnsi="宋体"/>
              </w:rPr>
              <w:t>/</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类型</w:t>
            </w:r>
          </w:p>
        </w:tc>
        <w:tc>
          <w:tcPr>
            <w:tcW w:w="1530" w:type="pct"/>
            <w:shd w:val="clear" w:color="auto" w:fill="auto"/>
            <w:vAlign w:val="center"/>
          </w:tcPr>
          <w:p>
            <w:pPr>
              <w:adjustRightInd w:val="0"/>
              <w:snapToGrid w:val="0"/>
              <w:rPr>
                <w:rFonts w:ascii="宋体" w:hAnsi="宋体"/>
              </w:rPr>
            </w:pPr>
            <w:r>
              <w:rPr>
                <w:rFonts w:ascii="宋体" w:hAnsi="宋体"/>
              </w:rPr>
              <w:t>双法兰软密封蝶阀</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型号</w:t>
            </w:r>
          </w:p>
        </w:tc>
        <w:tc>
          <w:tcPr>
            <w:tcW w:w="1530" w:type="pct"/>
            <w:shd w:val="clear" w:color="auto" w:fill="auto"/>
            <w:vAlign w:val="center"/>
          </w:tcPr>
          <w:p>
            <w:pPr>
              <w:adjustRightInd w:val="0"/>
              <w:snapToGrid w:val="0"/>
              <w:rPr>
                <w:rFonts w:ascii="宋体" w:hAnsi="宋体"/>
              </w:rPr>
            </w:pPr>
            <w:r>
              <w:rPr>
                <w:rFonts w:ascii="宋体" w:hAnsi="宋体"/>
              </w:rPr>
              <w:t>/</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961" w:type="pct"/>
            <w:shd w:val="clear" w:color="auto" w:fill="auto"/>
            <w:vAlign w:val="center"/>
          </w:tcPr>
          <w:p>
            <w:pPr>
              <w:adjustRightInd w:val="0"/>
              <w:snapToGrid w:val="0"/>
              <w:rPr>
                <w:rFonts w:ascii="宋体" w:hAnsi="宋体"/>
              </w:rPr>
            </w:pPr>
            <w:r>
              <w:rPr>
                <w:rFonts w:ascii="宋体" w:hAnsi="宋体"/>
              </w:rPr>
              <w:t>适用介质温度</w:t>
            </w:r>
          </w:p>
        </w:tc>
        <w:tc>
          <w:tcPr>
            <w:tcW w:w="1530" w:type="pct"/>
            <w:shd w:val="clear" w:color="auto" w:fill="auto"/>
            <w:vAlign w:val="center"/>
          </w:tcPr>
          <w:p>
            <w:pPr>
              <w:adjustRightInd w:val="0"/>
              <w:snapToGrid w:val="0"/>
              <w:rPr>
                <w:rFonts w:ascii="宋体" w:hAnsi="宋体"/>
              </w:rPr>
            </w:pPr>
            <w:r>
              <w:rPr>
                <w:rFonts w:ascii="宋体" w:hAnsi="宋体"/>
              </w:rPr>
              <w:t>0～80</w:t>
            </w:r>
            <w:r>
              <w:rPr>
                <w:rFonts w:hint="eastAsia" w:ascii="宋体" w:hAnsi="宋体"/>
              </w:rPr>
              <w:t>℃</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适用介质pH</w:t>
            </w:r>
          </w:p>
        </w:tc>
        <w:tc>
          <w:tcPr>
            <w:tcW w:w="1530" w:type="pct"/>
            <w:shd w:val="clear" w:color="auto" w:fill="auto"/>
            <w:vAlign w:val="center"/>
          </w:tcPr>
          <w:p>
            <w:pPr>
              <w:adjustRightInd w:val="0"/>
              <w:snapToGrid w:val="0"/>
              <w:rPr>
                <w:rFonts w:ascii="宋体" w:hAnsi="宋体"/>
              </w:rPr>
            </w:pPr>
            <w:r>
              <w:rPr>
                <w:rFonts w:ascii="宋体" w:hAnsi="宋体"/>
              </w:rPr>
              <w:t>3～11</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压力等级</w:t>
            </w:r>
          </w:p>
        </w:tc>
        <w:tc>
          <w:tcPr>
            <w:tcW w:w="1530" w:type="pct"/>
            <w:shd w:val="clear" w:color="auto" w:fill="auto"/>
            <w:vAlign w:val="center"/>
          </w:tcPr>
          <w:p>
            <w:pPr>
              <w:adjustRightInd w:val="0"/>
              <w:snapToGrid w:val="0"/>
              <w:rPr>
                <w:rFonts w:ascii="宋体" w:hAnsi="宋体"/>
              </w:rPr>
            </w:pPr>
            <w:r>
              <w:rPr>
                <w:rFonts w:ascii="宋体" w:hAnsi="宋体"/>
              </w:rPr>
              <w:t>按图纸要求，但不低于1.0MPa</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承压</w:t>
            </w:r>
          </w:p>
        </w:tc>
        <w:tc>
          <w:tcPr>
            <w:tcW w:w="1530" w:type="pct"/>
            <w:shd w:val="clear" w:color="auto" w:fill="auto"/>
            <w:vAlign w:val="center"/>
          </w:tcPr>
          <w:p>
            <w:pPr>
              <w:adjustRightInd w:val="0"/>
              <w:snapToGrid w:val="0"/>
              <w:rPr>
                <w:rFonts w:ascii="宋体" w:hAnsi="宋体"/>
              </w:rPr>
            </w:pPr>
            <w:r>
              <w:rPr>
                <w:rFonts w:ascii="宋体" w:hAnsi="宋体"/>
              </w:rPr>
              <w:t>双向承压</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阀体材质</w:t>
            </w:r>
          </w:p>
        </w:tc>
        <w:tc>
          <w:tcPr>
            <w:tcW w:w="1530" w:type="pct"/>
            <w:shd w:val="clear" w:color="auto" w:fill="auto"/>
            <w:vAlign w:val="center"/>
          </w:tcPr>
          <w:p>
            <w:pPr>
              <w:adjustRightInd w:val="0"/>
              <w:snapToGrid w:val="0"/>
              <w:rPr>
                <w:rFonts w:ascii="宋体" w:hAnsi="宋体"/>
              </w:rPr>
            </w:pPr>
            <w:r>
              <w:rPr>
                <w:rFonts w:ascii="宋体" w:hAnsi="宋体"/>
              </w:rPr>
              <w:t>球墨铸铁或</w:t>
            </w:r>
            <w:r>
              <w:rPr>
                <w:rFonts w:hint="eastAsia" w:ascii="宋体" w:hAnsi="宋体"/>
              </w:rPr>
              <w:t>等效材料</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阀体表面处理</w:t>
            </w:r>
          </w:p>
        </w:tc>
        <w:tc>
          <w:tcPr>
            <w:tcW w:w="1530" w:type="pct"/>
            <w:shd w:val="clear" w:color="auto" w:fill="auto"/>
            <w:vAlign w:val="center"/>
          </w:tcPr>
          <w:p>
            <w:pPr>
              <w:adjustRightInd w:val="0"/>
              <w:snapToGrid w:val="0"/>
              <w:rPr>
                <w:rFonts w:ascii="宋体" w:hAnsi="宋体"/>
              </w:rPr>
            </w:pPr>
            <w:r>
              <w:rPr>
                <w:rFonts w:ascii="宋体" w:hAnsi="宋体"/>
              </w:rPr>
              <w:t>环氧树脂静电喷涂，厚度</w:t>
            </w:r>
            <w:r>
              <w:rPr>
                <w:rFonts w:hint="eastAsia" w:ascii="宋体" w:hAnsi="宋体"/>
              </w:rPr>
              <w:t>240</w:t>
            </w:r>
            <w:r>
              <w:rPr>
                <w:rFonts w:ascii="宋体" w:hAnsi="宋体"/>
              </w:rPr>
              <w:t>μm以上</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阀板材质</w:t>
            </w:r>
          </w:p>
        </w:tc>
        <w:tc>
          <w:tcPr>
            <w:tcW w:w="1530" w:type="pct"/>
            <w:shd w:val="clear" w:color="auto" w:fill="auto"/>
            <w:vAlign w:val="center"/>
          </w:tcPr>
          <w:p>
            <w:pPr>
              <w:adjustRightInd w:val="0"/>
              <w:snapToGrid w:val="0"/>
              <w:rPr>
                <w:rFonts w:ascii="宋体" w:hAnsi="宋体"/>
              </w:rPr>
            </w:pPr>
            <w:r>
              <w:rPr>
                <w:rFonts w:ascii="宋体" w:hAnsi="宋体"/>
              </w:rPr>
              <w:t>球墨铸铁</w:t>
            </w:r>
            <w:r>
              <w:rPr>
                <w:rFonts w:hint="eastAsia" w:ascii="宋体" w:hAnsi="宋体"/>
              </w:rPr>
              <w:t>或等效材料</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阀轴材质</w:t>
            </w:r>
          </w:p>
        </w:tc>
        <w:tc>
          <w:tcPr>
            <w:tcW w:w="1530" w:type="pct"/>
            <w:shd w:val="clear" w:color="auto" w:fill="auto"/>
            <w:vAlign w:val="center"/>
          </w:tcPr>
          <w:p>
            <w:pPr>
              <w:adjustRightInd w:val="0"/>
              <w:snapToGrid w:val="0"/>
              <w:rPr>
                <w:rFonts w:ascii="宋体" w:hAnsi="宋体"/>
              </w:rPr>
            </w:pPr>
            <w:r>
              <w:rPr>
                <w:rFonts w:ascii="宋体" w:hAnsi="宋体"/>
              </w:rPr>
              <w:t>不锈钢2Cr13</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密封形式及材质</w:t>
            </w:r>
          </w:p>
        </w:tc>
        <w:tc>
          <w:tcPr>
            <w:tcW w:w="1530" w:type="pct"/>
            <w:shd w:val="clear" w:color="auto" w:fill="auto"/>
            <w:vAlign w:val="center"/>
          </w:tcPr>
          <w:p>
            <w:pPr>
              <w:adjustRightInd w:val="0"/>
              <w:snapToGrid w:val="0"/>
              <w:rPr>
                <w:rFonts w:ascii="宋体" w:hAnsi="宋体"/>
              </w:rPr>
            </w:pPr>
            <w:r>
              <w:rPr>
                <w:rFonts w:ascii="宋体" w:hAnsi="宋体"/>
              </w:rPr>
              <w:t>/密封圈镶嵌在阀瓣上，采用压板固定。</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橡胶密封圈材质</w:t>
            </w:r>
          </w:p>
        </w:tc>
        <w:tc>
          <w:tcPr>
            <w:tcW w:w="1530" w:type="pct"/>
            <w:shd w:val="clear" w:color="auto" w:fill="auto"/>
            <w:vAlign w:val="center"/>
          </w:tcPr>
          <w:p>
            <w:pPr>
              <w:adjustRightInd w:val="0"/>
              <w:snapToGrid w:val="0"/>
              <w:rPr>
                <w:rFonts w:ascii="宋体" w:hAnsi="宋体"/>
              </w:rPr>
            </w:pPr>
            <w:r>
              <w:rPr>
                <w:rFonts w:ascii="宋体" w:hAnsi="宋体"/>
              </w:rPr>
              <w:t xml:space="preserve">/ </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轴承材质</w:t>
            </w:r>
          </w:p>
        </w:tc>
        <w:tc>
          <w:tcPr>
            <w:tcW w:w="1530" w:type="pct"/>
            <w:shd w:val="clear" w:color="auto" w:fill="auto"/>
            <w:vAlign w:val="center"/>
          </w:tcPr>
          <w:p>
            <w:pPr>
              <w:adjustRightInd w:val="0"/>
              <w:snapToGrid w:val="0"/>
              <w:rPr>
                <w:rFonts w:ascii="宋体" w:hAnsi="宋体"/>
              </w:rPr>
            </w:pPr>
            <w:r>
              <w:rPr>
                <w:rFonts w:ascii="宋体" w:hAnsi="宋体"/>
              </w:rPr>
              <w:t>/</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轴封形式</w:t>
            </w:r>
          </w:p>
        </w:tc>
        <w:tc>
          <w:tcPr>
            <w:tcW w:w="1530" w:type="pct"/>
            <w:shd w:val="clear" w:color="auto" w:fill="auto"/>
            <w:vAlign w:val="center"/>
          </w:tcPr>
          <w:p>
            <w:pPr>
              <w:adjustRightInd w:val="0"/>
              <w:snapToGrid w:val="0"/>
              <w:rPr>
                <w:rFonts w:ascii="宋体" w:hAnsi="宋体"/>
              </w:rPr>
            </w:pPr>
            <w:r>
              <w:rPr>
                <w:rFonts w:ascii="宋体" w:hAnsi="宋体"/>
              </w:rPr>
              <w:t>/</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操作机构</w:t>
            </w:r>
          </w:p>
        </w:tc>
        <w:tc>
          <w:tcPr>
            <w:tcW w:w="1530" w:type="pct"/>
            <w:shd w:val="clear" w:color="auto" w:fill="auto"/>
            <w:vAlign w:val="center"/>
          </w:tcPr>
          <w:p>
            <w:pPr>
              <w:adjustRightInd w:val="0"/>
              <w:snapToGrid w:val="0"/>
              <w:rPr>
                <w:rFonts w:ascii="宋体" w:hAnsi="宋体"/>
              </w:rPr>
            </w:pPr>
            <w:r>
              <w:rPr>
                <w:rFonts w:ascii="宋体" w:hAnsi="宋体"/>
              </w:rPr>
              <w:t>配套</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全开时最大流阻系数</w:t>
            </w:r>
          </w:p>
        </w:tc>
        <w:tc>
          <w:tcPr>
            <w:tcW w:w="1530" w:type="pct"/>
            <w:shd w:val="clear" w:color="auto" w:fill="auto"/>
            <w:vAlign w:val="center"/>
          </w:tcPr>
          <w:p>
            <w:pPr>
              <w:adjustRightInd w:val="0"/>
              <w:snapToGrid w:val="0"/>
              <w:rPr>
                <w:rFonts w:ascii="宋体" w:hAnsi="宋体"/>
              </w:rPr>
            </w:pPr>
            <w:r>
              <w:rPr>
                <w:rFonts w:ascii="宋体" w:hAnsi="宋体"/>
              </w:rPr>
              <w:t>≤0.3</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1" w:type="pct"/>
            <w:shd w:val="clear" w:color="auto" w:fill="auto"/>
            <w:vAlign w:val="center"/>
          </w:tcPr>
          <w:p>
            <w:pPr>
              <w:adjustRightInd w:val="0"/>
              <w:snapToGrid w:val="0"/>
              <w:rPr>
                <w:rFonts w:ascii="宋体" w:hAnsi="宋体"/>
              </w:rPr>
            </w:pPr>
            <w:r>
              <w:rPr>
                <w:rFonts w:ascii="宋体" w:hAnsi="宋体"/>
              </w:rPr>
              <w:t>阀门备件</w:t>
            </w:r>
          </w:p>
        </w:tc>
        <w:tc>
          <w:tcPr>
            <w:tcW w:w="1530" w:type="pct"/>
            <w:shd w:val="clear" w:color="auto" w:fill="auto"/>
            <w:vAlign w:val="center"/>
          </w:tcPr>
          <w:p>
            <w:pPr>
              <w:adjustRightInd w:val="0"/>
              <w:snapToGrid w:val="0"/>
              <w:rPr>
                <w:rFonts w:ascii="宋体" w:hAnsi="宋体"/>
              </w:rPr>
            </w:pPr>
            <w:r>
              <w:rPr>
                <w:rFonts w:ascii="宋体" w:hAnsi="宋体"/>
              </w:rPr>
              <w:t>满足5年使用需要</w:t>
            </w:r>
          </w:p>
        </w:tc>
        <w:tc>
          <w:tcPr>
            <w:tcW w:w="1160"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spacing w:before="203" w:beforeLines="50"/>
        <w:rPr>
          <w:rFonts w:ascii="宋体" w:hAnsi="宋体"/>
        </w:rPr>
      </w:pPr>
      <w:r>
        <w:rPr>
          <w:rFonts w:ascii="宋体" w:hAnsi="宋体"/>
        </w:rPr>
        <w:t>（</w:t>
      </w:r>
      <w:r>
        <w:rPr>
          <w:rFonts w:hint="eastAsia" w:ascii="宋体" w:hAnsi="宋体"/>
        </w:rPr>
        <w:t>2</w:t>
      </w:r>
      <w:r>
        <w:rPr>
          <w:rFonts w:ascii="宋体" w:hAnsi="宋体"/>
        </w:rPr>
        <w:t>）</w:t>
      </w:r>
      <w:r>
        <w:rPr>
          <w:rFonts w:hint="eastAsia" w:ascii="宋体" w:hAnsi="宋体"/>
        </w:rPr>
        <w:t>气</w:t>
      </w:r>
      <w:r>
        <w:rPr>
          <w:rFonts w:ascii="宋体" w:hAnsi="宋体"/>
        </w:rPr>
        <w:t>动蝶阀</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646"/>
        <w:gridCol w:w="2620"/>
        <w:gridCol w:w="1987"/>
        <w:gridCol w:w="1278"/>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jc w:val="center"/>
              <w:rPr>
                <w:rFonts w:ascii="宋体" w:hAnsi="宋体"/>
              </w:rPr>
            </w:pPr>
            <w:r>
              <w:rPr>
                <w:rFonts w:ascii="宋体" w:hAnsi="宋体"/>
              </w:rPr>
              <w:t>项目</w:t>
            </w:r>
          </w:p>
        </w:tc>
        <w:tc>
          <w:tcPr>
            <w:tcW w:w="1531" w:type="pct"/>
            <w:shd w:val="clear" w:color="auto" w:fill="auto"/>
            <w:vAlign w:val="center"/>
          </w:tcPr>
          <w:p>
            <w:pPr>
              <w:adjustRightInd w:val="0"/>
              <w:snapToGrid w:val="0"/>
              <w:jc w:val="center"/>
              <w:rPr>
                <w:rFonts w:ascii="宋体" w:hAnsi="宋体"/>
              </w:rPr>
            </w:pPr>
            <w:r>
              <w:rPr>
                <w:rFonts w:ascii="宋体" w:hAnsi="宋体"/>
              </w:rPr>
              <w:t>技术参数要求</w:t>
            </w:r>
          </w:p>
        </w:tc>
        <w:tc>
          <w:tcPr>
            <w:tcW w:w="1161" w:type="pct"/>
            <w:shd w:val="clear" w:color="auto" w:fill="auto"/>
            <w:vAlign w:val="center"/>
          </w:tcPr>
          <w:p>
            <w:pPr>
              <w:adjustRightInd w:val="0"/>
              <w:snapToGrid w:val="0"/>
              <w:jc w:val="center"/>
              <w:rPr>
                <w:rFonts w:ascii="宋体" w:hAnsi="宋体"/>
              </w:rPr>
            </w:pPr>
            <w:r>
              <w:rPr>
                <w:rFonts w:ascii="宋体" w:hAnsi="宋体"/>
              </w:rPr>
              <w:t>承包商响应参数</w:t>
            </w:r>
          </w:p>
        </w:tc>
        <w:tc>
          <w:tcPr>
            <w:tcW w:w="747"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9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制造商</w:t>
            </w:r>
          </w:p>
        </w:tc>
        <w:tc>
          <w:tcPr>
            <w:tcW w:w="1531" w:type="pct"/>
            <w:shd w:val="clear" w:color="auto" w:fill="auto"/>
            <w:vAlign w:val="center"/>
          </w:tcPr>
          <w:p>
            <w:pPr>
              <w:adjustRightInd w:val="0"/>
              <w:snapToGrid w:val="0"/>
              <w:rPr>
                <w:rFonts w:ascii="宋体" w:hAnsi="宋体"/>
              </w:rPr>
            </w:pPr>
            <w:r>
              <w:rPr>
                <w:rFonts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原产地</w:t>
            </w:r>
          </w:p>
        </w:tc>
        <w:tc>
          <w:tcPr>
            <w:tcW w:w="1531" w:type="pct"/>
            <w:shd w:val="clear" w:color="auto" w:fill="auto"/>
            <w:vAlign w:val="center"/>
          </w:tcPr>
          <w:p>
            <w:pPr>
              <w:adjustRightInd w:val="0"/>
              <w:snapToGrid w:val="0"/>
              <w:rPr>
                <w:rFonts w:ascii="宋体" w:hAnsi="宋体"/>
              </w:rPr>
            </w:pPr>
            <w:r>
              <w:rPr>
                <w:rFonts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类型</w:t>
            </w:r>
          </w:p>
        </w:tc>
        <w:tc>
          <w:tcPr>
            <w:tcW w:w="1531" w:type="pct"/>
            <w:shd w:val="clear" w:color="auto" w:fill="auto"/>
            <w:vAlign w:val="center"/>
          </w:tcPr>
          <w:p>
            <w:pPr>
              <w:adjustRightInd w:val="0"/>
              <w:snapToGrid w:val="0"/>
              <w:rPr>
                <w:rFonts w:ascii="宋体" w:hAnsi="宋体"/>
              </w:rPr>
            </w:pPr>
            <w:r>
              <w:rPr>
                <w:rFonts w:ascii="宋体" w:hAnsi="宋体"/>
              </w:rPr>
              <w:t>双法兰蝶阀</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型号</w:t>
            </w:r>
          </w:p>
        </w:tc>
        <w:tc>
          <w:tcPr>
            <w:tcW w:w="1531" w:type="pct"/>
            <w:shd w:val="clear" w:color="auto" w:fill="auto"/>
            <w:vAlign w:val="center"/>
          </w:tcPr>
          <w:p>
            <w:pPr>
              <w:adjustRightInd w:val="0"/>
              <w:snapToGrid w:val="0"/>
              <w:rPr>
                <w:rFonts w:ascii="宋体" w:hAnsi="宋体"/>
              </w:rPr>
            </w:pPr>
            <w:r>
              <w:rPr>
                <w:rFonts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962" w:type="pct"/>
            <w:shd w:val="clear" w:color="auto" w:fill="auto"/>
            <w:vAlign w:val="center"/>
          </w:tcPr>
          <w:p>
            <w:pPr>
              <w:adjustRightInd w:val="0"/>
              <w:snapToGrid w:val="0"/>
              <w:rPr>
                <w:rFonts w:ascii="宋体" w:hAnsi="宋体"/>
              </w:rPr>
            </w:pPr>
            <w:r>
              <w:rPr>
                <w:rFonts w:ascii="宋体" w:hAnsi="宋体"/>
              </w:rPr>
              <w:t>适用介质温度</w:t>
            </w:r>
          </w:p>
        </w:tc>
        <w:tc>
          <w:tcPr>
            <w:tcW w:w="1531" w:type="pct"/>
            <w:shd w:val="clear" w:color="auto" w:fill="auto"/>
            <w:vAlign w:val="center"/>
          </w:tcPr>
          <w:p>
            <w:pPr>
              <w:adjustRightInd w:val="0"/>
              <w:snapToGrid w:val="0"/>
              <w:rPr>
                <w:rFonts w:ascii="宋体" w:hAnsi="宋体"/>
              </w:rPr>
            </w:pPr>
            <w:r>
              <w:rPr>
                <w:rFonts w:ascii="宋体" w:hAnsi="宋体"/>
              </w:rPr>
              <w:t>0～80</w:t>
            </w:r>
            <w:r>
              <w:rPr>
                <w:rFonts w:hint="eastAsia"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适用介质</w:t>
            </w:r>
          </w:p>
        </w:tc>
        <w:tc>
          <w:tcPr>
            <w:tcW w:w="1531" w:type="pct"/>
            <w:shd w:val="clear" w:color="auto" w:fill="auto"/>
            <w:vAlign w:val="center"/>
          </w:tcPr>
          <w:p>
            <w:pPr>
              <w:adjustRightInd w:val="0"/>
              <w:snapToGrid w:val="0"/>
              <w:rPr>
                <w:rFonts w:ascii="宋体" w:hAnsi="宋体"/>
              </w:rPr>
            </w:pPr>
            <w:r>
              <w:rPr>
                <w:rFonts w:hint="eastAsia" w:ascii="宋体" w:hAnsi="宋体" w:cs="楷体"/>
                <w:bCs/>
                <w:lang w:bidi="zh-CN"/>
              </w:rPr>
              <w:t>水及弱腐蚀性流体</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压力等级</w:t>
            </w:r>
          </w:p>
        </w:tc>
        <w:tc>
          <w:tcPr>
            <w:tcW w:w="1531" w:type="pct"/>
            <w:shd w:val="clear" w:color="auto" w:fill="auto"/>
            <w:vAlign w:val="center"/>
          </w:tcPr>
          <w:p>
            <w:pPr>
              <w:adjustRightInd w:val="0"/>
              <w:snapToGrid w:val="0"/>
              <w:rPr>
                <w:rFonts w:ascii="宋体" w:hAnsi="宋体"/>
              </w:rPr>
            </w:pPr>
            <w:r>
              <w:rPr>
                <w:rFonts w:ascii="宋体" w:hAnsi="宋体"/>
              </w:rPr>
              <w:t>按图纸要求，但不低于1.0MPa</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hint="eastAsia" w:ascii="宋体" w:hAnsi="宋体" w:cs="楷体"/>
                <w:bCs/>
                <w:lang w:bidi="zh-CN"/>
              </w:rPr>
              <w:t>操作方式</w:t>
            </w:r>
          </w:p>
        </w:tc>
        <w:tc>
          <w:tcPr>
            <w:tcW w:w="1531" w:type="pct"/>
            <w:shd w:val="clear" w:color="auto" w:fill="auto"/>
            <w:vAlign w:val="center"/>
          </w:tcPr>
          <w:p>
            <w:pPr>
              <w:adjustRightInd w:val="0"/>
              <w:snapToGrid w:val="0"/>
              <w:rPr>
                <w:rFonts w:ascii="宋体" w:hAnsi="宋体"/>
              </w:rPr>
            </w:pPr>
            <w:r>
              <w:rPr>
                <w:rFonts w:hint="eastAsia" w:ascii="宋体" w:hAnsi="宋体" w:cs="楷体"/>
                <w:bCs/>
                <w:lang w:bidi="zh-CN"/>
              </w:rPr>
              <w:t>远程自动操作和现场手动操作</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阀体材质</w:t>
            </w:r>
          </w:p>
        </w:tc>
        <w:tc>
          <w:tcPr>
            <w:tcW w:w="1531" w:type="pct"/>
            <w:shd w:val="clear" w:color="auto" w:fill="auto"/>
            <w:vAlign w:val="center"/>
          </w:tcPr>
          <w:p>
            <w:pPr>
              <w:adjustRightInd w:val="0"/>
              <w:snapToGrid w:val="0"/>
              <w:rPr>
                <w:rFonts w:ascii="宋体" w:hAnsi="宋体"/>
              </w:rPr>
            </w:pPr>
            <w:r>
              <w:rPr>
                <w:rFonts w:ascii="宋体" w:hAnsi="宋体"/>
              </w:rPr>
              <w:t>球墨铸铁或</w:t>
            </w:r>
            <w:r>
              <w:rPr>
                <w:rFonts w:hint="eastAsia" w:ascii="宋体" w:hAnsi="宋体"/>
              </w:rPr>
              <w:t>等效材料</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阀板材质</w:t>
            </w:r>
          </w:p>
        </w:tc>
        <w:tc>
          <w:tcPr>
            <w:tcW w:w="1531" w:type="pct"/>
            <w:shd w:val="clear" w:color="auto" w:fill="auto"/>
            <w:vAlign w:val="center"/>
          </w:tcPr>
          <w:p>
            <w:pPr>
              <w:adjustRightInd w:val="0"/>
              <w:snapToGrid w:val="0"/>
              <w:rPr>
                <w:rFonts w:ascii="宋体" w:hAnsi="宋体"/>
              </w:rPr>
            </w:pPr>
            <w:r>
              <w:rPr>
                <w:rFonts w:ascii="宋体" w:hAnsi="宋体"/>
              </w:rPr>
              <w:t>球墨铸铁</w:t>
            </w:r>
            <w:r>
              <w:rPr>
                <w:rFonts w:hint="eastAsia" w:ascii="宋体" w:hAnsi="宋体"/>
              </w:rPr>
              <w:t>或等效材料</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阀轴材质</w:t>
            </w:r>
          </w:p>
        </w:tc>
        <w:tc>
          <w:tcPr>
            <w:tcW w:w="1531" w:type="pct"/>
            <w:shd w:val="clear" w:color="auto" w:fill="auto"/>
            <w:vAlign w:val="center"/>
          </w:tcPr>
          <w:p>
            <w:pPr>
              <w:adjustRightInd w:val="0"/>
              <w:snapToGrid w:val="0"/>
              <w:rPr>
                <w:rFonts w:ascii="宋体" w:hAnsi="宋体"/>
              </w:rPr>
            </w:pPr>
            <w:r>
              <w:rPr>
                <w:rFonts w:ascii="宋体" w:hAnsi="宋体"/>
              </w:rPr>
              <w:t>Cr13不锈钢</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密封形式及材质</w:t>
            </w:r>
          </w:p>
        </w:tc>
        <w:tc>
          <w:tcPr>
            <w:tcW w:w="1531" w:type="pct"/>
            <w:shd w:val="clear" w:color="auto" w:fill="auto"/>
            <w:vAlign w:val="center"/>
          </w:tcPr>
          <w:p>
            <w:pPr>
              <w:adjustRightInd w:val="0"/>
              <w:snapToGrid w:val="0"/>
              <w:rPr>
                <w:rFonts w:ascii="宋体" w:hAnsi="宋体"/>
              </w:rPr>
            </w:pPr>
            <w:r>
              <w:rPr>
                <w:rFonts w:ascii="宋体" w:hAnsi="宋体"/>
              </w:rPr>
              <w:t>/</w:t>
            </w:r>
            <w:r>
              <w:rPr>
                <w:rFonts w:hint="eastAsia" w:ascii="宋体" w:hAnsi="宋体" w:cs="楷体"/>
                <w:bCs/>
                <w:lang w:bidi="zh-CN"/>
              </w:rPr>
              <w:t>全合成橡胶衬里密封</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橡胶密封圈材质</w:t>
            </w:r>
          </w:p>
        </w:tc>
        <w:tc>
          <w:tcPr>
            <w:tcW w:w="1531" w:type="pct"/>
            <w:shd w:val="clear" w:color="auto" w:fill="auto"/>
            <w:vAlign w:val="center"/>
          </w:tcPr>
          <w:p>
            <w:pPr>
              <w:adjustRightInd w:val="0"/>
              <w:snapToGrid w:val="0"/>
              <w:rPr>
                <w:rFonts w:ascii="宋体" w:hAnsi="宋体"/>
              </w:rPr>
            </w:pPr>
            <w:r>
              <w:rPr>
                <w:rFonts w:ascii="宋体" w:hAnsi="宋体"/>
              </w:rPr>
              <w:t xml:space="preserve">/ </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轴承材质</w:t>
            </w:r>
          </w:p>
        </w:tc>
        <w:tc>
          <w:tcPr>
            <w:tcW w:w="1531" w:type="pct"/>
            <w:shd w:val="clear" w:color="auto" w:fill="auto"/>
            <w:vAlign w:val="center"/>
          </w:tcPr>
          <w:p>
            <w:pPr>
              <w:adjustRightInd w:val="0"/>
              <w:snapToGrid w:val="0"/>
              <w:rPr>
                <w:rFonts w:ascii="宋体" w:hAnsi="宋体"/>
              </w:rPr>
            </w:pPr>
            <w:r>
              <w:rPr>
                <w:rFonts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hint="eastAsia" w:ascii="宋体" w:hAnsi="宋体" w:cs="楷体"/>
                <w:bCs/>
                <w:lang w:bidi="zh-CN"/>
              </w:rPr>
              <w:t>气缸体</w:t>
            </w:r>
          </w:p>
        </w:tc>
        <w:tc>
          <w:tcPr>
            <w:tcW w:w="1531" w:type="pct"/>
            <w:shd w:val="clear" w:color="auto" w:fill="auto"/>
            <w:vAlign w:val="center"/>
          </w:tcPr>
          <w:p>
            <w:pPr>
              <w:adjustRightInd w:val="0"/>
              <w:snapToGrid w:val="0"/>
              <w:rPr>
                <w:rFonts w:ascii="宋体" w:hAnsi="宋体"/>
              </w:rPr>
            </w:pPr>
            <w:r>
              <w:rPr>
                <w:rFonts w:hint="eastAsia" w:ascii="宋体" w:hAnsi="宋体" w:cs="楷体"/>
                <w:bCs/>
                <w:lang w:bidi="zh-CN"/>
              </w:rPr>
              <w:t>经阳极氧化处理的铝合金</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hint="eastAsia" w:ascii="宋体" w:hAnsi="宋体" w:cs="楷体"/>
                <w:bCs/>
                <w:lang w:bidi="zh-CN"/>
              </w:rPr>
              <w:t>活塞杆</w:t>
            </w:r>
          </w:p>
        </w:tc>
        <w:tc>
          <w:tcPr>
            <w:tcW w:w="1531" w:type="pct"/>
            <w:shd w:val="clear" w:color="auto" w:fill="auto"/>
            <w:vAlign w:val="center"/>
          </w:tcPr>
          <w:p>
            <w:pPr>
              <w:adjustRightInd w:val="0"/>
              <w:snapToGrid w:val="0"/>
              <w:rPr>
                <w:rFonts w:ascii="宋体" w:hAnsi="宋体"/>
              </w:rPr>
            </w:pPr>
            <w:r>
              <w:rPr>
                <w:rFonts w:hint="eastAsia" w:ascii="宋体" w:hAnsi="宋体" w:cs="楷体"/>
                <w:bCs/>
                <w:lang w:bidi="zh-CN"/>
              </w:rPr>
              <w:t>滚压抛光的不锈钢</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hint="eastAsia" w:ascii="宋体" w:hAnsi="宋体" w:cs="楷体"/>
                <w:bCs/>
                <w:lang w:bidi="zh-CN"/>
              </w:rPr>
              <w:t>电磁阀</w:t>
            </w:r>
          </w:p>
        </w:tc>
        <w:tc>
          <w:tcPr>
            <w:tcW w:w="1531" w:type="pct"/>
            <w:shd w:val="clear" w:color="auto" w:fill="auto"/>
            <w:vAlign w:val="center"/>
          </w:tcPr>
          <w:p>
            <w:pPr>
              <w:adjustRightInd w:val="0"/>
              <w:snapToGrid w:val="0"/>
              <w:rPr>
                <w:rFonts w:ascii="宋体" w:hAnsi="宋体"/>
              </w:rPr>
            </w:pPr>
            <w:r>
              <w:rPr>
                <w:rFonts w:hint="eastAsia" w:ascii="宋体" w:hAnsi="宋体" w:cs="楷体"/>
                <w:bCs/>
                <w:lang w:bidi="zh-CN"/>
              </w:rPr>
              <w:t>3位4通电磁阀，AC220V</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hint="eastAsia" w:ascii="宋体" w:hAnsi="宋体" w:cs="楷体"/>
                <w:bCs/>
                <w:lang w:bidi="zh-CN"/>
              </w:rPr>
              <w:t>限位开关</w:t>
            </w:r>
          </w:p>
        </w:tc>
        <w:tc>
          <w:tcPr>
            <w:tcW w:w="1531" w:type="pct"/>
            <w:shd w:val="clear" w:color="auto" w:fill="auto"/>
            <w:vAlign w:val="center"/>
          </w:tcPr>
          <w:p>
            <w:pPr>
              <w:adjustRightInd w:val="0"/>
              <w:snapToGrid w:val="0"/>
              <w:rPr>
                <w:rFonts w:ascii="宋体" w:hAnsi="宋体"/>
              </w:rPr>
            </w:pPr>
            <w:r>
              <w:rPr>
                <w:rFonts w:hint="eastAsia" w:ascii="宋体" w:hAnsi="宋体" w:cs="楷体"/>
                <w:bCs/>
                <w:lang w:bidi="zh-CN"/>
              </w:rPr>
              <w:t>机械式限位开关</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阀门备件</w:t>
            </w:r>
          </w:p>
        </w:tc>
        <w:tc>
          <w:tcPr>
            <w:tcW w:w="1531" w:type="pct"/>
            <w:shd w:val="clear" w:color="auto" w:fill="auto"/>
            <w:vAlign w:val="center"/>
          </w:tcPr>
          <w:p>
            <w:pPr>
              <w:adjustRightInd w:val="0"/>
              <w:snapToGrid w:val="0"/>
              <w:rPr>
                <w:rFonts w:ascii="宋体" w:hAnsi="宋体"/>
              </w:rPr>
            </w:pPr>
            <w:r>
              <w:rPr>
                <w:rFonts w:ascii="宋体" w:hAnsi="宋体"/>
              </w:rPr>
              <w:t>满足5年使用需要</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spacing w:before="203" w:beforeLines="50"/>
        <w:rPr>
          <w:rFonts w:ascii="宋体" w:hAnsi="宋体"/>
        </w:rPr>
      </w:pPr>
      <w:r>
        <w:rPr>
          <w:rFonts w:ascii="宋体" w:hAnsi="宋体"/>
        </w:rPr>
        <w:t>（</w:t>
      </w:r>
      <w:r>
        <w:rPr>
          <w:rFonts w:hint="eastAsia" w:ascii="宋体" w:hAnsi="宋体"/>
        </w:rPr>
        <w:t>3</w:t>
      </w:r>
      <w:r>
        <w:rPr>
          <w:rFonts w:ascii="宋体" w:hAnsi="宋体"/>
        </w:rPr>
        <w:t>）</w:t>
      </w:r>
      <w:r>
        <w:rPr>
          <w:rFonts w:hint="eastAsia" w:ascii="宋体" w:hAnsi="宋体"/>
        </w:rPr>
        <w:t>电</w:t>
      </w:r>
      <w:r>
        <w:rPr>
          <w:rFonts w:ascii="宋体" w:hAnsi="宋体"/>
        </w:rPr>
        <w:t>动蝶阀</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646"/>
        <w:gridCol w:w="2620"/>
        <w:gridCol w:w="1987"/>
        <w:gridCol w:w="1278"/>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jc w:val="center"/>
              <w:rPr>
                <w:rFonts w:ascii="宋体" w:hAnsi="宋体"/>
              </w:rPr>
            </w:pPr>
            <w:r>
              <w:rPr>
                <w:rFonts w:ascii="宋体" w:hAnsi="宋体"/>
              </w:rPr>
              <w:t>项目</w:t>
            </w:r>
          </w:p>
        </w:tc>
        <w:tc>
          <w:tcPr>
            <w:tcW w:w="1531" w:type="pct"/>
            <w:shd w:val="clear" w:color="auto" w:fill="auto"/>
            <w:vAlign w:val="center"/>
          </w:tcPr>
          <w:p>
            <w:pPr>
              <w:adjustRightInd w:val="0"/>
              <w:snapToGrid w:val="0"/>
              <w:jc w:val="center"/>
              <w:rPr>
                <w:rFonts w:ascii="宋体" w:hAnsi="宋体"/>
              </w:rPr>
            </w:pPr>
            <w:r>
              <w:rPr>
                <w:rFonts w:ascii="宋体" w:hAnsi="宋体"/>
              </w:rPr>
              <w:t>技术参数要求</w:t>
            </w:r>
          </w:p>
        </w:tc>
        <w:tc>
          <w:tcPr>
            <w:tcW w:w="1161" w:type="pct"/>
            <w:shd w:val="clear" w:color="auto" w:fill="auto"/>
            <w:vAlign w:val="center"/>
          </w:tcPr>
          <w:p>
            <w:pPr>
              <w:adjustRightInd w:val="0"/>
              <w:snapToGrid w:val="0"/>
              <w:jc w:val="center"/>
              <w:rPr>
                <w:rFonts w:ascii="宋体" w:hAnsi="宋体"/>
              </w:rPr>
            </w:pPr>
            <w:r>
              <w:rPr>
                <w:rFonts w:ascii="宋体" w:hAnsi="宋体"/>
              </w:rPr>
              <w:t>承包商响应参数</w:t>
            </w:r>
          </w:p>
        </w:tc>
        <w:tc>
          <w:tcPr>
            <w:tcW w:w="747"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9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制造商</w:t>
            </w:r>
          </w:p>
        </w:tc>
        <w:tc>
          <w:tcPr>
            <w:tcW w:w="1531" w:type="pct"/>
            <w:shd w:val="clear" w:color="auto" w:fill="auto"/>
            <w:vAlign w:val="center"/>
          </w:tcPr>
          <w:p>
            <w:pPr>
              <w:adjustRightInd w:val="0"/>
              <w:snapToGrid w:val="0"/>
              <w:rPr>
                <w:rFonts w:ascii="宋体" w:hAnsi="宋体"/>
              </w:rPr>
            </w:pPr>
            <w:r>
              <w:rPr>
                <w:rFonts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原产地</w:t>
            </w:r>
          </w:p>
        </w:tc>
        <w:tc>
          <w:tcPr>
            <w:tcW w:w="1531" w:type="pct"/>
            <w:shd w:val="clear" w:color="auto" w:fill="auto"/>
            <w:vAlign w:val="center"/>
          </w:tcPr>
          <w:p>
            <w:pPr>
              <w:adjustRightInd w:val="0"/>
              <w:snapToGrid w:val="0"/>
              <w:rPr>
                <w:rFonts w:ascii="宋体" w:hAnsi="宋体"/>
              </w:rPr>
            </w:pPr>
            <w:r>
              <w:rPr>
                <w:rFonts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类型</w:t>
            </w:r>
          </w:p>
        </w:tc>
        <w:tc>
          <w:tcPr>
            <w:tcW w:w="1531" w:type="pct"/>
            <w:shd w:val="clear" w:color="auto" w:fill="auto"/>
            <w:vAlign w:val="center"/>
          </w:tcPr>
          <w:p>
            <w:pPr>
              <w:adjustRightInd w:val="0"/>
              <w:snapToGrid w:val="0"/>
              <w:rPr>
                <w:rFonts w:ascii="宋体" w:hAnsi="宋体"/>
              </w:rPr>
            </w:pPr>
            <w:r>
              <w:rPr>
                <w:rFonts w:hint="eastAsia" w:ascii="宋体" w:hAnsi="宋体"/>
              </w:rPr>
              <w:t>双偏心</w:t>
            </w:r>
            <w:r>
              <w:rPr>
                <w:rFonts w:ascii="宋体" w:hAnsi="宋体"/>
              </w:rPr>
              <w:t>蝶阀</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型号</w:t>
            </w:r>
          </w:p>
        </w:tc>
        <w:tc>
          <w:tcPr>
            <w:tcW w:w="1531" w:type="pct"/>
            <w:shd w:val="clear" w:color="auto" w:fill="auto"/>
            <w:vAlign w:val="center"/>
          </w:tcPr>
          <w:p>
            <w:pPr>
              <w:adjustRightInd w:val="0"/>
              <w:snapToGrid w:val="0"/>
              <w:rPr>
                <w:rFonts w:ascii="宋体" w:hAnsi="宋体"/>
              </w:rPr>
            </w:pPr>
            <w:r>
              <w:rPr>
                <w:rFonts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962" w:type="pct"/>
            <w:shd w:val="clear" w:color="auto" w:fill="auto"/>
            <w:vAlign w:val="center"/>
          </w:tcPr>
          <w:p>
            <w:pPr>
              <w:adjustRightInd w:val="0"/>
              <w:snapToGrid w:val="0"/>
              <w:rPr>
                <w:rFonts w:ascii="宋体" w:hAnsi="宋体"/>
              </w:rPr>
            </w:pPr>
            <w:r>
              <w:rPr>
                <w:rFonts w:ascii="宋体" w:hAnsi="宋体"/>
              </w:rPr>
              <w:t>适用介质温度</w:t>
            </w:r>
          </w:p>
        </w:tc>
        <w:tc>
          <w:tcPr>
            <w:tcW w:w="1531" w:type="pct"/>
            <w:shd w:val="clear" w:color="auto" w:fill="auto"/>
            <w:vAlign w:val="center"/>
          </w:tcPr>
          <w:p>
            <w:pPr>
              <w:adjustRightInd w:val="0"/>
              <w:snapToGrid w:val="0"/>
              <w:rPr>
                <w:rFonts w:ascii="宋体" w:hAnsi="宋体"/>
              </w:rPr>
            </w:pPr>
            <w:r>
              <w:rPr>
                <w:rFonts w:ascii="宋体" w:hAnsi="宋体"/>
              </w:rPr>
              <w:t>0～80</w:t>
            </w:r>
            <w:r>
              <w:rPr>
                <w:rFonts w:hint="eastAsia"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适用介质</w:t>
            </w:r>
          </w:p>
        </w:tc>
        <w:tc>
          <w:tcPr>
            <w:tcW w:w="1531" w:type="pct"/>
            <w:shd w:val="clear" w:color="auto" w:fill="auto"/>
            <w:vAlign w:val="center"/>
          </w:tcPr>
          <w:p>
            <w:pPr>
              <w:adjustRightInd w:val="0"/>
              <w:snapToGrid w:val="0"/>
              <w:rPr>
                <w:rFonts w:ascii="宋体" w:hAnsi="宋体"/>
              </w:rPr>
            </w:pPr>
            <w:r>
              <w:rPr>
                <w:rFonts w:hint="eastAsia" w:ascii="宋体" w:hAnsi="宋体" w:cs="楷体"/>
                <w:bCs/>
                <w:lang w:bidi="zh-CN"/>
              </w:rPr>
              <w:t>水及弱腐蚀性流体</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压力等级</w:t>
            </w:r>
          </w:p>
        </w:tc>
        <w:tc>
          <w:tcPr>
            <w:tcW w:w="1531" w:type="pct"/>
            <w:shd w:val="clear" w:color="auto" w:fill="auto"/>
            <w:vAlign w:val="center"/>
          </w:tcPr>
          <w:p>
            <w:pPr>
              <w:adjustRightInd w:val="0"/>
              <w:snapToGrid w:val="0"/>
              <w:rPr>
                <w:rFonts w:ascii="宋体" w:hAnsi="宋体"/>
              </w:rPr>
            </w:pPr>
            <w:r>
              <w:rPr>
                <w:rFonts w:ascii="宋体" w:hAnsi="宋体"/>
              </w:rPr>
              <w:t>按图纸要求，但不低于1.0MPa</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hint="eastAsia" w:ascii="宋体" w:hAnsi="宋体" w:cs="楷体"/>
                <w:bCs/>
                <w:lang w:bidi="zh-CN"/>
              </w:rPr>
              <w:t>操作方式</w:t>
            </w:r>
          </w:p>
        </w:tc>
        <w:tc>
          <w:tcPr>
            <w:tcW w:w="1531" w:type="pct"/>
            <w:shd w:val="clear" w:color="auto" w:fill="auto"/>
            <w:vAlign w:val="center"/>
          </w:tcPr>
          <w:p>
            <w:pPr>
              <w:adjustRightInd w:val="0"/>
              <w:snapToGrid w:val="0"/>
              <w:rPr>
                <w:rFonts w:ascii="宋体" w:hAnsi="宋体"/>
              </w:rPr>
            </w:pP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阀体材质</w:t>
            </w:r>
          </w:p>
        </w:tc>
        <w:tc>
          <w:tcPr>
            <w:tcW w:w="1531" w:type="pct"/>
            <w:shd w:val="clear" w:color="auto" w:fill="auto"/>
            <w:vAlign w:val="center"/>
          </w:tcPr>
          <w:p>
            <w:pPr>
              <w:adjustRightInd w:val="0"/>
              <w:snapToGrid w:val="0"/>
              <w:rPr>
                <w:rFonts w:ascii="宋体" w:hAnsi="宋体"/>
              </w:rPr>
            </w:pPr>
            <w:r>
              <w:rPr>
                <w:rFonts w:ascii="宋体" w:hAnsi="宋体"/>
              </w:rPr>
              <w:t>球墨铸铁或</w:t>
            </w:r>
            <w:r>
              <w:rPr>
                <w:rFonts w:hint="eastAsia" w:ascii="宋体" w:hAnsi="宋体"/>
              </w:rPr>
              <w:t>等效材料</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阀板材质</w:t>
            </w:r>
          </w:p>
        </w:tc>
        <w:tc>
          <w:tcPr>
            <w:tcW w:w="1531" w:type="pct"/>
            <w:shd w:val="clear" w:color="auto" w:fill="auto"/>
            <w:vAlign w:val="center"/>
          </w:tcPr>
          <w:p>
            <w:pPr>
              <w:adjustRightInd w:val="0"/>
              <w:snapToGrid w:val="0"/>
              <w:rPr>
                <w:rFonts w:ascii="宋体" w:hAnsi="宋体"/>
              </w:rPr>
            </w:pPr>
            <w:r>
              <w:rPr>
                <w:rFonts w:ascii="宋体" w:hAnsi="宋体"/>
              </w:rPr>
              <w:t>球墨铸铁</w:t>
            </w:r>
            <w:r>
              <w:rPr>
                <w:rFonts w:hint="eastAsia" w:ascii="宋体" w:hAnsi="宋体"/>
              </w:rPr>
              <w:t>或等效材料</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密封形式及材质</w:t>
            </w:r>
          </w:p>
        </w:tc>
        <w:tc>
          <w:tcPr>
            <w:tcW w:w="1531" w:type="pct"/>
            <w:shd w:val="clear" w:color="auto" w:fill="auto"/>
            <w:vAlign w:val="center"/>
          </w:tcPr>
          <w:p>
            <w:pPr>
              <w:adjustRightInd w:val="0"/>
              <w:snapToGrid w:val="0"/>
              <w:rPr>
                <w:rFonts w:ascii="宋体" w:hAnsi="宋体"/>
              </w:rPr>
            </w:pPr>
            <w:r>
              <w:rPr>
                <w:rFonts w:ascii="宋体" w:hAnsi="宋体"/>
              </w:rPr>
              <w:t>/</w:t>
            </w:r>
            <w:r>
              <w:rPr>
                <w:rFonts w:hint="eastAsia" w:ascii="宋体" w:hAnsi="宋体" w:cs="楷体"/>
                <w:bCs/>
                <w:lang w:bidi="zh-CN"/>
              </w:rPr>
              <w:t>全合成橡胶衬里密封</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橡胶密封圈材质</w:t>
            </w:r>
          </w:p>
        </w:tc>
        <w:tc>
          <w:tcPr>
            <w:tcW w:w="1531" w:type="pct"/>
            <w:shd w:val="clear" w:color="auto" w:fill="auto"/>
            <w:vAlign w:val="center"/>
          </w:tcPr>
          <w:p>
            <w:pPr>
              <w:adjustRightInd w:val="0"/>
              <w:snapToGrid w:val="0"/>
              <w:rPr>
                <w:rFonts w:ascii="宋体" w:hAnsi="宋体"/>
              </w:rPr>
            </w:pPr>
            <w:r>
              <w:rPr>
                <w:rFonts w:ascii="宋体" w:hAnsi="宋体"/>
              </w:rPr>
              <w:t xml:space="preserve">/ </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轴承材质</w:t>
            </w:r>
          </w:p>
        </w:tc>
        <w:tc>
          <w:tcPr>
            <w:tcW w:w="1531" w:type="pct"/>
            <w:shd w:val="clear" w:color="auto" w:fill="auto"/>
            <w:vAlign w:val="center"/>
          </w:tcPr>
          <w:p>
            <w:pPr>
              <w:adjustRightInd w:val="0"/>
              <w:snapToGrid w:val="0"/>
              <w:rPr>
                <w:rFonts w:ascii="宋体" w:hAnsi="宋体"/>
              </w:rPr>
            </w:pPr>
            <w:r>
              <w:rPr>
                <w:rFonts w:ascii="宋体" w:hAnsi="宋体"/>
              </w:rPr>
              <w:t>/</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hint="eastAsia" w:ascii="宋体" w:hAnsi="宋体"/>
              </w:rPr>
              <w:t>角行程范围</w:t>
            </w:r>
          </w:p>
        </w:tc>
        <w:tc>
          <w:tcPr>
            <w:tcW w:w="1531" w:type="pct"/>
            <w:shd w:val="clear" w:color="auto" w:fill="auto"/>
            <w:vAlign w:val="center"/>
          </w:tcPr>
          <w:p>
            <w:pPr>
              <w:adjustRightInd w:val="0"/>
              <w:snapToGrid w:val="0"/>
              <w:rPr>
                <w:rFonts w:ascii="宋体" w:hAnsi="宋体"/>
              </w:rPr>
            </w:pPr>
            <w:r>
              <w:rPr>
                <w:rFonts w:hint="eastAsia" w:ascii="宋体" w:hAnsi="宋体"/>
              </w:rPr>
              <w:t>0 度</w:t>
            </w:r>
            <w:r>
              <w:rPr>
                <w:rFonts w:ascii="宋体" w:hAnsi="宋体"/>
              </w:rPr>
              <w:t>-</w:t>
            </w:r>
            <w:r>
              <w:rPr>
                <w:rFonts w:hint="eastAsia" w:ascii="宋体" w:hAnsi="宋体"/>
              </w:rPr>
              <w:t>90±5 度</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hint="eastAsia" w:ascii="宋体" w:hAnsi="宋体"/>
              </w:rPr>
              <w:t>防护等级</w:t>
            </w:r>
          </w:p>
        </w:tc>
        <w:tc>
          <w:tcPr>
            <w:tcW w:w="1531" w:type="pct"/>
            <w:shd w:val="clear" w:color="auto" w:fill="auto"/>
            <w:vAlign w:val="center"/>
          </w:tcPr>
          <w:p>
            <w:pPr>
              <w:adjustRightInd w:val="0"/>
              <w:snapToGrid w:val="0"/>
              <w:rPr>
                <w:rFonts w:ascii="宋体" w:hAnsi="宋体"/>
              </w:rPr>
            </w:pPr>
            <w:r>
              <w:rPr>
                <w:rFonts w:hint="eastAsia" w:ascii="宋体" w:hAnsi="宋体"/>
              </w:rPr>
              <w:t>IP68</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62" w:type="pct"/>
            <w:shd w:val="clear" w:color="auto" w:fill="auto"/>
            <w:vAlign w:val="center"/>
          </w:tcPr>
          <w:p>
            <w:pPr>
              <w:adjustRightInd w:val="0"/>
              <w:snapToGrid w:val="0"/>
              <w:rPr>
                <w:rFonts w:ascii="宋体" w:hAnsi="宋体"/>
              </w:rPr>
            </w:pPr>
            <w:r>
              <w:rPr>
                <w:rFonts w:ascii="宋体" w:hAnsi="宋体"/>
              </w:rPr>
              <w:t>阀门备件</w:t>
            </w:r>
          </w:p>
        </w:tc>
        <w:tc>
          <w:tcPr>
            <w:tcW w:w="1531" w:type="pct"/>
            <w:shd w:val="clear" w:color="auto" w:fill="auto"/>
            <w:vAlign w:val="center"/>
          </w:tcPr>
          <w:p>
            <w:pPr>
              <w:adjustRightInd w:val="0"/>
              <w:snapToGrid w:val="0"/>
              <w:rPr>
                <w:rFonts w:ascii="宋体" w:hAnsi="宋体"/>
              </w:rPr>
            </w:pPr>
            <w:r>
              <w:rPr>
                <w:rFonts w:ascii="宋体" w:hAnsi="宋体"/>
              </w:rPr>
              <w:t>满足5年使用需要</w:t>
            </w:r>
          </w:p>
        </w:tc>
        <w:tc>
          <w:tcPr>
            <w:tcW w:w="1161" w:type="pct"/>
            <w:shd w:val="clear" w:color="auto" w:fill="auto"/>
            <w:vAlign w:val="center"/>
          </w:tcPr>
          <w:p>
            <w:pPr>
              <w:adjustRightInd w:val="0"/>
              <w:snapToGrid w:val="0"/>
              <w:rPr>
                <w:rFonts w:ascii="宋体" w:hAnsi="宋体"/>
              </w:rPr>
            </w:pPr>
          </w:p>
        </w:tc>
        <w:tc>
          <w:tcPr>
            <w:tcW w:w="747" w:type="pct"/>
            <w:shd w:val="clear" w:color="auto" w:fill="auto"/>
            <w:vAlign w:val="center"/>
          </w:tcPr>
          <w:p>
            <w:pPr>
              <w:adjustRightInd w:val="0"/>
              <w:snapToGrid w:val="0"/>
              <w:rPr>
                <w:rFonts w:ascii="宋体" w:hAnsi="宋体"/>
              </w:rPr>
            </w:pPr>
          </w:p>
        </w:tc>
        <w:tc>
          <w:tcPr>
            <w:tcW w:w="599" w:type="pct"/>
            <w:shd w:val="clear" w:color="auto" w:fill="auto"/>
            <w:vAlign w:val="center"/>
          </w:tcPr>
          <w:p>
            <w:pPr>
              <w:adjustRightInd w:val="0"/>
              <w:snapToGrid w:val="0"/>
              <w:rPr>
                <w:rFonts w:ascii="宋体" w:hAnsi="宋体"/>
              </w:rPr>
            </w:pPr>
          </w:p>
        </w:tc>
      </w:tr>
    </w:tbl>
    <w:p>
      <w:pPr>
        <w:keepNext/>
        <w:tabs>
          <w:tab w:val="left" w:pos="993"/>
        </w:tabs>
        <w:adjustRightInd w:val="0"/>
        <w:snapToGrid w:val="0"/>
        <w:spacing w:before="203" w:beforeLines="50" w:after="203" w:afterLines="50"/>
        <w:outlineLvl w:val="2"/>
        <w:rPr>
          <w:rFonts w:ascii="宋体" w:hAnsi="宋体"/>
        </w:rPr>
      </w:pPr>
      <w:r>
        <w:rPr>
          <w:rFonts w:ascii="宋体" w:hAnsi="宋体"/>
        </w:rPr>
        <w:br w:type="page"/>
      </w:r>
      <w:bookmarkStart w:id="7492" w:name="_Toc106883835"/>
      <w:r>
        <w:rPr>
          <w:rFonts w:hint="eastAsia" w:ascii="宋体" w:hAnsi="宋体"/>
        </w:rPr>
        <w:t>11.1.2</w:t>
      </w:r>
      <w:r>
        <w:rPr>
          <w:rFonts w:ascii="宋体" w:hAnsi="宋体"/>
        </w:rPr>
        <w:t>手动</w:t>
      </w:r>
      <w:r>
        <w:rPr>
          <w:rFonts w:hint="eastAsia" w:ascii="宋体" w:hAnsi="宋体"/>
        </w:rPr>
        <w:t>闸阀</w:t>
      </w:r>
      <w:bookmarkEnd w:id="7492"/>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77"/>
        <w:gridCol w:w="2167"/>
        <w:gridCol w:w="1299"/>
        <w:gridCol w:w="1323"/>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1389" w:type="pct"/>
            <w:shd w:val="clear" w:color="auto" w:fill="auto"/>
            <w:vAlign w:val="center"/>
          </w:tcPr>
          <w:p>
            <w:pPr>
              <w:adjustRightInd w:val="0"/>
              <w:snapToGrid w:val="0"/>
              <w:rPr>
                <w:rFonts w:ascii="宋体" w:hAnsi="宋体"/>
              </w:rPr>
            </w:pPr>
            <w:r>
              <w:rPr>
                <w:rFonts w:ascii="宋体" w:hAnsi="宋体"/>
              </w:rPr>
              <w:t>项目</w:t>
            </w:r>
          </w:p>
        </w:tc>
        <w:tc>
          <w:tcPr>
            <w:tcW w:w="1266" w:type="pct"/>
            <w:shd w:val="clear" w:color="auto" w:fill="auto"/>
            <w:vAlign w:val="center"/>
          </w:tcPr>
          <w:p>
            <w:pPr>
              <w:adjustRightInd w:val="0"/>
              <w:snapToGrid w:val="0"/>
              <w:rPr>
                <w:rFonts w:ascii="宋体" w:hAnsi="宋体"/>
              </w:rPr>
            </w:pPr>
            <w:r>
              <w:rPr>
                <w:rFonts w:ascii="宋体" w:hAnsi="宋体"/>
              </w:rPr>
              <w:t>技术参数要求</w:t>
            </w:r>
          </w:p>
        </w:tc>
        <w:tc>
          <w:tcPr>
            <w:tcW w:w="759" w:type="pct"/>
            <w:shd w:val="clear" w:color="auto" w:fill="auto"/>
            <w:vAlign w:val="center"/>
          </w:tcPr>
          <w:p>
            <w:pPr>
              <w:adjustRightInd w:val="0"/>
              <w:snapToGrid w:val="0"/>
              <w:rPr>
                <w:rFonts w:ascii="宋体" w:hAnsi="宋体"/>
              </w:rPr>
            </w:pPr>
            <w:r>
              <w:rPr>
                <w:rFonts w:ascii="宋体" w:hAnsi="宋体"/>
              </w:rPr>
              <w:t>承包商响应参数</w:t>
            </w:r>
          </w:p>
        </w:tc>
        <w:tc>
          <w:tcPr>
            <w:tcW w:w="773"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813"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制造商</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原产地</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类型</w:t>
            </w:r>
          </w:p>
        </w:tc>
        <w:tc>
          <w:tcPr>
            <w:tcW w:w="1266" w:type="pct"/>
            <w:shd w:val="clear" w:color="auto" w:fill="auto"/>
            <w:vAlign w:val="center"/>
          </w:tcPr>
          <w:p>
            <w:pPr>
              <w:adjustRightInd w:val="0"/>
              <w:snapToGrid w:val="0"/>
              <w:rPr>
                <w:rFonts w:ascii="宋体" w:hAnsi="宋体"/>
              </w:rPr>
            </w:pPr>
            <w:r>
              <w:rPr>
                <w:rFonts w:ascii="宋体" w:hAnsi="宋体"/>
              </w:rPr>
              <w:t>暗杆型 弹性座封闸阀</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阀体凹槽</w:t>
            </w:r>
          </w:p>
        </w:tc>
        <w:tc>
          <w:tcPr>
            <w:tcW w:w="1266" w:type="pct"/>
            <w:shd w:val="clear" w:color="auto" w:fill="auto"/>
            <w:vAlign w:val="center"/>
          </w:tcPr>
          <w:p>
            <w:pPr>
              <w:adjustRightInd w:val="0"/>
              <w:snapToGrid w:val="0"/>
              <w:rPr>
                <w:rFonts w:ascii="宋体" w:hAnsi="宋体"/>
              </w:rPr>
            </w:pPr>
            <w:r>
              <w:rPr>
                <w:rFonts w:ascii="宋体" w:hAnsi="宋体"/>
              </w:rPr>
              <w:t>无</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型号</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适用介质</w:t>
            </w:r>
          </w:p>
        </w:tc>
        <w:tc>
          <w:tcPr>
            <w:tcW w:w="1266" w:type="pct"/>
            <w:shd w:val="clear" w:color="auto" w:fill="auto"/>
            <w:vAlign w:val="center"/>
          </w:tcPr>
          <w:p>
            <w:pPr>
              <w:adjustRightInd w:val="0"/>
              <w:snapToGrid w:val="0"/>
              <w:rPr>
                <w:rFonts w:ascii="宋体" w:hAnsi="宋体"/>
              </w:rPr>
            </w:pPr>
            <w:r>
              <w:rPr>
                <w:rFonts w:hint="eastAsia" w:ascii="宋体" w:hAnsi="宋体"/>
              </w:rPr>
              <w:t>污泥</w:t>
            </w:r>
            <w:r>
              <w:rPr>
                <w:rFonts w:ascii="宋体" w:hAnsi="宋体"/>
              </w:rPr>
              <w:t>、清水和污水</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适用介质温度</w:t>
            </w:r>
          </w:p>
        </w:tc>
        <w:tc>
          <w:tcPr>
            <w:tcW w:w="1266" w:type="pct"/>
            <w:shd w:val="clear" w:color="auto" w:fill="auto"/>
            <w:vAlign w:val="center"/>
          </w:tcPr>
          <w:p>
            <w:pPr>
              <w:adjustRightInd w:val="0"/>
              <w:snapToGrid w:val="0"/>
              <w:rPr>
                <w:rFonts w:ascii="宋体" w:hAnsi="宋体"/>
              </w:rPr>
            </w:pPr>
            <w:r>
              <w:rPr>
                <w:rFonts w:ascii="宋体" w:hAnsi="宋体"/>
              </w:rPr>
              <w:t>0～80</w:t>
            </w:r>
            <w:r>
              <w:rPr>
                <w:rFonts w:hint="eastAsia"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适用介质pH</w:t>
            </w:r>
          </w:p>
        </w:tc>
        <w:tc>
          <w:tcPr>
            <w:tcW w:w="1266" w:type="pct"/>
            <w:shd w:val="clear" w:color="auto" w:fill="auto"/>
            <w:vAlign w:val="center"/>
          </w:tcPr>
          <w:p>
            <w:pPr>
              <w:adjustRightInd w:val="0"/>
              <w:snapToGrid w:val="0"/>
              <w:rPr>
                <w:rFonts w:ascii="宋体" w:hAnsi="宋体"/>
              </w:rPr>
            </w:pPr>
            <w:r>
              <w:rPr>
                <w:rFonts w:ascii="宋体" w:hAnsi="宋体"/>
              </w:rPr>
              <w:t>5～10</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压力等级</w:t>
            </w:r>
          </w:p>
        </w:tc>
        <w:tc>
          <w:tcPr>
            <w:tcW w:w="1266" w:type="pct"/>
            <w:shd w:val="clear" w:color="auto" w:fill="auto"/>
            <w:vAlign w:val="center"/>
          </w:tcPr>
          <w:p>
            <w:pPr>
              <w:adjustRightInd w:val="0"/>
              <w:snapToGrid w:val="0"/>
              <w:rPr>
                <w:rFonts w:ascii="宋体" w:hAnsi="宋体"/>
              </w:rPr>
            </w:pPr>
            <w:r>
              <w:rPr>
                <w:rFonts w:ascii="宋体" w:hAnsi="宋体"/>
              </w:rPr>
              <w:t>1.0MPa以上</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阀杆</w:t>
            </w:r>
          </w:p>
        </w:tc>
        <w:tc>
          <w:tcPr>
            <w:tcW w:w="1266" w:type="pct"/>
            <w:shd w:val="clear" w:color="auto" w:fill="auto"/>
            <w:vAlign w:val="center"/>
          </w:tcPr>
          <w:p>
            <w:pPr>
              <w:adjustRightInd w:val="0"/>
              <w:snapToGrid w:val="0"/>
              <w:rPr>
                <w:rFonts w:ascii="宋体" w:hAnsi="宋体"/>
              </w:rPr>
            </w:pPr>
            <w:r>
              <w:rPr>
                <w:rFonts w:ascii="宋体" w:hAnsi="宋体"/>
              </w:rPr>
              <w:t>止推轴承和“O”型圈密封</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密封等级</w:t>
            </w:r>
          </w:p>
        </w:tc>
        <w:tc>
          <w:tcPr>
            <w:tcW w:w="1266" w:type="pct"/>
            <w:shd w:val="clear" w:color="auto" w:fill="auto"/>
            <w:vAlign w:val="center"/>
          </w:tcPr>
          <w:p>
            <w:pPr>
              <w:adjustRightInd w:val="0"/>
              <w:snapToGrid w:val="0"/>
              <w:rPr>
                <w:rFonts w:ascii="宋体" w:hAnsi="宋体"/>
              </w:rPr>
            </w:pPr>
            <w:r>
              <w:rPr>
                <w:rFonts w:ascii="宋体" w:hAnsi="宋体"/>
              </w:rPr>
              <w:t>零泄漏</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密封形式</w:t>
            </w:r>
          </w:p>
        </w:tc>
        <w:tc>
          <w:tcPr>
            <w:tcW w:w="1266" w:type="pct"/>
            <w:shd w:val="clear" w:color="auto" w:fill="auto"/>
            <w:vAlign w:val="center"/>
          </w:tcPr>
          <w:p>
            <w:pPr>
              <w:adjustRightInd w:val="0"/>
              <w:snapToGrid w:val="0"/>
              <w:rPr>
                <w:rFonts w:ascii="宋体" w:hAnsi="宋体"/>
              </w:rPr>
            </w:pPr>
            <w:r>
              <w:rPr>
                <w:rFonts w:ascii="宋体" w:hAnsi="宋体"/>
              </w:rPr>
              <w:t>三道“O”型圈</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阀体材质</w:t>
            </w:r>
          </w:p>
        </w:tc>
        <w:tc>
          <w:tcPr>
            <w:tcW w:w="1266" w:type="pct"/>
            <w:shd w:val="clear" w:color="auto" w:fill="auto"/>
            <w:vAlign w:val="center"/>
          </w:tcPr>
          <w:p>
            <w:pPr>
              <w:adjustRightInd w:val="0"/>
              <w:snapToGrid w:val="0"/>
              <w:rPr>
                <w:rFonts w:ascii="宋体" w:hAnsi="宋体"/>
              </w:rPr>
            </w:pPr>
            <w:r>
              <w:rPr>
                <w:rFonts w:ascii="宋体" w:hAnsi="宋体"/>
              </w:rPr>
              <w:t>球墨铸铁</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阀盖材质</w:t>
            </w:r>
          </w:p>
        </w:tc>
        <w:tc>
          <w:tcPr>
            <w:tcW w:w="1266" w:type="pct"/>
            <w:shd w:val="clear" w:color="auto" w:fill="auto"/>
            <w:vAlign w:val="center"/>
          </w:tcPr>
          <w:p>
            <w:pPr>
              <w:adjustRightInd w:val="0"/>
              <w:snapToGrid w:val="0"/>
              <w:rPr>
                <w:rFonts w:ascii="宋体" w:hAnsi="宋体"/>
              </w:rPr>
            </w:pPr>
            <w:r>
              <w:rPr>
                <w:rFonts w:ascii="宋体" w:hAnsi="宋体"/>
              </w:rPr>
              <w:t>球墨铸铁</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阀板材质</w:t>
            </w:r>
          </w:p>
        </w:tc>
        <w:tc>
          <w:tcPr>
            <w:tcW w:w="1266" w:type="pct"/>
            <w:shd w:val="clear" w:color="auto" w:fill="auto"/>
            <w:vAlign w:val="center"/>
          </w:tcPr>
          <w:p>
            <w:pPr>
              <w:adjustRightInd w:val="0"/>
              <w:snapToGrid w:val="0"/>
              <w:rPr>
                <w:rFonts w:ascii="宋体" w:hAnsi="宋体"/>
              </w:rPr>
            </w:pPr>
            <w:r>
              <w:rPr>
                <w:rFonts w:ascii="宋体" w:hAnsi="宋体"/>
              </w:rPr>
              <w:t>球墨铸铁</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连接方式</w:t>
            </w:r>
          </w:p>
        </w:tc>
        <w:tc>
          <w:tcPr>
            <w:tcW w:w="1266" w:type="pct"/>
            <w:shd w:val="clear" w:color="auto" w:fill="auto"/>
            <w:vAlign w:val="center"/>
          </w:tcPr>
          <w:p>
            <w:pPr>
              <w:adjustRightInd w:val="0"/>
              <w:snapToGrid w:val="0"/>
              <w:rPr>
                <w:rFonts w:ascii="宋体" w:hAnsi="宋体"/>
              </w:rPr>
            </w:pPr>
            <w:r>
              <w:rPr>
                <w:rFonts w:ascii="宋体" w:hAnsi="宋体"/>
              </w:rPr>
              <w:t>法兰连接</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493" w:name="_Toc106883836"/>
      <w:r>
        <w:rPr>
          <w:rFonts w:hint="eastAsia" w:ascii="宋体" w:hAnsi="宋体"/>
        </w:rPr>
        <w:t>11.1.3止回阀</w:t>
      </w:r>
      <w:bookmarkEnd w:id="7493"/>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77"/>
        <w:gridCol w:w="2167"/>
        <w:gridCol w:w="1299"/>
        <w:gridCol w:w="1323"/>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1389" w:type="pct"/>
            <w:shd w:val="clear" w:color="auto" w:fill="auto"/>
            <w:vAlign w:val="center"/>
          </w:tcPr>
          <w:p>
            <w:pPr>
              <w:adjustRightInd w:val="0"/>
              <w:snapToGrid w:val="0"/>
              <w:rPr>
                <w:rFonts w:ascii="宋体" w:hAnsi="宋体"/>
              </w:rPr>
            </w:pPr>
            <w:r>
              <w:rPr>
                <w:rFonts w:ascii="宋体" w:hAnsi="宋体"/>
              </w:rPr>
              <w:t>项目</w:t>
            </w:r>
          </w:p>
        </w:tc>
        <w:tc>
          <w:tcPr>
            <w:tcW w:w="1266" w:type="pct"/>
            <w:shd w:val="clear" w:color="auto" w:fill="auto"/>
            <w:vAlign w:val="center"/>
          </w:tcPr>
          <w:p>
            <w:pPr>
              <w:adjustRightInd w:val="0"/>
              <w:snapToGrid w:val="0"/>
              <w:rPr>
                <w:rFonts w:ascii="宋体" w:hAnsi="宋体"/>
              </w:rPr>
            </w:pPr>
            <w:r>
              <w:rPr>
                <w:rFonts w:ascii="宋体" w:hAnsi="宋体"/>
              </w:rPr>
              <w:t>技术参数要求</w:t>
            </w:r>
          </w:p>
        </w:tc>
        <w:tc>
          <w:tcPr>
            <w:tcW w:w="759" w:type="pct"/>
            <w:shd w:val="clear" w:color="auto" w:fill="auto"/>
            <w:vAlign w:val="center"/>
          </w:tcPr>
          <w:p>
            <w:pPr>
              <w:adjustRightInd w:val="0"/>
              <w:snapToGrid w:val="0"/>
              <w:rPr>
                <w:rFonts w:ascii="宋体" w:hAnsi="宋体"/>
              </w:rPr>
            </w:pPr>
            <w:r>
              <w:rPr>
                <w:rFonts w:ascii="宋体" w:hAnsi="宋体"/>
              </w:rPr>
              <w:t>承包商响应参数</w:t>
            </w:r>
          </w:p>
        </w:tc>
        <w:tc>
          <w:tcPr>
            <w:tcW w:w="773"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813"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制造商</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原产地</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型号</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适用介质</w:t>
            </w:r>
          </w:p>
        </w:tc>
        <w:tc>
          <w:tcPr>
            <w:tcW w:w="1266" w:type="pct"/>
            <w:shd w:val="clear" w:color="auto" w:fill="auto"/>
            <w:vAlign w:val="center"/>
          </w:tcPr>
          <w:p>
            <w:pPr>
              <w:adjustRightInd w:val="0"/>
              <w:snapToGrid w:val="0"/>
              <w:rPr>
                <w:rFonts w:ascii="宋体" w:hAnsi="宋体"/>
              </w:rPr>
            </w:pPr>
            <w:r>
              <w:rPr>
                <w:rFonts w:hint="eastAsia" w:ascii="宋体" w:hAnsi="宋体" w:cs="楷体"/>
                <w:bCs/>
                <w:lang w:bidi="zh-CN"/>
              </w:rPr>
              <w:t>水及弱腐蚀性流体</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适用介质温度</w:t>
            </w:r>
          </w:p>
        </w:tc>
        <w:tc>
          <w:tcPr>
            <w:tcW w:w="1266" w:type="pct"/>
            <w:shd w:val="clear" w:color="auto" w:fill="auto"/>
            <w:vAlign w:val="center"/>
          </w:tcPr>
          <w:p>
            <w:pPr>
              <w:adjustRightInd w:val="0"/>
              <w:snapToGrid w:val="0"/>
              <w:rPr>
                <w:rFonts w:ascii="宋体" w:hAnsi="宋体"/>
              </w:rPr>
            </w:pPr>
            <w:r>
              <w:rPr>
                <w:rFonts w:ascii="宋体" w:hAnsi="宋体"/>
              </w:rPr>
              <w:t>0～80</w:t>
            </w:r>
            <w:r>
              <w:rPr>
                <w:rFonts w:hint="eastAsia"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压力等级</w:t>
            </w:r>
          </w:p>
        </w:tc>
        <w:tc>
          <w:tcPr>
            <w:tcW w:w="1266" w:type="pct"/>
            <w:shd w:val="clear" w:color="auto" w:fill="auto"/>
            <w:vAlign w:val="center"/>
          </w:tcPr>
          <w:p>
            <w:pPr>
              <w:adjustRightInd w:val="0"/>
              <w:snapToGrid w:val="0"/>
              <w:rPr>
                <w:rFonts w:ascii="宋体" w:hAnsi="宋体"/>
              </w:rPr>
            </w:pPr>
            <w:r>
              <w:rPr>
                <w:rFonts w:ascii="宋体" w:hAnsi="宋体"/>
              </w:rPr>
              <w:t>1.0MPa以上</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bCs/>
                <w:lang w:bidi="zh-CN"/>
              </w:rPr>
              <w:t>连接方式</w:t>
            </w:r>
          </w:p>
        </w:tc>
        <w:tc>
          <w:tcPr>
            <w:tcW w:w="1266" w:type="pct"/>
            <w:shd w:val="clear" w:color="auto" w:fill="auto"/>
            <w:vAlign w:val="center"/>
          </w:tcPr>
          <w:p>
            <w:pPr>
              <w:adjustRightInd w:val="0"/>
              <w:snapToGrid w:val="0"/>
              <w:rPr>
                <w:rFonts w:ascii="宋体" w:hAnsi="宋体"/>
              </w:rPr>
            </w:pPr>
            <w:r>
              <w:rPr>
                <w:rFonts w:hint="eastAsia" w:ascii="宋体" w:hAnsi="宋体" w:cs="楷体"/>
                <w:bCs/>
                <w:lang w:bidi="zh-CN"/>
              </w:rPr>
              <w:t>法兰</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bCs/>
                <w:lang w:bidi="zh-CN"/>
              </w:rPr>
              <w:t>阀体</w:t>
            </w:r>
          </w:p>
        </w:tc>
        <w:tc>
          <w:tcPr>
            <w:tcW w:w="1266" w:type="pct"/>
            <w:shd w:val="clear" w:color="auto" w:fill="auto"/>
            <w:vAlign w:val="center"/>
          </w:tcPr>
          <w:p>
            <w:pPr>
              <w:adjustRightInd w:val="0"/>
              <w:snapToGrid w:val="0"/>
              <w:rPr>
                <w:rFonts w:ascii="宋体" w:hAnsi="宋体"/>
              </w:rPr>
            </w:pPr>
            <w:r>
              <w:rPr>
                <w:rFonts w:hint="eastAsia" w:ascii="宋体" w:hAnsi="宋体" w:cs="楷体"/>
                <w:bCs/>
                <w:lang w:bidi="zh-CN"/>
              </w:rPr>
              <w:t>QT450-10或同等材料</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cs="楷体"/>
                <w:bCs/>
                <w:lang w:bidi="zh-CN"/>
              </w:rPr>
            </w:pPr>
            <w:r>
              <w:rPr>
                <w:rFonts w:hint="eastAsia" w:ascii="宋体" w:hAnsi="宋体" w:cs="楷体"/>
                <w:bCs/>
                <w:lang w:bidi="zh-CN"/>
              </w:rPr>
              <w:t>阀盖</w:t>
            </w:r>
          </w:p>
        </w:tc>
        <w:tc>
          <w:tcPr>
            <w:tcW w:w="1266" w:type="pct"/>
            <w:shd w:val="clear" w:color="auto" w:fill="auto"/>
            <w:vAlign w:val="center"/>
          </w:tcPr>
          <w:p>
            <w:pPr>
              <w:adjustRightInd w:val="0"/>
              <w:snapToGrid w:val="0"/>
              <w:rPr>
                <w:rFonts w:ascii="宋体" w:hAnsi="宋体" w:cs="楷体"/>
                <w:bCs/>
                <w:lang w:bidi="zh-CN"/>
              </w:rPr>
            </w:pPr>
            <w:r>
              <w:rPr>
                <w:rFonts w:hint="eastAsia" w:ascii="宋体" w:hAnsi="宋体" w:cs="楷体"/>
                <w:bCs/>
                <w:lang w:bidi="zh-CN"/>
              </w:rPr>
              <w:t>QT450-10或同等材料</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bCs/>
                <w:lang w:bidi="zh-CN"/>
              </w:rPr>
              <w:t>阀瓣</w:t>
            </w:r>
          </w:p>
        </w:tc>
        <w:tc>
          <w:tcPr>
            <w:tcW w:w="1266" w:type="pct"/>
            <w:shd w:val="clear" w:color="auto" w:fill="auto"/>
            <w:vAlign w:val="center"/>
          </w:tcPr>
          <w:p>
            <w:pPr>
              <w:adjustRightInd w:val="0"/>
              <w:snapToGrid w:val="0"/>
              <w:rPr>
                <w:rFonts w:ascii="宋体" w:hAnsi="宋体"/>
              </w:rPr>
            </w:pPr>
            <w:r>
              <w:rPr>
                <w:rFonts w:ascii="宋体" w:hAnsi="宋体"/>
              </w:rPr>
              <w:t>/</w:t>
            </w:r>
            <w:r>
              <w:rPr>
                <w:rFonts w:hint="eastAsia" w:ascii="宋体" w:hAnsi="宋体" w:cs="楷体"/>
                <w:bCs/>
                <w:lang w:bidi="zh-CN"/>
              </w:rPr>
              <w:t>钢板+强化尼龙+NBR橡胶</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bCs/>
                <w:lang w:bidi="zh-CN"/>
              </w:rPr>
              <w:t>密封材料</w:t>
            </w:r>
          </w:p>
        </w:tc>
        <w:tc>
          <w:tcPr>
            <w:tcW w:w="1266" w:type="pct"/>
            <w:shd w:val="clear" w:color="auto" w:fill="auto"/>
            <w:vAlign w:val="center"/>
          </w:tcPr>
          <w:p>
            <w:pPr>
              <w:adjustRightInd w:val="0"/>
              <w:snapToGrid w:val="0"/>
              <w:rPr>
                <w:rFonts w:ascii="宋体" w:hAnsi="宋体"/>
              </w:rPr>
            </w:pPr>
            <w:r>
              <w:rPr>
                <w:rFonts w:ascii="宋体" w:hAnsi="宋体"/>
              </w:rPr>
              <w:t>/</w:t>
            </w:r>
            <w:r>
              <w:rPr>
                <w:rFonts w:hint="eastAsia" w:ascii="宋体" w:hAnsi="宋体" w:cs="楷体"/>
                <w:bCs/>
                <w:lang w:bidi="zh-CN"/>
              </w:rPr>
              <w:t xml:space="preserve"> NBR</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494" w:name="_Toc106883837"/>
      <w:r>
        <w:rPr>
          <w:rFonts w:hint="eastAsia" w:ascii="宋体" w:hAnsi="宋体"/>
        </w:rPr>
        <w:t>11.1.4角型隔膜排泥阀</w:t>
      </w:r>
      <w:bookmarkEnd w:id="7494"/>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77"/>
        <w:gridCol w:w="2167"/>
        <w:gridCol w:w="1299"/>
        <w:gridCol w:w="1323"/>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1389" w:type="pct"/>
            <w:shd w:val="clear" w:color="auto" w:fill="auto"/>
            <w:vAlign w:val="center"/>
          </w:tcPr>
          <w:p>
            <w:pPr>
              <w:adjustRightInd w:val="0"/>
              <w:snapToGrid w:val="0"/>
              <w:rPr>
                <w:rFonts w:ascii="宋体" w:hAnsi="宋体"/>
              </w:rPr>
            </w:pPr>
            <w:r>
              <w:rPr>
                <w:rFonts w:ascii="宋体" w:hAnsi="宋体"/>
              </w:rPr>
              <w:t>项目</w:t>
            </w:r>
          </w:p>
        </w:tc>
        <w:tc>
          <w:tcPr>
            <w:tcW w:w="1266" w:type="pct"/>
            <w:shd w:val="clear" w:color="auto" w:fill="auto"/>
            <w:vAlign w:val="center"/>
          </w:tcPr>
          <w:p>
            <w:pPr>
              <w:adjustRightInd w:val="0"/>
              <w:snapToGrid w:val="0"/>
              <w:rPr>
                <w:rFonts w:ascii="宋体" w:hAnsi="宋体"/>
              </w:rPr>
            </w:pPr>
            <w:r>
              <w:rPr>
                <w:rFonts w:ascii="宋体" w:hAnsi="宋体"/>
              </w:rPr>
              <w:t>技术参数要求</w:t>
            </w:r>
          </w:p>
        </w:tc>
        <w:tc>
          <w:tcPr>
            <w:tcW w:w="759" w:type="pct"/>
            <w:shd w:val="clear" w:color="auto" w:fill="auto"/>
            <w:vAlign w:val="center"/>
          </w:tcPr>
          <w:p>
            <w:pPr>
              <w:adjustRightInd w:val="0"/>
              <w:snapToGrid w:val="0"/>
              <w:rPr>
                <w:rFonts w:ascii="宋体" w:hAnsi="宋体"/>
              </w:rPr>
            </w:pPr>
            <w:r>
              <w:rPr>
                <w:rFonts w:ascii="宋体" w:hAnsi="宋体"/>
              </w:rPr>
              <w:t>承包商响应参数</w:t>
            </w:r>
          </w:p>
        </w:tc>
        <w:tc>
          <w:tcPr>
            <w:tcW w:w="773"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813"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制造商</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原产地</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型号</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适用介质</w:t>
            </w:r>
          </w:p>
        </w:tc>
        <w:tc>
          <w:tcPr>
            <w:tcW w:w="1266" w:type="pct"/>
            <w:shd w:val="clear" w:color="auto" w:fill="auto"/>
            <w:vAlign w:val="center"/>
          </w:tcPr>
          <w:p>
            <w:pPr>
              <w:adjustRightInd w:val="0"/>
              <w:snapToGrid w:val="0"/>
              <w:rPr>
                <w:rFonts w:ascii="宋体" w:hAnsi="宋体"/>
              </w:rPr>
            </w:pPr>
            <w:r>
              <w:rPr>
                <w:rFonts w:hint="eastAsia" w:ascii="宋体" w:hAnsi="宋体"/>
              </w:rPr>
              <w:t>水、含泥水</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适用介质温度</w:t>
            </w:r>
          </w:p>
        </w:tc>
        <w:tc>
          <w:tcPr>
            <w:tcW w:w="1266" w:type="pct"/>
            <w:shd w:val="clear" w:color="auto" w:fill="auto"/>
            <w:vAlign w:val="center"/>
          </w:tcPr>
          <w:p>
            <w:pPr>
              <w:adjustRightInd w:val="0"/>
              <w:snapToGrid w:val="0"/>
              <w:rPr>
                <w:rFonts w:ascii="宋体" w:hAnsi="宋体"/>
              </w:rPr>
            </w:pPr>
            <w:r>
              <w:rPr>
                <w:rFonts w:ascii="宋体" w:hAnsi="宋体"/>
              </w:rPr>
              <w:t>0～80</w:t>
            </w:r>
            <w:r>
              <w:rPr>
                <w:rFonts w:hint="eastAsia"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压力等级</w:t>
            </w:r>
          </w:p>
        </w:tc>
        <w:tc>
          <w:tcPr>
            <w:tcW w:w="1266" w:type="pct"/>
            <w:shd w:val="clear" w:color="auto" w:fill="auto"/>
            <w:vAlign w:val="center"/>
          </w:tcPr>
          <w:p>
            <w:pPr>
              <w:adjustRightInd w:val="0"/>
              <w:snapToGrid w:val="0"/>
              <w:rPr>
                <w:rFonts w:ascii="宋体" w:hAnsi="宋体"/>
              </w:rPr>
            </w:pPr>
            <w:r>
              <w:rPr>
                <w:rFonts w:ascii="宋体" w:hAnsi="宋体"/>
              </w:rPr>
              <w:t>1.0MPa</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bCs/>
                <w:lang w:bidi="zh-CN"/>
              </w:rPr>
              <w:t>连接方式</w:t>
            </w:r>
          </w:p>
        </w:tc>
        <w:tc>
          <w:tcPr>
            <w:tcW w:w="1266" w:type="pct"/>
            <w:shd w:val="clear" w:color="auto" w:fill="auto"/>
            <w:vAlign w:val="center"/>
          </w:tcPr>
          <w:p>
            <w:pPr>
              <w:adjustRightInd w:val="0"/>
              <w:snapToGrid w:val="0"/>
              <w:rPr>
                <w:rFonts w:ascii="宋体" w:hAnsi="宋体"/>
              </w:rPr>
            </w:pPr>
            <w:r>
              <w:rPr>
                <w:rFonts w:hint="eastAsia" w:ascii="宋体" w:hAnsi="宋体" w:cs="楷体"/>
                <w:bCs/>
                <w:lang w:bidi="zh-CN"/>
              </w:rPr>
              <w:t>法兰</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bCs/>
                <w:lang w:bidi="zh-CN"/>
              </w:rPr>
              <w:t>阀体</w:t>
            </w:r>
          </w:p>
        </w:tc>
        <w:tc>
          <w:tcPr>
            <w:tcW w:w="1266" w:type="pct"/>
            <w:shd w:val="clear" w:color="auto" w:fill="auto"/>
            <w:vAlign w:val="center"/>
          </w:tcPr>
          <w:p>
            <w:pPr>
              <w:adjustRightInd w:val="0"/>
              <w:snapToGrid w:val="0"/>
              <w:rPr>
                <w:rFonts w:ascii="宋体" w:hAnsi="宋体"/>
              </w:rPr>
            </w:pPr>
            <w:r>
              <w:rPr>
                <w:rFonts w:ascii="宋体" w:hAnsi="宋体"/>
              </w:rPr>
              <w:t>球墨铸铁</w:t>
            </w:r>
            <w:r>
              <w:rPr>
                <w:rFonts w:hint="eastAsia" w:ascii="宋体" w:hAnsi="宋体" w:cs="楷体"/>
                <w:bCs/>
                <w:lang w:bidi="zh-CN"/>
              </w:rPr>
              <w:t>或同等材料</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cs="楷体"/>
                <w:bCs/>
                <w:lang w:bidi="zh-CN"/>
              </w:rPr>
            </w:pPr>
            <w:r>
              <w:rPr>
                <w:rFonts w:hint="eastAsia" w:ascii="宋体" w:hAnsi="宋体" w:cs="楷体"/>
                <w:bCs/>
                <w:lang w:bidi="zh-CN"/>
              </w:rPr>
              <w:t>阀盖</w:t>
            </w:r>
          </w:p>
        </w:tc>
        <w:tc>
          <w:tcPr>
            <w:tcW w:w="1266" w:type="pct"/>
            <w:shd w:val="clear" w:color="auto" w:fill="auto"/>
            <w:vAlign w:val="center"/>
          </w:tcPr>
          <w:p>
            <w:pPr>
              <w:adjustRightInd w:val="0"/>
              <w:snapToGrid w:val="0"/>
              <w:rPr>
                <w:rFonts w:ascii="宋体" w:hAnsi="宋体" w:cs="楷体"/>
                <w:bCs/>
                <w:lang w:bidi="zh-CN"/>
              </w:rPr>
            </w:pPr>
            <w:r>
              <w:rPr>
                <w:rFonts w:ascii="宋体" w:hAnsi="宋体"/>
              </w:rPr>
              <w:t>球墨铸铁</w:t>
            </w:r>
            <w:r>
              <w:rPr>
                <w:rFonts w:hint="eastAsia" w:ascii="宋体" w:hAnsi="宋体" w:cs="楷体"/>
                <w:bCs/>
                <w:lang w:bidi="zh-CN"/>
              </w:rPr>
              <w:t>或同等材料</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cs="楷体"/>
                <w:bCs/>
                <w:lang w:bidi="zh-CN"/>
              </w:rPr>
            </w:pPr>
            <w:r>
              <w:rPr>
                <w:rFonts w:ascii="宋体" w:hAnsi="宋体"/>
              </w:rPr>
              <w:t>阀杆</w:t>
            </w:r>
          </w:p>
        </w:tc>
        <w:tc>
          <w:tcPr>
            <w:tcW w:w="1266" w:type="pct"/>
            <w:shd w:val="clear" w:color="auto" w:fill="auto"/>
            <w:vAlign w:val="center"/>
          </w:tcPr>
          <w:p>
            <w:pPr>
              <w:adjustRightInd w:val="0"/>
              <w:snapToGrid w:val="0"/>
              <w:rPr>
                <w:rFonts w:ascii="宋体" w:hAnsi="宋体"/>
              </w:rPr>
            </w:pPr>
            <w:r>
              <w:rPr>
                <w:rFonts w:ascii="宋体" w:hAnsi="宋体"/>
              </w:rPr>
              <w:t>不锈钢</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膜片</w:t>
            </w:r>
          </w:p>
        </w:tc>
        <w:tc>
          <w:tcPr>
            <w:tcW w:w="1266" w:type="pct"/>
            <w:shd w:val="clear" w:color="auto" w:fill="auto"/>
            <w:vAlign w:val="center"/>
          </w:tcPr>
          <w:p>
            <w:pPr>
              <w:adjustRightInd w:val="0"/>
              <w:snapToGrid w:val="0"/>
              <w:rPr>
                <w:rFonts w:ascii="宋体" w:hAnsi="宋体"/>
              </w:rPr>
            </w:pPr>
            <w:r>
              <w:rPr>
                <w:rFonts w:ascii="宋体" w:hAnsi="宋体"/>
              </w:rPr>
              <w:t>尼龙强化橡胶</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膜片压板、阀盘</w:t>
            </w:r>
          </w:p>
        </w:tc>
        <w:tc>
          <w:tcPr>
            <w:tcW w:w="1266" w:type="pct"/>
            <w:shd w:val="clear" w:color="auto" w:fill="auto"/>
            <w:vAlign w:val="center"/>
          </w:tcPr>
          <w:p>
            <w:pPr>
              <w:adjustRightInd w:val="0"/>
              <w:snapToGrid w:val="0"/>
              <w:rPr>
                <w:rFonts w:ascii="宋体" w:hAnsi="宋体"/>
              </w:rPr>
            </w:pPr>
            <w:r>
              <w:rPr>
                <w:rFonts w:ascii="宋体" w:hAnsi="宋体"/>
              </w:rPr>
              <w:t>青铜</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弹簧</w:t>
            </w:r>
          </w:p>
        </w:tc>
        <w:tc>
          <w:tcPr>
            <w:tcW w:w="1266" w:type="pct"/>
            <w:shd w:val="clear" w:color="auto" w:fill="auto"/>
            <w:vAlign w:val="center"/>
          </w:tcPr>
          <w:p>
            <w:pPr>
              <w:adjustRightInd w:val="0"/>
              <w:snapToGrid w:val="0"/>
              <w:rPr>
                <w:rFonts w:ascii="宋体" w:hAnsi="宋体"/>
              </w:rPr>
            </w:pPr>
            <w:r>
              <w:rPr>
                <w:rFonts w:ascii="宋体" w:hAnsi="宋体"/>
              </w:rPr>
              <w:t>不锈钢</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495" w:name="_Toc106883838"/>
      <w:r>
        <w:rPr>
          <w:rFonts w:hint="eastAsia" w:ascii="宋体" w:hAnsi="宋体"/>
        </w:rPr>
        <w:t>11.1.5多功能阀</w:t>
      </w:r>
      <w:bookmarkEnd w:id="7495"/>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77"/>
        <w:gridCol w:w="2167"/>
        <w:gridCol w:w="1299"/>
        <w:gridCol w:w="1323"/>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1389" w:type="pct"/>
            <w:shd w:val="clear" w:color="auto" w:fill="auto"/>
            <w:vAlign w:val="center"/>
          </w:tcPr>
          <w:p>
            <w:pPr>
              <w:adjustRightInd w:val="0"/>
              <w:snapToGrid w:val="0"/>
              <w:rPr>
                <w:rFonts w:ascii="宋体" w:hAnsi="宋体"/>
              </w:rPr>
            </w:pPr>
            <w:r>
              <w:rPr>
                <w:rFonts w:ascii="宋体" w:hAnsi="宋体"/>
              </w:rPr>
              <w:t>项目</w:t>
            </w:r>
          </w:p>
        </w:tc>
        <w:tc>
          <w:tcPr>
            <w:tcW w:w="1266" w:type="pct"/>
            <w:shd w:val="clear" w:color="auto" w:fill="auto"/>
            <w:vAlign w:val="center"/>
          </w:tcPr>
          <w:p>
            <w:pPr>
              <w:adjustRightInd w:val="0"/>
              <w:snapToGrid w:val="0"/>
              <w:rPr>
                <w:rFonts w:ascii="宋体" w:hAnsi="宋体"/>
              </w:rPr>
            </w:pPr>
            <w:r>
              <w:rPr>
                <w:rFonts w:ascii="宋体" w:hAnsi="宋体"/>
              </w:rPr>
              <w:t>技术参数要求</w:t>
            </w:r>
          </w:p>
        </w:tc>
        <w:tc>
          <w:tcPr>
            <w:tcW w:w="759" w:type="pct"/>
            <w:shd w:val="clear" w:color="auto" w:fill="auto"/>
            <w:vAlign w:val="center"/>
          </w:tcPr>
          <w:p>
            <w:pPr>
              <w:adjustRightInd w:val="0"/>
              <w:snapToGrid w:val="0"/>
              <w:rPr>
                <w:rFonts w:ascii="宋体" w:hAnsi="宋体"/>
              </w:rPr>
            </w:pPr>
            <w:r>
              <w:rPr>
                <w:rFonts w:ascii="宋体" w:hAnsi="宋体"/>
              </w:rPr>
              <w:t>承包商响应参数</w:t>
            </w:r>
          </w:p>
        </w:tc>
        <w:tc>
          <w:tcPr>
            <w:tcW w:w="773"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813"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制造商</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原产地</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型号</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bCs/>
                <w:lang w:bidi="zh-CN"/>
              </w:rPr>
              <w:t>阀体</w:t>
            </w:r>
          </w:p>
        </w:tc>
        <w:tc>
          <w:tcPr>
            <w:tcW w:w="1266" w:type="pct"/>
            <w:shd w:val="clear" w:color="auto" w:fill="auto"/>
            <w:vAlign w:val="center"/>
          </w:tcPr>
          <w:p>
            <w:pPr>
              <w:adjustRightInd w:val="0"/>
              <w:snapToGrid w:val="0"/>
              <w:rPr>
                <w:rFonts w:ascii="宋体" w:hAnsi="宋体"/>
              </w:rPr>
            </w:pPr>
            <w:r>
              <w:rPr>
                <w:rFonts w:ascii="宋体" w:hAnsi="宋体"/>
              </w:rPr>
              <w:t>铸钢</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cs="楷体"/>
                <w:bCs/>
                <w:lang w:bidi="zh-CN"/>
              </w:rPr>
            </w:pPr>
            <w:r>
              <w:rPr>
                <w:rFonts w:hint="eastAsia" w:ascii="宋体" w:hAnsi="宋体" w:cs="楷体"/>
                <w:bCs/>
                <w:lang w:bidi="zh-CN"/>
              </w:rPr>
              <w:t>阀盖</w:t>
            </w:r>
          </w:p>
        </w:tc>
        <w:tc>
          <w:tcPr>
            <w:tcW w:w="1266" w:type="pct"/>
            <w:shd w:val="clear" w:color="auto" w:fill="auto"/>
            <w:vAlign w:val="center"/>
          </w:tcPr>
          <w:p>
            <w:pPr>
              <w:adjustRightInd w:val="0"/>
              <w:snapToGrid w:val="0"/>
              <w:rPr>
                <w:rFonts w:ascii="宋体" w:hAnsi="宋体" w:cs="楷体"/>
                <w:bCs/>
                <w:lang w:bidi="zh-CN"/>
              </w:rPr>
            </w:pPr>
            <w:r>
              <w:rPr>
                <w:rFonts w:ascii="宋体" w:hAnsi="宋体"/>
              </w:rPr>
              <w:t>铸钢</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cs="楷体"/>
                <w:bCs/>
                <w:lang w:bidi="zh-CN"/>
              </w:rPr>
            </w:pPr>
            <w:r>
              <w:rPr>
                <w:rFonts w:ascii="宋体" w:hAnsi="宋体"/>
              </w:rPr>
              <w:t>主阀板</w:t>
            </w:r>
          </w:p>
        </w:tc>
        <w:tc>
          <w:tcPr>
            <w:tcW w:w="1266" w:type="pct"/>
            <w:shd w:val="clear" w:color="auto" w:fill="auto"/>
            <w:vAlign w:val="center"/>
          </w:tcPr>
          <w:p>
            <w:pPr>
              <w:adjustRightInd w:val="0"/>
              <w:snapToGrid w:val="0"/>
              <w:rPr>
                <w:rFonts w:ascii="宋体" w:hAnsi="宋体"/>
              </w:rPr>
            </w:pPr>
            <w:r>
              <w:rPr>
                <w:rFonts w:ascii="宋体" w:hAnsi="宋体"/>
              </w:rPr>
              <w:t>铸钢</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膜片</w:t>
            </w:r>
          </w:p>
        </w:tc>
        <w:tc>
          <w:tcPr>
            <w:tcW w:w="1266" w:type="pct"/>
            <w:shd w:val="clear" w:color="auto" w:fill="auto"/>
            <w:vAlign w:val="center"/>
          </w:tcPr>
          <w:p>
            <w:pPr>
              <w:adjustRightInd w:val="0"/>
              <w:snapToGrid w:val="0"/>
              <w:rPr>
                <w:rFonts w:ascii="宋体" w:hAnsi="宋体"/>
              </w:rPr>
            </w:pPr>
            <w:r>
              <w:rPr>
                <w:rFonts w:ascii="宋体" w:hAnsi="宋体"/>
              </w:rPr>
              <w:t>尼龙网+天然橡胶</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缓闭阀板</w:t>
            </w:r>
          </w:p>
        </w:tc>
        <w:tc>
          <w:tcPr>
            <w:tcW w:w="1266" w:type="pct"/>
            <w:shd w:val="clear" w:color="auto" w:fill="auto"/>
            <w:vAlign w:val="center"/>
          </w:tcPr>
          <w:p>
            <w:pPr>
              <w:adjustRightInd w:val="0"/>
              <w:snapToGrid w:val="0"/>
              <w:rPr>
                <w:rFonts w:ascii="宋体" w:hAnsi="宋体"/>
              </w:rPr>
            </w:pPr>
            <w:r>
              <w:rPr>
                <w:rFonts w:ascii="宋体" w:hAnsi="宋体"/>
              </w:rPr>
              <w:t>不锈钢</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密封圈</w:t>
            </w:r>
          </w:p>
        </w:tc>
        <w:tc>
          <w:tcPr>
            <w:tcW w:w="1266" w:type="pct"/>
            <w:shd w:val="clear" w:color="auto" w:fill="auto"/>
            <w:vAlign w:val="center"/>
          </w:tcPr>
          <w:p>
            <w:pPr>
              <w:adjustRightInd w:val="0"/>
              <w:snapToGrid w:val="0"/>
              <w:rPr>
                <w:rFonts w:ascii="宋体" w:hAnsi="宋体"/>
              </w:rPr>
            </w:pPr>
            <w:r>
              <w:rPr>
                <w:rFonts w:ascii="宋体" w:hAnsi="宋体"/>
              </w:rPr>
              <w:t>丁腈橡胶</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过滤器</w:t>
            </w:r>
          </w:p>
        </w:tc>
        <w:tc>
          <w:tcPr>
            <w:tcW w:w="1266" w:type="pct"/>
            <w:shd w:val="clear" w:color="auto" w:fill="auto"/>
            <w:vAlign w:val="center"/>
          </w:tcPr>
          <w:p>
            <w:pPr>
              <w:adjustRightInd w:val="0"/>
              <w:snapToGrid w:val="0"/>
              <w:rPr>
                <w:rFonts w:ascii="宋体" w:hAnsi="宋体"/>
              </w:rPr>
            </w:pPr>
            <w:r>
              <w:rPr>
                <w:rFonts w:ascii="宋体" w:hAnsi="宋体"/>
              </w:rPr>
              <w:t>铜合金</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496" w:name="_Toc106883839"/>
      <w:r>
        <w:rPr>
          <w:rFonts w:hint="eastAsia" w:ascii="宋体" w:hAnsi="宋体"/>
        </w:rPr>
        <w:t>11.1.6调流调压阀</w:t>
      </w:r>
      <w:bookmarkEnd w:id="7496"/>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77"/>
        <w:gridCol w:w="2167"/>
        <w:gridCol w:w="1299"/>
        <w:gridCol w:w="1323"/>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1389" w:type="pct"/>
            <w:shd w:val="clear" w:color="auto" w:fill="auto"/>
            <w:vAlign w:val="center"/>
          </w:tcPr>
          <w:p>
            <w:pPr>
              <w:adjustRightInd w:val="0"/>
              <w:snapToGrid w:val="0"/>
              <w:rPr>
                <w:rFonts w:ascii="宋体" w:hAnsi="宋体"/>
              </w:rPr>
            </w:pPr>
            <w:r>
              <w:rPr>
                <w:rFonts w:ascii="宋体" w:hAnsi="宋体"/>
              </w:rPr>
              <w:t>项目</w:t>
            </w:r>
          </w:p>
        </w:tc>
        <w:tc>
          <w:tcPr>
            <w:tcW w:w="1266" w:type="pct"/>
            <w:shd w:val="clear" w:color="auto" w:fill="auto"/>
            <w:vAlign w:val="center"/>
          </w:tcPr>
          <w:p>
            <w:pPr>
              <w:adjustRightInd w:val="0"/>
              <w:snapToGrid w:val="0"/>
              <w:rPr>
                <w:rFonts w:ascii="宋体" w:hAnsi="宋体"/>
              </w:rPr>
            </w:pPr>
            <w:r>
              <w:rPr>
                <w:rFonts w:ascii="宋体" w:hAnsi="宋体"/>
              </w:rPr>
              <w:t>技术参数要求</w:t>
            </w:r>
          </w:p>
        </w:tc>
        <w:tc>
          <w:tcPr>
            <w:tcW w:w="759" w:type="pct"/>
            <w:shd w:val="clear" w:color="auto" w:fill="auto"/>
            <w:vAlign w:val="center"/>
          </w:tcPr>
          <w:p>
            <w:pPr>
              <w:adjustRightInd w:val="0"/>
              <w:snapToGrid w:val="0"/>
              <w:rPr>
                <w:rFonts w:ascii="宋体" w:hAnsi="宋体"/>
              </w:rPr>
            </w:pPr>
            <w:r>
              <w:rPr>
                <w:rFonts w:ascii="宋体" w:hAnsi="宋体"/>
              </w:rPr>
              <w:t>承包商响应参数</w:t>
            </w:r>
          </w:p>
        </w:tc>
        <w:tc>
          <w:tcPr>
            <w:tcW w:w="773"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813"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制造商</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原产地</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ascii="宋体" w:hAnsi="宋体"/>
              </w:rPr>
              <w:t>型号</w:t>
            </w:r>
          </w:p>
        </w:tc>
        <w:tc>
          <w:tcPr>
            <w:tcW w:w="1266" w:type="pct"/>
            <w:shd w:val="clear" w:color="auto" w:fill="auto"/>
            <w:vAlign w:val="center"/>
          </w:tcPr>
          <w:p>
            <w:pPr>
              <w:adjustRightInd w:val="0"/>
              <w:snapToGrid w:val="0"/>
              <w:rPr>
                <w:rFonts w:ascii="宋体" w:hAnsi="宋体"/>
              </w:rPr>
            </w:pPr>
            <w:r>
              <w:rPr>
                <w:rFonts w:ascii="宋体" w:hAnsi="宋体"/>
              </w:rPr>
              <w:t>/</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rPr>
              <w:t>连接方式</w:t>
            </w:r>
          </w:p>
        </w:tc>
        <w:tc>
          <w:tcPr>
            <w:tcW w:w="1266" w:type="pct"/>
            <w:shd w:val="clear" w:color="auto" w:fill="auto"/>
            <w:vAlign w:val="center"/>
          </w:tcPr>
          <w:p>
            <w:pPr>
              <w:adjustRightInd w:val="0"/>
              <w:snapToGrid w:val="0"/>
              <w:rPr>
                <w:rFonts w:ascii="宋体" w:hAnsi="宋体"/>
              </w:rPr>
            </w:pPr>
            <w:r>
              <w:rPr>
                <w:rFonts w:hint="eastAsia" w:ascii="宋体" w:hAnsi="宋体" w:cs="楷体"/>
              </w:rPr>
              <w:t>双法兰连接</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cs="楷体"/>
                <w:bCs/>
                <w:lang w:bidi="zh-CN"/>
              </w:rPr>
              <w:t>阀体</w:t>
            </w:r>
          </w:p>
        </w:tc>
        <w:tc>
          <w:tcPr>
            <w:tcW w:w="1266" w:type="pct"/>
            <w:shd w:val="clear" w:color="auto" w:fill="auto"/>
            <w:vAlign w:val="center"/>
          </w:tcPr>
          <w:p>
            <w:pPr>
              <w:adjustRightInd w:val="0"/>
              <w:snapToGrid w:val="0"/>
              <w:rPr>
                <w:rFonts w:ascii="宋体" w:hAnsi="宋体"/>
              </w:rPr>
            </w:pPr>
            <w:r>
              <w:rPr>
                <w:rFonts w:hint="eastAsia" w:ascii="宋体" w:hAnsi="宋体"/>
              </w:rPr>
              <w:t>球墨铸铁QT500或同等材质</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cs="楷体"/>
                <w:bCs/>
                <w:lang w:bidi="zh-CN"/>
              </w:rPr>
            </w:pPr>
            <w:r>
              <w:rPr>
                <w:rFonts w:hint="eastAsia" w:ascii="宋体" w:hAnsi="宋体"/>
              </w:rPr>
              <w:t>阀杆</w:t>
            </w:r>
          </w:p>
        </w:tc>
        <w:tc>
          <w:tcPr>
            <w:tcW w:w="1266" w:type="pct"/>
            <w:shd w:val="clear" w:color="auto" w:fill="auto"/>
            <w:vAlign w:val="center"/>
          </w:tcPr>
          <w:p>
            <w:pPr>
              <w:adjustRightInd w:val="0"/>
              <w:snapToGrid w:val="0"/>
              <w:rPr>
                <w:rFonts w:ascii="宋体" w:hAnsi="宋体" w:cs="楷体"/>
                <w:bCs/>
                <w:lang w:bidi="zh-CN"/>
              </w:rPr>
            </w:pPr>
            <w:r>
              <w:rPr>
                <w:rFonts w:hint="eastAsia" w:ascii="宋体" w:hAnsi="宋体"/>
              </w:rPr>
              <w:t>不锈钢2Cr13</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cs="楷体"/>
                <w:bCs/>
                <w:lang w:bidi="zh-CN"/>
              </w:rPr>
            </w:pPr>
            <w:r>
              <w:rPr>
                <w:rFonts w:hint="eastAsia" w:ascii="宋体" w:hAnsi="宋体"/>
              </w:rPr>
              <w:t>活塞</w:t>
            </w:r>
          </w:p>
        </w:tc>
        <w:tc>
          <w:tcPr>
            <w:tcW w:w="1266" w:type="pct"/>
            <w:shd w:val="clear" w:color="auto" w:fill="auto"/>
            <w:vAlign w:val="center"/>
          </w:tcPr>
          <w:p>
            <w:pPr>
              <w:adjustRightInd w:val="0"/>
              <w:snapToGrid w:val="0"/>
              <w:rPr>
                <w:rFonts w:ascii="宋体" w:hAnsi="宋体"/>
              </w:rPr>
            </w:pPr>
            <w:r>
              <w:rPr>
                <w:rFonts w:hint="eastAsia" w:ascii="宋体" w:hAnsi="宋体"/>
              </w:rPr>
              <w:t>不锈钢2Cr13</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tcPr>
          <w:p>
            <w:pPr>
              <w:adjustRightInd w:val="0"/>
              <w:snapToGrid w:val="0"/>
              <w:rPr>
                <w:rFonts w:ascii="宋体" w:hAnsi="宋体"/>
              </w:rPr>
            </w:pPr>
            <w:r>
              <w:rPr>
                <w:rFonts w:hint="eastAsia" w:ascii="宋体" w:hAnsi="宋体"/>
              </w:rPr>
              <w:t>鼠笼/扇叶圈</w:t>
            </w:r>
          </w:p>
        </w:tc>
        <w:tc>
          <w:tcPr>
            <w:tcW w:w="1266" w:type="pct"/>
            <w:shd w:val="clear" w:color="auto" w:fill="auto"/>
          </w:tcPr>
          <w:p>
            <w:pPr>
              <w:adjustRightInd w:val="0"/>
              <w:snapToGrid w:val="0"/>
              <w:rPr>
                <w:rFonts w:ascii="宋体" w:hAnsi="宋体"/>
              </w:rPr>
            </w:pPr>
            <w:r>
              <w:rPr>
                <w:rFonts w:hint="eastAsia" w:ascii="宋体" w:hAnsi="宋体"/>
              </w:rPr>
              <w:t>不锈钢2Cr13</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rPr>
              <w:t>导轨</w:t>
            </w:r>
          </w:p>
        </w:tc>
        <w:tc>
          <w:tcPr>
            <w:tcW w:w="1266" w:type="pct"/>
            <w:shd w:val="clear" w:color="auto" w:fill="auto"/>
            <w:vAlign w:val="center"/>
          </w:tcPr>
          <w:p>
            <w:pPr>
              <w:adjustRightInd w:val="0"/>
              <w:snapToGrid w:val="0"/>
              <w:rPr>
                <w:rFonts w:ascii="宋体" w:hAnsi="宋体"/>
              </w:rPr>
            </w:pPr>
            <w:r>
              <w:rPr>
                <w:rFonts w:hint="eastAsia" w:ascii="宋体" w:hAnsi="宋体"/>
              </w:rPr>
              <w:t>铜合金</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rPr>
              <w:t>O形环密封圈</w:t>
            </w:r>
          </w:p>
        </w:tc>
        <w:tc>
          <w:tcPr>
            <w:tcW w:w="1266" w:type="pct"/>
            <w:shd w:val="clear" w:color="auto" w:fill="auto"/>
            <w:vAlign w:val="center"/>
          </w:tcPr>
          <w:p>
            <w:pPr>
              <w:adjustRightInd w:val="0"/>
              <w:snapToGrid w:val="0"/>
              <w:rPr>
                <w:rFonts w:ascii="宋体" w:hAnsi="宋体"/>
              </w:rPr>
            </w:pPr>
            <w:r>
              <w:rPr>
                <w:rFonts w:hint="eastAsia" w:ascii="宋体" w:hAnsi="宋体"/>
              </w:rPr>
              <w:t>丁晴橡胶NBR</w:t>
            </w:r>
            <w:r>
              <w:rPr>
                <w:rFonts w:ascii="宋体" w:hAnsi="宋体"/>
                <w:kern w:val="0"/>
                <w:szCs w:val="21"/>
              </w:rPr>
              <w:t>或三元乙丙橡胶EPDM</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89" w:type="pct"/>
            <w:shd w:val="clear" w:color="auto" w:fill="auto"/>
            <w:vAlign w:val="center"/>
          </w:tcPr>
          <w:p>
            <w:pPr>
              <w:adjustRightInd w:val="0"/>
              <w:snapToGrid w:val="0"/>
              <w:rPr>
                <w:rFonts w:ascii="宋体" w:hAnsi="宋体"/>
              </w:rPr>
            </w:pPr>
            <w:r>
              <w:rPr>
                <w:rFonts w:hint="eastAsia" w:ascii="宋体" w:hAnsi="宋体"/>
                <w:kern w:val="0"/>
              </w:rPr>
              <w:t>电机外壳防护等级</w:t>
            </w:r>
          </w:p>
        </w:tc>
        <w:tc>
          <w:tcPr>
            <w:tcW w:w="1266" w:type="pct"/>
            <w:shd w:val="clear" w:color="auto" w:fill="auto"/>
            <w:vAlign w:val="center"/>
          </w:tcPr>
          <w:p>
            <w:pPr>
              <w:adjustRightInd w:val="0"/>
              <w:snapToGrid w:val="0"/>
              <w:rPr>
                <w:rFonts w:ascii="宋体" w:hAnsi="宋体"/>
              </w:rPr>
            </w:pPr>
            <w:r>
              <w:rPr>
                <w:rFonts w:hint="eastAsia" w:ascii="宋体" w:hAnsi="宋体"/>
                <w:kern w:val="0"/>
              </w:rPr>
              <w:t>不低于IP67</w:t>
            </w:r>
          </w:p>
        </w:tc>
        <w:tc>
          <w:tcPr>
            <w:tcW w:w="759" w:type="pct"/>
            <w:shd w:val="clear" w:color="auto" w:fill="auto"/>
            <w:vAlign w:val="center"/>
          </w:tcPr>
          <w:p>
            <w:pPr>
              <w:adjustRightInd w:val="0"/>
              <w:snapToGrid w:val="0"/>
              <w:rPr>
                <w:rFonts w:ascii="宋体" w:hAnsi="宋体"/>
              </w:rPr>
            </w:pPr>
          </w:p>
        </w:tc>
        <w:tc>
          <w:tcPr>
            <w:tcW w:w="773" w:type="pct"/>
            <w:shd w:val="clear" w:color="auto" w:fill="auto"/>
            <w:vAlign w:val="center"/>
          </w:tcPr>
          <w:p>
            <w:pPr>
              <w:adjustRightInd w:val="0"/>
              <w:snapToGrid w:val="0"/>
              <w:rPr>
                <w:rFonts w:ascii="宋体" w:hAnsi="宋体"/>
              </w:rPr>
            </w:pPr>
          </w:p>
        </w:tc>
        <w:tc>
          <w:tcPr>
            <w:tcW w:w="813" w:type="pct"/>
            <w:shd w:val="clear" w:color="auto" w:fill="auto"/>
            <w:vAlign w:val="center"/>
          </w:tcPr>
          <w:p>
            <w:pPr>
              <w:adjustRightInd w:val="0"/>
              <w:snapToGrid w:val="0"/>
              <w:rPr>
                <w:rFonts w:ascii="宋体" w:hAnsi="宋体"/>
              </w:rPr>
            </w:pPr>
          </w:p>
        </w:tc>
      </w:tr>
    </w:tbl>
    <w:p>
      <w:pPr>
        <w:keepNext/>
        <w:tabs>
          <w:tab w:val="left" w:pos="993"/>
        </w:tabs>
        <w:adjustRightInd w:val="0"/>
        <w:snapToGrid w:val="0"/>
        <w:spacing w:before="203" w:beforeLines="50" w:after="203" w:afterLines="50"/>
        <w:outlineLvl w:val="2"/>
        <w:rPr>
          <w:rFonts w:ascii="宋体" w:hAnsi="宋体"/>
        </w:rPr>
      </w:pPr>
      <w:bookmarkStart w:id="7497" w:name="_Toc106883840"/>
      <w:r>
        <w:rPr>
          <w:rFonts w:hint="eastAsia" w:ascii="宋体" w:hAnsi="宋体"/>
        </w:rPr>
        <w:t>11.1.7伸缩节</w:t>
      </w:r>
      <w:bookmarkEnd w:id="7497"/>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757"/>
        <w:gridCol w:w="1930"/>
        <w:gridCol w:w="1482"/>
        <w:gridCol w:w="1337"/>
        <w:gridCol w:w="1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项目</w:t>
            </w:r>
          </w:p>
        </w:tc>
        <w:tc>
          <w:tcPr>
            <w:tcW w:w="1128" w:type="pct"/>
            <w:shd w:val="clear" w:color="auto" w:fill="auto"/>
            <w:vAlign w:val="center"/>
          </w:tcPr>
          <w:p>
            <w:pPr>
              <w:adjustRightInd w:val="0"/>
              <w:snapToGrid w:val="0"/>
              <w:rPr>
                <w:rFonts w:ascii="宋体" w:hAnsi="宋体"/>
              </w:rPr>
            </w:pPr>
            <w:r>
              <w:rPr>
                <w:rFonts w:ascii="宋体" w:hAnsi="宋体"/>
              </w:rPr>
              <w:t>技术参数要求</w:t>
            </w:r>
          </w:p>
        </w:tc>
        <w:tc>
          <w:tcPr>
            <w:tcW w:w="866" w:type="pct"/>
            <w:shd w:val="clear" w:color="auto" w:fill="auto"/>
            <w:vAlign w:val="center"/>
          </w:tcPr>
          <w:p>
            <w:pPr>
              <w:adjustRightInd w:val="0"/>
              <w:snapToGrid w:val="0"/>
              <w:rPr>
                <w:rFonts w:ascii="宋体" w:hAnsi="宋体"/>
              </w:rPr>
            </w:pPr>
            <w:r>
              <w:rPr>
                <w:rFonts w:ascii="宋体" w:hAnsi="宋体"/>
              </w:rPr>
              <w:t>承包商响应参数</w:t>
            </w:r>
          </w:p>
        </w:tc>
        <w:tc>
          <w:tcPr>
            <w:tcW w:w="781"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614"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制造商</w:t>
            </w:r>
          </w:p>
        </w:tc>
        <w:tc>
          <w:tcPr>
            <w:tcW w:w="1128" w:type="pct"/>
            <w:shd w:val="clear" w:color="auto" w:fill="auto"/>
            <w:vAlign w:val="center"/>
          </w:tcPr>
          <w:p>
            <w:pPr>
              <w:adjustRightInd w:val="0"/>
              <w:snapToGrid w:val="0"/>
              <w:rPr>
                <w:rFonts w:ascii="宋体" w:hAnsi="宋体"/>
              </w:rPr>
            </w:pPr>
            <w:r>
              <w:rPr>
                <w:rFonts w:ascii="宋体" w:hAnsi="宋体"/>
              </w:rPr>
              <w:t>/</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原产地</w:t>
            </w:r>
          </w:p>
        </w:tc>
        <w:tc>
          <w:tcPr>
            <w:tcW w:w="1128" w:type="pct"/>
            <w:shd w:val="clear" w:color="auto" w:fill="auto"/>
            <w:vAlign w:val="center"/>
          </w:tcPr>
          <w:p>
            <w:pPr>
              <w:adjustRightInd w:val="0"/>
              <w:snapToGrid w:val="0"/>
              <w:rPr>
                <w:rFonts w:ascii="宋体" w:hAnsi="宋体"/>
              </w:rPr>
            </w:pPr>
            <w:r>
              <w:rPr>
                <w:rFonts w:ascii="宋体" w:hAnsi="宋体"/>
              </w:rPr>
              <w:t>/</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型号</w:t>
            </w:r>
          </w:p>
        </w:tc>
        <w:tc>
          <w:tcPr>
            <w:tcW w:w="1128" w:type="pct"/>
            <w:shd w:val="clear" w:color="auto" w:fill="auto"/>
            <w:vAlign w:val="center"/>
          </w:tcPr>
          <w:p>
            <w:pPr>
              <w:adjustRightInd w:val="0"/>
              <w:snapToGrid w:val="0"/>
              <w:rPr>
                <w:rFonts w:ascii="宋体" w:hAnsi="宋体"/>
              </w:rPr>
            </w:pPr>
            <w:r>
              <w:rPr>
                <w:rFonts w:ascii="宋体" w:hAnsi="宋体"/>
              </w:rPr>
              <w:t>/</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hint="eastAsia" w:ascii="宋体" w:hAnsi="宋体" w:cs="楷体"/>
              </w:rPr>
              <w:t>工作压力</w:t>
            </w:r>
          </w:p>
        </w:tc>
        <w:tc>
          <w:tcPr>
            <w:tcW w:w="1128" w:type="pct"/>
            <w:shd w:val="clear" w:color="auto" w:fill="auto"/>
            <w:vAlign w:val="center"/>
          </w:tcPr>
          <w:p>
            <w:pPr>
              <w:adjustRightInd w:val="0"/>
              <w:snapToGrid w:val="0"/>
              <w:rPr>
                <w:rFonts w:ascii="宋体" w:hAnsi="宋体"/>
              </w:rPr>
            </w:pPr>
            <w:r>
              <w:rPr>
                <w:rFonts w:hint="eastAsia" w:ascii="宋体" w:hAnsi="宋体" w:cs="楷体"/>
              </w:rPr>
              <w:t>不低于1.0 Mpa</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hint="eastAsia" w:ascii="宋体" w:hAnsi="宋体" w:cs="楷体"/>
              </w:rPr>
              <w:t>密封圈</w:t>
            </w:r>
          </w:p>
        </w:tc>
        <w:tc>
          <w:tcPr>
            <w:tcW w:w="1128" w:type="pct"/>
            <w:shd w:val="clear" w:color="auto" w:fill="auto"/>
            <w:vAlign w:val="center"/>
          </w:tcPr>
          <w:p>
            <w:pPr>
              <w:adjustRightInd w:val="0"/>
              <w:snapToGrid w:val="0"/>
              <w:rPr>
                <w:rFonts w:ascii="宋体" w:hAnsi="宋体"/>
              </w:rPr>
            </w:pPr>
            <w:r>
              <w:rPr>
                <w:rFonts w:hint="eastAsia" w:ascii="宋体" w:hAnsi="宋体" w:cs="楷体"/>
              </w:rPr>
              <w:t>丁晴橡胶</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hint="eastAsia" w:ascii="宋体" w:hAnsi="宋体" w:cs="楷体"/>
              </w:rPr>
              <w:t>压盖</w:t>
            </w:r>
          </w:p>
        </w:tc>
        <w:tc>
          <w:tcPr>
            <w:tcW w:w="1128" w:type="pct"/>
            <w:shd w:val="clear" w:color="auto" w:fill="auto"/>
            <w:vAlign w:val="center"/>
          </w:tcPr>
          <w:p>
            <w:pPr>
              <w:adjustRightInd w:val="0"/>
              <w:snapToGrid w:val="0"/>
              <w:rPr>
                <w:rFonts w:ascii="宋体" w:hAnsi="宋体"/>
              </w:rPr>
            </w:pPr>
            <w:r>
              <w:rPr>
                <w:rFonts w:hint="eastAsia" w:ascii="宋体" w:hAnsi="宋体" w:cs="楷体"/>
              </w:rPr>
              <w:t>球墨铸铁或铸钢</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hint="eastAsia" w:ascii="宋体" w:hAnsi="宋体" w:cs="楷体"/>
              </w:rPr>
              <w:t>法兰</w:t>
            </w:r>
          </w:p>
        </w:tc>
        <w:tc>
          <w:tcPr>
            <w:tcW w:w="1128" w:type="pct"/>
            <w:shd w:val="clear" w:color="auto" w:fill="auto"/>
            <w:vAlign w:val="center"/>
          </w:tcPr>
          <w:p>
            <w:pPr>
              <w:adjustRightInd w:val="0"/>
              <w:snapToGrid w:val="0"/>
              <w:rPr>
                <w:rFonts w:ascii="宋体" w:hAnsi="宋体"/>
              </w:rPr>
            </w:pPr>
            <w:r>
              <w:rPr>
                <w:rFonts w:hint="eastAsia" w:ascii="宋体" w:hAnsi="宋体" w:cs="楷体"/>
              </w:rPr>
              <w:t>铸钢</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hint="eastAsia" w:ascii="宋体" w:hAnsi="宋体" w:cs="楷体"/>
              </w:rPr>
              <w:t>连接短管</w:t>
            </w:r>
          </w:p>
        </w:tc>
        <w:tc>
          <w:tcPr>
            <w:tcW w:w="1128" w:type="pct"/>
            <w:shd w:val="clear" w:color="auto" w:fill="auto"/>
            <w:vAlign w:val="center"/>
          </w:tcPr>
          <w:p>
            <w:pPr>
              <w:adjustRightInd w:val="0"/>
              <w:snapToGrid w:val="0"/>
              <w:rPr>
                <w:rFonts w:ascii="宋体" w:hAnsi="宋体"/>
              </w:rPr>
            </w:pPr>
            <w:r>
              <w:rPr>
                <w:rFonts w:ascii="宋体" w:hAnsi="宋体" w:cs="楷体"/>
              </w:rPr>
              <w:t>Q235A</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hint="eastAsia" w:ascii="宋体" w:hAnsi="宋体" w:cs="楷体"/>
              </w:rPr>
              <w:t>螺栓螺母</w:t>
            </w:r>
          </w:p>
        </w:tc>
        <w:tc>
          <w:tcPr>
            <w:tcW w:w="1128" w:type="pct"/>
            <w:shd w:val="clear" w:color="auto" w:fill="auto"/>
            <w:vAlign w:val="center"/>
          </w:tcPr>
          <w:p>
            <w:pPr>
              <w:adjustRightInd w:val="0"/>
              <w:snapToGrid w:val="0"/>
              <w:rPr>
                <w:rFonts w:ascii="宋体" w:hAnsi="宋体"/>
              </w:rPr>
            </w:pPr>
            <w:r>
              <w:rPr>
                <w:rFonts w:hint="eastAsia" w:ascii="宋体" w:hAnsi="宋体" w:cs="楷体"/>
              </w:rPr>
              <w:t>Q235A，全部热浸镀锌（直埋的采用不锈钢螺栓）</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bl>
    <w:p>
      <w:pPr>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498" w:name="_Toc106883841"/>
      <w:r>
        <w:rPr>
          <w:rFonts w:hint="eastAsia" w:ascii="宋体" w:hAnsi="宋体"/>
        </w:rPr>
        <w:t>11.1.8</w:t>
      </w:r>
      <w:bookmarkEnd w:id="7489"/>
      <w:r>
        <w:rPr>
          <w:rFonts w:hint="eastAsia" w:ascii="宋体" w:hAnsi="宋体"/>
        </w:rPr>
        <w:t>潜水泵</w:t>
      </w:r>
      <w:bookmarkEnd w:id="7498"/>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757"/>
        <w:gridCol w:w="1930"/>
        <w:gridCol w:w="1482"/>
        <w:gridCol w:w="1337"/>
        <w:gridCol w:w="1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项目</w:t>
            </w:r>
          </w:p>
        </w:tc>
        <w:tc>
          <w:tcPr>
            <w:tcW w:w="1128" w:type="pct"/>
            <w:shd w:val="clear" w:color="auto" w:fill="auto"/>
            <w:vAlign w:val="center"/>
          </w:tcPr>
          <w:p>
            <w:pPr>
              <w:adjustRightInd w:val="0"/>
              <w:snapToGrid w:val="0"/>
              <w:rPr>
                <w:rFonts w:ascii="宋体" w:hAnsi="宋体"/>
              </w:rPr>
            </w:pPr>
            <w:r>
              <w:rPr>
                <w:rFonts w:ascii="宋体" w:hAnsi="宋体"/>
              </w:rPr>
              <w:t>技术参数要求</w:t>
            </w:r>
          </w:p>
        </w:tc>
        <w:tc>
          <w:tcPr>
            <w:tcW w:w="866" w:type="pct"/>
            <w:shd w:val="clear" w:color="auto" w:fill="auto"/>
            <w:vAlign w:val="center"/>
          </w:tcPr>
          <w:p>
            <w:pPr>
              <w:adjustRightInd w:val="0"/>
              <w:snapToGrid w:val="0"/>
              <w:rPr>
                <w:rFonts w:ascii="宋体" w:hAnsi="宋体"/>
              </w:rPr>
            </w:pPr>
            <w:r>
              <w:rPr>
                <w:rFonts w:ascii="宋体" w:hAnsi="宋体"/>
              </w:rPr>
              <w:t>承包商响应参数</w:t>
            </w:r>
          </w:p>
        </w:tc>
        <w:tc>
          <w:tcPr>
            <w:tcW w:w="781"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614"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制造商</w:t>
            </w:r>
          </w:p>
        </w:tc>
        <w:tc>
          <w:tcPr>
            <w:tcW w:w="1128" w:type="pct"/>
            <w:shd w:val="clear" w:color="auto" w:fill="auto"/>
            <w:vAlign w:val="center"/>
          </w:tcPr>
          <w:p>
            <w:pPr>
              <w:adjustRightInd w:val="0"/>
              <w:snapToGrid w:val="0"/>
              <w:rPr>
                <w:rFonts w:ascii="宋体" w:hAnsi="宋体"/>
              </w:rPr>
            </w:pPr>
            <w:r>
              <w:rPr>
                <w:rFonts w:ascii="宋体" w:hAnsi="宋体"/>
              </w:rPr>
              <w:t>/</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原产地</w:t>
            </w:r>
          </w:p>
        </w:tc>
        <w:tc>
          <w:tcPr>
            <w:tcW w:w="1128" w:type="pct"/>
            <w:shd w:val="clear" w:color="auto" w:fill="auto"/>
            <w:vAlign w:val="center"/>
          </w:tcPr>
          <w:p>
            <w:pPr>
              <w:adjustRightInd w:val="0"/>
              <w:snapToGrid w:val="0"/>
              <w:rPr>
                <w:rFonts w:ascii="宋体" w:hAnsi="宋体"/>
              </w:rPr>
            </w:pPr>
            <w:r>
              <w:rPr>
                <w:rFonts w:ascii="宋体" w:hAnsi="宋体"/>
              </w:rPr>
              <w:t>/</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型号</w:t>
            </w:r>
          </w:p>
        </w:tc>
        <w:tc>
          <w:tcPr>
            <w:tcW w:w="1128" w:type="pct"/>
            <w:shd w:val="clear" w:color="auto" w:fill="auto"/>
            <w:vAlign w:val="center"/>
          </w:tcPr>
          <w:p>
            <w:pPr>
              <w:adjustRightInd w:val="0"/>
              <w:snapToGrid w:val="0"/>
              <w:rPr>
                <w:rFonts w:ascii="宋体" w:hAnsi="宋体"/>
              </w:rPr>
            </w:pPr>
            <w:r>
              <w:rPr>
                <w:rFonts w:ascii="宋体" w:hAnsi="宋体"/>
              </w:rPr>
              <w:t>/</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输送介质</w:t>
            </w:r>
          </w:p>
        </w:tc>
        <w:tc>
          <w:tcPr>
            <w:tcW w:w="1128" w:type="pct"/>
            <w:shd w:val="clear" w:color="auto" w:fill="auto"/>
            <w:vAlign w:val="center"/>
          </w:tcPr>
          <w:p>
            <w:pPr>
              <w:adjustRightInd w:val="0"/>
              <w:snapToGrid w:val="0"/>
              <w:rPr>
                <w:rFonts w:ascii="宋体" w:hAnsi="宋体"/>
              </w:rPr>
            </w:pPr>
            <w:r>
              <w:rPr>
                <w:rFonts w:hint="eastAsia" w:ascii="宋体" w:hAnsi="宋体"/>
              </w:rPr>
              <w:t>生产污水</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导轨</w:t>
            </w:r>
          </w:p>
        </w:tc>
        <w:tc>
          <w:tcPr>
            <w:tcW w:w="1128" w:type="pct"/>
            <w:shd w:val="clear" w:color="auto" w:fill="auto"/>
            <w:vAlign w:val="center"/>
          </w:tcPr>
          <w:p>
            <w:pPr>
              <w:adjustRightInd w:val="0"/>
              <w:snapToGrid w:val="0"/>
              <w:rPr>
                <w:rFonts w:ascii="宋体" w:hAnsi="宋体"/>
              </w:rPr>
            </w:pPr>
            <w:r>
              <w:rPr>
                <w:rFonts w:ascii="宋体" w:hAnsi="宋体"/>
              </w:rPr>
              <w:t>配套</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吊链</w:t>
            </w:r>
          </w:p>
        </w:tc>
        <w:tc>
          <w:tcPr>
            <w:tcW w:w="1128" w:type="pct"/>
            <w:shd w:val="clear" w:color="auto" w:fill="auto"/>
            <w:vAlign w:val="center"/>
          </w:tcPr>
          <w:p>
            <w:pPr>
              <w:adjustRightInd w:val="0"/>
              <w:snapToGrid w:val="0"/>
              <w:rPr>
                <w:rFonts w:ascii="宋体" w:hAnsi="宋体"/>
              </w:rPr>
            </w:pPr>
            <w:r>
              <w:rPr>
                <w:rFonts w:ascii="宋体" w:hAnsi="宋体"/>
              </w:rPr>
              <w:t>配套</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紧固件</w:t>
            </w:r>
          </w:p>
        </w:tc>
        <w:tc>
          <w:tcPr>
            <w:tcW w:w="1128" w:type="pct"/>
            <w:shd w:val="clear" w:color="auto" w:fill="auto"/>
            <w:vAlign w:val="center"/>
          </w:tcPr>
          <w:p>
            <w:pPr>
              <w:adjustRightInd w:val="0"/>
              <w:snapToGrid w:val="0"/>
              <w:rPr>
                <w:rFonts w:ascii="宋体" w:hAnsi="宋体"/>
              </w:rPr>
            </w:pPr>
            <w:r>
              <w:rPr>
                <w:rFonts w:ascii="宋体" w:hAnsi="宋体"/>
              </w:rPr>
              <w:t>配套</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机座和出口管</w:t>
            </w:r>
          </w:p>
        </w:tc>
        <w:tc>
          <w:tcPr>
            <w:tcW w:w="1128" w:type="pct"/>
            <w:shd w:val="clear" w:color="auto" w:fill="auto"/>
            <w:vAlign w:val="center"/>
          </w:tcPr>
          <w:p>
            <w:pPr>
              <w:adjustRightInd w:val="0"/>
              <w:snapToGrid w:val="0"/>
              <w:rPr>
                <w:rFonts w:ascii="宋体" w:hAnsi="宋体"/>
              </w:rPr>
            </w:pPr>
            <w:r>
              <w:rPr>
                <w:rFonts w:ascii="宋体" w:hAnsi="宋体"/>
              </w:rPr>
              <w:t>配套</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泵壳材料</w:t>
            </w:r>
          </w:p>
        </w:tc>
        <w:tc>
          <w:tcPr>
            <w:tcW w:w="1128" w:type="pct"/>
            <w:shd w:val="clear" w:color="auto" w:fill="auto"/>
            <w:vAlign w:val="center"/>
          </w:tcPr>
          <w:p>
            <w:pPr>
              <w:adjustRightInd w:val="0"/>
              <w:snapToGrid w:val="0"/>
              <w:rPr>
                <w:rFonts w:ascii="宋体" w:hAnsi="宋体"/>
              </w:rPr>
            </w:pPr>
            <w:r>
              <w:rPr>
                <w:rFonts w:ascii="宋体" w:hAnsi="宋体"/>
              </w:rPr>
              <w:t>铸铁及以上</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叶轮材料</w:t>
            </w:r>
          </w:p>
        </w:tc>
        <w:tc>
          <w:tcPr>
            <w:tcW w:w="1128" w:type="pct"/>
            <w:shd w:val="clear" w:color="auto" w:fill="auto"/>
            <w:vAlign w:val="center"/>
          </w:tcPr>
          <w:p>
            <w:pPr>
              <w:adjustRightInd w:val="0"/>
              <w:snapToGrid w:val="0"/>
              <w:rPr>
                <w:rFonts w:ascii="宋体" w:hAnsi="宋体"/>
              </w:rPr>
            </w:pPr>
            <w:r>
              <w:rPr>
                <w:rFonts w:ascii="宋体" w:hAnsi="宋体"/>
              </w:rPr>
              <w:t>铸铁及以上</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轴材料</w:t>
            </w:r>
          </w:p>
        </w:tc>
        <w:tc>
          <w:tcPr>
            <w:tcW w:w="1128" w:type="pct"/>
            <w:shd w:val="clear" w:color="auto" w:fill="auto"/>
            <w:vAlign w:val="center"/>
          </w:tcPr>
          <w:p>
            <w:pPr>
              <w:adjustRightInd w:val="0"/>
              <w:snapToGrid w:val="0"/>
              <w:rPr>
                <w:rFonts w:ascii="宋体" w:hAnsi="宋体"/>
              </w:rPr>
            </w:pPr>
            <w:r>
              <w:rPr>
                <w:rFonts w:ascii="宋体" w:hAnsi="宋体"/>
              </w:rPr>
              <w:t>不锈钢及以上</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hint="eastAsia" w:ascii="宋体" w:hAnsi="宋体" w:cs="楷体"/>
                <w:bCs/>
              </w:rPr>
              <w:t>静密封材料</w:t>
            </w:r>
          </w:p>
        </w:tc>
        <w:tc>
          <w:tcPr>
            <w:tcW w:w="1128" w:type="pct"/>
            <w:shd w:val="clear" w:color="auto" w:fill="auto"/>
            <w:vAlign w:val="center"/>
          </w:tcPr>
          <w:p>
            <w:pPr>
              <w:adjustRightInd w:val="0"/>
              <w:snapToGrid w:val="0"/>
              <w:rPr>
                <w:rFonts w:ascii="宋体" w:hAnsi="宋体"/>
              </w:rPr>
            </w:pPr>
            <w:r>
              <w:rPr>
                <w:rFonts w:hint="eastAsia" w:ascii="宋体" w:hAnsi="宋体" w:cs="楷体"/>
                <w:bCs/>
              </w:rPr>
              <w:t>丁腈橡胶</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额定电压</w:t>
            </w:r>
          </w:p>
        </w:tc>
        <w:tc>
          <w:tcPr>
            <w:tcW w:w="1128" w:type="pct"/>
            <w:shd w:val="clear" w:color="auto" w:fill="auto"/>
            <w:vAlign w:val="center"/>
          </w:tcPr>
          <w:p>
            <w:pPr>
              <w:adjustRightInd w:val="0"/>
              <w:snapToGrid w:val="0"/>
              <w:rPr>
                <w:rFonts w:ascii="宋体" w:hAnsi="宋体"/>
              </w:rPr>
            </w:pPr>
            <w:r>
              <w:rPr>
                <w:rFonts w:ascii="宋体" w:hAnsi="宋体"/>
              </w:rPr>
              <w:t>380V</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相数</w:t>
            </w:r>
          </w:p>
        </w:tc>
        <w:tc>
          <w:tcPr>
            <w:tcW w:w="1128" w:type="pct"/>
            <w:shd w:val="clear" w:color="auto" w:fill="auto"/>
            <w:vAlign w:val="center"/>
          </w:tcPr>
          <w:p>
            <w:pPr>
              <w:adjustRightInd w:val="0"/>
              <w:snapToGrid w:val="0"/>
              <w:rPr>
                <w:rFonts w:ascii="宋体" w:hAnsi="宋体"/>
              </w:rPr>
            </w:pPr>
            <w:r>
              <w:rPr>
                <w:rFonts w:ascii="宋体" w:hAnsi="宋体"/>
              </w:rPr>
              <w:t>3</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频率</w:t>
            </w:r>
          </w:p>
        </w:tc>
        <w:tc>
          <w:tcPr>
            <w:tcW w:w="1128" w:type="pct"/>
            <w:shd w:val="clear" w:color="auto" w:fill="auto"/>
            <w:vAlign w:val="center"/>
          </w:tcPr>
          <w:p>
            <w:pPr>
              <w:adjustRightInd w:val="0"/>
              <w:snapToGrid w:val="0"/>
              <w:rPr>
                <w:rFonts w:ascii="宋体" w:hAnsi="宋体"/>
              </w:rPr>
            </w:pPr>
            <w:r>
              <w:rPr>
                <w:rFonts w:ascii="宋体" w:hAnsi="宋体"/>
              </w:rPr>
              <w:t>50Hz</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温度传感器</w:t>
            </w:r>
          </w:p>
        </w:tc>
        <w:tc>
          <w:tcPr>
            <w:tcW w:w="1128" w:type="pct"/>
            <w:shd w:val="clear" w:color="auto" w:fill="auto"/>
            <w:vAlign w:val="center"/>
          </w:tcPr>
          <w:p>
            <w:pPr>
              <w:adjustRightInd w:val="0"/>
              <w:snapToGrid w:val="0"/>
              <w:rPr>
                <w:rFonts w:ascii="宋体" w:hAnsi="宋体"/>
              </w:rPr>
            </w:pPr>
            <w:r>
              <w:rPr>
                <w:rFonts w:ascii="宋体" w:hAnsi="宋体"/>
              </w:rPr>
              <w:t>有</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过热保护</w:t>
            </w:r>
          </w:p>
        </w:tc>
        <w:tc>
          <w:tcPr>
            <w:tcW w:w="1128" w:type="pct"/>
            <w:shd w:val="clear" w:color="auto" w:fill="auto"/>
            <w:vAlign w:val="center"/>
          </w:tcPr>
          <w:p>
            <w:pPr>
              <w:adjustRightInd w:val="0"/>
              <w:snapToGrid w:val="0"/>
              <w:rPr>
                <w:rFonts w:ascii="宋体" w:hAnsi="宋体"/>
              </w:rPr>
            </w:pPr>
            <w:r>
              <w:rPr>
                <w:rFonts w:ascii="宋体" w:hAnsi="宋体"/>
              </w:rPr>
              <w:t>有</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hint="eastAsia" w:ascii="宋体" w:hAnsi="宋体" w:cs="楷体"/>
              </w:rPr>
              <w:t>绝缘等级</w:t>
            </w:r>
          </w:p>
        </w:tc>
        <w:tc>
          <w:tcPr>
            <w:tcW w:w="1128" w:type="pct"/>
            <w:shd w:val="clear" w:color="auto" w:fill="auto"/>
            <w:vAlign w:val="center"/>
          </w:tcPr>
          <w:p>
            <w:pPr>
              <w:adjustRightInd w:val="0"/>
              <w:snapToGrid w:val="0"/>
              <w:rPr>
                <w:rFonts w:ascii="宋体" w:hAnsi="宋体"/>
              </w:rPr>
            </w:pPr>
            <w:r>
              <w:rPr>
                <w:rFonts w:hint="eastAsia" w:ascii="宋体" w:hAnsi="宋体" w:cs="楷体"/>
              </w:rPr>
              <w:t>H级</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防护等级</w:t>
            </w:r>
          </w:p>
        </w:tc>
        <w:tc>
          <w:tcPr>
            <w:tcW w:w="1128" w:type="pct"/>
            <w:shd w:val="clear" w:color="auto" w:fill="auto"/>
            <w:vAlign w:val="center"/>
          </w:tcPr>
          <w:p>
            <w:pPr>
              <w:adjustRightInd w:val="0"/>
              <w:snapToGrid w:val="0"/>
              <w:rPr>
                <w:rFonts w:ascii="宋体" w:hAnsi="宋体"/>
              </w:rPr>
            </w:pPr>
            <w:r>
              <w:rPr>
                <w:rFonts w:ascii="宋体" w:hAnsi="宋体"/>
              </w:rPr>
              <w:t>≥IP68</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611" w:type="pct"/>
            <w:shd w:val="clear" w:color="auto" w:fill="auto"/>
            <w:vAlign w:val="center"/>
          </w:tcPr>
          <w:p>
            <w:pPr>
              <w:adjustRightInd w:val="0"/>
              <w:snapToGrid w:val="0"/>
              <w:rPr>
                <w:rFonts w:ascii="宋体" w:hAnsi="宋体"/>
              </w:rPr>
            </w:pPr>
            <w:r>
              <w:rPr>
                <w:rFonts w:ascii="宋体" w:hAnsi="宋体"/>
              </w:rPr>
              <w:t>整机总重量</w:t>
            </w:r>
          </w:p>
        </w:tc>
        <w:tc>
          <w:tcPr>
            <w:tcW w:w="1128" w:type="pct"/>
            <w:shd w:val="clear" w:color="auto" w:fill="auto"/>
            <w:vAlign w:val="center"/>
          </w:tcPr>
          <w:p>
            <w:pPr>
              <w:adjustRightInd w:val="0"/>
              <w:snapToGrid w:val="0"/>
              <w:rPr>
                <w:rFonts w:ascii="宋体" w:hAnsi="宋体"/>
              </w:rPr>
            </w:pPr>
            <w:r>
              <w:rPr>
                <w:rFonts w:ascii="宋体" w:hAnsi="宋体"/>
              </w:rPr>
              <w:t>/</w:t>
            </w:r>
          </w:p>
        </w:tc>
        <w:tc>
          <w:tcPr>
            <w:tcW w:w="866" w:type="pct"/>
            <w:shd w:val="clear" w:color="auto" w:fill="auto"/>
            <w:vAlign w:val="center"/>
          </w:tcPr>
          <w:p>
            <w:pPr>
              <w:adjustRightInd w:val="0"/>
              <w:snapToGrid w:val="0"/>
              <w:rPr>
                <w:rFonts w:ascii="宋体" w:hAnsi="宋体"/>
              </w:rPr>
            </w:pPr>
          </w:p>
        </w:tc>
        <w:tc>
          <w:tcPr>
            <w:tcW w:w="781" w:type="pct"/>
            <w:shd w:val="clear" w:color="auto" w:fill="auto"/>
            <w:vAlign w:val="center"/>
          </w:tcPr>
          <w:p>
            <w:pPr>
              <w:adjustRightInd w:val="0"/>
              <w:snapToGrid w:val="0"/>
              <w:rPr>
                <w:rFonts w:ascii="宋体" w:hAnsi="宋体"/>
              </w:rPr>
            </w:pPr>
          </w:p>
        </w:tc>
        <w:tc>
          <w:tcPr>
            <w:tcW w:w="614"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499" w:name="_Toc106883842"/>
      <w:r>
        <w:rPr>
          <w:rFonts w:hint="eastAsia" w:ascii="宋体" w:hAnsi="宋体"/>
        </w:rPr>
        <w:t>11.1.9离心泵</w:t>
      </w:r>
      <w:bookmarkEnd w:id="7499"/>
    </w:p>
    <w:tbl>
      <w:tblPr>
        <w:tblStyle w:val="7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269"/>
        <w:gridCol w:w="2067"/>
        <w:gridCol w:w="1275"/>
        <w:gridCol w:w="1329"/>
        <w:gridCol w:w="1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项目</w:t>
            </w:r>
          </w:p>
        </w:tc>
        <w:tc>
          <w:tcPr>
            <w:tcW w:w="1208" w:type="pct"/>
            <w:shd w:val="clear" w:color="auto" w:fill="auto"/>
            <w:vAlign w:val="center"/>
          </w:tcPr>
          <w:p>
            <w:pPr>
              <w:adjustRightInd w:val="0"/>
              <w:snapToGrid w:val="0"/>
              <w:rPr>
                <w:rFonts w:ascii="宋体" w:hAnsi="宋体"/>
              </w:rPr>
            </w:pPr>
            <w:r>
              <w:rPr>
                <w:rFonts w:ascii="宋体" w:hAnsi="宋体"/>
              </w:rPr>
              <w:t>技术参数要求</w:t>
            </w:r>
          </w:p>
        </w:tc>
        <w:tc>
          <w:tcPr>
            <w:tcW w:w="745" w:type="pct"/>
            <w:shd w:val="clear" w:color="auto" w:fill="auto"/>
            <w:vAlign w:val="center"/>
          </w:tcPr>
          <w:p>
            <w:pPr>
              <w:adjustRightInd w:val="0"/>
              <w:snapToGrid w:val="0"/>
              <w:rPr>
                <w:rFonts w:ascii="宋体" w:hAnsi="宋体"/>
              </w:rPr>
            </w:pPr>
            <w:r>
              <w:rPr>
                <w:rFonts w:ascii="宋体" w:hAnsi="宋体"/>
              </w:rPr>
              <w:t>承包商响应参数</w:t>
            </w:r>
          </w:p>
        </w:tc>
        <w:tc>
          <w:tcPr>
            <w:tcW w:w="777"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44"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制造商</w:t>
            </w:r>
          </w:p>
        </w:tc>
        <w:tc>
          <w:tcPr>
            <w:tcW w:w="1208" w:type="pct"/>
            <w:shd w:val="clear" w:color="auto" w:fill="auto"/>
            <w:vAlign w:val="center"/>
          </w:tcPr>
          <w:p>
            <w:pPr>
              <w:adjustRightInd w:val="0"/>
              <w:snapToGrid w:val="0"/>
              <w:rPr>
                <w:rFonts w:ascii="宋体" w:hAnsi="宋体"/>
              </w:rPr>
            </w:pPr>
            <w:r>
              <w:rPr>
                <w:rFonts w:ascii="宋体" w:hAnsi="宋体"/>
              </w:rPr>
              <w:t>/</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原产地</w:t>
            </w:r>
          </w:p>
        </w:tc>
        <w:tc>
          <w:tcPr>
            <w:tcW w:w="1208" w:type="pct"/>
            <w:shd w:val="clear" w:color="auto" w:fill="auto"/>
            <w:vAlign w:val="center"/>
          </w:tcPr>
          <w:p>
            <w:pPr>
              <w:adjustRightInd w:val="0"/>
              <w:snapToGrid w:val="0"/>
              <w:rPr>
                <w:rFonts w:ascii="宋体" w:hAnsi="宋体"/>
              </w:rPr>
            </w:pPr>
            <w:r>
              <w:rPr>
                <w:rFonts w:ascii="宋体" w:hAnsi="宋体"/>
              </w:rPr>
              <w:t>/</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型号</w:t>
            </w:r>
          </w:p>
        </w:tc>
        <w:tc>
          <w:tcPr>
            <w:tcW w:w="1208" w:type="pct"/>
            <w:shd w:val="clear" w:color="auto" w:fill="auto"/>
            <w:vAlign w:val="center"/>
          </w:tcPr>
          <w:p>
            <w:pPr>
              <w:adjustRightInd w:val="0"/>
              <w:snapToGrid w:val="0"/>
              <w:rPr>
                <w:rFonts w:ascii="宋体" w:hAnsi="宋体"/>
              </w:rPr>
            </w:pPr>
            <w:r>
              <w:rPr>
                <w:rFonts w:ascii="宋体" w:hAnsi="宋体"/>
              </w:rPr>
              <w:t>/</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输送介质</w:t>
            </w:r>
          </w:p>
        </w:tc>
        <w:tc>
          <w:tcPr>
            <w:tcW w:w="1208" w:type="pct"/>
            <w:shd w:val="clear" w:color="auto" w:fill="auto"/>
            <w:vAlign w:val="center"/>
          </w:tcPr>
          <w:p>
            <w:pPr>
              <w:adjustRightInd w:val="0"/>
              <w:snapToGrid w:val="0"/>
              <w:rPr>
                <w:rFonts w:ascii="宋体" w:hAnsi="宋体"/>
              </w:rPr>
            </w:pPr>
            <w:r>
              <w:rPr>
                <w:rFonts w:hint="eastAsia" w:ascii="宋体" w:hAnsi="宋体"/>
              </w:rPr>
              <w:t>生产用水</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泵壳材料</w:t>
            </w:r>
          </w:p>
        </w:tc>
        <w:tc>
          <w:tcPr>
            <w:tcW w:w="1208" w:type="pct"/>
            <w:shd w:val="clear" w:color="auto" w:fill="auto"/>
            <w:vAlign w:val="center"/>
          </w:tcPr>
          <w:p>
            <w:pPr>
              <w:adjustRightInd w:val="0"/>
              <w:snapToGrid w:val="0"/>
              <w:rPr>
                <w:rFonts w:ascii="宋体" w:hAnsi="宋体"/>
              </w:rPr>
            </w:pPr>
            <w:r>
              <w:rPr>
                <w:rFonts w:ascii="宋体" w:hAnsi="宋体"/>
              </w:rPr>
              <w:t>铸铁及以上</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叶轮材料</w:t>
            </w:r>
          </w:p>
        </w:tc>
        <w:tc>
          <w:tcPr>
            <w:tcW w:w="1208" w:type="pct"/>
            <w:shd w:val="clear" w:color="auto" w:fill="auto"/>
            <w:vAlign w:val="center"/>
          </w:tcPr>
          <w:p>
            <w:pPr>
              <w:adjustRightInd w:val="0"/>
              <w:snapToGrid w:val="0"/>
              <w:rPr>
                <w:rFonts w:ascii="宋体" w:hAnsi="宋体"/>
              </w:rPr>
            </w:pPr>
            <w:r>
              <w:rPr>
                <w:rFonts w:hint="eastAsia" w:ascii="宋体" w:hAnsi="宋体"/>
              </w:rPr>
              <w:t>不锈钢</w:t>
            </w:r>
            <w:r>
              <w:rPr>
                <w:rFonts w:ascii="宋体" w:hAnsi="宋体"/>
              </w:rPr>
              <w:t>及以上</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轴材料</w:t>
            </w:r>
          </w:p>
        </w:tc>
        <w:tc>
          <w:tcPr>
            <w:tcW w:w="1208" w:type="pct"/>
            <w:shd w:val="clear" w:color="auto" w:fill="auto"/>
            <w:vAlign w:val="center"/>
          </w:tcPr>
          <w:p>
            <w:pPr>
              <w:adjustRightInd w:val="0"/>
              <w:snapToGrid w:val="0"/>
              <w:rPr>
                <w:rFonts w:ascii="宋体" w:hAnsi="宋体"/>
              </w:rPr>
            </w:pPr>
            <w:r>
              <w:rPr>
                <w:rFonts w:ascii="宋体" w:hAnsi="宋体"/>
              </w:rPr>
              <w:t>不锈钢及以上</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额定电压</w:t>
            </w:r>
          </w:p>
        </w:tc>
        <w:tc>
          <w:tcPr>
            <w:tcW w:w="1208" w:type="pct"/>
            <w:shd w:val="clear" w:color="auto" w:fill="auto"/>
            <w:vAlign w:val="center"/>
          </w:tcPr>
          <w:p>
            <w:pPr>
              <w:adjustRightInd w:val="0"/>
              <w:snapToGrid w:val="0"/>
              <w:rPr>
                <w:rFonts w:ascii="宋体" w:hAnsi="宋体"/>
              </w:rPr>
            </w:pPr>
            <w:r>
              <w:rPr>
                <w:rFonts w:ascii="宋体" w:hAnsi="宋体"/>
              </w:rPr>
              <w:t>380V</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相数</w:t>
            </w:r>
          </w:p>
        </w:tc>
        <w:tc>
          <w:tcPr>
            <w:tcW w:w="1208" w:type="pct"/>
            <w:shd w:val="clear" w:color="auto" w:fill="auto"/>
            <w:vAlign w:val="center"/>
          </w:tcPr>
          <w:p>
            <w:pPr>
              <w:adjustRightInd w:val="0"/>
              <w:snapToGrid w:val="0"/>
              <w:rPr>
                <w:rFonts w:ascii="宋体" w:hAnsi="宋体"/>
              </w:rPr>
            </w:pPr>
            <w:r>
              <w:rPr>
                <w:rFonts w:ascii="宋体" w:hAnsi="宋体"/>
              </w:rPr>
              <w:t>3</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频率</w:t>
            </w:r>
          </w:p>
        </w:tc>
        <w:tc>
          <w:tcPr>
            <w:tcW w:w="1208" w:type="pct"/>
            <w:shd w:val="clear" w:color="auto" w:fill="auto"/>
            <w:vAlign w:val="center"/>
          </w:tcPr>
          <w:p>
            <w:pPr>
              <w:adjustRightInd w:val="0"/>
              <w:snapToGrid w:val="0"/>
              <w:rPr>
                <w:rFonts w:ascii="宋体" w:hAnsi="宋体"/>
              </w:rPr>
            </w:pPr>
            <w:r>
              <w:rPr>
                <w:rFonts w:ascii="宋体" w:hAnsi="宋体"/>
              </w:rPr>
              <w:t>50Hz</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绝缘等级</w:t>
            </w:r>
          </w:p>
        </w:tc>
        <w:tc>
          <w:tcPr>
            <w:tcW w:w="1208" w:type="pct"/>
            <w:shd w:val="clear" w:color="auto" w:fill="auto"/>
            <w:vAlign w:val="center"/>
          </w:tcPr>
          <w:p>
            <w:pPr>
              <w:adjustRightInd w:val="0"/>
              <w:snapToGrid w:val="0"/>
              <w:rPr>
                <w:rFonts w:ascii="宋体" w:hAnsi="宋体"/>
              </w:rPr>
            </w:pPr>
            <w:r>
              <w:rPr>
                <w:rFonts w:hint="eastAsia" w:ascii="宋体" w:hAnsi="宋体"/>
              </w:rPr>
              <w:t>F</w:t>
            </w:r>
            <w:r>
              <w:rPr>
                <w:rFonts w:ascii="宋体" w:hAnsi="宋体"/>
              </w:rPr>
              <w:t>级</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防护等级</w:t>
            </w:r>
          </w:p>
        </w:tc>
        <w:tc>
          <w:tcPr>
            <w:tcW w:w="1208" w:type="pct"/>
            <w:shd w:val="clear" w:color="auto" w:fill="auto"/>
            <w:vAlign w:val="center"/>
          </w:tcPr>
          <w:p>
            <w:pPr>
              <w:adjustRightInd w:val="0"/>
              <w:snapToGrid w:val="0"/>
              <w:rPr>
                <w:rFonts w:ascii="宋体" w:hAnsi="宋体"/>
              </w:rPr>
            </w:pPr>
            <w:r>
              <w:rPr>
                <w:rFonts w:ascii="宋体" w:hAnsi="宋体"/>
              </w:rPr>
              <w:t>≥IP</w:t>
            </w:r>
            <w:r>
              <w:rPr>
                <w:rFonts w:hint="eastAsia" w:ascii="宋体" w:hAnsi="宋体"/>
              </w:rPr>
              <w:t>55</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整机总重量</w:t>
            </w:r>
          </w:p>
        </w:tc>
        <w:tc>
          <w:tcPr>
            <w:tcW w:w="1208" w:type="pct"/>
            <w:shd w:val="clear" w:color="auto" w:fill="auto"/>
            <w:vAlign w:val="center"/>
          </w:tcPr>
          <w:p>
            <w:pPr>
              <w:adjustRightInd w:val="0"/>
              <w:snapToGrid w:val="0"/>
              <w:rPr>
                <w:rFonts w:ascii="宋体" w:hAnsi="宋体"/>
              </w:rPr>
            </w:pPr>
            <w:r>
              <w:rPr>
                <w:rFonts w:ascii="宋体" w:hAnsi="宋体"/>
              </w:rPr>
              <w:t>/</w:t>
            </w:r>
          </w:p>
        </w:tc>
        <w:tc>
          <w:tcPr>
            <w:tcW w:w="745" w:type="pct"/>
            <w:shd w:val="clear" w:color="auto" w:fill="auto"/>
            <w:vAlign w:val="center"/>
          </w:tcPr>
          <w:p>
            <w:pPr>
              <w:adjustRightInd w:val="0"/>
              <w:snapToGrid w:val="0"/>
              <w:rPr>
                <w:rFonts w:ascii="宋体" w:hAnsi="宋体"/>
              </w:rPr>
            </w:pPr>
          </w:p>
        </w:tc>
        <w:tc>
          <w:tcPr>
            <w:tcW w:w="777" w:type="pct"/>
            <w:shd w:val="clear" w:color="auto" w:fill="auto"/>
            <w:vAlign w:val="center"/>
          </w:tcPr>
          <w:p>
            <w:pPr>
              <w:adjustRightInd w:val="0"/>
              <w:snapToGrid w:val="0"/>
              <w:rPr>
                <w:rFonts w:ascii="宋体" w:hAnsi="宋体"/>
              </w:rPr>
            </w:pPr>
          </w:p>
        </w:tc>
        <w:tc>
          <w:tcPr>
            <w:tcW w:w="944" w:type="pct"/>
            <w:shd w:val="clear" w:color="auto" w:fill="auto"/>
            <w:vAlign w:val="center"/>
          </w:tcPr>
          <w:p>
            <w:pPr>
              <w:adjustRightInd w:val="0"/>
              <w:snapToGrid w:val="0"/>
              <w:rPr>
                <w:rFonts w:ascii="宋体" w:hAnsi="宋体"/>
              </w:rPr>
            </w:pPr>
          </w:p>
        </w:tc>
      </w:tr>
    </w:tbl>
    <w:p>
      <w:pPr>
        <w:keepNext/>
        <w:tabs>
          <w:tab w:val="left" w:pos="993"/>
        </w:tabs>
        <w:adjustRightInd w:val="0"/>
        <w:snapToGrid w:val="0"/>
        <w:spacing w:before="203" w:beforeLines="50" w:after="203" w:afterLines="50"/>
        <w:outlineLvl w:val="2"/>
        <w:rPr>
          <w:rFonts w:ascii="宋体" w:hAnsi="宋体"/>
        </w:rPr>
      </w:pPr>
      <w:bookmarkStart w:id="7500" w:name="_Toc106883843"/>
      <w:r>
        <w:rPr>
          <w:rFonts w:hint="eastAsia" w:ascii="宋体" w:hAnsi="宋体"/>
        </w:rPr>
        <w:t>11.1.10排泥机</w:t>
      </w:r>
      <w:bookmarkEnd w:id="7500"/>
    </w:p>
    <w:p>
      <w:pPr>
        <w:adjustRightInd w:val="0"/>
        <w:snapToGrid w:val="0"/>
        <w:rPr>
          <w:rFonts w:ascii="宋体" w:hAnsi="宋体"/>
        </w:rPr>
      </w:pPr>
      <w:r>
        <w:rPr>
          <w:rFonts w:hint="eastAsia" w:ascii="宋体" w:hAnsi="宋体"/>
        </w:rPr>
        <w:t>（1）虹吸</w:t>
      </w:r>
      <w:r>
        <w:rPr>
          <w:rFonts w:ascii="宋体" w:hAnsi="宋体"/>
        </w:rPr>
        <w:t>排泥</w:t>
      </w:r>
      <w:bookmarkStart w:id="7501" w:name="_Hlk80614081"/>
      <w:r>
        <w:rPr>
          <w:rFonts w:ascii="宋体" w:hAnsi="宋体"/>
        </w:rPr>
        <w:t>机</w:t>
      </w:r>
      <w:r>
        <w:rPr>
          <w:rFonts w:hint="eastAsia" w:ascii="宋体" w:hAnsi="宋体"/>
        </w:rPr>
        <w:t>/机械混合池、折板絮凝、平流沉淀及叠合清水池</w:t>
      </w:r>
    </w:p>
    <w:bookmarkEnd w:id="7501"/>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980"/>
        <w:gridCol w:w="2854"/>
        <w:gridCol w:w="1445"/>
        <w:gridCol w:w="1145"/>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9" w:hRule="atLeast"/>
        </w:trPr>
        <w:tc>
          <w:tcPr>
            <w:tcW w:w="1157" w:type="pct"/>
            <w:shd w:val="clear" w:color="auto" w:fill="auto"/>
            <w:vAlign w:val="center"/>
          </w:tcPr>
          <w:p>
            <w:pPr>
              <w:adjustRightInd w:val="0"/>
              <w:snapToGrid w:val="0"/>
              <w:rPr>
                <w:rFonts w:ascii="宋体" w:hAnsi="宋体"/>
              </w:rPr>
            </w:pPr>
            <w:r>
              <w:rPr>
                <w:rFonts w:ascii="宋体" w:hAnsi="宋体"/>
              </w:rPr>
              <w:t>项目</w:t>
            </w:r>
          </w:p>
        </w:tc>
        <w:tc>
          <w:tcPr>
            <w:tcW w:w="1667" w:type="pct"/>
            <w:shd w:val="clear" w:color="auto" w:fill="auto"/>
            <w:vAlign w:val="center"/>
          </w:tcPr>
          <w:p>
            <w:pPr>
              <w:adjustRightInd w:val="0"/>
              <w:snapToGrid w:val="0"/>
              <w:rPr>
                <w:rFonts w:ascii="宋体" w:hAnsi="宋体"/>
              </w:rPr>
            </w:pPr>
            <w:r>
              <w:rPr>
                <w:rFonts w:ascii="宋体" w:hAnsi="宋体"/>
              </w:rPr>
              <w:t>技术参数要求</w:t>
            </w:r>
          </w:p>
        </w:tc>
        <w:tc>
          <w:tcPr>
            <w:tcW w:w="844" w:type="pct"/>
            <w:shd w:val="clear" w:color="auto" w:fill="auto"/>
            <w:vAlign w:val="center"/>
          </w:tcPr>
          <w:p>
            <w:pPr>
              <w:adjustRightInd w:val="0"/>
              <w:snapToGrid w:val="0"/>
              <w:rPr>
                <w:rFonts w:ascii="宋体" w:hAnsi="宋体"/>
              </w:rPr>
            </w:pPr>
            <w:r>
              <w:rPr>
                <w:rFonts w:ascii="宋体" w:hAnsi="宋体"/>
              </w:rPr>
              <w:t>承包商响应参数</w:t>
            </w:r>
          </w:p>
        </w:tc>
        <w:tc>
          <w:tcPr>
            <w:tcW w:w="66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662"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4" w:hRule="atLeast"/>
        </w:trPr>
        <w:tc>
          <w:tcPr>
            <w:tcW w:w="1157" w:type="pct"/>
            <w:shd w:val="clear" w:color="auto" w:fill="auto"/>
            <w:vAlign w:val="center"/>
          </w:tcPr>
          <w:p>
            <w:pPr>
              <w:adjustRightInd w:val="0"/>
              <w:snapToGrid w:val="0"/>
              <w:rPr>
                <w:rFonts w:ascii="宋体" w:hAnsi="宋体"/>
              </w:rPr>
            </w:pPr>
            <w:r>
              <w:rPr>
                <w:rFonts w:ascii="宋体" w:hAnsi="宋体"/>
              </w:rPr>
              <w:t>制造商</w:t>
            </w:r>
          </w:p>
        </w:tc>
        <w:tc>
          <w:tcPr>
            <w:tcW w:w="1667" w:type="pct"/>
            <w:shd w:val="clear" w:color="auto" w:fill="auto"/>
            <w:vAlign w:val="center"/>
          </w:tcPr>
          <w:p>
            <w:pPr>
              <w:adjustRightInd w:val="0"/>
              <w:snapToGrid w:val="0"/>
              <w:rPr>
                <w:rFonts w:ascii="宋体" w:hAnsi="宋体"/>
              </w:rPr>
            </w:pPr>
            <w:r>
              <w:rPr>
                <w:rFonts w:ascii="宋体" w:hAnsi="宋体"/>
              </w:rPr>
              <w:t>/</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ascii="宋体" w:hAnsi="宋体"/>
              </w:rPr>
              <w:t>原产地</w:t>
            </w:r>
          </w:p>
        </w:tc>
        <w:tc>
          <w:tcPr>
            <w:tcW w:w="1667" w:type="pct"/>
            <w:shd w:val="clear" w:color="auto" w:fill="auto"/>
            <w:vAlign w:val="center"/>
          </w:tcPr>
          <w:p>
            <w:pPr>
              <w:adjustRightInd w:val="0"/>
              <w:snapToGrid w:val="0"/>
              <w:rPr>
                <w:rFonts w:ascii="宋体" w:hAnsi="宋体"/>
              </w:rPr>
            </w:pPr>
            <w:r>
              <w:rPr>
                <w:rFonts w:ascii="宋体" w:hAnsi="宋体"/>
              </w:rPr>
              <w:t>/</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ascii="宋体" w:hAnsi="宋体"/>
              </w:rPr>
              <w:t>工作方式</w:t>
            </w:r>
          </w:p>
        </w:tc>
        <w:tc>
          <w:tcPr>
            <w:tcW w:w="1667" w:type="pct"/>
            <w:shd w:val="clear" w:color="auto" w:fill="auto"/>
            <w:vAlign w:val="center"/>
          </w:tcPr>
          <w:p>
            <w:pPr>
              <w:adjustRightInd w:val="0"/>
              <w:snapToGrid w:val="0"/>
              <w:rPr>
                <w:rFonts w:ascii="宋体" w:hAnsi="宋体"/>
              </w:rPr>
            </w:pPr>
            <w:r>
              <w:rPr>
                <w:rFonts w:ascii="宋体" w:hAnsi="宋体"/>
              </w:rPr>
              <w:t>间歇运转或连续运行</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ascii="宋体" w:hAnsi="宋体"/>
              </w:rPr>
              <w:t>型号</w:t>
            </w:r>
          </w:p>
        </w:tc>
        <w:tc>
          <w:tcPr>
            <w:tcW w:w="1667" w:type="pct"/>
            <w:shd w:val="clear" w:color="auto" w:fill="auto"/>
            <w:vAlign w:val="center"/>
          </w:tcPr>
          <w:p>
            <w:pPr>
              <w:adjustRightInd w:val="0"/>
              <w:snapToGrid w:val="0"/>
              <w:rPr>
                <w:rFonts w:ascii="宋体" w:hAnsi="宋体"/>
              </w:rPr>
            </w:pPr>
            <w:r>
              <w:rPr>
                <w:rFonts w:ascii="宋体" w:hAnsi="宋体"/>
              </w:rPr>
              <w:t>/</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ascii="宋体" w:hAnsi="宋体"/>
              </w:rPr>
              <w:t>输送介质</w:t>
            </w:r>
          </w:p>
        </w:tc>
        <w:tc>
          <w:tcPr>
            <w:tcW w:w="1667" w:type="pct"/>
            <w:shd w:val="clear" w:color="auto" w:fill="auto"/>
            <w:vAlign w:val="center"/>
          </w:tcPr>
          <w:p>
            <w:pPr>
              <w:adjustRightInd w:val="0"/>
              <w:snapToGrid w:val="0"/>
              <w:rPr>
                <w:rFonts w:ascii="宋体" w:hAnsi="宋体"/>
              </w:rPr>
            </w:pPr>
            <w:r>
              <w:rPr>
                <w:rFonts w:hint="eastAsia" w:ascii="宋体" w:hAnsi="宋体"/>
              </w:rPr>
              <w:t>生活原水</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ascii="宋体" w:hAnsi="宋体"/>
              </w:rPr>
              <w:t>数量（套）</w:t>
            </w:r>
          </w:p>
        </w:tc>
        <w:tc>
          <w:tcPr>
            <w:tcW w:w="1667" w:type="pct"/>
            <w:shd w:val="clear" w:color="auto" w:fill="auto"/>
            <w:vAlign w:val="center"/>
          </w:tcPr>
          <w:p>
            <w:pPr>
              <w:adjustRightInd w:val="0"/>
              <w:snapToGrid w:val="0"/>
              <w:rPr>
                <w:rFonts w:ascii="宋体" w:hAnsi="宋体"/>
              </w:rPr>
            </w:pPr>
            <w:r>
              <w:rPr>
                <w:rFonts w:ascii="宋体" w:hAnsi="宋体"/>
              </w:rPr>
              <w:t>1</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hint="eastAsia" w:ascii="宋体" w:hAnsi="宋体"/>
              </w:rPr>
              <w:t>行车驱动方式</w:t>
            </w:r>
          </w:p>
        </w:tc>
        <w:tc>
          <w:tcPr>
            <w:tcW w:w="1667" w:type="pct"/>
            <w:shd w:val="clear" w:color="auto" w:fill="auto"/>
            <w:vAlign w:val="center"/>
          </w:tcPr>
          <w:p>
            <w:pPr>
              <w:adjustRightInd w:val="0"/>
              <w:snapToGrid w:val="0"/>
              <w:rPr>
                <w:rFonts w:ascii="宋体" w:hAnsi="宋体"/>
              </w:rPr>
            </w:pPr>
            <w:r>
              <w:rPr>
                <w:rFonts w:hint="eastAsia" w:ascii="宋体" w:hAnsi="宋体"/>
              </w:rPr>
              <w:t>双边同时同步驱动</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4" w:hRule="atLeast"/>
        </w:trPr>
        <w:tc>
          <w:tcPr>
            <w:tcW w:w="1157" w:type="pct"/>
            <w:shd w:val="clear" w:color="auto" w:fill="auto"/>
            <w:vAlign w:val="center"/>
          </w:tcPr>
          <w:p>
            <w:pPr>
              <w:adjustRightInd w:val="0"/>
              <w:snapToGrid w:val="0"/>
              <w:rPr>
                <w:rFonts w:ascii="宋体" w:hAnsi="宋体"/>
              </w:rPr>
            </w:pPr>
            <w:r>
              <w:rPr>
                <w:rFonts w:hint="eastAsia" w:ascii="宋体" w:hAnsi="宋体"/>
              </w:rPr>
              <w:t>电机功率为</w:t>
            </w:r>
          </w:p>
        </w:tc>
        <w:tc>
          <w:tcPr>
            <w:tcW w:w="1667" w:type="pct"/>
            <w:shd w:val="clear" w:color="auto" w:fill="auto"/>
            <w:vAlign w:val="center"/>
          </w:tcPr>
          <w:p>
            <w:pPr>
              <w:adjustRightInd w:val="0"/>
              <w:snapToGrid w:val="0"/>
              <w:rPr>
                <w:rFonts w:ascii="宋体" w:hAnsi="宋体"/>
              </w:rPr>
            </w:pPr>
            <w:r>
              <w:rPr>
                <w:rFonts w:hint="eastAsia" w:ascii="宋体" w:hAnsi="宋体"/>
              </w:rPr>
              <w:t>2×0.75 kW</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hint="eastAsia" w:ascii="宋体" w:hAnsi="宋体"/>
              </w:rPr>
              <w:t>车轮材质</w:t>
            </w:r>
          </w:p>
        </w:tc>
        <w:tc>
          <w:tcPr>
            <w:tcW w:w="1667" w:type="pct"/>
            <w:shd w:val="clear" w:color="auto" w:fill="auto"/>
            <w:vAlign w:val="center"/>
          </w:tcPr>
          <w:p>
            <w:pPr>
              <w:adjustRightInd w:val="0"/>
              <w:snapToGrid w:val="0"/>
              <w:rPr>
                <w:rFonts w:ascii="宋体" w:hAnsi="宋体"/>
              </w:rPr>
            </w:pPr>
            <w:r>
              <w:rPr>
                <w:rFonts w:hint="eastAsia" w:ascii="宋体" w:hAnsi="宋体"/>
              </w:rPr>
              <w:t>ZG340～640</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hint="eastAsia" w:ascii="宋体" w:hAnsi="宋体"/>
              </w:rPr>
              <w:t>吸泥管路材质</w:t>
            </w:r>
          </w:p>
        </w:tc>
        <w:tc>
          <w:tcPr>
            <w:tcW w:w="1667" w:type="pct"/>
            <w:shd w:val="clear" w:color="auto" w:fill="auto"/>
            <w:vAlign w:val="center"/>
          </w:tcPr>
          <w:p>
            <w:pPr>
              <w:adjustRightInd w:val="0"/>
              <w:snapToGrid w:val="0"/>
              <w:rPr>
                <w:rFonts w:ascii="宋体" w:hAnsi="宋体"/>
              </w:rPr>
            </w:pPr>
            <w:r>
              <w:rPr>
                <w:rFonts w:hint="eastAsia" w:ascii="宋体" w:hAnsi="宋体"/>
              </w:rPr>
              <w:t>不锈钢304</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hint="eastAsia" w:ascii="宋体" w:hAnsi="宋体"/>
              </w:rPr>
              <w:t>集泥刮板材质</w:t>
            </w:r>
          </w:p>
        </w:tc>
        <w:tc>
          <w:tcPr>
            <w:tcW w:w="1667" w:type="pct"/>
            <w:shd w:val="clear" w:color="auto" w:fill="auto"/>
            <w:vAlign w:val="center"/>
          </w:tcPr>
          <w:p>
            <w:pPr>
              <w:adjustRightInd w:val="0"/>
              <w:snapToGrid w:val="0"/>
              <w:rPr>
                <w:rFonts w:ascii="宋体" w:hAnsi="宋体"/>
              </w:rPr>
            </w:pPr>
            <w:r>
              <w:rPr>
                <w:rFonts w:hint="eastAsia" w:ascii="宋体" w:hAnsi="宋体"/>
              </w:rPr>
              <w:t>不锈钢304</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hint="eastAsia" w:ascii="宋体" w:hAnsi="宋体"/>
              </w:rPr>
              <w:t>水封材质</w:t>
            </w:r>
          </w:p>
        </w:tc>
        <w:tc>
          <w:tcPr>
            <w:tcW w:w="1667" w:type="pct"/>
            <w:shd w:val="clear" w:color="auto" w:fill="auto"/>
            <w:vAlign w:val="center"/>
          </w:tcPr>
          <w:p>
            <w:pPr>
              <w:adjustRightInd w:val="0"/>
              <w:snapToGrid w:val="0"/>
              <w:rPr>
                <w:rFonts w:ascii="宋体" w:hAnsi="宋体"/>
              </w:rPr>
            </w:pPr>
            <w:r>
              <w:rPr>
                <w:rFonts w:hint="eastAsia" w:ascii="宋体" w:hAnsi="宋体"/>
              </w:rPr>
              <w:t>不锈钢304</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hint="eastAsia" w:ascii="宋体" w:hAnsi="宋体"/>
              </w:rPr>
              <w:t>紧固件材质</w:t>
            </w:r>
          </w:p>
        </w:tc>
        <w:tc>
          <w:tcPr>
            <w:tcW w:w="1667" w:type="pct"/>
            <w:shd w:val="clear" w:color="auto" w:fill="auto"/>
            <w:vAlign w:val="center"/>
          </w:tcPr>
          <w:p>
            <w:pPr>
              <w:adjustRightInd w:val="0"/>
              <w:snapToGrid w:val="0"/>
              <w:rPr>
                <w:rFonts w:ascii="宋体" w:hAnsi="宋体"/>
              </w:rPr>
            </w:pPr>
            <w:r>
              <w:rPr>
                <w:rFonts w:hint="eastAsia" w:ascii="宋体" w:hAnsi="宋体"/>
              </w:rPr>
              <w:t>水上碳钢，水下不锈钢</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ascii="宋体" w:hAnsi="宋体"/>
              </w:rPr>
              <w:t>电控箱防护等级</w:t>
            </w:r>
          </w:p>
        </w:tc>
        <w:tc>
          <w:tcPr>
            <w:tcW w:w="1667" w:type="pct"/>
            <w:shd w:val="clear" w:color="auto" w:fill="auto"/>
            <w:vAlign w:val="center"/>
          </w:tcPr>
          <w:p>
            <w:pPr>
              <w:adjustRightInd w:val="0"/>
              <w:snapToGrid w:val="0"/>
              <w:rPr>
                <w:rFonts w:ascii="宋体" w:hAnsi="宋体"/>
              </w:rPr>
            </w:pPr>
            <w:r>
              <w:rPr>
                <w:rFonts w:ascii="宋体" w:hAnsi="宋体"/>
              </w:rPr>
              <w:t>IP55</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157" w:type="pct"/>
            <w:shd w:val="clear" w:color="auto" w:fill="auto"/>
            <w:vAlign w:val="center"/>
          </w:tcPr>
          <w:p>
            <w:pPr>
              <w:adjustRightInd w:val="0"/>
              <w:snapToGrid w:val="0"/>
              <w:rPr>
                <w:rFonts w:ascii="宋体" w:hAnsi="宋体"/>
              </w:rPr>
            </w:pPr>
            <w:r>
              <w:rPr>
                <w:rFonts w:ascii="宋体" w:hAnsi="宋体"/>
              </w:rPr>
              <w:t>工作电源</w:t>
            </w:r>
          </w:p>
        </w:tc>
        <w:tc>
          <w:tcPr>
            <w:tcW w:w="1667" w:type="pct"/>
            <w:shd w:val="clear" w:color="auto" w:fill="auto"/>
            <w:vAlign w:val="center"/>
          </w:tcPr>
          <w:p>
            <w:pPr>
              <w:adjustRightInd w:val="0"/>
              <w:snapToGrid w:val="0"/>
              <w:rPr>
                <w:rFonts w:ascii="宋体" w:hAnsi="宋体"/>
              </w:rPr>
            </w:pPr>
            <w:r>
              <w:rPr>
                <w:rFonts w:ascii="宋体" w:hAnsi="宋体"/>
              </w:rPr>
              <w:t>AC380V  50Hz三相五线制</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0" w:hRule="atLeast"/>
        </w:trPr>
        <w:tc>
          <w:tcPr>
            <w:tcW w:w="1157" w:type="pct"/>
            <w:shd w:val="clear" w:color="auto" w:fill="auto"/>
            <w:vAlign w:val="center"/>
          </w:tcPr>
          <w:p>
            <w:pPr>
              <w:adjustRightInd w:val="0"/>
              <w:snapToGrid w:val="0"/>
              <w:rPr>
                <w:rFonts w:ascii="宋体" w:hAnsi="宋体"/>
              </w:rPr>
            </w:pPr>
            <w:r>
              <w:rPr>
                <w:rFonts w:ascii="宋体" w:hAnsi="宋体"/>
              </w:rPr>
              <w:t>控制电源</w:t>
            </w:r>
          </w:p>
        </w:tc>
        <w:tc>
          <w:tcPr>
            <w:tcW w:w="1667" w:type="pct"/>
            <w:shd w:val="clear" w:color="auto" w:fill="auto"/>
            <w:vAlign w:val="center"/>
          </w:tcPr>
          <w:p>
            <w:pPr>
              <w:adjustRightInd w:val="0"/>
              <w:snapToGrid w:val="0"/>
              <w:rPr>
                <w:rFonts w:ascii="宋体" w:hAnsi="宋体"/>
              </w:rPr>
            </w:pPr>
            <w:r>
              <w:rPr>
                <w:rFonts w:ascii="宋体" w:hAnsi="宋体"/>
              </w:rPr>
              <w:t>AC220V  50Hz</w:t>
            </w:r>
          </w:p>
        </w:tc>
        <w:tc>
          <w:tcPr>
            <w:tcW w:w="844" w:type="pct"/>
            <w:shd w:val="clear" w:color="auto" w:fill="auto"/>
            <w:vAlign w:val="center"/>
          </w:tcPr>
          <w:p>
            <w:pPr>
              <w:adjustRightInd w:val="0"/>
              <w:snapToGrid w:val="0"/>
              <w:rPr>
                <w:rFonts w:ascii="宋体" w:hAnsi="宋体"/>
              </w:rPr>
            </w:pPr>
          </w:p>
        </w:tc>
        <w:tc>
          <w:tcPr>
            <w:tcW w:w="669"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502" w:name="_Toc106883844"/>
      <w:r>
        <w:rPr>
          <w:rFonts w:hint="eastAsia" w:ascii="宋体" w:hAnsi="宋体"/>
        </w:rPr>
        <w:t>11.1.11不锈钢集折板</w:t>
      </w:r>
      <w:bookmarkEnd w:id="7502"/>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49"/>
        <w:gridCol w:w="2510"/>
        <w:gridCol w:w="1301"/>
        <w:gridCol w:w="1000"/>
        <w:gridCol w:w="1000"/>
        <w:gridCol w:w="1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项目</w:t>
            </w:r>
          </w:p>
        </w:tc>
        <w:tc>
          <w:tcPr>
            <w:tcW w:w="1466" w:type="pct"/>
            <w:shd w:val="clear" w:color="auto" w:fill="auto"/>
            <w:vAlign w:val="center"/>
          </w:tcPr>
          <w:p>
            <w:pPr>
              <w:adjustRightInd w:val="0"/>
              <w:snapToGrid w:val="0"/>
              <w:rPr>
                <w:rFonts w:ascii="宋体" w:hAnsi="宋体"/>
              </w:rPr>
            </w:pPr>
            <w:r>
              <w:rPr>
                <w:rFonts w:ascii="宋体" w:hAnsi="宋体"/>
              </w:rPr>
              <w:t>技术参数要求</w:t>
            </w:r>
          </w:p>
        </w:tc>
        <w:tc>
          <w:tcPr>
            <w:tcW w:w="760" w:type="pct"/>
            <w:shd w:val="clear" w:color="auto" w:fill="auto"/>
            <w:vAlign w:val="center"/>
          </w:tcPr>
          <w:p>
            <w:pPr>
              <w:adjustRightInd w:val="0"/>
              <w:snapToGrid w:val="0"/>
              <w:rPr>
                <w:rFonts w:ascii="宋体" w:hAnsi="宋体"/>
              </w:rPr>
            </w:pPr>
            <w:r>
              <w:rPr>
                <w:rFonts w:ascii="宋体" w:hAnsi="宋体"/>
              </w:rPr>
              <w:t>承包商响应参数</w:t>
            </w:r>
          </w:p>
        </w:tc>
        <w:tc>
          <w:tcPr>
            <w:tcW w:w="584"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84" w:type="pct"/>
          </w:tcPr>
          <w:p>
            <w:pPr>
              <w:adjustRightInd w:val="0"/>
              <w:snapToGrid w:val="0"/>
              <w:jc w:val="center"/>
              <w:rPr>
                <w:rFonts w:ascii="宋体" w:hAnsi="宋体"/>
              </w:rPr>
            </w:pPr>
          </w:p>
        </w:tc>
        <w:tc>
          <w:tcPr>
            <w:tcW w:w="584"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制造商</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原产地</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型号</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介质温度</w:t>
            </w:r>
          </w:p>
        </w:tc>
        <w:tc>
          <w:tcPr>
            <w:tcW w:w="1466" w:type="pct"/>
            <w:shd w:val="clear" w:color="auto" w:fill="auto"/>
            <w:vAlign w:val="center"/>
          </w:tcPr>
          <w:p>
            <w:pPr>
              <w:adjustRightInd w:val="0"/>
              <w:snapToGrid w:val="0"/>
              <w:rPr>
                <w:rFonts w:ascii="宋体" w:hAnsi="宋体"/>
              </w:rPr>
            </w:pPr>
            <w:r>
              <w:rPr>
                <w:rFonts w:hint="eastAsia" w:ascii="宋体" w:hAnsi="宋体" w:cs="楷体"/>
              </w:rPr>
              <w:t>0～40℃</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折板厚度</w:t>
            </w:r>
          </w:p>
        </w:tc>
        <w:tc>
          <w:tcPr>
            <w:tcW w:w="1466" w:type="pct"/>
            <w:shd w:val="clear" w:color="auto" w:fill="auto"/>
            <w:vAlign w:val="center"/>
          </w:tcPr>
          <w:p>
            <w:pPr>
              <w:adjustRightInd w:val="0"/>
              <w:snapToGrid w:val="0"/>
              <w:rPr>
                <w:rFonts w:ascii="宋体" w:hAnsi="宋体"/>
              </w:rPr>
            </w:pPr>
            <w:r>
              <w:rPr>
                <w:rFonts w:ascii="宋体" w:hAnsi="宋体" w:cs="楷体"/>
              </w:rPr>
              <w:t>3.0±0.08mm</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外形尺寸公差</w:t>
            </w:r>
          </w:p>
        </w:tc>
        <w:tc>
          <w:tcPr>
            <w:tcW w:w="1466" w:type="pct"/>
            <w:shd w:val="clear" w:color="auto" w:fill="auto"/>
            <w:vAlign w:val="center"/>
          </w:tcPr>
          <w:p>
            <w:pPr>
              <w:adjustRightInd w:val="0"/>
              <w:snapToGrid w:val="0"/>
              <w:rPr>
                <w:rFonts w:ascii="宋体" w:hAnsi="宋体"/>
              </w:rPr>
            </w:pPr>
            <w:r>
              <w:rPr>
                <w:rFonts w:ascii="宋体" w:hAnsi="宋体" w:cs="楷体"/>
              </w:rPr>
              <w:t>±4mm</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cs="楷体"/>
              </w:rPr>
            </w:pPr>
            <w:r>
              <w:rPr>
                <w:rFonts w:hint="eastAsia" w:ascii="宋体" w:hAnsi="宋体" w:cs="楷体"/>
              </w:rPr>
              <w:t>折板间距公差</w:t>
            </w:r>
          </w:p>
        </w:tc>
        <w:tc>
          <w:tcPr>
            <w:tcW w:w="1466" w:type="pct"/>
            <w:shd w:val="clear" w:color="auto" w:fill="auto"/>
            <w:vAlign w:val="center"/>
          </w:tcPr>
          <w:p>
            <w:pPr>
              <w:adjustRightInd w:val="0"/>
              <w:snapToGrid w:val="0"/>
              <w:rPr>
                <w:rFonts w:ascii="宋体" w:hAnsi="宋体" w:cs="楷体"/>
              </w:rPr>
            </w:pPr>
            <w:r>
              <w:rPr>
                <w:rFonts w:ascii="宋体" w:hAnsi="宋体" w:cs="楷体"/>
              </w:rPr>
              <w:t>±</w:t>
            </w:r>
            <w:r>
              <w:rPr>
                <w:rFonts w:hint="eastAsia" w:ascii="宋体" w:hAnsi="宋体" w:cs="楷体"/>
              </w:rPr>
              <w:t>2</w:t>
            </w:r>
            <w:r>
              <w:rPr>
                <w:rFonts w:ascii="宋体" w:hAnsi="宋体" w:cs="楷体"/>
              </w:rPr>
              <w:t>mm</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cs="楷体"/>
              </w:rPr>
            </w:pPr>
            <w:r>
              <w:rPr>
                <w:rFonts w:hint="eastAsia" w:ascii="宋体" w:hAnsi="宋体" w:cs="楷体"/>
              </w:rPr>
              <w:t>折板角度公差</w:t>
            </w:r>
          </w:p>
        </w:tc>
        <w:tc>
          <w:tcPr>
            <w:tcW w:w="1466" w:type="pct"/>
            <w:shd w:val="clear" w:color="auto" w:fill="auto"/>
            <w:vAlign w:val="center"/>
          </w:tcPr>
          <w:p>
            <w:pPr>
              <w:adjustRightInd w:val="0"/>
              <w:snapToGrid w:val="0"/>
              <w:rPr>
                <w:rFonts w:ascii="宋体" w:hAnsi="宋体" w:cs="楷体"/>
              </w:rPr>
            </w:pPr>
            <w:r>
              <w:rPr>
                <w:rFonts w:ascii="宋体" w:hAnsi="宋体" w:cs="楷体"/>
              </w:rPr>
              <w:t>±2°</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折板材质</w:t>
            </w:r>
          </w:p>
        </w:tc>
        <w:tc>
          <w:tcPr>
            <w:tcW w:w="1466" w:type="pct"/>
            <w:shd w:val="clear" w:color="auto" w:fill="auto"/>
            <w:vAlign w:val="center"/>
          </w:tcPr>
          <w:p>
            <w:pPr>
              <w:adjustRightInd w:val="0"/>
              <w:snapToGrid w:val="0"/>
              <w:rPr>
                <w:rFonts w:ascii="宋体" w:hAnsi="宋体"/>
              </w:rPr>
            </w:pPr>
            <w:r>
              <w:rPr>
                <w:rFonts w:hint="eastAsia" w:ascii="宋体" w:hAnsi="宋体" w:cs="楷体"/>
              </w:rPr>
              <w:t>304不锈钢</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503" w:name="_Toc106883845"/>
      <w:bookmarkStart w:id="7504" w:name="_Hlk106865277"/>
      <w:r>
        <w:rPr>
          <w:rFonts w:hint="eastAsia" w:ascii="宋体" w:hAnsi="宋体"/>
        </w:rPr>
        <w:t>11.1.13不锈钢集水槽</w:t>
      </w:r>
      <w:bookmarkEnd w:id="7503"/>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49"/>
        <w:gridCol w:w="2510"/>
        <w:gridCol w:w="1301"/>
        <w:gridCol w:w="1000"/>
        <w:gridCol w:w="1000"/>
        <w:gridCol w:w="1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项目</w:t>
            </w:r>
          </w:p>
        </w:tc>
        <w:tc>
          <w:tcPr>
            <w:tcW w:w="1466" w:type="pct"/>
            <w:shd w:val="clear" w:color="auto" w:fill="auto"/>
            <w:vAlign w:val="center"/>
          </w:tcPr>
          <w:p>
            <w:pPr>
              <w:adjustRightInd w:val="0"/>
              <w:snapToGrid w:val="0"/>
              <w:rPr>
                <w:rFonts w:ascii="宋体" w:hAnsi="宋体"/>
              </w:rPr>
            </w:pPr>
            <w:r>
              <w:rPr>
                <w:rFonts w:ascii="宋体" w:hAnsi="宋体"/>
              </w:rPr>
              <w:t>技术参数要求</w:t>
            </w:r>
          </w:p>
        </w:tc>
        <w:tc>
          <w:tcPr>
            <w:tcW w:w="760" w:type="pct"/>
            <w:shd w:val="clear" w:color="auto" w:fill="auto"/>
            <w:vAlign w:val="center"/>
          </w:tcPr>
          <w:p>
            <w:pPr>
              <w:adjustRightInd w:val="0"/>
              <w:snapToGrid w:val="0"/>
              <w:rPr>
                <w:rFonts w:ascii="宋体" w:hAnsi="宋体"/>
              </w:rPr>
            </w:pPr>
            <w:r>
              <w:rPr>
                <w:rFonts w:ascii="宋体" w:hAnsi="宋体"/>
              </w:rPr>
              <w:t>承包商响应参数</w:t>
            </w:r>
          </w:p>
        </w:tc>
        <w:tc>
          <w:tcPr>
            <w:tcW w:w="584"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84" w:type="pct"/>
          </w:tcPr>
          <w:p>
            <w:pPr>
              <w:adjustRightInd w:val="0"/>
              <w:snapToGrid w:val="0"/>
              <w:jc w:val="center"/>
              <w:rPr>
                <w:rFonts w:ascii="宋体" w:hAnsi="宋体"/>
              </w:rPr>
            </w:pPr>
          </w:p>
        </w:tc>
        <w:tc>
          <w:tcPr>
            <w:tcW w:w="584"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制造商</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原产地</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型号</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介质温度</w:t>
            </w:r>
          </w:p>
        </w:tc>
        <w:tc>
          <w:tcPr>
            <w:tcW w:w="1466" w:type="pct"/>
            <w:shd w:val="clear" w:color="auto" w:fill="auto"/>
            <w:vAlign w:val="center"/>
          </w:tcPr>
          <w:p>
            <w:pPr>
              <w:adjustRightInd w:val="0"/>
              <w:snapToGrid w:val="0"/>
              <w:rPr>
                <w:rFonts w:ascii="宋体" w:hAnsi="宋体"/>
              </w:rPr>
            </w:pPr>
            <w:r>
              <w:rPr>
                <w:rFonts w:hint="eastAsia" w:ascii="宋体" w:hAnsi="宋体" w:cs="楷体"/>
              </w:rPr>
              <w:t>3～30℃</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集水槽垂直度</w:t>
            </w:r>
          </w:p>
        </w:tc>
        <w:tc>
          <w:tcPr>
            <w:tcW w:w="1466" w:type="pct"/>
            <w:shd w:val="clear" w:color="auto" w:fill="auto"/>
            <w:vAlign w:val="center"/>
          </w:tcPr>
          <w:p>
            <w:pPr>
              <w:adjustRightInd w:val="0"/>
              <w:snapToGrid w:val="0"/>
              <w:rPr>
                <w:rFonts w:ascii="宋体" w:hAnsi="宋体"/>
              </w:rPr>
            </w:pPr>
            <w:r>
              <w:rPr>
                <w:rFonts w:hint="eastAsia" w:ascii="宋体" w:hAnsi="宋体" w:cs="楷体"/>
              </w:rPr>
              <w:t>±0.5°</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集水槽厚度</w:t>
            </w:r>
          </w:p>
        </w:tc>
        <w:tc>
          <w:tcPr>
            <w:tcW w:w="1466" w:type="pct"/>
            <w:shd w:val="clear" w:color="auto" w:fill="auto"/>
            <w:vAlign w:val="center"/>
          </w:tcPr>
          <w:p>
            <w:pPr>
              <w:adjustRightInd w:val="0"/>
              <w:snapToGrid w:val="0"/>
              <w:rPr>
                <w:rFonts w:ascii="宋体" w:hAnsi="宋体"/>
              </w:rPr>
            </w:pPr>
            <w:r>
              <w:rPr>
                <w:rFonts w:ascii="宋体" w:hAnsi="宋体" w:cs="楷体"/>
              </w:rPr>
              <w:t>4</w:t>
            </w:r>
            <w:r>
              <w:rPr>
                <w:rFonts w:hint="eastAsia" w:ascii="宋体" w:hAnsi="宋体" w:cs="楷体"/>
              </w:rPr>
              <w:t>mm，不允许负差</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集水槽材质</w:t>
            </w:r>
          </w:p>
        </w:tc>
        <w:tc>
          <w:tcPr>
            <w:tcW w:w="1466" w:type="pct"/>
            <w:shd w:val="clear" w:color="auto" w:fill="auto"/>
            <w:vAlign w:val="center"/>
          </w:tcPr>
          <w:p>
            <w:pPr>
              <w:adjustRightInd w:val="0"/>
              <w:snapToGrid w:val="0"/>
              <w:rPr>
                <w:rFonts w:ascii="宋体" w:hAnsi="宋体"/>
              </w:rPr>
            </w:pPr>
            <w:r>
              <w:rPr>
                <w:rFonts w:hint="eastAsia" w:ascii="宋体" w:hAnsi="宋体" w:cs="楷体"/>
              </w:rPr>
              <w:t>SUS304不锈钢</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bookmarkEnd w:id="7504"/>
    </w:tbl>
    <w:p>
      <w:pPr>
        <w:keepNext/>
        <w:tabs>
          <w:tab w:val="left" w:pos="993"/>
        </w:tabs>
        <w:adjustRightInd w:val="0"/>
        <w:snapToGrid w:val="0"/>
        <w:spacing w:before="203" w:beforeLines="50" w:after="203" w:afterLines="50"/>
        <w:outlineLvl w:val="2"/>
        <w:rPr>
          <w:rFonts w:ascii="宋体" w:hAnsi="宋体"/>
        </w:rPr>
      </w:pPr>
      <w:bookmarkStart w:id="7505" w:name="_Toc106883846"/>
      <w:r>
        <w:rPr>
          <w:rFonts w:hint="eastAsia" w:ascii="宋体" w:hAnsi="宋体"/>
        </w:rPr>
        <w:t>11.1.14滤板、滤头及石英砂</w:t>
      </w:r>
      <w:bookmarkEnd w:id="7505"/>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49"/>
        <w:gridCol w:w="2510"/>
        <w:gridCol w:w="1301"/>
        <w:gridCol w:w="1000"/>
        <w:gridCol w:w="1000"/>
        <w:gridCol w:w="1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项目</w:t>
            </w:r>
          </w:p>
        </w:tc>
        <w:tc>
          <w:tcPr>
            <w:tcW w:w="1466" w:type="pct"/>
            <w:shd w:val="clear" w:color="auto" w:fill="auto"/>
            <w:vAlign w:val="center"/>
          </w:tcPr>
          <w:p>
            <w:pPr>
              <w:adjustRightInd w:val="0"/>
              <w:snapToGrid w:val="0"/>
              <w:rPr>
                <w:rFonts w:ascii="宋体" w:hAnsi="宋体"/>
              </w:rPr>
            </w:pPr>
            <w:r>
              <w:rPr>
                <w:rFonts w:ascii="宋体" w:hAnsi="宋体"/>
              </w:rPr>
              <w:t>技术参数要求</w:t>
            </w:r>
          </w:p>
        </w:tc>
        <w:tc>
          <w:tcPr>
            <w:tcW w:w="760" w:type="pct"/>
            <w:shd w:val="clear" w:color="auto" w:fill="auto"/>
            <w:vAlign w:val="center"/>
          </w:tcPr>
          <w:p>
            <w:pPr>
              <w:adjustRightInd w:val="0"/>
              <w:snapToGrid w:val="0"/>
              <w:rPr>
                <w:rFonts w:ascii="宋体" w:hAnsi="宋体"/>
              </w:rPr>
            </w:pPr>
            <w:r>
              <w:rPr>
                <w:rFonts w:ascii="宋体" w:hAnsi="宋体"/>
              </w:rPr>
              <w:t>承包商响应参数</w:t>
            </w:r>
          </w:p>
        </w:tc>
        <w:tc>
          <w:tcPr>
            <w:tcW w:w="584"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84" w:type="pct"/>
          </w:tcPr>
          <w:p>
            <w:pPr>
              <w:adjustRightInd w:val="0"/>
              <w:snapToGrid w:val="0"/>
              <w:jc w:val="center"/>
              <w:rPr>
                <w:rFonts w:ascii="宋体" w:hAnsi="宋体"/>
              </w:rPr>
            </w:pPr>
          </w:p>
        </w:tc>
        <w:tc>
          <w:tcPr>
            <w:tcW w:w="584"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制造商</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原产地</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ascii="宋体" w:hAnsi="宋体"/>
              </w:rPr>
              <w:t>型号</w:t>
            </w:r>
          </w:p>
        </w:tc>
        <w:tc>
          <w:tcPr>
            <w:tcW w:w="1466" w:type="pct"/>
            <w:shd w:val="clear" w:color="auto" w:fill="auto"/>
            <w:vAlign w:val="center"/>
          </w:tcPr>
          <w:p>
            <w:pPr>
              <w:adjustRightInd w:val="0"/>
              <w:snapToGrid w:val="0"/>
              <w:rPr>
                <w:rFonts w:ascii="宋体" w:hAnsi="宋体"/>
              </w:rPr>
            </w:pPr>
            <w:r>
              <w:rPr>
                <w:rFonts w:ascii="宋体" w:hAnsi="宋体"/>
              </w:rPr>
              <w:t>/</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滤板厚度</w:t>
            </w:r>
          </w:p>
        </w:tc>
        <w:tc>
          <w:tcPr>
            <w:tcW w:w="1466" w:type="pct"/>
            <w:shd w:val="clear" w:color="auto" w:fill="auto"/>
            <w:vAlign w:val="center"/>
          </w:tcPr>
          <w:p>
            <w:pPr>
              <w:adjustRightInd w:val="0"/>
              <w:snapToGrid w:val="0"/>
              <w:rPr>
                <w:rFonts w:ascii="宋体" w:hAnsi="宋体"/>
              </w:rPr>
            </w:pPr>
            <w:r>
              <w:rPr>
                <w:rFonts w:hint="eastAsia" w:ascii="宋体" w:hAnsi="宋体" w:cs="楷体"/>
              </w:rPr>
              <w:t>100mm</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cs="楷体"/>
              </w:rPr>
            </w:pPr>
            <w:r>
              <w:rPr>
                <w:rFonts w:hint="eastAsia" w:ascii="宋体" w:hAnsi="宋体" w:cs="楷体"/>
              </w:rPr>
              <w:t>滤板平整度</w:t>
            </w:r>
          </w:p>
        </w:tc>
        <w:tc>
          <w:tcPr>
            <w:tcW w:w="1466" w:type="pct"/>
            <w:shd w:val="clear" w:color="auto" w:fill="auto"/>
            <w:vAlign w:val="center"/>
          </w:tcPr>
          <w:p>
            <w:pPr>
              <w:adjustRightInd w:val="0"/>
              <w:snapToGrid w:val="0"/>
              <w:rPr>
                <w:rFonts w:ascii="宋体" w:hAnsi="宋体" w:cs="楷体"/>
              </w:rPr>
            </w:pPr>
            <w:r>
              <w:rPr>
                <w:rFonts w:hint="eastAsia" w:ascii="宋体" w:hAnsi="宋体" w:cs="楷体"/>
              </w:rPr>
              <w:t>0.1%</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滤头形式</w:t>
            </w:r>
          </w:p>
        </w:tc>
        <w:tc>
          <w:tcPr>
            <w:tcW w:w="1466" w:type="pct"/>
            <w:shd w:val="clear" w:color="auto" w:fill="auto"/>
            <w:vAlign w:val="center"/>
          </w:tcPr>
          <w:p>
            <w:pPr>
              <w:adjustRightInd w:val="0"/>
              <w:snapToGrid w:val="0"/>
              <w:rPr>
                <w:rFonts w:ascii="宋体" w:hAnsi="宋体"/>
              </w:rPr>
            </w:pPr>
            <w:r>
              <w:rPr>
                <w:rFonts w:hint="eastAsia" w:ascii="宋体" w:hAnsi="宋体" w:cs="楷体"/>
              </w:rPr>
              <w:t>伞形长柄滤头，采用ABS或PP塑料制成</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石英砂有效粒径</w:t>
            </w:r>
          </w:p>
        </w:tc>
        <w:tc>
          <w:tcPr>
            <w:tcW w:w="1466" w:type="pct"/>
            <w:shd w:val="clear" w:color="auto" w:fill="auto"/>
            <w:vAlign w:val="center"/>
          </w:tcPr>
          <w:p>
            <w:pPr>
              <w:adjustRightInd w:val="0"/>
              <w:snapToGrid w:val="0"/>
              <w:rPr>
                <w:rFonts w:ascii="宋体" w:hAnsi="宋体"/>
              </w:rPr>
            </w:pPr>
            <w:r>
              <w:rPr>
                <w:rFonts w:hint="eastAsia" w:ascii="宋体" w:hAnsi="宋体" w:cs="楷体"/>
              </w:rPr>
              <w:t>0.9</w:t>
            </w:r>
            <w:r>
              <w:rPr>
                <w:rFonts w:ascii="宋体" w:hAnsi="宋体" w:cs="楷体"/>
              </w:rPr>
              <w:t>5</w:t>
            </w:r>
            <w:r>
              <w:rPr>
                <w:rFonts w:hint="eastAsia" w:ascii="宋体" w:hAnsi="宋体" w:cs="楷体"/>
              </w:rPr>
              <w:t>&lt;TE&lt;1.</w:t>
            </w:r>
            <w:r>
              <w:rPr>
                <w:rFonts w:ascii="宋体" w:hAnsi="宋体" w:cs="楷体"/>
              </w:rPr>
              <w:t>35</w:t>
            </w:r>
            <w:r>
              <w:rPr>
                <w:rFonts w:hint="eastAsia" w:ascii="宋体" w:hAnsi="宋体" w:cs="楷体"/>
              </w:rPr>
              <w:t>(毫米)</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022" w:type="pct"/>
            <w:shd w:val="clear" w:color="auto" w:fill="auto"/>
            <w:vAlign w:val="center"/>
          </w:tcPr>
          <w:p>
            <w:pPr>
              <w:adjustRightInd w:val="0"/>
              <w:snapToGrid w:val="0"/>
              <w:rPr>
                <w:rFonts w:ascii="宋体" w:hAnsi="宋体"/>
              </w:rPr>
            </w:pPr>
            <w:r>
              <w:rPr>
                <w:rFonts w:hint="eastAsia" w:ascii="宋体" w:hAnsi="宋体" w:cs="楷体"/>
              </w:rPr>
              <w:t>石英砂压实后的表面密度</w:t>
            </w:r>
          </w:p>
        </w:tc>
        <w:tc>
          <w:tcPr>
            <w:tcW w:w="1466" w:type="pct"/>
            <w:shd w:val="clear" w:color="auto" w:fill="auto"/>
            <w:vAlign w:val="center"/>
          </w:tcPr>
          <w:p>
            <w:pPr>
              <w:adjustRightInd w:val="0"/>
              <w:snapToGrid w:val="0"/>
              <w:rPr>
                <w:rFonts w:ascii="宋体" w:hAnsi="宋体"/>
              </w:rPr>
            </w:pPr>
            <w:r>
              <w:rPr>
                <w:rFonts w:hint="eastAsia" w:ascii="宋体" w:hAnsi="宋体" w:cs="楷体"/>
              </w:rPr>
              <w:t>1.5&lt;dapp&lt;1.7</w:t>
            </w:r>
          </w:p>
        </w:tc>
        <w:tc>
          <w:tcPr>
            <w:tcW w:w="760" w:type="pct"/>
            <w:shd w:val="clear" w:color="auto" w:fill="auto"/>
            <w:vAlign w:val="center"/>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c>
          <w:tcPr>
            <w:tcW w:w="584" w:type="pct"/>
          </w:tcPr>
          <w:p>
            <w:pPr>
              <w:adjustRightInd w:val="0"/>
              <w:snapToGrid w:val="0"/>
              <w:rPr>
                <w:rFonts w:ascii="宋体" w:hAnsi="宋体"/>
              </w:rPr>
            </w:pPr>
          </w:p>
        </w:tc>
        <w:tc>
          <w:tcPr>
            <w:tcW w:w="584" w:type="pct"/>
            <w:shd w:val="clear" w:color="auto" w:fill="auto"/>
            <w:vAlign w:val="center"/>
          </w:tcPr>
          <w:p>
            <w:pPr>
              <w:adjustRightInd w:val="0"/>
              <w:snapToGrid w:val="0"/>
              <w:rPr>
                <w:rFonts w:ascii="宋体" w:hAnsi="宋体"/>
              </w:rPr>
            </w:pPr>
          </w:p>
        </w:tc>
      </w:tr>
    </w:tbl>
    <w:p>
      <w:pPr>
        <w:keepNext/>
        <w:tabs>
          <w:tab w:val="left" w:pos="993"/>
        </w:tabs>
        <w:adjustRightInd w:val="0"/>
        <w:snapToGrid w:val="0"/>
        <w:spacing w:before="203" w:beforeLines="50" w:after="203" w:afterLines="50"/>
        <w:outlineLvl w:val="2"/>
        <w:rPr>
          <w:rFonts w:ascii="宋体" w:hAnsi="宋体"/>
        </w:rPr>
      </w:pPr>
      <w:bookmarkStart w:id="7506" w:name="_Toc106883847"/>
      <w:r>
        <w:rPr>
          <w:rFonts w:hint="eastAsia" w:ascii="宋体" w:hAnsi="宋体"/>
        </w:rPr>
        <w:t>11.1.14罗茨鼓风机</w:t>
      </w:r>
      <w:bookmarkEnd w:id="7506"/>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982"/>
        <w:gridCol w:w="2799"/>
        <w:gridCol w:w="1568"/>
        <w:gridCol w:w="1090"/>
        <w:gridCol w:w="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项目</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技术参数要求</w:t>
            </w:r>
          </w:p>
        </w:tc>
        <w:tc>
          <w:tcPr>
            <w:tcW w:w="916" w:type="pct"/>
            <w:shd w:val="clear" w:color="auto" w:fill="auto"/>
            <w:vAlign w:val="center"/>
          </w:tcPr>
          <w:p>
            <w:pPr>
              <w:adjustRightInd w:val="0"/>
              <w:snapToGrid w:val="0"/>
              <w:rPr>
                <w:rFonts w:ascii="宋体" w:hAnsi="宋体" w:cs="楷体"/>
              </w:rPr>
            </w:pPr>
            <w:r>
              <w:rPr>
                <w:rFonts w:hint="eastAsia" w:ascii="宋体" w:hAnsi="宋体" w:cs="楷体"/>
              </w:rPr>
              <w:t>承包商响应参数</w:t>
            </w:r>
          </w:p>
        </w:tc>
        <w:tc>
          <w:tcPr>
            <w:tcW w:w="637" w:type="pct"/>
            <w:shd w:val="clear" w:color="auto" w:fill="auto"/>
            <w:vAlign w:val="center"/>
          </w:tcPr>
          <w:p>
            <w:pPr>
              <w:adjustRightInd w:val="0"/>
              <w:snapToGrid w:val="0"/>
              <w:jc w:val="center"/>
              <w:rPr>
                <w:rFonts w:ascii="宋体" w:hAnsi="宋体" w:cs="楷体"/>
              </w:rPr>
            </w:pPr>
            <w:r>
              <w:rPr>
                <w:rFonts w:hint="eastAsia" w:ascii="宋体" w:hAnsi="宋体"/>
              </w:rPr>
              <w:t>偏离情况</w:t>
            </w:r>
          </w:p>
        </w:tc>
        <w:tc>
          <w:tcPr>
            <w:tcW w:w="653" w:type="pct"/>
            <w:shd w:val="clear" w:color="auto" w:fill="auto"/>
            <w:vAlign w:val="center"/>
          </w:tcPr>
          <w:p>
            <w:pPr>
              <w:adjustRightInd w:val="0"/>
              <w:snapToGrid w:val="0"/>
              <w:jc w:val="center"/>
              <w:rPr>
                <w:rFonts w:ascii="宋体" w:hAnsi="宋体" w:cs="楷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制造商</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原产地</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型号</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输送介质</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空气</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数量（套）</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2</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结构形式</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三叶式罗茨鼓风机</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机壳材料</w:t>
            </w:r>
          </w:p>
        </w:tc>
        <w:tc>
          <w:tcPr>
            <w:tcW w:w="1635" w:type="pct"/>
            <w:shd w:val="clear" w:color="auto" w:fill="auto"/>
            <w:vAlign w:val="center"/>
          </w:tcPr>
          <w:p>
            <w:pPr>
              <w:adjustRightInd w:val="0"/>
              <w:snapToGrid w:val="0"/>
              <w:rPr>
                <w:rFonts w:ascii="宋体" w:hAnsi="宋体" w:cs="楷体"/>
              </w:rPr>
            </w:pPr>
            <w:r>
              <w:rPr>
                <w:rFonts w:hint="eastAsia" w:ascii="宋体" w:hAnsi="宋体"/>
                <w:szCs w:val="21"/>
              </w:rPr>
              <w:t>灰铸铁HT250</w:t>
            </w:r>
            <w:r>
              <w:rPr>
                <w:rFonts w:hint="eastAsia" w:ascii="宋体" w:hAnsi="宋体" w:cs="楷体"/>
              </w:rPr>
              <w:t>相当或更优材质</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叶轴材料</w:t>
            </w:r>
          </w:p>
        </w:tc>
        <w:tc>
          <w:tcPr>
            <w:tcW w:w="1635" w:type="pct"/>
            <w:shd w:val="clear" w:color="auto" w:fill="auto"/>
            <w:vAlign w:val="center"/>
          </w:tcPr>
          <w:p>
            <w:pPr>
              <w:adjustRightInd w:val="0"/>
              <w:snapToGrid w:val="0"/>
              <w:rPr>
                <w:rFonts w:ascii="宋体" w:hAnsi="宋体" w:cs="楷体"/>
              </w:rPr>
            </w:pPr>
            <w:r>
              <w:rPr>
                <w:rFonts w:hint="eastAsia" w:ascii="宋体" w:hAnsi="宋体"/>
                <w:szCs w:val="21"/>
              </w:rPr>
              <w:t>球墨铸铁QT600-3</w:t>
            </w:r>
            <w:r>
              <w:rPr>
                <w:rFonts w:hint="eastAsia" w:ascii="宋体" w:hAnsi="宋体" w:cs="楷体"/>
              </w:rPr>
              <w:t>相当或更优材质</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1"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转子材料</w:t>
            </w:r>
          </w:p>
        </w:tc>
        <w:tc>
          <w:tcPr>
            <w:tcW w:w="1635" w:type="pct"/>
            <w:shd w:val="clear" w:color="auto" w:fill="auto"/>
            <w:vAlign w:val="center"/>
          </w:tcPr>
          <w:p>
            <w:pPr>
              <w:adjustRightInd w:val="0"/>
              <w:snapToGrid w:val="0"/>
              <w:rPr>
                <w:rFonts w:ascii="宋体" w:hAnsi="宋体" w:cs="楷体"/>
              </w:rPr>
            </w:pPr>
            <w:r>
              <w:rPr>
                <w:rFonts w:hint="eastAsia" w:ascii="宋体" w:hAnsi="宋体"/>
                <w:szCs w:val="21"/>
              </w:rPr>
              <w:t>球墨铸铁QT600-3</w:t>
            </w:r>
            <w:r>
              <w:rPr>
                <w:rFonts w:hint="eastAsia" w:ascii="宋体" w:hAnsi="宋体" w:cs="楷体"/>
              </w:rPr>
              <w:t>相当或更优材质</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齿轮材料</w:t>
            </w:r>
          </w:p>
        </w:tc>
        <w:tc>
          <w:tcPr>
            <w:tcW w:w="1635" w:type="pct"/>
            <w:shd w:val="clear" w:color="auto" w:fill="auto"/>
            <w:vAlign w:val="center"/>
          </w:tcPr>
          <w:p>
            <w:pPr>
              <w:adjustRightInd w:val="0"/>
              <w:snapToGrid w:val="0"/>
              <w:rPr>
                <w:rFonts w:ascii="宋体" w:hAnsi="宋体" w:cs="楷体"/>
              </w:rPr>
            </w:pPr>
            <w:r>
              <w:rPr>
                <w:rFonts w:hint="eastAsia" w:ascii="宋体" w:hAnsi="宋体"/>
                <w:szCs w:val="21"/>
              </w:rPr>
              <w:t>20GrMo硬质合金</w:t>
            </w:r>
            <w:r>
              <w:rPr>
                <w:rFonts w:hint="eastAsia" w:ascii="宋体" w:hAnsi="宋体" w:cs="楷体"/>
              </w:rPr>
              <w:t>相当或更优材质</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隔音罩材料</w:t>
            </w:r>
          </w:p>
        </w:tc>
        <w:tc>
          <w:tcPr>
            <w:tcW w:w="1635" w:type="pct"/>
            <w:shd w:val="clear" w:color="auto" w:fill="auto"/>
            <w:vAlign w:val="center"/>
          </w:tcPr>
          <w:p>
            <w:pPr>
              <w:adjustRightInd w:val="0"/>
              <w:snapToGrid w:val="0"/>
              <w:rPr>
                <w:rFonts w:ascii="宋体" w:hAnsi="宋体" w:cs="楷体"/>
              </w:rPr>
            </w:pPr>
            <w:r>
              <w:rPr>
                <w:rFonts w:hint="eastAsia" w:ascii="宋体" w:hAnsi="宋体"/>
                <w:szCs w:val="21"/>
              </w:rPr>
              <w:t>轻薄不锈钢（304）钢板压制或采用冷钢板喷塑</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进气温度</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≤40℃</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风量</w:t>
            </w:r>
          </w:p>
        </w:tc>
        <w:tc>
          <w:tcPr>
            <w:tcW w:w="1635" w:type="pct"/>
            <w:shd w:val="clear" w:color="auto" w:fill="auto"/>
            <w:vAlign w:val="center"/>
          </w:tcPr>
          <w:p>
            <w:pPr>
              <w:adjustRightInd w:val="0"/>
              <w:snapToGrid w:val="0"/>
              <w:rPr>
                <w:rFonts w:ascii="宋体" w:hAnsi="宋体" w:cs="楷体"/>
              </w:rPr>
            </w:pPr>
            <w:r>
              <w:rPr>
                <w:rFonts w:ascii="宋体" w:hAnsi="宋体" w:cs="楷体"/>
              </w:rPr>
              <w:t>23</w:t>
            </w:r>
            <w:r>
              <w:rPr>
                <w:rFonts w:hint="eastAsia" w:ascii="宋体" w:hAnsi="宋体" w:cs="楷体"/>
              </w:rPr>
              <w:t>m3/min</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升压</w:t>
            </w:r>
          </w:p>
        </w:tc>
        <w:tc>
          <w:tcPr>
            <w:tcW w:w="1635" w:type="pct"/>
            <w:shd w:val="clear" w:color="auto" w:fill="auto"/>
            <w:vAlign w:val="center"/>
          </w:tcPr>
          <w:p>
            <w:pPr>
              <w:adjustRightInd w:val="0"/>
              <w:snapToGrid w:val="0"/>
              <w:rPr>
                <w:rFonts w:ascii="宋体" w:hAnsi="宋体" w:cs="楷体"/>
              </w:rPr>
            </w:pPr>
            <w:r>
              <w:rPr>
                <w:rFonts w:ascii="宋体" w:hAnsi="宋体" w:cs="楷体"/>
              </w:rPr>
              <w:t>50</w:t>
            </w:r>
            <w:r>
              <w:rPr>
                <w:rFonts w:hint="eastAsia" w:ascii="宋体" w:hAnsi="宋体" w:cs="楷体"/>
              </w:rPr>
              <w:t>kpa</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3"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噪声（加罩后1m处）</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≤8</w:t>
            </w:r>
            <w:r>
              <w:rPr>
                <w:rFonts w:ascii="宋体" w:hAnsi="宋体" w:cs="楷体"/>
              </w:rPr>
              <w:t>5</w:t>
            </w:r>
            <w:r>
              <w:rPr>
                <w:rFonts w:hint="eastAsia" w:ascii="宋体" w:hAnsi="宋体" w:cs="楷体"/>
              </w:rPr>
              <w:t>分贝</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电机类型</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卧式三相鼠笼异步感应电动机</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电机型号</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电机制造商</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绝缘等级</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F级</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频率</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50Hz</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额定电压</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380v</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电机效率</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≥9</w:t>
            </w:r>
            <w:r>
              <w:rPr>
                <w:rFonts w:ascii="宋体" w:hAnsi="宋体" w:cs="楷体"/>
              </w:rPr>
              <w:t>2</w:t>
            </w: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jc w:val="left"/>
              <w:rPr>
                <w:rFonts w:ascii="宋体" w:hAnsi="宋体" w:cs="楷体"/>
              </w:rPr>
            </w:pPr>
            <w:r>
              <w:rPr>
                <w:rFonts w:hint="eastAsia" w:ascii="宋体" w:hAnsi="宋体" w:cs="楷体"/>
              </w:rPr>
              <w:t>保护等级（马  达）</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IP5</w:t>
            </w:r>
            <w:r>
              <w:rPr>
                <w:rFonts w:ascii="宋体" w:hAnsi="宋体" w:cs="楷体"/>
              </w:rPr>
              <w:t>4</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配套设施</w:t>
            </w:r>
          </w:p>
        </w:tc>
        <w:tc>
          <w:tcPr>
            <w:tcW w:w="1635" w:type="pct"/>
            <w:shd w:val="clear" w:color="auto" w:fill="auto"/>
            <w:vAlign w:val="center"/>
          </w:tcPr>
          <w:p>
            <w:pPr>
              <w:adjustRightInd w:val="0"/>
              <w:snapToGrid w:val="0"/>
              <w:rPr>
                <w:rFonts w:ascii="宋体" w:hAnsi="宋体" w:cs="楷体"/>
              </w:rPr>
            </w:pPr>
            <w:r>
              <w:rPr>
                <w:rFonts w:hint="eastAsia" w:ascii="宋体" w:hAnsi="宋体"/>
                <w:szCs w:val="21"/>
              </w:rPr>
              <w:t>进气过滤消音器</w:t>
            </w:r>
            <w:r>
              <w:rPr>
                <w:rFonts w:hint="eastAsia" w:ascii="宋体" w:hAnsi="宋体" w:cs="楷体"/>
              </w:rPr>
              <w:t>，出口消音器，安全阀，压力表，单向阀，橡胶接头，隔音罩，</w:t>
            </w:r>
            <w:r>
              <w:rPr>
                <w:rFonts w:hint="eastAsia" w:ascii="宋体" w:hAnsi="宋体"/>
                <w:szCs w:val="21"/>
              </w:rPr>
              <w:t>皮带自张紧系统</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机组总重量</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隔音外壳厚度</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外形尺寸</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bl>
    <w:p>
      <w:pPr>
        <w:keepNext/>
        <w:tabs>
          <w:tab w:val="left" w:pos="993"/>
        </w:tabs>
        <w:adjustRightInd w:val="0"/>
        <w:snapToGrid w:val="0"/>
        <w:spacing w:before="203" w:beforeLines="50" w:after="203" w:afterLines="50"/>
        <w:outlineLvl w:val="2"/>
        <w:rPr>
          <w:rFonts w:ascii="宋体" w:hAnsi="宋体"/>
        </w:rPr>
      </w:pPr>
      <w:bookmarkStart w:id="7507" w:name="_Toc106883848"/>
      <w:bookmarkStart w:id="7508" w:name="_Hlk80617726"/>
      <w:r>
        <w:rPr>
          <w:rFonts w:hint="eastAsia" w:ascii="宋体" w:hAnsi="宋体"/>
        </w:rPr>
        <w:t>11.1.15空压机</w:t>
      </w:r>
      <w:bookmarkEnd w:id="7507"/>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982"/>
        <w:gridCol w:w="2799"/>
        <w:gridCol w:w="1568"/>
        <w:gridCol w:w="1090"/>
        <w:gridCol w:w="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项目</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技术参数要求</w:t>
            </w:r>
          </w:p>
        </w:tc>
        <w:tc>
          <w:tcPr>
            <w:tcW w:w="916" w:type="pct"/>
            <w:shd w:val="clear" w:color="auto" w:fill="auto"/>
            <w:vAlign w:val="center"/>
          </w:tcPr>
          <w:p>
            <w:pPr>
              <w:adjustRightInd w:val="0"/>
              <w:snapToGrid w:val="0"/>
              <w:rPr>
                <w:rFonts w:ascii="宋体" w:hAnsi="宋体" w:cs="楷体"/>
              </w:rPr>
            </w:pPr>
            <w:r>
              <w:rPr>
                <w:rFonts w:hint="eastAsia" w:ascii="宋体" w:hAnsi="宋体" w:cs="楷体"/>
              </w:rPr>
              <w:t>承包商响应参数</w:t>
            </w:r>
          </w:p>
        </w:tc>
        <w:tc>
          <w:tcPr>
            <w:tcW w:w="637" w:type="pct"/>
            <w:shd w:val="clear" w:color="auto" w:fill="auto"/>
            <w:vAlign w:val="center"/>
          </w:tcPr>
          <w:p>
            <w:pPr>
              <w:adjustRightInd w:val="0"/>
              <w:snapToGrid w:val="0"/>
              <w:jc w:val="center"/>
              <w:rPr>
                <w:rFonts w:ascii="宋体" w:hAnsi="宋体" w:cs="楷体"/>
              </w:rPr>
            </w:pPr>
            <w:r>
              <w:rPr>
                <w:rFonts w:hint="eastAsia" w:ascii="宋体" w:hAnsi="宋体"/>
              </w:rPr>
              <w:t>偏离情况</w:t>
            </w:r>
          </w:p>
        </w:tc>
        <w:tc>
          <w:tcPr>
            <w:tcW w:w="653" w:type="pct"/>
            <w:shd w:val="clear" w:color="auto" w:fill="auto"/>
            <w:vAlign w:val="center"/>
          </w:tcPr>
          <w:p>
            <w:pPr>
              <w:adjustRightInd w:val="0"/>
              <w:snapToGrid w:val="0"/>
              <w:jc w:val="center"/>
              <w:rPr>
                <w:rFonts w:ascii="宋体" w:hAnsi="宋体" w:cs="楷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制造商</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原产地</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型号</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数量（套）</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2</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结构</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整体箱式结构</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冷却方式</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风冷式</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工作压力</w:t>
            </w:r>
          </w:p>
        </w:tc>
        <w:tc>
          <w:tcPr>
            <w:tcW w:w="1635" w:type="pct"/>
            <w:shd w:val="clear" w:color="auto" w:fill="auto"/>
            <w:vAlign w:val="center"/>
          </w:tcPr>
          <w:p>
            <w:pPr>
              <w:adjustRightInd w:val="0"/>
              <w:snapToGrid w:val="0"/>
              <w:rPr>
                <w:rFonts w:ascii="宋体" w:hAnsi="宋体" w:cs="楷体"/>
              </w:rPr>
            </w:pPr>
            <w:r>
              <w:rPr>
                <w:rFonts w:hint="eastAsia" w:ascii="宋体" w:hAnsi="宋体" w:cs="楷体"/>
                <w:kern w:val="0"/>
              </w:rPr>
              <w:t>1Mpa</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风量</w:t>
            </w:r>
          </w:p>
        </w:tc>
        <w:tc>
          <w:tcPr>
            <w:tcW w:w="1635" w:type="pct"/>
            <w:shd w:val="clear" w:color="auto" w:fill="auto"/>
            <w:vAlign w:val="center"/>
          </w:tcPr>
          <w:p>
            <w:pPr>
              <w:adjustRightInd w:val="0"/>
              <w:snapToGrid w:val="0"/>
              <w:rPr>
                <w:rFonts w:ascii="宋体" w:hAnsi="宋体" w:cs="楷体"/>
              </w:rPr>
            </w:pPr>
            <w:r>
              <w:rPr>
                <w:rFonts w:hint="eastAsia" w:ascii="宋体" w:hAnsi="宋体" w:cs="楷体"/>
                <w:kern w:val="0"/>
              </w:rPr>
              <w:t>17.5L/s</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3"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噪声（1m处）</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≤7</w:t>
            </w:r>
            <w:r>
              <w:rPr>
                <w:rFonts w:ascii="宋体" w:hAnsi="宋体" w:cs="楷体"/>
              </w:rPr>
              <w:t>5</w:t>
            </w:r>
            <w:r>
              <w:rPr>
                <w:rFonts w:hint="eastAsia" w:ascii="宋体" w:hAnsi="宋体" w:cs="楷体"/>
              </w:rPr>
              <w:t>分贝</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3"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电机型式</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三相异步电机</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电机功率</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不超过</w:t>
            </w:r>
            <w:r>
              <w:rPr>
                <w:rFonts w:ascii="宋体" w:hAnsi="宋体" w:cs="楷体"/>
              </w:rPr>
              <w:t>7.5</w:t>
            </w:r>
            <w:r>
              <w:rPr>
                <w:rFonts w:hint="eastAsia" w:ascii="宋体" w:hAnsi="宋体" w:cs="楷体"/>
              </w:rPr>
              <w:t>kw</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电机型号</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电机制造商</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电机绝缘等级</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F级</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jc w:val="left"/>
              <w:rPr>
                <w:rFonts w:ascii="宋体" w:hAnsi="宋体" w:cs="楷体"/>
              </w:rPr>
            </w:pPr>
            <w:r>
              <w:rPr>
                <w:rFonts w:hint="eastAsia" w:ascii="宋体" w:hAnsi="宋体" w:cs="楷体"/>
              </w:rPr>
              <w:t>电机保护等级</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IP55</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配套设施</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减压阀、压缩空气过滤器、储气罐、空气管路及气源分配器</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机组总重量</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158" w:type="pct"/>
            <w:shd w:val="clear" w:color="auto" w:fill="auto"/>
            <w:vAlign w:val="center"/>
          </w:tcPr>
          <w:p>
            <w:pPr>
              <w:adjustRightInd w:val="0"/>
              <w:snapToGrid w:val="0"/>
              <w:rPr>
                <w:rFonts w:ascii="宋体" w:hAnsi="宋体" w:cs="楷体"/>
              </w:rPr>
            </w:pPr>
            <w:r>
              <w:rPr>
                <w:rFonts w:hint="eastAsia" w:ascii="宋体" w:hAnsi="宋体" w:cs="楷体"/>
              </w:rPr>
              <w:t>外形尺寸</w:t>
            </w:r>
          </w:p>
        </w:tc>
        <w:tc>
          <w:tcPr>
            <w:tcW w:w="163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3" w:type="pct"/>
            <w:shd w:val="clear" w:color="auto" w:fill="auto"/>
            <w:vAlign w:val="center"/>
          </w:tcPr>
          <w:p>
            <w:pPr>
              <w:adjustRightInd w:val="0"/>
              <w:snapToGrid w:val="0"/>
              <w:rPr>
                <w:rFonts w:ascii="宋体" w:hAnsi="宋体" w:cs="楷体"/>
              </w:rPr>
            </w:pPr>
          </w:p>
        </w:tc>
      </w:tr>
    </w:tbl>
    <w:p>
      <w:pPr>
        <w:keepNext/>
        <w:tabs>
          <w:tab w:val="left" w:pos="993"/>
        </w:tabs>
        <w:adjustRightInd w:val="0"/>
        <w:snapToGrid w:val="0"/>
        <w:spacing w:before="203" w:beforeLines="50" w:after="203" w:afterLines="50"/>
        <w:outlineLvl w:val="2"/>
        <w:rPr>
          <w:rFonts w:ascii="宋体" w:hAnsi="宋体"/>
        </w:rPr>
      </w:pPr>
      <w:bookmarkStart w:id="7509" w:name="_Toc106883849"/>
      <w:r>
        <w:rPr>
          <w:rFonts w:hint="eastAsia" w:ascii="宋体" w:hAnsi="宋体"/>
        </w:rPr>
        <w:t>11.1.16气水分离装置</w:t>
      </w:r>
      <w:bookmarkEnd w:id="7509"/>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74"/>
        <w:gridCol w:w="2405"/>
        <w:gridCol w:w="1568"/>
        <w:gridCol w:w="1090"/>
        <w:gridCol w:w="1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项目</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技术参数要求</w:t>
            </w:r>
          </w:p>
        </w:tc>
        <w:tc>
          <w:tcPr>
            <w:tcW w:w="916" w:type="pct"/>
            <w:shd w:val="clear" w:color="auto" w:fill="auto"/>
            <w:vAlign w:val="center"/>
          </w:tcPr>
          <w:p>
            <w:pPr>
              <w:adjustRightInd w:val="0"/>
              <w:snapToGrid w:val="0"/>
              <w:rPr>
                <w:rFonts w:ascii="宋体" w:hAnsi="宋体" w:cs="楷体"/>
              </w:rPr>
            </w:pPr>
            <w:r>
              <w:rPr>
                <w:rFonts w:hint="eastAsia" w:ascii="宋体" w:hAnsi="宋体" w:cs="楷体"/>
              </w:rPr>
              <w:t>承包商响应参数</w:t>
            </w:r>
          </w:p>
        </w:tc>
        <w:tc>
          <w:tcPr>
            <w:tcW w:w="637" w:type="pct"/>
            <w:shd w:val="clear" w:color="auto" w:fill="auto"/>
            <w:vAlign w:val="center"/>
          </w:tcPr>
          <w:p>
            <w:pPr>
              <w:adjustRightInd w:val="0"/>
              <w:snapToGrid w:val="0"/>
              <w:jc w:val="center"/>
              <w:rPr>
                <w:rFonts w:ascii="宋体" w:hAnsi="宋体" w:cs="楷体"/>
              </w:rPr>
            </w:pPr>
            <w:r>
              <w:rPr>
                <w:rFonts w:hint="eastAsia" w:ascii="宋体" w:hAnsi="宋体"/>
              </w:rPr>
              <w:t>偏离情况</w:t>
            </w:r>
          </w:p>
        </w:tc>
        <w:tc>
          <w:tcPr>
            <w:tcW w:w="654" w:type="pct"/>
            <w:shd w:val="clear" w:color="auto" w:fill="auto"/>
            <w:vAlign w:val="center"/>
          </w:tcPr>
          <w:p>
            <w:pPr>
              <w:adjustRightInd w:val="0"/>
              <w:snapToGrid w:val="0"/>
              <w:jc w:val="center"/>
              <w:rPr>
                <w:rFonts w:ascii="宋体" w:hAnsi="宋体" w:cs="楷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制造商</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原产地</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型号</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rPr>
              <w:t>真空泵流量</w:t>
            </w:r>
          </w:p>
        </w:tc>
        <w:tc>
          <w:tcPr>
            <w:tcW w:w="1405" w:type="pct"/>
            <w:shd w:val="clear" w:color="auto" w:fill="auto"/>
            <w:vAlign w:val="center"/>
          </w:tcPr>
          <w:p>
            <w:pPr>
              <w:adjustRightInd w:val="0"/>
              <w:snapToGrid w:val="0"/>
              <w:rPr>
                <w:rFonts w:ascii="宋体" w:hAnsi="宋体" w:cs="楷体"/>
              </w:rPr>
            </w:pPr>
            <w:r>
              <w:rPr>
                <w:rFonts w:ascii="宋体" w:hAnsi="宋体"/>
              </w:rPr>
              <w:t>0.6m</w:t>
            </w:r>
            <w:r>
              <w:rPr>
                <w:rFonts w:ascii="宋体" w:hAnsi="宋体"/>
                <w:vertAlign w:val="superscript"/>
              </w:rPr>
              <w:t>3</w:t>
            </w:r>
            <w:r>
              <w:rPr>
                <w:rFonts w:ascii="宋体" w:hAnsi="宋体"/>
              </w:rPr>
              <w:t xml:space="preserve"> /min</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rPr>
              <w:t>真空泵功率</w:t>
            </w:r>
          </w:p>
        </w:tc>
        <w:tc>
          <w:tcPr>
            <w:tcW w:w="1405" w:type="pct"/>
            <w:shd w:val="clear" w:color="auto" w:fill="auto"/>
            <w:vAlign w:val="center"/>
          </w:tcPr>
          <w:p>
            <w:pPr>
              <w:adjustRightInd w:val="0"/>
              <w:snapToGrid w:val="0"/>
              <w:rPr>
                <w:rFonts w:ascii="宋体" w:hAnsi="宋体" w:cs="楷体"/>
              </w:rPr>
            </w:pPr>
            <w:r>
              <w:rPr>
                <w:rFonts w:ascii="宋体" w:hAnsi="宋体"/>
              </w:rPr>
              <w:t>4kw</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真空泵壳材质</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铸铁</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真空泵叶轮材质</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Gc</w:t>
            </w:r>
            <w:r>
              <w:rPr>
                <w:rFonts w:ascii="宋体" w:hAnsi="宋体" w:cs="楷体"/>
              </w:rPr>
              <w:t>uSn10</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真空罐材质</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镀锌钢</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真空管道材质</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不锈钢</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7" w:type="pct"/>
            <w:shd w:val="clear" w:color="auto" w:fill="auto"/>
            <w:vAlign w:val="center"/>
          </w:tcPr>
          <w:p>
            <w:pPr>
              <w:adjustRightInd w:val="0"/>
              <w:snapToGrid w:val="0"/>
              <w:rPr>
                <w:rFonts w:ascii="宋体" w:hAnsi="宋体" w:cs="楷体"/>
              </w:rPr>
            </w:pPr>
            <w:r>
              <w:rPr>
                <w:rFonts w:hint="eastAsia" w:ascii="宋体" w:hAnsi="宋体" w:cs="楷体"/>
              </w:rPr>
              <w:t>配套设施</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液位检测器、就地控制箱、共用底座、真空管道系统</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bl>
    <w:p>
      <w:pPr>
        <w:keepNext/>
        <w:tabs>
          <w:tab w:val="left" w:pos="993"/>
        </w:tabs>
        <w:adjustRightInd w:val="0"/>
        <w:snapToGrid w:val="0"/>
        <w:spacing w:before="203" w:beforeLines="50" w:after="203" w:afterLines="50"/>
        <w:outlineLvl w:val="2"/>
        <w:rPr>
          <w:rFonts w:ascii="宋体" w:hAnsi="宋体"/>
        </w:rPr>
      </w:pPr>
      <w:bookmarkStart w:id="7510" w:name="_Toc106883850"/>
      <w:r>
        <w:rPr>
          <w:rFonts w:hint="eastAsia" w:ascii="宋体" w:hAnsi="宋体"/>
        </w:rPr>
        <w:t>11.1.17混合搅拌机</w:t>
      </w:r>
      <w:bookmarkEnd w:id="7510"/>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75"/>
        <w:gridCol w:w="2405"/>
        <w:gridCol w:w="1568"/>
        <w:gridCol w:w="1090"/>
        <w:gridCol w:w="1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项目</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技术参数要求</w:t>
            </w:r>
          </w:p>
        </w:tc>
        <w:tc>
          <w:tcPr>
            <w:tcW w:w="916" w:type="pct"/>
            <w:shd w:val="clear" w:color="auto" w:fill="auto"/>
            <w:vAlign w:val="center"/>
          </w:tcPr>
          <w:p>
            <w:pPr>
              <w:adjustRightInd w:val="0"/>
              <w:snapToGrid w:val="0"/>
              <w:rPr>
                <w:rFonts w:ascii="宋体" w:hAnsi="宋体" w:cs="楷体"/>
              </w:rPr>
            </w:pPr>
            <w:r>
              <w:rPr>
                <w:rFonts w:hint="eastAsia" w:ascii="宋体" w:hAnsi="宋体" w:cs="楷体"/>
              </w:rPr>
              <w:t>承包商响应参数</w:t>
            </w:r>
          </w:p>
        </w:tc>
        <w:tc>
          <w:tcPr>
            <w:tcW w:w="637" w:type="pct"/>
            <w:shd w:val="clear" w:color="auto" w:fill="auto"/>
            <w:vAlign w:val="center"/>
          </w:tcPr>
          <w:p>
            <w:pPr>
              <w:adjustRightInd w:val="0"/>
              <w:snapToGrid w:val="0"/>
              <w:jc w:val="center"/>
              <w:rPr>
                <w:rFonts w:ascii="宋体" w:hAnsi="宋体" w:cs="楷体"/>
              </w:rPr>
            </w:pPr>
            <w:r>
              <w:rPr>
                <w:rFonts w:hint="eastAsia" w:ascii="宋体" w:hAnsi="宋体"/>
              </w:rPr>
              <w:t>偏离情况</w:t>
            </w:r>
          </w:p>
        </w:tc>
        <w:tc>
          <w:tcPr>
            <w:tcW w:w="654" w:type="pct"/>
            <w:shd w:val="clear" w:color="auto" w:fill="auto"/>
            <w:vAlign w:val="center"/>
          </w:tcPr>
          <w:p>
            <w:pPr>
              <w:adjustRightInd w:val="0"/>
              <w:snapToGrid w:val="0"/>
              <w:jc w:val="center"/>
              <w:rPr>
                <w:rFonts w:ascii="宋体" w:hAnsi="宋体" w:cs="楷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制造商</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原产地</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型号</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使用介质</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原水</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数量（套）</w:t>
            </w:r>
          </w:p>
        </w:tc>
        <w:tc>
          <w:tcPr>
            <w:tcW w:w="1405" w:type="pct"/>
            <w:shd w:val="clear" w:color="auto" w:fill="auto"/>
            <w:vAlign w:val="center"/>
          </w:tcPr>
          <w:p>
            <w:pPr>
              <w:adjustRightInd w:val="0"/>
              <w:snapToGrid w:val="0"/>
              <w:rPr>
                <w:rFonts w:ascii="宋体" w:hAnsi="宋体" w:cs="楷体"/>
              </w:rPr>
            </w:pPr>
            <w:r>
              <w:rPr>
                <w:rFonts w:ascii="宋体" w:hAnsi="宋体" w:cs="楷体"/>
              </w:rPr>
              <w:t>1</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转速</w:t>
            </w:r>
          </w:p>
        </w:tc>
        <w:tc>
          <w:tcPr>
            <w:tcW w:w="1405" w:type="pct"/>
            <w:shd w:val="clear" w:color="auto" w:fill="auto"/>
            <w:vAlign w:val="center"/>
          </w:tcPr>
          <w:p>
            <w:pPr>
              <w:adjustRightInd w:val="0"/>
              <w:snapToGrid w:val="0"/>
              <w:rPr>
                <w:rFonts w:ascii="宋体" w:hAnsi="宋体" w:cs="楷体"/>
              </w:rPr>
            </w:pPr>
            <w:r>
              <w:rPr>
                <w:rFonts w:hint="eastAsia" w:ascii="宋体" w:hAnsi="宋体"/>
              </w:rPr>
              <w:t>64转/分</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叶轮直径</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轴直径</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rPr>
              <w:t>机座材质</w:t>
            </w:r>
          </w:p>
        </w:tc>
        <w:tc>
          <w:tcPr>
            <w:tcW w:w="1405" w:type="pct"/>
            <w:shd w:val="clear" w:color="auto" w:fill="auto"/>
            <w:vAlign w:val="center"/>
          </w:tcPr>
          <w:p>
            <w:pPr>
              <w:adjustRightInd w:val="0"/>
              <w:snapToGrid w:val="0"/>
              <w:rPr>
                <w:rFonts w:ascii="宋体" w:hAnsi="宋体" w:cs="楷体"/>
              </w:rPr>
            </w:pPr>
            <w:r>
              <w:rPr>
                <w:rFonts w:hint="eastAsia" w:ascii="宋体" w:hAnsi="宋体"/>
              </w:rPr>
              <w:t>HT200铸铁</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rPr>
              <w:t>夹壳联轴器材质</w:t>
            </w:r>
          </w:p>
        </w:tc>
        <w:tc>
          <w:tcPr>
            <w:tcW w:w="1405" w:type="pct"/>
            <w:shd w:val="clear" w:color="auto" w:fill="auto"/>
            <w:vAlign w:val="center"/>
          </w:tcPr>
          <w:p>
            <w:pPr>
              <w:adjustRightInd w:val="0"/>
              <w:snapToGrid w:val="0"/>
              <w:rPr>
                <w:rFonts w:ascii="宋体" w:hAnsi="宋体" w:cs="楷体"/>
              </w:rPr>
            </w:pPr>
            <w:r>
              <w:rPr>
                <w:rFonts w:hint="eastAsia" w:ascii="宋体" w:hAnsi="宋体"/>
              </w:rPr>
              <w:t>QT450球墨铸铁</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rPr>
              <w:t>桨叶材质</w:t>
            </w:r>
          </w:p>
        </w:tc>
        <w:tc>
          <w:tcPr>
            <w:tcW w:w="1405" w:type="pct"/>
            <w:shd w:val="clear" w:color="auto" w:fill="auto"/>
            <w:vAlign w:val="center"/>
          </w:tcPr>
          <w:p>
            <w:pPr>
              <w:adjustRightInd w:val="0"/>
              <w:snapToGrid w:val="0"/>
              <w:rPr>
                <w:rFonts w:ascii="宋体" w:hAnsi="宋体" w:cs="楷体"/>
              </w:rPr>
            </w:pPr>
            <w:r>
              <w:rPr>
                <w:rFonts w:ascii="宋体" w:hAnsi="宋体"/>
              </w:rPr>
              <w:t>不锈钢304</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rPr>
              <w:t>主</w:t>
            </w:r>
            <w:r>
              <w:rPr>
                <w:rFonts w:ascii="宋体" w:hAnsi="宋体"/>
              </w:rPr>
              <w:t>轴</w:t>
            </w:r>
            <w:r>
              <w:rPr>
                <w:rFonts w:hint="eastAsia" w:ascii="宋体" w:hAnsi="宋体"/>
              </w:rPr>
              <w:t>材质</w:t>
            </w:r>
          </w:p>
        </w:tc>
        <w:tc>
          <w:tcPr>
            <w:tcW w:w="1405" w:type="pct"/>
            <w:shd w:val="clear" w:color="auto" w:fill="auto"/>
            <w:vAlign w:val="center"/>
          </w:tcPr>
          <w:p>
            <w:pPr>
              <w:adjustRightInd w:val="0"/>
              <w:snapToGrid w:val="0"/>
              <w:rPr>
                <w:rFonts w:ascii="宋体" w:hAnsi="宋体" w:cs="楷体"/>
              </w:rPr>
            </w:pPr>
            <w:r>
              <w:rPr>
                <w:rFonts w:ascii="宋体" w:hAnsi="宋体"/>
              </w:rPr>
              <w:t>2Cr13不锈钢</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rPr>
            </w:pPr>
            <w:r>
              <w:rPr>
                <w:rFonts w:hint="eastAsia" w:ascii="宋体" w:hAnsi="宋体"/>
              </w:rPr>
              <w:t>紧固件材质</w:t>
            </w:r>
          </w:p>
        </w:tc>
        <w:tc>
          <w:tcPr>
            <w:tcW w:w="1405" w:type="pct"/>
            <w:shd w:val="clear" w:color="auto" w:fill="auto"/>
            <w:vAlign w:val="center"/>
          </w:tcPr>
          <w:p>
            <w:pPr>
              <w:adjustRightInd w:val="0"/>
              <w:snapToGrid w:val="0"/>
              <w:rPr>
                <w:rFonts w:ascii="宋体" w:hAnsi="宋体" w:cs="楷体"/>
              </w:rPr>
            </w:pPr>
            <w:r>
              <w:rPr>
                <w:rFonts w:ascii="宋体" w:hAnsi="宋体"/>
              </w:rPr>
              <w:t>不锈钢304</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电机减速机</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电机制造商</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电机类型</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电机型号</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额定功率</w:t>
            </w:r>
          </w:p>
        </w:tc>
        <w:tc>
          <w:tcPr>
            <w:tcW w:w="1405" w:type="pct"/>
            <w:shd w:val="clear" w:color="auto" w:fill="auto"/>
            <w:vAlign w:val="center"/>
          </w:tcPr>
          <w:p>
            <w:pPr>
              <w:adjustRightInd w:val="0"/>
              <w:snapToGrid w:val="0"/>
              <w:rPr>
                <w:rFonts w:ascii="宋体" w:hAnsi="宋体" w:cs="楷体"/>
              </w:rPr>
            </w:pPr>
            <w:r>
              <w:rPr>
                <w:rFonts w:ascii="宋体" w:hAnsi="宋体" w:cs="楷体"/>
              </w:rPr>
              <w:t>7</w:t>
            </w:r>
            <w:r>
              <w:rPr>
                <w:rFonts w:hint="eastAsia" w:ascii="宋体" w:hAnsi="宋体" w:cs="楷体"/>
              </w:rPr>
              <w:t>.5KW</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额定电压</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380V</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防护等级</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≥IP</w:t>
            </w:r>
            <w:r>
              <w:rPr>
                <w:rFonts w:ascii="宋体" w:hAnsi="宋体" w:cs="楷体"/>
              </w:rPr>
              <w:t>5</w:t>
            </w:r>
            <w:r>
              <w:rPr>
                <w:rFonts w:hint="eastAsia" w:ascii="宋体" w:hAnsi="宋体" w:cs="楷体"/>
              </w:rPr>
              <w:t>5</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绝缘等级</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F级</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机旁电控箱</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配套</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88" w:type="pct"/>
            <w:shd w:val="clear" w:color="auto" w:fill="auto"/>
            <w:vAlign w:val="center"/>
          </w:tcPr>
          <w:p>
            <w:pPr>
              <w:adjustRightInd w:val="0"/>
              <w:snapToGrid w:val="0"/>
              <w:rPr>
                <w:rFonts w:ascii="宋体" w:hAnsi="宋体" w:cs="楷体"/>
              </w:rPr>
            </w:pPr>
            <w:r>
              <w:rPr>
                <w:rFonts w:hint="eastAsia" w:ascii="宋体" w:hAnsi="宋体" w:cs="楷体"/>
              </w:rPr>
              <w:t>整机重量</w:t>
            </w:r>
          </w:p>
        </w:tc>
        <w:tc>
          <w:tcPr>
            <w:tcW w:w="1405"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16" w:type="pct"/>
            <w:shd w:val="clear" w:color="auto" w:fill="auto"/>
            <w:vAlign w:val="center"/>
          </w:tcPr>
          <w:p>
            <w:pPr>
              <w:adjustRightInd w:val="0"/>
              <w:snapToGrid w:val="0"/>
              <w:rPr>
                <w:rFonts w:ascii="宋体" w:hAnsi="宋体" w:cs="楷体"/>
              </w:rPr>
            </w:pPr>
          </w:p>
        </w:tc>
        <w:tc>
          <w:tcPr>
            <w:tcW w:w="637" w:type="pct"/>
            <w:shd w:val="clear" w:color="auto" w:fill="auto"/>
            <w:vAlign w:val="center"/>
          </w:tcPr>
          <w:p>
            <w:pPr>
              <w:adjustRightInd w:val="0"/>
              <w:snapToGrid w:val="0"/>
              <w:rPr>
                <w:rFonts w:ascii="宋体" w:hAnsi="宋体" w:cs="楷体"/>
              </w:rPr>
            </w:pPr>
          </w:p>
        </w:tc>
        <w:tc>
          <w:tcPr>
            <w:tcW w:w="654" w:type="pct"/>
            <w:shd w:val="clear" w:color="auto" w:fill="auto"/>
            <w:vAlign w:val="center"/>
          </w:tcPr>
          <w:p>
            <w:pPr>
              <w:adjustRightInd w:val="0"/>
              <w:snapToGrid w:val="0"/>
              <w:rPr>
                <w:rFonts w:ascii="宋体" w:hAnsi="宋体" w:cs="楷体"/>
              </w:rPr>
            </w:pPr>
          </w:p>
        </w:tc>
      </w:tr>
    </w:tbl>
    <w:p>
      <w:pPr>
        <w:keepNext/>
        <w:tabs>
          <w:tab w:val="left" w:pos="993"/>
        </w:tabs>
        <w:adjustRightInd w:val="0"/>
        <w:snapToGrid w:val="0"/>
        <w:spacing w:before="203" w:beforeLines="50" w:after="203" w:afterLines="50"/>
        <w:outlineLvl w:val="2"/>
        <w:rPr>
          <w:rFonts w:ascii="宋体" w:hAnsi="宋体"/>
        </w:rPr>
      </w:pPr>
      <w:bookmarkStart w:id="7511" w:name="_Toc106883851"/>
      <w:r>
        <w:rPr>
          <w:rFonts w:hint="eastAsia" w:ascii="宋体" w:hAnsi="宋体"/>
        </w:rPr>
        <w:t>11.1.18浓缩系统类</w:t>
      </w:r>
      <w:bookmarkEnd w:id="7511"/>
    </w:p>
    <w:p>
      <w:pPr>
        <w:adjustRightInd w:val="0"/>
        <w:snapToGrid w:val="0"/>
        <w:rPr>
          <w:rFonts w:ascii="宋体" w:hAnsi="宋体" w:cs="楷体"/>
        </w:rPr>
      </w:pPr>
      <w:r>
        <w:rPr>
          <w:rFonts w:hint="eastAsia" w:ascii="宋体" w:hAnsi="宋体" w:cs="楷体"/>
        </w:rPr>
        <w:t>中心传动浓缩机</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92"/>
        <w:gridCol w:w="2415"/>
        <w:gridCol w:w="1554"/>
        <w:gridCol w:w="1063"/>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项目</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技术参数要求</w:t>
            </w:r>
          </w:p>
        </w:tc>
        <w:tc>
          <w:tcPr>
            <w:tcW w:w="908" w:type="pct"/>
            <w:shd w:val="clear" w:color="auto" w:fill="auto"/>
            <w:vAlign w:val="center"/>
          </w:tcPr>
          <w:p>
            <w:pPr>
              <w:adjustRightInd w:val="0"/>
              <w:snapToGrid w:val="0"/>
              <w:rPr>
                <w:rFonts w:ascii="宋体" w:hAnsi="宋体" w:cs="楷体"/>
              </w:rPr>
            </w:pPr>
            <w:r>
              <w:rPr>
                <w:rFonts w:hint="eastAsia" w:ascii="宋体" w:hAnsi="宋体" w:cs="楷体"/>
              </w:rPr>
              <w:t>承包商响应参数</w:t>
            </w:r>
          </w:p>
        </w:tc>
        <w:tc>
          <w:tcPr>
            <w:tcW w:w="621" w:type="pct"/>
            <w:shd w:val="clear" w:color="auto" w:fill="auto"/>
            <w:vAlign w:val="center"/>
          </w:tcPr>
          <w:p>
            <w:pPr>
              <w:adjustRightInd w:val="0"/>
              <w:snapToGrid w:val="0"/>
              <w:jc w:val="center"/>
              <w:rPr>
                <w:rFonts w:ascii="宋体" w:hAnsi="宋体" w:cs="楷体"/>
              </w:rPr>
            </w:pPr>
            <w:r>
              <w:rPr>
                <w:rFonts w:hint="eastAsia" w:ascii="宋体" w:hAnsi="宋体"/>
              </w:rPr>
              <w:t>偏离情况</w:t>
            </w:r>
          </w:p>
        </w:tc>
        <w:tc>
          <w:tcPr>
            <w:tcW w:w="662" w:type="pct"/>
            <w:shd w:val="clear" w:color="auto" w:fill="auto"/>
            <w:vAlign w:val="center"/>
          </w:tcPr>
          <w:p>
            <w:pPr>
              <w:adjustRightInd w:val="0"/>
              <w:snapToGrid w:val="0"/>
              <w:jc w:val="center"/>
              <w:rPr>
                <w:rFonts w:ascii="宋体" w:hAnsi="宋体" w:cs="楷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制造商</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08" w:type="pct"/>
            <w:shd w:val="clear" w:color="auto" w:fill="auto"/>
            <w:vAlign w:val="center"/>
          </w:tcPr>
          <w:p>
            <w:pPr>
              <w:adjustRightInd w:val="0"/>
              <w:snapToGrid w:val="0"/>
              <w:rPr>
                <w:rFonts w:ascii="宋体" w:hAnsi="宋体" w:cs="楷体"/>
              </w:rPr>
            </w:pPr>
          </w:p>
        </w:tc>
        <w:tc>
          <w:tcPr>
            <w:tcW w:w="621" w:type="pct"/>
            <w:shd w:val="clear" w:color="auto" w:fill="auto"/>
            <w:vAlign w:val="center"/>
          </w:tcPr>
          <w:p>
            <w:pPr>
              <w:adjustRightInd w:val="0"/>
              <w:snapToGrid w:val="0"/>
              <w:rPr>
                <w:rFonts w:ascii="宋体" w:hAnsi="宋体" w:cs="楷体"/>
              </w:rPr>
            </w:pPr>
          </w:p>
        </w:tc>
        <w:tc>
          <w:tcPr>
            <w:tcW w:w="662"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原产地</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08" w:type="pct"/>
            <w:shd w:val="clear" w:color="auto" w:fill="auto"/>
            <w:vAlign w:val="center"/>
          </w:tcPr>
          <w:p>
            <w:pPr>
              <w:adjustRightInd w:val="0"/>
              <w:snapToGrid w:val="0"/>
              <w:rPr>
                <w:rFonts w:ascii="宋体" w:hAnsi="宋体" w:cs="楷体"/>
              </w:rPr>
            </w:pPr>
          </w:p>
        </w:tc>
        <w:tc>
          <w:tcPr>
            <w:tcW w:w="621" w:type="pct"/>
            <w:shd w:val="clear" w:color="auto" w:fill="auto"/>
            <w:vAlign w:val="center"/>
          </w:tcPr>
          <w:p>
            <w:pPr>
              <w:adjustRightInd w:val="0"/>
              <w:snapToGrid w:val="0"/>
              <w:rPr>
                <w:rFonts w:ascii="宋体" w:hAnsi="宋体" w:cs="楷体"/>
              </w:rPr>
            </w:pPr>
          </w:p>
        </w:tc>
        <w:tc>
          <w:tcPr>
            <w:tcW w:w="662"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设备型式</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中心传动悬挂式</w:t>
            </w:r>
          </w:p>
        </w:tc>
        <w:tc>
          <w:tcPr>
            <w:tcW w:w="908" w:type="pct"/>
            <w:shd w:val="clear" w:color="auto" w:fill="auto"/>
            <w:vAlign w:val="center"/>
          </w:tcPr>
          <w:p>
            <w:pPr>
              <w:adjustRightInd w:val="0"/>
              <w:snapToGrid w:val="0"/>
              <w:rPr>
                <w:rFonts w:ascii="宋体" w:hAnsi="宋体" w:cs="楷体"/>
              </w:rPr>
            </w:pPr>
          </w:p>
        </w:tc>
        <w:tc>
          <w:tcPr>
            <w:tcW w:w="621" w:type="pct"/>
            <w:shd w:val="clear" w:color="auto" w:fill="auto"/>
            <w:vAlign w:val="center"/>
          </w:tcPr>
          <w:p>
            <w:pPr>
              <w:adjustRightInd w:val="0"/>
              <w:snapToGrid w:val="0"/>
              <w:rPr>
                <w:rFonts w:ascii="宋体" w:hAnsi="宋体" w:cs="楷体"/>
              </w:rPr>
            </w:pPr>
          </w:p>
        </w:tc>
        <w:tc>
          <w:tcPr>
            <w:tcW w:w="662"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型号</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w:t>
            </w:r>
          </w:p>
        </w:tc>
        <w:tc>
          <w:tcPr>
            <w:tcW w:w="908" w:type="pct"/>
            <w:shd w:val="clear" w:color="auto" w:fill="auto"/>
            <w:vAlign w:val="center"/>
          </w:tcPr>
          <w:p>
            <w:pPr>
              <w:adjustRightInd w:val="0"/>
              <w:snapToGrid w:val="0"/>
              <w:rPr>
                <w:rFonts w:ascii="宋体" w:hAnsi="宋体" w:cs="楷体"/>
              </w:rPr>
            </w:pPr>
          </w:p>
        </w:tc>
        <w:tc>
          <w:tcPr>
            <w:tcW w:w="621" w:type="pct"/>
            <w:shd w:val="clear" w:color="auto" w:fill="auto"/>
            <w:vAlign w:val="center"/>
          </w:tcPr>
          <w:p>
            <w:pPr>
              <w:adjustRightInd w:val="0"/>
              <w:snapToGrid w:val="0"/>
              <w:rPr>
                <w:rFonts w:ascii="宋体" w:hAnsi="宋体" w:cs="楷体"/>
              </w:rPr>
            </w:pPr>
          </w:p>
        </w:tc>
        <w:tc>
          <w:tcPr>
            <w:tcW w:w="662"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数量</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2套</w:t>
            </w:r>
          </w:p>
        </w:tc>
        <w:tc>
          <w:tcPr>
            <w:tcW w:w="908" w:type="pct"/>
            <w:shd w:val="clear" w:color="auto" w:fill="auto"/>
            <w:vAlign w:val="center"/>
          </w:tcPr>
          <w:p>
            <w:pPr>
              <w:adjustRightInd w:val="0"/>
              <w:snapToGrid w:val="0"/>
              <w:rPr>
                <w:rFonts w:ascii="宋体" w:hAnsi="宋体" w:cs="楷体"/>
              </w:rPr>
            </w:pPr>
          </w:p>
        </w:tc>
        <w:tc>
          <w:tcPr>
            <w:tcW w:w="621" w:type="pct"/>
            <w:shd w:val="clear" w:color="auto" w:fill="auto"/>
            <w:vAlign w:val="center"/>
          </w:tcPr>
          <w:p>
            <w:pPr>
              <w:adjustRightInd w:val="0"/>
              <w:snapToGrid w:val="0"/>
              <w:rPr>
                <w:rFonts w:ascii="宋体" w:hAnsi="宋体" w:cs="楷体"/>
              </w:rPr>
            </w:pPr>
          </w:p>
        </w:tc>
        <w:tc>
          <w:tcPr>
            <w:tcW w:w="662" w:type="pct"/>
            <w:shd w:val="clear" w:color="auto" w:fill="auto"/>
            <w:vAlign w:val="center"/>
          </w:tcPr>
          <w:p>
            <w:pPr>
              <w:adjustRightInd w:val="0"/>
              <w:snapToGrid w:val="0"/>
              <w:rPr>
                <w:rFonts w:ascii="宋体" w:hAnsi="宋体" w:cs="楷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1398" w:type="pct"/>
            <w:shd w:val="clear" w:color="auto" w:fill="auto"/>
          </w:tcPr>
          <w:p>
            <w:pPr>
              <w:adjustRightInd w:val="0"/>
              <w:snapToGrid w:val="0"/>
              <w:rPr>
                <w:rFonts w:ascii="宋体" w:hAnsi="宋体"/>
              </w:rPr>
            </w:pPr>
            <w:r>
              <w:rPr>
                <w:rFonts w:hint="eastAsia" w:ascii="宋体" w:hAnsi="宋体" w:cs="楷体"/>
              </w:rPr>
              <w:t>池内径</w:t>
            </w:r>
          </w:p>
        </w:tc>
        <w:tc>
          <w:tcPr>
            <w:tcW w:w="1411" w:type="pct"/>
            <w:shd w:val="clear" w:color="auto" w:fill="auto"/>
          </w:tcPr>
          <w:p>
            <w:pPr>
              <w:adjustRightInd w:val="0"/>
              <w:snapToGrid w:val="0"/>
              <w:rPr>
                <w:rFonts w:ascii="宋体" w:hAnsi="宋体"/>
              </w:rPr>
            </w:pPr>
            <w:r>
              <w:rPr>
                <w:rFonts w:hint="eastAsia" w:ascii="宋体" w:hAnsi="宋体" w:cs="楷体"/>
              </w:rPr>
              <w:t>φ</w:t>
            </w:r>
            <w:r>
              <w:rPr>
                <w:rFonts w:ascii="宋体" w:hAnsi="宋体" w:cs="楷体"/>
              </w:rPr>
              <w:t>5.0</w:t>
            </w:r>
            <w:r>
              <w:rPr>
                <w:rFonts w:hint="eastAsia" w:ascii="宋体" w:hAnsi="宋体" w:cs="楷体"/>
              </w:rPr>
              <w:t>m</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1398" w:type="pct"/>
            <w:shd w:val="clear" w:color="auto" w:fill="auto"/>
            <w:vAlign w:val="center"/>
          </w:tcPr>
          <w:p>
            <w:pPr>
              <w:adjustRightInd w:val="0"/>
              <w:snapToGrid w:val="0"/>
              <w:rPr>
                <w:rFonts w:ascii="宋体" w:hAnsi="宋体"/>
              </w:rPr>
            </w:pPr>
            <w:r>
              <w:rPr>
                <w:rFonts w:hint="eastAsia" w:ascii="宋体" w:hAnsi="宋体" w:cs="楷体"/>
              </w:rPr>
              <w:t>有效水深</w:t>
            </w:r>
          </w:p>
        </w:tc>
        <w:tc>
          <w:tcPr>
            <w:tcW w:w="1411" w:type="pct"/>
            <w:shd w:val="clear" w:color="auto" w:fill="auto"/>
          </w:tcPr>
          <w:p>
            <w:pPr>
              <w:adjustRightInd w:val="0"/>
              <w:snapToGrid w:val="0"/>
              <w:rPr>
                <w:rFonts w:ascii="宋体" w:hAnsi="宋体"/>
              </w:rPr>
            </w:pPr>
            <w:r>
              <w:rPr>
                <w:rFonts w:ascii="宋体" w:hAnsi="宋体" w:cs="楷体"/>
              </w:rPr>
              <w:t>4.0 m</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tcPr>
          <w:p>
            <w:pPr>
              <w:adjustRightInd w:val="0"/>
              <w:snapToGrid w:val="0"/>
              <w:rPr>
                <w:rFonts w:ascii="宋体" w:hAnsi="宋体"/>
              </w:rPr>
            </w:pPr>
            <w:r>
              <w:rPr>
                <w:rFonts w:hint="eastAsia" w:ascii="宋体" w:hAnsi="宋体" w:cs="楷体"/>
              </w:rPr>
              <w:t>刮板周边线速度</w:t>
            </w:r>
          </w:p>
        </w:tc>
        <w:tc>
          <w:tcPr>
            <w:tcW w:w="1411" w:type="pct"/>
            <w:shd w:val="clear" w:color="auto" w:fill="auto"/>
          </w:tcPr>
          <w:p>
            <w:pPr>
              <w:adjustRightInd w:val="0"/>
              <w:snapToGrid w:val="0"/>
              <w:rPr>
                <w:rFonts w:ascii="宋体" w:hAnsi="宋体"/>
              </w:rPr>
            </w:pPr>
            <w:r>
              <w:rPr>
                <w:rFonts w:hint="eastAsia" w:ascii="宋体" w:hAnsi="宋体" w:cs="楷体"/>
              </w:rPr>
              <w:t>/</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tcPr>
          <w:p>
            <w:pPr>
              <w:adjustRightInd w:val="0"/>
              <w:snapToGrid w:val="0"/>
              <w:rPr>
                <w:rFonts w:ascii="宋体" w:hAnsi="宋体"/>
              </w:rPr>
            </w:pPr>
            <w:r>
              <w:rPr>
                <w:rFonts w:hint="eastAsia" w:ascii="宋体" w:hAnsi="宋体" w:cs="楷体"/>
              </w:rPr>
              <w:t>电机功率</w:t>
            </w:r>
          </w:p>
        </w:tc>
        <w:tc>
          <w:tcPr>
            <w:tcW w:w="1411" w:type="pct"/>
            <w:shd w:val="clear" w:color="auto" w:fill="auto"/>
          </w:tcPr>
          <w:p>
            <w:pPr>
              <w:adjustRightInd w:val="0"/>
              <w:snapToGrid w:val="0"/>
              <w:rPr>
                <w:rFonts w:ascii="宋体" w:hAnsi="宋体"/>
              </w:rPr>
            </w:pPr>
            <w:r>
              <w:rPr>
                <w:rFonts w:hint="eastAsia" w:ascii="宋体" w:hAnsi="宋体" w:cs="楷体"/>
              </w:rPr>
              <w:t>0.55 kW</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tcPr>
          <w:p>
            <w:pPr>
              <w:adjustRightInd w:val="0"/>
              <w:snapToGrid w:val="0"/>
              <w:rPr>
                <w:rFonts w:ascii="宋体" w:hAnsi="宋体"/>
              </w:rPr>
            </w:pPr>
            <w:r>
              <w:rPr>
                <w:rFonts w:hint="eastAsia" w:ascii="宋体" w:hAnsi="宋体" w:cs="楷体"/>
              </w:rPr>
              <w:t>电机防护等级/绝缘等级</w:t>
            </w:r>
          </w:p>
        </w:tc>
        <w:tc>
          <w:tcPr>
            <w:tcW w:w="1411" w:type="pct"/>
            <w:shd w:val="clear" w:color="auto" w:fill="auto"/>
          </w:tcPr>
          <w:p>
            <w:pPr>
              <w:adjustRightInd w:val="0"/>
              <w:snapToGrid w:val="0"/>
              <w:rPr>
                <w:rFonts w:ascii="宋体" w:hAnsi="宋体"/>
              </w:rPr>
            </w:pPr>
            <w:r>
              <w:rPr>
                <w:rFonts w:hint="eastAsia" w:ascii="宋体" w:hAnsi="宋体" w:cs="楷体"/>
              </w:rPr>
              <w:t>IP55/F级</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tcPr>
          <w:p>
            <w:pPr>
              <w:adjustRightInd w:val="0"/>
              <w:snapToGrid w:val="0"/>
              <w:rPr>
                <w:rFonts w:ascii="宋体" w:hAnsi="宋体"/>
              </w:rPr>
            </w:pPr>
            <w:r>
              <w:rPr>
                <w:rFonts w:hint="eastAsia" w:ascii="宋体" w:hAnsi="宋体" w:cs="楷体"/>
              </w:rPr>
              <w:t>电源</w:t>
            </w:r>
          </w:p>
        </w:tc>
        <w:tc>
          <w:tcPr>
            <w:tcW w:w="1411" w:type="pct"/>
            <w:shd w:val="clear" w:color="auto" w:fill="auto"/>
          </w:tcPr>
          <w:p>
            <w:pPr>
              <w:adjustRightInd w:val="0"/>
              <w:snapToGrid w:val="0"/>
              <w:rPr>
                <w:rFonts w:ascii="宋体" w:hAnsi="宋体"/>
              </w:rPr>
            </w:pPr>
            <w:r>
              <w:rPr>
                <w:rFonts w:hint="eastAsia" w:ascii="宋体" w:hAnsi="宋体" w:cs="楷体"/>
              </w:rPr>
              <w:t>380V 、50Hz、3相</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工作桥材质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碳钢Q23B</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中心传动轴（中心立轴）材质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不锈钢304</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中心稳流筒材质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不锈钢304</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刮泥臂材质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不锈钢304</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刮泥板材质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不锈钢304+夹布橡胶</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浓缩栅条材质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不锈钢304</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出水堰板材质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不锈钢304</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水下轴承材质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尼龙</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底刮板组合材质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不锈钢304</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cs="楷体"/>
              </w:rPr>
            </w:pPr>
            <w:r>
              <w:rPr>
                <w:rFonts w:hint="eastAsia" w:ascii="宋体" w:hAnsi="宋体" w:cs="楷体"/>
              </w:rPr>
              <w:t>螺栓、螺母等紧固件材质</w:t>
            </w:r>
          </w:p>
        </w:tc>
        <w:tc>
          <w:tcPr>
            <w:tcW w:w="1411" w:type="pct"/>
            <w:shd w:val="clear" w:color="auto" w:fill="auto"/>
            <w:vAlign w:val="center"/>
          </w:tcPr>
          <w:p>
            <w:pPr>
              <w:adjustRightInd w:val="0"/>
              <w:snapToGrid w:val="0"/>
              <w:rPr>
                <w:rFonts w:ascii="宋体" w:hAnsi="宋体" w:cs="楷体"/>
              </w:rPr>
            </w:pPr>
            <w:r>
              <w:rPr>
                <w:rFonts w:hint="eastAsia" w:ascii="宋体" w:hAnsi="宋体" w:cs="楷体"/>
              </w:rPr>
              <w:t>不锈钢304</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rPr>
            </w:pPr>
            <w:r>
              <w:rPr>
                <w:rFonts w:ascii="宋体" w:hAnsi="宋体"/>
              </w:rPr>
              <w:t>整机总重量</w:t>
            </w:r>
          </w:p>
        </w:tc>
        <w:tc>
          <w:tcPr>
            <w:tcW w:w="1411" w:type="pct"/>
            <w:shd w:val="clear" w:color="auto" w:fill="auto"/>
            <w:vAlign w:val="center"/>
          </w:tcPr>
          <w:p>
            <w:pPr>
              <w:adjustRightInd w:val="0"/>
              <w:snapToGrid w:val="0"/>
              <w:rPr>
                <w:rFonts w:ascii="宋体" w:hAnsi="宋体"/>
              </w:rPr>
            </w:pPr>
            <w:r>
              <w:rPr>
                <w:rFonts w:hint="eastAsia" w:ascii="宋体" w:hAnsi="宋体"/>
              </w:rPr>
              <w:t>/</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1398" w:type="pct"/>
            <w:shd w:val="clear" w:color="auto" w:fill="auto"/>
            <w:vAlign w:val="center"/>
          </w:tcPr>
          <w:p>
            <w:pPr>
              <w:adjustRightInd w:val="0"/>
              <w:snapToGrid w:val="0"/>
              <w:rPr>
                <w:rFonts w:ascii="宋体" w:hAnsi="宋体"/>
              </w:rPr>
            </w:pPr>
            <w:r>
              <w:rPr>
                <w:rFonts w:ascii="宋体" w:hAnsi="宋体"/>
              </w:rPr>
              <w:t>减速箱形式</w:t>
            </w:r>
          </w:p>
        </w:tc>
        <w:tc>
          <w:tcPr>
            <w:tcW w:w="1411" w:type="pct"/>
            <w:shd w:val="clear" w:color="auto" w:fill="auto"/>
            <w:vAlign w:val="center"/>
          </w:tcPr>
          <w:p>
            <w:pPr>
              <w:adjustRightInd w:val="0"/>
              <w:snapToGrid w:val="0"/>
              <w:rPr>
                <w:rFonts w:ascii="宋体" w:hAnsi="宋体"/>
              </w:rPr>
            </w:pPr>
            <w:r>
              <w:rPr>
                <w:rFonts w:ascii="宋体" w:hAnsi="宋体"/>
              </w:rPr>
              <w:t>/</w:t>
            </w:r>
          </w:p>
        </w:tc>
        <w:tc>
          <w:tcPr>
            <w:tcW w:w="908" w:type="pct"/>
            <w:shd w:val="clear" w:color="auto" w:fill="auto"/>
            <w:vAlign w:val="center"/>
          </w:tcPr>
          <w:p>
            <w:pPr>
              <w:adjustRightInd w:val="0"/>
              <w:snapToGrid w:val="0"/>
              <w:rPr>
                <w:rFonts w:ascii="宋体" w:hAnsi="宋体"/>
              </w:rPr>
            </w:pPr>
          </w:p>
        </w:tc>
        <w:tc>
          <w:tcPr>
            <w:tcW w:w="621" w:type="pct"/>
            <w:shd w:val="clear" w:color="auto" w:fill="auto"/>
            <w:vAlign w:val="center"/>
          </w:tcPr>
          <w:p>
            <w:pPr>
              <w:adjustRightInd w:val="0"/>
              <w:snapToGrid w:val="0"/>
              <w:rPr>
                <w:rFonts w:ascii="宋体" w:hAnsi="宋体"/>
              </w:rPr>
            </w:pPr>
          </w:p>
        </w:tc>
        <w:tc>
          <w:tcPr>
            <w:tcW w:w="662" w:type="pct"/>
            <w:shd w:val="clear" w:color="auto" w:fill="auto"/>
            <w:vAlign w:val="center"/>
          </w:tcPr>
          <w:p>
            <w:pPr>
              <w:adjustRightInd w:val="0"/>
              <w:snapToGrid w:val="0"/>
              <w:rPr>
                <w:rFonts w:ascii="宋体" w:hAnsi="宋体"/>
              </w:rPr>
            </w:pPr>
          </w:p>
        </w:tc>
      </w:tr>
    </w:tbl>
    <w:p>
      <w:pPr>
        <w:keepNext/>
        <w:tabs>
          <w:tab w:val="left" w:pos="993"/>
        </w:tabs>
        <w:adjustRightInd w:val="0"/>
        <w:snapToGrid w:val="0"/>
        <w:spacing w:before="203" w:beforeLines="50" w:after="203" w:afterLines="50"/>
        <w:outlineLvl w:val="2"/>
        <w:rPr>
          <w:rFonts w:ascii="宋体" w:hAnsi="宋体"/>
        </w:rPr>
      </w:pPr>
      <w:bookmarkStart w:id="7512" w:name="_Toc106883852"/>
      <w:r>
        <w:rPr>
          <w:rFonts w:hint="eastAsia" w:ascii="宋体" w:hAnsi="宋体"/>
        </w:rPr>
        <w:t>11.1.19脱水系统</w:t>
      </w:r>
      <w:bookmarkEnd w:id="7512"/>
    </w:p>
    <w:p>
      <w:pPr>
        <w:adjustRightInd w:val="0"/>
        <w:snapToGrid w:val="0"/>
        <w:rPr>
          <w:rFonts w:ascii="宋体" w:hAnsi="宋体"/>
        </w:rPr>
      </w:pPr>
      <w:bookmarkStart w:id="7513" w:name="_Toc106050660"/>
      <w:r>
        <w:rPr>
          <w:rFonts w:ascii="宋体" w:hAnsi="宋体"/>
        </w:rPr>
        <w:t>(1)</w:t>
      </w:r>
      <w:r>
        <w:rPr>
          <w:rFonts w:ascii="宋体" w:hAnsi="宋体"/>
          <w:color w:val="FF0000"/>
        </w:rPr>
        <w:t xml:space="preserve"> </w:t>
      </w:r>
      <w:r>
        <w:rPr>
          <w:rFonts w:ascii="宋体" w:hAnsi="宋体"/>
        </w:rPr>
        <w:t>系统组成</w:t>
      </w:r>
      <w:bookmarkEnd w:id="7513"/>
    </w:p>
    <w:tbl>
      <w:tblPr>
        <w:tblStyle w:val="77"/>
        <w:tblW w:w="8630" w:type="dxa"/>
        <w:tblInd w:w="88" w:type="dxa"/>
        <w:tblLayout w:type="autofit"/>
        <w:tblCellMar>
          <w:top w:w="0" w:type="dxa"/>
          <w:left w:w="108" w:type="dxa"/>
          <w:bottom w:w="0" w:type="dxa"/>
          <w:right w:w="108" w:type="dxa"/>
        </w:tblCellMar>
      </w:tblPr>
      <w:tblGrid>
        <w:gridCol w:w="2318"/>
        <w:gridCol w:w="2275"/>
        <w:gridCol w:w="1759"/>
        <w:gridCol w:w="1050"/>
        <w:gridCol w:w="1228"/>
      </w:tblGrid>
      <w:tr>
        <w:tblPrEx>
          <w:tblCellMar>
            <w:top w:w="0" w:type="dxa"/>
            <w:left w:w="108" w:type="dxa"/>
            <w:bottom w:w="0" w:type="dxa"/>
            <w:right w:w="108" w:type="dxa"/>
          </w:tblCellMar>
        </w:tblPrEx>
        <w:trPr>
          <w:trHeight w:val="285" w:hRule="atLeast"/>
          <w:tblHeader/>
        </w:trPr>
        <w:tc>
          <w:tcPr>
            <w:tcW w:w="2318"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项目</w:t>
            </w:r>
          </w:p>
        </w:tc>
        <w:tc>
          <w:tcPr>
            <w:tcW w:w="2275"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技术参数要求</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投标人响应参数</w:t>
            </w:r>
          </w:p>
        </w:tc>
        <w:tc>
          <w:tcPr>
            <w:tcW w:w="1050"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rPr>
            </w:pPr>
            <w:r>
              <w:rPr>
                <w:rFonts w:hint="eastAsia" w:ascii="宋体" w:hAnsi="宋体"/>
              </w:rPr>
              <w:t>偏离情况</w:t>
            </w:r>
          </w:p>
        </w:tc>
        <w:tc>
          <w:tcPr>
            <w:tcW w:w="1228"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rPr>
            </w:pPr>
            <w:r>
              <w:rPr>
                <w:rFonts w:ascii="宋体" w:hAnsi="宋体"/>
              </w:rPr>
              <w:t>备注</w:t>
            </w: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设计干泥量</w:t>
            </w:r>
          </w:p>
        </w:tc>
        <w:tc>
          <w:tcPr>
            <w:tcW w:w="2275"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hint="eastAsia" w:ascii="宋体" w:hAnsi="宋体"/>
              </w:rPr>
              <w:t>0.55</w:t>
            </w:r>
            <w:r>
              <w:rPr>
                <w:rFonts w:ascii="宋体" w:hAnsi="宋体"/>
              </w:rPr>
              <w:t>t/d</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进泥</w:t>
            </w:r>
            <w:r>
              <w:rPr>
                <w:rFonts w:hint="eastAsia" w:ascii="宋体" w:hAnsi="宋体"/>
              </w:rPr>
              <w:t>含水率</w:t>
            </w:r>
          </w:p>
        </w:tc>
        <w:tc>
          <w:tcPr>
            <w:tcW w:w="2275"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hint="eastAsia" w:ascii="宋体" w:hAnsi="宋体"/>
              </w:rPr>
              <w:t>98%</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出泥含水率</w:t>
            </w:r>
          </w:p>
        </w:tc>
        <w:tc>
          <w:tcPr>
            <w:tcW w:w="2275"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hint="eastAsia" w:ascii="宋体" w:hAnsi="宋体"/>
              </w:rPr>
              <w:t>≤60%</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系统组成：</w:t>
            </w:r>
          </w:p>
        </w:tc>
        <w:tc>
          <w:tcPr>
            <w:tcW w:w="2275"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PAM</w:t>
            </w:r>
            <w:r>
              <w:rPr>
                <w:rFonts w:hint="eastAsia" w:ascii="宋体" w:hAnsi="宋体"/>
              </w:rPr>
              <w:t>制备装置</w:t>
            </w:r>
          </w:p>
        </w:tc>
        <w:tc>
          <w:tcPr>
            <w:tcW w:w="2275"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hint="eastAsia" w:ascii="宋体" w:hAnsi="宋体"/>
              </w:rPr>
              <w:t>2000L/s</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压榨机</w:t>
            </w:r>
          </w:p>
        </w:tc>
        <w:tc>
          <w:tcPr>
            <w:tcW w:w="2275" w:type="dxa"/>
            <w:tcBorders>
              <w:top w:val="nil"/>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2台</w:t>
            </w:r>
          </w:p>
        </w:tc>
        <w:tc>
          <w:tcPr>
            <w:tcW w:w="1759" w:type="dxa"/>
            <w:tcBorders>
              <w:top w:val="nil"/>
              <w:left w:val="nil"/>
              <w:bottom w:val="single" w:color="auto" w:sz="4" w:space="0"/>
              <w:right w:val="single" w:color="auto" w:sz="4" w:space="0"/>
            </w:tcBorders>
            <w:vAlign w:val="center"/>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340" w:hRule="atLeast"/>
        </w:trPr>
        <w:tc>
          <w:tcPr>
            <w:tcW w:w="2318" w:type="dxa"/>
            <w:tcBorders>
              <w:top w:val="nil"/>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铁盐储罐</w:t>
            </w:r>
          </w:p>
        </w:tc>
        <w:tc>
          <w:tcPr>
            <w:tcW w:w="2275" w:type="dxa"/>
            <w:tcBorders>
              <w:top w:val="nil"/>
              <w:left w:val="nil"/>
              <w:bottom w:val="single" w:color="auto" w:sz="4" w:space="0"/>
              <w:right w:val="single" w:color="auto" w:sz="4" w:space="0"/>
            </w:tcBorders>
            <w:vAlign w:val="center"/>
          </w:tcPr>
          <w:p>
            <w:pPr>
              <w:adjustRightInd w:val="0"/>
              <w:snapToGrid w:val="0"/>
              <w:rPr>
                <w:rFonts w:ascii="宋体" w:hAnsi="宋体"/>
              </w:rPr>
            </w:pPr>
            <w:r>
              <w:rPr>
                <w:rFonts w:ascii="宋体" w:hAnsi="宋体"/>
              </w:rPr>
              <w:t>配套，</w:t>
            </w:r>
            <w:r>
              <w:rPr>
                <w:rFonts w:hint="eastAsia" w:ascii="宋体" w:hAnsi="宋体"/>
              </w:rPr>
              <w:t>1台</w:t>
            </w:r>
          </w:p>
        </w:tc>
        <w:tc>
          <w:tcPr>
            <w:tcW w:w="1759" w:type="dxa"/>
            <w:tcBorders>
              <w:top w:val="nil"/>
              <w:left w:val="nil"/>
              <w:bottom w:val="single" w:color="auto" w:sz="4" w:space="0"/>
              <w:right w:val="single" w:color="auto" w:sz="4" w:space="0"/>
            </w:tcBorders>
            <w:vAlign w:val="center"/>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污泥进料泵</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ascii="宋体" w:hAnsi="宋体"/>
              </w:rPr>
              <w:t>配套，2</w:t>
            </w:r>
            <w:r>
              <w:rPr>
                <w:rFonts w:hint="eastAsia" w:ascii="宋体" w:hAnsi="宋体"/>
              </w:rPr>
              <w:t>台</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铁盐投加系统</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ascii="宋体" w:hAnsi="宋体"/>
              </w:rPr>
              <w:t>配套，</w:t>
            </w:r>
            <w:r>
              <w:rPr>
                <w:rFonts w:hint="eastAsia" w:ascii="宋体" w:hAnsi="宋体"/>
              </w:rPr>
              <w:t>1</w:t>
            </w:r>
            <w:r>
              <w:rPr>
                <w:rFonts w:ascii="宋体" w:hAnsi="宋体"/>
              </w:rPr>
              <w:t>套</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污泥调理池搅拌器</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ascii="宋体" w:hAnsi="宋体"/>
              </w:rPr>
              <w:t>配套，</w:t>
            </w:r>
            <w:r>
              <w:rPr>
                <w:rFonts w:hint="eastAsia" w:ascii="宋体" w:hAnsi="宋体"/>
              </w:rPr>
              <w:t>2</w:t>
            </w:r>
            <w:r>
              <w:rPr>
                <w:rFonts w:ascii="宋体" w:hAnsi="宋体"/>
              </w:rPr>
              <w:t>套</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颚式污泥斗</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hint="eastAsia" w:ascii="宋体" w:hAnsi="宋体"/>
              </w:rPr>
              <w:t>2</w:t>
            </w:r>
            <w:r>
              <w:rPr>
                <w:rFonts w:ascii="宋体" w:hAnsi="宋体"/>
              </w:rPr>
              <w:t>套</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压缩空气系统</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ascii="宋体" w:hAnsi="宋体"/>
              </w:rPr>
              <w:t>配套，</w:t>
            </w:r>
            <w:r>
              <w:rPr>
                <w:rFonts w:hint="eastAsia" w:ascii="宋体" w:hAnsi="宋体"/>
              </w:rPr>
              <w:t>1</w:t>
            </w:r>
            <w:r>
              <w:rPr>
                <w:rFonts w:ascii="宋体" w:hAnsi="宋体"/>
              </w:rPr>
              <w:t>套</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自控阀门</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ascii="宋体" w:hAnsi="宋体"/>
              </w:rPr>
              <w:t>配套</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电控系统</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ascii="宋体" w:hAnsi="宋体"/>
              </w:rPr>
              <w:t>配套</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轴流风机</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ascii="宋体" w:hAnsi="宋体"/>
              </w:rPr>
              <w:t>配套</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rPr>
              <w:t>手动清洗水箱</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ascii="宋体" w:hAnsi="宋体"/>
              </w:rPr>
              <w:t>配套</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bookmarkStart w:id="7514" w:name="_Toc106050661"/>
      <w:r>
        <w:rPr>
          <w:rFonts w:ascii="宋体" w:hAnsi="宋体"/>
        </w:rPr>
        <w:t>(</w:t>
      </w:r>
      <w:r>
        <w:rPr>
          <w:rFonts w:hint="eastAsia" w:ascii="宋体" w:hAnsi="宋体"/>
        </w:rPr>
        <w:t>2</w:t>
      </w:r>
      <w:r>
        <w:rPr>
          <w:rFonts w:ascii="宋体" w:hAnsi="宋体"/>
        </w:rPr>
        <w:t xml:space="preserve">) </w:t>
      </w:r>
      <w:bookmarkEnd w:id="7514"/>
      <w:r>
        <w:rPr>
          <w:rFonts w:hint="eastAsia" w:ascii="宋体" w:hAnsi="宋体"/>
        </w:rPr>
        <w:t>压榨机</w:t>
      </w:r>
    </w:p>
    <w:tbl>
      <w:tblPr>
        <w:tblStyle w:val="77"/>
        <w:tblW w:w="8628" w:type="dxa"/>
        <w:tblInd w:w="88" w:type="dxa"/>
        <w:tblLayout w:type="autofit"/>
        <w:tblCellMar>
          <w:top w:w="0" w:type="dxa"/>
          <w:left w:w="108" w:type="dxa"/>
          <w:bottom w:w="0" w:type="dxa"/>
          <w:right w:w="108" w:type="dxa"/>
        </w:tblCellMar>
      </w:tblPr>
      <w:tblGrid>
        <w:gridCol w:w="2316"/>
        <w:gridCol w:w="2522"/>
        <w:gridCol w:w="1528"/>
        <w:gridCol w:w="1262"/>
        <w:gridCol w:w="1000"/>
      </w:tblGrid>
      <w:tr>
        <w:tblPrEx>
          <w:tblCellMar>
            <w:top w:w="0" w:type="dxa"/>
            <w:left w:w="108" w:type="dxa"/>
            <w:bottom w:w="0" w:type="dxa"/>
            <w:right w:w="108" w:type="dxa"/>
          </w:tblCellMar>
        </w:tblPrEx>
        <w:trPr>
          <w:trHeight w:val="285" w:hRule="atLeast"/>
          <w:tblHeader/>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项目</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技术参数要求</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投标人响应参数</w:t>
            </w:r>
          </w:p>
        </w:tc>
        <w:tc>
          <w:tcPr>
            <w:tcW w:w="1262"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rPr>
            </w:pPr>
            <w:r>
              <w:rPr>
                <w:rFonts w:hint="eastAsia" w:ascii="宋体" w:hAnsi="宋体"/>
              </w:rPr>
              <w:t>偏离情况</w:t>
            </w:r>
          </w:p>
        </w:tc>
        <w:tc>
          <w:tcPr>
            <w:tcW w:w="1000"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rPr>
            </w:pPr>
            <w:r>
              <w:rPr>
                <w:rFonts w:ascii="宋体" w:hAnsi="宋体"/>
              </w:rPr>
              <w:t>备注</w:t>
            </w: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制造商</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原产地</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型号</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设计总干泥量</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hint="eastAsia" w:ascii="宋体" w:hAnsi="宋体"/>
              </w:rPr>
              <w:t>1</w:t>
            </w:r>
            <w:r>
              <w:rPr>
                <w:rFonts w:ascii="宋体" w:hAnsi="宋体"/>
              </w:rPr>
              <w:t>.</w:t>
            </w:r>
            <w:r>
              <w:rPr>
                <w:rFonts w:hint="eastAsia" w:ascii="宋体" w:hAnsi="宋体"/>
              </w:rPr>
              <w:t>5</w:t>
            </w:r>
            <w:r>
              <w:rPr>
                <w:rFonts w:ascii="宋体" w:hAnsi="宋体"/>
              </w:rPr>
              <w:t>t/d</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进泥温度</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5～30</w:t>
            </w:r>
            <w:r>
              <w:rPr>
                <w:rFonts w:hint="eastAsia" w:ascii="宋体" w:hAnsi="宋体"/>
              </w:rPr>
              <w:t>℃</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进泥pH值</w:t>
            </w:r>
            <w:r>
              <w:rPr>
                <w:rFonts w:ascii="宋体" w:hAnsi="宋体"/>
              </w:rPr>
              <w:tab/>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6～8</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cs="楷体"/>
                <w:bCs/>
              </w:rPr>
              <w:t>脱水后污泥含固率</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hint="eastAsia" w:ascii="宋体" w:hAnsi="宋体" w:cs="楷体"/>
                <w:bCs/>
              </w:rPr>
              <w:t>40％（含水率60%）</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脱水机数量</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2套</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脱水机形式</w:t>
            </w:r>
          </w:p>
        </w:tc>
        <w:tc>
          <w:tcPr>
            <w:tcW w:w="2522"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hint="eastAsia" w:ascii="宋体" w:hAnsi="宋体"/>
              </w:rPr>
              <w:t>压榨机</w:t>
            </w:r>
          </w:p>
        </w:tc>
        <w:tc>
          <w:tcPr>
            <w:tcW w:w="15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ascii="宋体" w:hAnsi="宋体"/>
              </w:rPr>
              <w:t>滤板尺寸（mm）</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ascii="宋体" w:hAnsi="宋体"/>
              </w:rPr>
              <w:t>1</w:t>
            </w:r>
            <w:r>
              <w:rPr>
                <w:rFonts w:hint="eastAsia" w:ascii="宋体" w:hAnsi="宋体"/>
              </w:rPr>
              <w:t>25</w:t>
            </w:r>
            <w:r>
              <w:rPr>
                <w:rFonts w:ascii="宋体" w:hAnsi="宋体"/>
              </w:rPr>
              <w:t>0×1</w:t>
            </w:r>
            <w:r>
              <w:rPr>
                <w:rFonts w:hint="eastAsia" w:ascii="宋体" w:hAnsi="宋体"/>
              </w:rPr>
              <w:t>25</w:t>
            </w:r>
            <w:r>
              <w:rPr>
                <w:rFonts w:ascii="宋体" w:hAnsi="宋体"/>
              </w:rPr>
              <w:t>0×</w:t>
            </w:r>
            <w:r>
              <w:rPr>
                <w:rFonts w:hint="eastAsia" w:ascii="宋体" w:hAnsi="宋体"/>
              </w:rPr>
              <w:t>126</w:t>
            </w:r>
            <w:r>
              <w:rPr>
                <w:rFonts w:ascii="宋体" w:hAnsi="宋体"/>
              </w:rPr>
              <w:t>mm</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单</w:t>
            </w:r>
            <w:r>
              <w:rPr>
                <w:rFonts w:ascii="宋体" w:hAnsi="宋体"/>
              </w:rPr>
              <w:t>台净过滤面积</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60</w:t>
            </w:r>
            <w:r>
              <w:rPr>
                <w:rFonts w:ascii="宋体" w:hAnsi="宋体"/>
              </w:rPr>
              <w:t>m2</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ascii="宋体" w:hAnsi="宋体"/>
              </w:rPr>
              <w:t>卸泥方式</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ascii="宋体" w:hAnsi="宋体"/>
              </w:rPr>
              <w:t>逐块开板式</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接液形式</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翻板式接液，翻板材质304</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闭合/挤压系统</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液压驱动方式</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中心吹泥系统</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配套</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ascii="宋体" w:hAnsi="宋体"/>
              </w:rPr>
              <w:t>集水盘控制方式</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电机驱动</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ascii="宋体" w:hAnsi="宋体"/>
              </w:rPr>
              <w:t>自动集水盘材质</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ascii="宋体" w:hAnsi="宋体"/>
              </w:rPr>
              <w:t>不锈钢</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6"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ascii="宋体" w:hAnsi="宋体"/>
              </w:rPr>
              <w:t>滤布材质</w:t>
            </w:r>
          </w:p>
        </w:tc>
        <w:tc>
          <w:tcPr>
            <w:tcW w:w="2522"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w:t>
            </w:r>
          </w:p>
        </w:tc>
        <w:tc>
          <w:tcPr>
            <w:tcW w:w="1528"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p>
        </w:tc>
        <w:tc>
          <w:tcPr>
            <w:tcW w:w="1262"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0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bl>
    <w:p>
      <w:pPr>
        <w:adjustRightInd w:val="0"/>
        <w:snapToGrid w:val="0"/>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515" w:name="_Toc106883853"/>
      <w:r>
        <w:rPr>
          <w:rFonts w:hint="eastAsia" w:ascii="宋体" w:hAnsi="宋体"/>
        </w:rPr>
        <w:t>11.1.20加药系统类</w:t>
      </w:r>
      <w:bookmarkEnd w:id="7515"/>
    </w:p>
    <w:p>
      <w:pPr>
        <w:adjustRightInd w:val="0"/>
        <w:snapToGrid w:val="0"/>
        <w:rPr>
          <w:rFonts w:ascii="宋体" w:hAnsi="宋体"/>
        </w:rPr>
      </w:pPr>
      <w:r>
        <w:rPr>
          <w:rFonts w:hint="eastAsia" w:ascii="宋体" w:hAnsi="宋体"/>
        </w:rPr>
        <w:t>（</w:t>
      </w:r>
      <w:r>
        <w:rPr>
          <w:rFonts w:ascii="宋体" w:hAnsi="宋体"/>
        </w:rPr>
        <w:t>1）</w:t>
      </w:r>
      <w:r>
        <w:rPr>
          <w:rFonts w:hint="eastAsia" w:ascii="宋体" w:hAnsi="宋体"/>
        </w:rPr>
        <w:t>PAC投加系统</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120"/>
        <w:gridCol w:w="2156"/>
        <w:gridCol w:w="1881"/>
        <w:gridCol w:w="1376"/>
        <w:gridCol w:w="1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trPr>
        <w:tc>
          <w:tcPr>
            <w:tcW w:w="1239" w:type="pct"/>
            <w:shd w:val="clear" w:color="auto" w:fill="auto"/>
            <w:vAlign w:val="center"/>
          </w:tcPr>
          <w:p>
            <w:pPr>
              <w:adjustRightInd w:val="0"/>
              <w:snapToGrid w:val="0"/>
              <w:rPr>
                <w:rFonts w:ascii="宋体" w:hAnsi="宋体"/>
              </w:rPr>
            </w:pPr>
            <w:r>
              <w:rPr>
                <w:rFonts w:ascii="宋体" w:hAnsi="宋体"/>
              </w:rPr>
              <w:t>项目</w:t>
            </w:r>
          </w:p>
        </w:tc>
        <w:tc>
          <w:tcPr>
            <w:tcW w:w="1260" w:type="pct"/>
            <w:shd w:val="clear" w:color="auto" w:fill="auto"/>
            <w:vAlign w:val="center"/>
          </w:tcPr>
          <w:p>
            <w:pPr>
              <w:adjustRightInd w:val="0"/>
              <w:snapToGrid w:val="0"/>
              <w:rPr>
                <w:rFonts w:ascii="宋体" w:hAnsi="宋体"/>
              </w:rPr>
            </w:pPr>
            <w:r>
              <w:rPr>
                <w:rFonts w:ascii="宋体" w:hAnsi="宋体"/>
              </w:rPr>
              <w:t>技术参数要求</w:t>
            </w:r>
          </w:p>
        </w:tc>
        <w:tc>
          <w:tcPr>
            <w:tcW w:w="1099" w:type="pct"/>
            <w:shd w:val="clear" w:color="auto" w:fill="auto"/>
            <w:vAlign w:val="center"/>
          </w:tcPr>
          <w:p>
            <w:pPr>
              <w:adjustRightInd w:val="0"/>
              <w:snapToGrid w:val="0"/>
              <w:rPr>
                <w:rFonts w:ascii="宋体" w:hAnsi="宋体"/>
              </w:rPr>
            </w:pPr>
            <w:r>
              <w:rPr>
                <w:rFonts w:ascii="宋体" w:hAnsi="宋体"/>
              </w:rPr>
              <w:t>承包商响应参数</w:t>
            </w:r>
          </w:p>
        </w:tc>
        <w:tc>
          <w:tcPr>
            <w:tcW w:w="804"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98"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trPr>
        <w:tc>
          <w:tcPr>
            <w:tcW w:w="1239" w:type="pct"/>
            <w:shd w:val="clear" w:color="auto" w:fill="auto"/>
            <w:vAlign w:val="center"/>
          </w:tcPr>
          <w:p>
            <w:pPr>
              <w:adjustRightInd w:val="0"/>
              <w:snapToGrid w:val="0"/>
              <w:rPr>
                <w:rFonts w:ascii="宋体" w:hAnsi="宋体"/>
              </w:rPr>
            </w:pPr>
            <w:r>
              <w:rPr>
                <w:rFonts w:ascii="宋体" w:hAnsi="宋体"/>
              </w:rPr>
              <w:t>制造商</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原产地</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型号</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设备型式</w:t>
            </w:r>
          </w:p>
        </w:tc>
        <w:tc>
          <w:tcPr>
            <w:tcW w:w="1260" w:type="pct"/>
            <w:shd w:val="clear" w:color="auto" w:fill="auto"/>
            <w:vAlign w:val="center"/>
          </w:tcPr>
          <w:p>
            <w:pPr>
              <w:adjustRightInd w:val="0"/>
              <w:snapToGrid w:val="0"/>
              <w:rPr>
                <w:rFonts w:ascii="宋体" w:hAnsi="宋体"/>
              </w:rPr>
            </w:pPr>
            <w:r>
              <w:rPr>
                <w:rFonts w:hint="eastAsia" w:ascii="宋体" w:hAnsi="宋体" w:cs="楷体"/>
              </w:rPr>
              <w:t>成套装置</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数量（套）</w:t>
            </w:r>
          </w:p>
        </w:tc>
        <w:tc>
          <w:tcPr>
            <w:tcW w:w="1260" w:type="pct"/>
            <w:shd w:val="clear" w:color="auto" w:fill="auto"/>
            <w:vAlign w:val="center"/>
          </w:tcPr>
          <w:p>
            <w:pPr>
              <w:adjustRightInd w:val="0"/>
              <w:snapToGrid w:val="0"/>
              <w:rPr>
                <w:rFonts w:ascii="宋体" w:hAnsi="宋体"/>
              </w:rPr>
            </w:pPr>
            <w:r>
              <w:rPr>
                <w:rFonts w:hint="eastAsia" w:ascii="宋体" w:hAnsi="宋体"/>
              </w:rPr>
              <w:t>1</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卸料泵流量</w:t>
            </w:r>
          </w:p>
        </w:tc>
        <w:tc>
          <w:tcPr>
            <w:tcW w:w="1260" w:type="pct"/>
            <w:shd w:val="clear" w:color="auto" w:fill="auto"/>
            <w:vAlign w:val="center"/>
          </w:tcPr>
          <w:p>
            <w:pPr>
              <w:adjustRightInd w:val="0"/>
              <w:snapToGrid w:val="0"/>
              <w:rPr>
                <w:rFonts w:ascii="宋体" w:hAnsi="宋体"/>
              </w:rPr>
            </w:pPr>
            <w:r>
              <w:rPr>
                <w:rFonts w:ascii="宋体" w:hAnsi="宋体" w:cs="楷体"/>
              </w:rPr>
              <w:t>25</w:t>
            </w:r>
            <w:r>
              <w:rPr>
                <w:rFonts w:hint="eastAsia" w:ascii="宋体" w:hAnsi="宋体" w:cs="楷体"/>
              </w:rPr>
              <w:t>m</w:t>
            </w:r>
            <w:r>
              <w:rPr>
                <w:rFonts w:hint="eastAsia" w:ascii="宋体" w:hAnsi="宋体" w:cs="楷体"/>
                <w:vertAlign w:val="superscript"/>
              </w:rPr>
              <w:t>3</w:t>
            </w:r>
            <w:r>
              <w:rPr>
                <w:rFonts w:hint="eastAsia" w:ascii="宋体" w:hAnsi="宋体" w:cs="楷体"/>
              </w:rPr>
              <w:t>/h</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卸料泵功率</w:t>
            </w:r>
          </w:p>
        </w:tc>
        <w:tc>
          <w:tcPr>
            <w:tcW w:w="1260" w:type="pct"/>
            <w:shd w:val="clear" w:color="auto" w:fill="auto"/>
            <w:vAlign w:val="center"/>
          </w:tcPr>
          <w:p>
            <w:pPr>
              <w:adjustRightInd w:val="0"/>
              <w:snapToGrid w:val="0"/>
              <w:rPr>
                <w:rFonts w:ascii="宋体" w:hAnsi="宋体" w:cs="楷体"/>
              </w:rPr>
            </w:pPr>
            <w:r>
              <w:rPr>
                <w:rFonts w:hint="eastAsia" w:ascii="宋体" w:hAnsi="宋体" w:cs="楷体"/>
              </w:rPr>
              <w:t>1.5kw</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bCs/>
              </w:rPr>
            </w:pPr>
            <w:r>
              <w:rPr>
                <w:rFonts w:hint="eastAsia" w:ascii="宋体" w:hAnsi="宋体"/>
                <w:bCs/>
              </w:rPr>
              <w:t>储罐容积</w:t>
            </w:r>
          </w:p>
        </w:tc>
        <w:tc>
          <w:tcPr>
            <w:tcW w:w="1260" w:type="pct"/>
            <w:shd w:val="clear" w:color="auto" w:fill="auto"/>
            <w:vAlign w:val="center"/>
          </w:tcPr>
          <w:p>
            <w:pPr>
              <w:adjustRightInd w:val="0"/>
              <w:snapToGrid w:val="0"/>
              <w:rPr>
                <w:rFonts w:ascii="宋体" w:hAnsi="宋体"/>
              </w:rPr>
            </w:pPr>
            <w:r>
              <w:rPr>
                <w:rFonts w:hint="eastAsia" w:ascii="宋体" w:hAnsi="宋体" w:cs="楷体"/>
              </w:rPr>
              <w:t>2</w:t>
            </w:r>
            <w:r>
              <w:rPr>
                <w:rFonts w:ascii="宋体" w:hAnsi="宋体" w:cs="楷体"/>
              </w:rPr>
              <w:t>0</w:t>
            </w:r>
            <w:r>
              <w:rPr>
                <w:rFonts w:hint="eastAsia" w:ascii="宋体" w:hAnsi="宋体" w:cs="楷体"/>
              </w:rPr>
              <w:t>m</w:t>
            </w:r>
            <w:r>
              <w:rPr>
                <w:rFonts w:hint="eastAsia" w:ascii="宋体" w:hAnsi="宋体" w:cs="楷体"/>
                <w:vertAlign w:val="superscript"/>
              </w:rPr>
              <w:t>3</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bCs/>
              </w:rPr>
              <w:t>储罐</w:t>
            </w:r>
            <w:r>
              <w:rPr>
                <w:rFonts w:hint="eastAsia" w:ascii="宋体" w:hAnsi="宋体" w:cs="楷体"/>
              </w:rPr>
              <w:t>材质</w:t>
            </w:r>
          </w:p>
        </w:tc>
        <w:tc>
          <w:tcPr>
            <w:tcW w:w="1260" w:type="pct"/>
            <w:shd w:val="clear" w:color="auto" w:fill="auto"/>
            <w:vAlign w:val="center"/>
          </w:tcPr>
          <w:p>
            <w:pPr>
              <w:adjustRightInd w:val="0"/>
              <w:snapToGrid w:val="0"/>
              <w:rPr>
                <w:rFonts w:ascii="宋体" w:hAnsi="宋体"/>
              </w:rPr>
            </w:pPr>
            <w:r>
              <w:rPr>
                <w:rFonts w:hint="eastAsia" w:ascii="宋体" w:hAnsi="宋体" w:cs="楷体"/>
              </w:rPr>
              <w:t>食品级LLDPE</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bCs/>
              </w:rPr>
            </w:pPr>
            <w:r>
              <w:rPr>
                <w:rFonts w:hint="eastAsia" w:ascii="宋体" w:hAnsi="宋体" w:cs="楷体"/>
              </w:rPr>
              <w:t>最大投加量</w:t>
            </w:r>
          </w:p>
        </w:tc>
        <w:tc>
          <w:tcPr>
            <w:tcW w:w="1260" w:type="pct"/>
            <w:shd w:val="clear" w:color="auto" w:fill="auto"/>
            <w:vAlign w:val="center"/>
          </w:tcPr>
          <w:p>
            <w:pPr>
              <w:adjustRightInd w:val="0"/>
              <w:snapToGrid w:val="0"/>
              <w:rPr>
                <w:rFonts w:ascii="宋体" w:hAnsi="宋体" w:cs="楷体"/>
              </w:rPr>
            </w:pPr>
            <w:r>
              <w:rPr>
                <w:rFonts w:hint="eastAsia" w:ascii="宋体" w:hAnsi="宋体" w:cs="楷体"/>
              </w:rPr>
              <w:t>5</w:t>
            </w:r>
            <w:r>
              <w:rPr>
                <w:rFonts w:ascii="宋体" w:hAnsi="宋体" w:cs="楷体"/>
              </w:rPr>
              <w:t>0</w:t>
            </w:r>
            <w:r>
              <w:rPr>
                <w:rFonts w:hint="eastAsia" w:ascii="宋体" w:hAnsi="宋体" w:cs="楷体"/>
              </w:rPr>
              <w:t xml:space="preserve"> L/h</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配套装置</w:t>
            </w:r>
          </w:p>
        </w:tc>
        <w:tc>
          <w:tcPr>
            <w:tcW w:w="1260" w:type="pct"/>
            <w:shd w:val="clear" w:color="auto" w:fill="auto"/>
            <w:vAlign w:val="center"/>
          </w:tcPr>
          <w:p>
            <w:pPr>
              <w:adjustRightInd w:val="0"/>
              <w:snapToGrid w:val="0"/>
              <w:rPr>
                <w:rFonts w:ascii="宋体" w:hAnsi="宋体"/>
                <w:bCs/>
              </w:rPr>
            </w:pPr>
            <w:r>
              <w:rPr>
                <w:rFonts w:hint="eastAsia" w:ascii="宋体" w:hAnsi="宋体"/>
                <w:bCs/>
              </w:rPr>
              <w:t>超声波液位计、</w:t>
            </w:r>
            <w:r>
              <w:rPr>
                <w:rFonts w:ascii="宋体" w:hAnsi="宋体"/>
                <w:bCs/>
              </w:rPr>
              <w:t>计量泵</w:t>
            </w:r>
            <w:r>
              <w:rPr>
                <w:rFonts w:hint="eastAsia" w:ascii="宋体" w:hAnsi="宋体"/>
                <w:bCs/>
              </w:rPr>
              <w:t>、阀门、脉冲阻尼器、Y型过滤器、压力表、流量计、电气控制柜等</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w:t>
      </w:r>
      <w:r>
        <w:rPr>
          <w:rFonts w:ascii="宋体" w:hAnsi="宋体"/>
        </w:rPr>
        <w:t>2）</w:t>
      </w:r>
      <w:r>
        <w:rPr>
          <w:rFonts w:hint="eastAsia" w:ascii="宋体" w:hAnsi="宋体"/>
        </w:rPr>
        <w:t>聚硅锰氯化铝钾投加系统</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120"/>
        <w:gridCol w:w="2156"/>
        <w:gridCol w:w="1881"/>
        <w:gridCol w:w="1376"/>
        <w:gridCol w:w="1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trPr>
        <w:tc>
          <w:tcPr>
            <w:tcW w:w="1239" w:type="pct"/>
            <w:shd w:val="clear" w:color="auto" w:fill="auto"/>
            <w:vAlign w:val="center"/>
          </w:tcPr>
          <w:p>
            <w:pPr>
              <w:adjustRightInd w:val="0"/>
              <w:snapToGrid w:val="0"/>
              <w:rPr>
                <w:rFonts w:ascii="宋体" w:hAnsi="宋体"/>
              </w:rPr>
            </w:pPr>
            <w:r>
              <w:rPr>
                <w:rFonts w:ascii="宋体" w:hAnsi="宋体"/>
              </w:rPr>
              <w:t>项目</w:t>
            </w:r>
          </w:p>
        </w:tc>
        <w:tc>
          <w:tcPr>
            <w:tcW w:w="1260" w:type="pct"/>
            <w:shd w:val="clear" w:color="auto" w:fill="auto"/>
            <w:vAlign w:val="center"/>
          </w:tcPr>
          <w:p>
            <w:pPr>
              <w:adjustRightInd w:val="0"/>
              <w:snapToGrid w:val="0"/>
              <w:rPr>
                <w:rFonts w:ascii="宋体" w:hAnsi="宋体"/>
              </w:rPr>
            </w:pPr>
            <w:r>
              <w:rPr>
                <w:rFonts w:ascii="宋体" w:hAnsi="宋体"/>
              </w:rPr>
              <w:t>技术参数要求</w:t>
            </w:r>
          </w:p>
        </w:tc>
        <w:tc>
          <w:tcPr>
            <w:tcW w:w="1099" w:type="pct"/>
            <w:shd w:val="clear" w:color="auto" w:fill="auto"/>
            <w:vAlign w:val="center"/>
          </w:tcPr>
          <w:p>
            <w:pPr>
              <w:adjustRightInd w:val="0"/>
              <w:snapToGrid w:val="0"/>
              <w:rPr>
                <w:rFonts w:ascii="宋体" w:hAnsi="宋体"/>
              </w:rPr>
            </w:pPr>
            <w:r>
              <w:rPr>
                <w:rFonts w:ascii="宋体" w:hAnsi="宋体"/>
              </w:rPr>
              <w:t>承包商响应参数</w:t>
            </w:r>
          </w:p>
        </w:tc>
        <w:tc>
          <w:tcPr>
            <w:tcW w:w="804"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98"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trPr>
        <w:tc>
          <w:tcPr>
            <w:tcW w:w="1239" w:type="pct"/>
            <w:shd w:val="clear" w:color="auto" w:fill="auto"/>
            <w:vAlign w:val="center"/>
          </w:tcPr>
          <w:p>
            <w:pPr>
              <w:adjustRightInd w:val="0"/>
              <w:snapToGrid w:val="0"/>
              <w:rPr>
                <w:rFonts w:ascii="宋体" w:hAnsi="宋体"/>
              </w:rPr>
            </w:pPr>
            <w:r>
              <w:rPr>
                <w:rFonts w:ascii="宋体" w:hAnsi="宋体"/>
              </w:rPr>
              <w:t>制造商</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原产地</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型号</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设备型式</w:t>
            </w:r>
          </w:p>
        </w:tc>
        <w:tc>
          <w:tcPr>
            <w:tcW w:w="1260" w:type="pct"/>
            <w:shd w:val="clear" w:color="auto" w:fill="auto"/>
            <w:vAlign w:val="center"/>
          </w:tcPr>
          <w:p>
            <w:pPr>
              <w:adjustRightInd w:val="0"/>
              <w:snapToGrid w:val="0"/>
              <w:rPr>
                <w:rFonts w:ascii="宋体" w:hAnsi="宋体"/>
              </w:rPr>
            </w:pPr>
            <w:r>
              <w:rPr>
                <w:rFonts w:hint="eastAsia" w:ascii="宋体" w:hAnsi="宋体" w:cs="楷体"/>
              </w:rPr>
              <w:t>成套装置</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数量（套）</w:t>
            </w:r>
          </w:p>
        </w:tc>
        <w:tc>
          <w:tcPr>
            <w:tcW w:w="1260" w:type="pct"/>
            <w:shd w:val="clear" w:color="auto" w:fill="auto"/>
            <w:vAlign w:val="center"/>
          </w:tcPr>
          <w:p>
            <w:pPr>
              <w:adjustRightInd w:val="0"/>
              <w:snapToGrid w:val="0"/>
              <w:rPr>
                <w:rFonts w:ascii="宋体" w:hAnsi="宋体"/>
              </w:rPr>
            </w:pPr>
            <w:r>
              <w:rPr>
                <w:rFonts w:hint="eastAsia" w:ascii="宋体" w:hAnsi="宋体"/>
              </w:rPr>
              <w:t>1</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bCs/>
              </w:rPr>
            </w:pPr>
            <w:r>
              <w:rPr>
                <w:rFonts w:hint="eastAsia" w:ascii="宋体" w:hAnsi="宋体"/>
                <w:bCs/>
              </w:rPr>
              <w:t>储罐容积</w:t>
            </w:r>
          </w:p>
        </w:tc>
        <w:tc>
          <w:tcPr>
            <w:tcW w:w="1260" w:type="pct"/>
            <w:shd w:val="clear" w:color="auto" w:fill="auto"/>
            <w:vAlign w:val="center"/>
          </w:tcPr>
          <w:p>
            <w:pPr>
              <w:adjustRightInd w:val="0"/>
              <w:snapToGrid w:val="0"/>
              <w:rPr>
                <w:rFonts w:ascii="宋体" w:hAnsi="宋体"/>
              </w:rPr>
            </w:pPr>
            <w:r>
              <w:rPr>
                <w:rFonts w:ascii="宋体" w:hAnsi="宋体" w:cs="楷体"/>
              </w:rPr>
              <w:t>5</w:t>
            </w:r>
            <w:r>
              <w:rPr>
                <w:rFonts w:hint="eastAsia" w:ascii="宋体" w:hAnsi="宋体" w:cs="楷体"/>
              </w:rPr>
              <w:t>m</w:t>
            </w:r>
            <w:r>
              <w:rPr>
                <w:rFonts w:hint="eastAsia" w:ascii="宋体" w:hAnsi="宋体" w:cs="楷体"/>
                <w:vertAlign w:val="superscript"/>
              </w:rPr>
              <w:t>3</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bCs/>
              </w:rPr>
              <w:t>储罐</w:t>
            </w:r>
            <w:r>
              <w:rPr>
                <w:rFonts w:hint="eastAsia" w:ascii="宋体" w:hAnsi="宋体" w:cs="楷体"/>
              </w:rPr>
              <w:t>材质</w:t>
            </w:r>
          </w:p>
        </w:tc>
        <w:tc>
          <w:tcPr>
            <w:tcW w:w="1260" w:type="pct"/>
            <w:shd w:val="clear" w:color="auto" w:fill="auto"/>
            <w:vAlign w:val="center"/>
          </w:tcPr>
          <w:p>
            <w:pPr>
              <w:adjustRightInd w:val="0"/>
              <w:snapToGrid w:val="0"/>
              <w:rPr>
                <w:rFonts w:ascii="宋体" w:hAnsi="宋体"/>
              </w:rPr>
            </w:pPr>
            <w:r>
              <w:rPr>
                <w:rFonts w:hint="eastAsia" w:ascii="宋体" w:hAnsi="宋体" w:cs="楷体"/>
              </w:rPr>
              <w:t>食品级LLDPE</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bCs/>
              </w:rPr>
            </w:pPr>
            <w:r>
              <w:rPr>
                <w:rFonts w:hint="eastAsia" w:ascii="宋体" w:hAnsi="宋体" w:cs="楷体"/>
              </w:rPr>
              <w:t>最大投加量</w:t>
            </w:r>
          </w:p>
        </w:tc>
        <w:tc>
          <w:tcPr>
            <w:tcW w:w="1260" w:type="pct"/>
            <w:shd w:val="clear" w:color="auto" w:fill="auto"/>
            <w:vAlign w:val="center"/>
          </w:tcPr>
          <w:p>
            <w:pPr>
              <w:adjustRightInd w:val="0"/>
              <w:snapToGrid w:val="0"/>
              <w:rPr>
                <w:rFonts w:ascii="宋体" w:hAnsi="宋体" w:cs="楷体"/>
              </w:rPr>
            </w:pPr>
            <w:r>
              <w:rPr>
                <w:rFonts w:ascii="宋体" w:hAnsi="宋体" w:cs="楷体"/>
              </w:rPr>
              <w:t>70</w:t>
            </w:r>
            <w:r>
              <w:rPr>
                <w:rFonts w:hint="eastAsia" w:ascii="宋体" w:hAnsi="宋体" w:cs="楷体"/>
              </w:rPr>
              <w:t xml:space="preserve"> L/h</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配套装置</w:t>
            </w:r>
          </w:p>
        </w:tc>
        <w:tc>
          <w:tcPr>
            <w:tcW w:w="1260" w:type="pct"/>
            <w:shd w:val="clear" w:color="auto" w:fill="auto"/>
            <w:vAlign w:val="center"/>
          </w:tcPr>
          <w:p>
            <w:pPr>
              <w:adjustRightInd w:val="0"/>
              <w:snapToGrid w:val="0"/>
              <w:rPr>
                <w:rFonts w:ascii="宋体" w:hAnsi="宋体"/>
                <w:bCs/>
              </w:rPr>
            </w:pPr>
            <w:r>
              <w:rPr>
                <w:rFonts w:hint="eastAsia" w:ascii="宋体" w:hAnsi="宋体"/>
                <w:bCs/>
              </w:rPr>
              <w:t>超声波液位计、</w:t>
            </w:r>
            <w:r>
              <w:rPr>
                <w:rFonts w:ascii="宋体" w:hAnsi="宋体"/>
                <w:bCs/>
              </w:rPr>
              <w:t>计量泵</w:t>
            </w:r>
            <w:r>
              <w:rPr>
                <w:rFonts w:hint="eastAsia" w:ascii="宋体" w:hAnsi="宋体"/>
                <w:bCs/>
              </w:rPr>
              <w:t>、阀门、脉冲阻尼器、Y型过滤器、压力表、流量计、电气控制柜等</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w:t>
      </w:r>
      <w:r>
        <w:rPr>
          <w:rFonts w:ascii="宋体" w:hAnsi="宋体"/>
        </w:rPr>
        <w:t>3）</w:t>
      </w:r>
      <w:r>
        <w:rPr>
          <w:rFonts w:hint="eastAsia" w:ascii="宋体" w:hAnsi="宋体"/>
        </w:rPr>
        <w:t>次氯酸钠系统</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120"/>
        <w:gridCol w:w="2156"/>
        <w:gridCol w:w="1881"/>
        <w:gridCol w:w="1376"/>
        <w:gridCol w:w="1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trPr>
        <w:tc>
          <w:tcPr>
            <w:tcW w:w="1239" w:type="pct"/>
            <w:shd w:val="clear" w:color="auto" w:fill="auto"/>
            <w:vAlign w:val="center"/>
          </w:tcPr>
          <w:p>
            <w:pPr>
              <w:adjustRightInd w:val="0"/>
              <w:snapToGrid w:val="0"/>
              <w:rPr>
                <w:rFonts w:ascii="宋体" w:hAnsi="宋体"/>
              </w:rPr>
            </w:pPr>
            <w:r>
              <w:rPr>
                <w:rFonts w:ascii="宋体" w:hAnsi="宋体"/>
              </w:rPr>
              <w:t>项目</w:t>
            </w:r>
          </w:p>
        </w:tc>
        <w:tc>
          <w:tcPr>
            <w:tcW w:w="1260" w:type="pct"/>
            <w:shd w:val="clear" w:color="auto" w:fill="auto"/>
            <w:vAlign w:val="center"/>
          </w:tcPr>
          <w:p>
            <w:pPr>
              <w:adjustRightInd w:val="0"/>
              <w:snapToGrid w:val="0"/>
              <w:rPr>
                <w:rFonts w:ascii="宋体" w:hAnsi="宋体"/>
              </w:rPr>
            </w:pPr>
            <w:r>
              <w:rPr>
                <w:rFonts w:ascii="宋体" w:hAnsi="宋体"/>
              </w:rPr>
              <w:t>技术参数要求</w:t>
            </w:r>
          </w:p>
        </w:tc>
        <w:tc>
          <w:tcPr>
            <w:tcW w:w="1099" w:type="pct"/>
            <w:shd w:val="clear" w:color="auto" w:fill="auto"/>
            <w:vAlign w:val="center"/>
          </w:tcPr>
          <w:p>
            <w:pPr>
              <w:adjustRightInd w:val="0"/>
              <w:snapToGrid w:val="0"/>
              <w:rPr>
                <w:rFonts w:ascii="宋体" w:hAnsi="宋体"/>
              </w:rPr>
            </w:pPr>
            <w:r>
              <w:rPr>
                <w:rFonts w:ascii="宋体" w:hAnsi="宋体"/>
              </w:rPr>
              <w:t>承包商响应参数</w:t>
            </w:r>
          </w:p>
        </w:tc>
        <w:tc>
          <w:tcPr>
            <w:tcW w:w="804"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98"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trPr>
        <w:tc>
          <w:tcPr>
            <w:tcW w:w="1239" w:type="pct"/>
            <w:shd w:val="clear" w:color="auto" w:fill="auto"/>
            <w:vAlign w:val="center"/>
          </w:tcPr>
          <w:p>
            <w:pPr>
              <w:adjustRightInd w:val="0"/>
              <w:snapToGrid w:val="0"/>
              <w:rPr>
                <w:rFonts w:ascii="宋体" w:hAnsi="宋体"/>
              </w:rPr>
            </w:pPr>
            <w:r>
              <w:rPr>
                <w:rFonts w:ascii="宋体" w:hAnsi="宋体"/>
              </w:rPr>
              <w:t>制造商</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原产地</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型号</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设备型式</w:t>
            </w:r>
          </w:p>
        </w:tc>
        <w:tc>
          <w:tcPr>
            <w:tcW w:w="1260" w:type="pct"/>
            <w:shd w:val="clear" w:color="auto" w:fill="auto"/>
            <w:vAlign w:val="center"/>
          </w:tcPr>
          <w:p>
            <w:pPr>
              <w:adjustRightInd w:val="0"/>
              <w:snapToGrid w:val="0"/>
              <w:rPr>
                <w:rFonts w:ascii="宋体" w:hAnsi="宋体"/>
              </w:rPr>
            </w:pPr>
            <w:r>
              <w:rPr>
                <w:rFonts w:hint="eastAsia" w:ascii="宋体" w:hAnsi="宋体" w:cs="楷体"/>
              </w:rPr>
              <w:t>成套装置</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数量（套）</w:t>
            </w:r>
          </w:p>
        </w:tc>
        <w:tc>
          <w:tcPr>
            <w:tcW w:w="1260" w:type="pct"/>
            <w:shd w:val="clear" w:color="auto" w:fill="auto"/>
            <w:vAlign w:val="center"/>
          </w:tcPr>
          <w:p>
            <w:pPr>
              <w:adjustRightInd w:val="0"/>
              <w:snapToGrid w:val="0"/>
              <w:rPr>
                <w:rFonts w:ascii="宋体" w:hAnsi="宋体"/>
              </w:rPr>
            </w:pPr>
            <w:r>
              <w:rPr>
                <w:rFonts w:hint="eastAsia" w:ascii="宋体" w:hAnsi="宋体"/>
              </w:rPr>
              <w:t>1</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卸料泵流量</w:t>
            </w:r>
          </w:p>
        </w:tc>
        <w:tc>
          <w:tcPr>
            <w:tcW w:w="1260" w:type="pct"/>
            <w:shd w:val="clear" w:color="auto" w:fill="auto"/>
            <w:vAlign w:val="center"/>
          </w:tcPr>
          <w:p>
            <w:pPr>
              <w:adjustRightInd w:val="0"/>
              <w:snapToGrid w:val="0"/>
              <w:rPr>
                <w:rFonts w:ascii="宋体" w:hAnsi="宋体"/>
              </w:rPr>
            </w:pPr>
            <w:r>
              <w:rPr>
                <w:rFonts w:ascii="宋体" w:hAnsi="宋体" w:cs="楷体"/>
              </w:rPr>
              <w:t>25</w:t>
            </w:r>
            <w:r>
              <w:rPr>
                <w:rFonts w:hint="eastAsia" w:ascii="宋体" w:hAnsi="宋体" w:cs="楷体"/>
              </w:rPr>
              <w:t>m</w:t>
            </w:r>
            <w:r>
              <w:rPr>
                <w:rFonts w:hint="eastAsia" w:ascii="宋体" w:hAnsi="宋体" w:cs="楷体"/>
                <w:vertAlign w:val="superscript"/>
              </w:rPr>
              <w:t>3</w:t>
            </w:r>
            <w:r>
              <w:rPr>
                <w:rFonts w:hint="eastAsia" w:ascii="宋体" w:hAnsi="宋体" w:cs="楷体"/>
              </w:rPr>
              <w:t>/h</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卸料泵功率</w:t>
            </w:r>
          </w:p>
        </w:tc>
        <w:tc>
          <w:tcPr>
            <w:tcW w:w="1260" w:type="pct"/>
            <w:shd w:val="clear" w:color="auto" w:fill="auto"/>
            <w:vAlign w:val="center"/>
          </w:tcPr>
          <w:p>
            <w:pPr>
              <w:adjustRightInd w:val="0"/>
              <w:snapToGrid w:val="0"/>
              <w:rPr>
                <w:rFonts w:ascii="宋体" w:hAnsi="宋体"/>
              </w:rPr>
            </w:pPr>
            <w:r>
              <w:rPr>
                <w:rFonts w:ascii="宋体" w:hAnsi="宋体" w:cs="楷体"/>
              </w:rPr>
              <w:t>2.0</w:t>
            </w:r>
            <w:r>
              <w:rPr>
                <w:rFonts w:hint="eastAsia" w:ascii="宋体" w:hAnsi="宋体" w:cs="楷体"/>
              </w:rPr>
              <w:t>kw</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bCs/>
              </w:rPr>
            </w:pPr>
            <w:r>
              <w:rPr>
                <w:rFonts w:hint="eastAsia" w:ascii="宋体" w:hAnsi="宋体"/>
                <w:bCs/>
              </w:rPr>
              <w:t>储罐容积</w:t>
            </w:r>
          </w:p>
        </w:tc>
        <w:tc>
          <w:tcPr>
            <w:tcW w:w="1260" w:type="pct"/>
            <w:shd w:val="clear" w:color="auto" w:fill="auto"/>
            <w:vAlign w:val="center"/>
          </w:tcPr>
          <w:p>
            <w:pPr>
              <w:adjustRightInd w:val="0"/>
              <w:snapToGrid w:val="0"/>
              <w:rPr>
                <w:rFonts w:ascii="宋体" w:hAnsi="宋体"/>
              </w:rPr>
            </w:pPr>
            <w:r>
              <w:rPr>
                <w:rFonts w:ascii="宋体" w:hAnsi="宋体" w:cs="楷体"/>
              </w:rPr>
              <w:t>20</w:t>
            </w:r>
            <w:r>
              <w:rPr>
                <w:rFonts w:hint="eastAsia" w:ascii="宋体" w:hAnsi="宋体" w:cs="楷体"/>
              </w:rPr>
              <w:t>m</w:t>
            </w:r>
            <w:r>
              <w:rPr>
                <w:rFonts w:hint="eastAsia" w:ascii="宋体" w:hAnsi="宋体" w:cs="楷体"/>
                <w:vertAlign w:val="superscript"/>
              </w:rPr>
              <w:t>3</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bCs/>
              </w:rPr>
              <w:t>储罐</w:t>
            </w:r>
            <w:r>
              <w:rPr>
                <w:rFonts w:hint="eastAsia" w:ascii="宋体" w:hAnsi="宋体" w:cs="楷体"/>
              </w:rPr>
              <w:t>材质</w:t>
            </w:r>
          </w:p>
        </w:tc>
        <w:tc>
          <w:tcPr>
            <w:tcW w:w="1260" w:type="pct"/>
            <w:shd w:val="clear" w:color="auto" w:fill="auto"/>
            <w:vAlign w:val="center"/>
          </w:tcPr>
          <w:p>
            <w:pPr>
              <w:adjustRightInd w:val="0"/>
              <w:snapToGrid w:val="0"/>
              <w:rPr>
                <w:rFonts w:ascii="宋体" w:hAnsi="宋体"/>
              </w:rPr>
            </w:pPr>
            <w:r>
              <w:rPr>
                <w:rFonts w:hint="eastAsia" w:ascii="宋体" w:hAnsi="宋体" w:cs="楷体"/>
              </w:rPr>
              <w:t>食品级LLDPE</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bCs/>
              </w:rPr>
            </w:pPr>
            <w:r>
              <w:rPr>
                <w:rFonts w:hint="eastAsia" w:ascii="宋体" w:hAnsi="宋体" w:cs="楷体"/>
              </w:rPr>
              <w:t>最大投加量</w:t>
            </w:r>
          </w:p>
        </w:tc>
        <w:tc>
          <w:tcPr>
            <w:tcW w:w="1260" w:type="pct"/>
            <w:shd w:val="clear" w:color="auto" w:fill="auto"/>
            <w:vAlign w:val="center"/>
          </w:tcPr>
          <w:p>
            <w:pPr>
              <w:adjustRightInd w:val="0"/>
              <w:snapToGrid w:val="0"/>
              <w:rPr>
                <w:rFonts w:ascii="宋体" w:hAnsi="宋体" w:cs="楷体"/>
              </w:rPr>
            </w:pPr>
            <w:r>
              <w:rPr>
                <w:rFonts w:ascii="宋体" w:hAnsi="宋体" w:cs="楷体"/>
              </w:rPr>
              <w:t>50</w:t>
            </w:r>
            <w:r>
              <w:rPr>
                <w:rFonts w:hint="eastAsia" w:ascii="宋体" w:hAnsi="宋体" w:cs="楷体"/>
              </w:rPr>
              <w:t xml:space="preserve"> L/h</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配套装置</w:t>
            </w:r>
          </w:p>
        </w:tc>
        <w:tc>
          <w:tcPr>
            <w:tcW w:w="1260" w:type="pct"/>
            <w:shd w:val="clear" w:color="auto" w:fill="auto"/>
            <w:vAlign w:val="center"/>
          </w:tcPr>
          <w:p>
            <w:pPr>
              <w:adjustRightInd w:val="0"/>
              <w:snapToGrid w:val="0"/>
              <w:rPr>
                <w:rFonts w:ascii="宋体" w:hAnsi="宋体"/>
                <w:bCs/>
              </w:rPr>
            </w:pPr>
            <w:r>
              <w:rPr>
                <w:rFonts w:hint="eastAsia" w:ascii="宋体" w:hAnsi="宋体"/>
                <w:bCs/>
              </w:rPr>
              <w:t>超声波液位计、</w:t>
            </w:r>
            <w:r>
              <w:rPr>
                <w:rFonts w:ascii="宋体" w:hAnsi="宋体"/>
                <w:bCs/>
              </w:rPr>
              <w:t>计量泵</w:t>
            </w:r>
            <w:r>
              <w:rPr>
                <w:rFonts w:hint="eastAsia" w:ascii="宋体" w:hAnsi="宋体"/>
                <w:bCs/>
              </w:rPr>
              <w:t>、阀门、脉冲阻尼器、Y型过滤器、压力表、流量计、电气控制柜等</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w:t>
      </w:r>
      <w:r>
        <w:rPr>
          <w:rFonts w:ascii="宋体" w:hAnsi="宋体"/>
        </w:rPr>
        <w:t>4）</w:t>
      </w:r>
      <w:r>
        <w:rPr>
          <w:rFonts w:hint="eastAsia" w:ascii="宋体" w:hAnsi="宋体"/>
        </w:rPr>
        <w:t>活性炭投加系统</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120"/>
        <w:gridCol w:w="2156"/>
        <w:gridCol w:w="1881"/>
        <w:gridCol w:w="1376"/>
        <w:gridCol w:w="1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trPr>
        <w:tc>
          <w:tcPr>
            <w:tcW w:w="1239" w:type="pct"/>
            <w:shd w:val="clear" w:color="auto" w:fill="auto"/>
            <w:vAlign w:val="center"/>
          </w:tcPr>
          <w:p>
            <w:pPr>
              <w:adjustRightInd w:val="0"/>
              <w:snapToGrid w:val="0"/>
              <w:rPr>
                <w:rFonts w:ascii="宋体" w:hAnsi="宋体"/>
              </w:rPr>
            </w:pPr>
            <w:r>
              <w:rPr>
                <w:rFonts w:ascii="宋体" w:hAnsi="宋体"/>
              </w:rPr>
              <w:t>项目</w:t>
            </w:r>
          </w:p>
        </w:tc>
        <w:tc>
          <w:tcPr>
            <w:tcW w:w="1260" w:type="pct"/>
            <w:shd w:val="clear" w:color="auto" w:fill="auto"/>
            <w:vAlign w:val="center"/>
          </w:tcPr>
          <w:p>
            <w:pPr>
              <w:adjustRightInd w:val="0"/>
              <w:snapToGrid w:val="0"/>
              <w:rPr>
                <w:rFonts w:ascii="宋体" w:hAnsi="宋体"/>
              </w:rPr>
            </w:pPr>
            <w:r>
              <w:rPr>
                <w:rFonts w:ascii="宋体" w:hAnsi="宋体"/>
              </w:rPr>
              <w:t>技术参数要求</w:t>
            </w:r>
          </w:p>
        </w:tc>
        <w:tc>
          <w:tcPr>
            <w:tcW w:w="1099" w:type="pct"/>
            <w:shd w:val="clear" w:color="auto" w:fill="auto"/>
            <w:vAlign w:val="center"/>
          </w:tcPr>
          <w:p>
            <w:pPr>
              <w:adjustRightInd w:val="0"/>
              <w:snapToGrid w:val="0"/>
              <w:rPr>
                <w:rFonts w:ascii="宋体" w:hAnsi="宋体"/>
              </w:rPr>
            </w:pPr>
            <w:r>
              <w:rPr>
                <w:rFonts w:ascii="宋体" w:hAnsi="宋体"/>
              </w:rPr>
              <w:t>承包商响应参数</w:t>
            </w:r>
          </w:p>
        </w:tc>
        <w:tc>
          <w:tcPr>
            <w:tcW w:w="804"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98"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trPr>
        <w:tc>
          <w:tcPr>
            <w:tcW w:w="1239" w:type="pct"/>
            <w:shd w:val="clear" w:color="auto" w:fill="auto"/>
            <w:vAlign w:val="center"/>
          </w:tcPr>
          <w:p>
            <w:pPr>
              <w:adjustRightInd w:val="0"/>
              <w:snapToGrid w:val="0"/>
              <w:rPr>
                <w:rFonts w:ascii="宋体" w:hAnsi="宋体"/>
              </w:rPr>
            </w:pPr>
            <w:r>
              <w:rPr>
                <w:rFonts w:ascii="宋体" w:hAnsi="宋体"/>
              </w:rPr>
              <w:t>制造商</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原产地</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型号</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设备型式</w:t>
            </w:r>
          </w:p>
        </w:tc>
        <w:tc>
          <w:tcPr>
            <w:tcW w:w="1260" w:type="pct"/>
            <w:shd w:val="clear" w:color="auto" w:fill="auto"/>
            <w:vAlign w:val="center"/>
          </w:tcPr>
          <w:p>
            <w:pPr>
              <w:adjustRightInd w:val="0"/>
              <w:snapToGrid w:val="0"/>
              <w:rPr>
                <w:rFonts w:ascii="宋体" w:hAnsi="宋体"/>
              </w:rPr>
            </w:pPr>
            <w:r>
              <w:rPr>
                <w:rFonts w:hint="eastAsia" w:ascii="宋体" w:hAnsi="宋体" w:cs="楷体"/>
              </w:rPr>
              <w:t>成套装置</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使用介质</w:t>
            </w:r>
          </w:p>
        </w:tc>
        <w:tc>
          <w:tcPr>
            <w:tcW w:w="1260" w:type="pct"/>
            <w:shd w:val="clear" w:color="auto" w:fill="auto"/>
            <w:vAlign w:val="center"/>
          </w:tcPr>
          <w:p>
            <w:pPr>
              <w:adjustRightInd w:val="0"/>
              <w:snapToGrid w:val="0"/>
              <w:rPr>
                <w:rFonts w:ascii="宋体" w:hAnsi="宋体"/>
              </w:rPr>
            </w:pPr>
            <w:r>
              <w:rPr>
                <w:rFonts w:hint="eastAsia" w:ascii="宋体" w:hAnsi="宋体" w:cs="楷体"/>
              </w:rPr>
              <w:t>活性炭</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数量（套）</w:t>
            </w:r>
          </w:p>
        </w:tc>
        <w:tc>
          <w:tcPr>
            <w:tcW w:w="1260" w:type="pct"/>
            <w:shd w:val="clear" w:color="auto" w:fill="auto"/>
            <w:vAlign w:val="center"/>
          </w:tcPr>
          <w:p>
            <w:pPr>
              <w:adjustRightInd w:val="0"/>
              <w:snapToGrid w:val="0"/>
              <w:rPr>
                <w:rFonts w:ascii="宋体" w:hAnsi="宋体"/>
              </w:rPr>
            </w:pPr>
            <w:r>
              <w:rPr>
                <w:rFonts w:hint="eastAsia" w:ascii="宋体" w:hAnsi="宋体"/>
              </w:rPr>
              <w:t>1</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料仓体积</w:t>
            </w:r>
          </w:p>
        </w:tc>
        <w:tc>
          <w:tcPr>
            <w:tcW w:w="1260" w:type="pct"/>
            <w:shd w:val="clear" w:color="auto" w:fill="auto"/>
            <w:vAlign w:val="center"/>
          </w:tcPr>
          <w:p>
            <w:pPr>
              <w:adjustRightInd w:val="0"/>
              <w:snapToGrid w:val="0"/>
              <w:rPr>
                <w:rFonts w:ascii="宋体" w:hAnsi="宋体"/>
              </w:rPr>
            </w:pPr>
            <w:r>
              <w:rPr>
                <w:rFonts w:ascii="宋体" w:hAnsi="宋体" w:cs="楷体"/>
              </w:rPr>
              <w:t>8</w:t>
            </w:r>
            <w:r>
              <w:rPr>
                <w:rFonts w:hint="eastAsia" w:ascii="宋体" w:hAnsi="宋体" w:cs="楷体"/>
              </w:rPr>
              <w:t>m</w:t>
            </w:r>
            <w:r>
              <w:rPr>
                <w:rFonts w:ascii="宋体" w:hAnsi="宋体" w:cs="Calibri"/>
              </w:rPr>
              <w:t>³</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cs="楷体"/>
              </w:rPr>
              <w:t>料仓材质</w:t>
            </w:r>
          </w:p>
        </w:tc>
        <w:tc>
          <w:tcPr>
            <w:tcW w:w="1260" w:type="pct"/>
            <w:shd w:val="clear" w:color="auto" w:fill="auto"/>
            <w:vAlign w:val="center"/>
          </w:tcPr>
          <w:p>
            <w:pPr>
              <w:adjustRightInd w:val="0"/>
              <w:snapToGrid w:val="0"/>
              <w:rPr>
                <w:rFonts w:ascii="宋体" w:hAnsi="宋体" w:cs="楷体"/>
              </w:rPr>
            </w:pPr>
            <w:r>
              <w:rPr>
                <w:rFonts w:hint="eastAsia" w:ascii="宋体" w:hAnsi="宋体" w:cs="楷体"/>
              </w:rPr>
              <w:t>Q235B</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bCs/>
              </w:rPr>
            </w:pPr>
            <w:r>
              <w:rPr>
                <w:rFonts w:hint="eastAsia" w:ascii="宋体" w:hAnsi="宋体"/>
                <w:bCs/>
              </w:rPr>
              <w:t>仓顶除尘器</w:t>
            </w:r>
            <w:r>
              <w:rPr>
                <w:rFonts w:hint="eastAsia" w:ascii="宋体" w:hAnsi="宋体" w:cs="楷体"/>
                <w:bCs/>
              </w:rPr>
              <w:t>过滤面积</w:t>
            </w:r>
          </w:p>
        </w:tc>
        <w:tc>
          <w:tcPr>
            <w:tcW w:w="1260" w:type="pct"/>
            <w:shd w:val="clear" w:color="auto" w:fill="auto"/>
            <w:vAlign w:val="center"/>
          </w:tcPr>
          <w:p>
            <w:pPr>
              <w:adjustRightInd w:val="0"/>
              <w:snapToGrid w:val="0"/>
              <w:rPr>
                <w:rFonts w:ascii="宋体" w:hAnsi="宋体"/>
              </w:rPr>
            </w:pPr>
            <w:r>
              <w:rPr>
                <w:rFonts w:hint="eastAsia" w:ascii="宋体" w:hAnsi="宋体" w:cs="楷体"/>
              </w:rPr>
              <w:t>2</w:t>
            </w:r>
            <w:r>
              <w:rPr>
                <w:rFonts w:ascii="宋体" w:hAnsi="宋体" w:cs="楷体"/>
              </w:rPr>
              <w:t>0</w:t>
            </w:r>
            <w:r>
              <w:rPr>
                <w:rFonts w:hint="eastAsia" w:ascii="宋体" w:hAnsi="宋体" w:cs="楷体"/>
              </w:rPr>
              <w:t>m</w:t>
            </w:r>
            <w:r>
              <w:rPr>
                <w:rFonts w:hint="eastAsia" w:ascii="宋体" w:hAnsi="宋体" w:cs="楷体"/>
                <w:vertAlign w:val="superscript"/>
              </w:rPr>
              <w:t>3</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cs="楷体"/>
              </w:rPr>
              <w:t>材质</w:t>
            </w:r>
          </w:p>
        </w:tc>
        <w:tc>
          <w:tcPr>
            <w:tcW w:w="1260" w:type="pct"/>
            <w:shd w:val="clear" w:color="auto" w:fill="auto"/>
            <w:vAlign w:val="center"/>
          </w:tcPr>
          <w:p>
            <w:pPr>
              <w:adjustRightInd w:val="0"/>
              <w:snapToGrid w:val="0"/>
              <w:rPr>
                <w:rFonts w:ascii="宋体" w:hAnsi="宋体"/>
              </w:rPr>
            </w:pPr>
            <w:r>
              <w:rPr>
                <w:rFonts w:hint="eastAsia" w:ascii="宋体" w:hAnsi="宋体" w:cs="楷体"/>
              </w:rPr>
              <w:t>不锈钢</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tcPr>
          <w:p>
            <w:pPr>
              <w:adjustRightInd w:val="0"/>
              <w:snapToGrid w:val="0"/>
              <w:rPr>
                <w:rFonts w:ascii="宋体" w:hAnsi="宋体"/>
                <w:bCs/>
              </w:rPr>
            </w:pPr>
            <w:r>
              <w:rPr>
                <w:rFonts w:hint="eastAsia" w:ascii="宋体" w:hAnsi="宋体" w:cs="楷体"/>
              </w:rPr>
              <w:t>除尘方式</w:t>
            </w:r>
          </w:p>
        </w:tc>
        <w:tc>
          <w:tcPr>
            <w:tcW w:w="1260" w:type="pct"/>
            <w:shd w:val="clear" w:color="auto" w:fill="auto"/>
          </w:tcPr>
          <w:p>
            <w:pPr>
              <w:adjustRightInd w:val="0"/>
              <w:snapToGrid w:val="0"/>
              <w:rPr>
                <w:rFonts w:ascii="宋体" w:hAnsi="宋体" w:cs="楷体"/>
              </w:rPr>
            </w:pPr>
            <w:r>
              <w:rPr>
                <w:rFonts w:hint="eastAsia" w:ascii="宋体" w:hAnsi="宋体" w:cs="楷体"/>
              </w:rPr>
              <w:t>气动脉冲除尘</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tcPr>
          <w:p>
            <w:pPr>
              <w:adjustRightInd w:val="0"/>
              <w:snapToGrid w:val="0"/>
              <w:rPr>
                <w:rFonts w:ascii="宋体" w:hAnsi="宋体" w:cs="楷体"/>
              </w:rPr>
            </w:pPr>
            <w:r>
              <w:rPr>
                <w:rFonts w:hint="eastAsia" w:ascii="宋体" w:hAnsi="宋体" w:cs="楷体"/>
              </w:rPr>
              <w:t>滤芯材料</w:t>
            </w:r>
          </w:p>
        </w:tc>
        <w:tc>
          <w:tcPr>
            <w:tcW w:w="1260" w:type="pct"/>
            <w:shd w:val="clear" w:color="auto" w:fill="auto"/>
          </w:tcPr>
          <w:p>
            <w:pPr>
              <w:adjustRightInd w:val="0"/>
              <w:snapToGrid w:val="0"/>
              <w:rPr>
                <w:rFonts w:ascii="宋体" w:hAnsi="宋体" w:cs="楷体"/>
              </w:rPr>
            </w:pPr>
            <w:r>
              <w:rPr>
                <w:rFonts w:hint="eastAsia" w:ascii="宋体" w:hAnsi="宋体" w:cs="楷体"/>
              </w:rPr>
              <w:t>PP滤芯</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tcPr>
          <w:p>
            <w:pPr>
              <w:adjustRightInd w:val="0"/>
              <w:snapToGrid w:val="0"/>
              <w:rPr>
                <w:rFonts w:ascii="宋体" w:hAnsi="宋体" w:cs="楷体"/>
                <w:bCs/>
              </w:rPr>
            </w:pPr>
            <w:r>
              <w:rPr>
                <w:rFonts w:hint="eastAsia" w:ascii="宋体" w:hAnsi="宋体"/>
                <w:bCs/>
              </w:rPr>
              <w:t>给料机</w:t>
            </w:r>
            <w:r>
              <w:rPr>
                <w:rFonts w:hint="eastAsia" w:ascii="宋体" w:hAnsi="宋体" w:cs="楷体"/>
                <w:bCs/>
              </w:rPr>
              <w:t>最大输送量</w:t>
            </w:r>
          </w:p>
        </w:tc>
        <w:tc>
          <w:tcPr>
            <w:tcW w:w="1260" w:type="pct"/>
            <w:shd w:val="clear" w:color="auto" w:fill="auto"/>
          </w:tcPr>
          <w:p>
            <w:pPr>
              <w:adjustRightInd w:val="0"/>
              <w:snapToGrid w:val="0"/>
              <w:rPr>
                <w:rFonts w:ascii="宋体" w:hAnsi="宋体" w:cs="楷体"/>
              </w:rPr>
            </w:pPr>
            <w:r>
              <w:rPr>
                <w:rFonts w:hint="eastAsia" w:ascii="宋体" w:hAnsi="宋体" w:cs="楷体"/>
              </w:rPr>
              <w:t>1000L/h</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tcPr>
          <w:p>
            <w:pPr>
              <w:adjustRightInd w:val="0"/>
              <w:snapToGrid w:val="0"/>
              <w:rPr>
                <w:rFonts w:ascii="宋体" w:hAnsi="宋体"/>
                <w:bCs/>
              </w:rPr>
            </w:pPr>
            <w:r>
              <w:rPr>
                <w:rFonts w:hint="eastAsia" w:ascii="宋体" w:hAnsi="宋体"/>
                <w:bCs/>
              </w:rPr>
              <w:t>输送机</w:t>
            </w:r>
            <w:r>
              <w:rPr>
                <w:rFonts w:hint="eastAsia" w:ascii="宋体" w:hAnsi="宋体" w:cs="楷体_GB2312"/>
                <w:bCs/>
                <w:szCs w:val="21"/>
              </w:rPr>
              <w:t>输送管长度</w:t>
            </w:r>
          </w:p>
        </w:tc>
        <w:tc>
          <w:tcPr>
            <w:tcW w:w="1260" w:type="pct"/>
            <w:shd w:val="clear" w:color="auto" w:fill="auto"/>
          </w:tcPr>
          <w:p>
            <w:pPr>
              <w:adjustRightInd w:val="0"/>
              <w:snapToGrid w:val="0"/>
              <w:rPr>
                <w:rFonts w:ascii="宋体" w:hAnsi="宋体" w:cs="楷体"/>
              </w:rPr>
            </w:pPr>
            <w:r>
              <w:rPr>
                <w:rFonts w:hint="eastAsia" w:ascii="宋体" w:hAnsi="宋体" w:cs="楷体_GB2312"/>
                <w:bCs/>
                <w:szCs w:val="21"/>
              </w:rPr>
              <w:t>7m</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配套装置</w:t>
            </w:r>
          </w:p>
        </w:tc>
        <w:tc>
          <w:tcPr>
            <w:tcW w:w="1260" w:type="pct"/>
            <w:shd w:val="clear" w:color="auto" w:fill="auto"/>
            <w:vAlign w:val="center"/>
          </w:tcPr>
          <w:p>
            <w:pPr>
              <w:adjustRightInd w:val="0"/>
              <w:snapToGrid w:val="0"/>
              <w:rPr>
                <w:rFonts w:ascii="宋体" w:hAnsi="宋体"/>
                <w:bCs/>
              </w:rPr>
            </w:pPr>
            <w:r>
              <w:rPr>
                <w:rFonts w:hint="eastAsia" w:ascii="宋体" w:hAnsi="宋体"/>
                <w:bCs/>
              </w:rPr>
              <w:t>料位计、除尘器、阀门、称重系统、给料机、输送机、溶解存储罐、搅拌机、螺杆泵、流量计、电气控制柜等</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（5</w:t>
      </w:r>
      <w:r>
        <w:rPr>
          <w:rFonts w:ascii="宋体" w:hAnsi="宋体"/>
        </w:rPr>
        <w:t>）</w:t>
      </w:r>
      <w:r>
        <w:rPr>
          <w:rFonts w:hint="eastAsia" w:ascii="宋体" w:hAnsi="宋体"/>
        </w:rPr>
        <w:t>石灰投加系统</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120"/>
        <w:gridCol w:w="2156"/>
        <w:gridCol w:w="1881"/>
        <w:gridCol w:w="1376"/>
        <w:gridCol w:w="1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trPr>
        <w:tc>
          <w:tcPr>
            <w:tcW w:w="1239" w:type="pct"/>
            <w:shd w:val="clear" w:color="auto" w:fill="auto"/>
            <w:vAlign w:val="center"/>
          </w:tcPr>
          <w:p>
            <w:pPr>
              <w:adjustRightInd w:val="0"/>
              <w:snapToGrid w:val="0"/>
              <w:rPr>
                <w:rFonts w:ascii="宋体" w:hAnsi="宋体"/>
              </w:rPr>
            </w:pPr>
            <w:r>
              <w:rPr>
                <w:rFonts w:ascii="宋体" w:hAnsi="宋体"/>
              </w:rPr>
              <w:t>项目</w:t>
            </w:r>
          </w:p>
        </w:tc>
        <w:tc>
          <w:tcPr>
            <w:tcW w:w="1260" w:type="pct"/>
            <w:shd w:val="clear" w:color="auto" w:fill="auto"/>
            <w:vAlign w:val="center"/>
          </w:tcPr>
          <w:p>
            <w:pPr>
              <w:adjustRightInd w:val="0"/>
              <w:snapToGrid w:val="0"/>
              <w:rPr>
                <w:rFonts w:ascii="宋体" w:hAnsi="宋体"/>
              </w:rPr>
            </w:pPr>
            <w:r>
              <w:rPr>
                <w:rFonts w:ascii="宋体" w:hAnsi="宋体"/>
              </w:rPr>
              <w:t>技术参数要求</w:t>
            </w:r>
          </w:p>
        </w:tc>
        <w:tc>
          <w:tcPr>
            <w:tcW w:w="1099" w:type="pct"/>
            <w:shd w:val="clear" w:color="auto" w:fill="auto"/>
            <w:vAlign w:val="center"/>
          </w:tcPr>
          <w:p>
            <w:pPr>
              <w:adjustRightInd w:val="0"/>
              <w:snapToGrid w:val="0"/>
              <w:rPr>
                <w:rFonts w:ascii="宋体" w:hAnsi="宋体"/>
              </w:rPr>
            </w:pPr>
            <w:r>
              <w:rPr>
                <w:rFonts w:ascii="宋体" w:hAnsi="宋体"/>
              </w:rPr>
              <w:t>承包商响应参数</w:t>
            </w:r>
          </w:p>
        </w:tc>
        <w:tc>
          <w:tcPr>
            <w:tcW w:w="804"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98"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trPr>
        <w:tc>
          <w:tcPr>
            <w:tcW w:w="1239" w:type="pct"/>
            <w:shd w:val="clear" w:color="auto" w:fill="auto"/>
            <w:vAlign w:val="center"/>
          </w:tcPr>
          <w:p>
            <w:pPr>
              <w:adjustRightInd w:val="0"/>
              <w:snapToGrid w:val="0"/>
              <w:rPr>
                <w:rFonts w:ascii="宋体" w:hAnsi="宋体"/>
              </w:rPr>
            </w:pPr>
            <w:r>
              <w:rPr>
                <w:rFonts w:ascii="宋体" w:hAnsi="宋体"/>
              </w:rPr>
              <w:t>制造商</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原产地</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型号</w:t>
            </w:r>
          </w:p>
        </w:tc>
        <w:tc>
          <w:tcPr>
            <w:tcW w:w="1260" w:type="pct"/>
            <w:shd w:val="clear" w:color="auto" w:fill="auto"/>
            <w:vAlign w:val="center"/>
          </w:tcPr>
          <w:p>
            <w:pPr>
              <w:adjustRightInd w:val="0"/>
              <w:snapToGrid w:val="0"/>
              <w:rPr>
                <w:rFonts w:ascii="宋体" w:hAnsi="宋体"/>
              </w:rPr>
            </w:pPr>
            <w:r>
              <w:rPr>
                <w:rFonts w:ascii="宋体" w:hAnsi="宋体"/>
              </w:rPr>
              <w:t>/</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设备型式</w:t>
            </w:r>
          </w:p>
        </w:tc>
        <w:tc>
          <w:tcPr>
            <w:tcW w:w="1260" w:type="pct"/>
            <w:shd w:val="clear" w:color="auto" w:fill="auto"/>
            <w:vAlign w:val="center"/>
          </w:tcPr>
          <w:p>
            <w:pPr>
              <w:adjustRightInd w:val="0"/>
              <w:snapToGrid w:val="0"/>
              <w:rPr>
                <w:rFonts w:ascii="宋体" w:hAnsi="宋体"/>
              </w:rPr>
            </w:pPr>
            <w:r>
              <w:rPr>
                <w:rFonts w:hint="eastAsia" w:ascii="宋体" w:hAnsi="宋体" w:cs="楷体"/>
              </w:rPr>
              <w:t>成套装置</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使用介质</w:t>
            </w:r>
          </w:p>
        </w:tc>
        <w:tc>
          <w:tcPr>
            <w:tcW w:w="1260" w:type="pct"/>
            <w:shd w:val="clear" w:color="auto" w:fill="auto"/>
            <w:vAlign w:val="center"/>
          </w:tcPr>
          <w:p>
            <w:pPr>
              <w:adjustRightInd w:val="0"/>
              <w:snapToGrid w:val="0"/>
              <w:rPr>
                <w:rFonts w:ascii="宋体" w:hAnsi="宋体"/>
              </w:rPr>
            </w:pPr>
            <w:r>
              <w:rPr>
                <w:rFonts w:hint="eastAsia" w:ascii="宋体" w:hAnsi="宋体" w:cs="楷体"/>
              </w:rPr>
              <w:t>石灰粉料</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ascii="宋体" w:hAnsi="宋体"/>
              </w:rPr>
              <w:t>数量（套）</w:t>
            </w:r>
          </w:p>
        </w:tc>
        <w:tc>
          <w:tcPr>
            <w:tcW w:w="1260" w:type="pct"/>
            <w:shd w:val="clear" w:color="auto" w:fill="auto"/>
            <w:vAlign w:val="center"/>
          </w:tcPr>
          <w:p>
            <w:pPr>
              <w:adjustRightInd w:val="0"/>
              <w:snapToGrid w:val="0"/>
              <w:rPr>
                <w:rFonts w:ascii="宋体" w:hAnsi="宋体"/>
              </w:rPr>
            </w:pPr>
            <w:r>
              <w:rPr>
                <w:rFonts w:hint="eastAsia" w:ascii="宋体" w:hAnsi="宋体"/>
              </w:rPr>
              <w:t>1</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料仓体积</w:t>
            </w:r>
          </w:p>
        </w:tc>
        <w:tc>
          <w:tcPr>
            <w:tcW w:w="1260" w:type="pct"/>
            <w:shd w:val="clear" w:color="auto" w:fill="auto"/>
            <w:vAlign w:val="center"/>
          </w:tcPr>
          <w:p>
            <w:pPr>
              <w:adjustRightInd w:val="0"/>
              <w:snapToGrid w:val="0"/>
              <w:rPr>
                <w:rFonts w:ascii="宋体" w:hAnsi="宋体"/>
              </w:rPr>
            </w:pPr>
            <w:r>
              <w:rPr>
                <w:rFonts w:ascii="宋体" w:hAnsi="宋体" w:cs="楷体"/>
              </w:rPr>
              <w:t>8</w:t>
            </w:r>
            <w:r>
              <w:rPr>
                <w:rFonts w:hint="eastAsia" w:ascii="宋体" w:hAnsi="宋体" w:cs="楷体"/>
              </w:rPr>
              <w:t>m</w:t>
            </w:r>
            <w:r>
              <w:rPr>
                <w:rFonts w:ascii="宋体" w:hAnsi="宋体" w:cs="Calibri"/>
              </w:rPr>
              <w:t>³</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cs="楷体"/>
              </w:rPr>
              <w:t>料仓材质</w:t>
            </w:r>
          </w:p>
        </w:tc>
        <w:tc>
          <w:tcPr>
            <w:tcW w:w="1260" w:type="pct"/>
            <w:shd w:val="clear" w:color="auto" w:fill="auto"/>
            <w:vAlign w:val="center"/>
          </w:tcPr>
          <w:p>
            <w:pPr>
              <w:adjustRightInd w:val="0"/>
              <w:snapToGrid w:val="0"/>
              <w:rPr>
                <w:rFonts w:ascii="宋体" w:hAnsi="宋体" w:cs="楷体"/>
              </w:rPr>
            </w:pPr>
            <w:r>
              <w:rPr>
                <w:rFonts w:hint="eastAsia" w:ascii="宋体" w:hAnsi="宋体" w:cs="楷体"/>
              </w:rPr>
              <w:t>Q235B</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bCs/>
              </w:rPr>
            </w:pPr>
            <w:r>
              <w:rPr>
                <w:rFonts w:hint="eastAsia" w:ascii="宋体" w:hAnsi="宋体"/>
                <w:bCs/>
              </w:rPr>
              <w:t>仓顶除尘器</w:t>
            </w:r>
            <w:r>
              <w:rPr>
                <w:rFonts w:hint="eastAsia" w:ascii="宋体" w:hAnsi="宋体" w:cs="楷体"/>
                <w:bCs/>
              </w:rPr>
              <w:t>过滤面积</w:t>
            </w:r>
          </w:p>
        </w:tc>
        <w:tc>
          <w:tcPr>
            <w:tcW w:w="1260" w:type="pct"/>
            <w:shd w:val="clear" w:color="auto" w:fill="auto"/>
            <w:vAlign w:val="center"/>
          </w:tcPr>
          <w:p>
            <w:pPr>
              <w:adjustRightInd w:val="0"/>
              <w:snapToGrid w:val="0"/>
              <w:rPr>
                <w:rFonts w:ascii="宋体" w:hAnsi="宋体"/>
              </w:rPr>
            </w:pPr>
            <w:r>
              <w:rPr>
                <w:rFonts w:hint="eastAsia" w:ascii="宋体" w:hAnsi="宋体" w:cs="楷体"/>
              </w:rPr>
              <w:t>2</w:t>
            </w:r>
            <w:r>
              <w:rPr>
                <w:rFonts w:ascii="宋体" w:hAnsi="宋体" w:cs="楷体"/>
              </w:rPr>
              <w:t>4</w:t>
            </w:r>
            <w:r>
              <w:rPr>
                <w:rFonts w:hint="eastAsia" w:ascii="宋体" w:hAnsi="宋体" w:cs="楷体"/>
              </w:rPr>
              <w:t>m</w:t>
            </w:r>
            <w:r>
              <w:rPr>
                <w:rFonts w:hint="eastAsia" w:ascii="宋体" w:hAnsi="宋体" w:cs="楷体"/>
                <w:vertAlign w:val="superscript"/>
              </w:rPr>
              <w:t>3</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cs="楷体"/>
              </w:rPr>
              <w:t>材质</w:t>
            </w:r>
          </w:p>
        </w:tc>
        <w:tc>
          <w:tcPr>
            <w:tcW w:w="1260" w:type="pct"/>
            <w:shd w:val="clear" w:color="auto" w:fill="auto"/>
            <w:vAlign w:val="center"/>
          </w:tcPr>
          <w:p>
            <w:pPr>
              <w:adjustRightInd w:val="0"/>
              <w:snapToGrid w:val="0"/>
              <w:rPr>
                <w:rFonts w:ascii="宋体" w:hAnsi="宋体"/>
              </w:rPr>
            </w:pPr>
            <w:r>
              <w:rPr>
                <w:rFonts w:hint="eastAsia" w:ascii="宋体" w:hAnsi="宋体" w:cs="楷体"/>
              </w:rPr>
              <w:t>不锈钢</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tcPr>
          <w:p>
            <w:pPr>
              <w:adjustRightInd w:val="0"/>
              <w:snapToGrid w:val="0"/>
              <w:rPr>
                <w:rFonts w:ascii="宋体" w:hAnsi="宋体"/>
                <w:bCs/>
              </w:rPr>
            </w:pPr>
            <w:r>
              <w:rPr>
                <w:rFonts w:hint="eastAsia" w:ascii="宋体" w:hAnsi="宋体" w:cs="楷体"/>
              </w:rPr>
              <w:t>除尘方式</w:t>
            </w:r>
          </w:p>
        </w:tc>
        <w:tc>
          <w:tcPr>
            <w:tcW w:w="1260" w:type="pct"/>
            <w:shd w:val="clear" w:color="auto" w:fill="auto"/>
          </w:tcPr>
          <w:p>
            <w:pPr>
              <w:adjustRightInd w:val="0"/>
              <w:snapToGrid w:val="0"/>
              <w:rPr>
                <w:rFonts w:ascii="宋体" w:hAnsi="宋体" w:cs="楷体"/>
              </w:rPr>
            </w:pPr>
            <w:r>
              <w:rPr>
                <w:rFonts w:hint="eastAsia" w:ascii="宋体" w:hAnsi="宋体" w:cs="楷体"/>
              </w:rPr>
              <w:t>气动脉冲除尘</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tcPr>
          <w:p>
            <w:pPr>
              <w:adjustRightInd w:val="0"/>
              <w:snapToGrid w:val="0"/>
              <w:rPr>
                <w:rFonts w:ascii="宋体" w:hAnsi="宋体" w:cs="楷体"/>
              </w:rPr>
            </w:pPr>
            <w:r>
              <w:rPr>
                <w:rFonts w:hint="eastAsia" w:ascii="宋体" w:hAnsi="宋体" w:cs="楷体"/>
              </w:rPr>
              <w:t>滤芯材料</w:t>
            </w:r>
          </w:p>
        </w:tc>
        <w:tc>
          <w:tcPr>
            <w:tcW w:w="1260" w:type="pct"/>
            <w:shd w:val="clear" w:color="auto" w:fill="auto"/>
          </w:tcPr>
          <w:p>
            <w:pPr>
              <w:adjustRightInd w:val="0"/>
              <w:snapToGrid w:val="0"/>
              <w:rPr>
                <w:rFonts w:ascii="宋体" w:hAnsi="宋体" w:cs="楷体"/>
              </w:rPr>
            </w:pPr>
            <w:r>
              <w:rPr>
                <w:rFonts w:hint="eastAsia" w:ascii="宋体" w:hAnsi="宋体" w:cs="楷体"/>
              </w:rPr>
              <w:t>PP滤芯</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tcPr>
          <w:p>
            <w:pPr>
              <w:adjustRightInd w:val="0"/>
              <w:snapToGrid w:val="0"/>
              <w:rPr>
                <w:rFonts w:ascii="宋体" w:hAnsi="宋体" w:cs="楷体"/>
                <w:bCs/>
              </w:rPr>
            </w:pPr>
            <w:r>
              <w:rPr>
                <w:rFonts w:hint="eastAsia" w:ascii="宋体" w:hAnsi="宋体"/>
                <w:bCs/>
              </w:rPr>
              <w:t>给料机</w:t>
            </w:r>
            <w:r>
              <w:rPr>
                <w:rFonts w:hint="eastAsia" w:ascii="宋体" w:hAnsi="宋体" w:cs="楷体"/>
                <w:bCs/>
              </w:rPr>
              <w:t>最大输送量</w:t>
            </w:r>
          </w:p>
        </w:tc>
        <w:tc>
          <w:tcPr>
            <w:tcW w:w="1260" w:type="pct"/>
            <w:shd w:val="clear" w:color="auto" w:fill="auto"/>
          </w:tcPr>
          <w:p>
            <w:pPr>
              <w:adjustRightInd w:val="0"/>
              <w:snapToGrid w:val="0"/>
              <w:rPr>
                <w:rFonts w:ascii="宋体" w:hAnsi="宋体" w:cs="楷体"/>
              </w:rPr>
            </w:pPr>
            <w:r>
              <w:rPr>
                <w:rFonts w:hint="eastAsia" w:ascii="宋体" w:hAnsi="宋体" w:cs="楷体"/>
              </w:rPr>
              <w:t>1000L/h</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tcPr>
          <w:p>
            <w:pPr>
              <w:adjustRightInd w:val="0"/>
              <w:snapToGrid w:val="0"/>
              <w:rPr>
                <w:rFonts w:ascii="宋体" w:hAnsi="宋体"/>
                <w:bCs/>
              </w:rPr>
            </w:pPr>
            <w:r>
              <w:rPr>
                <w:rFonts w:hint="eastAsia" w:ascii="宋体" w:hAnsi="宋体"/>
                <w:bCs/>
              </w:rPr>
              <w:t>输送机</w:t>
            </w:r>
            <w:r>
              <w:rPr>
                <w:rFonts w:hint="eastAsia" w:ascii="宋体" w:hAnsi="宋体" w:cs="楷体_GB2312"/>
                <w:bCs/>
                <w:szCs w:val="21"/>
              </w:rPr>
              <w:t>输送管长度</w:t>
            </w:r>
          </w:p>
        </w:tc>
        <w:tc>
          <w:tcPr>
            <w:tcW w:w="1260" w:type="pct"/>
            <w:shd w:val="clear" w:color="auto" w:fill="auto"/>
          </w:tcPr>
          <w:p>
            <w:pPr>
              <w:adjustRightInd w:val="0"/>
              <w:snapToGrid w:val="0"/>
              <w:rPr>
                <w:rFonts w:ascii="宋体" w:hAnsi="宋体" w:cs="楷体"/>
              </w:rPr>
            </w:pPr>
            <w:r>
              <w:rPr>
                <w:rFonts w:hint="eastAsia" w:ascii="宋体" w:hAnsi="宋体" w:cs="楷体_GB2312"/>
                <w:bCs/>
                <w:szCs w:val="21"/>
              </w:rPr>
              <w:t>7m</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39" w:type="pct"/>
            <w:shd w:val="clear" w:color="auto" w:fill="auto"/>
            <w:vAlign w:val="center"/>
          </w:tcPr>
          <w:p>
            <w:pPr>
              <w:adjustRightInd w:val="0"/>
              <w:snapToGrid w:val="0"/>
              <w:rPr>
                <w:rFonts w:ascii="宋体" w:hAnsi="宋体"/>
              </w:rPr>
            </w:pPr>
            <w:r>
              <w:rPr>
                <w:rFonts w:hint="eastAsia" w:ascii="宋体" w:hAnsi="宋体"/>
              </w:rPr>
              <w:t>配套装置</w:t>
            </w:r>
          </w:p>
        </w:tc>
        <w:tc>
          <w:tcPr>
            <w:tcW w:w="1260" w:type="pct"/>
            <w:shd w:val="clear" w:color="auto" w:fill="auto"/>
            <w:vAlign w:val="center"/>
          </w:tcPr>
          <w:p>
            <w:pPr>
              <w:adjustRightInd w:val="0"/>
              <w:snapToGrid w:val="0"/>
              <w:rPr>
                <w:rFonts w:ascii="宋体" w:hAnsi="宋体"/>
                <w:bCs/>
              </w:rPr>
            </w:pPr>
            <w:r>
              <w:rPr>
                <w:rFonts w:hint="eastAsia" w:ascii="宋体" w:hAnsi="宋体"/>
                <w:bCs/>
              </w:rPr>
              <w:t>料位计、除尘器、阀门、称重系统、给料机、输送机、制备罐、搅拌机、螺杆泵、流量计、电气控制柜等</w:t>
            </w:r>
          </w:p>
        </w:tc>
        <w:tc>
          <w:tcPr>
            <w:tcW w:w="1099" w:type="pct"/>
            <w:shd w:val="clear" w:color="auto" w:fill="auto"/>
            <w:vAlign w:val="center"/>
          </w:tcPr>
          <w:p>
            <w:pPr>
              <w:adjustRightInd w:val="0"/>
              <w:snapToGrid w:val="0"/>
              <w:rPr>
                <w:rFonts w:ascii="宋体" w:hAnsi="宋体"/>
              </w:rPr>
            </w:pPr>
          </w:p>
        </w:tc>
        <w:tc>
          <w:tcPr>
            <w:tcW w:w="804" w:type="pct"/>
            <w:shd w:val="clear" w:color="auto" w:fill="auto"/>
            <w:vAlign w:val="center"/>
          </w:tcPr>
          <w:p>
            <w:pPr>
              <w:adjustRightInd w:val="0"/>
              <w:snapToGrid w:val="0"/>
              <w:rPr>
                <w:rFonts w:ascii="宋体" w:hAnsi="宋体"/>
              </w:rPr>
            </w:pPr>
          </w:p>
        </w:tc>
        <w:tc>
          <w:tcPr>
            <w:tcW w:w="598" w:type="pct"/>
            <w:shd w:val="clear" w:color="auto" w:fill="auto"/>
            <w:vAlign w:val="center"/>
          </w:tcPr>
          <w:p>
            <w:pPr>
              <w:adjustRightInd w:val="0"/>
              <w:snapToGrid w:val="0"/>
              <w:rPr>
                <w:rFonts w:ascii="宋体" w:hAnsi="宋体"/>
              </w:rPr>
            </w:pPr>
          </w:p>
        </w:tc>
      </w:tr>
    </w:tbl>
    <w:p>
      <w:pPr>
        <w:keepNext/>
        <w:tabs>
          <w:tab w:val="left" w:pos="993"/>
        </w:tabs>
        <w:adjustRightInd w:val="0"/>
        <w:snapToGrid w:val="0"/>
        <w:spacing w:before="203" w:beforeLines="50" w:after="203" w:afterLines="50"/>
        <w:outlineLvl w:val="2"/>
        <w:rPr>
          <w:rFonts w:ascii="宋体" w:hAnsi="宋体"/>
        </w:rPr>
      </w:pPr>
      <w:bookmarkStart w:id="7516" w:name="_Toc106883854"/>
      <w:r>
        <w:rPr>
          <w:rFonts w:hint="eastAsia" w:ascii="宋体" w:hAnsi="宋体"/>
        </w:rPr>
        <w:t>11.1.21起重机</w:t>
      </w:r>
      <w:bookmarkEnd w:id="7516"/>
    </w:p>
    <w:tbl>
      <w:tblPr>
        <w:tblStyle w:val="77"/>
        <w:tblW w:w="8630" w:type="dxa"/>
        <w:tblInd w:w="88" w:type="dxa"/>
        <w:tblLayout w:type="autofit"/>
        <w:tblCellMar>
          <w:top w:w="0" w:type="dxa"/>
          <w:left w:w="108" w:type="dxa"/>
          <w:bottom w:w="0" w:type="dxa"/>
          <w:right w:w="108" w:type="dxa"/>
        </w:tblCellMar>
      </w:tblPr>
      <w:tblGrid>
        <w:gridCol w:w="2318"/>
        <w:gridCol w:w="2275"/>
        <w:gridCol w:w="1759"/>
        <w:gridCol w:w="1050"/>
        <w:gridCol w:w="1228"/>
      </w:tblGrid>
      <w:tr>
        <w:tblPrEx>
          <w:tblCellMar>
            <w:top w:w="0" w:type="dxa"/>
            <w:left w:w="108" w:type="dxa"/>
            <w:bottom w:w="0" w:type="dxa"/>
            <w:right w:w="108" w:type="dxa"/>
          </w:tblCellMar>
        </w:tblPrEx>
        <w:trPr>
          <w:trHeight w:val="285" w:hRule="atLeast"/>
          <w:tblHeader/>
        </w:trPr>
        <w:tc>
          <w:tcPr>
            <w:tcW w:w="2318" w:type="dxa"/>
            <w:tcBorders>
              <w:top w:val="single" w:color="auto" w:sz="4" w:space="0"/>
              <w:left w:val="single" w:color="auto" w:sz="4" w:space="0"/>
              <w:bottom w:val="single" w:color="auto" w:sz="4" w:space="0"/>
              <w:right w:val="single" w:color="auto" w:sz="4" w:space="0"/>
            </w:tcBorders>
          </w:tcPr>
          <w:p>
            <w:pPr>
              <w:adjustRightInd w:val="0"/>
              <w:snapToGrid w:val="0"/>
              <w:rPr>
                <w:rFonts w:ascii="宋体" w:hAnsi="宋体"/>
              </w:rPr>
            </w:pPr>
            <w:r>
              <w:rPr>
                <w:rFonts w:ascii="宋体" w:hAnsi="宋体"/>
              </w:rPr>
              <w:t>项目</w:t>
            </w:r>
          </w:p>
        </w:tc>
        <w:tc>
          <w:tcPr>
            <w:tcW w:w="2275"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技术参数要求</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r>
              <w:rPr>
                <w:rFonts w:ascii="宋体" w:hAnsi="宋体"/>
              </w:rPr>
              <w:t>投标人响应参数</w:t>
            </w:r>
          </w:p>
        </w:tc>
        <w:tc>
          <w:tcPr>
            <w:tcW w:w="1050"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rPr>
            </w:pPr>
            <w:r>
              <w:rPr>
                <w:rFonts w:hint="eastAsia" w:ascii="宋体" w:hAnsi="宋体"/>
              </w:rPr>
              <w:t>偏离情况</w:t>
            </w:r>
          </w:p>
        </w:tc>
        <w:tc>
          <w:tcPr>
            <w:tcW w:w="1228" w:type="dxa"/>
            <w:tcBorders>
              <w:top w:val="single" w:color="auto" w:sz="4" w:space="0"/>
              <w:left w:val="nil"/>
              <w:bottom w:val="single" w:color="auto" w:sz="4" w:space="0"/>
              <w:right w:val="single" w:color="auto" w:sz="4" w:space="0"/>
            </w:tcBorders>
            <w:vAlign w:val="center"/>
          </w:tcPr>
          <w:p>
            <w:pPr>
              <w:adjustRightInd w:val="0"/>
              <w:snapToGrid w:val="0"/>
              <w:jc w:val="center"/>
              <w:rPr>
                <w:rFonts w:ascii="宋体" w:hAnsi="宋体"/>
              </w:rPr>
            </w:pPr>
            <w:r>
              <w:rPr>
                <w:rFonts w:ascii="宋体" w:hAnsi="宋体"/>
              </w:rPr>
              <w:t>备注</w:t>
            </w: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制造商</w:t>
            </w:r>
          </w:p>
        </w:tc>
        <w:tc>
          <w:tcPr>
            <w:tcW w:w="2275"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原产地</w:t>
            </w:r>
          </w:p>
        </w:tc>
        <w:tc>
          <w:tcPr>
            <w:tcW w:w="2275"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设备型式</w:t>
            </w:r>
          </w:p>
        </w:tc>
        <w:tc>
          <w:tcPr>
            <w:tcW w:w="2275"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中心传动悬挂式</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型号</w:t>
            </w:r>
          </w:p>
        </w:tc>
        <w:tc>
          <w:tcPr>
            <w:tcW w:w="2275"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rPr>
              <w:t>起重机结构</w:t>
            </w:r>
          </w:p>
        </w:tc>
        <w:tc>
          <w:tcPr>
            <w:tcW w:w="2275" w:type="dxa"/>
            <w:tcBorders>
              <w:top w:val="single" w:color="auto" w:sz="4" w:space="0"/>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控制箱、地面操纵按钮、大车安全型滑触线、钢轨、大车梁、端梁、双速电动葫芦、电动葫芦移动电缆、钢绳、吊钩、通电指示灯、行程开关及固定件等</w:t>
            </w:r>
          </w:p>
        </w:tc>
        <w:tc>
          <w:tcPr>
            <w:tcW w:w="1759"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050"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c>
          <w:tcPr>
            <w:tcW w:w="1228" w:type="dxa"/>
            <w:tcBorders>
              <w:top w:val="single" w:color="auto" w:sz="4" w:space="0"/>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起吊葫芦结构</w:t>
            </w:r>
          </w:p>
        </w:tc>
        <w:tc>
          <w:tcPr>
            <w:tcW w:w="2275" w:type="dxa"/>
            <w:tcBorders>
              <w:top w:val="nil"/>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卷筒、驱动设备、负载箱、吊钩、钢索、滑轮和制动器</w:t>
            </w:r>
          </w:p>
        </w:tc>
        <w:tc>
          <w:tcPr>
            <w:tcW w:w="1759" w:type="dxa"/>
            <w:tcBorders>
              <w:top w:val="nil"/>
              <w:left w:val="nil"/>
              <w:bottom w:val="single" w:color="auto" w:sz="4" w:space="0"/>
              <w:right w:val="single" w:color="auto" w:sz="4" w:space="0"/>
            </w:tcBorders>
            <w:vAlign w:val="center"/>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340" w:hRule="atLeast"/>
        </w:trPr>
        <w:tc>
          <w:tcPr>
            <w:tcW w:w="2318" w:type="dxa"/>
            <w:tcBorders>
              <w:top w:val="nil"/>
              <w:left w:val="single" w:color="auto" w:sz="4" w:space="0"/>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电气装置</w:t>
            </w:r>
          </w:p>
        </w:tc>
        <w:tc>
          <w:tcPr>
            <w:tcW w:w="2275" w:type="dxa"/>
            <w:tcBorders>
              <w:top w:val="nil"/>
              <w:left w:val="nil"/>
              <w:bottom w:val="single" w:color="auto" w:sz="4" w:space="0"/>
              <w:right w:val="single" w:color="auto" w:sz="4" w:space="0"/>
            </w:tcBorders>
            <w:vAlign w:val="center"/>
          </w:tcPr>
          <w:p>
            <w:pPr>
              <w:adjustRightInd w:val="0"/>
              <w:snapToGrid w:val="0"/>
              <w:rPr>
                <w:rFonts w:ascii="宋体" w:hAnsi="宋体"/>
              </w:rPr>
            </w:pPr>
            <w:r>
              <w:rPr>
                <w:rFonts w:hint="eastAsia" w:ascii="宋体" w:hAnsi="宋体" w:cs="楷体"/>
              </w:rPr>
              <w:t>电机、电机启动器、悬挂控制及导线管等</w:t>
            </w:r>
          </w:p>
        </w:tc>
        <w:tc>
          <w:tcPr>
            <w:tcW w:w="1759" w:type="dxa"/>
            <w:tcBorders>
              <w:top w:val="nil"/>
              <w:left w:val="nil"/>
              <w:bottom w:val="single" w:color="auto" w:sz="4" w:space="0"/>
              <w:right w:val="single" w:color="auto" w:sz="4" w:space="0"/>
            </w:tcBorders>
            <w:vAlign w:val="center"/>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cs="楷体"/>
              </w:rPr>
              <w:t>电机型式</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hint="eastAsia" w:ascii="宋体" w:hAnsi="宋体" w:cs="楷体"/>
              </w:rPr>
              <w:t>鼠笼式，应配有抗磨轴承</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r>
        <w:tblPrEx>
          <w:tblCellMar>
            <w:top w:w="0" w:type="dxa"/>
            <w:left w:w="108" w:type="dxa"/>
            <w:bottom w:w="0" w:type="dxa"/>
            <w:right w:w="108" w:type="dxa"/>
          </w:tblCellMar>
        </w:tblPrEx>
        <w:trPr>
          <w:trHeight w:val="285" w:hRule="atLeast"/>
        </w:trPr>
        <w:tc>
          <w:tcPr>
            <w:tcW w:w="2318" w:type="dxa"/>
            <w:tcBorders>
              <w:top w:val="nil"/>
              <w:left w:val="single" w:color="auto" w:sz="4" w:space="0"/>
              <w:bottom w:val="single" w:color="auto" w:sz="4" w:space="0"/>
              <w:right w:val="single" w:color="auto" w:sz="4" w:space="0"/>
            </w:tcBorders>
          </w:tcPr>
          <w:p>
            <w:pPr>
              <w:adjustRightInd w:val="0"/>
              <w:snapToGrid w:val="0"/>
              <w:rPr>
                <w:rFonts w:ascii="宋体" w:hAnsi="宋体"/>
              </w:rPr>
            </w:pPr>
            <w:r>
              <w:rPr>
                <w:rFonts w:hint="eastAsia" w:ascii="宋体" w:hAnsi="宋体" w:cs="楷体"/>
              </w:rPr>
              <w:t>轨道导线类型</w:t>
            </w:r>
          </w:p>
        </w:tc>
        <w:tc>
          <w:tcPr>
            <w:tcW w:w="2275" w:type="dxa"/>
            <w:tcBorders>
              <w:top w:val="nil"/>
              <w:left w:val="nil"/>
              <w:bottom w:val="single" w:color="auto" w:sz="4" w:space="0"/>
              <w:right w:val="single" w:color="auto" w:sz="4" w:space="0"/>
            </w:tcBorders>
          </w:tcPr>
          <w:p>
            <w:pPr>
              <w:adjustRightInd w:val="0"/>
              <w:snapToGrid w:val="0"/>
              <w:rPr>
                <w:rFonts w:ascii="宋体" w:hAnsi="宋体"/>
              </w:rPr>
            </w:pPr>
            <w:r>
              <w:rPr>
                <w:rFonts w:hint="eastAsia" w:ascii="宋体" w:hAnsi="宋体" w:cs="楷体"/>
              </w:rPr>
              <w:t>滑阻线型</w:t>
            </w:r>
          </w:p>
        </w:tc>
        <w:tc>
          <w:tcPr>
            <w:tcW w:w="1759" w:type="dxa"/>
            <w:tcBorders>
              <w:top w:val="nil"/>
              <w:left w:val="nil"/>
              <w:bottom w:val="single" w:color="auto" w:sz="4" w:space="0"/>
              <w:right w:val="single" w:color="auto" w:sz="4" w:space="0"/>
            </w:tcBorders>
          </w:tcPr>
          <w:p>
            <w:pPr>
              <w:adjustRightInd w:val="0"/>
              <w:snapToGrid w:val="0"/>
              <w:rPr>
                <w:rFonts w:ascii="宋体" w:hAnsi="宋体"/>
              </w:rPr>
            </w:pPr>
          </w:p>
        </w:tc>
        <w:tc>
          <w:tcPr>
            <w:tcW w:w="1050" w:type="dxa"/>
            <w:tcBorders>
              <w:top w:val="nil"/>
              <w:left w:val="nil"/>
              <w:bottom w:val="single" w:color="auto" w:sz="4" w:space="0"/>
              <w:right w:val="single" w:color="auto" w:sz="4" w:space="0"/>
            </w:tcBorders>
          </w:tcPr>
          <w:p>
            <w:pPr>
              <w:adjustRightInd w:val="0"/>
              <w:snapToGrid w:val="0"/>
              <w:rPr>
                <w:rFonts w:ascii="宋体" w:hAnsi="宋体"/>
              </w:rPr>
            </w:pPr>
          </w:p>
        </w:tc>
        <w:tc>
          <w:tcPr>
            <w:tcW w:w="1228" w:type="dxa"/>
            <w:tcBorders>
              <w:top w:val="nil"/>
              <w:left w:val="nil"/>
              <w:bottom w:val="single" w:color="auto" w:sz="4" w:space="0"/>
              <w:right w:val="single" w:color="auto" w:sz="4" w:space="0"/>
            </w:tcBorders>
          </w:tcPr>
          <w:p>
            <w:pPr>
              <w:adjustRightInd w:val="0"/>
              <w:snapToGrid w:val="0"/>
              <w:rPr>
                <w:rFonts w:ascii="宋体" w:hAnsi="宋体"/>
              </w:rPr>
            </w:pPr>
          </w:p>
        </w:tc>
      </w:tr>
    </w:tbl>
    <w:p>
      <w:pPr>
        <w:adjustRightInd w:val="0"/>
        <w:snapToGrid w:val="0"/>
        <w:rPr>
          <w:rFonts w:ascii="宋体" w:hAnsi="宋体"/>
        </w:rPr>
      </w:pPr>
    </w:p>
    <w:bookmarkEnd w:id="7508"/>
    <w:p>
      <w:pPr>
        <w:keepNext/>
        <w:adjustRightInd w:val="0"/>
        <w:snapToGrid w:val="0"/>
        <w:spacing w:before="203" w:beforeLines="50" w:after="203" w:afterLines="50"/>
        <w:outlineLvl w:val="1"/>
        <w:rPr>
          <w:rFonts w:ascii="宋体" w:hAnsi="宋体" w:cs="楷体"/>
          <w:b/>
        </w:rPr>
      </w:pPr>
      <w:bookmarkStart w:id="7517" w:name="_Toc479408516"/>
      <w:bookmarkStart w:id="7518" w:name="_Toc106883855"/>
      <w:r>
        <w:rPr>
          <w:rFonts w:hint="eastAsia" w:ascii="宋体" w:hAnsi="宋体" w:cs="楷体"/>
          <w:b/>
        </w:rPr>
        <w:t>11.2</w:t>
      </w:r>
      <w:r>
        <w:rPr>
          <w:rFonts w:ascii="宋体" w:hAnsi="宋体" w:cs="楷体"/>
          <w:b/>
        </w:rPr>
        <w:t>电气设备</w:t>
      </w:r>
      <w:bookmarkEnd w:id="7517"/>
      <w:bookmarkEnd w:id="7518"/>
    </w:p>
    <w:p>
      <w:pPr>
        <w:adjustRightInd w:val="0"/>
        <w:snapToGrid w:val="0"/>
        <w:ind w:firstLine="500" w:firstLineChars="200"/>
        <w:rPr>
          <w:rFonts w:ascii="宋体" w:hAnsi="宋体"/>
        </w:rPr>
      </w:pPr>
      <w:r>
        <w:rPr>
          <w:rFonts w:ascii="宋体" w:hAnsi="宋体"/>
        </w:rPr>
        <w:t>下列表格为净水厂主要电气设备技术响应表。未列的其它电气设备技术参数，承包商应根据电气设备技术规范章节所要求的参数提供相应电气设备。</w:t>
      </w:r>
    </w:p>
    <w:p>
      <w:pPr>
        <w:keepNext/>
        <w:tabs>
          <w:tab w:val="left" w:pos="993"/>
        </w:tabs>
        <w:adjustRightInd w:val="0"/>
        <w:snapToGrid w:val="0"/>
        <w:spacing w:before="203" w:beforeLines="50" w:after="203" w:afterLines="50"/>
        <w:outlineLvl w:val="2"/>
        <w:rPr>
          <w:rFonts w:ascii="宋体" w:hAnsi="宋体"/>
        </w:rPr>
      </w:pPr>
      <w:bookmarkStart w:id="7519" w:name="_Toc479408517"/>
      <w:bookmarkStart w:id="7520" w:name="_Toc106050666"/>
      <w:bookmarkStart w:id="7521" w:name="_Toc106883856"/>
      <w:r>
        <w:rPr>
          <w:rFonts w:hint="eastAsia" w:ascii="宋体" w:hAnsi="宋体"/>
        </w:rPr>
        <w:t xml:space="preserve">11.2.1 </w:t>
      </w:r>
      <w:bookmarkEnd w:id="7519"/>
      <w:bookmarkEnd w:id="7520"/>
      <w:r>
        <w:rPr>
          <w:rFonts w:hint="eastAsia" w:ascii="宋体" w:hAnsi="宋体"/>
        </w:rPr>
        <w:t>低压开关柜</w:t>
      </w:r>
      <w:bookmarkEnd w:id="7521"/>
    </w:p>
    <w:tbl>
      <w:tblPr>
        <w:tblStyle w:val="7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921"/>
        <w:gridCol w:w="636"/>
        <w:gridCol w:w="2410"/>
        <w:gridCol w:w="1474"/>
        <w:gridCol w:w="1106"/>
        <w:gridCol w:w="1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项目描述</w:t>
            </w:r>
          </w:p>
        </w:tc>
        <w:tc>
          <w:tcPr>
            <w:tcW w:w="372" w:type="pct"/>
            <w:shd w:val="clear" w:color="auto" w:fill="auto"/>
            <w:vAlign w:val="center"/>
          </w:tcPr>
          <w:p>
            <w:pPr>
              <w:adjustRightInd w:val="0"/>
              <w:snapToGrid w:val="0"/>
              <w:rPr>
                <w:rFonts w:ascii="宋体" w:hAnsi="宋体"/>
                <w:lang w:val="zh-CN"/>
              </w:rPr>
            </w:pPr>
            <w:r>
              <w:rPr>
                <w:rFonts w:ascii="宋体" w:hAnsi="宋体"/>
                <w:lang w:val="zh-CN"/>
              </w:rPr>
              <w:t>单位</w:t>
            </w:r>
          </w:p>
        </w:tc>
        <w:tc>
          <w:tcPr>
            <w:tcW w:w="1408" w:type="pct"/>
            <w:shd w:val="clear" w:color="auto" w:fill="auto"/>
            <w:vAlign w:val="center"/>
          </w:tcPr>
          <w:p>
            <w:pPr>
              <w:adjustRightInd w:val="0"/>
              <w:snapToGrid w:val="0"/>
              <w:rPr>
                <w:rFonts w:ascii="宋体" w:hAnsi="宋体"/>
                <w:lang w:val="zh-CN"/>
              </w:rPr>
            </w:pPr>
            <w:r>
              <w:rPr>
                <w:rFonts w:ascii="宋体" w:hAnsi="宋体"/>
                <w:lang w:val="zh-CN"/>
              </w:rPr>
              <w:t>设计要求参数</w:t>
            </w:r>
          </w:p>
        </w:tc>
        <w:tc>
          <w:tcPr>
            <w:tcW w:w="861" w:type="pct"/>
            <w:shd w:val="clear" w:color="auto" w:fill="auto"/>
            <w:vAlign w:val="center"/>
          </w:tcPr>
          <w:p>
            <w:pPr>
              <w:adjustRightInd w:val="0"/>
              <w:snapToGrid w:val="0"/>
              <w:rPr>
                <w:rFonts w:ascii="宋体" w:hAnsi="宋体"/>
                <w:lang w:val="zh-CN"/>
              </w:rPr>
            </w:pPr>
            <w:r>
              <w:rPr>
                <w:rFonts w:ascii="宋体" w:hAnsi="宋体"/>
                <w:lang w:val="zh-CN"/>
              </w:rPr>
              <w:t>承包商响应参数</w:t>
            </w:r>
          </w:p>
        </w:tc>
        <w:tc>
          <w:tcPr>
            <w:tcW w:w="646" w:type="pct"/>
            <w:shd w:val="clear" w:color="auto" w:fill="auto"/>
            <w:vAlign w:val="center"/>
          </w:tcPr>
          <w:p>
            <w:pPr>
              <w:adjustRightInd w:val="0"/>
              <w:snapToGrid w:val="0"/>
              <w:jc w:val="center"/>
              <w:rPr>
                <w:rFonts w:ascii="宋体" w:hAnsi="宋体"/>
                <w:lang w:val="zh-CN"/>
              </w:rPr>
            </w:pPr>
            <w:r>
              <w:rPr>
                <w:rFonts w:hint="eastAsia" w:ascii="宋体" w:hAnsi="宋体"/>
              </w:rPr>
              <w:t>偏离情况</w:t>
            </w:r>
          </w:p>
        </w:tc>
        <w:tc>
          <w:tcPr>
            <w:tcW w:w="589" w:type="pct"/>
            <w:shd w:val="clear" w:color="auto" w:fill="auto"/>
            <w:vAlign w:val="center"/>
          </w:tcPr>
          <w:p>
            <w:pPr>
              <w:adjustRightInd w:val="0"/>
              <w:snapToGrid w:val="0"/>
              <w:jc w:val="center"/>
              <w:rPr>
                <w:rFonts w:ascii="宋体" w:hAnsi="宋体"/>
                <w:lang w:val="zh-CN"/>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配电柜</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标准</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防护等级</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r>
              <w:rPr>
                <w:rFonts w:ascii="宋体" w:hAnsi="宋体"/>
                <w:lang w:val="zh-CN"/>
              </w:rPr>
              <w:t>IP</w:t>
            </w:r>
            <w:r>
              <w:rPr>
                <w:rFonts w:hint="eastAsia" w:ascii="宋体" w:hAnsi="宋体"/>
                <w:lang w:val="zh-CN"/>
              </w:rPr>
              <w:t>40</w:t>
            </w: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额定绝缘电压</w:t>
            </w:r>
          </w:p>
        </w:tc>
        <w:tc>
          <w:tcPr>
            <w:tcW w:w="372" w:type="pct"/>
            <w:shd w:val="clear" w:color="auto" w:fill="auto"/>
            <w:vAlign w:val="center"/>
          </w:tcPr>
          <w:p>
            <w:pPr>
              <w:adjustRightInd w:val="0"/>
              <w:snapToGrid w:val="0"/>
              <w:rPr>
                <w:rFonts w:ascii="宋体" w:hAnsi="宋体"/>
                <w:lang w:val="zh-CN"/>
              </w:rPr>
            </w:pPr>
            <w:r>
              <w:rPr>
                <w:rFonts w:ascii="宋体" w:hAnsi="宋体"/>
                <w:lang w:val="zh-CN"/>
              </w:rPr>
              <w:t>kV</w:t>
            </w:r>
          </w:p>
        </w:tc>
        <w:tc>
          <w:tcPr>
            <w:tcW w:w="1408" w:type="pct"/>
            <w:shd w:val="clear" w:color="auto" w:fill="auto"/>
            <w:vAlign w:val="center"/>
          </w:tcPr>
          <w:p>
            <w:pPr>
              <w:adjustRightInd w:val="0"/>
              <w:snapToGrid w:val="0"/>
              <w:rPr>
                <w:rFonts w:ascii="宋体" w:hAnsi="宋体"/>
                <w:lang w:val="zh-CN"/>
              </w:rPr>
            </w:pPr>
            <w:r>
              <w:rPr>
                <w:rFonts w:ascii="宋体" w:hAnsi="宋体"/>
                <w:lang w:val="zh-CN"/>
              </w:rPr>
              <w:t>1</w:t>
            </w: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柜（箱）体</w:t>
            </w:r>
            <w:r>
              <w:rPr>
                <w:rFonts w:ascii="宋体" w:hAnsi="宋体"/>
                <w:lang w:val="zh-CN"/>
              </w:rPr>
              <w:tab/>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断路器</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hint="eastAsia" w:ascii="宋体" w:hAnsi="宋体"/>
                <w:lang w:val="zh-CN"/>
              </w:rPr>
              <w:t>交流接触器</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rPr>
              <w:t>电流互感器</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rPr>
              <w:t>熔断器、熔断器式刀开关及隔离开关</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23"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2" w:type="pct"/>
            <w:shd w:val="clear" w:color="auto" w:fill="auto"/>
            <w:vAlign w:val="center"/>
          </w:tcPr>
          <w:p>
            <w:pPr>
              <w:adjustRightInd w:val="0"/>
              <w:snapToGrid w:val="0"/>
              <w:rPr>
                <w:rFonts w:ascii="宋体" w:hAnsi="宋体"/>
                <w:lang w:val="zh-CN"/>
              </w:rPr>
            </w:pPr>
          </w:p>
        </w:tc>
        <w:tc>
          <w:tcPr>
            <w:tcW w:w="1408" w:type="pct"/>
            <w:shd w:val="clear" w:color="auto" w:fill="auto"/>
            <w:vAlign w:val="center"/>
          </w:tcPr>
          <w:p>
            <w:pPr>
              <w:adjustRightInd w:val="0"/>
              <w:snapToGrid w:val="0"/>
              <w:rPr>
                <w:rFonts w:ascii="宋体" w:hAnsi="宋体"/>
                <w:lang w:val="zh-CN"/>
              </w:rPr>
            </w:pPr>
          </w:p>
        </w:tc>
        <w:tc>
          <w:tcPr>
            <w:tcW w:w="861" w:type="pct"/>
            <w:shd w:val="clear" w:color="auto" w:fill="auto"/>
            <w:vAlign w:val="center"/>
          </w:tcPr>
          <w:p>
            <w:pPr>
              <w:adjustRightInd w:val="0"/>
              <w:snapToGrid w:val="0"/>
              <w:rPr>
                <w:rFonts w:ascii="宋体" w:hAnsi="宋体"/>
                <w:lang w:val="zh-CN"/>
              </w:rPr>
            </w:pPr>
          </w:p>
        </w:tc>
        <w:tc>
          <w:tcPr>
            <w:tcW w:w="646" w:type="pct"/>
            <w:shd w:val="clear" w:color="auto" w:fill="auto"/>
            <w:vAlign w:val="center"/>
          </w:tcPr>
          <w:p>
            <w:pPr>
              <w:adjustRightInd w:val="0"/>
              <w:snapToGrid w:val="0"/>
              <w:rPr>
                <w:rFonts w:ascii="宋体" w:hAnsi="宋体"/>
                <w:lang w:val="zh-CN"/>
              </w:rPr>
            </w:pPr>
          </w:p>
        </w:tc>
        <w:tc>
          <w:tcPr>
            <w:tcW w:w="589" w:type="pct"/>
            <w:shd w:val="clear" w:color="auto" w:fill="auto"/>
            <w:vAlign w:val="center"/>
          </w:tcPr>
          <w:p>
            <w:pPr>
              <w:adjustRightInd w:val="0"/>
              <w:snapToGrid w:val="0"/>
              <w:rPr>
                <w:rFonts w:ascii="宋体" w:hAnsi="宋体"/>
                <w:lang w:val="zh-CN"/>
              </w:rPr>
            </w:pPr>
          </w:p>
        </w:tc>
      </w:tr>
    </w:tbl>
    <w:p>
      <w:pPr>
        <w:keepNext/>
        <w:tabs>
          <w:tab w:val="left" w:pos="993"/>
        </w:tabs>
        <w:adjustRightInd w:val="0"/>
        <w:snapToGrid w:val="0"/>
        <w:spacing w:before="203" w:beforeLines="50" w:after="203" w:afterLines="50"/>
        <w:outlineLvl w:val="2"/>
        <w:rPr>
          <w:rFonts w:ascii="宋体" w:hAnsi="宋体"/>
        </w:rPr>
      </w:pPr>
      <w:bookmarkStart w:id="7522" w:name="_Toc479408526"/>
      <w:bookmarkStart w:id="7523" w:name="_Toc106883857"/>
      <w:r>
        <w:rPr>
          <w:rFonts w:hint="eastAsia" w:ascii="宋体" w:hAnsi="宋体"/>
        </w:rPr>
        <w:t>11.2.2</w:t>
      </w:r>
      <w:bookmarkEnd w:id="7522"/>
      <w:r>
        <w:rPr>
          <w:rFonts w:hint="eastAsia" w:ascii="宋体" w:hAnsi="宋体"/>
        </w:rPr>
        <w:t>就地电控箱</w:t>
      </w:r>
      <w:bookmarkEnd w:id="7523"/>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889"/>
        <w:gridCol w:w="643"/>
        <w:gridCol w:w="1744"/>
        <w:gridCol w:w="1467"/>
        <w:gridCol w:w="1407"/>
        <w:gridCol w:w="1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项目描述</w:t>
            </w:r>
          </w:p>
        </w:tc>
        <w:tc>
          <w:tcPr>
            <w:tcW w:w="376" w:type="pct"/>
            <w:shd w:val="clear" w:color="auto" w:fill="auto"/>
            <w:vAlign w:val="center"/>
          </w:tcPr>
          <w:p>
            <w:pPr>
              <w:adjustRightInd w:val="0"/>
              <w:snapToGrid w:val="0"/>
              <w:rPr>
                <w:rFonts w:ascii="宋体" w:hAnsi="宋体"/>
                <w:lang w:val="zh-CN"/>
              </w:rPr>
            </w:pPr>
            <w:r>
              <w:rPr>
                <w:rFonts w:ascii="宋体" w:hAnsi="宋体"/>
                <w:lang w:val="zh-CN"/>
              </w:rPr>
              <w:t>单位</w:t>
            </w:r>
          </w:p>
        </w:tc>
        <w:tc>
          <w:tcPr>
            <w:tcW w:w="1019" w:type="pct"/>
            <w:shd w:val="clear" w:color="auto" w:fill="auto"/>
            <w:vAlign w:val="center"/>
          </w:tcPr>
          <w:p>
            <w:pPr>
              <w:adjustRightInd w:val="0"/>
              <w:snapToGrid w:val="0"/>
              <w:rPr>
                <w:rFonts w:ascii="宋体" w:hAnsi="宋体"/>
                <w:lang w:val="zh-CN"/>
              </w:rPr>
            </w:pPr>
            <w:r>
              <w:rPr>
                <w:rFonts w:ascii="宋体" w:hAnsi="宋体"/>
                <w:lang w:val="zh-CN"/>
              </w:rPr>
              <w:t>设计要求参数</w:t>
            </w:r>
          </w:p>
        </w:tc>
        <w:tc>
          <w:tcPr>
            <w:tcW w:w="857" w:type="pct"/>
            <w:shd w:val="clear" w:color="auto" w:fill="auto"/>
            <w:vAlign w:val="center"/>
          </w:tcPr>
          <w:p>
            <w:pPr>
              <w:adjustRightInd w:val="0"/>
              <w:snapToGrid w:val="0"/>
              <w:rPr>
                <w:rFonts w:ascii="宋体" w:hAnsi="宋体"/>
                <w:lang w:val="zh-CN"/>
              </w:rPr>
            </w:pPr>
            <w:r>
              <w:rPr>
                <w:rFonts w:ascii="宋体" w:hAnsi="宋体"/>
                <w:lang w:val="zh-CN"/>
              </w:rPr>
              <w:t>承包商响应参数</w:t>
            </w:r>
          </w:p>
        </w:tc>
        <w:tc>
          <w:tcPr>
            <w:tcW w:w="822" w:type="pct"/>
            <w:shd w:val="clear" w:color="auto" w:fill="auto"/>
            <w:vAlign w:val="center"/>
          </w:tcPr>
          <w:p>
            <w:pPr>
              <w:adjustRightInd w:val="0"/>
              <w:snapToGrid w:val="0"/>
              <w:jc w:val="center"/>
              <w:rPr>
                <w:rFonts w:ascii="宋体" w:hAnsi="宋体"/>
                <w:lang w:val="zh-CN"/>
              </w:rPr>
            </w:pPr>
            <w:r>
              <w:rPr>
                <w:rFonts w:hint="eastAsia" w:ascii="宋体" w:hAnsi="宋体"/>
              </w:rPr>
              <w:t>偏离情况</w:t>
            </w:r>
          </w:p>
        </w:tc>
        <w:tc>
          <w:tcPr>
            <w:tcW w:w="822" w:type="pct"/>
            <w:shd w:val="clear" w:color="auto" w:fill="auto"/>
            <w:vAlign w:val="center"/>
          </w:tcPr>
          <w:p>
            <w:pPr>
              <w:adjustRightInd w:val="0"/>
              <w:snapToGrid w:val="0"/>
              <w:jc w:val="center"/>
              <w:rPr>
                <w:rFonts w:ascii="宋体" w:hAnsi="宋体"/>
                <w:lang w:val="zh-CN"/>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箱体</w:t>
            </w:r>
            <w:r>
              <w:rPr>
                <w:rFonts w:ascii="宋体" w:hAnsi="宋体"/>
                <w:lang w:val="zh-CN"/>
              </w:rPr>
              <w:tab/>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材质</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断路器</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rPr>
              <w:t>控制继电器</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rPr>
              <w:t>转换开关</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rPr>
              <w:t>信号指示灯和按钮</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制造商/型号</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rPr>
              <w:t>液位开关</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制造商</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04" w:type="pct"/>
            <w:shd w:val="clear" w:color="auto" w:fill="auto"/>
            <w:vAlign w:val="center"/>
          </w:tcPr>
          <w:p>
            <w:pPr>
              <w:adjustRightInd w:val="0"/>
              <w:snapToGrid w:val="0"/>
              <w:rPr>
                <w:rFonts w:ascii="宋体" w:hAnsi="宋体"/>
                <w:lang w:val="zh-CN"/>
              </w:rPr>
            </w:pPr>
            <w:r>
              <w:rPr>
                <w:rFonts w:ascii="宋体" w:hAnsi="宋体"/>
                <w:lang w:val="zh-CN"/>
              </w:rPr>
              <w:t>原产地</w:t>
            </w:r>
          </w:p>
        </w:tc>
        <w:tc>
          <w:tcPr>
            <w:tcW w:w="376" w:type="pct"/>
            <w:shd w:val="clear" w:color="auto" w:fill="auto"/>
            <w:vAlign w:val="center"/>
          </w:tcPr>
          <w:p>
            <w:pPr>
              <w:adjustRightInd w:val="0"/>
              <w:snapToGrid w:val="0"/>
              <w:rPr>
                <w:rFonts w:ascii="宋体" w:hAnsi="宋体"/>
                <w:lang w:val="zh-CN"/>
              </w:rPr>
            </w:pPr>
          </w:p>
        </w:tc>
        <w:tc>
          <w:tcPr>
            <w:tcW w:w="1019" w:type="pct"/>
            <w:shd w:val="clear" w:color="auto" w:fill="auto"/>
            <w:vAlign w:val="center"/>
          </w:tcPr>
          <w:p>
            <w:pPr>
              <w:adjustRightInd w:val="0"/>
              <w:snapToGrid w:val="0"/>
              <w:rPr>
                <w:rFonts w:ascii="宋体" w:hAnsi="宋体"/>
                <w:lang w:val="zh-CN"/>
              </w:rPr>
            </w:pPr>
          </w:p>
        </w:tc>
        <w:tc>
          <w:tcPr>
            <w:tcW w:w="857"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c>
          <w:tcPr>
            <w:tcW w:w="822" w:type="pct"/>
            <w:shd w:val="clear" w:color="auto" w:fill="auto"/>
            <w:vAlign w:val="center"/>
          </w:tcPr>
          <w:p>
            <w:pPr>
              <w:adjustRightInd w:val="0"/>
              <w:snapToGrid w:val="0"/>
              <w:rPr>
                <w:rFonts w:ascii="宋体" w:hAnsi="宋体"/>
                <w:lang w:val="zh-CN"/>
              </w:rPr>
            </w:pPr>
          </w:p>
        </w:tc>
      </w:tr>
    </w:tbl>
    <w:p>
      <w:pPr>
        <w:keepNext/>
        <w:tabs>
          <w:tab w:val="left" w:pos="993"/>
        </w:tabs>
        <w:adjustRightInd w:val="0"/>
        <w:snapToGrid w:val="0"/>
        <w:spacing w:before="203" w:beforeLines="50" w:after="203" w:afterLines="50"/>
        <w:outlineLvl w:val="2"/>
        <w:rPr>
          <w:rFonts w:ascii="宋体" w:hAnsi="宋体"/>
        </w:rPr>
      </w:pPr>
      <w:bookmarkStart w:id="7524" w:name="_Toc106883858"/>
      <w:bookmarkStart w:id="7525" w:name="_Toc479408527"/>
      <w:r>
        <w:rPr>
          <w:rFonts w:hint="eastAsia" w:ascii="宋体" w:hAnsi="宋体"/>
        </w:rPr>
        <w:t>11.2.3</w:t>
      </w:r>
      <w:r>
        <w:rPr>
          <w:rFonts w:ascii="宋体" w:hAnsi="宋体"/>
        </w:rPr>
        <w:t>电缆</w:t>
      </w:r>
      <w:bookmarkEnd w:id="7524"/>
      <w:bookmarkEnd w:id="7525"/>
    </w:p>
    <w:p>
      <w:pPr>
        <w:adjustRightInd w:val="0"/>
        <w:snapToGrid w:val="0"/>
        <w:spacing w:before="203" w:beforeLines="50" w:after="203" w:afterLines="50"/>
        <w:ind w:firstLine="420"/>
        <w:rPr>
          <w:rFonts w:ascii="宋体" w:hAnsi="宋体"/>
          <w:lang w:val="zh-CN"/>
        </w:rPr>
      </w:pPr>
      <w:r>
        <w:rPr>
          <w:rFonts w:ascii="宋体" w:hAnsi="宋体"/>
          <w:lang w:val="zh-CN"/>
        </w:rPr>
        <w:t>下表中所列的为净水厂中各类线缆的基本参数，不包括电缆截面及与截面相关的技术参数如内护套厚度、护套厚度、近似外径、直流电阻等，对于这些参数，承包商应按照国家、行业制造标准供货。</w:t>
      </w:r>
    </w:p>
    <w:tbl>
      <w:tblPr>
        <w:tblStyle w:val="7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019"/>
        <w:gridCol w:w="623"/>
        <w:gridCol w:w="14"/>
        <w:gridCol w:w="2726"/>
        <w:gridCol w:w="830"/>
        <w:gridCol w:w="112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1180" w:type="pct"/>
            <w:shd w:val="clear" w:color="auto" w:fill="auto"/>
            <w:vAlign w:val="center"/>
          </w:tcPr>
          <w:p>
            <w:pPr>
              <w:adjustRightInd w:val="0"/>
              <w:snapToGrid w:val="0"/>
              <w:rPr>
                <w:rFonts w:ascii="宋体" w:hAnsi="宋体"/>
                <w:lang w:val="zh-CN"/>
              </w:rPr>
            </w:pPr>
            <w:r>
              <w:rPr>
                <w:rFonts w:ascii="宋体" w:hAnsi="宋体"/>
                <w:lang w:val="zh-CN"/>
              </w:rPr>
              <w:t>项目描述</w:t>
            </w:r>
          </w:p>
        </w:tc>
        <w:tc>
          <w:tcPr>
            <w:tcW w:w="372" w:type="pct"/>
            <w:gridSpan w:val="2"/>
            <w:shd w:val="clear" w:color="auto" w:fill="auto"/>
            <w:vAlign w:val="center"/>
          </w:tcPr>
          <w:p>
            <w:pPr>
              <w:adjustRightInd w:val="0"/>
              <w:snapToGrid w:val="0"/>
              <w:rPr>
                <w:rFonts w:ascii="宋体" w:hAnsi="宋体"/>
                <w:lang w:val="zh-CN"/>
              </w:rPr>
            </w:pPr>
            <w:r>
              <w:rPr>
                <w:rFonts w:ascii="宋体" w:hAnsi="宋体"/>
                <w:lang w:val="zh-CN"/>
              </w:rPr>
              <w:t>单位</w:t>
            </w:r>
          </w:p>
        </w:tc>
        <w:tc>
          <w:tcPr>
            <w:tcW w:w="1593" w:type="pct"/>
            <w:shd w:val="clear" w:color="auto" w:fill="auto"/>
            <w:vAlign w:val="center"/>
          </w:tcPr>
          <w:p>
            <w:pPr>
              <w:adjustRightInd w:val="0"/>
              <w:snapToGrid w:val="0"/>
              <w:rPr>
                <w:rFonts w:ascii="宋体" w:hAnsi="宋体"/>
                <w:lang w:val="zh-CN"/>
              </w:rPr>
            </w:pPr>
            <w:r>
              <w:rPr>
                <w:rFonts w:ascii="宋体" w:hAnsi="宋体"/>
                <w:lang w:val="zh-CN"/>
              </w:rPr>
              <w:t>设计要求参数</w:t>
            </w:r>
          </w:p>
        </w:tc>
        <w:tc>
          <w:tcPr>
            <w:tcW w:w="485" w:type="pct"/>
            <w:shd w:val="clear" w:color="auto" w:fill="auto"/>
            <w:vAlign w:val="center"/>
          </w:tcPr>
          <w:p>
            <w:pPr>
              <w:adjustRightInd w:val="0"/>
              <w:snapToGrid w:val="0"/>
              <w:rPr>
                <w:rFonts w:ascii="宋体" w:hAnsi="宋体"/>
                <w:lang w:val="zh-CN"/>
              </w:rPr>
            </w:pPr>
            <w:r>
              <w:rPr>
                <w:rFonts w:ascii="宋体" w:hAnsi="宋体"/>
                <w:lang w:val="zh-CN"/>
              </w:rPr>
              <w:t>承包商响应参数</w:t>
            </w:r>
          </w:p>
        </w:tc>
        <w:tc>
          <w:tcPr>
            <w:tcW w:w="656" w:type="pct"/>
            <w:shd w:val="clear" w:color="auto" w:fill="auto"/>
            <w:vAlign w:val="center"/>
          </w:tcPr>
          <w:p>
            <w:pPr>
              <w:adjustRightInd w:val="0"/>
              <w:snapToGrid w:val="0"/>
              <w:jc w:val="center"/>
              <w:rPr>
                <w:rFonts w:ascii="宋体" w:hAnsi="宋体"/>
                <w:lang w:val="zh-CN"/>
              </w:rPr>
            </w:pPr>
            <w:r>
              <w:rPr>
                <w:rFonts w:hint="eastAsia" w:ascii="宋体" w:hAnsi="宋体"/>
              </w:rPr>
              <w:t>偏离情况</w:t>
            </w:r>
          </w:p>
        </w:tc>
        <w:tc>
          <w:tcPr>
            <w:tcW w:w="713" w:type="pct"/>
            <w:shd w:val="clear" w:color="auto" w:fill="auto"/>
            <w:vAlign w:val="center"/>
          </w:tcPr>
          <w:p>
            <w:pPr>
              <w:adjustRightInd w:val="0"/>
              <w:snapToGrid w:val="0"/>
              <w:jc w:val="center"/>
              <w:rPr>
                <w:rFonts w:ascii="宋体" w:hAnsi="宋体"/>
                <w:lang w:val="zh-CN"/>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380V电力电缆</w:t>
            </w:r>
          </w:p>
        </w:tc>
        <w:tc>
          <w:tcPr>
            <w:tcW w:w="364" w:type="pct"/>
            <w:shd w:val="clear" w:color="auto" w:fill="auto"/>
            <w:vAlign w:val="center"/>
          </w:tcPr>
          <w:p>
            <w:pPr>
              <w:adjustRightInd w:val="0"/>
              <w:snapToGrid w:val="0"/>
              <w:rPr>
                <w:rFonts w:ascii="宋体" w:hAnsi="宋体"/>
                <w:lang w:val="zh-CN"/>
              </w:rPr>
            </w:pPr>
          </w:p>
        </w:tc>
        <w:tc>
          <w:tcPr>
            <w:tcW w:w="1601" w:type="pct"/>
            <w:gridSpan w:val="2"/>
            <w:shd w:val="clear" w:color="auto" w:fill="auto"/>
            <w:vAlign w:val="center"/>
          </w:tcPr>
          <w:p>
            <w:pPr>
              <w:adjustRightInd w:val="0"/>
              <w:snapToGrid w:val="0"/>
              <w:rPr>
                <w:rFonts w:ascii="宋体" w:hAnsi="宋体"/>
                <w:lang w:val="zh-CN"/>
              </w:rPr>
            </w:pP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额定电压</w:t>
            </w:r>
          </w:p>
        </w:tc>
        <w:tc>
          <w:tcPr>
            <w:tcW w:w="372" w:type="pct"/>
            <w:gridSpan w:val="2"/>
            <w:shd w:val="clear" w:color="auto" w:fill="auto"/>
            <w:vAlign w:val="center"/>
          </w:tcPr>
          <w:p>
            <w:pPr>
              <w:adjustRightInd w:val="0"/>
              <w:snapToGrid w:val="0"/>
              <w:rPr>
                <w:rFonts w:ascii="宋体" w:hAnsi="宋体"/>
                <w:lang w:val="zh-CN"/>
              </w:rPr>
            </w:pPr>
            <w:r>
              <w:rPr>
                <w:rFonts w:ascii="宋体" w:hAnsi="宋体"/>
                <w:lang w:val="zh-CN"/>
              </w:rPr>
              <w:t>kV</w:t>
            </w:r>
          </w:p>
        </w:tc>
        <w:tc>
          <w:tcPr>
            <w:tcW w:w="1593" w:type="pct"/>
            <w:shd w:val="clear" w:color="auto" w:fill="auto"/>
            <w:vAlign w:val="center"/>
          </w:tcPr>
          <w:p>
            <w:pPr>
              <w:adjustRightInd w:val="0"/>
              <w:snapToGrid w:val="0"/>
              <w:rPr>
                <w:rFonts w:ascii="宋体" w:hAnsi="宋体"/>
                <w:lang w:val="zh-CN"/>
              </w:rPr>
            </w:pPr>
            <w:r>
              <w:rPr>
                <w:rFonts w:ascii="宋体" w:hAnsi="宋体"/>
                <w:lang w:val="zh-CN"/>
              </w:rPr>
              <w:t>0.6/1</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导体材质</w:t>
            </w:r>
          </w:p>
        </w:tc>
        <w:tc>
          <w:tcPr>
            <w:tcW w:w="372" w:type="pct"/>
            <w:gridSpan w:val="2"/>
            <w:shd w:val="clear" w:color="auto" w:fill="auto"/>
            <w:vAlign w:val="center"/>
          </w:tcPr>
          <w:p>
            <w:pPr>
              <w:adjustRightInd w:val="0"/>
              <w:snapToGrid w:val="0"/>
              <w:rPr>
                <w:rFonts w:ascii="宋体" w:hAnsi="宋体"/>
                <w:lang w:val="zh-CN"/>
              </w:rPr>
            </w:pPr>
          </w:p>
        </w:tc>
        <w:tc>
          <w:tcPr>
            <w:tcW w:w="1593" w:type="pct"/>
            <w:shd w:val="clear" w:color="auto" w:fill="auto"/>
            <w:vAlign w:val="center"/>
          </w:tcPr>
          <w:p>
            <w:pPr>
              <w:adjustRightInd w:val="0"/>
              <w:snapToGrid w:val="0"/>
              <w:rPr>
                <w:rFonts w:ascii="宋体" w:hAnsi="宋体"/>
                <w:lang w:val="zh-CN"/>
              </w:rPr>
            </w:pPr>
            <w:r>
              <w:rPr>
                <w:rFonts w:ascii="宋体" w:hAnsi="宋体"/>
                <w:lang w:val="zh-CN"/>
              </w:rPr>
              <w:t>铜</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绝缘材质</w:t>
            </w:r>
          </w:p>
        </w:tc>
        <w:tc>
          <w:tcPr>
            <w:tcW w:w="372" w:type="pct"/>
            <w:gridSpan w:val="2"/>
            <w:shd w:val="clear" w:color="auto" w:fill="auto"/>
            <w:vAlign w:val="center"/>
          </w:tcPr>
          <w:p>
            <w:pPr>
              <w:adjustRightInd w:val="0"/>
              <w:snapToGrid w:val="0"/>
              <w:rPr>
                <w:rFonts w:ascii="宋体" w:hAnsi="宋体"/>
                <w:lang w:val="zh-CN"/>
              </w:rPr>
            </w:pPr>
          </w:p>
        </w:tc>
        <w:tc>
          <w:tcPr>
            <w:tcW w:w="1593" w:type="pct"/>
            <w:shd w:val="clear" w:color="auto" w:fill="auto"/>
            <w:vAlign w:val="center"/>
          </w:tcPr>
          <w:p>
            <w:pPr>
              <w:adjustRightInd w:val="0"/>
              <w:snapToGrid w:val="0"/>
              <w:rPr>
                <w:rFonts w:ascii="宋体" w:hAnsi="宋体"/>
                <w:lang w:val="zh-CN"/>
              </w:rPr>
            </w:pPr>
            <w:r>
              <w:rPr>
                <w:rFonts w:ascii="宋体" w:hAnsi="宋体"/>
                <w:lang w:val="zh-CN"/>
              </w:rPr>
              <w:t>交联聚乙烯</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护套材质</w:t>
            </w:r>
          </w:p>
        </w:tc>
        <w:tc>
          <w:tcPr>
            <w:tcW w:w="372" w:type="pct"/>
            <w:gridSpan w:val="2"/>
            <w:shd w:val="clear" w:color="auto" w:fill="auto"/>
            <w:vAlign w:val="center"/>
          </w:tcPr>
          <w:p>
            <w:pPr>
              <w:adjustRightInd w:val="0"/>
              <w:snapToGrid w:val="0"/>
              <w:rPr>
                <w:rFonts w:ascii="宋体" w:hAnsi="宋体"/>
                <w:lang w:val="zh-CN"/>
              </w:rPr>
            </w:pPr>
          </w:p>
        </w:tc>
        <w:tc>
          <w:tcPr>
            <w:tcW w:w="1593" w:type="pct"/>
            <w:shd w:val="clear" w:color="auto" w:fill="auto"/>
            <w:vAlign w:val="center"/>
          </w:tcPr>
          <w:p>
            <w:pPr>
              <w:adjustRightInd w:val="0"/>
              <w:snapToGrid w:val="0"/>
              <w:rPr>
                <w:rFonts w:ascii="宋体" w:hAnsi="宋体"/>
                <w:lang w:val="zh-CN"/>
              </w:rPr>
            </w:pPr>
            <w:r>
              <w:rPr>
                <w:rFonts w:ascii="宋体" w:hAnsi="宋体"/>
                <w:lang w:val="zh-CN"/>
              </w:rPr>
              <w:t>聚氯乙烯</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试验耐压</w:t>
            </w:r>
          </w:p>
        </w:tc>
        <w:tc>
          <w:tcPr>
            <w:tcW w:w="372" w:type="pct"/>
            <w:gridSpan w:val="2"/>
            <w:shd w:val="clear" w:color="auto" w:fill="auto"/>
            <w:vAlign w:val="center"/>
          </w:tcPr>
          <w:p>
            <w:pPr>
              <w:adjustRightInd w:val="0"/>
              <w:snapToGrid w:val="0"/>
              <w:rPr>
                <w:rFonts w:ascii="宋体" w:hAnsi="宋体"/>
                <w:lang w:val="zh-CN"/>
              </w:rPr>
            </w:pPr>
          </w:p>
        </w:tc>
        <w:tc>
          <w:tcPr>
            <w:tcW w:w="1593" w:type="pct"/>
            <w:shd w:val="clear" w:color="auto" w:fill="auto"/>
            <w:vAlign w:val="center"/>
          </w:tcPr>
          <w:p>
            <w:pPr>
              <w:adjustRightInd w:val="0"/>
              <w:snapToGrid w:val="0"/>
              <w:rPr>
                <w:rFonts w:ascii="宋体" w:hAnsi="宋体"/>
                <w:lang w:val="zh-CN"/>
              </w:rPr>
            </w:pPr>
            <w:r>
              <w:rPr>
                <w:rFonts w:ascii="宋体" w:hAnsi="宋体"/>
                <w:lang w:val="zh-CN"/>
              </w:rPr>
              <w:t>3.5 kV/5min</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线芯短路温度</w:t>
            </w:r>
          </w:p>
        </w:tc>
        <w:tc>
          <w:tcPr>
            <w:tcW w:w="372" w:type="pct"/>
            <w:gridSpan w:val="2"/>
            <w:shd w:val="clear" w:color="auto" w:fill="auto"/>
            <w:vAlign w:val="center"/>
          </w:tcPr>
          <w:p>
            <w:pPr>
              <w:adjustRightInd w:val="0"/>
              <w:snapToGrid w:val="0"/>
              <w:rPr>
                <w:rFonts w:ascii="宋体" w:hAnsi="宋体"/>
                <w:lang w:val="zh-CN"/>
              </w:rPr>
            </w:pPr>
            <w:r>
              <w:rPr>
                <w:rFonts w:hint="eastAsia" w:ascii="宋体" w:hAnsi="宋体"/>
                <w:lang w:val="zh-CN"/>
              </w:rPr>
              <w:t>℃</w:t>
            </w:r>
          </w:p>
        </w:tc>
        <w:tc>
          <w:tcPr>
            <w:tcW w:w="1593" w:type="pct"/>
            <w:shd w:val="clear" w:color="auto" w:fill="auto"/>
            <w:vAlign w:val="center"/>
          </w:tcPr>
          <w:p>
            <w:pPr>
              <w:adjustRightInd w:val="0"/>
              <w:snapToGrid w:val="0"/>
              <w:rPr>
                <w:rFonts w:ascii="宋体" w:hAnsi="宋体"/>
                <w:lang w:val="zh-CN"/>
              </w:rPr>
            </w:pPr>
            <w:r>
              <w:rPr>
                <w:rFonts w:ascii="宋体" w:hAnsi="宋体"/>
                <w:lang w:val="zh-CN"/>
              </w:rPr>
              <w:t>250，持续最长时间不超过5S</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长期最高工作温度</w:t>
            </w:r>
          </w:p>
        </w:tc>
        <w:tc>
          <w:tcPr>
            <w:tcW w:w="372" w:type="pct"/>
            <w:gridSpan w:val="2"/>
            <w:shd w:val="clear" w:color="auto" w:fill="auto"/>
            <w:vAlign w:val="center"/>
          </w:tcPr>
          <w:p>
            <w:pPr>
              <w:adjustRightInd w:val="0"/>
              <w:snapToGrid w:val="0"/>
              <w:rPr>
                <w:rFonts w:ascii="宋体" w:hAnsi="宋体"/>
                <w:lang w:val="zh-CN"/>
              </w:rPr>
            </w:pPr>
            <w:r>
              <w:rPr>
                <w:rFonts w:hint="eastAsia" w:ascii="宋体" w:hAnsi="宋体"/>
                <w:lang w:val="zh-CN"/>
              </w:rPr>
              <w:t>℃</w:t>
            </w:r>
          </w:p>
        </w:tc>
        <w:tc>
          <w:tcPr>
            <w:tcW w:w="1593" w:type="pct"/>
            <w:shd w:val="clear" w:color="auto" w:fill="auto"/>
            <w:vAlign w:val="center"/>
          </w:tcPr>
          <w:p>
            <w:pPr>
              <w:adjustRightInd w:val="0"/>
              <w:snapToGrid w:val="0"/>
              <w:rPr>
                <w:rFonts w:ascii="宋体" w:hAnsi="宋体"/>
                <w:lang w:val="zh-CN"/>
              </w:rPr>
            </w:pPr>
            <w:r>
              <w:rPr>
                <w:rFonts w:ascii="宋体" w:hAnsi="宋体"/>
                <w:lang w:val="zh-CN"/>
              </w:rPr>
              <w:t>90</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控制电缆</w:t>
            </w:r>
          </w:p>
        </w:tc>
        <w:tc>
          <w:tcPr>
            <w:tcW w:w="364" w:type="pct"/>
            <w:shd w:val="clear" w:color="auto" w:fill="auto"/>
            <w:vAlign w:val="center"/>
          </w:tcPr>
          <w:p>
            <w:pPr>
              <w:adjustRightInd w:val="0"/>
              <w:snapToGrid w:val="0"/>
              <w:rPr>
                <w:rFonts w:ascii="宋体" w:hAnsi="宋体"/>
                <w:lang w:val="zh-CN"/>
              </w:rPr>
            </w:pPr>
          </w:p>
        </w:tc>
        <w:tc>
          <w:tcPr>
            <w:tcW w:w="1601" w:type="pct"/>
            <w:gridSpan w:val="2"/>
            <w:shd w:val="clear" w:color="auto" w:fill="auto"/>
            <w:vAlign w:val="center"/>
          </w:tcPr>
          <w:p>
            <w:pPr>
              <w:adjustRightInd w:val="0"/>
              <w:snapToGrid w:val="0"/>
              <w:rPr>
                <w:rFonts w:ascii="宋体" w:hAnsi="宋体"/>
                <w:lang w:val="zh-CN"/>
              </w:rPr>
            </w:pP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额定电压</w:t>
            </w:r>
          </w:p>
        </w:tc>
        <w:tc>
          <w:tcPr>
            <w:tcW w:w="372" w:type="pct"/>
            <w:gridSpan w:val="2"/>
            <w:shd w:val="clear" w:color="auto" w:fill="auto"/>
            <w:vAlign w:val="center"/>
          </w:tcPr>
          <w:p>
            <w:pPr>
              <w:adjustRightInd w:val="0"/>
              <w:snapToGrid w:val="0"/>
              <w:rPr>
                <w:rFonts w:ascii="宋体" w:hAnsi="宋体"/>
                <w:lang w:val="zh-CN"/>
              </w:rPr>
            </w:pPr>
            <w:r>
              <w:rPr>
                <w:rFonts w:ascii="宋体" w:hAnsi="宋体"/>
                <w:lang w:val="zh-CN"/>
              </w:rPr>
              <w:t>V</w:t>
            </w:r>
          </w:p>
        </w:tc>
        <w:tc>
          <w:tcPr>
            <w:tcW w:w="1593" w:type="pct"/>
            <w:shd w:val="clear" w:color="auto" w:fill="auto"/>
            <w:vAlign w:val="center"/>
          </w:tcPr>
          <w:p>
            <w:pPr>
              <w:adjustRightInd w:val="0"/>
              <w:snapToGrid w:val="0"/>
              <w:rPr>
                <w:rFonts w:ascii="宋体" w:hAnsi="宋体"/>
                <w:lang w:val="zh-CN"/>
              </w:rPr>
            </w:pPr>
            <w:r>
              <w:rPr>
                <w:rFonts w:ascii="宋体" w:hAnsi="宋体"/>
                <w:lang w:val="zh-CN"/>
              </w:rPr>
              <w:t>450/750</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导体材质</w:t>
            </w:r>
          </w:p>
        </w:tc>
        <w:tc>
          <w:tcPr>
            <w:tcW w:w="372" w:type="pct"/>
            <w:gridSpan w:val="2"/>
            <w:shd w:val="clear" w:color="auto" w:fill="auto"/>
            <w:vAlign w:val="center"/>
          </w:tcPr>
          <w:p>
            <w:pPr>
              <w:adjustRightInd w:val="0"/>
              <w:snapToGrid w:val="0"/>
              <w:rPr>
                <w:rFonts w:ascii="宋体" w:hAnsi="宋体"/>
                <w:lang w:val="zh-CN"/>
              </w:rPr>
            </w:pPr>
          </w:p>
        </w:tc>
        <w:tc>
          <w:tcPr>
            <w:tcW w:w="1593" w:type="pct"/>
            <w:shd w:val="clear" w:color="auto" w:fill="auto"/>
            <w:vAlign w:val="center"/>
          </w:tcPr>
          <w:p>
            <w:pPr>
              <w:adjustRightInd w:val="0"/>
              <w:snapToGrid w:val="0"/>
              <w:rPr>
                <w:rFonts w:ascii="宋体" w:hAnsi="宋体"/>
                <w:lang w:val="zh-CN"/>
              </w:rPr>
            </w:pPr>
            <w:r>
              <w:rPr>
                <w:rFonts w:ascii="宋体" w:hAnsi="宋体"/>
                <w:lang w:val="zh-CN"/>
              </w:rPr>
              <w:t>铜</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绝缘材质</w:t>
            </w:r>
          </w:p>
        </w:tc>
        <w:tc>
          <w:tcPr>
            <w:tcW w:w="372" w:type="pct"/>
            <w:gridSpan w:val="2"/>
            <w:shd w:val="clear" w:color="auto" w:fill="auto"/>
            <w:vAlign w:val="center"/>
          </w:tcPr>
          <w:p>
            <w:pPr>
              <w:adjustRightInd w:val="0"/>
              <w:snapToGrid w:val="0"/>
              <w:rPr>
                <w:rFonts w:ascii="宋体" w:hAnsi="宋体"/>
                <w:lang w:val="zh-CN"/>
              </w:rPr>
            </w:pPr>
          </w:p>
        </w:tc>
        <w:tc>
          <w:tcPr>
            <w:tcW w:w="1593" w:type="pct"/>
            <w:shd w:val="clear" w:color="auto" w:fill="auto"/>
            <w:vAlign w:val="center"/>
          </w:tcPr>
          <w:p>
            <w:pPr>
              <w:adjustRightInd w:val="0"/>
              <w:snapToGrid w:val="0"/>
              <w:rPr>
                <w:rFonts w:ascii="宋体" w:hAnsi="宋体"/>
                <w:lang w:val="zh-CN"/>
              </w:rPr>
            </w:pPr>
            <w:r>
              <w:rPr>
                <w:rFonts w:ascii="宋体" w:hAnsi="宋体"/>
                <w:lang w:val="zh-CN"/>
              </w:rPr>
              <w:t>聚氯乙烯</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护套材质</w:t>
            </w:r>
          </w:p>
        </w:tc>
        <w:tc>
          <w:tcPr>
            <w:tcW w:w="372" w:type="pct"/>
            <w:gridSpan w:val="2"/>
            <w:shd w:val="clear" w:color="auto" w:fill="auto"/>
            <w:vAlign w:val="center"/>
          </w:tcPr>
          <w:p>
            <w:pPr>
              <w:adjustRightInd w:val="0"/>
              <w:snapToGrid w:val="0"/>
              <w:rPr>
                <w:rFonts w:ascii="宋体" w:hAnsi="宋体"/>
                <w:lang w:val="zh-CN"/>
              </w:rPr>
            </w:pPr>
          </w:p>
        </w:tc>
        <w:tc>
          <w:tcPr>
            <w:tcW w:w="1593" w:type="pct"/>
            <w:shd w:val="clear" w:color="auto" w:fill="auto"/>
            <w:vAlign w:val="center"/>
          </w:tcPr>
          <w:p>
            <w:pPr>
              <w:adjustRightInd w:val="0"/>
              <w:snapToGrid w:val="0"/>
              <w:rPr>
                <w:rFonts w:ascii="宋体" w:hAnsi="宋体"/>
                <w:lang w:val="zh-CN"/>
              </w:rPr>
            </w:pPr>
            <w:r>
              <w:rPr>
                <w:rFonts w:ascii="宋体" w:hAnsi="宋体"/>
                <w:lang w:val="zh-CN"/>
              </w:rPr>
              <w:t>聚氯乙烯</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80" w:type="pct"/>
            <w:shd w:val="clear" w:color="auto" w:fill="auto"/>
            <w:vAlign w:val="center"/>
          </w:tcPr>
          <w:p>
            <w:pPr>
              <w:adjustRightInd w:val="0"/>
              <w:snapToGrid w:val="0"/>
              <w:rPr>
                <w:rFonts w:ascii="宋体" w:hAnsi="宋体"/>
                <w:lang w:val="zh-CN"/>
              </w:rPr>
            </w:pPr>
            <w:r>
              <w:rPr>
                <w:rFonts w:ascii="宋体" w:hAnsi="宋体"/>
                <w:lang w:val="zh-CN"/>
              </w:rPr>
              <w:t>长期最高工作温度</w:t>
            </w:r>
          </w:p>
        </w:tc>
        <w:tc>
          <w:tcPr>
            <w:tcW w:w="372" w:type="pct"/>
            <w:gridSpan w:val="2"/>
            <w:shd w:val="clear" w:color="auto" w:fill="auto"/>
            <w:vAlign w:val="center"/>
          </w:tcPr>
          <w:p>
            <w:pPr>
              <w:adjustRightInd w:val="0"/>
              <w:snapToGrid w:val="0"/>
              <w:rPr>
                <w:rFonts w:ascii="宋体" w:hAnsi="宋体"/>
                <w:lang w:val="zh-CN"/>
              </w:rPr>
            </w:pPr>
            <w:r>
              <w:rPr>
                <w:rFonts w:hint="eastAsia" w:ascii="宋体" w:hAnsi="宋体"/>
                <w:lang w:val="zh-CN"/>
              </w:rPr>
              <w:t>℃</w:t>
            </w:r>
          </w:p>
        </w:tc>
        <w:tc>
          <w:tcPr>
            <w:tcW w:w="1593" w:type="pct"/>
            <w:shd w:val="clear" w:color="auto" w:fill="auto"/>
            <w:vAlign w:val="center"/>
          </w:tcPr>
          <w:p>
            <w:pPr>
              <w:adjustRightInd w:val="0"/>
              <w:snapToGrid w:val="0"/>
              <w:rPr>
                <w:rFonts w:ascii="宋体" w:hAnsi="宋体"/>
                <w:lang w:val="zh-CN"/>
              </w:rPr>
            </w:pPr>
            <w:r>
              <w:rPr>
                <w:rFonts w:ascii="宋体" w:hAnsi="宋体"/>
                <w:lang w:val="zh-CN"/>
              </w:rPr>
              <w:t>90</w:t>
            </w:r>
          </w:p>
        </w:tc>
        <w:tc>
          <w:tcPr>
            <w:tcW w:w="485" w:type="pct"/>
            <w:shd w:val="clear" w:color="auto" w:fill="auto"/>
            <w:vAlign w:val="center"/>
          </w:tcPr>
          <w:p>
            <w:pPr>
              <w:adjustRightInd w:val="0"/>
              <w:snapToGrid w:val="0"/>
              <w:rPr>
                <w:rFonts w:ascii="宋体" w:hAnsi="宋体"/>
                <w:lang w:val="zh-CN"/>
              </w:rPr>
            </w:pPr>
          </w:p>
        </w:tc>
        <w:tc>
          <w:tcPr>
            <w:tcW w:w="656" w:type="pct"/>
            <w:shd w:val="clear" w:color="auto" w:fill="auto"/>
            <w:vAlign w:val="center"/>
          </w:tcPr>
          <w:p>
            <w:pPr>
              <w:adjustRightInd w:val="0"/>
              <w:snapToGrid w:val="0"/>
              <w:rPr>
                <w:rFonts w:ascii="宋体" w:hAnsi="宋体"/>
                <w:lang w:val="zh-CN"/>
              </w:rPr>
            </w:pPr>
          </w:p>
        </w:tc>
        <w:tc>
          <w:tcPr>
            <w:tcW w:w="713" w:type="pct"/>
            <w:shd w:val="clear" w:color="auto" w:fill="auto"/>
            <w:vAlign w:val="center"/>
          </w:tcPr>
          <w:p>
            <w:pPr>
              <w:adjustRightInd w:val="0"/>
              <w:snapToGrid w:val="0"/>
              <w:rPr>
                <w:rFonts w:ascii="宋体" w:hAnsi="宋体"/>
                <w:lang w:val="zh-CN"/>
              </w:rPr>
            </w:pPr>
          </w:p>
        </w:tc>
      </w:tr>
    </w:tbl>
    <w:p>
      <w:pPr>
        <w:keepNext/>
        <w:adjustRightInd w:val="0"/>
        <w:snapToGrid w:val="0"/>
        <w:spacing w:before="203" w:beforeLines="50" w:after="203" w:afterLines="50"/>
        <w:outlineLvl w:val="1"/>
        <w:rPr>
          <w:rFonts w:ascii="宋体" w:hAnsi="宋体" w:cs="楷体"/>
          <w:b/>
        </w:rPr>
      </w:pPr>
      <w:bookmarkStart w:id="7526" w:name="_Toc106883859"/>
      <w:bookmarkStart w:id="7527" w:name="_Toc480442723"/>
      <w:bookmarkStart w:id="7528" w:name="_Toc479408528"/>
      <w:bookmarkStart w:id="7529" w:name="_Toc9907868"/>
      <w:bookmarkStart w:id="7530" w:name="_Toc98055595"/>
      <w:r>
        <w:rPr>
          <w:rFonts w:hint="eastAsia" w:ascii="宋体" w:hAnsi="宋体" w:cs="楷体"/>
          <w:b/>
        </w:rPr>
        <w:t>11.3</w:t>
      </w:r>
      <w:r>
        <w:rPr>
          <w:rFonts w:ascii="宋体" w:hAnsi="宋体" w:cs="楷体"/>
          <w:b/>
        </w:rPr>
        <w:t>仪表和</w:t>
      </w:r>
      <w:r>
        <w:rPr>
          <w:rFonts w:hint="eastAsia" w:ascii="宋体" w:hAnsi="宋体" w:cs="楷体"/>
          <w:b/>
        </w:rPr>
        <w:t>自动控制</w:t>
      </w:r>
      <w:r>
        <w:rPr>
          <w:rFonts w:ascii="宋体" w:hAnsi="宋体" w:cs="楷体"/>
          <w:b/>
        </w:rPr>
        <w:t>系统</w:t>
      </w:r>
      <w:bookmarkEnd w:id="7526"/>
      <w:bookmarkEnd w:id="7527"/>
      <w:bookmarkEnd w:id="7528"/>
    </w:p>
    <w:p>
      <w:pPr>
        <w:keepNext/>
        <w:tabs>
          <w:tab w:val="left" w:pos="993"/>
        </w:tabs>
        <w:adjustRightInd w:val="0"/>
        <w:snapToGrid w:val="0"/>
        <w:spacing w:before="203" w:beforeLines="50" w:after="203" w:afterLines="50"/>
        <w:outlineLvl w:val="2"/>
        <w:rPr>
          <w:rFonts w:ascii="宋体" w:hAnsi="宋体"/>
        </w:rPr>
      </w:pPr>
      <w:bookmarkStart w:id="7531" w:name="_Toc479408529"/>
      <w:bookmarkStart w:id="7532" w:name="_Toc106883860"/>
      <w:r>
        <w:rPr>
          <w:rFonts w:hint="eastAsia" w:ascii="宋体" w:hAnsi="宋体"/>
        </w:rPr>
        <w:t>11.3.1</w:t>
      </w:r>
      <w:r>
        <w:rPr>
          <w:rFonts w:ascii="宋体" w:hAnsi="宋体"/>
        </w:rPr>
        <w:t>仪表设备</w:t>
      </w:r>
      <w:bookmarkEnd w:id="7531"/>
      <w:bookmarkEnd w:id="7532"/>
    </w:p>
    <w:p>
      <w:pPr>
        <w:adjustRightInd w:val="0"/>
        <w:snapToGrid w:val="0"/>
        <w:rPr>
          <w:rFonts w:ascii="宋体" w:hAnsi="宋体"/>
        </w:rPr>
      </w:pPr>
      <w:bookmarkStart w:id="7533" w:name="_Toc479408530"/>
      <w:bookmarkStart w:id="7534" w:name="_Toc480442724"/>
      <w:bookmarkStart w:id="7535" w:name="_Toc106050677"/>
      <w:r>
        <w:rPr>
          <w:rFonts w:hint="eastAsia" w:ascii="宋体" w:hAnsi="宋体"/>
        </w:rPr>
        <w:t>11</w:t>
      </w:r>
      <w:r>
        <w:rPr>
          <w:rFonts w:ascii="宋体" w:hAnsi="宋体"/>
        </w:rPr>
        <w:t>.3.1.1  电磁流量仪</w:t>
      </w:r>
      <w:bookmarkEnd w:id="7533"/>
      <w:bookmarkEnd w:id="7534"/>
      <w:bookmarkEnd w:id="7535"/>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49"/>
        <w:gridCol w:w="3132"/>
        <w:gridCol w:w="1734"/>
        <w:gridCol w:w="1108"/>
        <w:gridCol w:w="1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名称</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性能要求参数</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承包商响应参数</w:t>
            </w:r>
          </w:p>
        </w:tc>
        <w:tc>
          <w:tcPr>
            <w:tcW w:w="649"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hint="eastAsia" w:ascii="宋体" w:hAnsi="宋体"/>
              </w:rPr>
              <w:t>偏离情况</w:t>
            </w:r>
          </w:p>
        </w:tc>
        <w:tc>
          <w:tcPr>
            <w:tcW w:w="649"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变送器（传感器）型号</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电极材料</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材质为316L</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测量误差</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±0.2%</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衬里材料</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kern w:val="0"/>
                <w:lang w:val="en-GB"/>
              </w:rPr>
              <w:t>硬橡胶、聚氨酯、PTFE等，根据介质选配</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输    出</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4～20mA</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外壳材料</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铝，防水耐腐蚀。</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变送器</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LCD显示，可显示瞬时、累积流量和故障，具有现场操作</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供电电源</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85～260VAC，45～65HZ</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功率消耗</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AC〈15VA，含传感器</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其他功能</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断电自动存储系统数据，可调零位及量程，具诊断功能。</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防护等级</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kern w:val="0"/>
                <w:lang w:val="en-GB"/>
              </w:rPr>
              <w:t>传感器IP67，变送器IP65</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安装方式</w:t>
            </w:r>
          </w:p>
        </w:tc>
        <w:tc>
          <w:tcPr>
            <w:tcW w:w="183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传感器法兰安装，变送器装于仪表箱内</w:t>
            </w:r>
          </w:p>
        </w:tc>
        <w:tc>
          <w:tcPr>
            <w:tcW w:w="10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49" w:type="pct"/>
            <w:shd w:val="clear" w:color="auto" w:fill="auto"/>
            <w:tcMar>
              <w:top w:w="15" w:type="dxa"/>
              <w:left w:w="15" w:type="dxa"/>
              <w:bottom w:w="0" w:type="dxa"/>
              <w:right w:w="15"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bookmarkStart w:id="7536" w:name="_Toc106050678"/>
      <w:r>
        <w:rPr>
          <w:rFonts w:hint="eastAsia" w:ascii="宋体" w:hAnsi="宋体"/>
        </w:rPr>
        <w:t>11</w:t>
      </w:r>
      <w:r>
        <w:rPr>
          <w:rFonts w:ascii="宋体" w:hAnsi="宋体"/>
        </w:rPr>
        <w:t>.3.1.2  压力变送器</w:t>
      </w:r>
      <w:bookmarkEnd w:id="7536"/>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34"/>
        <w:gridCol w:w="3278"/>
        <w:gridCol w:w="1753"/>
        <w:gridCol w:w="1185"/>
        <w:gridCol w:w="1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名称</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性能要求参数</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承包商响应参数</w:t>
            </w:r>
          </w:p>
        </w:tc>
        <w:tc>
          <w:tcPr>
            <w:tcW w:w="694"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hint="eastAsia" w:ascii="宋体" w:hAnsi="宋体"/>
              </w:rPr>
              <w:t>偏离情况</w:t>
            </w:r>
          </w:p>
        </w:tc>
        <w:tc>
          <w:tcPr>
            <w:tcW w:w="694"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92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2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92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2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型号</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测量范围</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见图纸</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原理</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压力感应</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测量精度</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≤0.1%</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电源</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11.5-45VDC</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过程温度</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-20℃-85℃</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膜片材质</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316L</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显示</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中文液晶显示，按键操作，显示单元可90度旋转</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输出</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4～20mA hart 二线制</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防护等级</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IP68</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外壳</w:t>
            </w:r>
          </w:p>
        </w:tc>
        <w:tc>
          <w:tcPr>
            <w:tcW w:w="1920"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不锈钢</w:t>
            </w:r>
          </w:p>
        </w:tc>
        <w:tc>
          <w:tcPr>
            <w:tcW w:w="1027"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bl>
    <w:p>
      <w:pPr>
        <w:rPr>
          <w:rFonts w:ascii="宋体" w:hAnsi="宋体"/>
        </w:rPr>
      </w:pPr>
    </w:p>
    <w:p>
      <w:pPr>
        <w:adjustRightInd w:val="0"/>
        <w:snapToGrid w:val="0"/>
        <w:rPr>
          <w:rFonts w:ascii="宋体" w:hAnsi="宋体"/>
        </w:rPr>
      </w:pPr>
      <w:r>
        <w:rPr>
          <w:rFonts w:hint="eastAsia" w:ascii="宋体" w:hAnsi="宋体"/>
        </w:rPr>
        <w:t>11</w:t>
      </w:r>
      <w:r>
        <w:rPr>
          <w:rFonts w:ascii="宋体" w:hAnsi="宋体"/>
        </w:rPr>
        <w:t>.3.1.</w:t>
      </w:r>
      <w:r>
        <w:rPr>
          <w:rFonts w:hint="eastAsia" w:ascii="宋体" w:hAnsi="宋体"/>
        </w:rPr>
        <w:t>3</w:t>
      </w:r>
      <w:r>
        <w:rPr>
          <w:rFonts w:ascii="宋体" w:hAnsi="宋体"/>
        </w:rPr>
        <w:t xml:space="preserve">  浊度仪</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71"/>
        <w:gridCol w:w="3556"/>
        <w:gridCol w:w="1507"/>
        <w:gridCol w:w="1000"/>
        <w:gridCol w:w="1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名称</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性能要求参数</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承包商响应参数</w:t>
            </w:r>
          </w:p>
        </w:tc>
        <w:tc>
          <w:tcPr>
            <w:tcW w:w="586"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hint="eastAsia" w:ascii="宋体" w:hAnsi="宋体"/>
              </w:rPr>
              <w:t>偏离情况</w:t>
            </w:r>
          </w:p>
        </w:tc>
        <w:tc>
          <w:tcPr>
            <w:tcW w:w="586"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20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20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型号</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原理</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sz w:val="22"/>
              </w:rPr>
              <w:t>90°散射光，内置气泡去除系统</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测量误差</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sz w:val="22"/>
              </w:rPr>
              <w:t>0～40NTU：读数的±2%或±0.015 NTU，40～100NTU：读数的±5%</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重复性</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sz w:val="22"/>
              </w:rPr>
              <w:t>优于读数的±1.0% 或±0.002NTU</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分辨率</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0.0001NTU（&lt;10NTU）</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变送器显示</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背光LCD显示</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输出信号</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4～20mA</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电源</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100～240 VAC</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bl>
    <w:p>
      <w:pPr>
        <w:adjustRightInd w:val="0"/>
        <w:snapToGrid w:val="0"/>
        <w:rPr>
          <w:rFonts w:ascii="宋体" w:hAnsi="宋体"/>
        </w:rPr>
      </w:pPr>
      <w:r>
        <w:rPr>
          <w:rFonts w:hint="eastAsia" w:ascii="宋体" w:hAnsi="宋体"/>
        </w:rPr>
        <w:t>11</w:t>
      </w:r>
      <w:r>
        <w:rPr>
          <w:rFonts w:ascii="宋体" w:hAnsi="宋体"/>
        </w:rPr>
        <w:t>.3.1.4  PH</w:t>
      </w:r>
      <w:r>
        <w:rPr>
          <w:rFonts w:hint="eastAsia" w:ascii="宋体" w:hAnsi="宋体"/>
        </w:rPr>
        <w:t>/T计</w:t>
      </w:r>
    </w:p>
    <w:tbl>
      <w:tblPr>
        <w:tblStyle w:val="7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72"/>
        <w:gridCol w:w="3931"/>
        <w:gridCol w:w="1133"/>
        <w:gridCol w:w="996"/>
        <w:gridCol w:w="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名称</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性能要求参数</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承包商响应参数</w:t>
            </w:r>
          </w:p>
        </w:tc>
        <w:tc>
          <w:tcPr>
            <w:tcW w:w="584"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hint="eastAsia" w:ascii="宋体" w:hAnsi="宋体"/>
              </w:rPr>
              <w:t>偏离情况</w:t>
            </w:r>
          </w:p>
        </w:tc>
        <w:tc>
          <w:tcPr>
            <w:tcW w:w="584"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型号</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pH 量程</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-2-16.00 pH</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分辨率</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0.01 pH</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温度范围</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-9.9-125℃</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分辨率</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0.1℃</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电极类型选择</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玻璃电极或者锑电极</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防护等级</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IP65</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供电</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80-250V AC，50-60 Hz</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安装方式</w:t>
            </w:r>
          </w:p>
        </w:tc>
        <w:tc>
          <w:tcPr>
            <w:tcW w:w="230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面板安装、壁挂式安装</w:t>
            </w: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4" w:type="pct"/>
            <w:shd w:val="clear" w:color="auto" w:fill="auto"/>
            <w:tcMar>
              <w:top w:w="15" w:type="dxa"/>
              <w:left w:w="15" w:type="dxa"/>
              <w:bottom w:w="0" w:type="dxa"/>
              <w:right w:w="15"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ascii="宋体" w:hAnsi="宋体"/>
        </w:rPr>
        <w:t>1</w:t>
      </w:r>
      <w:r>
        <w:rPr>
          <w:rFonts w:hint="eastAsia" w:ascii="宋体" w:hAnsi="宋体"/>
        </w:rPr>
        <w:t>1</w:t>
      </w:r>
      <w:r>
        <w:rPr>
          <w:rFonts w:ascii="宋体" w:hAnsi="宋体"/>
        </w:rPr>
        <w:t>.3.1.</w:t>
      </w:r>
      <w:r>
        <w:rPr>
          <w:rFonts w:hint="eastAsia" w:ascii="宋体" w:hAnsi="宋体"/>
        </w:rPr>
        <w:t>5</w:t>
      </w:r>
      <w:r>
        <w:rPr>
          <w:rFonts w:ascii="宋体" w:hAnsi="宋体"/>
        </w:rPr>
        <w:t>余氯</w:t>
      </w:r>
      <w:r>
        <w:rPr>
          <w:rFonts w:hint="eastAsia" w:ascii="宋体" w:hAnsi="宋体"/>
        </w:rPr>
        <w:t>检测</w:t>
      </w:r>
      <w:r>
        <w:rPr>
          <w:rFonts w:ascii="宋体" w:hAnsi="宋体"/>
        </w:rPr>
        <w:t>仪</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8"/>
        <w:gridCol w:w="1919"/>
        <w:gridCol w:w="1904"/>
        <w:gridCol w:w="1686"/>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名称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性能要求参数</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承包商响应参数</w:t>
            </w:r>
          </w:p>
        </w:tc>
        <w:tc>
          <w:tcPr>
            <w:tcW w:w="988"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hint="eastAsia" w:ascii="宋体" w:hAnsi="宋体"/>
              </w:rPr>
              <w:t>偏离情况</w:t>
            </w:r>
          </w:p>
        </w:tc>
        <w:tc>
          <w:tcPr>
            <w:tcW w:w="987"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型号</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sz w:val="22"/>
              </w:rPr>
              <w:t>测量原理</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sz w:val="22"/>
              </w:rPr>
              <w:t>DPD</w:t>
            </w:r>
            <w:r>
              <w:rPr>
                <w:rFonts w:hint="eastAsia" w:ascii="宋体" w:hAnsi="宋体"/>
                <w:sz w:val="22"/>
              </w:rPr>
              <w:t>比色法</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测量范围</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sz w:val="22"/>
              </w:rPr>
              <w:t>0～10 mg/L</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sz w:val="22"/>
              </w:rPr>
              <w:t>准确度</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sz w:val="22"/>
              </w:rPr>
              <w:t>±5%读数或 ±0.04mg/L</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sz w:val="22"/>
              </w:rPr>
              <w:t>测量周期</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sz w:val="22"/>
              </w:rPr>
              <w:t>2</w:t>
            </w:r>
            <w:r>
              <w:rPr>
                <w:rFonts w:ascii="宋体" w:hAnsi="宋体"/>
                <w:sz w:val="22"/>
              </w:rPr>
              <w:t>.5</w:t>
            </w:r>
            <w:r>
              <w:rPr>
                <w:rFonts w:hint="eastAsia" w:ascii="宋体" w:hAnsi="宋体"/>
                <w:sz w:val="22"/>
              </w:rPr>
              <w:t>分钟</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sz w:val="22"/>
              </w:rPr>
              <w:t>显示</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sz w:val="22"/>
              </w:rPr>
              <w:t>LCD，带LED背景灯照明</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信号输出</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4～20mA</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电源</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220±10% 50 Hz</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bl>
    <w:p>
      <w:pPr>
        <w:rPr>
          <w:rFonts w:ascii="宋体" w:hAnsi="宋体"/>
        </w:rPr>
      </w:pPr>
    </w:p>
    <w:p>
      <w:pPr>
        <w:adjustRightInd w:val="0"/>
        <w:snapToGrid w:val="0"/>
        <w:rPr>
          <w:rFonts w:ascii="宋体" w:hAnsi="宋体"/>
        </w:rPr>
      </w:pPr>
      <w:r>
        <w:rPr>
          <w:rFonts w:hint="eastAsia" w:ascii="宋体" w:hAnsi="宋体"/>
        </w:rPr>
        <w:t>11</w:t>
      </w:r>
      <w:r>
        <w:rPr>
          <w:rFonts w:ascii="宋体" w:hAnsi="宋体"/>
        </w:rPr>
        <w:t>.3.1.</w:t>
      </w:r>
      <w:r>
        <w:rPr>
          <w:rFonts w:hint="eastAsia" w:ascii="宋体" w:hAnsi="宋体"/>
        </w:rPr>
        <w:t>6</w:t>
      </w:r>
      <w:r>
        <w:rPr>
          <w:rFonts w:ascii="宋体" w:hAnsi="宋体"/>
        </w:rPr>
        <w:t xml:space="preserve">  </w:t>
      </w:r>
      <w:r>
        <w:rPr>
          <w:rFonts w:hint="eastAsia" w:ascii="宋体" w:hAnsi="宋体"/>
        </w:rPr>
        <w:t>超声波液位计</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35"/>
        <w:gridCol w:w="2530"/>
        <w:gridCol w:w="2499"/>
        <w:gridCol w:w="1186"/>
        <w:gridCol w:w="1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名称</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性能要求参数</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承包商响应参数</w:t>
            </w:r>
          </w:p>
        </w:tc>
        <w:tc>
          <w:tcPr>
            <w:tcW w:w="695"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hint="eastAsia" w:ascii="宋体" w:hAnsi="宋体"/>
              </w:rPr>
              <w:t>偏离情况</w:t>
            </w:r>
          </w:p>
        </w:tc>
        <w:tc>
          <w:tcPr>
            <w:tcW w:w="694"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48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4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48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4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型号</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波束角</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≤9°</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测量精度</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±4mm或0.2%量程</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测量分辨率</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2mm</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输出阻尼时间</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0～55s</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显示</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LCD</w:t>
            </w:r>
            <w:r>
              <w:rPr>
                <w:rFonts w:ascii="宋体" w:hAnsi="宋体"/>
              </w:rPr>
              <w:t>带按键</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输出</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 xml:space="preserve">4～20mA </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防护等级</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传感器IP6</w:t>
            </w:r>
            <w:r>
              <w:rPr>
                <w:rFonts w:hint="eastAsia" w:ascii="宋体" w:hAnsi="宋体"/>
              </w:rPr>
              <w:t>8</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bl>
    <w:p>
      <w:pPr>
        <w:rPr>
          <w:rFonts w:ascii="宋体" w:hAnsi="宋体"/>
        </w:rPr>
      </w:pPr>
    </w:p>
    <w:p>
      <w:pPr>
        <w:adjustRightInd w:val="0"/>
        <w:snapToGrid w:val="0"/>
        <w:rPr>
          <w:rFonts w:ascii="宋体" w:hAnsi="宋体"/>
        </w:rPr>
      </w:pPr>
      <w:r>
        <w:rPr>
          <w:rFonts w:hint="eastAsia" w:ascii="宋体" w:hAnsi="宋体"/>
        </w:rPr>
        <w:t>11</w:t>
      </w:r>
      <w:r>
        <w:rPr>
          <w:rFonts w:ascii="宋体" w:hAnsi="宋体"/>
        </w:rPr>
        <w:t>.3.1.</w:t>
      </w:r>
      <w:r>
        <w:rPr>
          <w:rFonts w:hint="eastAsia" w:ascii="宋体" w:hAnsi="宋体"/>
        </w:rPr>
        <w:t>7</w:t>
      </w:r>
      <w:r>
        <w:rPr>
          <w:rFonts w:ascii="宋体" w:hAnsi="宋体"/>
        </w:rPr>
        <w:t xml:space="preserve">  </w:t>
      </w:r>
      <w:r>
        <w:rPr>
          <w:rFonts w:hint="eastAsia" w:ascii="宋体" w:hAnsi="宋体"/>
        </w:rPr>
        <w:t>热式气体流量计</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35"/>
        <w:gridCol w:w="2530"/>
        <w:gridCol w:w="2499"/>
        <w:gridCol w:w="1186"/>
        <w:gridCol w:w="1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名称</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性能要求参数</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承包商响应参数</w:t>
            </w:r>
          </w:p>
        </w:tc>
        <w:tc>
          <w:tcPr>
            <w:tcW w:w="695"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hint="eastAsia" w:ascii="宋体" w:hAnsi="宋体"/>
              </w:rPr>
              <w:t>偏离情况</w:t>
            </w:r>
          </w:p>
        </w:tc>
        <w:tc>
          <w:tcPr>
            <w:tcW w:w="694"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48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4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48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4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9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型号</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测量范围</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0.5—100Nm/s</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准确度</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±1.5%的读数,±1.5%满量程</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传感器材质</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316不锈钢、哈氏合金、钛</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探杆材质（保护套）</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316不锈钢（标准）、哈氏合金</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显示</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sz w:val="22"/>
              </w:rPr>
              <w:t>LCD</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输出</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 xml:space="preserve">4～20mA </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65"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防护等级</w:t>
            </w:r>
          </w:p>
        </w:tc>
        <w:tc>
          <w:tcPr>
            <w:tcW w:w="148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IP6</w:t>
            </w:r>
            <w:r>
              <w:rPr>
                <w:rFonts w:hint="eastAsia" w:ascii="宋体" w:hAnsi="宋体"/>
              </w:rPr>
              <w:t>5</w:t>
            </w:r>
          </w:p>
        </w:tc>
        <w:tc>
          <w:tcPr>
            <w:tcW w:w="1464"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5"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94" w:type="pct"/>
            <w:shd w:val="clear" w:color="auto" w:fill="auto"/>
            <w:tcMar>
              <w:top w:w="17" w:type="dxa"/>
              <w:left w:w="17" w:type="dxa"/>
              <w:bottom w:w="0" w:type="dxa"/>
              <w:right w:w="17"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bookmarkStart w:id="7537" w:name="_Toc106050681"/>
      <w:r>
        <w:rPr>
          <w:rFonts w:hint="eastAsia" w:ascii="宋体" w:hAnsi="宋体"/>
        </w:rPr>
        <w:t>11</w:t>
      </w:r>
      <w:r>
        <w:rPr>
          <w:rFonts w:ascii="宋体" w:hAnsi="宋体"/>
        </w:rPr>
        <w:t>.3.1.</w:t>
      </w:r>
      <w:r>
        <w:rPr>
          <w:rFonts w:hint="eastAsia" w:ascii="宋体" w:hAnsi="宋体"/>
        </w:rPr>
        <w:t>8</w:t>
      </w:r>
      <w:r>
        <w:rPr>
          <w:rFonts w:ascii="宋体" w:hAnsi="宋体"/>
        </w:rPr>
        <w:t xml:space="preserve">  氨氮</w:t>
      </w:r>
      <w:r>
        <w:rPr>
          <w:rFonts w:hint="eastAsia" w:ascii="宋体" w:hAnsi="宋体"/>
        </w:rPr>
        <w:t>分析</w:t>
      </w:r>
      <w:r>
        <w:rPr>
          <w:rFonts w:ascii="宋体" w:hAnsi="宋体"/>
        </w:rPr>
        <w:t>仪</w:t>
      </w:r>
      <w:bookmarkEnd w:id="7537"/>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49"/>
        <w:gridCol w:w="3504"/>
        <w:gridCol w:w="1362"/>
        <w:gridCol w:w="1110"/>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名称</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性能要求参数</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承包商响应参数</w:t>
            </w:r>
          </w:p>
        </w:tc>
        <w:tc>
          <w:tcPr>
            <w:tcW w:w="650"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hint="eastAsia" w:ascii="宋体" w:hAnsi="宋体"/>
              </w:rPr>
              <w:t>偏离情况</w:t>
            </w:r>
          </w:p>
        </w:tc>
        <w:tc>
          <w:tcPr>
            <w:tcW w:w="650"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205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9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5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50"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205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9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5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50"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型号</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测量原理</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kern w:val="0"/>
              </w:rPr>
              <w:t>逐出比色法</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测量范围</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0.02-300mg/L</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检测限</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0.02mg/L</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准确度</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±3%或±0.04mg/L（0.02-2mg/L）</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重现度</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读数3%±0.02mg/L，取大者（0.02-2mg/L）</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测量周期</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连续，周期测量（可设置启动时间）</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仪表定量装置</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高精度注射泵定量</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校准周期</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具备自动校准功能，周期可调</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清洗周期</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具备自动清洗功能，周期可调</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输出信号</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2路4-20mA模拟量</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9"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电源</w:t>
            </w:r>
          </w:p>
        </w:tc>
        <w:tc>
          <w:tcPr>
            <w:tcW w:w="205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220 V AC</w:t>
            </w:r>
          </w:p>
        </w:tc>
        <w:tc>
          <w:tcPr>
            <w:tcW w:w="798"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650" w:type="pct"/>
            <w:shd w:val="clear" w:color="auto" w:fill="auto"/>
            <w:tcMar>
              <w:top w:w="17" w:type="dxa"/>
              <w:left w:w="17" w:type="dxa"/>
              <w:bottom w:w="0" w:type="dxa"/>
              <w:right w:w="17"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bookmarkStart w:id="7538" w:name="_Toc106050682"/>
      <w:r>
        <w:rPr>
          <w:rFonts w:hint="eastAsia" w:ascii="宋体" w:hAnsi="宋体"/>
        </w:rPr>
        <w:t>11</w:t>
      </w:r>
      <w:r>
        <w:rPr>
          <w:rFonts w:ascii="宋体" w:hAnsi="宋体"/>
        </w:rPr>
        <w:t>.3.1.</w:t>
      </w:r>
      <w:r>
        <w:rPr>
          <w:rFonts w:hint="eastAsia" w:ascii="宋体" w:hAnsi="宋体"/>
        </w:rPr>
        <w:t>9</w:t>
      </w:r>
      <w:r>
        <w:rPr>
          <w:rFonts w:ascii="宋体" w:hAnsi="宋体"/>
        </w:rPr>
        <w:t xml:space="preserve">  </w:t>
      </w:r>
      <w:bookmarkEnd w:id="7538"/>
      <w:r>
        <w:rPr>
          <w:rFonts w:hint="eastAsia" w:ascii="宋体" w:hAnsi="宋体"/>
        </w:rPr>
        <w:t>CODMn检测仪</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71"/>
        <w:gridCol w:w="3556"/>
        <w:gridCol w:w="1507"/>
        <w:gridCol w:w="1000"/>
        <w:gridCol w:w="1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名称</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性能要求参数</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承包商响应参数</w:t>
            </w:r>
          </w:p>
        </w:tc>
        <w:tc>
          <w:tcPr>
            <w:tcW w:w="586"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hint="eastAsia" w:ascii="宋体" w:hAnsi="宋体"/>
              </w:rPr>
              <w:t>偏离情况</w:t>
            </w:r>
          </w:p>
        </w:tc>
        <w:tc>
          <w:tcPr>
            <w:tcW w:w="586" w:type="pct"/>
            <w:shd w:val="clear" w:color="auto" w:fill="auto"/>
            <w:tcMar>
              <w:top w:w="17" w:type="dxa"/>
              <w:left w:w="17" w:type="dxa"/>
              <w:bottom w:w="0" w:type="dxa"/>
              <w:right w:w="17"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20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20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型号</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测量范围</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0～</w:t>
            </w:r>
            <w:r>
              <w:rPr>
                <w:rFonts w:ascii="宋体" w:hAnsi="宋体"/>
              </w:rPr>
              <w:t>50</w:t>
            </w:r>
            <w:r>
              <w:rPr>
                <w:rFonts w:hint="eastAsia" w:ascii="宋体" w:hAnsi="宋体"/>
              </w:rPr>
              <w:t>0mg/L</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测量周期</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1小时，1～6 小时可任意认定</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显示</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LCD 液晶显示</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重现性</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0～20mg/L 时，± 1% FS；20～200mg/L 时，± 2% FS；200mg/L 以上时，± 5% FS</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零点漂移：</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 3% FS</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量程漂移</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0～ 20mg/L 时，± 3% FS；20～200mg/L 时，± 4% FS；200mg/L 以上时，± 5% FS</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2"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ascii="宋体" w:hAnsi="宋体"/>
              </w:rPr>
              <w:t>输出信号</w:t>
            </w:r>
          </w:p>
        </w:tc>
        <w:tc>
          <w:tcPr>
            <w:tcW w:w="2083" w:type="pct"/>
            <w:shd w:val="clear" w:color="auto" w:fill="auto"/>
            <w:tcMar>
              <w:top w:w="17" w:type="dxa"/>
              <w:left w:w="17" w:type="dxa"/>
              <w:bottom w:w="0" w:type="dxa"/>
              <w:right w:w="17" w:type="dxa"/>
            </w:tcMar>
            <w:vAlign w:val="center"/>
          </w:tcPr>
          <w:p>
            <w:pPr>
              <w:adjustRightInd w:val="0"/>
              <w:snapToGrid w:val="0"/>
              <w:rPr>
                <w:rFonts w:ascii="宋体" w:hAnsi="宋体"/>
              </w:rPr>
            </w:pPr>
            <w:r>
              <w:rPr>
                <w:rFonts w:hint="eastAsia" w:ascii="宋体" w:hAnsi="宋体"/>
              </w:rPr>
              <w:t>4～20mA</w:t>
            </w:r>
          </w:p>
        </w:tc>
        <w:tc>
          <w:tcPr>
            <w:tcW w:w="883"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c>
          <w:tcPr>
            <w:tcW w:w="586" w:type="pct"/>
            <w:shd w:val="clear" w:color="auto" w:fill="auto"/>
            <w:tcMar>
              <w:top w:w="17" w:type="dxa"/>
              <w:left w:w="17" w:type="dxa"/>
              <w:bottom w:w="0" w:type="dxa"/>
              <w:right w:w="17"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ascii="宋体" w:hAnsi="宋体"/>
        </w:rPr>
        <w:t>1</w:t>
      </w:r>
      <w:r>
        <w:rPr>
          <w:rFonts w:hint="eastAsia" w:ascii="宋体" w:hAnsi="宋体"/>
        </w:rPr>
        <w:t>1</w:t>
      </w:r>
      <w:r>
        <w:rPr>
          <w:rFonts w:ascii="宋体" w:hAnsi="宋体"/>
        </w:rPr>
        <w:t>.3.1.</w:t>
      </w:r>
      <w:r>
        <w:rPr>
          <w:rFonts w:hint="eastAsia" w:ascii="宋体" w:hAnsi="宋体"/>
        </w:rPr>
        <w:t>10进水生物毒性预警系统</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8"/>
        <w:gridCol w:w="1919"/>
        <w:gridCol w:w="1904"/>
        <w:gridCol w:w="1686"/>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名称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性能要求参数</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承包商响应参数</w:t>
            </w:r>
          </w:p>
        </w:tc>
        <w:tc>
          <w:tcPr>
            <w:tcW w:w="988"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hint="eastAsia" w:ascii="宋体" w:hAnsi="宋体"/>
              </w:rPr>
              <w:t>偏离情况</w:t>
            </w:r>
          </w:p>
        </w:tc>
        <w:tc>
          <w:tcPr>
            <w:tcW w:w="987"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型号</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测量方法</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发光细菌法，双通道对照检测</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检 测 器</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光电倍增管</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测量范围</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0～ 10000</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重 复 性</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3%</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分 辨 率</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1%</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响应时间</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10min</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响应范围</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大于5000种有毒物质</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测量时间</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10-50min，可设置</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校准</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定时自动校准</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ascii="宋体" w:hAnsi="宋体"/>
        </w:rPr>
        <w:t>1</w:t>
      </w:r>
      <w:r>
        <w:rPr>
          <w:rFonts w:hint="eastAsia" w:ascii="宋体" w:hAnsi="宋体"/>
        </w:rPr>
        <w:t>1</w:t>
      </w:r>
      <w:r>
        <w:rPr>
          <w:rFonts w:ascii="宋体" w:hAnsi="宋体"/>
        </w:rPr>
        <w:t>.3.1.</w:t>
      </w:r>
      <w:r>
        <w:rPr>
          <w:rFonts w:hint="eastAsia" w:ascii="宋体" w:hAnsi="宋体"/>
        </w:rPr>
        <w:t>11 ORP检测仪</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8"/>
        <w:gridCol w:w="1919"/>
        <w:gridCol w:w="1904"/>
        <w:gridCol w:w="1686"/>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名称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性能要求参数</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承包商响应参数</w:t>
            </w:r>
          </w:p>
        </w:tc>
        <w:tc>
          <w:tcPr>
            <w:tcW w:w="988"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hint="eastAsia" w:ascii="宋体" w:hAnsi="宋体"/>
              </w:rPr>
              <w:t>偏离情况</w:t>
            </w:r>
          </w:p>
        </w:tc>
        <w:tc>
          <w:tcPr>
            <w:tcW w:w="987"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型号</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测量形式</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插入式</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测量范围</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ascii="宋体" w:hAnsi="宋体"/>
              </w:rPr>
              <w:t>-2000～+2000 mV</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温度范围</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ascii="宋体" w:hAnsi="宋体"/>
              </w:rPr>
              <w:t>0～105℃</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精度</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w:t>
            </w:r>
            <w:r>
              <w:rPr>
                <w:rFonts w:ascii="宋体" w:hAnsi="宋体"/>
              </w:rPr>
              <w:t>20mV</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温度补偿</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自动</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ascii="宋体" w:hAnsi="宋体"/>
        </w:rPr>
        <w:t>1</w:t>
      </w:r>
      <w:r>
        <w:rPr>
          <w:rFonts w:hint="eastAsia" w:ascii="宋体" w:hAnsi="宋体"/>
        </w:rPr>
        <w:t>1</w:t>
      </w:r>
      <w:r>
        <w:rPr>
          <w:rFonts w:ascii="宋体" w:hAnsi="宋体"/>
        </w:rPr>
        <w:t>.3.1.</w:t>
      </w:r>
      <w:r>
        <w:rPr>
          <w:rFonts w:hint="eastAsia" w:ascii="宋体" w:hAnsi="宋体"/>
        </w:rPr>
        <w:t>12</w:t>
      </w:r>
      <w:r>
        <w:rPr>
          <w:rFonts w:ascii="宋体" w:hAnsi="宋体"/>
        </w:rPr>
        <w:t>污泥界面仪</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40"/>
        <w:gridCol w:w="2496"/>
        <w:gridCol w:w="1727"/>
        <w:gridCol w:w="1534"/>
        <w:gridCol w:w="1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名称</w:t>
            </w:r>
          </w:p>
        </w:tc>
        <w:tc>
          <w:tcPr>
            <w:tcW w:w="146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性能要求参数</w:t>
            </w: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承包商响应参数</w:t>
            </w:r>
          </w:p>
        </w:tc>
        <w:tc>
          <w:tcPr>
            <w:tcW w:w="899"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hint="eastAsia" w:ascii="宋体" w:hAnsi="宋体"/>
              </w:rPr>
              <w:t>偏离情况</w:t>
            </w:r>
          </w:p>
        </w:tc>
        <w:tc>
          <w:tcPr>
            <w:tcW w:w="899"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46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46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型号</w:t>
            </w:r>
          </w:p>
        </w:tc>
        <w:tc>
          <w:tcPr>
            <w:tcW w:w="146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测量范围</w:t>
            </w:r>
          </w:p>
        </w:tc>
        <w:tc>
          <w:tcPr>
            <w:tcW w:w="1463"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0.2～12m</w:t>
            </w: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分辨率</w:t>
            </w:r>
          </w:p>
        </w:tc>
        <w:tc>
          <w:tcPr>
            <w:tcW w:w="1463"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&lt; 0.04m</w:t>
            </w: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精度</w:t>
            </w:r>
          </w:p>
        </w:tc>
        <w:tc>
          <w:tcPr>
            <w:tcW w:w="1463"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0.1m ± 0.05m</w:t>
            </w: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响应时间</w:t>
            </w:r>
          </w:p>
        </w:tc>
        <w:tc>
          <w:tcPr>
            <w:tcW w:w="1463"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10～600s（可调）</w:t>
            </w: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tcPr>
          <w:p>
            <w:pPr>
              <w:adjustRightInd w:val="0"/>
              <w:snapToGrid w:val="0"/>
              <w:rPr>
                <w:rFonts w:ascii="宋体" w:hAnsi="宋体"/>
              </w:rPr>
            </w:pPr>
            <w:r>
              <w:rPr>
                <w:rFonts w:ascii="宋体" w:hAnsi="宋体"/>
                <w:sz w:val="22"/>
              </w:rPr>
              <w:t>显示</w:t>
            </w:r>
          </w:p>
        </w:tc>
        <w:tc>
          <w:tcPr>
            <w:tcW w:w="1463" w:type="pct"/>
            <w:shd w:val="clear" w:color="auto" w:fill="auto"/>
            <w:tcMar>
              <w:top w:w="15" w:type="dxa"/>
              <w:left w:w="15" w:type="dxa"/>
              <w:bottom w:w="0" w:type="dxa"/>
              <w:right w:w="15" w:type="dxa"/>
            </w:tcMar>
          </w:tcPr>
          <w:p>
            <w:pPr>
              <w:adjustRightInd w:val="0"/>
              <w:snapToGrid w:val="0"/>
              <w:rPr>
                <w:rFonts w:ascii="宋体" w:hAnsi="宋体"/>
              </w:rPr>
            </w:pPr>
            <w:r>
              <w:rPr>
                <w:rFonts w:ascii="宋体" w:hAnsi="宋体"/>
                <w:sz w:val="22"/>
              </w:rPr>
              <w:t>LCD，带LED背景灯照明</w:t>
            </w: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防护等级</w:t>
            </w:r>
          </w:p>
        </w:tc>
        <w:tc>
          <w:tcPr>
            <w:tcW w:w="1463"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sz w:val="22"/>
              </w:rPr>
              <w:t>IP68</w:t>
            </w: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27" w:type="pct"/>
            <w:shd w:val="clear" w:color="auto" w:fill="auto"/>
            <w:tcMar>
              <w:top w:w="15" w:type="dxa"/>
              <w:left w:w="15" w:type="dxa"/>
              <w:bottom w:w="0" w:type="dxa"/>
              <w:right w:w="15" w:type="dxa"/>
            </w:tcMar>
          </w:tcPr>
          <w:p>
            <w:pPr>
              <w:adjustRightInd w:val="0"/>
              <w:snapToGrid w:val="0"/>
              <w:rPr>
                <w:rFonts w:ascii="宋体" w:hAnsi="宋体"/>
              </w:rPr>
            </w:pPr>
            <w:r>
              <w:rPr>
                <w:rFonts w:ascii="宋体" w:hAnsi="宋体"/>
                <w:sz w:val="22"/>
              </w:rPr>
              <w:t>输出</w:t>
            </w:r>
          </w:p>
        </w:tc>
        <w:tc>
          <w:tcPr>
            <w:tcW w:w="1463" w:type="pct"/>
            <w:shd w:val="clear" w:color="auto" w:fill="auto"/>
            <w:tcMar>
              <w:top w:w="15" w:type="dxa"/>
              <w:left w:w="15" w:type="dxa"/>
              <w:bottom w:w="0" w:type="dxa"/>
              <w:right w:w="15" w:type="dxa"/>
            </w:tcMar>
          </w:tcPr>
          <w:p>
            <w:pPr>
              <w:adjustRightInd w:val="0"/>
              <w:snapToGrid w:val="0"/>
              <w:rPr>
                <w:rFonts w:ascii="宋体" w:hAnsi="宋体"/>
              </w:rPr>
            </w:pPr>
            <w:r>
              <w:rPr>
                <w:rFonts w:ascii="宋体" w:hAnsi="宋体"/>
                <w:sz w:val="22"/>
              </w:rPr>
              <w:t>4-20mA</w:t>
            </w:r>
            <w:r>
              <w:rPr>
                <w:rFonts w:ascii="宋体" w:hAnsi="宋体"/>
              </w:rPr>
              <w:t xml:space="preserve"> </w:t>
            </w:r>
          </w:p>
        </w:tc>
        <w:tc>
          <w:tcPr>
            <w:tcW w:w="101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9" w:type="pct"/>
            <w:shd w:val="clear" w:color="auto" w:fill="auto"/>
            <w:tcMar>
              <w:top w:w="15" w:type="dxa"/>
              <w:left w:w="15" w:type="dxa"/>
              <w:bottom w:w="0" w:type="dxa"/>
              <w:right w:w="15"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ascii="宋体" w:hAnsi="宋体"/>
        </w:rPr>
        <w:t>1</w:t>
      </w:r>
      <w:r>
        <w:rPr>
          <w:rFonts w:hint="eastAsia" w:ascii="宋体" w:hAnsi="宋体"/>
        </w:rPr>
        <w:t>1</w:t>
      </w:r>
      <w:r>
        <w:rPr>
          <w:rFonts w:ascii="宋体" w:hAnsi="宋体"/>
        </w:rPr>
        <w:t>.3.1.</w:t>
      </w:r>
      <w:r>
        <w:rPr>
          <w:rFonts w:hint="eastAsia" w:ascii="宋体" w:hAnsi="宋体"/>
        </w:rPr>
        <w:t>13硫化氢检测仪</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8"/>
        <w:gridCol w:w="1919"/>
        <w:gridCol w:w="1904"/>
        <w:gridCol w:w="1686"/>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名称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性能要求参数</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承包商响应参数</w:t>
            </w:r>
          </w:p>
        </w:tc>
        <w:tc>
          <w:tcPr>
            <w:tcW w:w="988"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hint="eastAsia" w:ascii="宋体" w:hAnsi="宋体"/>
              </w:rPr>
              <w:t>偏离情况</w:t>
            </w:r>
          </w:p>
        </w:tc>
        <w:tc>
          <w:tcPr>
            <w:tcW w:w="987"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型号</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检测方式</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扩散式</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分辨率</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cs="宋体"/>
                <w:color w:val="333333"/>
                <w:kern w:val="0"/>
              </w:rPr>
              <w:t>0~Nμmol/mol，</w:t>
            </w:r>
            <w:r>
              <w:rPr>
                <w:rFonts w:ascii="宋体" w:hAnsi="宋体" w:cs="宋体"/>
                <w:color w:val="333333"/>
                <w:kern w:val="0"/>
              </w:rPr>
              <w:t>0~N%vol</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响应时间</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w:t>
            </w:r>
            <w:r>
              <w:rPr>
                <w:rFonts w:ascii="宋体" w:hAnsi="宋体"/>
              </w:rPr>
              <w:t>30S</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报警方式</w:t>
            </w:r>
            <w:r>
              <w:rPr>
                <w:rFonts w:ascii="宋体" w:hAnsi="宋体"/>
              </w:rPr>
              <w:t xml:space="preserve"> </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报警灯</w:t>
            </w:r>
            <w:r>
              <w:rPr>
                <w:rFonts w:ascii="宋体" w:hAnsi="宋体"/>
              </w:rPr>
              <w:t>+</w:t>
            </w:r>
            <w:r>
              <w:rPr>
                <w:rFonts w:hint="eastAsia" w:ascii="宋体" w:hAnsi="宋体"/>
              </w:rPr>
              <w:t>声音</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信号输出</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4-20mA</w:t>
            </w:r>
            <w:r>
              <w:rPr>
                <w:rFonts w:hint="eastAsia" w:ascii="宋体" w:hAnsi="宋体"/>
              </w:rPr>
              <w:t>信号</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报警设置</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可设定常规高低报警、区间控制两种报警模式，可控制气体的浓度区间范围</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壳体材料</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防爆防腐蚀</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防护等级</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IP6</w:t>
            </w:r>
            <w:r>
              <w:rPr>
                <w:rFonts w:hint="eastAsia" w:ascii="宋体" w:hAnsi="宋体"/>
              </w:rPr>
              <w:t>6</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ascii="宋体" w:hAnsi="宋体"/>
        </w:rPr>
        <w:t>1</w:t>
      </w:r>
      <w:r>
        <w:rPr>
          <w:rFonts w:hint="eastAsia" w:ascii="宋体" w:hAnsi="宋体"/>
        </w:rPr>
        <w:t>1</w:t>
      </w:r>
      <w:r>
        <w:rPr>
          <w:rFonts w:ascii="宋体" w:hAnsi="宋体"/>
        </w:rPr>
        <w:t>.3.1.1</w:t>
      </w:r>
      <w:r>
        <w:rPr>
          <w:rFonts w:hint="eastAsia" w:ascii="宋体" w:hAnsi="宋体"/>
        </w:rPr>
        <w:t>4铝离子分析仪</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8"/>
        <w:gridCol w:w="1919"/>
        <w:gridCol w:w="1904"/>
        <w:gridCol w:w="1686"/>
        <w:gridCol w:w="1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名称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性能要求参数</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承包商响应参数</w:t>
            </w:r>
          </w:p>
        </w:tc>
        <w:tc>
          <w:tcPr>
            <w:tcW w:w="988"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hint="eastAsia" w:ascii="宋体" w:hAnsi="宋体"/>
              </w:rPr>
              <w:t>偏离情况</w:t>
            </w:r>
          </w:p>
        </w:tc>
        <w:tc>
          <w:tcPr>
            <w:tcW w:w="987" w:type="pct"/>
            <w:shd w:val="clear" w:color="auto" w:fill="auto"/>
            <w:tcMar>
              <w:top w:w="15" w:type="dxa"/>
              <w:left w:w="15" w:type="dxa"/>
              <w:bottom w:w="0" w:type="dxa"/>
              <w:right w:w="15" w:type="dxa"/>
            </w:tcMar>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型号</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　</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　</w:t>
            </w: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　</w:t>
            </w: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检测浓度范围</w:t>
            </w:r>
          </w:p>
        </w:tc>
        <w:tc>
          <w:tcPr>
            <w:tcW w:w="1125" w:type="pct"/>
            <w:shd w:val="clear" w:color="auto" w:fill="auto"/>
            <w:tcMar>
              <w:top w:w="15" w:type="dxa"/>
              <w:left w:w="15" w:type="dxa"/>
              <w:bottom w:w="0" w:type="dxa"/>
              <w:right w:w="15" w:type="dxa"/>
            </w:tcMar>
          </w:tcPr>
          <w:p>
            <w:pPr>
              <w:adjustRightInd w:val="0"/>
              <w:snapToGrid w:val="0"/>
              <w:rPr>
                <w:rFonts w:ascii="宋体" w:hAnsi="宋体"/>
              </w:rPr>
            </w:pPr>
            <w:r>
              <w:rPr>
                <w:rFonts w:hint="eastAsia" w:ascii="宋体" w:hAnsi="宋体"/>
              </w:rPr>
              <w:t>0.04-2 mg/L</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　</w:t>
            </w: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4"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输出端口</w:t>
            </w:r>
          </w:p>
        </w:tc>
        <w:tc>
          <w:tcPr>
            <w:tcW w:w="1125"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hint="eastAsia" w:ascii="宋体" w:hAnsi="宋体"/>
              </w:rPr>
              <w:t>4-20 mA</w:t>
            </w:r>
          </w:p>
        </w:tc>
        <w:tc>
          <w:tcPr>
            <w:tcW w:w="111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　</w:t>
            </w:r>
          </w:p>
        </w:tc>
        <w:tc>
          <w:tcPr>
            <w:tcW w:w="987" w:type="pct"/>
            <w:shd w:val="clear" w:color="auto" w:fill="auto"/>
            <w:tcMar>
              <w:top w:w="15" w:type="dxa"/>
              <w:left w:w="15" w:type="dxa"/>
              <w:bottom w:w="0" w:type="dxa"/>
              <w:right w:w="15" w:type="dxa"/>
            </w:tcMar>
            <w:vAlign w:val="center"/>
          </w:tcPr>
          <w:p>
            <w:pPr>
              <w:adjustRightInd w:val="0"/>
              <w:snapToGrid w:val="0"/>
              <w:rPr>
                <w:rFonts w:ascii="宋体" w:hAnsi="宋体"/>
              </w:rPr>
            </w:pPr>
          </w:p>
        </w:tc>
      </w:tr>
    </w:tbl>
    <w:p>
      <w:pPr>
        <w:keepNext/>
        <w:tabs>
          <w:tab w:val="left" w:pos="993"/>
        </w:tabs>
        <w:adjustRightInd w:val="0"/>
        <w:snapToGrid w:val="0"/>
        <w:spacing w:before="203" w:beforeLines="50" w:after="203" w:afterLines="50"/>
        <w:outlineLvl w:val="2"/>
        <w:rPr>
          <w:rFonts w:ascii="宋体" w:hAnsi="宋体"/>
        </w:rPr>
      </w:pPr>
      <w:bookmarkStart w:id="7539" w:name="_Toc479408532"/>
      <w:bookmarkStart w:id="7540" w:name="_Toc106883861"/>
      <w:r>
        <w:rPr>
          <w:rFonts w:hint="eastAsia" w:ascii="宋体" w:hAnsi="宋体"/>
        </w:rPr>
        <w:t>11.3.2</w:t>
      </w:r>
      <w:r>
        <w:rPr>
          <w:rFonts w:ascii="宋体" w:hAnsi="宋体"/>
        </w:rPr>
        <w:t>中控室设备</w:t>
      </w:r>
      <w:bookmarkEnd w:id="7539"/>
      <w:bookmarkEnd w:id="7540"/>
    </w:p>
    <w:p>
      <w:pPr>
        <w:adjustRightInd w:val="0"/>
        <w:snapToGrid w:val="0"/>
        <w:rPr>
          <w:rFonts w:ascii="宋体" w:hAnsi="宋体"/>
        </w:rPr>
      </w:pPr>
      <w:bookmarkStart w:id="7541" w:name="_Toc106050684"/>
      <w:r>
        <w:rPr>
          <w:rFonts w:hint="eastAsia" w:ascii="宋体" w:hAnsi="宋体"/>
        </w:rPr>
        <w:t>11</w:t>
      </w:r>
      <w:r>
        <w:rPr>
          <w:rFonts w:ascii="宋体" w:hAnsi="宋体"/>
        </w:rPr>
        <w:t>.3.2.1  服务器</w:t>
      </w:r>
      <w:bookmarkEnd w:id="7541"/>
    </w:p>
    <w:tbl>
      <w:tblPr>
        <w:tblStyle w:val="7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672"/>
        <w:gridCol w:w="4607"/>
        <w:gridCol w:w="1144"/>
        <w:gridCol w:w="1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jc w:val="center"/>
              <w:rPr>
                <w:rFonts w:ascii="宋体" w:hAnsi="宋体"/>
              </w:rPr>
            </w:pPr>
            <w:r>
              <w:rPr>
                <w:rFonts w:ascii="宋体" w:hAnsi="宋体"/>
              </w:rPr>
              <w:t>名称</w:t>
            </w:r>
          </w:p>
        </w:tc>
        <w:tc>
          <w:tcPr>
            <w:tcW w:w="2691" w:type="pct"/>
            <w:shd w:val="clear" w:color="auto" w:fill="auto"/>
            <w:vAlign w:val="center"/>
          </w:tcPr>
          <w:p>
            <w:pPr>
              <w:adjustRightInd w:val="0"/>
              <w:snapToGrid w:val="0"/>
              <w:jc w:val="center"/>
              <w:rPr>
                <w:rFonts w:ascii="宋体" w:hAnsi="宋体"/>
              </w:rPr>
            </w:pPr>
            <w:r>
              <w:rPr>
                <w:rFonts w:ascii="宋体" w:hAnsi="宋体"/>
              </w:rPr>
              <w:t>性能要求参数</w:t>
            </w:r>
          </w:p>
        </w:tc>
        <w:tc>
          <w:tcPr>
            <w:tcW w:w="668" w:type="pct"/>
            <w:shd w:val="clear" w:color="auto" w:fill="auto"/>
            <w:vAlign w:val="center"/>
          </w:tcPr>
          <w:p>
            <w:pPr>
              <w:adjustRightInd w:val="0"/>
              <w:snapToGrid w:val="0"/>
              <w:jc w:val="center"/>
              <w:rPr>
                <w:rFonts w:ascii="宋体" w:hAnsi="宋体"/>
              </w:rPr>
            </w:pPr>
            <w:r>
              <w:rPr>
                <w:rFonts w:ascii="宋体" w:hAnsi="宋体"/>
              </w:rPr>
              <w:t>承包商响应参数</w:t>
            </w:r>
          </w:p>
        </w:tc>
        <w:tc>
          <w:tcPr>
            <w:tcW w:w="664"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2691"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2691"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型号</w:t>
            </w:r>
          </w:p>
        </w:tc>
        <w:tc>
          <w:tcPr>
            <w:tcW w:w="2691" w:type="pct"/>
            <w:shd w:val="clear" w:color="auto" w:fill="auto"/>
            <w:vAlign w:val="center"/>
          </w:tcPr>
          <w:p>
            <w:pPr>
              <w:adjustRightInd w:val="0"/>
              <w:snapToGrid w:val="0"/>
              <w:rPr>
                <w:rFonts w:ascii="宋体" w:hAnsi="宋体"/>
              </w:rPr>
            </w:pPr>
            <w:r>
              <w:rPr>
                <w:rFonts w:ascii="宋体" w:hAnsi="宋体"/>
              </w:rPr>
              <w:t>　</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主频</w:t>
            </w:r>
          </w:p>
        </w:tc>
        <w:tc>
          <w:tcPr>
            <w:tcW w:w="2691" w:type="pct"/>
            <w:shd w:val="clear" w:color="auto" w:fill="auto"/>
            <w:vAlign w:val="center"/>
          </w:tcPr>
          <w:p>
            <w:pPr>
              <w:adjustRightInd w:val="0"/>
              <w:snapToGrid w:val="0"/>
              <w:rPr>
                <w:rFonts w:ascii="宋体" w:hAnsi="宋体"/>
              </w:rPr>
            </w:pPr>
            <w:r>
              <w:rPr>
                <w:rFonts w:hint="eastAsia" w:ascii="宋体" w:hAnsi="宋体"/>
              </w:rPr>
              <w:t xml:space="preserve">不低于Core I7 </w:t>
            </w:r>
            <w:r>
              <w:rPr>
                <w:rFonts w:ascii="宋体" w:hAnsi="宋体"/>
              </w:rPr>
              <w:t>3.4GHz</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内存容量</w:t>
            </w:r>
          </w:p>
        </w:tc>
        <w:tc>
          <w:tcPr>
            <w:tcW w:w="2691" w:type="pct"/>
            <w:shd w:val="clear" w:color="auto" w:fill="auto"/>
            <w:vAlign w:val="center"/>
          </w:tcPr>
          <w:p>
            <w:pPr>
              <w:adjustRightInd w:val="0"/>
              <w:snapToGrid w:val="0"/>
              <w:rPr>
                <w:rFonts w:ascii="宋体" w:hAnsi="宋体"/>
              </w:rPr>
            </w:pPr>
            <w:r>
              <w:rPr>
                <w:rFonts w:ascii="宋体" w:hAnsi="宋体"/>
              </w:rPr>
              <w:t>4GB</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硬盘容量</w:t>
            </w:r>
          </w:p>
        </w:tc>
        <w:tc>
          <w:tcPr>
            <w:tcW w:w="2691" w:type="pct"/>
            <w:shd w:val="clear" w:color="auto" w:fill="auto"/>
            <w:vAlign w:val="center"/>
          </w:tcPr>
          <w:p>
            <w:pPr>
              <w:adjustRightInd w:val="0"/>
              <w:snapToGrid w:val="0"/>
              <w:rPr>
                <w:rFonts w:ascii="宋体" w:hAnsi="宋体"/>
              </w:rPr>
            </w:pPr>
            <w:r>
              <w:rPr>
                <w:rFonts w:ascii="宋体" w:hAnsi="宋体"/>
              </w:rPr>
              <w:t>2块1</w:t>
            </w:r>
            <w:r>
              <w:rPr>
                <w:rFonts w:hint="eastAsia" w:ascii="宋体" w:hAnsi="宋体"/>
              </w:rPr>
              <w:t>T</w:t>
            </w:r>
            <w:r>
              <w:rPr>
                <w:rFonts w:ascii="宋体" w:hAnsi="宋体"/>
              </w:rPr>
              <w:t>硬盘</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通讯端口</w:t>
            </w:r>
          </w:p>
        </w:tc>
        <w:tc>
          <w:tcPr>
            <w:tcW w:w="2691" w:type="pct"/>
            <w:shd w:val="clear" w:color="auto" w:fill="auto"/>
            <w:vAlign w:val="center"/>
          </w:tcPr>
          <w:p>
            <w:pPr>
              <w:adjustRightInd w:val="0"/>
              <w:snapToGrid w:val="0"/>
              <w:rPr>
                <w:rFonts w:ascii="宋体" w:hAnsi="宋体"/>
              </w:rPr>
            </w:pPr>
            <w:r>
              <w:rPr>
                <w:rFonts w:ascii="宋体" w:hAnsi="宋体"/>
              </w:rPr>
              <w:t>10M/100M以太网（RJ-45）</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电    源</w:t>
            </w:r>
          </w:p>
        </w:tc>
        <w:tc>
          <w:tcPr>
            <w:tcW w:w="2691" w:type="pct"/>
            <w:shd w:val="clear" w:color="auto" w:fill="auto"/>
            <w:vAlign w:val="center"/>
          </w:tcPr>
          <w:p>
            <w:pPr>
              <w:adjustRightInd w:val="0"/>
              <w:snapToGrid w:val="0"/>
              <w:rPr>
                <w:rFonts w:ascii="宋体" w:hAnsi="宋体"/>
              </w:rPr>
            </w:pPr>
            <w:r>
              <w:rPr>
                <w:rFonts w:ascii="宋体" w:hAnsi="宋体"/>
              </w:rPr>
              <w:t>≥350W电源</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冷却系统</w:t>
            </w:r>
          </w:p>
        </w:tc>
        <w:tc>
          <w:tcPr>
            <w:tcW w:w="2691" w:type="pct"/>
            <w:shd w:val="clear" w:color="auto" w:fill="auto"/>
            <w:vAlign w:val="center"/>
          </w:tcPr>
          <w:p>
            <w:pPr>
              <w:adjustRightInd w:val="0"/>
              <w:snapToGrid w:val="0"/>
              <w:rPr>
                <w:rFonts w:ascii="宋体" w:hAnsi="宋体"/>
              </w:rPr>
            </w:pPr>
            <w:r>
              <w:rPr>
                <w:rFonts w:ascii="宋体" w:hAnsi="宋体"/>
              </w:rPr>
              <w:t>2×12cm球轴承风扇，108CFM</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光    驱</w:t>
            </w:r>
          </w:p>
        </w:tc>
        <w:tc>
          <w:tcPr>
            <w:tcW w:w="2691" w:type="pct"/>
            <w:shd w:val="clear" w:color="auto" w:fill="auto"/>
            <w:vAlign w:val="center"/>
          </w:tcPr>
          <w:p>
            <w:pPr>
              <w:adjustRightInd w:val="0"/>
              <w:snapToGrid w:val="0"/>
              <w:rPr>
                <w:rFonts w:ascii="宋体" w:hAnsi="宋体"/>
              </w:rPr>
            </w:pPr>
            <w:r>
              <w:rPr>
                <w:rFonts w:ascii="宋体" w:hAnsi="宋体"/>
              </w:rPr>
              <w:t>DVD刻录机，16X刻录速度，缓存8M</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工作温度</w:t>
            </w:r>
          </w:p>
        </w:tc>
        <w:tc>
          <w:tcPr>
            <w:tcW w:w="2691" w:type="pct"/>
            <w:shd w:val="clear" w:color="auto" w:fill="auto"/>
            <w:vAlign w:val="center"/>
          </w:tcPr>
          <w:p>
            <w:pPr>
              <w:adjustRightInd w:val="0"/>
              <w:snapToGrid w:val="0"/>
              <w:rPr>
                <w:rFonts w:ascii="宋体" w:hAnsi="宋体"/>
              </w:rPr>
            </w:pPr>
            <w:r>
              <w:rPr>
                <w:rFonts w:ascii="宋体" w:hAnsi="宋体"/>
              </w:rPr>
              <w:t>0</w:t>
            </w:r>
            <w:r>
              <w:rPr>
                <w:rFonts w:hint="eastAsia" w:ascii="宋体" w:hAnsi="宋体"/>
              </w:rPr>
              <w:t>℃</w:t>
            </w:r>
            <w:r>
              <w:rPr>
                <w:rFonts w:ascii="宋体" w:hAnsi="宋体"/>
              </w:rPr>
              <w:t>～50</w:t>
            </w:r>
            <w:r>
              <w:rPr>
                <w:rFonts w:hint="eastAsia" w:ascii="宋体" w:hAnsi="宋体"/>
              </w:rPr>
              <w:t>℃</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存储温度</w:t>
            </w:r>
          </w:p>
        </w:tc>
        <w:tc>
          <w:tcPr>
            <w:tcW w:w="2691" w:type="pct"/>
            <w:shd w:val="clear" w:color="auto" w:fill="auto"/>
            <w:vAlign w:val="center"/>
          </w:tcPr>
          <w:p>
            <w:pPr>
              <w:adjustRightInd w:val="0"/>
              <w:snapToGrid w:val="0"/>
              <w:rPr>
                <w:rFonts w:ascii="宋体" w:hAnsi="宋体"/>
              </w:rPr>
            </w:pPr>
            <w:r>
              <w:rPr>
                <w:rFonts w:ascii="宋体" w:hAnsi="宋体"/>
              </w:rPr>
              <w:t>-20</w:t>
            </w:r>
            <w:r>
              <w:rPr>
                <w:rFonts w:hint="eastAsia" w:ascii="宋体" w:hAnsi="宋体"/>
              </w:rPr>
              <w:t>℃</w:t>
            </w:r>
            <w:r>
              <w:rPr>
                <w:rFonts w:ascii="宋体" w:hAnsi="宋体"/>
              </w:rPr>
              <w:t>～70</w:t>
            </w:r>
            <w:r>
              <w:rPr>
                <w:rFonts w:hint="eastAsia" w:ascii="宋体" w:hAnsi="宋体"/>
              </w:rPr>
              <w:t>℃</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相对湿度</w:t>
            </w:r>
          </w:p>
        </w:tc>
        <w:tc>
          <w:tcPr>
            <w:tcW w:w="2691" w:type="pct"/>
            <w:shd w:val="clear" w:color="auto" w:fill="auto"/>
            <w:vAlign w:val="center"/>
          </w:tcPr>
          <w:p>
            <w:pPr>
              <w:adjustRightInd w:val="0"/>
              <w:snapToGrid w:val="0"/>
              <w:rPr>
                <w:rFonts w:ascii="宋体" w:hAnsi="宋体"/>
              </w:rPr>
            </w:pPr>
            <w:r>
              <w:rPr>
                <w:rFonts w:ascii="宋体" w:hAnsi="宋体"/>
              </w:rPr>
              <w:t>5%～95%（无凝结）</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冲    击</w:t>
            </w:r>
          </w:p>
        </w:tc>
        <w:tc>
          <w:tcPr>
            <w:tcW w:w="2691" w:type="pct"/>
            <w:shd w:val="clear" w:color="auto" w:fill="auto"/>
            <w:vAlign w:val="center"/>
          </w:tcPr>
          <w:p>
            <w:pPr>
              <w:adjustRightInd w:val="0"/>
              <w:snapToGrid w:val="0"/>
              <w:rPr>
                <w:rFonts w:ascii="宋体" w:hAnsi="宋体"/>
              </w:rPr>
            </w:pPr>
            <w:r>
              <w:rPr>
                <w:rFonts w:ascii="宋体" w:hAnsi="宋体"/>
              </w:rPr>
              <w:t>10G峰值加速度</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振    动</w:t>
            </w:r>
          </w:p>
        </w:tc>
        <w:tc>
          <w:tcPr>
            <w:tcW w:w="2691" w:type="pct"/>
            <w:shd w:val="clear" w:color="auto" w:fill="auto"/>
            <w:vAlign w:val="center"/>
          </w:tcPr>
          <w:p>
            <w:pPr>
              <w:adjustRightInd w:val="0"/>
              <w:snapToGrid w:val="0"/>
              <w:rPr>
                <w:rFonts w:ascii="宋体" w:hAnsi="宋体"/>
              </w:rPr>
            </w:pPr>
            <w:r>
              <w:rPr>
                <w:rFonts w:ascii="宋体" w:hAnsi="宋体"/>
              </w:rPr>
              <w:t>不小于1.5G</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MTBF</w:t>
            </w:r>
          </w:p>
        </w:tc>
        <w:tc>
          <w:tcPr>
            <w:tcW w:w="2691" w:type="pct"/>
            <w:shd w:val="clear" w:color="auto" w:fill="auto"/>
            <w:vAlign w:val="center"/>
          </w:tcPr>
          <w:p>
            <w:pPr>
              <w:adjustRightInd w:val="0"/>
              <w:snapToGrid w:val="0"/>
              <w:rPr>
                <w:rFonts w:ascii="宋体" w:hAnsi="宋体"/>
              </w:rPr>
            </w:pPr>
            <w:r>
              <w:rPr>
                <w:rFonts w:ascii="宋体" w:hAnsi="宋体"/>
              </w:rPr>
              <w:t xml:space="preserve"> 大于50000小时</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符合标准</w:t>
            </w:r>
          </w:p>
        </w:tc>
        <w:tc>
          <w:tcPr>
            <w:tcW w:w="2691" w:type="pct"/>
            <w:shd w:val="clear" w:color="auto" w:fill="auto"/>
            <w:vAlign w:val="center"/>
          </w:tcPr>
          <w:p>
            <w:pPr>
              <w:adjustRightInd w:val="0"/>
              <w:snapToGrid w:val="0"/>
              <w:rPr>
                <w:rFonts w:ascii="宋体" w:hAnsi="宋体"/>
              </w:rPr>
            </w:pPr>
            <w:r>
              <w:rPr>
                <w:rFonts w:ascii="宋体" w:hAnsi="宋体"/>
              </w:rPr>
              <w:t>FCC，EMC，CE，UL</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安全认证</w:t>
            </w:r>
          </w:p>
        </w:tc>
        <w:tc>
          <w:tcPr>
            <w:tcW w:w="2691" w:type="pct"/>
            <w:shd w:val="clear" w:color="auto" w:fill="auto"/>
            <w:vAlign w:val="center"/>
          </w:tcPr>
          <w:p>
            <w:pPr>
              <w:adjustRightInd w:val="0"/>
              <w:snapToGrid w:val="0"/>
              <w:rPr>
                <w:rFonts w:ascii="宋体" w:hAnsi="宋体"/>
              </w:rPr>
            </w:pPr>
            <w:r>
              <w:rPr>
                <w:rFonts w:ascii="宋体" w:hAnsi="宋体"/>
              </w:rPr>
              <w:t>UL-508、CSA、CE</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77" w:type="pct"/>
            <w:shd w:val="clear" w:color="auto" w:fill="auto"/>
            <w:vAlign w:val="center"/>
          </w:tcPr>
          <w:p>
            <w:pPr>
              <w:adjustRightInd w:val="0"/>
              <w:snapToGrid w:val="0"/>
              <w:rPr>
                <w:rFonts w:ascii="宋体" w:hAnsi="宋体"/>
              </w:rPr>
            </w:pPr>
            <w:r>
              <w:rPr>
                <w:rFonts w:ascii="宋体" w:hAnsi="宋体"/>
              </w:rPr>
              <w:t>显示器</w:t>
            </w:r>
          </w:p>
        </w:tc>
        <w:tc>
          <w:tcPr>
            <w:tcW w:w="2691" w:type="pct"/>
            <w:shd w:val="clear" w:color="auto" w:fill="auto"/>
            <w:vAlign w:val="center"/>
          </w:tcPr>
          <w:p>
            <w:pPr>
              <w:adjustRightInd w:val="0"/>
              <w:snapToGrid w:val="0"/>
              <w:rPr>
                <w:rFonts w:ascii="宋体" w:hAnsi="宋体"/>
              </w:rPr>
            </w:pPr>
            <w:r>
              <w:rPr>
                <w:rFonts w:ascii="宋体" w:hAnsi="宋体"/>
              </w:rPr>
              <w:t xml:space="preserve"> 22″液晶</w:t>
            </w:r>
          </w:p>
        </w:tc>
        <w:tc>
          <w:tcPr>
            <w:tcW w:w="668" w:type="pct"/>
            <w:shd w:val="clear" w:color="auto" w:fill="auto"/>
            <w:vAlign w:val="center"/>
          </w:tcPr>
          <w:p>
            <w:pPr>
              <w:adjustRightInd w:val="0"/>
              <w:snapToGrid w:val="0"/>
              <w:rPr>
                <w:rFonts w:ascii="宋体" w:hAnsi="宋体"/>
              </w:rPr>
            </w:pPr>
            <w:r>
              <w:rPr>
                <w:rFonts w:ascii="宋体" w:hAnsi="宋体"/>
              </w:rPr>
              <w:t>　</w:t>
            </w:r>
          </w:p>
        </w:tc>
        <w:tc>
          <w:tcPr>
            <w:tcW w:w="664" w:type="pct"/>
            <w:shd w:val="clear" w:color="auto" w:fill="auto"/>
            <w:vAlign w:val="center"/>
          </w:tcPr>
          <w:p>
            <w:pPr>
              <w:adjustRightInd w:val="0"/>
              <w:snapToGrid w:val="0"/>
              <w:rPr>
                <w:rFonts w:ascii="宋体" w:hAnsi="宋体"/>
              </w:rPr>
            </w:pPr>
            <w:r>
              <w:rPr>
                <w:rFonts w:ascii="宋体" w:hAnsi="宋体"/>
              </w:rPr>
              <w:t>　</w:t>
            </w: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w:t>
      </w:r>
      <w:r>
        <w:rPr>
          <w:rFonts w:ascii="宋体" w:hAnsi="宋体"/>
        </w:rPr>
        <w:t>.3.2.</w:t>
      </w:r>
      <w:r>
        <w:rPr>
          <w:rFonts w:hint="eastAsia" w:ascii="宋体" w:hAnsi="宋体"/>
        </w:rPr>
        <w:t>2</w:t>
      </w:r>
      <w:r>
        <w:rPr>
          <w:rFonts w:ascii="宋体" w:hAnsi="宋体"/>
        </w:rPr>
        <w:t xml:space="preserve">  </w:t>
      </w:r>
      <w:r>
        <w:rPr>
          <w:rFonts w:hint="eastAsia" w:ascii="宋体" w:hAnsi="宋体"/>
        </w:rPr>
        <w:t>工程师</w:t>
      </w:r>
      <w:r>
        <w:rPr>
          <w:rFonts w:ascii="宋体" w:hAnsi="宋体"/>
        </w:rPr>
        <w:t>站</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72"/>
        <w:gridCol w:w="3315"/>
        <w:gridCol w:w="1764"/>
        <w:gridCol w:w="1003"/>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60" w:type="pct"/>
            <w:shd w:val="clear" w:color="auto" w:fill="auto"/>
            <w:vAlign w:val="center"/>
          </w:tcPr>
          <w:p>
            <w:pPr>
              <w:adjustRightInd w:val="0"/>
              <w:snapToGrid w:val="0"/>
              <w:rPr>
                <w:rFonts w:ascii="宋体" w:hAnsi="宋体"/>
              </w:rPr>
            </w:pPr>
            <w:r>
              <w:rPr>
                <w:rFonts w:ascii="宋体" w:hAnsi="宋体"/>
              </w:rPr>
              <w:t>名称</w:t>
            </w:r>
          </w:p>
        </w:tc>
        <w:tc>
          <w:tcPr>
            <w:tcW w:w="1937" w:type="pct"/>
            <w:shd w:val="clear" w:color="auto" w:fill="auto"/>
            <w:vAlign w:val="center"/>
          </w:tcPr>
          <w:p>
            <w:pPr>
              <w:adjustRightInd w:val="0"/>
              <w:snapToGrid w:val="0"/>
              <w:rPr>
                <w:rFonts w:ascii="宋体" w:hAnsi="宋体"/>
              </w:rPr>
            </w:pPr>
            <w:r>
              <w:rPr>
                <w:rFonts w:ascii="宋体" w:hAnsi="宋体"/>
              </w:rPr>
              <w:t>性能要求参数</w:t>
            </w:r>
          </w:p>
        </w:tc>
        <w:tc>
          <w:tcPr>
            <w:tcW w:w="1031" w:type="pct"/>
            <w:shd w:val="clear" w:color="auto" w:fill="auto"/>
            <w:vAlign w:val="center"/>
          </w:tcPr>
          <w:p>
            <w:pPr>
              <w:adjustRightInd w:val="0"/>
              <w:snapToGrid w:val="0"/>
              <w:rPr>
                <w:rFonts w:ascii="宋体" w:hAnsi="宋体"/>
              </w:rPr>
            </w:pPr>
            <w:r>
              <w:rPr>
                <w:rFonts w:ascii="宋体" w:hAnsi="宋体"/>
              </w:rPr>
              <w:t>承包商响应参数</w:t>
            </w:r>
          </w:p>
        </w:tc>
        <w:tc>
          <w:tcPr>
            <w:tcW w:w="586"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86"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93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31"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93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31"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8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vAlign w:val="center"/>
          </w:tcPr>
          <w:p>
            <w:pPr>
              <w:adjustRightInd w:val="0"/>
              <w:snapToGrid w:val="0"/>
              <w:rPr>
                <w:rFonts w:ascii="宋体" w:hAnsi="宋体"/>
              </w:rPr>
            </w:pPr>
            <w:r>
              <w:rPr>
                <w:rFonts w:ascii="宋体" w:hAnsi="宋体"/>
              </w:rPr>
              <w:t>型号</w:t>
            </w:r>
          </w:p>
        </w:tc>
        <w:tc>
          <w:tcPr>
            <w:tcW w:w="1937" w:type="pct"/>
            <w:shd w:val="clear" w:color="auto" w:fill="auto"/>
            <w:vAlign w:val="center"/>
          </w:tcPr>
          <w:p>
            <w:pPr>
              <w:adjustRightInd w:val="0"/>
              <w:snapToGrid w:val="0"/>
              <w:rPr>
                <w:rFonts w:ascii="宋体" w:hAnsi="宋体"/>
              </w:rPr>
            </w:pPr>
            <w:r>
              <w:rPr>
                <w:rFonts w:ascii="宋体" w:hAnsi="宋体"/>
              </w:rPr>
              <w:t>　</w:t>
            </w:r>
          </w:p>
        </w:tc>
        <w:tc>
          <w:tcPr>
            <w:tcW w:w="1031"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vAlign w:val="center"/>
          </w:tcPr>
          <w:p>
            <w:pPr>
              <w:adjustRightInd w:val="0"/>
              <w:snapToGrid w:val="0"/>
              <w:rPr>
                <w:rFonts w:ascii="宋体" w:hAnsi="宋体"/>
              </w:rPr>
            </w:pPr>
            <w:r>
              <w:rPr>
                <w:rFonts w:ascii="宋体" w:hAnsi="宋体"/>
              </w:rPr>
              <w:t>主频</w:t>
            </w:r>
          </w:p>
        </w:tc>
        <w:tc>
          <w:tcPr>
            <w:tcW w:w="1937" w:type="pct"/>
            <w:shd w:val="clear" w:color="auto" w:fill="auto"/>
            <w:vAlign w:val="center"/>
          </w:tcPr>
          <w:p>
            <w:pPr>
              <w:adjustRightInd w:val="0"/>
              <w:snapToGrid w:val="0"/>
              <w:rPr>
                <w:rFonts w:ascii="宋体" w:hAnsi="宋体"/>
                <w:lang w:val="pt-BR"/>
              </w:rPr>
            </w:pPr>
            <w:r>
              <w:rPr>
                <w:rFonts w:hint="eastAsia" w:ascii="宋体" w:hAnsi="宋体"/>
                <w:lang w:val="pt-BR"/>
              </w:rPr>
              <w:t>不低于</w:t>
            </w:r>
            <w:r>
              <w:rPr>
                <w:rFonts w:ascii="宋体" w:hAnsi="宋体"/>
                <w:lang w:val="pt-BR"/>
              </w:rPr>
              <w:t xml:space="preserve">Intel </w:t>
            </w:r>
            <w:r>
              <w:rPr>
                <w:rFonts w:hint="eastAsia" w:ascii="宋体" w:hAnsi="宋体"/>
              </w:rPr>
              <w:t>Core i7 3.4GHz</w:t>
            </w:r>
          </w:p>
        </w:tc>
        <w:tc>
          <w:tcPr>
            <w:tcW w:w="1031" w:type="pct"/>
            <w:shd w:val="clear" w:color="auto" w:fill="auto"/>
            <w:vAlign w:val="center"/>
          </w:tcPr>
          <w:p>
            <w:pPr>
              <w:adjustRightInd w:val="0"/>
              <w:snapToGrid w:val="0"/>
              <w:rPr>
                <w:rFonts w:ascii="宋体" w:hAnsi="宋体"/>
                <w:lang w:val="pt-BR"/>
              </w:rPr>
            </w:pPr>
            <w:r>
              <w:rPr>
                <w:rFonts w:ascii="宋体" w:hAnsi="宋体"/>
              </w:rPr>
              <w:t>　</w:t>
            </w:r>
          </w:p>
        </w:tc>
        <w:tc>
          <w:tcPr>
            <w:tcW w:w="586" w:type="pct"/>
            <w:shd w:val="clear" w:color="auto" w:fill="auto"/>
            <w:vAlign w:val="center"/>
          </w:tcPr>
          <w:p>
            <w:pPr>
              <w:adjustRightInd w:val="0"/>
              <w:snapToGrid w:val="0"/>
              <w:rPr>
                <w:rFonts w:ascii="宋体" w:hAnsi="宋体"/>
                <w:lang w:val="pt-BR"/>
              </w:rPr>
            </w:pPr>
            <w:r>
              <w:rPr>
                <w:rFonts w:ascii="宋体" w:hAnsi="宋体"/>
              </w:rPr>
              <w:t>　</w:t>
            </w:r>
          </w:p>
        </w:tc>
        <w:tc>
          <w:tcPr>
            <w:tcW w:w="58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vAlign w:val="center"/>
          </w:tcPr>
          <w:p>
            <w:pPr>
              <w:adjustRightInd w:val="0"/>
              <w:snapToGrid w:val="0"/>
              <w:rPr>
                <w:rFonts w:ascii="宋体" w:hAnsi="宋体"/>
              </w:rPr>
            </w:pPr>
            <w:r>
              <w:rPr>
                <w:rFonts w:ascii="宋体" w:hAnsi="宋体"/>
              </w:rPr>
              <w:t>内存容量</w:t>
            </w:r>
          </w:p>
        </w:tc>
        <w:tc>
          <w:tcPr>
            <w:tcW w:w="1937" w:type="pct"/>
            <w:shd w:val="clear" w:color="auto" w:fill="auto"/>
            <w:vAlign w:val="center"/>
          </w:tcPr>
          <w:p>
            <w:pPr>
              <w:adjustRightInd w:val="0"/>
              <w:snapToGrid w:val="0"/>
              <w:rPr>
                <w:rFonts w:ascii="宋体" w:hAnsi="宋体"/>
              </w:rPr>
            </w:pPr>
            <w:r>
              <w:rPr>
                <w:rFonts w:ascii="宋体" w:hAnsi="宋体"/>
              </w:rPr>
              <w:t>4GB</w:t>
            </w:r>
          </w:p>
        </w:tc>
        <w:tc>
          <w:tcPr>
            <w:tcW w:w="1031"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vAlign w:val="center"/>
          </w:tcPr>
          <w:p>
            <w:pPr>
              <w:adjustRightInd w:val="0"/>
              <w:snapToGrid w:val="0"/>
              <w:rPr>
                <w:rFonts w:ascii="宋体" w:hAnsi="宋体"/>
              </w:rPr>
            </w:pPr>
            <w:r>
              <w:rPr>
                <w:rFonts w:ascii="宋体" w:hAnsi="宋体"/>
              </w:rPr>
              <w:t>硬盘容量</w:t>
            </w:r>
          </w:p>
        </w:tc>
        <w:tc>
          <w:tcPr>
            <w:tcW w:w="1937" w:type="pct"/>
            <w:shd w:val="clear" w:color="auto" w:fill="auto"/>
            <w:vAlign w:val="center"/>
          </w:tcPr>
          <w:p>
            <w:pPr>
              <w:adjustRightInd w:val="0"/>
              <w:snapToGrid w:val="0"/>
              <w:rPr>
                <w:rFonts w:ascii="宋体" w:hAnsi="宋体"/>
              </w:rPr>
            </w:pPr>
            <w:r>
              <w:rPr>
                <w:rFonts w:hint="eastAsia" w:ascii="宋体" w:hAnsi="宋体"/>
              </w:rPr>
              <w:t>500</w:t>
            </w:r>
            <w:r>
              <w:rPr>
                <w:rFonts w:ascii="宋体" w:hAnsi="宋体"/>
              </w:rPr>
              <w:t>G</w:t>
            </w:r>
          </w:p>
        </w:tc>
        <w:tc>
          <w:tcPr>
            <w:tcW w:w="1031"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vAlign w:val="center"/>
          </w:tcPr>
          <w:p>
            <w:pPr>
              <w:adjustRightInd w:val="0"/>
              <w:snapToGrid w:val="0"/>
              <w:rPr>
                <w:rFonts w:ascii="宋体" w:hAnsi="宋体"/>
              </w:rPr>
            </w:pPr>
            <w:r>
              <w:rPr>
                <w:rFonts w:ascii="宋体" w:hAnsi="宋体"/>
              </w:rPr>
              <w:t>通讯端口</w:t>
            </w:r>
          </w:p>
        </w:tc>
        <w:tc>
          <w:tcPr>
            <w:tcW w:w="1937" w:type="pct"/>
            <w:shd w:val="clear" w:color="auto" w:fill="auto"/>
            <w:vAlign w:val="center"/>
          </w:tcPr>
          <w:p>
            <w:pPr>
              <w:adjustRightInd w:val="0"/>
              <w:snapToGrid w:val="0"/>
              <w:rPr>
                <w:rFonts w:ascii="宋体" w:hAnsi="宋体"/>
              </w:rPr>
            </w:pPr>
            <w:r>
              <w:rPr>
                <w:rFonts w:ascii="宋体" w:hAnsi="宋体"/>
              </w:rPr>
              <w:t>自适应100/1000MBASE-TX网卡</w:t>
            </w:r>
          </w:p>
        </w:tc>
        <w:tc>
          <w:tcPr>
            <w:tcW w:w="1031"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vAlign w:val="center"/>
          </w:tcPr>
          <w:p>
            <w:pPr>
              <w:adjustRightInd w:val="0"/>
              <w:snapToGrid w:val="0"/>
              <w:rPr>
                <w:rFonts w:ascii="宋体" w:hAnsi="宋体"/>
              </w:rPr>
            </w:pPr>
            <w:r>
              <w:rPr>
                <w:rFonts w:ascii="宋体" w:hAnsi="宋体"/>
              </w:rPr>
              <w:t>光    驱</w:t>
            </w:r>
          </w:p>
        </w:tc>
        <w:tc>
          <w:tcPr>
            <w:tcW w:w="1937" w:type="pct"/>
            <w:shd w:val="clear" w:color="auto" w:fill="auto"/>
            <w:vAlign w:val="center"/>
          </w:tcPr>
          <w:p>
            <w:pPr>
              <w:adjustRightInd w:val="0"/>
              <w:snapToGrid w:val="0"/>
              <w:rPr>
                <w:rFonts w:ascii="宋体" w:hAnsi="宋体"/>
              </w:rPr>
            </w:pPr>
            <w:r>
              <w:rPr>
                <w:rFonts w:ascii="宋体" w:hAnsi="宋体"/>
              </w:rPr>
              <w:t>DVD刻录机，16X刻录速度，缓存8M</w:t>
            </w:r>
          </w:p>
        </w:tc>
        <w:tc>
          <w:tcPr>
            <w:tcW w:w="1031"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0" w:type="pct"/>
            <w:shd w:val="clear" w:color="auto" w:fill="auto"/>
            <w:vAlign w:val="center"/>
          </w:tcPr>
          <w:p>
            <w:pPr>
              <w:adjustRightInd w:val="0"/>
              <w:snapToGrid w:val="0"/>
              <w:rPr>
                <w:rFonts w:ascii="宋体" w:hAnsi="宋体"/>
              </w:rPr>
            </w:pPr>
            <w:r>
              <w:rPr>
                <w:rFonts w:ascii="宋体" w:hAnsi="宋体"/>
              </w:rPr>
              <w:t>显示器</w:t>
            </w:r>
          </w:p>
        </w:tc>
        <w:tc>
          <w:tcPr>
            <w:tcW w:w="1937" w:type="pct"/>
            <w:shd w:val="clear" w:color="auto" w:fill="auto"/>
            <w:vAlign w:val="center"/>
          </w:tcPr>
          <w:p>
            <w:pPr>
              <w:adjustRightInd w:val="0"/>
              <w:snapToGrid w:val="0"/>
              <w:rPr>
                <w:rFonts w:ascii="宋体" w:hAnsi="宋体"/>
              </w:rPr>
            </w:pPr>
            <w:r>
              <w:rPr>
                <w:rFonts w:hint="eastAsia" w:ascii="宋体" w:hAnsi="宋体"/>
              </w:rPr>
              <w:t>15</w:t>
            </w:r>
            <w:r>
              <w:rPr>
                <w:rFonts w:ascii="宋体" w:hAnsi="宋体"/>
              </w:rPr>
              <w:t xml:space="preserve">”液晶 </w:t>
            </w:r>
          </w:p>
        </w:tc>
        <w:tc>
          <w:tcPr>
            <w:tcW w:w="1031"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r>
              <w:rPr>
                <w:rFonts w:ascii="宋体" w:hAnsi="宋体"/>
              </w:rPr>
              <w:t>　</w:t>
            </w:r>
          </w:p>
        </w:tc>
        <w:tc>
          <w:tcPr>
            <w:tcW w:w="586"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bookmarkStart w:id="7542" w:name="_Toc106050685"/>
      <w:r>
        <w:rPr>
          <w:rFonts w:hint="eastAsia" w:ascii="宋体" w:hAnsi="宋体"/>
        </w:rPr>
        <w:t>11</w:t>
      </w:r>
      <w:r>
        <w:rPr>
          <w:rFonts w:ascii="宋体" w:hAnsi="宋体"/>
        </w:rPr>
        <w:t xml:space="preserve">.3.2.2  </w:t>
      </w:r>
      <w:r>
        <w:rPr>
          <w:rFonts w:hint="eastAsia" w:ascii="宋体" w:hAnsi="宋体"/>
        </w:rPr>
        <w:t>网管</w:t>
      </w:r>
      <w:r>
        <w:rPr>
          <w:rFonts w:ascii="宋体" w:hAnsi="宋体"/>
        </w:rPr>
        <w:t>交换机</w:t>
      </w:r>
      <w:bookmarkEnd w:id="7542"/>
    </w:p>
    <w:tbl>
      <w:tblPr>
        <w:tblStyle w:val="7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268"/>
        <w:gridCol w:w="2873"/>
        <w:gridCol w:w="1482"/>
        <w:gridCol w:w="967"/>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jc w:val="center"/>
              <w:rPr>
                <w:rFonts w:ascii="宋体" w:hAnsi="宋体"/>
              </w:rPr>
            </w:pPr>
            <w:r>
              <w:rPr>
                <w:rFonts w:ascii="宋体" w:hAnsi="宋体"/>
              </w:rPr>
              <w:t>名称</w:t>
            </w:r>
          </w:p>
        </w:tc>
        <w:tc>
          <w:tcPr>
            <w:tcW w:w="1679" w:type="pct"/>
            <w:shd w:val="clear" w:color="auto" w:fill="auto"/>
            <w:vAlign w:val="center"/>
          </w:tcPr>
          <w:p>
            <w:pPr>
              <w:adjustRightInd w:val="0"/>
              <w:snapToGrid w:val="0"/>
              <w:jc w:val="center"/>
              <w:rPr>
                <w:rFonts w:ascii="宋体" w:hAnsi="宋体"/>
              </w:rPr>
            </w:pPr>
            <w:r>
              <w:rPr>
                <w:rFonts w:ascii="宋体" w:hAnsi="宋体"/>
              </w:rPr>
              <w:t>性能要求参数</w:t>
            </w:r>
          </w:p>
        </w:tc>
        <w:tc>
          <w:tcPr>
            <w:tcW w:w="866" w:type="pct"/>
            <w:shd w:val="clear" w:color="auto" w:fill="auto"/>
            <w:vAlign w:val="center"/>
          </w:tcPr>
          <w:p>
            <w:pPr>
              <w:adjustRightInd w:val="0"/>
              <w:snapToGrid w:val="0"/>
              <w:jc w:val="center"/>
              <w:rPr>
                <w:rFonts w:ascii="宋体" w:hAnsi="宋体"/>
              </w:rPr>
            </w:pPr>
            <w:r>
              <w:rPr>
                <w:rFonts w:ascii="宋体" w:hAnsi="宋体"/>
              </w:rPr>
              <w:t>承包商响应参数</w:t>
            </w:r>
          </w:p>
        </w:tc>
        <w:tc>
          <w:tcPr>
            <w:tcW w:w="565"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64"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67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6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6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6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67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6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6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64"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型号</w:t>
            </w:r>
          </w:p>
        </w:tc>
        <w:tc>
          <w:tcPr>
            <w:tcW w:w="1679" w:type="pct"/>
            <w:shd w:val="clear" w:color="auto" w:fill="auto"/>
            <w:vAlign w:val="center"/>
          </w:tcPr>
          <w:p>
            <w:pPr>
              <w:adjustRightInd w:val="0"/>
              <w:snapToGrid w:val="0"/>
              <w:rPr>
                <w:rFonts w:ascii="宋体" w:hAnsi="宋体"/>
              </w:rPr>
            </w:pPr>
            <w:r>
              <w:rPr>
                <w:rFonts w:ascii="宋体" w:hAnsi="宋体"/>
              </w:rPr>
              <w:t>　</w:t>
            </w:r>
          </w:p>
        </w:tc>
        <w:tc>
          <w:tcPr>
            <w:tcW w:w="866" w:type="pct"/>
            <w:shd w:val="clear" w:color="auto" w:fill="auto"/>
            <w:vAlign w:val="center"/>
          </w:tcPr>
          <w:p>
            <w:pPr>
              <w:adjustRightInd w:val="0"/>
              <w:snapToGrid w:val="0"/>
              <w:rPr>
                <w:rFonts w:ascii="宋体" w:hAnsi="宋体"/>
              </w:rPr>
            </w:pPr>
            <w:r>
              <w:rPr>
                <w:rFonts w:ascii="宋体" w:hAnsi="宋体"/>
              </w:rPr>
              <w:t>　</w:t>
            </w:r>
          </w:p>
        </w:tc>
        <w:tc>
          <w:tcPr>
            <w:tcW w:w="565" w:type="pct"/>
            <w:shd w:val="clear" w:color="auto" w:fill="auto"/>
            <w:vAlign w:val="center"/>
          </w:tcPr>
          <w:p>
            <w:pPr>
              <w:adjustRightInd w:val="0"/>
              <w:snapToGrid w:val="0"/>
              <w:rPr>
                <w:rFonts w:ascii="宋体" w:hAnsi="宋体"/>
              </w:rPr>
            </w:pPr>
            <w:r>
              <w:rPr>
                <w:rFonts w:ascii="宋体" w:hAnsi="宋体"/>
              </w:rPr>
              <w:t>　</w:t>
            </w:r>
          </w:p>
        </w:tc>
        <w:tc>
          <w:tcPr>
            <w:tcW w:w="56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网络速度</w:t>
            </w:r>
          </w:p>
        </w:tc>
        <w:tc>
          <w:tcPr>
            <w:tcW w:w="1679" w:type="pct"/>
            <w:shd w:val="clear" w:color="auto" w:fill="auto"/>
            <w:vAlign w:val="center"/>
          </w:tcPr>
          <w:p>
            <w:pPr>
              <w:adjustRightInd w:val="0"/>
              <w:snapToGrid w:val="0"/>
              <w:rPr>
                <w:rFonts w:ascii="宋体" w:hAnsi="宋体"/>
              </w:rPr>
            </w:pPr>
            <w:r>
              <w:rPr>
                <w:rFonts w:ascii="宋体" w:hAnsi="宋体"/>
              </w:rPr>
              <w:t>100</w:t>
            </w:r>
            <w:r>
              <w:rPr>
                <w:rFonts w:hint="eastAsia" w:ascii="宋体" w:hAnsi="宋体"/>
              </w:rPr>
              <w:t>0</w:t>
            </w:r>
            <w:r>
              <w:rPr>
                <w:rFonts w:ascii="宋体" w:hAnsi="宋体"/>
              </w:rPr>
              <w:t>Mbps</w:t>
            </w:r>
          </w:p>
        </w:tc>
        <w:tc>
          <w:tcPr>
            <w:tcW w:w="866" w:type="pct"/>
            <w:shd w:val="clear" w:color="auto" w:fill="auto"/>
            <w:vAlign w:val="center"/>
          </w:tcPr>
          <w:p>
            <w:pPr>
              <w:adjustRightInd w:val="0"/>
              <w:snapToGrid w:val="0"/>
              <w:rPr>
                <w:rFonts w:ascii="宋体" w:hAnsi="宋体"/>
              </w:rPr>
            </w:pPr>
            <w:r>
              <w:rPr>
                <w:rFonts w:ascii="宋体" w:hAnsi="宋体"/>
              </w:rPr>
              <w:t>　</w:t>
            </w:r>
          </w:p>
        </w:tc>
        <w:tc>
          <w:tcPr>
            <w:tcW w:w="565" w:type="pct"/>
            <w:shd w:val="clear" w:color="auto" w:fill="auto"/>
            <w:vAlign w:val="center"/>
          </w:tcPr>
          <w:p>
            <w:pPr>
              <w:adjustRightInd w:val="0"/>
              <w:snapToGrid w:val="0"/>
              <w:rPr>
                <w:rFonts w:ascii="宋体" w:hAnsi="宋体"/>
              </w:rPr>
            </w:pPr>
            <w:r>
              <w:rPr>
                <w:rFonts w:ascii="宋体" w:hAnsi="宋体"/>
              </w:rPr>
              <w:t>　</w:t>
            </w:r>
          </w:p>
        </w:tc>
        <w:tc>
          <w:tcPr>
            <w:tcW w:w="56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快速冗余环功能</w:t>
            </w:r>
          </w:p>
        </w:tc>
        <w:tc>
          <w:tcPr>
            <w:tcW w:w="1679" w:type="pct"/>
            <w:shd w:val="clear" w:color="auto" w:fill="auto"/>
            <w:vAlign w:val="center"/>
          </w:tcPr>
          <w:p>
            <w:pPr>
              <w:adjustRightInd w:val="0"/>
              <w:snapToGrid w:val="0"/>
              <w:rPr>
                <w:rFonts w:ascii="宋体" w:hAnsi="宋体"/>
              </w:rPr>
            </w:pPr>
            <w:r>
              <w:rPr>
                <w:rFonts w:ascii="宋体" w:hAnsi="宋体"/>
              </w:rPr>
              <w:t>有</w:t>
            </w:r>
          </w:p>
        </w:tc>
        <w:tc>
          <w:tcPr>
            <w:tcW w:w="866" w:type="pct"/>
            <w:shd w:val="clear" w:color="auto" w:fill="auto"/>
            <w:vAlign w:val="center"/>
          </w:tcPr>
          <w:p>
            <w:pPr>
              <w:adjustRightInd w:val="0"/>
              <w:snapToGrid w:val="0"/>
              <w:rPr>
                <w:rFonts w:ascii="宋体" w:hAnsi="宋体"/>
              </w:rPr>
            </w:pPr>
            <w:r>
              <w:rPr>
                <w:rFonts w:ascii="宋体" w:hAnsi="宋体"/>
              </w:rPr>
              <w:t>　</w:t>
            </w:r>
          </w:p>
        </w:tc>
        <w:tc>
          <w:tcPr>
            <w:tcW w:w="565" w:type="pct"/>
            <w:shd w:val="clear" w:color="auto" w:fill="auto"/>
            <w:vAlign w:val="center"/>
          </w:tcPr>
          <w:p>
            <w:pPr>
              <w:adjustRightInd w:val="0"/>
              <w:snapToGrid w:val="0"/>
              <w:rPr>
                <w:rFonts w:ascii="宋体" w:hAnsi="宋体"/>
              </w:rPr>
            </w:pPr>
            <w:r>
              <w:rPr>
                <w:rFonts w:ascii="宋体" w:hAnsi="宋体"/>
              </w:rPr>
              <w:t>　</w:t>
            </w:r>
          </w:p>
        </w:tc>
        <w:tc>
          <w:tcPr>
            <w:tcW w:w="56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切换时间</w:t>
            </w:r>
          </w:p>
        </w:tc>
        <w:tc>
          <w:tcPr>
            <w:tcW w:w="1679" w:type="pct"/>
            <w:shd w:val="clear" w:color="auto" w:fill="auto"/>
            <w:vAlign w:val="center"/>
          </w:tcPr>
          <w:p>
            <w:pPr>
              <w:adjustRightInd w:val="0"/>
              <w:snapToGrid w:val="0"/>
              <w:rPr>
                <w:rFonts w:ascii="宋体" w:hAnsi="宋体"/>
              </w:rPr>
            </w:pPr>
            <w:r>
              <w:rPr>
                <w:rFonts w:ascii="宋体" w:hAnsi="宋体"/>
              </w:rPr>
              <w:t>小于500ms</w:t>
            </w:r>
          </w:p>
        </w:tc>
        <w:tc>
          <w:tcPr>
            <w:tcW w:w="866" w:type="pct"/>
            <w:shd w:val="clear" w:color="auto" w:fill="auto"/>
            <w:vAlign w:val="center"/>
          </w:tcPr>
          <w:p>
            <w:pPr>
              <w:adjustRightInd w:val="0"/>
              <w:snapToGrid w:val="0"/>
              <w:rPr>
                <w:rFonts w:ascii="宋体" w:hAnsi="宋体"/>
              </w:rPr>
            </w:pPr>
            <w:r>
              <w:rPr>
                <w:rFonts w:ascii="宋体" w:hAnsi="宋体"/>
              </w:rPr>
              <w:t>　</w:t>
            </w:r>
          </w:p>
        </w:tc>
        <w:tc>
          <w:tcPr>
            <w:tcW w:w="565" w:type="pct"/>
            <w:shd w:val="clear" w:color="auto" w:fill="auto"/>
            <w:vAlign w:val="center"/>
          </w:tcPr>
          <w:p>
            <w:pPr>
              <w:adjustRightInd w:val="0"/>
              <w:snapToGrid w:val="0"/>
              <w:rPr>
                <w:rFonts w:ascii="宋体" w:hAnsi="宋体"/>
              </w:rPr>
            </w:pPr>
            <w:r>
              <w:rPr>
                <w:rFonts w:ascii="宋体" w:hAnsi="宋体"/>
              </w:rPr>
              <w:t>　</w:t>
            </w:r>
          </w:p>
        </w:tc>
        <w:tc>
          <w:tcPr>
            <w:tcW w:w="56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hint="eastAsia" w:ascii="宋体" w:hAnsi="宋体"/>
              </w:rPr>
              <w:t>光口数量</w:t>
            </w:r>
          </w:p>
        </w:tc>
        <w:tc>
          <w:tcPr>
            <w:tcW w:w="1679" w:type="pct"/>
            <w:shd w:val="clear" w:color="auto" w:fill="auto"/>
            <w:vAlign w:val="center"/>
          </w:tcPr>
          <w:p>
            <w:pPr>
              <w:adjustRightInd w:val="0"/>
              <w:snapToGrid w:val="0"/>
              <w:rPr>
                <w:rFonts w:ascii="宋体" w:hAnsi="宋体"/>
              </w:rPr>
            </w:pPr>
            <w:r>
              <w:rPr>
                <w:rFonts w:hint="eastAsia" w:ascii="宋体" w:hAnsi="宋体"/>
              </w:rPr>
              <w:t>2个</w:t>
            </w:r>
          </w:p>
        </w:tc>
        <w:tc>
          <w:tcPr>
            <w:tcW w:w="866" w:type="pct"/>
            <w:shd w:val="clear" w:color="auto" w:fill="auto"/>
            <w:vAlign w:val="center"/>
          </w:tcPr>
          <w:p>
            <w:pPr>
              <w:adjustRightInd w:val="0"/>
              <w:snapToGrid w:val="0"/>
              <w:rPr>
                <w:rFonts w:ascii="宋体" w:hAnsi="宋体"/>
              </w:rPr>
            </w:pPr>
            <w:r>
              <w:rPr>
                <w:rFonts w:ascii="宋体" w:hAnsi="宋体"/>
              </w:rPr>
              <w:t>　</w:t>
            </w:r>
          </w:p>
        </w:tc>
        <w:tc>
          <w:tcPr>
            <w:tcW w:w="565" w:type="pct"/>
            <w:shd w:val="clear" w:color="auto" w:fill="auto"/>
            <w:vAlign w:val="center"/>
          </w:tcPr>
          <w:p>
            <w:pPr>
              <w:adjustRightInd w:val="0"/>
              <w:snapToGrid w:val="0"/>
              <w:rPr>
                <w:rFonts w:ascii="宋体" w:hAnsi="宋体"/>
              </w:rPr>
            </w:pPr>
            <w:r>
              <w:rPr>
                <w:rFonts w:ascii="宋体" w:hAnsi="宋体"/>
              </w:rPr>
              <w:t>　</w:t>
            </w:r>
          </w:p>
        </w:tc>
        <w:tc>
          <w:tcPr>
            <w:tcW w:w="56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工作温度</w:t>
            </w:r>
          </w:p>
        </w:tc>
        <w:tc>
          <w:tcPr>
            <w:tcW w:w="1679" w:type="pct"/>
            <w:shd w:val="clear" w:color="auto" w:fill="auto"/>
            <w:vAlign w:val="center"/>
          </w:tcPr>
          <w:p>
            <w:pPr>
              <w:adjustRightInd w:val="0"/>
              <w:snapToGrid w:val="0"/>
              <w:rPr>
                <w:rFonts w:ascii="宋体" w:hAnsi="宋体"/>
              </w:rPr>
            </w:pPr>
            <w:r>
              <w:rPr>
                <w:rFonts w:ascii="宋体" w:hAnsi="宋体"/>
              </w:rPr>
              <w:t>0- 55</w:t>
            </w:r>
            <w:r>
              <w:rPr>
                <w:rFonts w:hint="eastAsia" w:ascii="宋体" w:hAnsi="宋体"/>
              </w:rPr>
              <w:t>℃</w:t>
            </w:r>
          </w:p>
        </w:tc>
        <w:tc>
          <w:tcPr>
            <w:tcW w:w="866" w:type="pct"/>
            <w:shd w:val="clear" w:color="auto" w:fill="auto"/>
            <w:vAlign w:val="center"/>
          </w:tcPr>
          <w:p>
            <w:pPr>
              <w:adjustRightInd w:val="0"/>
              <w:snapToGrid w:val="0"/>
              <w:rPr>
                <w:rFonts w:ascii="宋体" w:hAnsi="宋体"/>
              </w:rPr>
            </w:pPr>
            <w:r>
              <w:rPr>
                <w:rFonts w:ascii="宋体" w:hAnsi="宋体"/>
              </w:rPr>
              <w:t>　</w:t>
            </w:r>
          </w:p>
        </w:tc>
        <w:tc>
          <w:tcPr>
            <w:tcW w:w="565" w:type="pct"/>
            <w:shd w:val="clear" w:color="auto" w:fill="auto"/>
            <w:vAlign w:val="center"/>
          </w:tcPr>
          <w:p>
            <w:pPr>
              <w:adjustRightInd w:val="0"/>
              <w:snapToGrid w:val="0"/>
              <w:rPr>
                <w:rFonts w:ascii="宋体" w:hAnsi="宋体"/>
              </w:rPr>
            </w:pPr>
            <w:r>
              <w:rPr>
                <w:rFonts w:ascii="宋体" w:hAnsi="宋体"/>
              </w:rPr>
              <w:t>　</w:t>
            </w:r>
          </w:p>
        </w:tc>
        <w:tc>
          <w:tcPr>
            <w:tcW w:w="56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rPr>
                <w:rFonts w:ascii="宋体" w:hAnsi="宋体"/>
              </w:rPr>
            </w:pPr>
            <w:r>
              <w:rPr>
                <w:rFonts w:ascii="宋体" w:hAnsi="宋体"/>
              </w:rPr>
              <w:t>电磁干扰特性</w:t>
            </w:r>
          </w:p>
        </w:tc>
        <w:tc>
          <w:tcPr>
            <w:tcW w:w="1679" w:type="pct"/>
            <w:shd w:val="clear" w:color="auto" w:fill="auto"/>
            <w:vAlign w:val="center"/>
          </w:tcPr>
          <w:p>
            <w:pPr>
              <w:adjustRightInd w:val="0"/>
              <w:snapToGrid w:val="0"/>
              <w:rPr>
                <w:rFonts w:ascii="宋体" w:hAnsi="宋体"/>
              </w:rPr>
            </w:pPr>
            <w:r>
              <w:rPr>
                <w:rFonts w:ascii="宋体" w:hAnsi="宋体"/>
              </w:rPr>
              <w:t>EN 55022 Class A, CFR-47 Part 15 Class A</w:t>
            </w:r>
          </w:p>
        </w:tc>
        <w:tc>
          <w:tcPr>
            <w:tcW w:w="866" w:type="pct"/>
            <w:shd w:val="clear" w:color="auto" w:fill="auto"/>
            <w:vAlign w:val="center"/>
          </w:tcPr>
          <w:p>
            <w:pPr>
              <w:adjustRightInd w:val="0"/>
              <w:snapToGrid w:val="0"/>
              <w:rPr>
                <w:rFonts w:ascii="宋体" w:hAnsi="宋体"/>
              </w:rPr>
            </w:pPr>
            <w:r>
              <w:rPr>
                <w:rFonts w:ascii="宋体" w:hAnsi="宋体"/>
              </w:rPr>
              <w:t>　</w:t>
            </w:r>
          </w:p>
        </w:tc>
        <w:tc>
          <w:tcPr>
            <w:tcW w:w="565" w:type="pct"/>
            <w:shd w:val="clear" w:color="auto" w:fill="auto"/>
            <w:vAlign w:val="center"/>
          </w:tcPr>
          <w:p>
            <w:pPr>
              <w:adjustRightInd w:val="0"/>
              <w:snapToGrid w:val="0"/>
              <w:rPr>
                <w:rFonts w:ascii="宋体" w:hAnsi="宋体"/>
              </w:rPr>
            </w:pPr>
            <w:r>
              <w:rPr>
                <w:rFonts w:ascii="宋体" w:hAnsi="宋体"/>
              </w:rPr>
              <w:t>　</w:t>
            </w:r>
          </w:p>
        </w:tc>
        <w:tc>
          <w:tcPr>
            <w:tcW w:w="564"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326" w:type="pct"/>
            <w:shd w:val="clear" w:color="auto" w:fill="auto"/>
            <w:vAlign w:val="center"/>
          </w:tcPr>
          <w:p>
            <w:pPr>
              <w:adjustRightInd w:val="0"/>
              <w:snapToGrid w:val="0"/>
              <w:jc w:val="left"/>
              <w:rPr>
                <w:rFonts w:ascii="宋体" w:hAnsi="宋体"/>
              </w:rPr>
            </w:pPr>
            <w:r>
              <w:rPr>
                <w:rFonts w:ascii="宋体" w:hAnsi="宋体"/>
              </w:rPr>
              <w:t>应支持100Base-TX/10Base-TX或100Base-FX/10Base-FX端口数</w:t>
            </w:r>
          </w:p>
        </w:tc>
        <w:tc>
          <w:tcPr>
            <w:tcW w:w="1679" w:type="pct"/>
            <w:shd w:val="clear" w:color="auto" w:fill="auto"/>
            <w:vAlign w:val="center"/>
          </w:tcPr>
          <w:p>
            <w:pPr>
              <w:adjustRightInd w:val="0"/>
              <w:snapToGrid w:val="0"/>
              <w:rPr>
                <w:rFonts w:ascii="宋体" w:hAnsi="宋体"/>
              </w:rPr>
            </w:pPr>
            <w:r>
              <w:rPr>
                <w:rFonts w:ascii="宋体" w:hAnsi="宋体"/>
              </w:rPr>
              <w:t>不少于24个</w:t>
            </w:r>
          </w:p>
        </w:tc>
        <w:tc>
          <w:tcPr>
            <w:tcW w:w="866" w:type="pct"/>
            <w:shd w:val="clear" w:color="auto" w:fill="auto"/>
            <w:vAlign w:val="center"/>
          </w:tcPr>
          <w:p>
            <w:pPr>
              <w:adjustRightInd w:val="0"/>
              <w:snapToGrid w:val="0"/>
              <w:rPr>
                <w:rFonts w:ascii="宋体" w:hAnsi="宋体"/>
              </w:rPr>
            </w:pPr>
            <w:r>
              <w:rPr>
                <w:rFonts w:ascii="宋体" w:hAnsi="宋体"/>
              </w:rPr>
              <w:t>　</w:t>
            </w:r>
          </w:p>
        </w:tc>
        <w:tc>
          <w:tcPr>
            <w:tcW w:w="565" w:type="pct"/>
            <w:shd w:val="clear" w:color="auto" w:fill="auto"/>
            <w:vAlign w:val="center"/>
          </w:tcPr>
          <w:p>
            <w:pPr>
              <w:adjustRightInd w:val="0"/>
              <w:snapToGrid w:val="0"/>
              <w:rPr>
                <w:rFonts w:ascii="宋体" w:hAnsi="宋体"/>
              </w:rPr>
            </w:pPr>
            <w:r>
              <w:rPr>
                <w:rFonts w:ascii="宋体" w:hAnsi="宋体"/>
              </w:rPr>
              <w:t>　</w:t>
            </w:r>
          </w:p>
        </w:tc>
        <w:tc>
          <w:tcPr>
            <w:tcW w:w="564"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w:t>
      </w:r>
      <w:r>
        <w:rPr>
          <w:rFonts w:ascii="宋体" w:hAnsi="宋体"/>
        </w:rPr>
        <w:t>.3.2.</w:t>
      </w:r>
      <w:r>
        <w:rPr>
          <w:rFonts w:hint="eastAsia" w:ascii="宋体" w:hAnsi="宋体"/>
        </w:rPr>
        <w:t>3</w:t>
      </w:r>
      <w:r>
        <w:rPr>
          <w:rFonts w:ascii="宋体" w:hAnsi="宋体"/>
        </w:rPr>
        <w:t xml:space="preserve"> 不间断电源</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87"/>
        <w:gridCol w:w="2538"/>
        <w:gridCol w:w="129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名称</w:t>
            </w:r>
          </w:p>
        </w:tc>
        <w:tc>
          <w:tcPr>
            <w:tcW w:w="1483" w:type="pct"/>
            <w:shd w:val="clear" w:color="auto" w:fill="auto"/>
            <w:vAlign w:val="center"/>
          </w:tcPr>
          <w:p>
            <w:pPr>
              <w:adjustRightInd w:val="0"/>
              <w:snapToGrid w:val="0"/>
              <w:rPr>
                <w:rFonts w:ascii="宋体" w:hAnsi="宋体"/>
              </w:rPr>
            </w:pPr>
            <w:r>
              <w:rPr>
                <w:rFonts w:ascii="宋体" w:hAnsi="宋体"/>
              </w:rPr>
              <w:t>性能要求参数</w:t>
            </w:r>
          </w:p>
        </w:tc>
        <w:tc>
          <w:tcPr>
            <w:tcW w:w="754" w:type="pct"/>
            <w:shd w:val="clear" w:color="auto" w:fill="auto"/>
            <w:vAlign w:val="center"/>
          </w:tcPr>
          <w:p>
            <w:pPr>
              <w:adjustRightInd w:val="0"/>
              <w:snapToGrid w:val="0"/>
              <w:rPr>
                <w:rFonts w:ascii="宋体" w:hAnsi="宋体"/>
              </w:rPr>
            </w:pPr>
            <w:r>
              <w:rPr>
                <w:rFonts w:ascii="宋体" w:hAnsi="宋体"/>
              </w:rPr>
              <w:t>承包商响应参数</w:t>
            </w:r>
          </w:p>
        </w:tc>
        <w:tc>
          <w:tcPr>
            <w:tcW w:w="947"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47"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4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4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4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48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4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47"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型号</w:t>
            </w:r>
          </w:p>
        </w:tc>
        <w:tc>
          <w:tcPr>
            <w:tcW w:w="1483" w:type="pct"/>
            <w:shd w:val="clear" w:color="auto" w:fill="auto"/>
            <w:vAlign w:val="center"/>
          </w:tcPr>
          <w:p>
            <w:pPr>
              <w:adjustRightInd w:val="0"/>
              <w:snapToGrid w:val="0"/>
              <w:rPr>
                <w:rFonts w:ascii="宋体" w:hAnsi="宋体"/>
              </w:rPr>
            </w:pPr>
            <w:r>
              <w:rPr>
                <w:rFonts w:ascii="宋体" w:hAnsi="宋体"/>
              </w:rPr>
              <w:t>　</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输入电压：</w:t>
            </w:r>
          </w:p>
        </w:tc>
        <w:tc>
          <w:tcPr>
            <w:tcW w:w="1483" w:type="pct"/>
            <w:shd w:val="clear" w:color="auto" w:fill="auto"/>
            <w:vAlign w:val="center"/>
          </w:tcPr>
          <w:p>
            <w:pPr>
              <w:adjustRightInd w:val="0"/>
              <w:snapToGrid w:val="0"/>
              <w:rPr>
                <w:rFonts w:ascii="宋体" w:hAnsi="宋体"/>
              </w:rPr>
            </w:pPr>
            <w:r>
              <w:rPr>
                <w:rFonts w:ascii="宋体" w:hAnsi="宋体"/>
              </w:rPr>
              <w:t>AC380/220V+/-20%，50Hz+/-10%</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输入电流失真：</w:t>
            </w:r>
          </w:p>
        </w:tc>
        <w:tc>
          <w:tcPr>
            <w:tcW w:w="1483" w:type="pct"/>
            <w:shd w:val="clear" w:color="auto" w:fill="auto"/>
            <w:vAlign w:val="center"/>
          </w:tcPr>
          <w:p>
            <w:pPr>
              <w:adjustRightInd w:val="0"/>
              <w:snapToGrid w:val="0"/>
              <w:rPr>
                <w:rFonts w:ascii="宋体" w:hAnsi="宋体"/>
              </w:rPr>
            </w:pPr>
            <w:r>
              <w:rPr>
                <w:rFonts w:ascii="宋体" w:hAnsi="宋体"/>
              </w:rPr>
              <w:t>总谐波失真&lt;10%</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输出电压：</w:t>
            </w:r>
          </w:p>
        </w:tc>
        <w:tc>
          <w:tcPr>
            <w:tcW w:w="1483" w:type="pct"/>
            <w:shd w:val="clear" w:color="auto" w:fill="auto"/>
            <w:vAlign w:val="center"/>
          </w:tcPr>
          <w:p>
            <w:pPr>
              <w:adjustRightInd w:val="0"/>
              <w:snapToGrid w:val="0"/>
              <w:rPr>
                <w:rFonts w:ascii="宋体" w:hAnsi="宋体"/>
              </w:rPr>
            </w:pPr>
            <w:r>
              <w:rPr>
                <w:rFonts w:ascii="宋体" w:hAnsi="宋体"/>
              </w:rPr>
              <w:t>AC220V±1%</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输出接线：</w:t>
            </w:r>
          </w:p>
        </w:tc>
        <w:tc>
          <w:tcPr>
            <w:tcW w:w="1483" w:type="pct"/>
            <w:shd w:val="clear" w:color="auto" w:fill="auto"/>
            <w:vAlign w:val="center"/>
          </w:tcPr>
          <w:p>
            <w:pPr>
              <w:adjustRightInd w:val="0"/>
              <w:snapToGrid w:val="0"/>
              <w:rPr>
                <w:rFonts w:ascii="宋体" w:hAnsi="宋体"/>
              </w:rPr>
            </w:pPr>
            <w:r>
              <w:rPr>
                <w:rFonts w:ascii="宋体" w:hAnsi="宋体"/>
              </w:rPr>
              <w:t>单相两线加PE线</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输出波形：</w:t>
            </w:r>
          </w:p>
        </w:tc>
        <w:tc>
          <w:tcPr>
            <w:tcW w:w="1483" w:type="pct"/>
            <w:shd w:val="clear" w:color="auto" w:fill="auto"/>
            <w:vAlign w:val="center"/>
          </w:tcPr>
          <w:p>
            <w:pPr>
              <w:adjustRightInd w:val="0"/>
              <w:snapToGrid w:val="0"/>
              <w:rPr>
                <w:rFonts w:ascii="宋体" w:hAnsi="宋体"/>
              </w:rPr>
            </w:pPr>
            <w:r>
              <w:rPr>
                <w:rFonts w:ascii="宋体" w:hAnsi="宋体"/>
              </w:rPr>
              <w:t>正弦波，谐波失真≤3%THD</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输出频率：</w:t>
            </w:r>
          </w:p>
        </w:tc>
        <w:tc>
          <w:tcPr>
            <w:tcW w:w="1483" w:type="pct"/>
            <w:shd w:val="clear" w:color="auto" w:fill="auto"/>
            <w:vAlign w:val="center"/>
          </w:tcPr>
          <w:p>
            <w:pPr>
              <w:adjustRightInd w:val="0"/>
              <w:snapToGrid w:val="0"/>
              <w:rPr>
                <w:rFonts w:ascii="宋体" w:hAnsi="宋体"/>
              </w:rPr>
            </w:pPr>
            <w:r>
              <w:rPr>
                <w:rFonts w:ascii="宋体" w:hAnsi="宋体"/>
              </w:rPr>
              <w:t>50Hz±0.2%</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输出功率：</w:t>
            </w:r>
          </w:p>
        </w:tc>
        <w:tc>
          <w:tcPr>
            <w:tcW w:w="1483" w:type="pct"/>
            <w:shd w:val="clear" w:color="auto" w:fill="auto"/>
            <w:vAlign w:val="center"/>
          </w:tcPr>
          <w:p>
            <w:pPr>
              <w:adjustRightInd w:val="0"/>
              <w:snapToGrid w:val="0"/>
              <w:rPr>
                <w:rFonts w:ascii="宋体" w:hAnsi="宋体"/>
              </w:rPr>
            </w:pPr>
            <w:r>
              <w:rPr>
                <w:rFonts w:hint="eastAsia" w:ascii="宋体" w:hAnsi="宋体"/>
              </w:rPr>
              <w:t>5kw</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稳态电压调整：</w:t>
            </w:r>
          </w:p>
        </w:tc>
        <w:tc>
          <w:tcPr>
            <w:tcW w:w="1483" w:type="pct"/>
            <w:shd w:val="clear" w:color="auto" w:fill="auto"/>
            <w:vAlign w:val="center"/>
          </w:tcPr>
          <w:p>
            <w:pPr>
              <w:adjustRightInd w:val="0"/>
              <w:snapToGrid w:val="0"/>
              <w:rPr>
                <w:rFonts w:ascii="宋体" w:hAnsi="宋体"/>
              </w:rPr>
            </w:pPr>
            <w:r>
              <w:rPr>
                <w:rFonts w:ascii="宋体" w:hAnsi="宋体"/>
              </w:rPr>
              <w:t>±1%</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蓄电池供电时间：</w:t>
            </w:r>
          </w:p>
        </w:tc>
        <w:tc>
          <w:tcPr>
            <w:tcW w:w="1483" w:type="pct"/>
            <w:shd w:val="clear" w:color="auto" w:fill="auto"/>
            <w:vAlign w:val="center"/>
          </w:tcPr>
          <w:p>
            <w:pPr>
              <w:adjustRightInd w:val="0"/>
              <w:snapToGrid w:val="0"/>
              <w:rPr>
                <w:rFonts w:ascii="宋体" w:hAnsi="宋体"/>
              </w:rPr>
            </w:pPr>
            <w:r>
              <w:rPr>
                <w:rFonts w:ascii="宋体" w:hAnsi="宋体"/>
              </w:rPr>
              <w:t>额定负载下放电60分钟</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蓄电池寿命：</w:t>
            </w:r>
          </w:p>
        </w:tc>
        <w:tc>
          <w:tcPr>
            <w:tcW w:w="1483" w:type="pct"/>
            <w:shd w:val="clear" w:color="auto" w:fill="auto"/>
            <w:vAlign w:val="center"/>
          </w:tcPr>
          <w:p>
            <w:pPr>
              <w:adjustRightInd w:val="0"/>
              <w:snapToGrid w:val="0"/>
              <w:rPr>
                <w:rFonts w:ascii="宋体" w:hAnsi="宋体"/>
              </w:rPr>
            </w:pPr>
            <w:r>
              <w:rPr>
                <w:rFonts w:ascii="宋体" w:hAnsi="宋体"/>
              </w:rPr>
              <w:t>3-5年，免维护</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过载能力：</w:t>
            </w:r>
          </w:p>
        </w:tc>
        <w:tc>
          <w:tcPr>
            <w:tcW w:w="1483" w:type="pct"/>
            <w:shd w:val="clear" w:color="auto" w:fill="auto"/>
            <w:vAlign w:val="center"/>
          </w:tcPr>
          <w:p>
            <w:pPr>
              <w:adjustRightInd w:val="0"/>
              <w:snapToGrid w:val="0"/>
              <w:rPr>
                <w:rFonts w:ascii="宋体" w:hAnsi="宋体"/>
              </w:rPr>
            </w:pPr>
            <w:r>
              <w:rPr>
                <w:rFonts w:ascii="宋体" w:hAnsi="宋体"/>
              </w:rPr>
              <w:t>125%时10min，150%时30s</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干扰抑制能力</w:t>
            </w:r>
          </w:p>
        </w:tc>
        <w:tc>
          <w:tcPr>
            <w:tcW w:w="1483" w:type="pct"/>
            <w:shd w:val="clear" w:color="auto" w:fill="auto"/>
            <w:vAlign w:val="center"/>
          </w:tcPr>
          <w:p>
            <w:pPr>
              <w:adjustRightInd w:val="0"/>
              <w:snapToGrid w:val="0"/>
              <w:rPr>
                <w:rFonts w:ascii="宋体" w:hAnsi="宋体"/>
              </w:rPr>
            </w:pPr>
            <w:r>
              <w:rPr>
                <w:rFonts w:ascii="宋体" w:hAnsi="宋体"/>
              </w:rPr>
              <w:t>　</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在线式运行方式</w:t>
            </w:r>
          </w:p>
        </w:tc>
        <w:tc>
          <w:tcPr>
            <w:tcW w:w="1483" w:type="pct"/>
            <w:shd w:val="clear" w:color="auto" w:fill="auto"/>
            <w:vAlign w:val="center"/>
          </w:tcPr>
          <w:p>
            <w:pPr>
              <w:adjustRightInd w:val="0"/>
              <w:snapToGrid w:val="0"/>
              <w:rPr>
                <w:rFonts w:ascii="宋体" w:hAnsi="宋体"/>
              </w:rPr>
            </w:pPr>
            <w:r>
              <w:rPr>
                <w:rFonts w:ascii="宋体" w:hAnsi="宋体"/>
              </w:rPr>
              <w:t>是</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运行温度：</w:t>
            </w:r>
          </w:p>
        </w:tc>
        <w:tc>
          <w:tcPr>
            <w:tcW w:w="1483" w:type="pct"/>
            <w:shd w:val="clear" w:color="auto" w:fill="auto"/>
            <w:vAlign w:val="center"/>
          </w:tcPr>
          <w:p>
            <w:pPr>
              <w:adjustRightInd w:val="0"/>
              <w:snapToGrid w:val="0"/>
              <w:rPr>
                <w:rFonts w:ascii="宋体" w:hAnsi="宋体"/>
              </w:rPr>
            </w:pPr>
            <w:r>
              <w:rPr>
                <w:rFonts w:ascii="宋体" w:hAnsi="宋体"/>
              </w:rPr>
              <w:t>0</w:t>
            </w:r>
            <w:r>
              <w:rPr>
                <w:rFonts w:hint="eastAsia" w:ascii="宋体" w:hAnsi="宋体"/>
              </w:rPr>
              <w:t>℃</w:t>
            </w:r>
            <w:r>
              <w:rPr>
                <w:rFonts w:ascii="宋体" w:hAnsi="宋体"/>
              </w:rPr>
              <w:t>～40</w:t>
            </w:r>
            <w:r>
              <w:rPr>
                <w:rFonts w:hint="eastAsia" w:ascii="宋体" w:hAnsi="宋体"/>
              </w:rPr>
              <w:t>℃</w:t>
            </w:r>
            <w:r>
              <w:rPr>
                <w:rFonts w:ascii="宋体" w:hAnsi="宋体"/>
              </w:rPr>
              <w:t>（室内）</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相对湿度：</w:t>
            </w:r>
          </w:p>
        </w:tc>
        <w:tc>
          <w:tcPr>
            <w:tcW w:w="1483" w:type="pct"/>
            <w:shd w:val="clear" w:color="auto" w:fill="auto"/>
            <w:vAlign w:val="center"/>
          </w:tcPr>
          <w:p>
            <w:pPr>
              <w:adjustRightInd w:val="0"/>
              <w:snapToGrid w:val="0"/>
              <w:rPr>
                <w:rFonts w:ascii="宋体" w:hAnsi="宋体"/>
              </w:rPr>
            </w:pPr>
            <w:r>
              <w:rPr>
                <w:rFonts w:ascii="宋体" w:hAnsi="宋体"/>
              </w:rPr>
              <w:t>0%～95%无凝露</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噪声：</w:t>
            </w:r>
          </w:p>
        </w:tc>
        <w:tc>
          <w:tcPr>
            <w:tcW w:w="1483" w:type="pct"/>
            <w:shd w:val="clear" w:color="auto" w:fill="auto"/>
            <w:vAlign w:val="center"/>
          </w:tcPr>
          <w:p>
            <w:pPr>
              <w:adjustRightInd w:val="0"/>
              <w:snapToGrid w:val="0"/>
              <w:rPr>
                <w:rFonts w:ascii="宋体" w:hAnsi="宋体"/>
              </w:rPr>
            </w:pPr>
            <w:r>
              <w:rPr>
                <w:rFonts w:ascii="宋体" w:hAnsi="宋体"/>
              </w:rPr>
              <w:t>≤50db（A）</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69" w:type="pct"/>
            <w:shd w:val="clear" w:color="auto" w:fill="auto"/>
            <w:vAlign w:val="center"/>
          </w:tcPr>
          <w:p>
            <w:pPr>
              <w:adjustRightInd w:val="0"/>
              <w:snapToGrid w:val="0"/>
              <w:rPr>
                <w:rFonts w:ascii="宋体" w:hAnsi="宋体"/>
              </w:rPr>
            </w:pPr>
            <w:r>
              <w:rPr>
                <w:rFonts w:ascii="宋体" w:hAnsi="宋体"/>
              </w:rPr>
              <w:t>电磁干扰限制：</w:t>
            </w:r>
          </w:p>
        </w:tc>
        <w:tc>
          <w:tcPr>
            <w:tcW w:w="1483" w:type="pct"/>
            <w:shd w:val="clear" w:color="auto" w:fill="auto"/>
            <w:vAlign w:val="center"/>
          </w:tcPr>
          <w:p>
            <w:pPr>
              <w:adjustRightInd w:val="0"/>
              <w:snapToGrid w:val="0"/>
              <w:rPr>
                <w:rFonts w:ascii="宋体" w:hAnsi="宋体"/>
              </w:rPr>
            </w:pPr>
            <w:r>
              <w:rPr>
                <w:rFonts w:ascii="宋体" w:hAnsi="宋体"/>
              </w:rPr>
              <w:t>符合Fccpart15Subpart1，A类</w:t>
            </w:r>
          </w:p>
        </w:tc>
        <w:tc>
          <w:tcPr>
            <w:tcW w:w="754"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r>
              <w:rPr>
                <w:rFonts w:ascii="宋体" w:hAnsi="宋体"/>
              </w:rPr>
              <w:t>　</w:t>
            </w:r>
          </w:p>
        </w:tc>
        <w:tc>
          <w:tcPr>
            <w:tcW w:w="947"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w:t>
      </w:r>
      <w:r>
        <w:rPr>
          <w:rFonts w:ascii="宋体" w:hAnsi="宋体"/>
        </w:rPr>
        <w:t>.3.2.</w:t>
      </w:r>
      <w:r>
        <w:rPr>
          <w:rFonts w:hint="eastAsia" w:ascii="宋体" w:hAnsi="宋体"/>
        </w:rPr>
        <w:t>4</w:t>
      </w:r>
      <w:r>
        <w:rPr>
          <w:rFonts w:ascii="宋体" w:hAnsi="宋体"/>
        </w:rPr>
        <w:t xml:space="preserve">  激光打印机</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03"/>
        <w:gridCol w:w="3019"/>
        <w:gridCol w:w="1691"/>
        <w:gridCol w:w="1323"/>
        <w:gridCol w:w="1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vAlign w:val="center"/>
          </w:tcPr>
          <w:p>
            <w:pPr>
              <w:adjustRightInd w:val="0"/>
              <w:snapToGrid w:val="0"/>
              <w:rPr>
                <w:rFonts w:ascii="宋体" w:hAnsi="宋体"/>
              </w:rPr>
            </w:pPr>
            <w:r>
              <w:rPr>
                <w:rFonts w:ascii="宋体" w:hAnsi="宋体"/>
              </w:rPr>
              <w:t>名称</w:t>
            </w:r>
          </w:p>
        </w:tc>
        <w:tc>
          <w:tcPr>
            <w:tcW w:w="1764" w:type="pct"/>
            <w:shd w:val="clear" w:color="auto" w:fill="auto"/>
            <w:vAlign w:val="center"/>
          </w:tcPr>
          <w:p>
            <w:pPr>
              <w:adjustRightInd w:val="0"/>
              <w:snapToGrid w:val="0"/>
              <w:rPr>
                <w:rFonts w:ascii="宋体" w:hAnsi="宋体"/>
              </w:rPr>
            </w:pPr>
            <w:r>
              <w:rPr>
                <w:rFonts w:ascii="宋体" w:hAnsi="宋体"/>
              </w:rPr>
              <w:t>性能要求参数</w:t>
            </w:r>
          </w:p>
        </w:tc>
        <w:tc>
          <w:tcPr>
            <w:tcW w:w="988" w:type="pct"/>
            <w:shd w:val="clear" w:color="auto" w:fill="auto"/>
            <w:vAlign w:val="center"/>
          </w:tcPr>
          <w:p>
            <w:pPr>
              <w:adjustRightInd w:val="0"/>
              <w:snapToGrid w:val="0"/>
              <w:rPr>
                <w:rFonts w:ascii="宋体" w:hAnsi="宋体"/>
              </w:rPr>
            </w:pPr>
            <w:r>
              <w:rPr>
                <w:rFonts w:ascii="宋体" w:hAnsi="宋体"/>
              </w:rPr>
              <w:t>承包商响应参数</w:t>
            </w:r>
          </w:p>
        </w:tc>
        <w:tc>
          <w:tcPr>
            <w:tcW w:w="773"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773"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7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7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73"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76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7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73"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vAlign w:val="center"/>
          </w:tcPr>
          <w:p>
            <w:pPr>
              <w:adjustRightInd w:val="0"/>
              <w:snapToGrid w:val="0"/>
              <w:rPr>
                <w:rFonts w:ascii="宋体" w:hAnsi="宋体"/>
              </w:rPr>
            </w:pPr>
            <w:r>
              <w:rPr>
                <w:rFonts w:ascii="宋体" w:hAnsi="宋体"/>
              </w:rPr>
              <w:t>型号</w:t>
            </w:r>
          </w:p>
        </w:tc>
        <w:tc>
          <w:tcPr>
            <w:tcW w:w="1764" w:type="pct"/>
            <w:shd w:val="clear" w:color="auto" w:fill="auto"/>
            <w:vAlign w:val="center"/>
          </w:tcPr>
          <w:p>
            <w:pPr>
              <w:adjustRightInd w:val="0"/>
              <w:snapToGrid w:val="0"/>
              <w:rPr>
                <w:rFonts w:ascii="宋体" w:hAnsi="宋体"/>
              </w:rPr>
            </w:pPr>
            <w:r>
              <w:rPr>
                <w:rFonts w:ascii="宋体" w:hAnsi="宋体"/>
              </w:rPr>
              <w:t>　</w:t>
            </w:r>
          </w:p>
        </w:tc>
        <w:tc>
          <w:tcPr>
            <w:tcW w:w="988"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vAlign w:val="center"/>
          </w:tcPr>
          <w:p>
            <w:pPr>
              <w:adjustRightInd w:val="0"/>
              <w:snapToGrid w:val="0"/>
              <w:rPr>
                <w:rFonts w:ascii="宋体" w:hAnsi="宋体"/>
              </w:rPr>
            </w:pPr>
            <w:r>
              <w:rPr>
                <w:rFonts w:ascii="宋体" w:hAnsi="宋体"/>
              </w:rPr>
              <w:t>幅面：</w:t>
            </w:r>
          </w:p>
        </w:tc>
        <w:tc>
          <w:tcPr>
            <w:tcW w:w="1764" w:type="pct"/>
            <w:shd w:val="clear" w:color="auto" w:fill="auto"/>
            <w:vAlign w:val="center"/>
          </w:tcPr>
          <w:p>
            <w:pPr>
              <w:adjustRightInd w:val="0"/>
              <w:snapToGrid w:val="0"/>
              <w:rPr>
                <w:rFonts w:ascii="宋体" w:hAnsi="宋体"/>
              </w:rPr>
            </w:pPr>
            <w:r>
              <w:rPr>
                <w:rFonts w:ascii="宋体" w:hAnsi="宋体"/>
              </w:rPr>
              <w:t>A3</w:t>
            </w:r>
          </w:p>
        </w:tc>
        <w:tc>
          <w:tcPr>
            <w:tcW w:w="988"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vAlign w:val="center"/>
          </w:tcPr>
          <w:p>
            <w:pPr>
              <w:adjustRightInd w:val="0"/>
              <w:snapToGrid w:val="0"/>
              <w:rPr>
                <w:rFonts w:ascii="宋体" w:hAnsi="宋体"/>
              </w:rPr>
            </w:pPr>
            <w:r>
              <w:rPr>
                <w:rFonts w:ascii="宋体" w:hAnsi="宋体"/>
              </w:rPr>
              <w:t>分辨率:</w:t>
            </w:r>
          </w:p>
        </w:tc>
        <w:tc>
          <w:tcPr>
            <w:tcW w:w="1764" w:type="pct"/>
            <w:shd w:val="clear" w:color="auto" w:fill="auto"/>
            <w:vAlign w:val="center"/>
          </w:tcPr>
          <w:p>
            <w:pPr>
              <w:adjustRightInd w:val="0"/>
              <w:snapToGrid w:val="0"/>
              <w:rPr>
                <w:rFonts w:ascii="宋体" w:hAnsi="宋体"/>
              </w:rPr>
            </w:pPr>
            <w:r>
              <w:rPr>
                <w:rFonts w:ascii="宋体" w:hAnsi="宋体"/>
              </w:rPr>
              <w:t xml:space="preserve">1200DPI </w:t>
            </w:r>
          </w:p>
        </w:tc>
        <w:tc>
          <w:tcPr>
            <w:tcW w:w="988"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vAlign w:val="center"/>
          </w:tcPr>
          <w:p>
            <w:pPr>
              <w:adjustRightInd w:val="0"/>
              <w:snapToGrid w:val="0"/>
              <w:rPr>
                <w:rFonts w:ascii="宋体" w:hAnsi="宋体"/>
              </w:rPr>
            </w:pPr>
            <w:r>
              <w:rPr>
                <w:rFonts w:ascii="宋体" w:hAnsi="宋体"/>
              </w:rPr>
              <w:t xml:space="preserve">打印速度: </w:t>
            </w:r>
          </w:p>
        </w:tc>
        <w:tc>
          <w:tcPr>
            <w:tcW w:w="1764" w:type="pct"/>
            <w:shd w:val="clear" w:color="auto" w:fill="auto"/>
            <w:vAlign w:val="center"/>
          </w:tcPr>
          <w:p>
            <w:pPr>
              <w:adjustRightInd w:val="0"/>
              <w:snapToGrid w:val="0"/>
              <w:rPr>
                <w:rFonts w:ascii="宋体" w:hAnsi="宋体"/>
              </w:rPr>
            </w:pPr>
            <w:r>
              <w:rPr>
                <w:rFonts w:ascii="宋体" w:hAnsi="宋体"/>
              </w:rPr>
              <w:t>12页/分</w:t>
            </w:r>
          </w:p>
        </w:tc>
        <w:tc>
          <w:tcPr>
            <w:tcW w:w="988"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vAlign w:val="center"/>
          </w:tcPr>
          <w:p>
            <w:pPr>
              <w:adjustRightInd w:val="0"/>
              <w:snapToGrid w:val="0"/>
              <w:rPr>
                <w:rFonts w:ascii="宋体" w:hAnsi="宋体"/>
              </w:rPr>
            </w:pPr>
            <w:r>
              <w:rPr>
                <w:rFonts w:ascii="宋体" w:hAnsi="宋体"/>
              </w:rPr>
              <w:t>（打印机与硒鼓）工作环境要求：</w:t>
            </w:r>
          </w:p>
        </w:tc>
        <w:tc>
          <w:tcPr>
            <w:tcW w:w="1764" w:type="pct"/>
            <w:shd w:val="clear" w:color="auto" w:fill="auto"/>
            <w:vAlign w:val="center"/>
          </w:tcPr>
          <w:p>
            <w:pPr>
              <w:adjustRightInd w:val="0"/>
              <w:snapToGrid w:val="0"/>
              <w:rPr>
                <w:rFonts w:ascii="宋体" w:hAnsi="宋体"/>
              </w:rPr>
            </w:pPr>
            <w:r>
              <w:rPr>
                <w:rFonts w:ascii="宋体" w:hAnsi="宋体"/>
              </w:rPr>
              <w:t xml:space="preserve">温度，工作时为15 </w:t>
            </w:r>
            <w:r>
              <w:rPr>
                <w:rFonts w:hint="eastAsia" w:ascii="宋体" w:hAnsi="宋体"/>
              </w:rPr>
              <w:t>℃</w:t>
            </w:r>
            <w:r>
              <w:rPr>
                <w:rFonts w:ascii="宋体" w:hAnsi="宋体"/>
              </w:rPr>
              <w:t>～27</w:t>
            </w:r>
            <w:r>
              <w:rPr>
                <w:rFonts w:hint="eastAsia" w:ascii="宋体" w:hAnsi="宋体"/>
              </w:rPr>
              <w:t>℃</w:t>
            </w:r>
            <w:r>
              <w:rPr>
                <w:rFonts w:ascii="宋体" w:hAnsi="宋体"/>
              </w:rPr>
              <w:t>，存储时温度为20～40</w:t>
            </w:r>
            <w:r>
              <w:rPr>
                <w:rFonts w:hint="eastAsia" w:ascii="宋体" w:hAnsi="宋体"/>
              </w:rPr>
              <w:t>℃</w:t>
            </w:r>
            <w:r>
              <w:rPr>
                <w:rFonts w:ascii="宋体" w:hAnsi="宋体"/>
              </w:rPr>
              <w:t>；湿度，工作时为10％～70％PH，存储时为10％～ 95％PH。</w:t>
            </w:r>
          </w:p>
        </w:tc>
        <w:tc>
          <w:tcPr>
            <w:tcW w:w="988"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03" w:type="pct"/>
            <w:shd w:val="clear" w:color="auto" w:fill="auto"/>
            <w:vAlign w:val="center"/>
          </w:tcPr>
          <w:p>
            <w:pPr>
              <w:adjustRightInd w:val="0"/>
              <w:snapToGrid w:val="0"/>
              <w:rPr>
                <w:rFonts w:ascii="宋体" w:hAnsi="宋体"/>
              </w:rPr>
            </w:pPr>
            <w:r>
              <w:rPr>
                <w:rFonts w:ascii="宋体" w:hAnsi="宋体"/>
              </w:rPr>
              <w:t>电源要求：</w:t>
            </w:r>
          </w:p>
        </w:tc>
        <w:tc>
          <w:tcPr>
            <w:tcW w:w="1764" w:type="pct"/>
            <w:shd w:val="clear" w:color="auto" w:fill="auto"/>
            <w:vAlign w:val="center"/>
          </w:tcPr>
          <w:p>
            <w:pPr>
              <w:adjustRightInd w:val="0"/>
              <w:snapToGrid w:val="0"/>
              <w:rPr>
                <w:rFonts w:ascii="宋体" w:hAnsi="宋体"/>
              </w:rPr>
            </w:pPr>
            <w:r>
              <w:rPr>
                <w:rFonts w:ascii="宋体" w:hAnsi="宋体"/>
              </w:rPr>
              <w:t>220～240伏，频率50～60赫兹。</w:t>
            </w:r>
          </w:p>
        </w:tc>
        <w:tc>
          <w:tcPr>
            <w:tcW w:w="988"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r>
              <w:rPr>
                <w:rFonts w:ascii="宋体" w:hAnsi="宋体"/>
              </w:rPr>
              <w:t>　</w:t>
            </w:r>
          </w:p>
        </w:tc>
        <w:tc>
          <w:tcPr>
            <w:tcW w:w="773"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w:t>
      </w:r>
      <w:r>
        <w:rPr>
          <w:rFonts w:ascii="宋体" w:hAnsi="宋体"/>
        </w:rPr>
        <w:t>.3.2.</w:t>
      </w:r>
      <w:r>
        <w:rPr>
          <w:rFonts w:hint="eastAsia" w:ascii="宋体" w:hAnsi="宋体"/>
        </w:rPr>
        <w:t>5</w:t>
      </w:r>
      <w:r>
        <w:rPr>
          <w:rFonts w:ascii="宋体" w:hAnsi="宋体"/>
        </w:rPr>
        <w:t xml:space="preserve"> </w:t>
      </w:r>
      <w:r>
        <w:rPr>
          <w:rFonts w:hint="eastAsia" w:ascii="宋体" w:hAnsi="宋体"/>
        </w:rPr>
        <w:t>大屏幕</w:t>
      </w:r>
      <w:r>
        <w:rPr>
          <w:rFonts w:ascii="宋体" w:hAnsi="宋体"/>
        </w:rPr>
        <w:t>系统</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149"/>
        <w:gridCol w:w="2047"/>
        <w:gridCol w:w="1525"/>
        <w:gridCol w:w="918"/>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名称</w:t>
            </w:r>
          </w:p>
        </w:tc>
        <w:tc>
          <w:tcPr>
            <w:tcW w:w="1196" w:type="pct"/>
            <w:shd w:val="clear" w:color="auto" w:fill="auto"/>
            <w:vAlign w:val="center"/>
          </w:tcPr>
          <w:p>
            <w:pPr>
              <w:adjustRightInd w:val="0"/>
              <w:snapToGrid w:val="0"/>
              <w:rPr>
                <w:rFonts w:ascii="宋体" w:hAnsi="宋体"/>
              </w:rPr>
            </w:pPr>
            <w:r>
              <w:rPr>
                <w:rFonts w:ascii="宋体" w:hAnsi="宋体"/>
              </w:rPr>
              <w:t>性能要求参数</w:t>
            </w:r>
          </w:p>
        </w:tc>
        <w:tc>
          <w:tcPr>
            <w:tcW w:w="891" w:type="pct"/>
            <w:shd w:val="clear" w:color="auto" w:fill="auto"/>
            <w:vAlign w:val="center"/>
          </w:tcPr>
          <w:p>
            <w:pPr>
              <w:adjustRightInd w:val="0"/>
              <w:snapToGrid w:val="0"/>
              <w:rPr>
                <w:rFonts w:ascii="宋体" w:hAnsi="宋体"/>
              </w:rPr>
            </w:pPr>
            <w:r>
              <w:rPr>
                <w:rFonts w:ascii="宋体" w:hAnsi="宋体"/>
              </w:rPr>
              <w:t>承包商响应参数</w:t>
            </w:r>
          </w:p>
        </w:tc>
        <w:tc>
          <w:tcPr>
            <w:tcW w:w="918" w:type="dxa"/>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18" w:type="dxa"/>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19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1"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3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3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19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1"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3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53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型号</w:t>
            </w:r>
          </w:p>
        </w:tc>
        <w:tc>
          <w:tcPr>
            <w:tcW w:w="1196" w:type="pct"/>
            <w:shd w:val="clear" w:color="auto" w:fill="auto"/>
            <w:vAlign w:val="center"/>
          </w:tcPr>
          <w:p>
            <w:pPr>
              <w:adjustRightInd w:val="0"/>
              <w:snapToGrid w:val="0"/>
              <w:rPr>
                <w:rFonts w:ascii="宋体" w:hAnsi="宋体"/>
              </w:rPr>
            </w:pPr>
            <w:r>
              <w:rPr>
                <w:rFonts w:ascii="宋体" w:hAnsi="宋体"/>
              </w:rPr>
              <w:t>　</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屏幕尺寸</w:t>
            </w:r>
          </w:p>
        </w:tc>
        <w:tc>
          <w:tcPr>
            <w:tcW w:w="1196" w:type="pct"/>
            <w:shd w:val="clear" w:color="auto" w:fill="auto"/>
            <w:vAlign w:val="center"/>
          </w:tcPr>
          <w:p>
            <w:pPr>
              <w:adjustRightInd w:val="0"/>
              <w:snapToGrid w:val="0"/>
              <w:rPr>
                <w:rFonts w:ascii="宋体" w:hAnsi="宋体"/>
              </w:rPr>
            </w:pPr>
            <w:r>
              <w:rPr>
                <w:rFonts w:ascii="宋体" w:hAnsi="宋体"/>
              </w:rPr>
              <w:t>55"</w:t>
            </w:r>
            <w:r>
              <w:rPr>
                <w:rFonts w:hint="eastAsia" w:ascii="宋体" w:hAnsi="宋体"/>
              </w:rPr>
              <w:t>X</w:t>
            </w:r>
            <w:r>
              <w:rPr>
                <w:rFonts w:ascii="宋体" w:hAnsi="宋体"/>
              </w:rPr>
              <w:t>6</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箱体深度</w:t>
            </w:r>
          </w:p>
        </w:tc>
        <w:tc>
          <w:tcPr>
            <w:tcW w:w="1196" w:type="pct"/>
            <w:shd w:val="clear" w:color="auto" w:fill="auto"/>
            <w:vAlign w:val="center"/>
          </w:tcPr>
          <w:p>
            <w:pPr>
              <w:adjustRightInd w:val="0"/>
              <w:snapToGrid w:val="0"/>
              <w:rPr>
                <w:rFonts w:ascii="宋体" w:hAnsi="宋体"/>
              </w:rPr>
            </w:pPr>
            <w:r>
              <w:rPr>
                <w:rFonts w:ascii="宋体" w:hAnsi="宋体"/>
              </w:rPr>
              <w:t>不超过1150mm</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双灯热备系统</w:t>
            </w:r>
          </w:p>
        </w:tc>
        <w:tc>
          <w:tcPr>
            <w:tcW w:w="1196" w:type="pct"/>
            <w:shd w:val="clear" w:color="auto" w:fill="auto"/>
            <w:vAlign w:val="center"/>
          </w:tcPr>
          <w:p>
            <w:pPr>
              <w:adjustRightInd w:val="0"/>
              <w:snapToGrid w:val="0"/>
              <w:rPr>
                <w:rFonts w:ascii="宋体" w:hAnsi="宋体"/>
              </w:rPr>
            </w:pPr>
            <w:r>
              <w:rPr>
                <w:rFonts w:ascii="宋体" w:hAnsi="宋体"/>
              </w:rPr>
              <w:t>是</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显示芯片</w:t>
            </w:r>
          </w:p>
        </w:tc>
        <w:tc>
          <w:tcPr>
            <w:tcW w:w="1196" w:type="pct"/>
            <w:shd w:val="clear" w:color="auto" w:fill="auto"/>
            <w:vAlign w:val="center"/>
          </w:tcPr>
          <w:p>
            <w:pPr>
              <w:adjustRightInd w:val="0"/>
              <w:snapToGrid w:val="0"/>
              <w:rPr>
                <w:rFonts w:ascii="宋体" w:hAnsi="宋体"/>
              </w:rPr>
            </w:pPr>
            <w:r>
              <w:rPr>
                <w:rFonts w:ascii="宋体" w:hAnsi="宋体"/>
              </w:rPr>
              <w:t>DDR 0.9英寸的DMD</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物理分辨率</w:t>
            </w:r>
          </w:p>
        </w:tc>
        <w:tc>
          <w:tcPr>
            <w:tcW w:w="1196" w:type="pct"/>
            <w:shd w:val="clear" w:color="auto" w:fill="auto"/>
            <w:vAlign w:val="center"/>
          </w:tcPr>
          <w:p>
            <w:pPr>
              <w:adjustRightInd w:val="0"/>
              <w:snapToGrid w:val="0"/>
              <w:rPr>
                <w:rFonts w:ascii="宋体" w:hAnsi="宋体"/>
              </w:rPr>
            </w:pPr>
            <w:r>
              <w:rPr>
                <w:rFonts w:ascii="宋体" w:hAnsi="宋体"/>
              </w:rPr>
              <w:t>不低于1024x768</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兼容分辨率</w:t>
            </w:r>
          </w:p>
        </w:tc>
        <w:tc>
          <w:tcPr>
            <w:tcW w:w="1196" w:type="pct"/>
            <w:shd w:val="clear" w:color="auto" w:fill="auto"/>
            <w:vAlign w:val="center"/>
          </w:tcPr>
          <w:p>
            <w:pPr>
              <w:adjustRightInd w:val="0"/>
              <w:snapToGrid w:val="0"/>
              <w:rPr>
                <w:rFonts w:ascii="宋体" w:hAnsi="宋体"/>
              </w:rPr>
            </w:pPr>
            <w:r>
              <w:rPr>
                <w:rFonts w:ascii="宋体" w:hAnsi="宋体"/>
              </w:rPr>
              <w:t>1600x1200</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输入接口</w:t>
            </w:r>
          </w:p>
        </w:tc>
        <w:tc>
          <w:tcPr>
            <w:tcW w:w="1196" w:type="pct"/>
            <w:shd w:val="clear" w:color="auto" w:fill="auto"/>
            <w:vAlign w:val="center"/>
          </w:tcPr>
          <w:p>
            <w:pPr>
              <w:adjustRightInd w:val="0"/>
              <w:snapToGrid w:val="0"/>
              <w:rPr>
                <w:rFonts w:ascii="宋体" w:hAnsi="宋体"/>
              </w:rPr>
            </w:pPr>
            <w:r>
              <w:rPr>
                <w:rFonts w:ascii="宋体" w:hAnsi="宋体"/>
              </w:rPr>
              <w:t>HDMI</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内置图像处理器</w:t>
            </w:r>
          </w:p>
        </w:tc>
        <w:tc>
          <w:tcPr>
            <w:tcW w:w="1196" w:type="pct"/>
            <w:shd w:val="clear" w:color="auto" w:fill="auto"/>
            <w:vAlign w:val="center"/>
          </w:tcPr>
          <w:p>
            <w:pPr>
              <w:adjustRightInd w:val="0"/>
              <w:snapToGrid w:val="0"/>
              <w:rPr>
                <w:rFonts w:ascii="宋体" w:hAnsi="宋体"/>
              </w:rPr>
            </w:pPr>
            <w:r>
              <w:rPr>
                <w:rFonts w:ascii="宋体" w:hAnsi="宋体"/>
              </w:rPr>
              <w:t>是</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处理信号回路数</w:t>
            </w:r>
          </w:p>
        </w:tc>
        <w:tc>
          <w:tcPr>
            <w:tcW w:w="1196" w:type="pct"/>
            <w:shd w:val="clear" w:color="auto" w:fill="auto"/>
            <w:vAlign w:val="center"/>
          </w:tcPr>
          <w:p>
            <w:pPr>
              <w:adjustRightInd w:val="0"/>
              <w:snapToGrid w:val="0"/>
              <w:rPr>
                <w:rFonts w:ascii="宋体" w:hAnsi="宋体"/>
              </w:rPr>
            </w:pPr>
            <w:r>
              <w:rPr>
                <w:rFonts w:ascii="宋体" w:hAnsi="宋体"/>
              </w:rPr>
              <w:t>至少34路实时信号</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网络控制方式</w:t>
            </w:r>
          </w:p>
        </w:tc>
        <w:tc>
          <w:tcPr>
            <w:tcW w:w="1196" w:type="pct"/>
            <w:shd w:val="clear" w:color="auto" w:fill="auto"/>
            <w:vAlign w:val="center"/>
          </w:tcPr>
          <w:p>
            <w:pPr>
              <w:adjustRightInd w:val="0"/>
              <w:snapToGrid w:val="0"/>
              <w:rPr>
                <w:rFonts w:ascii="宋体" w:hAnsi="宋体"/>
              </w:rPr>
            </w:pPr>
            <w:r>
              <w:rPr>
                <w:rFonts w:ascii="宋体" w:hAnsi="宋体"/>
              </w:rPr>
              <w:t>RJ45接口</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采用多视频数字图像网关及图像集线器</w:t>
            </w:r>
          </w:p>
        </w:tc>
        <w:tc>
          <w:tcPr>
            <w:tcW w:w="1196" w:type="pct"/>
            <w:shd w:val="clear" w:color="auto" w:fill="auto"/>
            <w:vAlign w:val="center"/>
          </w:tcPr>
          <w:p>
            <w:pPr>
              <w:adjustRightInd w:val="0"/>
              <w:snapToGrid w:val="0"/>
              <w:rPr>
                <w:rFonts w:ascii="宋体" w:hAnsi="宋体"/>
              </w:rPr>
            </w:pPr>
            <w:r>
              <w:rPr>
                <w:rFonts w:ascii="宋体" w:hAnsi="宋体"/>
              </w:rPr>
              <w:t>是</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显示的信号在大屏幕上均可任意移动,任意调节大小,可叠加显示,最大可充满整屏.</w:t>
            </w:r>
          </w:p>
        </w:tc>
        <w:tc>
          <w:tcPr>
            <w:tcW w:w="1196" w:type="pct"/>
            <w:shd w:val="clear" w:color="auto" w:fill="auto"/>
            <w:vAlign w:val="center"/>
          </w:tcPr>
          <w:p>
            <w:pPr>
              <w:adjustRightInd w:val="0"/>
              <w:snapToGrid w:val="0"/>
              <w:rPr>
                <w:rFonts w:ascii="宋体" w:hAnsi="宋体"/>
              </w:rPr>
            </w:pPr>
            <w:r>
              <w:rPr>
                <w:rFonts w:ascii="宋体" w:hAnsi="宋体"/>
              </w:rPr>
              <w:t>有</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具有显示图像局部放大/萃取/平移的功能, 便于操作员更方便的观看细节.</w:t>
            </w:r>
          </w:p>
        </w:tc>
        <w:tc>
          <w:tcPr>
            <w:tcW w:w="1196" w:type="pct"/>
            <w:shd w:val="clear" w:color="auto" w:fill="auto"/>
            <w:vAlign w:val="center"/>
          </w:tcPr>
          <w:p>
            <w:pPr>
              <w:adjustRightInd w:val="0"/>
              <w:snapToGrid w:val="0"/>
              <w:rPr>
                <w:rFonts w:ascii="宋体" w:hAnsi="宋体"/>
              </w:rPr>
            </w:pPr>
            <w:r>
              <w:rPr>
                <w:rFonts w:ascii="宋体" w:hAnsi="宋体"/>
              </w:rPr>
              <w:t>有</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亮度:</w:t>
            </w:r>
          </w:p>
        </w:tc>
        <w:tc>
          <w:tcPr>
            <w:tcW w:w="1196" w:type="pct"/>
            <w:shd w:val="clear" w:color="auto" w:fill="auto"/>
            <w:vAlign w:val="center"/>
          </w:tcPr>
          <w:p>
            <w:pPr>
              <w:adjustRightInd w:val="0"/>
              <w:snapToGrid w:val="0"/>
              <w:rPr>
                <w:rFonts w:ascii="宋体" w:hAnsi="宋体"/>
              </w:rPr>
            </w:pPr>
            <w:r>
              <w:rPr>
                <w:rFonts w:ascii="宋体" w:hAnsi="宋体"/>
              </w:rPr>
              <w:t>不小于750ANSI流明</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对比度：</w:t>
            </w:r>
          </w:p>
        </w:tc>
        <w:tc>
          <w:tcPr>
            <w:tcW w:w="1196" w:type="pct"/>
            <w:shd w:val="clear" w:color="auto" w:fill="auto"/>
            <w:vAlign w:val="center"/>
          </w:tcPr>
          <w:p>
            <w:pPr>
              <w:adjustRightInd w:val="0"/>
              <w:snapToGrid w:val="0"/>
              <w:rPr>
                <w:rFonts w:ascii="宋体" w:hAnsi="宋体"/>
              </w:rPr>
            </w:pPr>
            <w:r>
              <w:rPr>
                <w:rFonts w:ascii="宋体" w:hAnsi="宋体"/>
              </w:rPr>
              <w:t>2000:1</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光源寿命:</w:t>
            </w:r>
          </w:p>
        </w:tc>
        <w:tc>
          <w:tcPr>
            <w:tcW w:w="1196" w:type="pct"/>
            <w:shd w:val="clear" w:color="auto" w:fill="auto"/>
            <w:vAlign w:val="center"/>
          </w:tcPr>
          <w:p>
            <w:pPr>
              <w:adjustRightInd w:val="0"/>
              <w:snapToGrid w:val="0"/>
              <w:rPr>
                <w:rFonts w:ascii="宋体" w:hAnsi="宋体"/>
              </w:rPr>
            </w:pPr>
            <w:r>
              <w:rPr>
                <w:rFonts w:ascii="宋体" w:hAnsi="宋体"/>
              </w:rPr>
              <w:t>不小于6000小时</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核心部件寿命:</w:t>
            </w:r>
          </w:p>
        </w:tc>
        <w:tc>
          <w:tcPr>
            <w:tcW w:w="1196" w:type="pct"/>
            <w:shd w:val="clear" w:color="auto" w:fill="auto"/>
            <w:vAlign w:val="center"/>
          </w:tcPr>
          <w:p>
            <w:pPr>
              <w:adjustRightInd w:val="0"/>
              <w:snapToGrid w:val="0"/>
              <w:rPr>
                <w:rFonts w:ascii="宋体" w:hAnsi="宋体"/>
              </w:rPr>
            </w:pPr>
            <w:r>
              <w:rPr>
                <w:rFonts w:ascii="宋体" w:hAnsi="宋体"/>
              </w:rPr>
              <w:t>100,000小时</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840" w:type="pct"/>
            <w:shd w:val="clear" w:color="auto" w:fill="auto"/>
            <w:vAlign w:val="center"/>
          </w:tcPr>
          <w:p>
            <w:pPr>
              <w:adjustRightInd w:val="0"/>
              <w:snapToGrid w:val="0"/>
              <w:rPr>
                <w:rFonts w:ascii="宋体" w:hAnsi="宋体"/>
              </w:rPr>
            </w:pPr>
            <w:r>
              <w:rPr>
                <w:rFonts w:ascii="宋体" w:hAnsi="宋体"/>
              </w:rPr>
              <w:t>平均无故障时间MTBF:</w:t>
            </w:r>
          </w:p>
        </w:tc>
        <w:tc>
          <w:tcPr>
            <w:tcW w:w="1196" w:type="pct"/>
            <w:shd w:val="clear" w:color="auto" w:fill="auto"/>
            <w:vAlign w:val="center"/>
          </w:tcPr>
          <w:p>
            <w:pPr>
              <w:adjustRightInd w:val="0"/>
              <w:snapToGrid w:val="0"/>
              <w:rPr>
                <w:rFonts w:ascii="宋体" w:hAnsi="宋体"/>
              </w:rPr>
            </w:pPr>
            <w:r>
              <w:rPr>
                <w:rFonts w:ascii="宋体" w:hAnsi="宋体"/>
              </w:rPr>
              <w:t>30000小时.</w:t>
            </w:r>
          </w:p>
        </w:tc>
        <w:tc>
          <w:tcPr>
            <w:tcW w:w="891"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r>
              <w:rPr>
                <w:rFonts w:ascii="宋体" w:hAnsi="宋体"/>
              </w:rPr>
              <w:t>　</w:t>
            </w:r>
          </w:p>
        </w:tc>
        <w:tc>
          <w:tcPr>
            <w:tcW w:w="536" w:type="pct"/>
            <w:shd w:val="clear" w:color="auto" w:fill="auto"/>
            <w:vAlign w:val="center"/>
          </w:tcPr>
          <w:p>
            <w:pPr>
              <w:adjustRightInd w:val="0"/>
              <w:snapToGrid w:val="0"/>
              <w:rPr>
                <w:rFonts w:ascii="宋体" w:hAnsi="宋体"/>
              </w:rPr>
            </w:pPr>
          </w:p>
        </w:tc>
      </w:tr>
    </w:tbl>
    <w:p>
      <w:pPr>
        <w:pStyle w:val="1156"/>
        <w:keepNext/>
        <w:numPr>
          <w:ilvl w:val="2"/>
          <w:numId w:val="161"/>
        </w:numPr>
        <w:tabs>
          <w:tab w:val="left" w:pos="993"/>
        </w:tabs>
        <w:adjustRightInd w:val="0"/>
        <w:snapToGrid w:val="0"/>
        <w:spacing w:before="203" w:beforeLines="50" w:after="203" w:afterLines="50"/>
        <w:ind w:firstLineChars="0"/>
        <w:outlineLvl w:val="2"/>
        <w:rPr>
          <w:rFonts w:ascii="宋体" w:hAnsi="宋体"/>
        </w:rPr>
      </w:pPr>
      <w:bookmarkStart w:id="7543" w:name="_Toc479408533"/>
      <w:bookmarkStart w:id="7544" w:name="_Toc106883862"/>
      <w:r>
        <w:rPr>
          <w:rFonts w:ascii="宋体" w:hAnsi="宋体"/>
        </w:rPr>
        <w:t>PLC设备</w:t>
      </w:r>
      <w:bookmarkEnd w:id="7543"/>
      <w:bookmarkEnd w:id="7544"/>
    </w:p>
    <w:p>
      <w:pPr>
        <w:adjustRightInd w:val="0"/>
        <w:snapToGrid w:val="0"/>
        <w:rPr>
          <w:rFonts w:ascii="宋体" w:hAnsi="宋体"/>
        </w:rPr>
      </w:pPr>
      <w:r>
        <w:rPr>
          <w:rFonts w:hint="eastAsia" w:ascii="宋体" w:hAnsi="宋体"/>
        </w:rPr>
        <w:t>11.3.3.1</w:t>
      </w:r>
      <w:r>
        <w:rPr>
          <w:rFonts w:ascii="宋体" w:hAnsi="宋体"/>
        </w:rPr>
        <w:t>控制器</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16"/>
        <w:gridCol w:w="4602"/>
        <w:gridCol w:w="1099"/>
        <w:gridCol w:w="1106"/>
        <w:gridCol w:w="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594" w:type="pct"/>
            <w:shd w:val="clear" w:color="auto" w:fill="auto"/>
            <w:vAlign w:val="center"/>
          </w:tcPr>
          <w:p>
            <w:pPr>
              <w:adjustRightInd w:val="0"/>
              <w:snapToGrid w:val="0"/>
              <w:rPr>
                <w:rFonts w:ascii="宋体" w:hAnsi="宋体"/>
              </w:rPr>
            </w:pPr>
            <w:r>
              <w:rPr>
                <w:rFonts w:ascii="宋体" w:hAnsi="宋体"/>
              </w:rPr>
              <w:t>名称</w:t>
            </w:r>
          </w:p>
        </w:tc>
        <w:tc>
          <w:tcPr>
            <w:tcW w:w="2689" w:type="pct"/>
            <w:shd w:val="clear" w:color="auto" w:fill="auto"/>
            <w:vAlign w:val="center"/>
          </w:tcPr>
          <w:p>
            <w:pPr>
              <w:adjustRightInd w:val="0"/>
              <w:snapToGrid w:val="0"/>
              <w:rPr>
                <w:rFonts w:ascii="宋体" w:hAnsi="宋体"/>
              </w:rPr>
            </w:pPr>
            <w:r>
              <w:rPr>
                <w:rFonts w:ascii="宋体" w:hAnsi="宋体"/>
              </w:rPr>
              <w:t>性能要求参数</w:t>
            </w:r>
          </w:p>
        </w:tc>
        <w:tc>
          <w:tcPr>
            <w:tcW w:w="642" w:type="pct"/>
            <w:shd w:val="clear" w:color="auto" w:fill="auto"/>
            <w:vAlign w:val="center"/>
          </w:tcPr>
          <w:p>
            <w:pPr>
              <w:adjustRightInd w:val="0"/>
              <w:snapToGrid w:val="0"/>
              <w:rPr>
                <w:rFonts w:ascii="宋体" w:hAnsi="宋体"/>
              </w:rPr>
            </w:pPr>
            <w:r>
              <w:rPr>
                <w:rFonts w:ascii="宋体" w:hAnsi="宋体"/>
              </w:rPr>
              <w:t>承包商响应参数</w:t>
            </w:r>
          </w:p>
        </w:tc>
        <w:tc>
          <w:tcPr>
            <w:tcW w:w="646"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42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594" w:type="pct"/>
            <w:shd w:val="clear" w:color="auto" w:fill="auto"/>
            <w:vAlign w:val="center"/>
          </w:tcPr>
          <w:p>
            <w:pPr>
              <w:adjustRightInd w:val="0"/>
              <w:snapToGrid w:val="0"/>
              <w:rPr>
                <w:rFonts w:ascii="宋体" w:hAnsi="宋体"/>
              </w:rPr>
            </w:pPr>
            <w:r>
              <w:rPr>
                <w:rFonts w:ascii="宋体" w:hAnsi="宋体"/>
              </w:rPr>
              <w:t>制造商</w:t>
            </w:r>
          </w:p>
        </w:tc>
        <w:tc>
          <w:tcPr>
            <w:tcW w:w="2689" w:type="pct"/>
            <w:shd w:val="clear" w:color="auto" w:fill="auto"/>
            <w:vAlign w:val="center"/>
          </w:tcPr>
          <w:p>
            <w:pPr>
              <w:adjustRightInd w:val="0"/>
              <w:snapToGrid w:val="0"/>
              <w:rPr>
                <w:rFonts w:ascii="宋体" w:hAnsi="宋体"/>
              </w:rPr>
            </w:pPr>
          </w:p>
        </w:tc>
        <w:tc>
          <w:tcPr>
            <w:tcW w:w="642" w:type="pct"/>
            <w:shd w:val="clear" w:color="auto" w:fill="auto"/>
            <w:vAlign w:val="center"/>
          </w:tcPr>
          <w:p>
            <w:pPr>
              <w:adjustRightInd w:val="0"/>
              <w:snapToGrid w:val="0"/>
              <w:rPr>
                <w:rFonts w:ascii="宋体" w:hAnsi="宋体"/>
              </w:rPr>
            </w:pPr>
            <w:r>
              <w:rPr>
                <w:rFonts w:ascii="宋体" w:hAnsi="宋体"/>
              </w:rPr>
              <w:t>　</w:t>
            </w:r>
          </w:p>
        </w:tc>
        <w:tc>
          <w:tcPr>
            <w:tcW w:w="646" w:type="pct"/>
            <w:shd w:val="clear" w:color="auto" w:fill="auto"/>
            <w:noWrap/>
            <w:vAlign w:val="center"/>
          </w:tcPr>
          <w:p>
            <w:pPr>
              <w:adjustRightInd w:val="0"/>
              <w:snapToGrid w:val="0"/>
              <w:rPr>
                <w:rFonts w:ascii="宋体" w:hAnsi="宋体"/>
              </w:rPr>
            </w:pPr>
            <w:r>
              <w:rPr>
                <w:rFonts w:ascii="宋体" w:hAnsi="宋体"/>
              </w:rPr>
              <w:t>　</w:t>
            </w:r>
          </w:p>
        </w:tc>
        <w:tc>
          <w:tcPr>
            <w:tcW w:w="429"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593" w:type="pct"/>
            <w:shd w:val="clear" w:color="auto" w:fill="auto"/>
            <w:vAlign w:val="center"/>
          </w:tcPr>
          <w:p>
            <w:pPr>
              <w:adjustRightInd w:val="0"/>
              <w:snapToGrid w:val="0"/>
              <w:rPr>
                <w:rFonts w:ascii="宋体" w:hAnsi="宋体"/>
              </w:rPr>
            </w:pPr>
            <w:r>
              <w:rPr>
                <w:rFonts w:ascii="宋体" w:hAnsi="宋体"/>
              </w:rPr>
              <w:t>原产地</w:t>
            </w:r>
          </w:p>
        </w:tc>
        <w:tc>
          <w:tcPr>
            <w:tcW w:w="2688" w:type="pct"/>
            <w:shd w:val="clear" w:color="auto" w:fill="auto"/>
            <w:vAlign w:val="center"/>
          </w:tcPr>
          <w:p>
            <w:pPr>
              <w:adjustRightInd w:val="0"/>
              <w:snapToGrid w:val="0"/>
              <w:rPr>
                <w:rFonts w:ascii="宋体" w:hAnsi="宋体"/>
              </w:rPr>
            </w:pPr>
          </w:p>
        </w:tc>
        <w:tc>
          <w:tcPr>
            <w:tcW w:w="642" w:type="pct"/>
            <w:shd w:val="clear" w:color="auto" w:fill="auto"/>
            <w:vAlign w:val="center"/>
          </w:tcPr>
          <w:p>
            <w:pPr>
              <w:adjustRightInd w:val="0"/>
              <w:snapToGrid w:val="0"/>
              <w:rPr>
                <w:rFonts w:ascii="宋体" w:hAnsi="宋体"/>
              </w:rPr>
            </w:pPr>
            <w:r>
              <w:rPr>
                <w:rFonts w:ascii="宋体" w:hAnsi="宋体"/>
              </w:rPr>
              <w:t>　</w:t>
            </w:r>
          </w:p>
        </w:tc>
        <w:tc>
          <w:tcPr>
            <w:tcW w:w="646" w:type="pct"/>
            <w:shd w:val="clear" w:color="auto" w:fill="auto"/>
            <w:noWrap/>
            <w:vAlign w:val="center"/>
          </w:tcPr>
          <w:p>
            <w:pPr>
              <w:adjustRightInd w:val="0"/>
              <w:snapToGrid w:val="0"/>
              <w:rPr>
                <w:rFonts w:ascii="宋体" w:hAnsi="宋体"/>
              </w:rPr>
            </w:pPr>
            <w:r>
              <w:rPr>
                <w:rFonts w:ascii="宋体" w:hAnsi="宋体"/>
              </w:rPr>
              <w:t>　</w:t>
            </w:r>
          </w:p>
        </w:tc>
        <w:tc>
          <w:tcPr>
            <w:tcW w:w="429"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593" w:type="pct"/>
            <w:shd w:val="clear" w:color="auto" w:fill="auto"/>
            <w:vAlign w:val="center"/>
          </w:tcPr>
          <w:p>
            <w:pPr>
              <w:adjustRightInd w:val="0"/>
              <w:snapToGrid w:val="0"/>
              <w:rPr>
                <w:rFonts w:ascii="宋体" w:hAnsi="宋体"/>
              </w:rPr>
            </w:pPr>
            <w:r>
              <w:rPr>
                <w:rFonts w:ascii="宋体" w:hAnsi="宋体"/>
              </w:rPr>
              <w:t>系列型号</w:t>
            </w:r>
          </w:p>
        </w:tc>
        <w:tc>
          <w:tcPr>
            <w:tcW w:w="2688" w:type="pct"/>
            <w:shd w:val="clear" w:color="auto" w:fill="auto"/>
            <w:vAlign w:val="center"/>
          </w:tcPr>
          <w:p>
            <w:pPr>
              <w:adjustRightInd w:val="0"/>
              <w:snapToGrid w:val="0"/>
              <w:rPr>
                <w:rFonts w:ascii="宋体" w:hAnsi="宋体"/>
              </w:rPr>
            </w:pPr>
          </w:p>
        </w:tc>
        <w:tc>
          <w:tcPr>
            <w:tcW w:w="642" w:type="pct"/>
            <w:shd w:val="clear" w:color="auto" w:fill="auto"/>
            <w:vAlign w:val="center"/>
          </w:tcPr>
          <w:p>
            <w:pPr>
              <w:adjustRightInd w:val="0"/>
              <w:snapToGrid w:val="0"/>
              <w:rPr>
                <w:rFonts w:ascii="宋体" w:hAnsi="宋体"/>
              </w:rPr>
            </w:pPr>
            <w:r>
              <w:rPr>
                <w:rFonts w:ascii="宋体" w:hAnsi="宋体"/>
              </w:rPr>
              <w:t>　</w:t>
            </w:r>
          </w:p>
        </w:tc>
        <w:tc>
          <w:tcPr>
            <w:tcW w:w="646" w:type="pct"/>
            <w:shd w:val="clear" w:color="auto" w:fill="auto"/>
            <w:noWrap/>
            <w:vAlign w:val="center"/>
          </w:tcPr>
          <w:p>
            <w:pPr>
              <w:adjustRightInd w:val="0"/>
              <w:snapToGrid w:val="0"/>
              <w:rPr>
                <w:rFonts w:ascii="宋体" w:hAnsi="宋体"/>
              </w:rPr>
            </w:pPr>
            <w:r>
              <w:rPr>
                <w:rFonts w:ascii="宋体" w:hAnsi="宋体"/>
              </w:rPr>
              <w:t>　</w:t>
            </w:r>
          </w:p>
        </w:tc>
        <w:tc>
          <w:tcPr>
            <w:tcW w:w="429"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63" w:hRule="atLeast"/>
        </w:trPr>
        <w:tc>
          <w:tcPr>
            <w:tcW w:w="593" w:type="pct"/>
            <w:shd w:val="clear" w:color="auto" w:fill="auto"/>
            <w:vAlign w:val="center"/>
          </w:tcPr>
          <w:p>
            <w:pPr>
              <w:adjustRightInd w:val="0"/>
              <w:snapToGrid w:val="0"/>
              <w:rPr>
                <w:rFonts w:ascii="宋体" w:hAnsi="宋体"/>
              </w:rPr>
            </w:pPr>
            <w:r>
              <w:rPr>
                <w:rFonts w:ascii="宋体" w:hAnsi="宋体"/>
              </w:rPr>
              <w:t>技术规格</w:t>
            </w:r>
          </w:p>
        </w:tc>
        <w:tc>
          <w:tcPr>
            <w:tcW w:w="2688" w:type="pct"/>
            <w:shd w:val="clear" w:color="auto" w:fill="auto"/>
            <w:vAlign w:val="center"/>
          </w:tcPr>
          <w:p>
            <w:pPr>
              <w:adjustRightInd w:val="0"/>
              <w:snapToGrid w:val="0"/>
              <w:jc w:val="left"/>
              <w:rPr>
                <w:rFonts w:hint="eastAsia" w:ascii="宋体" w:hAnsi="宋体" w:eastAsia="宋体"/>
                <w:lang w:eastAsia="zh-CN"/>
              </w:rPr>
            </w:pPr>
            <w:r>
              <w:rPr>
                <w:rFonts w:ascii="宋体" w:hAnsi="宋体"/>
              </w:rPr>
              <w:t>CPU采用高性能精简指令集（RISC）处理器，CPU每条二进制处理时间不超过0.02微妙，浮点数指令执行时间不大于0.26微秒；</w:t>
            </w:r>
          </w:p>
          <w:p>
            <w:pPr>
              <w:adjustRightInd w:val="0"/>
              <w:snapToGrid w:val="0"/>
              <w:jc w:val="left"/>
              <w:rPr>
                <w:rFonts w:hint="eastAsia" w:ascii="宋体" w:hAnsi="宋体" w:eastAsia="宋体"/>
                <w:lang w:eastAsia="zh-CN"/>
              </w:rPr>
            </w:pPr>
            <w:r>
              <w:rPr>
                <w:rFonts w:ascii="宋体" w:hAnsi="宋体"/>
              </w:rPr>
              <w:t>CPU带支持国际标准现场总线的接口，总线速率可达到12Mbit/s</w:t>
            </w:r>
          </w:p>
          <w:p>
            <w:pPr>
              <w:adjustRightInd w:val="0"/>
              <w:snapToGrid w:val="0"/>
              <w:jc w:val="left"/>
              <w:rPr>
                <w:rFonts w:hint="eastAsia" w:ascii="宋体" w:hAnsi="宋体" w:eastAsia="宋体"/>
                <w:lang w:eastAsia="zh-CN"/>
              </w:rPr>
            </w:pPr>
            <w:r>
              <w:rPr>
                <w:rFonts w:ascii="宋体" w:hAnsi="宋体"/>
              </w:rPr>
              <w:t>PLC支持实时工业以太网，通讯协议：EtherNet/IP等；</w:t>
            </w:r>
          </w:p>
          <w:p>
            <w:pPr>
              <w:adjustRightInd w:val="0"/>
              <w:snapToGrid w:val="0"/>
              <w:jc w:val="left"/>
              <w:rPr>
                <w:rFonts w:hint="eastAsia" w:ascii="宋体" w:hAnsi="宋体" w:eastAsia="宋体"/>
                <w:lang w:eastAsia="zh-CN"/>
              </w:rPr>
            </w:pPr>
            <w:r>
              <w:rPr>
                <w:rFonts w:ascii="宋体" w:hAnsi="宋体"/>
              </w:rPr>
              <w:t>PLC采用双机热备系统，PLC主从CPU之间是根据主动冗余的原理进行无扰切换，CPU与CPU之间的同步必须为自动同步模式, 同步速度达300M/S；</w:t>
            </w:r>
          </w:p>
          <w:p>
            <w:pPr>
              <w:adjustRightInd w:val="0"/>
              <w:snapToGrid w:val="0"/>
              <w:jc w:val="left"/>
              <w:rPr>
                <w:rFonts w:hint="eastAsia" w:ascii="宋体" w:hAnsi="宋体" w:eastAsia="宋体"/>
                <w:lang w:eastAsia="zh-CN"/>
              </w:rPr>
            </w:pPr>
            <w:r>
              <w:rPr>
                <w:rFonts w:ascii="宋体" w:hAnsi="宋体"/>
              </w:rPr>
              <w:t>PLC的电源、CPU、以太网通讯模块必须同时配置两个，同步模块必须同时配置四个，以保证冗余系统的完整性、可靠性；</w:t>
            </w:r>
          </w:p>
          <w:p>
            <w:pPr>
              <w:adjustRightInd w:val="0"/>
              <w:snapToGrid w:val="0"/>
              <w:jc w:val="left"/>
              <w:rPr>
                <w:rFonts w:hint="eastAsia" w:ascii="宋体" w:hAnsi="宋体" w:eastAsia="宋体"/>
                <w:lang w:eastAsia="zh-CN"/>
              </w:rPr>
            </w:pPr>
            <w:r>
              <w:rPr>
                <w:rFonts w:ascii="宋体" w:hAnsi="宋体"/>
              </w:rPr>
              <w:t>I/O与CPU连接必须是两条总线和两块接口模块的方式，保证系统的可靠性；</w:t>
            </w:r>
          </w:p>
          <w:p>
            <w:pPr>
              <w:adjustRightInd w:val="0"/>
              <w:snapToGrid w:val="0"/>
              <w:jc w:val="left"/>
              <w:rPr>
                <w:rFonts w:hint="eastAsia" w:ascii="宋体" w:hAnsi="宋体" w:eastAsia="宋体"/>
                <w:lang w:eastAsia="zh-CN"/>
              </w:rPr>
            </w:pPr>
            <w:r>
              <w:rPr>
                <w:rFonts w:ascii="宋体" w:hAnsi="宋体"/>
              </w:rPr>
              <w:t>CPU与I/O必须采用采用以太网的方式进行连接。为实现高动态特性分布的系统配置能力，当节点为50个时，其网络自愈时间小于3毫秒。</w:t>
            </w:r>
          </w:p>
          <w:p>
            <w:pPr>
              <w:adjustRightInd w:val="0"/>
              <w:snapToGrid w:val="0"/>
              <w:jc w:val="left"/>
              <w:rPr>
                <w:rFonts w:hint="eastAsia" w:ascii="宋体" w:hAnsi="宋体" w:eastAsia="宋体"/>
                <w:lang w:eastAsia="zh-CN"/>
              </w:rPr>
            </w:pPr>
            <w:r>
              <w:rPr>
                <w:rFonts w:ascii="宋体" w:hAnsi="宋体"/>
              </w:rPr>
              <w:t>冗余PLC主从机架及远程均机架采用双电源供电，50/60Hz，85～264VAC；</w:t>
            </w:r>
          </w:p>
          <w:p>
            <w:pPr>
              <w:adjustRightInd w:val="0"/>
              <w:snapToGrid w:val="0"/>
              <w:jc w:val="left"/>
              <w:rPr>
                <w:rFonts w:hint="eastAsia" w:ascii="宋体" w:hAnsi="宋体" w:eastAsia="宋体"/>
                <w:lang w:eastAsia="zh-CN"/>
              </w:rPr>
            </w:pPr>
            <w:r>
              <w:rPr>
                <w:rFonts w:ascii="宋体" w:hAnsi="宋体"/>
              </w:rPr>
              <w:t>冗余CPU可灵活采用分离式机架，这样以增加硬件配置的灵活性；</w:t>
            </w:r>
          </w:p>
          <w:p>
            <w:pPr>
              <w:adjustRightInd w:val="0"/>
              <w:snapToGrid w:val="0"/>
              <w:jc w:val="left"/>
              <w:rPr>
                <w:rFonts w:hint="eastAsia" w:ascii="宋体" w:hAnsi="宋体" w:eastAsia="宋体"/>
                <w:lang w:eastAsia="zh-CN"/>
              </w:rPr>
            </w:pPr>
            <w:r>
              <w:rPr>
                <w:rFonts w:ascii="宋体" w:hAnsi="宋体"/>
              </w:rPr>
              <w:t xml:space="preserve"> CPU RAM内存容量不小于4M，无需任何电池备份程序，配备1G及以上工业SD卡。</w:t>
            </w:r>
          </w:p>
          <w:p>
            <w:pPr>
              <w:adjustRightInd w:val="0"/>
              <w:snapToGrid w:val="0"/>
              <w:jc w:val="left"/>
              <w:rPr>
                <w:rFonts w:hint="eastAsia" w:ascii="宋体" w:hAnsi="宋体" w:eastAsia="宋体"/>
                <w:lang w:eastAsia="zh-CN"/>
              </w:rPr>
            </w:pPr>
            <w:r>
              <w:rPr>
                <w:rFonts w:ascii="宋体" w:hAnsi="宋体"/>
              </w:rPr>
              <w:t>数字量输入/输出地址分别不小于12万点，模拟量输入/输出地址分别不小于4000路；</w:t>
            </w:r>
          </w:p>
          <w:p>
            <w:pPr>
              <w:adjustRightInd w:val="0"/>
              <w:snapToGrid w:val="0"/>
              <w:jc w:val="left"/>
              <w:rPr>
                <w:rFonts w:hint="eastAsia" w:ascii="宋体" w:hAnsi="宋体" w:eastAsia="宋体"/>
                <w:lang w:eastAsia="zh-CN"/>
              </w:rPr>
            </w:pPr>
            <w:r>
              <w:rPr>
                <w:rFonts w:ascii="宋体" w:hAnsi="宋体"/>
              </w:rPr>
              <w:t xml:space="preserve"> 所有编程软件和上位机监控软件在开发环境下均完全支持中文操作界面和完全的中文手册和在线帮助；</w:t>
            </w:r>
          </w:p>
          <w:p>
            <w:pPr>
              <w:adjustRightInd w:val="0"/>
              <w:snapToGrid w:val="0"/>
              <w:jc w:val="left"/>
              <w:rPr>
                <w:rFonts w:hint="eastAsia" w:ascii="宋体" w:hAnsi="宋体" w:eastAsia="宋体"/>
                <w:lang w:eastAsia="zh-CN"/>
              </w:rPr>
            </w:pPr>
            <w:r>
              <w:rPr>
                <w:rFonts w:ascii="宋体" w:hAnsi="宋体"/>
              </w:rPr>
              <w:t>所有的I/O模块均能带电热插拔，以便能够及时更换损坏的模块；且与处理器为同一系列，严禁采用高性能处理器，配低端I/O模块的方式。CPU、通讯模块、同步模块、I/O模块的安装尺寸完全一致。</w:t>
            </w:r>
          </w:p>
          <w:p>
            <w:pPr>
              <w:adjustRightInd w:val="0"/>
              <w:snapToGrid w:val="0"/>
              <w:jc w:val="left"/>
              <w:rPr>
                <w:rFonts w:hint="eastAsia" w:ascii="宋体" w:hAnsi="宋体" w:eastAsia="宋体"/>
                <w:lang w:eastAsia="zh-CN"/>
              </w:rPr>
            </w:pPr>
            <w:r>
              <w:rPr>
                <w:rFonts w:ascii="宋体" w:hAnsi="宋体"/>
              </w:rPr>
              <w:t>编程软件符合IEC61131-3标准,支持五种IEC编程语言，包括LAD、FBD、STL、SFC、CFC，提供PLC离线仿真器。编程环境采用图形化的编程界面，可提供单步、连续、断点等方式的在线监视功能，和在线操作员监视画面。具有离线程序仿真功能，可方便与触摸屏、监控软件等实现交叉仿真功能。支持本地、远程的程序上/下载、在线监视和参数修改、程序修改。</w:t>
            </w:r>
          </w:p>
          <w:p>
            <w:pPr>
              <w:adjustRightInd w:val="0"/>
              <w:snapToGrid w:val="0"/>
              <w:jc w:val="left"/>
              <w:rPr>
                <w:rFonts w:hint="eastAsia" w:ascii="宋体" w:hAnsi="宋体" w:eastAsia="宋体"/>
                <w:lang w:eastAsia="zh-CN"/>
              </w:rPr>
            </w:pPr>
            <w:r>
              <w:rPr>
                <w:rFonts w:ascii="宋体" w:hAnsi="宋体"/>
              </w:rPr>
              <w:t>环境条件：工作温度   0</w:t>
            </w:r>
            <w:r>
              <w:rPr>
                <w:rFonts w:hint="eastAsia" w:ascii="宋体" w:hAnsi="宋体"/>
              </w:rPr>
              <w:t>℃</w:t>
            </w:r>
            <w:r>
              <w:rPr>
                <w:rFonts w:ascii="宋体" w:hAnsi="宋体"/>
              </w:rPr>
              <w:t>～60</w:t>
            </w:r>
            <w:r>
              <w:rPr>
                <w:rFonts w:hint="eastAsia" w:ascii="宋体" w:hAnsi="宋体"/>
              </w:rPr>
              <w:t>℃</w:t>
            </w:r>
          </w:p>
          <w:p>
            <w:pPr>
              <w:adjustRightInd w:val="0"/>
              <w:snapToGrid w:val="0"/>
              <w:jc w:val="left"/>
              <w:rPr>
                <w:rFonts w:hint="eastAsia" w:ascii="宋体" w:hAnsi="宋体" w:eastAsia="宋体"/>
                <w:lang w:eastAsia="zh-CN"/>
              </w:rPr>
            </w:pPr>
            <w:r>
              <w:rPr>
                <w:rFonts w:ascii="宋体" w:hAnsi="宋体"/>
              </w:rPr>
              <w:t>储存温度           -40</w:t>
            </w:r>
            <w:r>
              <w:rPr>
                <w:rFonts w:hint="eastAsia" w:ascii="宋体" w:hAnsi="宋体"/>
              </w:rPr>
              <w:t>℃</w:t>
            </w:r>
            <w:r>
              <w:rPr>
                <w:rFonts w:ascii="宋体" w:hAnsi="宋体"/>
              </w:rPr>
              <w:t>～85</w:t>
            </w:r>
            <w:r>
              <w:rPr>
                <w:rFonts w:hint="eastAsia" w:ascii="宋体" w:hAnsi="宋体"/>
              </w:rPr>
              <w:t>℃</w:t>
            </w:r>
          </w:p>
          <w:p>
            <w:pPr>
              <w:adjustRightInd w:val="0"/>
              <w:snapToGrid w:val="0"/>
              <w:jc w:val="left"/>
              <w:rPr>
                <w:rFonts w:ascii="宋体" w:hAnsi="宋体"/>
              </w:rPr>
            </w:pPr>
            <w:r>
              <w:rPr>
                <w:rFonts w:ascii="宋体" w:hAnsi="宋体"/>
              </w:rPr>
              <w:t>相对湿度（储存）   5%～ 95%（无冷凝）</w:t>
            </w:r>
          </w:p>
        </w:tc>
        <w:tc>
          <w:tcPr>
            <w:tcW w:w="642" w:type="pct"/>
            <w:shd w:val="clear" w:color="auto" w:fill="auto"/>
            <w:vAlign w:val="center"/>
          </w:tcPr>
          <w:p>
            <w:pPr>
              <w:adjustRightInd w:val="0"/>
              <w:snapToGrid w:val="0"/>
              <w:rPr>
                <w:rFonts w:ascii="宋体" w:hAnsi="宋体"/>
              </w:rPr>
            </w:pPr>
            <w:r>
              <w:rPr>
                <w:rFonts w:ascii="宋体" w:hAnsi="宋体"/>
              </w:rPr>
              <w:t>　</w:t>
            </w:r>
          </w:p>
        </w:tc>
        <w:tc>
          <w:tcPr>
            <w:tcW w:w="646" w:type="pct"/>
            <w:shd w:val="clear" w:color="auto" w:fill="auto"/>
            <w:noWrap/>
            <w:vAlign w:val="center"/>
          </w:tcPr>
          <w:p>
            <w:pPr>
              <w:adjustRightInd w:val="0"/>
              <w:snapToGrid w:val="0"/>
              <w:rPr>
                <w:rFonts w:ascii="宋体" w:hAnsi="宋体"/>
              </w:rPr>
            </w:pPr>
            <w:r>
              <w:rPr>
                <w:rFonts w:ascii="宋体" w:hAnsi="宋体"/>
              </w:rPr>
              <w:t>　</w:t>
            </w:r>
          </w:p>
        </w:tc>
        <w:tc>
          <w:tcPr>
            <w:tcW w:w="429" w:type="pct"/>
            <w:shd w:val="clear" w:color="auto" w:fill="auto"/>
            <w:noWrap/>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11.3.3.2</w:t>
      </w:r>
      <w:r>
        <w:rPr>
          <w:rFonts w:ascii="宋体" w:hAnsi="宋体"/>
        </w:rPr>
        <w:t>系统电源</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9"/>
        <w:gridCol w:w="1924"/>
        <w:gridCol w:w="1908"/>
        <w:gridCol w:w="1693"/>
        <w:gridCol w:w="1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名称</w:t>
            </w:r>
          </w:p>
        </w:tc>
        <w:tc>
          <w:tcPr>
            <w:tcW w:w="1124" w:type="pct"/>
            <w:shd w:val="clear" w:color="auto" w:fill="auto"/>
            <w:vAlign w:val="center"/>
          </w:tcPr>
          <w:p>
            <w:pPr>
              <w:adjustRightInd w:val="0"/>
              <w:snapToGrid w:val="0"/>
              <w:rPr>
                <w:rFonts w:ascii="宋体" w:hAnsi="宋体"/>
              </w:rPr>
            </w:pPr>
            <w:r>
              <w:rPr>
                <w:rFonts w:ascii="宋体" w:hAnsi="宋体"/>
              </w:rPr>
              <w:t>性能要求参数</w:t>
            </w:r>
          </w:p>
        </w:tc>
        <w:tc>
          <w:tcPr>
            <w:tcW w:w="1115" w:type="pct"/>
            <w:shd w:val="clear" w:color="auto" w:fill="auto"/>
            <w:vAlign w:val="center"/>
          </w:tcPr>
          <w:p>
            <w:pPr>
              <w:adjustRightInd w:val="0"/>
              <w:snapToGrid w:val="0"/>
              <w:rPr>
                <w:rFonts w:ascii="宋体" w:hAnsi="宋体"/>
              </w:rPr>
            </w:pPr>
            <w:r>
              <w:rPr>
                <w:rFonts w:ascii="宋体" w:hAnsi="宋体"/>
              </w:rPr>
              <w:t>承包商响应参数</w:t>
            </w:r>
          </w:p>
        </w:tc>
        <w:tc>
          <w:tcPr>
            <w:tcW w:w="98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8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型号</w:t>
            </w:r>
          </w:p>
        </w:tc>
        <w:tc>
          <w:tcPr>
            <w:tcW w:w="1124" w:type="pct"/>
            <w:shd w:val="clear" w:color="auto" w:fill="auto"/>
            <w:vAlign w:val="center"/>
          </w:tcPr>
          <w:p>
            <w:pPr>
              <w:adjustRightInd w:val="0"/>
              <w:snapToGrid w:val="0"/>
              <w:rPr>
                <w:rFonts w:ascii="宋体" w:hAnsi="宋体"/>
              </w:rPr>
            </w:pPr>
            <w:r>
              <w:rPr>
                <w:rFonts w:ascii="宋体" w:hAnsi="宋体"/>
              </w:rPr>
              <w:t>　</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工作电压：</w:t>
            </w:r>
          </w:p>
        </w:tc>
        <w:tc>
          <w:tcPr>
            <w:tcW w:w="1124" w:type="pct"/>
            <w:shd w:val="clear" w:color="auto" w:fill="auto"/>
            <w:vAlign w:val="center"/>
          </w:tcPr>
          <w:p>
            <w:pPr>
              <w:adjustRightInd w:val="0"/>
              <w:snapToGrid w:val="0"/>
              <w:rPr>
                <w:rFonts w:ascii="宋体" w:hAnsi="宋体"/>
              </w:rPr>
            </w:pPr>
            <w:r>
              <w:rPr>
                <w:rFonts w:ascii="宋体" w:hAnsi="宋体"/>
              </w:rPr>
              <w:t>85～264VAC；</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频率范围：</w:t>
            </w:r>
          </w:p>
        </w:tc>
        <w:tc>
          <w:tcPr>
            <w:tcW w:w="1124" w:type="pct"/>
            <w:shd w:val="clear" w:color="auto" w:fill="auto"/>
            <w:vAlign w:val="center"/>
          </w:tcPr>
          <w:p>
            <w:pPr>
              <w:adjustRightInd w:val="0"/>
              <w:snapToGrid w:val="0"/>
              <w:rPr>
                <w:rFonts w:ascii="宋体" w:hAnsi="宋体"/>
              </w:rPr>
            </w:pPr>
            <w:r>
              <w:rPr>
                <w:rFonts w:ascii="宋体" w:hAnsi="宋体"/>
              </w:rPr>
              <w:t>47～63HZ；</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工作温度：</w:t>
            </w:r>
          </w:p>
        </w:tc>
        <w:tc>
          <w:tcPr>
            <w:tcW w:w="1124" w:type="pct"/>
            <w:shd w:val="clear" w:color="auto" w:fill="auto"/>
            <w:vAlign w:val="center"/>
          </w:tcPr>
          <w:p>
            <w:pPr>
              <w:adjustRightInd w:val="0"/>
              <w:snapToGrid w:val="0"/>
              <w:rPr>
                <w:rFonts w:ascii="宋体" w:hAnsi="宋体"/>
              </w:rPr>
            </w:pPr>
            <w:r>
              <w:rPr>
                <w:rFonts w:ascii="宋体" w:hAnsi="宋体"/>
              </w:rPr>
              <w:t>0～60摄氏度；</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保存温度：</w:t>
            </w:r>
          </w:p>
        </w:tc>
        <w:tc>
          <w:tcPr>
            <w:tcW w:w="1124" w:type="pct"/>
            <w:shd w:val="clear" w:color="auto" w:fill="auto"/>
            <w:vAlign w:val="center"/>
          </w:tcPr>
          <w:p>
            <w:pPr>
              <w:adjustRightInd w:val="0"/>
              <w:snapToGrid w:val="0"/>
              <w:rPr>
                <w:rFonts w:ascii="宋体" w:hAnsi="宋体"/>
              </w:rPr>
            </w:pPr>
            <w:r>
              <w:rPr>
                <w:rFonts w:ascii="宋体" w:hAnsi="宋体"/>
              </w:rPr>
              <w:t>－40～85摄氏度；</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相对湿度：</w:t>
            </w:r>
          </w:p>
        </w:tc>
        <w:tc>
          <w:tcPr>
            <w:tcW w:w="1124" w:type="pct"/>
            <w:shd w:val="clear" w:color="auto" w:fill="auto"/>
            <w:vAlign w:val="center"/>
          </w:tcPr>
          <w:p>
            <w:pPr>
              <w:adjustRightInd w:val="0"/>
              <w:snapToGrid w:val="0"/>
              <w:rPr>
                <w:rFonts w:ascii="宋体" w:hAnsi="宋体"/>
              </w:rPr>
            </w:pPr>
            <w:r>
              <w:rPr>
                <w:rFonts w:ascii="宋体" w:hAnsi="宋体"/>
              </w:rPr>
              <w:t>5～95％；</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隔离：</w:t>
            </w:r>
          </w:p>
        </w:tc>
        <w:tc>
          <w:tcPr>
            <w:tcW w:w="1124" w:type="pct"/>
            <w:shd w:val="clear" w:color="auto" w:fill="auto"/>
            <w:vAlign w:val="center"/>
          </w:tcPr>
          <w:p>
            <w:pPr>
              <w:adjustRightInd w:val="0"/>
              <w:snapToGrid w:val="0"/>
              <w:rPr>
                <w:rFonts w:ascii="宋体" w:hAnsi="宋体"/>
              </w:rPr>
            </w:pPr>
            <w:r>
              <w:rPr>
                <w:rFonts w:ascii="宋体" w:hAnsi="宋体"/>
              </w:rPr>
              <w:t>2500V DC 或 1800V AC持续 1秒；</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掉电延迟：</w:t>
            </w:r>
          </w:p>
        </w:tc>
        <w:tc>
          <w:tcPr>
            <w:tcW w:w="1124" w:type="pct"/>
            <w:shd w:val="clear" w:color="auto" w:fill="auto"/>
            <w:vAlign w:val="center"/>
          </w:tcPr>
          <w:p>
            <w:pPr>
              <w:adjustRightInd w:val="0"/>
              <w:snapToGrid w:val="0"/>
              <w:rPr>
                <w:rFonts w:ascii="宋体" w:hAnsi="宋体"/>
              </w:rPr>
            </w:pPr>
            <w:r>
              <w:rPr>
                <w:rFonts w:ascii="宋体" w:hAnsi="宋体"/>
              </w:rPr>
              <w:t>13.5ms；</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11.3.3.3</w:t>
      </w:r>
      <w:r>
        <w:rPr>
          <w:rFonts w:ascii="宋体" w:hAnsi="宋体"/>
        </w:rPr>
        <w:t>开关量输入模块</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106"/>
        <w:gridCol w:w="2832"/>
        <w:gridCol w:w="1433"/>
        <w:gridCol w:w="1276"/>
        <w:gridCol w:w="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shd w:val="clear" w:color="auto" w:fill="auto"/>
            <w:vAlign w:val="center"/>
          </w:tcPr>
          <w:p>
            <w:pPr>
              <w:adjustRightInd w:val="0"/>
              <w:snapToGrid w:val="0"/>
              <w:rPr>
                <w:rFonts w:ascii="宋体" w:hAnsi="宋体"/>
              </w:rPr>
            </w:pPr>
            <w:r>
              <w:rPr>
                <w:rFonts w:ascii="宋体" w:hAnsi="宋体"/>
              </w:rPr>
              <w:t>名称</w:t>
            </w:r>
          </w:p>
        </w:tc>
        <w:tc>
          <w:tcPr>
            <w:tcW w:w="1654" w:type="pct"/>
            <w:shd w:val="clear" w:color="auto" w:fill="auto"/>
            <w:vAlign w:val="center"/>
          </w:tcPr>
          <w:p>
            <w:pPr>
              <w:adjustRightInd w:val="0"/>
              <w:snapToGrid w:val="0"/>
              <w:rPr>
                <w:rFonts w:ascii="宋体" w:hAnsi="宋体"/>
              </w:rPr>
            </w:pPr>
            <w:r>
              <w:rPr>
                <w:rFonts w:ascii="宋体" w:hAnsi="宋体"/>
              </w:rPr>
              <w:t>性能要求参数</w:t>
            </w:r>
          </w:p>
        </w:tc>
        <w:tc>
          <w:tcPr>
            <w:tcW w:w="837" w:type="pct"/>
            <w:shd w:val="clear" w:color="auto" w:fill="auto"/>
            <w:vAlign w:val="center"/>
          </w:tcPr>
          <w:p>
            <w:pPr>
              <w:adjustRightInd w:val="0"/>
              <w:snapToGrid w:val="0"/>
              <w:rPr>
                <w:rFonts w:ascii="宋体" w:hAnsi="宋体"/>
              </w:rPr>
            </w:pPr>
            <w:r>
              <w:rPr>
                <w:rFonts w:ascii="宋体" w:hAnsi="宋体"/>
              </w:rPr>
              <w:t>承包商响应参数</w:t>
            </w:r>
          </w:p>
        </w:tc>
        <w:tc>
          <w:tcPr>
            <w:tcW w:w="745"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531"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shd w:val="clear" w:color="auto" w:fill="auto"/>
            <w:vAlign w:val="center"/>
          </w:tcPr>
          <w:p>
            <w:pPr>
              <w:adjustRightInd w:val="0"/>
              <w:snapToGrid w:val="0"/>
              <w:rPr>
                <w:rFonts w:ascii="宋体" w:hAnsi="宋体"/>
              </w:rPr>
            </w:pPr>
            <w:r>
              <w:rPr>
                <w:rFonts w:ascii="宋体" w:hAnsi="宋体"/>
              </w:rPr>
              <w:t>制造商</w:t>
            </w:r>
          </w:p>
        </w:tc>
        <w:tc>
          <w:tcPr>
            <w:tcW w:w="1654" w:type="pct"/>
            <w:shd w:val="clear" w:color="auto" w:fill="auto"/>
            <w:vAlign w:val="center"/>
          </w:tcPr>
          <w:p>
            <w:pPr>
              <w:adjustRightInd w:val="0"/>
              <w:snapToGrid w:val="0"/>
              <w:rPr>
                <w:rFonts w:ascii="宋体" w:hAnsi="宋体"/>
              </w:rPr>
            </w:pP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shd w:val="clear" w:color="auto" w:fill="auto"/>
            <w:vAlign w:val="center"/>
          </w:tcPr>
          <w:p>
            <w:pPr>
              <w:adjustRightInd w:val="0"/>
              <w:snapToGrid w:val="0"/>
              <w:rPr>
                <w:rFonts w:ascii="宋体" w:hAnsi="宋体"/>
              </w:rPr>
            </w:pPr>
            <w:r>
              <w:rPr>
                <w:rFonts w:ascii="宋体" w:hAnsi="宋体"/>
              </w:rPr>
              <w:t>原产地</w:t>
            </w:r>
          </w:p>
        </w:tc>
        <w:tc>
          <w:tcPr>
            <w:tcW w:w="1654" w:type="pct"/>
            <w:shd w:val="clear" w:color="auto" w:fill="auto"/>
            <w:vAlign w:val="center"/>
          </w:tcPr>
          <w:p>
            <w:pPr>
              <w:adjustRightInd w:val="0"/>
              <w:snapToGrid w:val="0"/>
              <w:rPr>
                <w:rFonts w:ascii="宋体" w:hAnsi="宋体"/>
              </w:rPr>
            </w:pP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shd w:val="clear" w:color="auto" w:fill="auto"/>
            <w:vAlign w:val="center"/>
          </w:tcPr>
          <w:p>
            <w:pPr>
              <w:adjustRightInd w:val="0"/>
              <w:snapToGrid w:val="0"/>
              <w:rPr>
                <w:rFonts w:ascii="宋体" w:hAnsi="宋体"/>
              </w:rPr>
            </w:pPr>
            <w:r>
              <w:rPr>
                <w:rFonts w:ascii="宋体" w:hAnsi="宋体"/>
              </w:rPr>
              <w:t>型号</w:t>
            </w:r>
          </w:p>
        </w:tc>
        <w:tc>
          <w:tcPr>
            <w:tcW w:w="1654" w:type="pct"/>
            <w:shd w:val="clear" w:color="auto" w:fill="auto"/>
            <w:vAlign w:val="center"/>
          </w:tcPr>
          <w:p>
            <w:pPr>
              <w:adjustRightInd w:val="0"/>
              <w:snapToGrid w:val="0"/>
              <w:rPr>
                <w:rFonts w:ascii="宋体" w:hAnsi="宋体"/>
              </w:rPr>
            </w:pP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shd w:val="clear" w:color="auto" w:fill="auto"/>
            <w:vAlign w:val="center"/>
          </w:tcPr>
          <w:p>
            <w:pPr>
              <w:adjustRightInd w:val="0"/>
              <w:snapToGrid w:val="0"/>
              <w:rPr>
                <w:rFonts w:ascii="宋体" w:hAnsi="宋体"/>
              </w:rPr>
            </w:pPr>
            <w:r>
              <w:rPr>
                <w:rFonts w:ascii="宋体" w:hAnsi="宋体"/>
              </w:rPr>
              <w:t>额定负载电压</w:t>
            </w:r>
          </w:p>
        </w:tc>
        <w:tc>
          <w:tcPr>
            <w:tcW w:w="1654" w:type="pct"/>
            <w:shd w:val="clear" w:color="auto" w:fill="auto"/>
            <w:vAlign w:val="center"/>
          </w:tcPr>
          <w:p>
            <w:pPr>
              <w:adjustRightInd w:val="0"/>
              <w:snapToGrid w:val="0"/>
              <w:rPr>
                <w:rFonts w:ascii="宋体" w:hAnsi="宋体"/>
              </w:rPr>
            </w:pPr>
            <w:r>
              <w:rPr>
                <w:rFonts w:ascii="宋体" w:hAnsi="宋体"/>
              </w:rPr>
              <w:t>220VAC</w:t>
            </w: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shd w:val="clear" w:color="auto" w:fill="auto"/>
            <w:vAlign w:val="center"/>
          </w:tcPr>
          <w:p>
            <w:pPr>
              <w:adjustRightInd w:val="0"/>
              <w:snapToGrid w:val="0"/>
              <w:rPr>
                <w:rFonts w:ascii="宋体" w:hAnsi="宋体"/>
              </w:rPr>
            </w:pPr>
            <w:r>
              <w:rPr>
                <w:rFonts w:ascii="宋体" w:hAnsi="宋体"/>
              </w:rPr>
              <w:t>输入</w:t>
            </w:r>
          </w:p>
        </w:tc>
        <w:tc>
          <w:tcPr>
            <w:tcW w:w="1654" w:type="pct"/>
            <w:shd w:val="clear" w:color="auto" w:fill="auto"/>
            <w:vAlign w:val="center"/>
          </w:tcPr>
          <w:p>
            <w:pPr>
              <w:adjustRightInd w:val="0"/>
              <w:snapToGrid w:val="0"/>
              <w:rPr>
                <w:rFonts w:ascii="宋体" w:hAnsi="宋体"/>
              </w:rPr>
            </w:pPr>
            <w:r>
              <w:rPr>
                <w:rFonts w:ascii="宋体" w:hAnsi="宋体"/>
              </w:rPr>
              <w:t>每通道隔离输入</w:t>
            </w: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shd w:val="clear" w:color="auto" w:fill="auto"/>
            <w:vAlign w:val="center"/>
          </w:tcPr>
          <w:p>
            <w:pPr>
              <w:adjustRightInd w:val="0"/>
              <w:snapToGrid w:val="0"/>
              <w:rPr>
                <w:rFonts w:ascii="宋体" w:hAnsi="宋体"/>
              </w:rPr>
            </w:pPr>
            <w:r>
              <w:rPr>
                <w:rFonts w:ascii="宋体" w:hAnsi="宋体"/>
              </w:rPr>
              <w:t>模块密度</w:t>
            </w:r>
          </w:p>
        </w:tc>
        <w:tc>
          <w:tcPr>
            <w:tcW w:w="1654" w:type="pct"/>
            <w:shd w:val="clear" w:color="auto" w:fill="auto"/>
            <w:vAlign w:val="center"/>
          </w:tcPr>
          <w:p>
            <w:pPr>
              <w:adjustRightInd w:val="0"/>
              <w:snapToGrid w:val="0"/>
              <w:rPr>
                <w:rFonts w:ascii="宋体" w:hAnsi="宋体"/>
              </w:rPr>
            </w:pPr>
            <w:r>
              <w:rPr>
                <w:rFonts w:ascii="宋体" w:hAnsi="宋体"/>
              </w:rPr>
              <w:t>不超过 32 点</w:t>
            </w: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vMerge w:val="restart"/>
            <w:shd w:val="clear" w:color="auto" w:fill="auto"/>
            <w:vAlign w:val="center"/>
          </w:tcPr>
          <w:p>
            <w:pPr>
              <w:adjustRightInd w:val="0"/>
              <w:snapToGrid w:val="0"/>
              <w:rPr>
                <w:rFonts w:ascii="宋体" w:hAnsi="宋体"/>
              </w:rPr>
            </w:pPr>
            <w:r>
              <w:rPr>
                <w:rFonts w:ascii="宋体" w:hAnsi="宋体"/>
              </w:rPr>
              <w:t>功能</w:t>
            </w:r>
          </w:p>
        </w:tc>
        <w:tc>
          <w:tcPr>
            <w:tcW w:w="1654" w:type="pct"/>
            <w:shd w:val="clear" w:color="auto" w:fill="auto"/>
            <w:vAlign w:val="center"/>
          </w:tcPr>
          <w:p>
            <w:pPr>
              <w:adjustRightInd w:val="0"/>
              <w:snapToGrid w:val="0"/>
              <w:rPr>
                <w:rFonts w:ascii="宋体" w:hAnsi="宋体"/>
              </w:rPr>
            </w:pPr>
            <w:r>
              <w:rPr>
                <w:rFonts w:ascii="宋体" w:hAnsi="宋体"/>
              </w:rPr>
              <w:t>支持带电插拔；</w:t>
            </w: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vMerge w:val="continue"/>
            <w:shd w:val="clear" w:color="auto" w:fill="auto"/>
            <w:vAlign w:val="center"/>
          </w:tcPr>
          <w:p>
            <w:pPr>
              <w:adjustRightInd w:val="0"/>
              <w:snapToGrid w:val="0"/>
              <w:rPr>
                <w:rFonts w:ascii="宋体" w:hAnsi="宋体"/>
              </w:rPr>
            </w:pPr>
          </w:p>
        </w:tc>
        <w:tc>
          <w:tcPr>
            <w:tcW w:w="1654" w:type="pct"/>
            <w:shd w:val="clear" w:color="auto" w:fill="auto"/>
            <w:vAlign w:val="center"/>
          </w:tcPr>
          <w:p>
            <w:pPr>
              <w:adjustRightInd w:val="0"/>
              <w:snapToGrid w:val="0"/>
              <w:rPr>
                <w:rFonts w:ascii="宋体" w:hAnsi="宋体"/>
              </w:rPr>
            </w:pPr>
            <w:r>
              <w:rPr>
                <w:rFonts w:ascii="宋体" w:hAnsi="宋体"/>
              </w:rPr>
              <w:t>模块数据刷新速率可组态；</w:t>
            </w: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vMerge w:val="continue"/>
            <w:shd w:val="clear" w:color="auto" w:fill="auto"/>
            <w:vAlign w:val="center"/>
          </w:tcPr>
          <w:p>
            <w:pPr>
              <w:adjustRightInd w:val="0"/>
              <w:snapToGrid w:val="0"/>
              <w:rPr>
                <w:rFonts w:ascii="宋体" w:hAnsi="宋体"/>
              </w:rPr>
            </w:pPr>
          </w:p>
        </w:tc>
        <w:tc>
          <w:tcPr>
            <w:tcW w:w="1654" w:type="pct"/>
            <w:shd w:val="clear" w:color="auto" w:fill="auto"/>
            <w:vAlign w:val="center"/>
          </w:tcPr>
          <w:p>
            <w:pPr>
              <w:adjustRightInd w:val="0"/>
              <w:snapToGrid w:val="0"/>
              <w:rPr>
                <w:rFonts w:ascii="宋体" w:hAnsi="宋体"/>
              </w:rPr>
            </w:pPr>
            <w:r>
              <w:rPr>
                <w:rFonts w:ascii="宋体" w:hAnsi="宋体"/>
              </w:rPr>
              <w:t>故障报告和现场级的诊断检测；</w:t>
            </w: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vMerge w:val="continue"/>
            <w:shd w:val="clear" w:color="auto" w:fill="auto"/>
            <w:vAlign w:val="center"/>
          </w:tcPr>
          <w:p>
            <w:pPr>
              <w:adjustRightInd w:val="0"/>
              <w:snapToGrid w:val="0"/>
              <w:rPr>
                <w:rFonts w:ascii="宋体" w:hAnsi="宋体"/>
              </w:rPr>
            </w:pPr>
          </w:p>
        </w:tc>
        <w:tc>
          <w:tcPr>
            <w:tcW w:w="1654" w:type="pct"/>
            <w:shd w:val="clear" w:color="auto" w:fill="auto"/>
            <w:vAlign w:val="center"/>
          </w:tcPr>
          <w:p>
            <w:pPr>
              <w:adjustRightInd w:val="0"/>
              <w:snapToGrid w:val="0"/>
              <w:rPr>
                <w:rFonts w:ascii="宋体" w:hAnsi="宋体"/>
              </w:rPr>
            </w:pPr>
            <w:r>
              <w:rPr>
                <w:rFonts w:ascii="宋体" w:hAnsi="宋体"/>
              </w:rPr>
              <w:t>数据时标功能；</w:t>
            </w:r>
          </w:p>
        </w:tc>
        <w:tc>
          <w:tcPr>
            <w:tcW w:w="837" w:type="pct"/>
            <w:shd w:val="clear" w:color="auto" w:fill="auto"/>
            <w:vAlign w:val="center"/>
          </w:tcPr>
          <w:p>
            <w:pPr>
              <w:adjustRightInd w:val="0"/>
              <w:snapToGrid w:val="0"/>
              <w:rPr>
                <w:rFonts w:ascii="宋体" w:hAnsi="宋体"/>
              </w:rPr>
            </w:pPr>
            <w:r>
              <w:rPr>
                <w:rFonts w:ascii="宋体" w:hAnsi="宋体"/>
              </w:rPr>
              <w:t>　</w:t>
            </w:r>
          </w:p>
        </w:tc>
        <w:tc>
          <w:tcPr>
            <w:tcW w:w="745" w:type="pct"/>
            <w:shd w:val="clear" w:color="auto" w:fill="auto"/>
            <w:vAlign w:val="center"/>
          </w:tcPr>
          <w:p>
            <w:pPr>
              <w:adjustRightInd w:val="0"/>
              <w:snapToGrid w:val="0"/>
              <w:rPr>
                <w:rFonts w:ascii="宋体" w:hAnsi="宋体"/>
              </w:rPr>
            </w:pPr>
            <w:r>
              <w:rPr>
                <w:rFonts w:ascii="宋体" w:hAnsi="宋体"/>
              </w:rPr>
              <w:t>　</w:t>
            </w:r>
          </w:p>
        </w:tc>
        <w:tc>
          <w:tcPr>
            <w:tcW w:w="531"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vMerge w:val="continue"/>
            <w:shd w:val="clear" w:color="auto" w:fill="auto"/>
            <w:vAlign w:val="center"/>
          </w:tcPr>
          <w:p>
            <w:pPr>
              <w:adjustRightInd w:val="0"/>
              <w:snapToGrid w:val="0"/>
              <w:rPr>
                <w:rFonts w:ascii="宋体" w:hAnsi="宋体"/>
              </w:rPr>
            </w:pPr>
          </w:p>
        </w:tc>
        <w:tc>
          <w:tcPr>
            <w:tcW w:w="1654" w:type="pct"/>
            <w:shd w:val="clear" w:color="auto" w:fill="auto"/>
            <w:vAlign w:val="center"/>
          </w:tcPr>
          <w:p>
            <w:pPr>
              <w:adjustRightInd w:val="0"/>
              <w:snapToGrid w:val="0"/>
              <w:rPr>
                <w:rFonts w:ascii="宋体" w:hAnsi="宋体"/>
              </w:rPr>
            </w:pPr>
            <w:r>
              <w:rPr>
                <w:rFonts w:ascii="宋体" w:hAnsi="宋体"/>
              </w:rPr>
              <w:t>完全软件可配置；</w:t>
            </w:r>
          </w:p>
        </w:tc>
        <w:tc>
          <w:tcPr>
            <w:tcW w:w="837" w:type="pct"/>
            <w:shd w:val="clear" w:color="auto" w:fill="auto"/>
            <w:noWrap/>
            <w:vAlign w:val="center"/>
          </w:tcPr>
          <w:p>
            <w:pPr>
              <w:adjustRightInd w:val="0"/>
              <w:snapToGrid w:val="0"/>
              <w:rPr>
                <w:rFonts w:ascii="宋体" w:hAnsi="宋体"/>
              </w:rPr>
            </w:pPr>
            <w:r>
              <w:rPr>
                <w:rFonts w:ascii="宋体" w:hAnsi="宋体"/>
              </w:rPr>
              <w:t>　</w:t>
            </w:r>
          </w:p>
        </w:tc>
        <w:tc>
          <w:tcPr>
            <w:tcW w:w="745" w:type="pct"/>
            <w:shd w:val="clear" w:color="auto" w:fill="auto"/>
            <w:noWrap/>
            <w:vAlign w:val="center"/>
          </w:tcPr>
          <w:p>
            <w:pPr>
              <w:adjustRightInd w:val="0"/>
              <w:snapToGrid w:val="0"/>
              <w:rPr>
                <w:rFonts w:ascii="宋体" w:hAnsi="宋体"/>
              </w:rPr>
            </w:pPr>
            <w:r>
              <w:rPr>
                <w:rFonts w:ascii="宋体" w:hAnsi="宋体"/>
              </w:rPr>
              <w:t>　</w:t>
            </w:r>
          </w:p>
        </w:tc>
        <w:tc>
          <w:tcPr>
            <w:tcW w:w="531"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vMerge w:val="continue"/>
            <w:shd w:val="clear" w:color="auto" w:fill="auto"/>
            <w:vAlign w:val="center"/>
          </w:tcPr>
          <w:p>
            <w:pPr>
              <w:adjustRightInd w:val="0"/>
              <w:snapToGrid w:val="0"/>
              <w:rPr>
                <w:rFonts w:ascii="宋体" w:hAnsi="宋体"/>
              </w:rPr>
            </w:pPr>
          </w:p>
        </w:tc>
        <w:tc>
          <w:tcPr>
            <w:tcW w:w="1654" w:type="pct"/>
            <w:shd w:val="clear" w:color="auto" w:fill="auto"/>
            <w:vAlign w:val="center"/>
          </w:tcPr>
          <w:p>
            <w:pPr>
              <w:adjustRightInd w:val="0"/>
              <w:snapToGrid w:val="0"/>
              <w:rPr>
                <w:rFonts w:ascii="宋体" w:hAnsi="宋体"/>
              </w:rPr>
            </w:pPr>
            <w:r>
              <w:rPr>
                <w:rFonts w:ascii="宋体" w:hAnsi="宋体"/>
              </w:rPr>
              <w:t>故障锁定功能；</w:t>
            </w:r>
          </w:p>
        </w:tc>
        <w:tc>
          <w:tcPr>
            <w:tcW w:w="837" w:type="pct"/>
            <w:shd w:val="clear" w:color="auto" w:fill="auto"/>
            <w:noWrap/>
            <w:vAlign w:val="center"/>
          </w:tcPr>
          <w:p>
            <w:pPr>
              <w:adjustRightInd w:val="0"/>
              <w:snapToGrid w:val="0"/>
              <w:rPr>
                <w:rFonts w:ascii="宋体" w:hAnsi="宋体"/>
              </w:rPr>
            </w:pPr>
            <w:r>
              <w:rPr>
                <w:rFonts w:ascii="宋体" w:hAnsi="宋体"/>
              </w:rPr>
              <w:t>　</w:t>
            </w:r>
          </w:p>
        </w:tc>
        <w:tc>
          <w:tcPr>
            <w:tcW w:w="745" w:type="pct"/>
            <w:shd w:val="clear" w:color="auto" w:fill="auto"/>
            <w:noWrap/>
            <w:vAlign w:val="center"/>
          </w:tcPr>
          <w:p>
            <w:pPr>
              <w:adjustRightInd w:val="0"/>
              <w:snapToGrid w:val="0"/>
              <w:rPr>
                <w:rFonts w:ascii="宋体" w:hAnsi="宋体"/>
              </w:rPr>
            </w:pPr>
            <w:r>
              <w:rPr>
                <w:rFonts w:ascii="宋体" w:hAnsi="宋体"/>
              </w:rPr>
              <w:t>　</w:t>
            </w:r>
          </w:p>
        </w:tc>
        <w:tc>
          <w:tcPr>
            <w:tcW w:w="531"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vMerge w:val="continue"/>
            <w:shd w:val="clear" w:color="auto" w:fill="auto"/>
            <w:vAlign w:val="center"/>
          </w:tcPr>
          <w:p>
            <w:pPr>
              <w:adjustRightInd w:val="0"/>
              <w:snapToGrid w:val="0"/>
              <w:rPr>
                <w:rFonts w:ascii="宋体" w:hAnsi="宋体"/>
              </w:rPr>
            </w:pPr>
          </w:p>
        </w:tc>
        <w:tc>
          <w:tcPr>
            <w:tcW w:w="1654" w:type="pct"/>
            <w:shd w:val="clear" w:color="auto" w:fill="auto"/>
            <w:vAlign w:val="center"/>
          </w:tcPr>
          <w:p>
            <w:pPr>
              <w:adjustRightInd w:val="0"/>
              <w:snapToGrid w:val="0"/>
              <w:rPr>
                <w:rFonts w:ascii="宋体" w:hAnsi="宋体"/>
              </w:rPr>
            </w:pPr>
            <w:r>
              <w:rPr>
                <w:rFonts w:ascii="宋体" w:hAnsi="宋体"/>
              </w:rPr>
              <w:t>故障时标功能；</w:t>
            </w:r>
          </w:p>
        </w:tc>
        <w:tc>
          <w:tcPr>
            <w:tcW w:w="837" w:type="pct"/>
            <w:shd w:val="clear" w:color="auto" w:fill="auto"/>
            <w:noWrap/>
            <w:vAlign w:val="center"/>
          </w:tcPr>
          <w:p>
            <w:pPr>
              <w:adjustRightInd w:val="0"/>
              <w:snapToGrid w:val="0"/>
              <w:rPr>
                <w:rFonts w:ascii="宋体" w:hAnsi="宋体"/>
              </w:rPr>
            </w:pPr>
            <w:r>
              <w:rPr>
                <w:rFonts w:ascii="宋体" w:hAnsi="宋体"/>
              </w:rPr>
              <w:t>　</w:t>
            </w:r>
          </w:p>
        </w:tc>
        <w:tc>
          <w:tcPr>
            <w:tcW w:w="745" w:type="pct"/>
            <w:shd w:val="clear" w:color="auto" w:fill="auto"/>
            <w:noWrap/>
            <w:vAlign w:val="center"/>
          </w:tcPr>
          <w:p>
            <w:pPr>
              <w:adjustRightInd w:val="0"/>
              <w:snapToGrid w:val="0"/>
              <w:rPr>
                <w:rFonts w:ascii="宋体" w:hAnsi="宋体"/>
              </w:rPr>
            </w:pPr>
            <w:r>
              <w:rPr>
                <w:rFonts w:ascii="宋体" w:hAnsi="宋体"/>
              </w:rPr>
              <w:t>　</w:t>
            </w:r>
          </w:p>
        </w:tc>
        <w:tc>
          <w:tcPr>
            <w:tcW w:w="531"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vMerge w:val="continue"/>
            <w:shd w:val="clear" w:color="auto" w:fill="auto"/>
            <w:vAlign w:val="center"/>
          </w:tcPr>
          <w:p>
            <w:pPr>
              <w:adjustRightInd w:val="0"/>
              <w:snapToGrid w:val="0"/>
              <w:rPr>
                <w:rFonts w:ascii="宋体" w:hAnsi="宋体"/>
              </w:rPr>
            </w:pPr>
          </w:p>
        </w:tc>
        <w:tc>
          <w:tcPr>
            <w:tcW w:w="1654" w:type="pct"/>
            <w:shd w:val="clear" w:color="auto" w:fill="auto"/>
            <w:vAlign w:val="center"/>
          </w:tcPr>
          <w:p>
            <w:pPr>
              <w:adjustRightInd w:val="0"/>
              <w:snapToGrid w:val="0"/>
              <w:rPr>
                <w:rFonts w:ascii="宋体" w:hAnsi="宋体"/>
              </w:rPr>
            </w:pPr>
            <w:r>
              <w:rPr>
                <w:rFonts w:ascii="宋体" w:hAnsi="宋体"/>
              </w:rPr>
              <w:t>隔离功能：用户端与系统端之间： 1500V rms，光电隔离</w:t>
            </w:r>
          </w:p>
        </w:tc>
        <w:tc>
          <w:tcPr>
            <w:tcW w:w="837" w:type="pct"/>
            <w:shd w:val="clear" w:color="auto" w:fill="auto"/>
            <w:noWrap/>
            <w:vAlign w:val="center"/>
          </w:tcPr>
          <w:p>
            <w:pPr>
              <w:adjustRightInd w:val="0"/>
              <w:snapToGrid w:val="0"/>
              <w:rPr>
                <w:rFonts w:ascii="宋体" w:hAnsi="宋体"/>
              </w:rPr>
            </w:pPr>
            <w:r>
              <w:rPr>
                <w:rFonts w:ascii="宋体" w:hAnsi="宋体"/>
              </w:rPr>
              <w:t>　</w:t>
            </w:r>
          </w:p>
        </w:tc>
        <w:tc>
          <w:tcPr>
            <w:tcW w:w="745" w:type="pct"/>
            <w:shd w:val="clear" w:color="auto" w:fill="auto"/>
            <w:noWrap/>
            <w:vAlign w:val="center"/>
          </w:tcPr>
          <w:p>
            <w:pPr>
              <w:adjustRightInd w:val="0"/>
              <w:snapToGrid w:val="0"/>
              <w:rPr>
                <w:rFonts w:ascii="宋体" w:hAnsi="宋体"/>
              </w:rPr>
            </w:pPr>
            <w:r>
              <w:rPr>
                <w:rFonts w:ascii="宋体" w:hAnsi="宋体"/>
              </w:rPr>
              <w:t>　</w:t>
            </w:r>
          </w:p>
        </w:tc>
        <w:tc>
          <w:tcPr>
            <w:tcW w:w="531"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230" w:type="pct"/>
            <w:shd w:val="clear" w:color="auto" w:fill="auto"/>
            <w:vAlign w:val="center"/>
          </w:tcPr>
          <w:p>
            <w:pPr>
              <w:adjustRightInd w:val="0"/>
              <w:snapToGrid w:val="0"/>
              <w:rPr>
                <w:rFonts w:ascii="宋体" w:hAnsi="宋体"/>
              </w:rPr>
            </w:pPr>
            <w:r>
              <w:rPr>
                <w:rFonts w:ascii="宋体" w:hAnsi="宋体"/>
              </w:rPr>
              <w:t>认证</w:t>
            </w:r>
          </w:p>
        </w:tc>
        <w:tc>
          <w:tcPr>
            <w:tcW w:w="1654" w:type="pct"/>
            <w:shd w:val="clear" w:color="auto" w:fill="auto"/>
            <w:vAlign w:val="center"/>
          </w:tcPr>
          <w:p>
            <w:pPr>
              <w:adjustRightInd w:val="0"/>
              <w:snapToGrid w:val="0"/>
              <w:rPr>
                <w:rFonts w:ascii="宋体" w:hAnsi="宋体"/>
              </w:rPr>
            </w:pPr>
            <w:r>
              <w:rPr>
                <w:rFonts w:ascii="宋体" w:hAnsi="宋体"/>
              </w:rPr>
              <w:t>Class I/Division 2, UL, CSA, FM and CE Agency</w:t>
            </w:r>
          </w:p>
        </w:tc>
        <w:tc>
          <w:tcPr>
            <w:tcW w:w="837" w:type="pct"/>
            <w:shd w:val="clear" w:color="auto" w:fill="auto"/>
            <w:noWrap/>
            <w:vAlign w:val="center"/>
          </w:tcPr>
          <w:p>
            <w:pPr>
              <w:adjustRightInd w:val="0"/>
              <w:snapToGrid w:val="0"/>
              <w:rPr>
                <w:rFonts w:ascii="宋体" w:hAnsi="宋体"/>
              </w:rPr>
            </w:pPr>
            <w:r>
              <w:rPr>
                <w:rFonts w:ascii="宋体" w:hAnsi="宋体"/>
              </w:rPr>
              <w:t>　</w:t>
            </w:r>
          </w:p>
        </w:tc>
        <w:tc>
          <w:tcPr>
            <w:tcW w:w="745" w:type="pct"/>
            <w:shd w:val="clear" w:color="auto" w:fill="auto"/>
            <w:noWrap/>
            <w:vAlign w:val="center"/>
          </w:tcPr>
          <w:p>
            <w:pPr>
              <w:adjustRightInd w:val="0"/>
              <w:snapToGrid w:val="0"/>
              <w:rPr>
                <w:rFonts w:ascii="宋体" w:hAnsi="宋体"/>
              </w:rPr>
            </w:pPr>
            <w:r>
              <w:rPr>
                <w:rFonts w:ascii="宋体" w:hAnsi="宋体"/>
              </w:rPr>
              <w:t>　</w:t>
            </w:r>
          </w:p>
        </w:tc>
        <w:tc>
          <w:tcPr>
            <w:tcW w:w="531" w:type="pct"/>
            <w:shd w:val="clear" w:color="auto" w:fill="auto"/>
            <w:noWrap/>
            <w:vAlign w:val="center"/>
          </w:tcPr>
          <w:p>
            <w:pPr>
              <w:adjustRightInd w:val="0"/>
              <w:snapToGrid w:val="0"/>
              <w:rPr>
                <w:rFonts w:ascii="宋体" w:hAnsi="宋体"/>
              </w:rPr>
            </w:pPr>
          </w:p>
        </w:tc>
      </w:tr>
    </w:tbl>
    <w:p>
      <w:pPr>
        <w:adjustRightInd w:val="0"/>
        <w:snapToGrid w:val="0"/>
        <w:rPr>
          <w:rFonts w:ascii="宋体" w:hAnsi="宋体"/>
          <w:lang w:val="en-GB"/>
        </w:rPr>
      </w:pPr>
    </w:p>
    <w:p>
      <w:pPr>
        <w:adjustRightInd w:val="0"/>
        <w:snapToGrid w:val="0"/>
        <w:rPr>
          <w:rFonts w:ascii="宋体" w:hAnsi="宋体"/>
        </w:rPr>
      </w:pPr>
      <w:r>
        <w:rPr>
          <w:rFonts w:hint="eastAsia" w:ascii="宋体" w:hAnsi="宋体"/>
        </w:rPr>
        <w:t>11.3.3.4</w:t>
      </w:r>
      <w:r>
        <w:rPr>
          <w:rFonts w:ascii="宋体" w:hAnsi="宋体"/>
        </w:rPr>
        <w:t>开关量输出模块</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96"/>
        <w:gridCol w:w="2957"/>
        <w:gridCol w:w="2310"/>
        <w:gridCol w:w="947"/>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shd w:val="clear" w:color="auto" w:fill="auto"/>
            <w:vAlign w:val="center"/>
          </w:tcPr>
          <w:p>
            <w:pPr>
              <w:adjustRightInd w:val="0"/>
              <w:snapToGrid w:val="0"/>
              <w:rPr>
                <w:rFonts w:ascii="宋体" w:hAnsi="宋体"/>
              </w:rPr>
            </w:pPr>
            <w:r>
              <w:rPr>
                <w:rFonts w:ascii="宋体" w:hAnsi="宋体"/>
              </w:rPr>
              <w:t>名称</w:t>
            </w:r>
          </w:p>
        </w:tc>
        <w:tc>
          <w:tcPr>
            <w:tcW w:w="1727" w:type="pct"/>
            <w:shd w:val="clear" w:color="auto" w:fill="auto"/>
            <w:vAlign w:val="center"/>
          </w:tcPr>
          <w:p>
            <w:pPr>
              <w:adjustRightInd w:val="0"/>
              <w:snapToGrid w:val="0"/>
              <w:rPr>
                <w:rFonts w:ascii="宋体" w:hAnsi="宋体"/>
              </w:rPr>
            </w:pPr>
            <w:r>
              <w:rPr>
                <w:rFonts w:ascii="宋体" w:hAnsi="宋体"/>
              </w:rPr>
              <w:t>性能要求参数</w:t>
            </w:r>
          </w:p>
        </w:tc>
        <w:tc>
          <w:tcPr>
            <w:tcW w:w="1349" w:type="pct"/>
            <w:shd w:val="clear" w:color="auto" w:fill="auto"/>
            <w:vAlign w:val="center"/>
          </w:tcPr>
          <w:p>
            <w:pPr>
              <w:adjustRightInd w:val="0"/>
              <w:snapToGrid w:val="0"/>
              <w:rPr>
                <w:rFonts w:ascii="宋体" w:hAnsi="宋体"/>
              </w:rPr>
            </w:pPr>
            <w:r>
              <w:rPr>
                <w:rFonts w:ascii="宋体" w:hAnsi="宋体"/>
              </w:rPr>
              <w:t>承包商响应参数</w:t>
            </w:r>
          </w:p>
        </w:tc>
        <w:tc>
          <w:tcPr>
            <w:tcW w:w="947" w:type="dxa"/>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47" w:type="dxa"/>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shd w:val="clear" w:color="auto" w:fill="auto"/>
            <w:vAlign w:val="center"/>
          </w:tcPr>
          <w:p>
            <w:pPr>
              <w:adjustRightInd w:val="0"/>
              <w:snapToGrid w:val="0"/>
              <w:rPr>
                <w:rFonts w:ascii="宋体" w:hAnsi="宋体"/>
              </w:rPr>
            </w:pPr>
            <w:r>
              <w:rPr>
                <w:rFonts w:ascii="宋体" w:hAnsi="宋体"/>
              </w:rPr>
              <w:t>制造商</w:t>
            </w:r>
          </w:p>
        </w:tc>
        <w:tc>
          <w:tcPr>
            <w:tcW w:w="1727" w:type="pct"/>
            <w:shd w:val="clear" w:color="auto" w:fill="auto"/>
            <w:vAlign w:val="center"/>
          </w:tcPr>
          <w:p>
            <w:pPr>
              <w:adjustRightInd w:val="0"/>
              <w:snapToGrid w:val="0"/>
              <w:rPr>
                <w:rFonts w:ascii="宋体" w:hAnsi="宋体"/>
              </w:rPr>
            </w:pP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shd w:val="clear" w:color="auto" w:fill="auto"/>
            <w:vAlign w:val="center"/>
          </w:tcPr>
          <w:p>
            <w:pPr>
              <w:adjustRightInd w:val="0"/>
              <w:snapToGrid w:val="0"/>
              <w:rPr>
                <w:rFonts w:ascii="宋体" w:hAnsi="宋体"/>
              </w:rPr>
            </w:pPr>
            <w:r>
              <w:rPr>
                <w:rFonts w:ascii="宋体" w:hAnsi="宋体"/>
              </w:rPr>
              <w:t>原产地</w:t>
            </w:r>
          </w:p>
        </w:tc>
        <w:tc>
          <w:tcPr>
            <w:tcW w:w="1727" w:type="pct"/>
            <w:shd w:val="clear" w:color="auto" w:fill="auto"/>
            <w:vAlign w:val="center"/>
          </w:tcPr>
          <w:p>
            <w:pPr>
              <w:adjustRightInd w:val="0"/>
              <w:snapToGrid w:val="0"/>
              <w:rPr>
                <w:rFonts w:ascii="宋体" w:hAnsi="宋体"/>
              </w:rPr>
            </w:pP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shd w:val="clear" w:color="auto" w:fill="auto"/>
            <w:vAlign w:val="center"/>
          </w:tcPr>
          <w:p>
            <w:pPr>
              <w:adjustRightInd w:val="0"/>
              <w:snapToGrid w:val="0"/>
              <w:rPr>
                <w:rFonts w:ascii="宋体" w:hAnsi="宋体"/>
              </w:rPr>
            </w:pPr>
            <w:r>
              <w:rPr>
                <w:rFonts w:ascii="宋体" w:hAnsi="宋体"/>
              </w:rPr>
              <w:t>型号</w:t>
            </w:r>
          </w:p>
        </w:tc>
        <w:tc>
          <w:tcPr>
            <w:tcW w:w="1727" w:type="pct"/>
            <w:shd w:val="clear" w:color="auto" w:fill="auto"/>
            <w:vAlign w:val="center"/>
          </w:tcPr>
          <w:p>
            <w:pPr>
              <w:adjustRightInd w:val="0"/>
              <w:snapToGrid w:val="0"/>
              <w:rPr>
                <w:rFonts w:ascii="宋体" w:hAnsi="宋体"/>
              </w:rPr>
            </w:pP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shd w:val="clear" w:color="auto" w:fill="auto"/>
            <w:vAlign w:val="center"/>
          </w:tcPr>
          <w:p>
            <w:pPr>
              <w:adjustRightInd w:val="0"/>
              <w:snapToGrid w:val="0"/>
              <w:rPr>
                <w:rFonts w:ascii="宋体" w:hAnsi="宋体"/>
              </w:rPr>
            </w:pPr>
            <w:r>
              <w:rPr>
                <w:rFonts w:ascii="宋体" w:hAnsi="宋体"/>
              </w:rPr>
              <w:t>额定负载电压</w:t>
            </w:r>
          </w:p>
        </w:tc>
        <w:tc>
          <w:tcPr>
            <w:tcW w:w="1727" w:type="pct"/>
            <w:shd w:val="clear" w:color="auto" w:fill="auto"/>
            <w:vAlign w:val="center"/>
          </w:tcPr>
          <w:p>
            <w:pPr>
              <w:adjustRightInd w:val="0"/>
              <w:snapToGrid w:val="0"/>
              <w:rPr>
                <w:rFonts w:ascii="宋体" w:hAnsi="宋体"/>
              </w:rPr>
            </w:pPr>
            <w:r>
              <w:rPr>
                <w:rFonts w:ascii="宋体" w:hAnsi="宋体"/>
              </w:rPr>
              <w:t>220VAC 常开，继电器输出，2A</w:t>
            </w: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shd w:val="clear" w:color="auto" w:fill="auto"/>
            <w:vAlign w:val="center"/>
          </w:tcPr>
          <w:p>
            <w:pPr>
              <w:adjustRightInd w:val="0"/>
              <w:snapToGrid w:val="0"/>
              <w:rPr>
                <w:rFonts w:ascii="宋体" w:hAnsi="宋体"/>
              </w:rPr>
            </w:pPr>
            <w:r>
              <w:rPr>
                <w:rFonts w:ascii="宋体" w:hAnsi="宋体"/>
              </w:rPr>
              <w:t>模块密度</w:t>
            </w:r>
          </w:p>
        </w:tc>
        <w:tc>
          <w:tcPr>
            <w:tcW w:w="1727" w:type="pct"/>
            <w:shd w:val="clear" w:color="auto" w:fill="auto"/>
            <w:vAlign w:val="center"/>
          </w:tcPr>
          <w:p>
            <w:pPr>
              <w:adjustRightInd w:val="0"/>
              <w:snapToGrid w:val="0"/>
              <w:rPr>
                <w:rFonts w:ascii="宋体" w:hAnsi="宋体"/>
              </w:rPr>
            </w:pPr>
            <w:r>
              <w:rPr>
                <w:rFonts w:ascii="宋体" w:hAnsi="宋体"/>
              </w:rPr>
              <w:t>不超过 32 点</w:t>
            </w: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restart"/>
            <w:shd w:val="clear" w:color="auto" w:fill="auto"/>
            <w:vAlign w:val="center"/>
          </w:tcPr>
          <w:p>
            <w:pPr>
              <w:adjustRightInd w:val="0"/>
              <w:snapToGrid w:val="0"/>
              <w:rPr>
                <w:rFonts w:ascii="宋体" w:hAnsi="宋体"/>
              </w:rPr>
            </w:pPr>
            <w:r>
              <w:rPr>
                <w:rFonts w:ascii="宋体" w:hAnsi="宋体"/>
              </w:rPr>
              <w:t>功能</w:t>
            </w:r>
          </w:p>
        </w:tc>
        <w:tc>
          <w:tcPr>
            <w:tcW w:w="1727" w:type="pct"/>
            <w:shd w:val="clear" w:color="auto" w:fill="auto"/>
            <w:vAlign w:val="center"/>
          </w:tcPr>
          <w:p>
            <w:pPr>
              <w:adjustRightInd w:val="0"/>
              <w:snapToGrid w:val="0"/>
              <w:rPr>
                <w:rFonts w:ascii="宋体" w:hAnsi="宋体"/>
              </w:rPr>
            </w:pPr>
            <w:r>
              <w:rPr>
                <w:rFonts w:ascii="宋体" w:hAnsi="宋体"/>
              </w:rPr>
              <w:t>支持带电插拔；</w:t>
            </w: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模块数据刷新速率可组态；</w:t>
            </w: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点级的故障报告和现场级的诊断检测；</w:t>
            </w: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数据时标功能；</w:t>
            </w: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完全软件可配置；</w:t>
            </w:r>
          </w:p>
        </w:tc>
        <w:tc>
          <w:tcPr>
            <w:tcW w:w="1349"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r>
              <w:rPr>
                <w:rFonts w:ascii="宋体" w:hAnsi="宋体"/>
              </w:rPr>
              <w:t>　</w:t>
            </w:r>
          </w:p>
        </w:tc>
        <w:tc>
          <w:tcPr>
            <w:tcW w:w="55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故障锁定功能；</w:t>
            </w:r>
          </w:p>
        </w:tc>
        <w:tc>
          <w:tcPr>
            <w:tcW w:w="1349"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故障时标功能；</w:t>
            </w:r>
          </w:p>
        </w:tc>
        <w:tc>
          <w:tcPr>
            <w:tcW w:w="1349"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独立的软件可恢复的电子保险丝功能；</w:t>
            </w:r>
          </w:p>
        </w:tc>
        <w:tc>
          <w:tcPr>
            <w:tcW w:w="1349"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在编程和模块故障时软件可设定模块输出状态；</w:t>
            </w:r>
          </w:p>
        </w:tc>
        <w:tc>
          <w:tcPr>
            <w:tcW w:w="1349"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vMerge w:val="continue"/>
            <w:shd w:val="clear" w:color="auto" w:fill="auto"/>
            <w:vAlign w:val="center"/>
          </w:tcPr>
          <w:p>
            <w:pPr>
              <w:adjustRightInd w:val="0"/>
              <w:snapToGrid w:val="0"/>
              <w:rPr>
                <w:rFonts w:ascii="宋体" w:hAnsi="宋体"/>
              </w:rPr>
            </w:pPr>
          </w:p>
        </w:tc>
        <w:tc>
          <w:tcPr>
            <w:tcW w:w="1727" w:type="pct"/>
            <w:shd w:val="clear" w:color="auto" w:fill="auto"/>
            <w:vAlign w:val="center"/>
          </w:tcPr>
          <w:p>
            <w:pPr>
              <w:adjustRightInd w:val="0"/>
              <w:snapToGrid w:val="0"/>
              <w:rPr>
                <w:rFonts w:ascii="宋体" w:hAnsi="宋体"/>
              </w:rPr>
            </w:pPr>
            <w:r>
              <w:rPr>
                <w:rFonts w:ascii="宋体" w:hAnsi="宋体"/>
              </w:rPr>
              <w:t>隔离功能：用户端与系统端之间： 1500V rms</w:t>
            </w:r>
          </w:p>
        </w:tc>
        <w:tc>
          <w:tcPr>
            <w:tcW w:w="1349"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15" w:type="pct"/>
            <w:shd w:val="clear" w:color="auto" w:fill="auto"/>
            <w:vAlign w:val="center"/>
          </w:tcPr>
          <w:p>
            <w:pPr>
              <w:adjustRightInd w:val="0"/>
              <w:snapToGrid w:val="0"/>
              <w:rPr>
                <w:rFonts w:ascii="宋体" w:hAnsi="宋体"/>
              </w:rPr>
            </w:pPr>
            <w:r>
              <w:rPr>
                <w:rFonts w:ascii="宋体" w:hAnsi="宋体"/>
              </w:rPr>
              <w:t>认证</w:t>
            </w:r>
          </w:p>
        </w:tc>
        <w:tc>
          <w:tcPr>
            <w:tcW w:w="1727" w:type="pct"/>
            <w:shd w:val="clear" w:color="auto" w:fill="auto"/>
            <w:vAlign w:val="center"/>
          </w:tcPr>
          <w:p>
            <w:pPr>
              <w:adjustRightInd w:val="0"/>
              <w:snapToGrid w:val="0"/>
              <w:rPr>
                <w:rFonts w:ascii="宋体" w:hAnsi="宋体"/>
              </w:rPr>
            </w:pPr>
            <w:r>
              <w:rPr>
                <w:rFonts w:ascii="宋体" w:hAnsi="宋体"/>
              </w:rPr>
              <w:t>Class I/Division 2, UL, CSA, FM and CE Agency</w:t>
            </w:r>
          </w:p>
        </w:tc>
        <w:tc>
          <w:tcPr>
            <w:tcW w:w="1349"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r>
              <w:rPr>
                <w:rFonts w:ascii="宋体" w:hAnsi="宋体"/>
              </w:rPr>
              <w:t>　</w:t>
            </w:r>
          </w:p>
        </w:tc>
        <w:tc>
          <w:tcPr>
            <w:tcW w:w="553" w:type="pct"/>
            <w:shd w:val="clear" w:color="auto" w:fill="auto"/>
            <w:noWrap/>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11.3.3.5</w:t>
      </w:r>
      <w:r>
        <w:rPr>
          <w:rFonts w:ascii="宋体" w:hAnsi="宋体"/>
        </w:rPr>
        <w:t>模拟量输入模块</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56"/>
        <w:gridCol w:w="2958"/>
        <w:gridCol w:w="2481"/>
        <w:gridCol w:w="981"/>
        <w:gridCol w:w="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shd w:val="clear" w:color="auto" w:fill="auto"/>
            <w:vAlign w:val="center"/>
          </w:tcPr>
          <w:p>
            <w:pPr>
              <w:adjustRightInd w:val="0"/>
              <w:snapToGrid w:val="0"/>
              <w:rPr>
                <w:rFonts w:ascii="宋体" w:hAnsi="宋体"/>
              </w:rPr>
            </w:pPr>
            <w:r>
              <w:rPr>
                <w:rFonts w:ascii="宋体" w:hAnsi="宋体"/>
              </w:rPr>
              <w:t>名称</w:t>
            </w:r>
          </w:p>
        </w:tc>
        <w:tc>
          <w:tcPr>
            <w:tcW w:w="1728" w:type="pct"/>
            <w:shd w:val="clear" w:color="auto" w:fill="auto"/>
            <w:vAlign w:val="center"/>
          </w:tcPr>
          <w:p>
            <w:pPr>
              <w:adjustRightInd w:val="0"/>
              <w:snapToGrid w:val="0"/>
              <w:rPr>
                <w:rFonts w:ascii="宋体" w:hAnsi="宋体"/>
              </w:rPr>
            </w:pPr>
            <w:r>
              <w:rPr>
                <w:rFonts w:ascii="宋体" w:hAnsi="宋体"/>
              </w:rPr>
              <w:t>性能要求参数</w:t>
            </w:r>
          </w:p>
        </w:tc>
        <w:tc>
          <w:tcPr>
            <w:tcW w:w="1449" w:type="pct"/>
            <w:shd w:val="clear" w:color="auto" w:fill="auto"/>
            <w:vAlign w:val="center"/>
          </w:tcPr>
          <w:p>
            <w:pPr>
              <w:adjustRightInd w:val="0"/>
              <w:snapToGrid w:val="0"/>
              <w:rPr>
                <w:rFonts w:ascii="宋体" w:hAnsi="宋体"/>
              </w:rPr>
            </w:pPr>
            <w:r>
              <w:rPr>
                <w:rFonts w:ascii="宋体" w:hAnsi="宋体"/>
              </w:rPr>
              <w:t>承包商响应参数</w:t>
            </w:r>
          </w:p>
        </w:tc>
        <w:tc>
          <w:tcPr>
            <w:tcW w:w="981" w:type="dxa"/>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81" w:type="dxa"/>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shd w:val="clear" w:color="auto" w:fill="auto"/>
            <w:vAlign w:val="center"/>
          </w:tcPr>
          <w:p>
            <w:pPr>
              <w:adjustRightInd w:val="0"/>
              <w:snapToGrid w:val="0"/>
              <w:rPr>
                <w:rFonts w:ascii="宋体" w:hAnsi="宋体"/>
              </w:rPr>
            </w:pPr>
            <w:r>
              <w:rPr>
                <w:rFonts w:ascii="宋体" w:hAnsi="宋体"/>
              </w:rPr>
              <w:t>制造商</w:t>
            </w:r>
          </w:p>
        </w:tc>
        <w:tc>
          <w:tcPr>
            <w:tcW w:w="1728" w:type="pct"/>
            <w:shd w:val="clear" w:color="auto" w:fill="auto"/>
            <w:vAlign w:val="center"/>
          </w:tcPr>
          <w:p>
            <w:pPr>
              <w:adjustRightInd w:val="0"/>
              <w:snapToGrid w:val="0"/>
              <w:rPr>
                <w:rFonts w:ascii="宋体" w:hAnsi="宋体"/>
              </w:rPr>
            </w:pP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shd w:val="clear" w:color="auto" w:fill="auto"/>
            <w:vAlign w:val="center"/>
          </w:tcPr>
          <w:p>
            <w:pPr>
              <w:adjustRightInd w:val="0"/>
              <w:snapToGrid w:val="0"/>
              <w:rPr>
                <w:rFonts w:ascii="宋体" w:hAnsi="宋体"/>
              </w:rPr>
            </w:pPr>
            <w:r>
              <w:rPr>
                <w:rFonts w:ascii="宋体" w:hAnsi="宋体"/>
              </w:rPr>
              <w:t>原产地</w:t>
            </w:r>
          </w:p>
        </w:tc>
        <w:tc>
          <w:tcPr>
            <w:tcW w:w="1728" w:type="pct"/>
            <w:shd w:val="clear" w:color="auto" w:fill="auto"/>
            <w:vAlign w:val="center"/>
          </w:tcPr>
          <w:p>
            <w:pPr>
              <w:adjustRightInd w:val="0"/>
              <w:snapToGrid w:val="0"/>
              <w:rPr>
                <w:rFonts w:ascii="宋体" w:hAnsi="宋体"/>
              </w:rPr>
            </w:pP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shd w:val="clear" w:color="auto" w:fill="auto"/>
            <w:vAlign w:val="center"/>
          </w:tcPr>
          <w:p>
            <w:pPr>
              <w:adjustRightInd w:val="0"/>
              <w:snapToGrid w:val="0"/>
              <w:rPr>
                <w:rFonts w:ascii="宋体" w:hAnsi="宋体"/>
              </w:rPr>
            </w:pPr>
            <w:r>
              <w:rPr>
                <w:rFonts w:ascii="宋体" w:hAnsi="宋体"/>
              </w:rPr>
              <w:t>型号</w:t>
            </w:r>
          </w:p>
        </w:tc>
        <w:tc>
          <w:tcPr>
            <w:tcW w:w="1728" w:type="pct"/>
            <w:shd w:val="clear" w:color="auto" w:fill="auto"/>
            <w:vAlign w:val="center"/>
          </w:tcPr>
          <w:p>
            <w:pPr>
              <w:adjustRightInd w:val="0"/>
              <w:snapToGrid w:val="0"/>
              <w:rPr>
                <w:rFonts w:ascii="宋体" w:hAnsi="宋体"/>
              </w:rPr>
            </w:pP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shd w:val="clear" w:color="auto" w:fill="auto"/>
            <w:vAlign w:val="center"/>
          </w:tcPr>
          <w:p>
            <w:pPr>
              <w:adjustRightInd w:val="0"/>
              <w:snapToGrid w:val="0"/>
              <w:rPr>
                <w:rFonts w:ascii="宋体" w:hAnsi="宋体"/>
              </w:rPr>
            </w:pPr>
            <w:r>
              <w:rPr>
                <w:rFonts w:ascii="宋体" w:hAnsi="宋体"/>
              </w:rPr>
              <w:t>信号等级</w:t>
            </w:r>
          </w:p>
        </w:tc>
        <w:tc>
          <w:tcPr>
            <w:tcW w:w="1728" w:type="pct"/>
            <w:shd w:val="clear" w:color="auto" w:fill="auto"/>
            <w:vAlign w:val="center"/>
          </w:tcPr>
          <w:p>
            <w:pPr>
              <w:adjustRightInd w:val="0"/>
              <w:snapToGrid w:val="0"/>
              <w:rPr>
                <w:rFonts w:ascii="宋体" w:hAnsi="宋体"/>
              </w:rPr>
            </w:pPr>
            <w:r>
              <w:rPr>
                <w:rFonts w:ascii="宋体" w:hAnsi="宋体"/>
              </w:rPr>
              <w:t>4～20 mA，24VDC</w:t>
            </w: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shd w:val="clear" w:color="auto" w:fill="auto"/>
            <w:vAlign w:val="center"/>
          </w:tcPr>
          <w:p>
            <w:pPr>
              <w:adjustRightInd w:val="0"/>
              <w:snapToGrid w:val="0"/>
              <w:rPr>
                <w:rFonts w:ascii="宋体" w:hAnsi="宋体"/>
              </w:rPr>
            </w:pPr>
            <w:r>
              <w:rPr>
                <w:rFonts w:ascii="宋体" w:hAnsi="宋体"/>
              </w:rPr>
              <w:t>分辨率</w:t>
            </w:r>
          </w:p>
        </w:tc>
        <w:tc>
          <w:tcPr>
            <w:tcW w:w="1728" w:type="pct"/>
            <w:shd w:val="clear" w:color="auto" w:fill="auto"/>
            <w:vAlign w:val="center"/>
          </w:tcPr>
          <w:p>
            <w:pPr>
              <w:adjustRightInd w:val="0"/>
              <w:snapToGrid w:val="0"/>
              <w:rPr>
                <w:rFonts w:ascii="宋体" w:hAnsi="宋体"/>
              </w:rPr>
            </w:pPr>
            <w:r>
              <w:rPr>
                <w:rFonts w:ascii="宋体" w:hAnsi="宋体"/>
              </w:rPr>
              <w:t>12 位</w:t>
            </w: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shd w:val="clear" w:color="auto" w:fill="auto"/>
            <w:vAlign w:val="center"/>
          </w:tcPr>
          <w:p>
            <w:pPr>
              <w:adjustRightInd w:val="0"/>
              <w:snapToGrid w:val="0"/>
              <w:rPr>
                <w:rFonts w:ascii="宋体" w:hAnsi="宋体"/>
              </w:rPr>
            </w:pPr>
            <w:r>
              <w:rPr>
                <w:rFonts w:ascii="宋体" w:hAnsi="宋体"/>
              </w:rPr>
              <w:t>模块密度</w:t>
            </w:r>
          </w:p>
        </w:tc>
        <w:tc>
          <w:tcPr>
            <w:tcW w:w="1728" w:type="pct"/>
            <w:shd w:val="clear" w:color="auto" w:fill="auto"/>
            <w:vAlign w:val="center"/>
          </w:tcPr>
          <w:p>
            <w:pPr>
              <w:adjustRightInd w:val="0"/>
              <w:snapToGrid w:val="0"/>
              <w:rPr>
                <w:rFonts w:ascii="宋体" w:hAnsi="宋体"/>
              </w:rPr>
            </w:pPr>
            <w:r>
              <w:rPr>
                <w:rFonts w:ascii="宋体" w:hAnsi="宋体"/>
              </w:rPr>
              <w:t>不超过 8 点</w:t>
            </w: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restart"/>
            <w:shd w:val="clear" w:color="auto" w:fill="auto"/>
            <w:vAlign w:val="center"/>
          </w:tcPr>
          <w:p>
            <w:pPr>
              <w:adjustRightInd w:val="0"/>
              <w:snapToGrid w:val="0"/>
              <w:rPr>
                <w:rFonts w:ascii="宋体" w:hAnsi="宋体"/>
              </w:rPr>
            </w:pPr>
            <w:r>
              <w:rPr>
                <w:rFonts w:ascii="宋体" w:hAnsi="宋体"/>
              </w:rPr>
              <w:t>功能</w:t>
            </w:r>
          </w:p>
        </w:tc>
        <w:tc>
          <w:tcPr>
            <w:tcW w:w="1728" w:type="pct"/>
            <w:shd w:val="clear" w:color="auto" w:fill="auto"/>
            <w:vAlign w:val="center"/>
          </w:tcPr>
          <w:p>
            <w:pPr>
              <w:adjustRightInd w:val="0"/>
              <w:snapToGrid w:val="0"/>
              <w:rPr>
                <w:rFonts w:ascii="宋体" w:hAnsi="宋体"/>
              </w:rPr>
            </w:pPr>
            <w:r>
              <w:rPr>
                <w:rFonts w:ascii="宋体" w:hAnsi="宋体"/>
              </w:rPr>
              <w:t>支持带电插拔；</w:t>
            </w: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模块数据刷新速率可组态；</w:t>
            </w: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数据变化时标功能；</w:t>
            </w: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定标、报警完全软件可配置；</w:t>
            </w: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故障锁定功能；</w:t>
            </w:r>
          </w:p>
        </w:tc>
        <w:tc>
          <w:tcPr>
            <w:tcW w:w="1449"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r>
              <w:rPr>
                <w:rFonts w:ascii="宋体" w:hAnsi="宋体"/>
              </w:rPr>
              <w:t>　</w:t>
            </w:r>
          </w:p>
        </w:tc>
        <w:tc>
          <w:tcPr>
            <w:tcW w:w="57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开路检测功能；</w:t>
            </w:r>
          </w:p>
        </w:tc>
        <w:tc>
          <w:tcPr>
            <w:tcW w:w="1449"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输入过载保护功能；</w:t>
            </w:r>
          </w:p>
        </w:tc>
        <w:tc>
          <w:tcPr>
            <w:tcW w:w="1449"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共模抑制比：100db;</w:t>
            </w:r>
          </w:p>
        </w:tc>
        <w:tc>
          <w:tcPr>
            <w:tcW w:w="1449"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常模抑制比：80db;</w:t>
            </w:r>
          </w:p>
        </w:tc>
        <w:tc>
          <w:tcPr>
            <w:tcW w:w="1449"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vMerge w:val="continue"/>
            <w:shd w:val="clear" w:color="auto" w:fill="auto"/>
            <w:vAlign w:val="center"/>
          </w:tcPr>
          <w:p>
            <w:pPr>
              <w:adjustRightInd w:val="0"/>
              <w:snapToGrid w:val="0"/>
              <w:rPr>
                <w:rFonts w:ascii="宋体" w:hAnsi="宋体"/>
              </w:rPr>
            </w:pPr>
          </w:p>
        </w:tc>
        <w:tc>
          <w:tcPr>
            <w:tcW w:w="1728" w:type="pct"/>
            <w:shd w:val="clear" w:color="auto" w:fill="auto"/>
            <w:vAlign w:val="center"/>
          </w:tcPr>
          <w:p>
            <w:pPr>
              <w:adjustRightInd w:val="0"/>
              <w:snapToGrid w:val="0"/>
              <w:rPr>
                <w:rFonts w:ascii="宋体" w:hAnsi="宋体"/>
              </w:rPr>
            </w:pPr>
            <w:r>
              <w:rPr>
                <w:rFonts w:ascii="宋体" w:hAnsi="宋体"/>
              </w:rPr>
              <w:t>隔离功能：用户端与系统端之间：  1500V rms，光电隔离</w:t>
            </w:r>
          </w:p>
        </w:tc>
        <w:tc>
          <w:tcPr>
            <w:tcW w:w="1449"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75" w:type="pct"/>
            <w:shd w:val="clear" w:color="auto" w:fill="auto"/>
            <w:vAlign w:val="center"/>
          </w:tcPr>
          <w:p>
            <w:pPr>
              <w:adjustRightInd w:val="0"/>
              <w:snapToGrid w:val="0"/>
              <w:rPr>
                <w:rFonts w:ascii="宋体" w:hAnsi="宋体"/>
              </w:rPr>
            </w:pPr>
            <w:r>
              <w:rPr>
                <w:rFonts w:ascii="宋体" w:hAnsi="宋体"/>
              </w:rPr>
              <w:t>认证</w:t>
            </w:r>
          </w:p>
        </w:tc>
        <w:tc>
          <w:tcPr>
            <w:tcW w:w="1728" w:type="pct"/>
            <w:shd w:val="clear" w:color="auto" w:fill="auto"/>
            <w:vAlign w:val="center"/>
          </w:tcPr>
          <w:p>
            <w:pPr>
              <w:adjustRightInd w:val="0"/>
              <w:snapToGrid w:val="0"/>
              <w:rPr>
                <w:rFonts w:ascii="宋体" w:hAnsi="宋体"/>
              </w:rPr>
            </w:pPr>
            <w:r>
              <w:rPr>
                <w:rFonts w:ascii="宋体" w:hAnsi="宋体"/>
              </w:rPr>
              <w:t>Class I/Division 2, UL, CSA, FM and CE Agency</w:t>
            </w:r>
          </w:p>
        </w:tc>
        <w:tc>
          <w:tcPr>
            <w:tcW w:w="1449"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r>
              <w:rPr>
                <w:rFonts w:ascii="宋体" w:hAnsi="宋体"/>
              </w:rPr>
              <w:t>　</w:t>
            </w:r>
          </w:p>
        </w:tc>
        <w:tc>
          <w:tcPr>
            <w:tcW w:w="573" w:type="pct"/>
            <w:shd w:val="clear" w:color="auto" w:fill="auto"/>
            <w:noWrap/>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11.3.3.6</w:t>
      </w:r>
      <w:r>
        <w:rPr>
          <w:rFonts w:ascii="宋体" w:hAnsi="宋体"/>
        </w:rPr>
        <w:t>模拟量输出模块</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26"/>
        <w:gridCol w:w="3020"/>
        <w:gridCol w:w="2169"/>
        <w:gridCol w:w="971"/>
        <w:gridCol w:w="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shd w:val="clear" w:color="auto" w:fill="auto"/>
            <w:vAlign w:val="center"/>
          </w:tcPr>
          <w:p>
            <w:pPr>
              <w:adjustRightInd w:val="0"/>
              <w:snapToGrid w:val="0"/>
              <w:rPr>
                <w:rFonts w:ascii="宋体" w:hAnsi="宋体"/>
              </w:rPr>
            </w:pPr>
            <w:r>
              <w:rPr>
                <w:rFonts w:ascii="宋体" w:hAnsi="宋体"/>
              </w:rPr>
              <w:t>名称</w:t>
            </w:r>
          </w:p>
        </w:tc>
        <w:tc>
          <w:tcPr>
            <w:tcW w:w="1764" w:type="pct"/>
            <w:shd w:val="clear" w:color="auto" w:fill="auto"/>
            <w:vAlign w:val="center"/>
          </w:tcPr>
          <w:p>
            <w:pPr>
              <w:adjustRightInd w:val="0"/>
              <w:snapToGrid w:val="0"/>
              <w:rPr>
                <w:rFonts w:ascii="宋体" w:hAnsi="宋体"/>
              </w:rPr>
            </w:pPr>
            <w:r>
              <w:rPr>
                <w:rFonts w:ascii="宋体" w:hAnsi="宋体"/>
              </w:rPr>
              <w:t>性能要求参数</w:t>
            </w:r>
          </w:p>
        </w:tc>
        <w:tc>
          <w:tcPr>
            <w:tcW w:w="1267" w:type="pct"/>
            <w:shd w:val="clear" w:color="auto" w:fill="auto"/>
            <w:vAlign w:val="center"/>
          </w:tcPr>
          <w:p>
            <w:pPr>
              <w:adjustRightInd w:val="0"/>
              <w:snapToGrid w:val="0"/>
              <w:rPr>
                <w:rFonts w:ascii="宋体" w:hAnsi="宋体"/>
              </w:rPr>
            </w:pPr>
            <w:r>
              <w:rPr>
                <w:rFonts w:ascii="宋体" w:hAnsi="宋体"/>
              </w:rPr>
              <w:t>承包商响应参数</w:t>
            </w:r>
          </w:p>
        </w:tc>
        <w:tc>
          <w:tcPr>
            <w:tcW w:w="971" w:type="dxa"/>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71" w:type="dxa"/>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shd w:val="clear" w:color="auto" w:fill="auto"/>
            <w:vAlign w:val="center"/>
          </w:tcPr>
          <w:p>
            <w:pPr>
              <w:adjustRightInd w:val="0"/>
              <w:snapToGrid w:val="0"/>
              <w:rPr>
                <w:rFonts w:ascii="宋体" w:hAnsi="宋体"/>
              </w:rPr>
            </w:pPr>
            <w:r>
              <w:rPr>
                <w:rFonts w:ascii="宋体" w:hAnsi="宋体"/>
              </w:rPr>
              <w:t>制造商</w:t>
            </w:r>
          </w:p>
        </w:tc>
        <w:tc>
          <w:tcPr>
            <w:tcW w:w="1764" w:type="pct"/>
            <w:shd w:val="clear" w:color="auto" w:fill="auto"/>
            <w:vAlign w:val="center"/>
          </w:tcPr>
          <w:p>
            <w:pPr>
              <w:adjustRightInd w:val="0"/>
              <w:snapToGrid w:val="0"/>
              <w:rPr>
                <w:rFonts w:ascii="宋体" w:hAnsi="宋体"/>
              </w:rPr>
            </w:pP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shd w:val="clear" w:color="auto" w:fill="auto"/>
            <w:vAlign w:val="center"/>
          </w:tcPr>
          <w:p>
            <w:pPr>
              <w:adjustRightInd w:val="0"/>
              <w:snapToGrid w:val="0"/>
              <w:rPr>
                <w:rFonts w:ascii="宋体" w:hAnsi="宋体"/>
              </w:rPr>
            </w:pPr>
            <w:r>
              <w:rPr>
                <w:rFonts w:ascii="宋体" w:hAnsi="宋体"/>
              </w:rPr>
              <w:t>原产地</w:t>
            </w:r>
          </w:p>
        </w:tc>
        <w:tc>
          <w:tcPr>
            <w:tcW w:w="1764" w:type="pct"/>
            <w:shd w:val="clear" w:color="auto" w:fill="auto"/>
            <w:vAlign w:val="center"/>
          </w:tcPr>
          <w:p>
            <w:pPr>
              <w:adjustRightInd w:val="0"/>
              <w:snapToGrid w:val="0"/>
              <w:rPr>
                <w:rFonts w:ascii="宋体" w:hAnsi="宋体"/>
              </w:rPr>
            </w:pP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shd w:val="clear" w:color="auto" w:fill="auto"/>
            <w:vAlign w:val="center"/>
          </w:tcPr>
          <w:p>
            <w:pPr>
              <w:adjustRightInd w:val="0"/>
              <w:snapToGrid w:val="0"/>
              <w:rPr>
                <w:rFonts w:ascii="宋体" w:hAnsi="宋体"/>
              </w:rPr>
            </w:pPr>
            <w:r>
              <w:rPr>
                <w:rFonts w:ascii="宋体" w:hAnsi="宋体"/>
              </w:rPr>
              <w:t>型号</w:t>
            </w:r>
          </w:p>
        </w:tc>
        <w:tc>
          <w:tcPr>
            <w:tcW w:w="1764" w:type="pct"/>
            <w:shd w:val="clear" w:color="auto" w:fill="auto"/>
            <w:vAlign w:val="center"/>
          </w:tcPr>
          <w:p>
            <w:pPr>
              <w:adjustRightInd w:val="0"/>
              <w:snapToGrid w:val="0"/>
              <w:rPr>
                <w:rFonts w:ascii="宋体" w:hAnsi="宋体"/>
              </w:rPr>
            </w:pP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shd w:val="clear" w:color="auto" w:fill="auto"/>
            <w:vAlign w:val="center"/>
          </w:tcPr>
          <w:p>
            <w:pPr>
              <w:adjustRightInd w:val="0"/>
              <w:snapToGrid w:val="0"/>
              <w:rPr>
                <w:rFonts w:ascii="宋体" w:hAnsi="宋体"/>
              </w:rPr>
            </w:pPr>
            <w:r>
              <w:rPr>
                <w:rFonts w:ascii="宋体" w:hAnsi="宋体"/>
              </w:rPr>
              <w:t>信号等级</w:t>
            </w:r>
          </w:p>
        </w:tc>
        <w:tc>
          <w:tcPr>
            <w:tcW w:w="1764" w:type="pct"/>
            <w:shd w:val="clear" w:color="auto" w:fill="auto"/>
            <w:vAlign w:val="center"/>
          </w:tcPr>
          <w:p>
            <w:pPr>
              <w:adjustRightInd w:val="0"/>
              <w:snapToGrid w:val="0"/>
              <w:rPr>
                <w:rFonts w:ascii="宋体" w:hAnsi="宋体"/>
              </w:rPr>
            </w:pPr>
            <w:r>
              <w:rPr>
                <w:rFonts w:ascii="宋体" w:hAnsi="宋体"/>
              </w:rPr>
              <w:t>4～20 mA，24VDC</w:t>
            </w: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shd w:val="clear" w:color="auto" w:fill="auto"/>
            <w:vAlign w:val="center"/>
          </w:tcPr>
          <w:p>
            <w:pPr>
              <w:adjustRightInd w:val="0"/>
              <w:snapToGrid w:val="0"/>
              <w:rPr>
                <w:rFonts w:ascii="宋体" w:hAnsi="宋体"/>
              </w:rPr>
            </w:pPr>
            <w:r>
              <w:rPr>
                <w:rFonts w:ascii="宋体" w:hAnsi="宋体"/>
              </w:rPr>
              <w:t>模块密度</w:t>
            </w:r>
          </w:p>
        </w:tc>
        <w:tc>
          <w:tcPr>
            <w:tcW w:w="1764" w:type="pct"/>
            <w:shd w:val="clear" w:color="auto" w:fill="auto"/>
            <w:vAlign w:val="center"/>
          </w:tcPr>
          <w:p>
            <w:pPr>
              <w:adjustRightInd w:val="0"/>
              <w:snapToGrid w:val="0"/>
              <w:rPr>
                <w:rFonts w:ascii="宋体" w:hAnsi="宋体"/>
              </w:rPr>
            </w:pPr>
            <w:r>
              <w:rPr>
                <w:rFonts w:ascii="宋体" w:hAnsi="宋体"/>
              </w:rPr>
              <w:t>不超过 8 点</w:t>
            </w: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shd w:val="clear" w:color="auto" w:fill="auto"/>
            <w:vAlign w:val="center"/>
          </w:tcPr>
          <w:p>
            <w:pPr>
              <w:adjustRightInd w:val="0"/>
              <w:snapToGrid w:val="0"/>
              <w:rPr>
                <w:rFonts w:ascii="宋体" w:hAnsi="宋体"/>
              </w:rPr>
            </w:pPr>
            <w:r>
              <w:rPr>
                <w:rFonts w:ascii="宋体" w:hAnsi="宋体"/>
              </w:rPr>
              <w:t>模块分辨率</w:t>
            </w:r>
          </w:p>
        </w:tc>
        <w:tc>
          <w:tcPr>
            <w:tcW w:w="1764" w:type="pct"/>
            <w:shd w:val="clear" w:color="auto" w:fill="auto"/>
            <w:vAlign w:val="center"/>
          </w:tcPr>
          <w:p>
            <w:pPr>
              <w:adjustRightInd w:val="0"/>
              <w:snapToGrid w:val="0"/>
              <w:rPr>
                <w:rFonts w:ascii="宋体" w:hAnsi="宋体"/>
              </w:rPr>
            </w:pPr>
            <w:r>
              <w:rPr>
                <w:rFonts w:ascii="宋体" w:hAnsi="宋体"/>
              </w:rPr>
              <w:t>16 位</w:t>
            </w: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vMerge w:val="restart"/>
            <w:shd w:val="clear" w:color="auto" w:fill="auto"/>
            <w:vAlign w:val="center"/>
          </w:tcPr>
          <w:p>
            <w:pPr>
              <w:adjustRightInd w:val="0"/>
              <w:snapToGrid w:val="0"/>
              <w:rPr>
                <w:rFonts w:ascii="宋体" w:hAnsi="宋体"/>
              </w:rPr>
            </w:pPr>
            <w:r>
              <w:rPr>
                <w:rFonts w:ascii="宋体" w:hAnsi="宋体"/>
              </w:rPr>
              <w:t>功能</w:t>
            </w:r>
          </w:p>
        </w:tc>
        <w:tc>
          <w:tcPr>
            <w:tcW w:w="1764" w:type="pct"/>
            <w:shd w:val="clear" w:color="auto" w:fill="auto"/>
            <w:vAlign w:val="center"/>
          </w:tcPr>
          <w:p>
            <w:pPr>
              <w:adjustRightInd w:val="0"/>
              <w:snapToGrid w:val="0"/>
              <w:rPr>
                <w:rFonts w:ascii="宋体" w:hAnsi="宋体"/>
              </w:rPr>
            </w:pPr>
            <w:r>
              <w:rPr>
                <w:rFonts w:ascii="宋体" w:hAnsi="宋体"/>
              </w:rPr>
              <w:t>支持带电插拔；</w:t>
            </w: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vMerge w:val="continue"/>
            <w:shd w:val="clear" w:color="auto" w:fill="auto"/>
            <w:vAlign w:val="center"/>
          </w:tcPr>
          <w:p>
            <w:pPr>
              <w:adjustRightInd w:val="0"/>
              <w:snapToGrid w:val="0"/>
              <w:rPr>
                <w:rFonts w:ascii="宋体" w:hAnsi="宋体"/>
              </w:rPr>
            </w:pPr>
          </w:p>
        </w:tc>
        <w:tc>
          <w:tcPr>
            <w:tcW w:w="1764" w:type="pct"/>
            <w:shd w:val="clear" w:color="auto" w:fill="auto"/>
            <w:vAlign w:val="center"/>
          </w:tcPr>
          <w:p>
            <w:pPr>
              <w:adjustRightInd w:val="0"/>
              <w:snapToGrid w:val="0"/>
              <w:rPr>
                <w:rFonts w:ascii="宋体" w:hAnsi="宋体"/>
              </w:rPr>
            </w:pPr>
            <w:r>
              <w:rPr>
                <w:rFonts w:ascii="宋体" w:hAnsi="宋体"/>
              </w:rPr>
              <w:t>模块数据刷新速率可组态；</w:t>
            </w: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vMerge w:val="continue"/>
            <w:shd w:val="clear" w:color="auto" w:fill="auto"/>
            <w:vAlign w:val="center"/>
          </w:tcPr>
          <w:p>
            <w:pPr>
              <w:adjustRightInd w:val="0"/>
              <w:snapToGrid w:val="0"/>
              <w:rPr>
                <w:rFonts w:ascii="宋体" w:hAnsi="宋体"/>
              </w:rPr>
            </w:pPr>
          </w:p>
        </w:tc>
        <w:tc>
          <w:tcPr>
            <w:tcW w:w="1764" w:type="pct"/>
            <w:shd w:val="clear" w:color="auto" w:fill="auto"/>
            <w:vAlign w:val="center"/>
          </w:tcPr>
          <w:p>
            <w:pPr>
              <w:adjustRightInd w:val="0"/>
              <w:snapToGrid w:val="0"/>
              <w:rPr>
                <w:rFonts w:ascii="宋体" w:hAnsi="宋体"/>
              </w:rPr>
            </w:pPr>
            <w:r>
              <w:rPr>
                <w:rFonts w:ascii="宋体" w:hAnsi="宋体"/>
              </w:rPr>
              <w:t>数据变化时标功能；</w:t>
            </w:r>
          </w:p>
        </w:tc>
        <w:tc>
          <w:tcPr>
            <w:tcW w:w="12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r>
              <w:rPr>
                <w:rFonts w:ascii="宋体" w:hAnsi="宋体"/>
              </w:rPr>
              <w:t>　</w:t>
            </w:r>
          </w:p>
        </w:tc>
        <w:tc>
          <w:tcPr>
            <w:tcW w:w="567"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vMerge w:val="continue"/>
            <w:shd w:val="clear" w:color="auto" w:fill="auto"/>
            <w:vAlign w:val="center"/>
          </w:tcPr>
          <w:p>
            <w:pPr>
              <w:adjustRightInd w:val="0"/>
              <w:snapToGrid w:val="0"/>
              <w:rPr>
                <w:rFonts w:ascii="宋体" w:hAnsi="宋体"/>
              </w:rPr>
            </w:pPr>
          </w:p>
        </w:tc>
        <w:tc>
          <w:tcPr>
            <w:tcW w:w="1764" w:type="pct"/>
            <w:shd w:val="clear" w:color="auto" w:fill="auto"/>
            <w:vAlign w:val="center"/>
          </w:tcPr>
          <w:p>
            <w:pPr>
              <w:adjustRightInd w:val="0"/>
              <w:snapToGrid w:val="0"/>
              <w:rPr>
                <w:rFonts w:ascii="宋体" w:hAnsi="宋体"/>
              </w:rPr>
            </w:pPr>
            <w:r>
              <w:rPr>
                <w:rFonts w:ascii="宋体" w:hAnsi="宋体"/>
              </w:rPr>
              <w:t>定标、报警完全软件可配置；</w:t>
            </w:r>
          </w:p>
        </w:tc>
        <w:tc>
          <w:tcPr>
            <w:tcW w:w="12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vMerge w:val="continue"/>
            <w:shd w:val="clear" w:color="auto" w:fill="auto"/>
            <w:vAlign w:val="center"/>
          </w:tcPr>
          <w:p>
            <w:pPr>
              <w:adjustRightInd w:val="0"/>
              <w:snapToGrid w:val="0"/>
              <w:rPr>
                <w:rFonts w:ascii="宋体" w:hAnsi="宋体"/>
              </w:rPr>
            </w:pPr>
          </w:p>
        </w:tc>
        <w:tc>
          <w:tcPr>
            <w:tcW w:w="1764" w:type="pct"/>
            <w:shd w:val="clear" w:color="auto" w:fill="auto"/>
            <w:vAlign w:val="center"/>
          </w:tcPr>
          <w:p>
            <w:pPr>
              <w:adjustRightInd w:val="0"/>
              <w:snapToGrid w:val="0"/>
              <w:rPr>
                <w:rFonts w:ascii="宋体" w:hAnsi="宋体"/>
              </w:rPr>
            </w:pPr>
            <w:r>
              <w:rPr>
                <w:rFonts w:ascii="宋体" w:hAnsi="宋体"/>
              </w:rPr>
              <w:t>故障锁定功能；</w:t>
            </w:r>
          </w:p>
        </w:tc>
        <w:tc>
          <w:tcPr>
            <w:tcW w:w="12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vMerge w:val="continue"/>
            <w:shd w:val="clear" w:color="auto" w:fill="auto"/>
            <w:vAlign w:val="center"/>
          </w:tcPr>
          <w:p>
            <w:pPr>
              <w:adjustRightInd w:val="0"/>
              <w:snapToGrid w:val="0"/>
              <w:rPr>
                <w:rFonts w:ascii="宋体" w:hAnsi="宋体"/>
              </w:rPr>
            </w:pPr>
          </w:p>
        </w:tc>
        <w:tc>
          <w:tcPr>
            <w:tcW w:w="1764" w:type="pct"/>
            <w:shd w:val="clear" w:color="auto" w:fill="auto"/>
            <w:vAlign w:val="center"/>
          </w:tcPr>
          <w:p>
            <w:pPr>
              <w:adjustRightInd w:val="0"/>
              <w:snapToGrid w:val="0"/>
              <w:rPr>
                <w:rFonts w:ascii="宋体" w:hAnsi="宋体"/>
              </w:rPr>
            </w:pPr>
            <w:r>
              <w:rPr>
                <w:rFonts w:ascii="宋体" w:hAnsi="宋体"/>
              </w:rPr>
              <w:t>输出过载保护功能；</w:t>
            </w:r>
          </w:p>
        </w:tc>
        <w:tc>
          <w:tcPr>
            <w:tcW w:w="12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vMerge w:val="continue"/>
            <w:shd w:val="clear" w:color="auto" w:fill="auto"/>
            <w:vAlign w:val="center"/>
          </w:tcPr>
          <w:p>
            <w:pPr>
              <w:adjustRightInd w:val="0"/>
              <w:snapToGrid w:val="0"/>
              <w:rPr>
                <w:rFonts w:ascii="宋体" w:hAnsi="宋体"/>
              </w:rPr>
            </w:pPr>
          </w:p>
        </w:tc>
        <w:tc>
          <w:tcPr>
            <w:tcW w:w="1764" w:type="pct"/>
            <w:shd w:val="clear" w:color="auto" w:fill="auto"/>
            <w:vAlign w:val="center"/>
          </w:tcPr>
          <w:p>
            <w:pPr>
              <w:adjustRightInd w:val="0"/>
              <w:snapToGrid w:val="0"/>
              <w:rPr>
                <w:rFonts w:ascii="宋体" w:hAnsi="宋体"/>
              </w:rPr>
            </w:pPr>
            <w:r>
              <w:rPr>
                <w:rFonts w:ascii="宋体" w:hAnsi="宋体"/>
              </w:rPr>
              <w:t>输出短路保护功能；</w:t>
            </w:r>
          </w:p>
        </w:tc>
        <w:tc>
          <w:tcPr>
            <w:tcW w:w="12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vMerge w:val="continue"/>
            <w:shd w:val="clear" w:color="auto" w:fill="auto"/>
            <w:vAlign w:val="center"/>
          </w:tcPr>
          <w:p>
            <w:pPr>
              <w:adjustRightInd w:val="0"/>
              <w:snapToGrid w:val="0"/>
              <w:rPr>
                <w:rFonts w:ascii="宋体" w:hAnsi="宋体"/>
              </w:rPr>
            </w:pPr>
          </w:p>
        </w:tc>
        <w:tc>
          <w:tcPr>
            <w:tcW w:w="1764" w:type="pct"/>
            <w:shd w:val="clear" w:color="auto" w:fill="auto"/>
            <w:vAlign w:val="center"/>
          </w:tcPr>
          <w:p>
            <w:pPr>
              <w:adjustRightInd w:val="0"/>
              <w:snapToGrid w:val="0"/>
              <w:rPr>
                <w:rFonts w:ascii="宋体" w:hAnsi="宋体"/>
              </w:rPr>
            </w:pPr>
            <w:r>
              <w:rPr>
                <w:rFonts w:ascii="宋体" w:hAnsi="宋体"/>
              </w:rPr>
              <w:t>隔离功能：用户端与系统端之间：  1500V rms，光电隔离；</w:t>
            </w:r>
          </w:p>
        </w:tc>
        <w:tc>
          <w:tcPr>
            <w:tcW w:w="12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33" w:type="pct"/>
            <w:shd w:val="clear" w:color="auto" w:fill="auto"/>
            <w:vAlign w:val="center"/>
          </w:tcPr>
          <w:p>
            <w:pPr>
              <w:adjustRightInd w:val="0"/>
              <w:snapToGrid w:val="0"/>
              <w:rPr>
                <w:rFonts w:ascii="宋体" w:hAnsi="宋体"/>
              </w:rPr>
            </w:pPr>
            <w:r>
              <w:rPr>
                <w:rFonts w:ascii="宋体" w:hAnsi="宋体"/>
              </w:rPr>
              <w:t>认证</w:t>
            </w:r>
          </w:p>
        </w:tc>
        <w:tc>
          <w:tcPr>
            <w:tcW w:w="1764" w:type="pct"/>
            <w:shd w:val="clear" w:color="auto" w:fill="auto"/>
            <w:vAlign w:val="center"/>
          </w:tcPr>
          <w:p>
            <w:pPr>
              <w:adjustRightInd w:val="0"/>
              <w:snapToGrid w:val="0"/>
              <w:rPr>
                <w:rFonts w:ascii="宋体" w:hAnsi="宋体"/>
              </w:rPr>
            </w:pPr>
            <w:r>
              <w:rPr>
                <w:rFonts w:ascii="宋体" w:hAnsi="宋体"/>
              </w:rPr>
              <w:t>Class I/Division 2, UL, CSA, FM and CE Agency</w:t>
            </w:r>
          </w:p>
        </w:tc>
        <w:tc>
          <w:tcPr>
            <w:tcW w:w="12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r>
              <w:rPr>
                <w:rFonts w:ascii="宋体" w:hAnsi="宋体"/>
              </w:rPr>
              <w:t>　</w:t>
            </w:r>
          </w:p>
        </w:tc>
        <w:tc>
          <w:tcPr>
            <w:tcW w:w="567" w:type="pct"/>
            <w:shd w:val="clear" w:color="auto" w:fill="auto"/>
            <w:noWrap/>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11.3.3.7</w:t>
      </w:r>
      <w:r>
        <w:rPr>
          <w:rFonts w:ascii="宋体" w:hAnsi="宋体"/>
        </w:rPr>
        <w:t>触摸屏</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7"/>
        <w:gridCol w:w="2783"/>
        <w:gridCol w:w="1051"/>
        <w:gridCol w:w="1693"/>
        <w:gridCol w:w="1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名称</w:t>
            </w:r>
          </w:p>
        </w:tc>
        <w:tc>
          <w:tcPr>
            <w:tcW w:w="1626" w:type="pct"/>
            <w:shd w:val="clear" w:color="auto" w:fill="auto"/>
            <w:vAlign w:val="center"/>
          </w:tcPr>
          <w:p>
            <w:pPr>
              <w:adjustRightInd w:val="0"/>
              <w:snapToGrid w:val="0"/>
              <w:rPr>
                <w:rFonts w:ascii="宋体" w:hAnsi="宋体"/>
              </w:rPr>
            </w:pPr>
            <w:r>
              <w:rPr>
                <w:rFonts w:ascii="宋体" w:hAnsi="宋体"/>
              </w:rPr>
              <w:t>性能要求参数</w:t>
            </w:r>
          </w:p>
        </w:tc>
        <w:tc>
          <w:tcPr>
            <w:tcW w:w="614" w:type="pct"/>
            <w:shd w:val="clear" w:color="auto" w:fill="auto"/>
            <w:vAlign w:val="center"/>
          </w:tcPr>
          <w:p>
            <w:pPr>
              <w:adjustRightInd w:val="0"/>
              <w:snapToGrid w:val="0"/>
              <w:rPr>
                <w:rFonts w:ascii="宋体" w:hAnsi="宋体"/>
              </w:rPr>
            </w:pPr>
            <w:r>
              <w:rPr>
                <w:rFonts w:ascii="宋体" w:hAnsi="宋体"/>
              </w:rPr>
              <w:t>承包商响应参数</w:t>
            </w:r>
          </w:p>
        </w:tc>
        <w:tc>
          <w:tcPr>
            <w:tcW w:w="98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8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62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1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62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1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型号</w:t>
            </w:r>
          </w:p>
        </w:tc>
        <w:tc>
          <w:tcPr>
            <w:tcW w:w="1626" w:type="pct"/>
            <w:shd w:val="clear" w:color="auto" w:fill="auto"/>
            <w:vAlign w:val="center"/>
          </w:tcPr>
          <w:p>
            <w:pPr>
              <w:adjustRightInd w:val="0"/>
              <w:snapToGrid w:val="0"/>
              <w:rPr>
                <w:rFonts w:ascii="宋体" w:hAnsi="宋体"/>
              </w:rPr>
            </w:pPr>
            <w:r>
              <w:rPr>
                <w:rFonts w:ascii="宋体" w:hAnsi="宋体"/>
              </w:rPr>
              <w:t>　</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显示屏类型</w:t>
            </w:r>
          </w:p>
        </w:tc>
        <w:tc>
          <w:tcPr>
            <w:tcW w:w="1626" w:type="pct"/>
            <w:shd w:val="clear" w:color="auto" w:fill="auto"/>
            <w:vAlign w:val="center"/>
          </w:tcPr>
          <w:p>
            <w:pPr>
              <w:adjustRightInd w:val="0"/>
              <w:snapToGrid w:val="0"/>
              <w:rPr>
                <w:rFonts w:ascii="宋体" w:hAnsi="宋体"/>
              </w:rPr>
            </w:pPr>
            <w:r>
              <w:rPr>
                <w:rFonts w:ascii="宋体" w:hAnsi="宋体"/>
              </w:rPr>
              <w:t>有源阵列彩色TFT液晶显示屏</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屏尺寸</w:t>
            </w:r>
          </w:p>
        </w:tc>
        <w:tc>
          <w:tcPr>
            <w:tcW w:w="1626" w:type="pct"/>
            <w:shd w:val="clear" w:color="auto" w:fill="auto"/>
            <w:vAlign w:val="center"/>
          </w:tcPr>
          <w:p>
            <w:pPr>
              <w:adjustRightInd w:val="0"/>
              <w:snapToGrid w:val="0"/>
              <w:rPr>
                <w:rFonts w:ascii="宋体" w:hAnsi="宋体"/>
              </w:rPr>
            </w:pPr>
            <w:r>
              <w:rPr>
                <w:rFonts w:ascii="宋体" w:hAnsi="宋体"/>
              </w:rPr>
              <w:t>10”</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分辨率</w:t>
            </w:r>
          </w:p>
        </w:tc>
        <w:tc>
          <w:tcPr>
            <w:tcW w:w="1626" w:type="pct"/>
            <w:shd w:val="clear" w:color="auto" w:fill="auto"/>
            <w:vAlign w:val="center"/>
          </w:tcPr>
          <w:p>
            <w:pPr>
              <w:adjustRightInd w:val="0"/>
              <w:snapToGrid w:val="0"/>
              <w:rPr>
                <w:rFonts w:ascii="宋体" w:hAnsi="宋体"/>
              </w:rPr>
            </w:pPr>
            <w:r>
              <w:rPr>
                <w:rFonts w:ascii="宋体" w:hAnsi="宋体"/>
              </w:rPr>
              <w:t>1024X768</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背光源寿命，</w:t>
            </w:r>
          </w:p>
        </w:tc>
        <w:tc>
          <w:tcPr>
            <w:tcW w:w="1626" w:type="pct"/>
            <w:shd w:val="clear" w:color="auto" w:fill="auto"/>
            <w:vAlign w:val="center"/>
          </w:tcPr>
          <w:p>
            <w:pPr>
              <w:adjustRightInd w:val="0"/>
              <w:snapToGrid w:val="0"/>
              <w:rPr>
                <w:rFonts w:ascii="宋体" w:hAnsi="宋体"/>
              </w:rPr>
            </w:pPr>
            <w:r>
              <w:rPr>
                <w:rFonts w:ascii="宋体" w:hAnsi="宋体"/>
              </w:rPr>
              <w:t>500000小时</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背光源现场替换功能</w:t>
            </w:r>
          </w:p>
        </w:tc>
        <w:tc>
          <w:tcPr>
            <w:tcW w:w="1626" w:type="pct"/>
            <w:shd w:val="clear" w:color="auto" w:fill="auto"/>
            <w:vAlign w:val="center"/>
          </w:tcPr>
          <w:p>
            <w:pPr>
              <w:adjustRightInd w:val="0"/>
              <w:snapToGrid w:val="0"/>
              <w:rPr>
                <w:rFonts w:ascii="宋体" w:hAnsi="宋体"/>
              </w:rPr>
            </w:pPr>
            <w:r>
              <w:rPr>
                <w:rFonts w:ascii="宋体" w:hAnsi="宋体"/>
              </w:rPr>
              <w:t>是</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运行环境温度：</w:t>
            </w:r>
          </w:p>
        </w:tc>
        <w:tc>
          <w:tcPr>
            <w:tcW w:w="1626" w:type="pct"/>
            <w:shd w:val="clear" w:color="auto" w:fill="auto"/>
            <w:vAlign w:val="center"/>
          </w:tcPr>
          <w:p>
            <w:pPr>
              <w:adjustRightInd w:val="0"/>
              <w:snapToGrid w:val="0"/>
              <w:rPr>
                <w:rFonts w:ascii="宋体" w:hAnsi="宋体"/>
              </w:rPr>
            </w:pPr>
            <w:r>
              <w:rPr>
                <w:rFonts w:ascii="宋体" w:hAnsi="宋体"/>
              </w:rPr>
              <w:t>0～55</w:t>
            </w:r>
            <w:r>
              <w:rPr>
                <w:rFonts w:hint="eastAsia" w:ascii="宋体" w:hAnsi="宋体"/>
              </w:rPr>
              <w:t>℃</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存储环境温度：</w:t>
            </w:r>
          </w:p>
        </w:tc>
        <w:tc>
          <w:tcPr>
            <w:tcW w:w="1626" w:type="pct"/>
            <w:shd w:val="clear" w:color="auto" w:fill="auto"/>
            <w:vAlign w:val="center"/>
          </w:tcPr>
          <w:p>
            <w:pPr>
              <w:adjustRightInd w:val="0"/>
              <w:snapToGrid w:val="0"/>
              <w:rPr>
                <w:rFonts w:ascii="宋体" w:hAnsi="宋体"/>
              </w:rPr>
            </w:pPr>
            <w:r>
              <w:rPr>
                <w:rFonts w:ascii="宋体" w:hAnsi="宋体"/>
              </w:rPr>
              <w:t>-25～70</w:t>
            </w:r>
            <w:r>
              <w:rPr>
                <w:rFonts w:hint="eastAsia" w:ascii="宋体" w:hAnsi="宋体"/>
              </w:rPr>
              <w:t>℃</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相对湿度：</w:t>
            </w:r>
          </w:p>
        </w:tc>
        <w:tc>
          <w:tcPr>
            <w:tcW w:w="1626" w:type="pct"/>
            <w:shd w:val="clear" w:color="auto" w:fill="auto"/>
            <w:vAlign w:val="center"/>
          </w:tcPr>
          <w:p>
            <w:pPr>
              <w:adjustRightInd w:val="0"/>
              <w:snapToGrid w:val="0"/>
              <w:rPr>
                <w:rFonts w:ascii="宋体" w:hAnsi="宋体"/>
              </w:rPr>
            </w:pPr>
            <w:r>
              <w:rPr>
                <w:rFonts w:ascii="宋体" w:hAnsi="宋体"/>
              </w:rPr>
              <w:t>5～95％无凝结</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抗冲击性：</w:t>
            </w:r>
          </w:p>
        </w:tc>
        <w:tc>
          <w:tcPr>
            <w:tcW w:w="1626" w:type="pct"/>
            <w:shd w:val="clear" w:color="auto" w:fill="auto"/>
            <w:vAlign w:val="center"/>
          </w:tcPr>
          <w:p>
            <w:pPr>
              <w:adjustRightInd w:val="0"/>
              <w:snapToGrid w:val="0"/>
              <w:rPr>
                <w:rFonts w:ascii="宋体" w:hAnsi="宋体"/>
              </w:rPr>
            </w:pPr>
            <w:r>
              <w:rPr>
                <w:rFonts w:ascii="宋体" w:hAnsi="宋体"/>
              </w:rPr>
              <w:t>15g,11毫秒（运行时），30g，11毫秒（非运行时）</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抗震等级：</w:t>
            </w:r>
          </w:p>
        </w:tc>
        <w:tc>
          <w:tcPr>
            <w:tcW w:w="1626" w:type="pct"/>
            <w:shd w:val="clear" w:color="auto" w:fill="auto"/>
            <w:vAlign w:val="center"/>
          </w:tcPr>
          <w:p>
            <w:pPr>
              <w:adjustRightInd w:val="0"/>
              <w:snapToGrid w:val="0"/>
              <w:rPr>
                <w:rFonts w:ascii="宋体" w:hAnsi="宋体"/>
              </w:rPr>
            </w:pPr>
            <w:r>
              <w:rPr>
                <w:rFonts w:ascii="宋体" w:hAnsi="宋体"/>
              </w:rPr>
              <w:t>s0.012英寸位移，10～57Hz，2g峰值，57～500Hz正弦</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防护等级：</w:t>
            </w:r>
          </w:p>
        </w:tc>
        <w:tc>
          <w:tcPr>
            <w:tcW w:w="1626" w:type="pct"/>
            <w:shd w:val="clear" w:color="auto" w:fill="auto"/>
            <w:vAlign w:val="center"/>
          </w:tcPr>
          <w:p>
            <w:pPr>
              <w:adjustRightInd w:val="0"/>
              <w:snapToGrid w:val="0"/>
              <w:rPr>
                <w:rFonts w:ascii="宋体" w:hAnsi="宋体"/>
              </w:rPr>
            </w:pPr>
            <w:r>
              <w:rPr>
                <w:rFonts w:ascii="宋体" w:hAnsi="宋体"/>
              </w:rPr>
              <w:t xml:space="preserve"> IP65</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认证：</w:t>
            </w:r>
          </w:p>
        </w:tc>
        <w:tc>
          <w:tcPr>
            <w:tcW w:w="1626" w:type="pct"/>
            <w:shd w:val="clear" w:color="auto" w:fill="auto"/>
            <w:vAlign w:val="center"/>
          </w:tcPr>
          <w:p>
            <w:pPr>
              <w:adjustRightInd w:val="0"/>
              <w:snapToGrid w:val="0"/>
              <w:rPr>
                <w:rFonts w:ascii="宋体" w:hAnsi="宋体"/>
              </w:rPr>
            </w:pPr>
            <w:r>
              <w:rPr>
                <w:rFonts w:ascii="宋体" w:hAnsi="宋体"/>
              </w:rPr>
              <w:t>cUL认证；UL认证；CE认证；Class I, Division 2, Groups A, B, C, D; Class II, Division 2 Groups F, G; Class III, Division 1; C-tick认证</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具备多种第三方通信方式</w:t>
            </w:r>
          </w:p>
        </w:tc>
        <w:tc>
          <w:tcPr>
            <w:tcW w:w="1626" w:type="pct"/>
            <w:shd w:val="clear" w:color="auto" w:fill="auto"/>
            <w:vAlign w:val="center"/>
          </w:tcPr>
          <w:p>
            <w:pPr>
              <w:adjustRightInd w:val="0"/>
              <w:snapToGrid w:val="0"/>
              <w:rPr>
                <w:rFonts w:ascii="宋体" w:hAnsi="宋体"/>
              </w:rPr>
            </w:pPr>
            <w:r>
              <w:rPr>
                <w:rFonts w:ascii="宋体" w:hAnsi="宋体"/>
              </w:rPr>
              <w:t>是</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绘制趋势图功能</w:t>
            </w:r>
          </w:p>
        </w:tc>
        <w:tc>
          <w:tcPr>
            <w:tcW w:w="1626" w:type="pct"/>
            <w:shd w:val="clear" w:color="auto" w:fill="auto"/>
            <w:vAlign w:val="center"/>
          </w:tcPr>
          <w:p>
            <w:pPr>
              <w:adjustRightInd w:val="0"/>
              <w:snapToGrid w:val="0"/>
              <w:rPr>
                <w:rFonts w:ascii="宋体" w:hAnsi="宋体"/>
              </w:rPr>
            </w:pPr>
            <w:r>
              <w:rPr>
                <w:rFonts w:ascii="宋体" w:hAnsi="宋体"/>
              </w:rPr>
              <w:t>是</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可以表达式运算功能</w:t>
            </w:r>
          </w:p>
        </w:tc>
        <w:tc>
          <w:tcPr>
            <w:tcW w:w="1626" w:type="pct"/>
            <w:shd w:val="clear" w:color="auto" w:fill="auto"/>
            <w:vAlign w:val="center"/>
          </w:tcPr>
          <w:p>
            <w:pPr>
              <w:adjustRightInd w:val="0"/>
              <w:snapToGrid w:val="0"/>
              <w:rPr>
                <w:rFonts w:ascii="宋体" w:hAnsi="宋体"/>
              </w:rPr>
            </w:pPr>
            <w:r>
              <w:rPr>
                <w:rFonts w:ascii="宋体" w:hAnsi="宋体"/>
              </w:rPr>
              <w:t>是</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数据记录功能</w:t>
            </w:r>
          </w:p>
        </w:tc>
        <w:tc>
          <w:tcPr>
            <w:tcW w:w="1626" w:type="pct"/>
            <w:shd w:val="clear" w:color="auto" w:fill="auto"/>
            <w:vAlign w:val="center"/>
          </w:tcPr>
          <w:p>
            <w:pPr>
              <w:adjustRightInd w:val="0"/>
              <w:snapToGrid w:val="0"/>
              <w:rPr>
                <w:rFonts w:ascii="宋体" w:hAnsi="宋体"/>
              </w:rPr>
            </w:pPr>
            <w:r>
              <w:rPr>
                <w:rFonts w:ascii="宋体" w:hAnsi="宋体"/>
              </w:rPr>
              <w:t>是</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功能参数功能</w:t>
            </w:r>
          </w:p>
        </w:tc>
        <w:tc>
          <w:tcPr>
            <w:tcW w:w="1626" w:type="pct"/>
            <w:shd w:val="clear" w:color="auto" w:fill="auto"/>
            <w:vAlign w:val="center"/>
          </w:tcPr>
          <w:p>
            <w:pPr>
              <w:adjustRightInd w:val="0"/>
              <w:snapToGrid w:val="0"/>
              <w:rPr>
                <w:rFonts w:ascii="宋体" w:hAnsi="宋体"/>
              </w:rPr>
            </w:pPr>
            <w:r>
              <w:rPr>
                <w:rFonts w:ascii="宋体" w:hAnsi="宋体"/>
              </w:rPr>
              <w:t>是</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动画功能显示</w:t>
            </w:r>
          </w:p>
        </w:tc>
        <w:tc>
          <w:tcPr>
            <w:tcW w:w="1626" w:type="pct"/>
            <w:shd w:val="clear" w:color="auto" w:fill="auto"/>
            <w:vAlign w:val="center"/>
          </w:tcPr>
          <w:p>
            <w:pPr>
              <w:adjustRightInd w:val="0"/>
              <w:snapToGrid w:val="0"/>
              <w:rPr>
                <w:rFonts w:ascii="宋体" w:hAnsi="宋体"/>
              </w:rPr>
            </w:pPr>
            <w:r>
              <w:rPr>
                <w:rFonts w:ascii="宋体" w:hAnsi="宋体"/>
              </w:rPr>
              <w:t>是</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1" w:type="pct"/>
            <w:shd w:val="clear" w:color="auto" w:fill="auto"/>
            <w:vAlign w:val="center"/>
          </w:tcPr>
          <w:p>
            <w:pPr>
              <w:adjustRightInd w:val="0"/>
              <w:snapToGrid w:val="0"/>
              <w:rPr>
                <w:rFonts w:ascii="宋体" w:hAnsi="宋体"/>
              </w:rPr>
            </w:pPr>
            <w:r>
              <w:rPr>
                <w:rFonts w:ascii="宋体" w:hAnsi="宋体"/>
              </w:rPr>
              <w:t>直接浏览PLC地址功能</w:t>
            </w:r>
          </w:p>
        </w:tc>
        <w:tc>
          <w:tcPr>
            <w:tcW w:w="1626" w:type="pct"/>
            <w:shd w:val="clear" w:color="auto" w:fill="auto"/>
            <w:vAlign w:val="center"/>
          </w:tcPr>
          <w:p>
            <w:pPr>
              <w:adjustRightInd w:val="0"/>
              <w:snapToGrid w:val="0"/>
              <w:rPr>
                <w:rFonts w:ascii="宋体" w:hAnsi="宋体"/>
              </w:rPr>
            </w:pPr>
            <w:r>
              <w:rPr>
                <w:rFonts w:ascii="宋体" w:hAnsi="宋体"/>
              </w:rPr>
              <w:t>是</w:t>
            </w:r>
          </w:p>
        </w:tc>
        <w:tc>
          <w:tcPr>
            <w:tcW w:w="614"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11.3.3.8</w:t>
      </w:r>
      <w:r>
        <w:rPr>
          <w:rFonts w:ascii="宋体" w:hAnsi="宋体"/>
        </w:rPr>
        <w:t>工业以太网交换机</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996"/>
        <w:gridCol w:w="1791"/>
        <w:gridCol w:w="1715"/>
        <w:gridCol w:w="1527"/>
        <w:gridCol w:w="1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名称</w:t>
            </w:r>
          </w:p>
        </w:tc>
        <w:tc>
          <w:tcPr>
            <w:tcW w:w="1046" w:type="pct"/>
            <w:shd w:val="clear" w:color="auto" w:fill="auto"/>
            <w:vAlign w:val="center"/>
          </w:tcPr>
          <w:p>
            <w:pPr>
              <w:adjustRightInd w:val="0"/>
              <w:snapToGrid w:val="0"/>
              <w:rPr>
                <w:rFonts w:ascii="宋体" w:hAnsi="宋体"/>
              </w:rPr>
            </w:pPr>
            <w:r>
              <w:rPr>
                <w:rFonts w:ascii="宋体" w:hAnsi="宋体"/>
              </w:rPr>
              <w:t>性能要求参数</w:t>
            </w:r>
          </w:p>
        </w:tc>
        <w:tc>
          <w:tcPr>
            <w:tcW w:w="1002" w:type="pct"/>
            <w:shd w:val="clear" w:color="auto" w:fill="auto"/>
            <w:vAlign w:val="center"/>
          </w:tcPr>
          <w:p>
            <w:pPr>
              <w:adjustRightInd w:val="0"/>
              <w:snapToGrid w:val="0"/>
              <w:rPr>
                <w:rFonts w:ascii="宋体" w:hAnsi="宋体"/>
              </w:rPr>
            </w:pPr>
            <w:r>
              <w:rPr>
                <w:rFonts w:ascii="宋体" w:hAnsi="宋体"/>
              </w:rPr>
              <w:t>承包商响应参数</w:t>
            </w:r>
          </w:p>
        </w:tc>
        <w:tc>
          <w:tcPr>
            <w:tcW w:w="1527" w:type="dxa"/>
            <w:shd w:val="clear" w:color="auto" w:fill="auto"/>
            <w:vAlign w:val="center"/>
          </w:tcPr>
          <w:p>
            <w:pPr>
              <w:adjustRightInd w:val="0"/>
              <w:snapToGrid w:val="0"/>
              <w:jc w:val="center"/>
              <w:rPr>
                <w:rFonts w:ascii="宋体" w:hAnsi="宋体"/>
              </w:rPr>
            </w:pPr>
            <w:r>
              <w:rPr>
                <w:rFonts w:hint="eastAsia" w:ascii="宋体" w:hAnsi="宋体"/>
              </w:rPr>
              <w:t>偏离情况</w:t>
            </w:r>
          </w:p>
        </w:tc>
        <w:tc>
          <w:tcPr>
            <w:tcW w:w="1528" w:type="dxa"/>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04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0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2"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04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00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92"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型号</w:t>
            </w:r>
          </w:p>
        </w:tc>
        <w:tc>
          <w:tcPr>
            <w:tcW w:w="1046" w:type="pct"/>
            <w:shd w:val="clear" w:color="auto" w:fill="auto"/>
            <w:vAlign w:val="center"/>
          </w:tcPr>
          <w:p>
            <w:pPr>
              <w:adjustRightInd w:val="0"/>
              <w:snapToGrid w:val="0"/>
              <w:rPr>
                <w:rFonts w:ascii="宋体" w:hAnsi="宋体"/>
              </w:rPr>
            </w:pPr>
            <w:r>
              <w:rPr>
                <w:rFonts w:ascii="宋体" w:hAnsi="宋体"/>
              </w:rPr>
              <w:t>　</w:t>
            </w:r>
          </w:p>
        </w:tc>
        <w:tc>
          <w:tcPr>
            <w:tcW w:w="100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组网方式</w:t>
            </w:r>
          </w:p>
        </w:tc>
        <w:tc>
          <w:tcPr>
            <w:tcW w:w="1046" w:type="pct"/>
            <w:shd w:val="clear" w:color="auto" w:fill="auto"/>
            <w:vAlign w:val="center"/>
          </w:tcPr>
          <w:p>
            <w:pPr>
              <w:adjustRightInd w:val="0"/>
              <w:snapToGrid w:val="0"/>
              <w:rPr>
                <w:rFonts w:ascii="宋体" w:hAnsi="宋体"/>
              </w:rPr>
            </w:pPr>
            <w:r>
              <w:rPr>
                <w:rFonts w:ascii="宋体" w:hAnsi="宋体"/>
              </w:rPr>
              <w:t>总线、环形、星形</w:t>
            </w:r>
          </w:p>
        </w:tc>
        <w:tc>
          <w:tcPr>
            <w:tcW w:w="100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通信距离</w:t>
            </w:r>
          </w:p>
        </w:tc>
        <w:tc>
          <w:tcPr>
            <w:tcW w:w="1046" w:type="pct"/>
            <w:shd w:val="clear" w:color="auto" w:fill="auto"/>
            <w:vAlign w:val="center"/>
          </w:tcPr>
          <w:p>
            <w:pPr>
              <w:adjustRightInd w:val="0"/>
              <w:snapToGrid w:val="0"/>
              <w:rPr>
                <w:rFonts w:ascii="宋体" w:hAnsi="宋体"/>
              </w:rPr>
            </w:pPr>
            <w:r>
              <w:rPr>
                <w:rFonts w:ascii="宋体" w:hAnsi="宋体"/>
              </w:rPr>
              <w:t>≥3km</w:t>
            </w:r>
          </w:p>
        </w:tc>
        <w:tc>
          <w:tcPr>
            <w:tcW w:w="100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光纤接口</w:t>
            </w:r>
          </w:p>
        </w:tc>
        <w:tc>
          <w:tcPr>
            <w:tcW w:w="1046" w:type="pct"/>
            <w:shd w:val="clear" w:color="auto" w:fill="auto"/>
            <w:vAlign w:val="center"/>
          </w:tcPr>
          <w:p>
            <w:pPr>
              <w:adjustRightInd w:val="0"/>
              <w:snapToGrid w:val="0"/>
              <w:rPr>
                <w:rFonts w:ascii="宋体" w:hAnsi="宋体"/>
              </w:rPr>
            </w:pPr>
            <w:r>
              <w:rPr>
                <w:rFonts w:ascii="宋体" w:hAnsi="宋体"/>
              </w:rPr>
              <w:t>多模，100 Base-FX，2×2BFOC 插座</w:t>
            </w:r>
          </w:p>
        </w:tc>
        <w:tc>
          <w:tcPr>
            <w:tcW w:w="100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终端子网接口</w:t>
            </w:r>
          </w:p>
        </w:tc>
        <w:tc>
          <w:tcPr>
            <w:tcW w:w="1046" w:type="pct"/>
            <w:shd w:val="clear" w:color="auto" w:fill="auto"/>
            <w:vAlign w:val="center"/>
          </w:tcPr>
          <w:p>
            <w:pPr>
              <w:adjustRightInd w:val="0"/>
              <w:snapToGrid w:val="0"/>
              <w:rPr>
                <w:rFonts w:ascii="宋体" w:hAnsi="宋体"/>
              </w:rPr>
            </w:pPr>
            <w:r>
              <w:rPr>
                <w:rFonts w:ascii="宋体" w:hAnsi="宋体"/>
              </w:rPr>
              <w:t>4 电口，10/100 Base TX，9 针 Sub-D 插座/RJ45 插座</w:t>
            </w:r>
          </w:p>
        </w:tc>
        <w:tc>
          <w:tcPr>
            <w:tcW w:w="100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网络协议</w:t>
            </w:r>
          </w:p>
        </w:tc>
        <w:tc>
          <w:tcPr>
            <w:tcW w:w="1046" w:type="pct"/>
            <w:shd w:val="clear" w:color="auto" w:fill="auto"/>
            <w:vAlign w:val="center"/>
          </w:tcPr>
          <w:p>
            <w:pPr>
              <w:adjustRightInd w:val="0"/>
              <w:snapToGrid w:val="0"/>
              <w:rPr>
                <w:rFonts w:ascii="宋体" w:hAnsi="宋体"/>
              </w:rPr>
            </w:pPr>
            <w:r>
              <w:rPr>
                <w:rFonts w:ascii="宋体" w:hAnsi="宋体"/>
              </w:rPr>
              <w:t>IEEE802.3</w:t>
            </w:r>
          </w:p>
        </w:tc>
        <w:tc>
          <w:tcPr>
            <w:tcW w:w="100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冗余环网再生时间</w:t>
            </w:r>
          </w:p>
        </w:tc>
        <w:tc>
          <w:tcPr>
            <w:tcW w:w="1046" w:type="pct"/>
            <w:shd w:val="clear" w:color="auto" w:fill="auto"/>
            <w:vAlign w:val="center"/>
          </w:tcPr>
          <w:p>
            <w:pPr>
              <w:adjustRightInd w:val="0"/>
              <w:snapToGrid w:val="0"/>
              <w:rPr>
                <w:rFonts w:ascii="宋体" w:hAnsi="宋体"/>
              </w:rPr>
            </w:pPr>
            <w:r>
              <w:rPr>
                <w:rFonts w:ascii="宋体" w:hAnsi="宋体"/>
              </w:rPr>
              <w:t>≤0.3s</w:t>
            </w:r>
          </w:p>
        </w:tc>
        <w:tc>
          <w:tcPr>
            <w:tcW w:w="100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66" w:type="pct"/>
            <w:shd w:val="clear" w:color="auto" w:fill="auto"/>
            <w:vAlign w:val="center"/>
          </w:tcPr>
          <w:p>
            <w:pPr>
              <w:adjustRightInd w:val="0"/>
              <w:snapToGrid w:val="0"/>
              <w:rPr>
                <w:rFonts w:ascii="宋体" w:hAnsi="宋体"/>
              </w:rPr>
            </w:pPr>
            <w:r>
              <w:rPr>
                <w:rFonts w:ascii="宋体" w:hAnsi="宋体"/>
              </w:rPr>
              <w:t>SNMP管理单元</w:t>
            </w:r>
          </w:p>
        </w:tc>
        <w:tc>
          <w:tcPr>
            <w:tcW w:w="1046" w:type="pct"/>
            <w:shd w:val="clear" w:color="auto" w:fill="auto"/>
            <w:vAlign w:val="center"/>
          </w:tcPr>
          <w:p>
            <w:pPr>
              <w:adjustRightInd w:val="0"/>
              <w:snapToGrid w:val="0"/>
              <w:rPr>
                <w:rFonts w:ascii="宋体" w:hAnsi="宋体"/>
              </w:rPr>
            </w:pPr>
            <w:r>
              <w:rPr>
                <w:rFonts w:ascii="宋体" w:hAnsi="宋体"/>
              </w:rPr>
              <w:t>有</w:t>
            </w:r>
          </w:p>
        </w:tc>
        <w:tc>
          <w:tcPr>
            <w:tcW w:w="100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r>
              <w:rPr>
                <w:rFonts w:ascii="宋体" w:hAnsi="宋体"/>
              </w:rPr>
              <w:t>　</w:t>
            </w:r>
          </w:p>
        </w:tc>
        <w:tc>
          <w:tcPr>
            <w:tcW w:w="892"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11.3.3.9</w:t>
      </w:r>
      <w:r>
        <w:rPr>
          <w:rFonts w:ascii="宋体" w:hAnsi="宋体"/>
        </w:rPr>
        <w:t>通讯总线雷电保护器</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9"/>
        <w:gridCol w:w="1924"/>
        <w:gridCol w:w="1908"/>
        <w:gridCol w:w="1693"/>
        <w:gridCol w:w="1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名称</w:t>
            </w:r>
          </w:p>
        </w:tc>
        <w:tc>
          <w:tcPr>
            <w:tcW w:w="1124" w:type="pct"/>
            <w:shd w:val="clear" w:color="auto" w:fill="auto"/>
            <w:vAlign w:val="center"/>
          </w:tcPr>
          <w:p>
            <w:pPr>
              <w:adjustRightInd w:val="0"/>
              <w:snapToGrid w:val="0"/>
              <w:rPr>
                <w:rFonts w:ascii="宋体" w:hAnsi="宋体"/>
              </w:rPr>
            </w:pPr>
            <w:r>
              <w:rPr>
                <w:rFonts w:ascii="宋体" w:hAnsi="宋体"/>
              </w:rPr>
              <w:t>性能要求参数</w:t>
            </w:r>
          </w:p>
        </w:tc>
        <w:tc>
          <w:tcPr>
            <w:tcW w:w="1115" w:type="pct"/>
            <w:shd w:val="clear" w:color="auto" w:fill="auto"/>
            <w:vAlign w:val="center"/>
          </w:tcPr>
          <w:p>
            <w:pPr>
              <w:adjustRightInd w:val="0"/>
              <w:snapToGrid w:val="0"/>
              <w:rPr>
                <w:rFonts w:ascii="宋体" w:hAnsi="宋体"/>
              </w:rPr>
            </w:pPr>
            <w:r>
              <w:rPr>
                <w:rFonts w:ascii="宋体" w:hAnsi="宋体"/>
              </w:rPr>
              <w:t>承包商响应参数</w:t>
            </w:r>
          </w:p>
        </w:tc>
        <w:tc>
          <w:tcPr>
            <w:tcW w:w="98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8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12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12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型号</w:t>
            </w:r>
          </w:p>
        </w:tc>
        <w:tc>
          <w:tcPr>
            <w:tcW w:w="1124" w:type="pct"/>
            <w:shd w:val="clear" w:color="auto" w:fill="auto"/>
            <w:vAlign w:val="center"/>
          </w:tcPr>
          <w:p>
            <w:pPr>
              <w:adjustRightInd w:val="0"/>
              <w:snapToGrid w:val="0"/>
              <w:rPr>
                <w:rFonts w:ascii="宋体" w:hAnsi="宋体"/>
              </w:rPr>
            </w:pPr>
            <w:r>
              <w:rPr>
                <w:rFonts w:ascii="宋体" w:hAnsi="宋体"/>
              </w:rPr>
              <w:t>　</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最大放电电流：</w:t>
            </w:r>
          </w:p>
        </w:tc>
        <w:tc>
          <w:tcPr>
            <w:tcW w:w="1124" w:type="pct"/>
            <w:shd w:val="clear" w:color="auto" w:fill="auto"/>
            <w:vAlign w:val="center"/>
          </w:tcPr>
          <w:p>
            <w:pPr>
              <w:adjustRightInd w:val="0"/>
              <w:snapToGrid w:val="0"/>
              <w:rPr>
                <w:rFonts w:ascii="宋体" w:hAnsi="宋体"/>
              </w:rPr>
            </w:pPr>
            <w:r>
              <w:rPr>
                <w:rFonts w:ascii="宋体" w:hAnsi="宋体"/>
              </w:rPr>
              <w:t>20kA/线（8/20μs）</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响应时间：</w:t>
            </w:r>
          </w:p>
        </w:tc>
        <w:tc>
          <w:tcPr>
            <w:tcW w:w="1124" w:type="pct"/>
            <w:shd w:val="clear" w:color="auto" w:fill="auto"/>
            <w:vAlign w:val="center"/>
          </w:tcPr>
          <w:p>
            <w:pPr>
              <w:adjustRightInd w:val="0"/>
              <w:snapToGrid w:val="0"/>
              <w:rPr>
                <w:rFonts w:ascii="宋体" w:hAnsi="宋体"/>
              </w:rPr>
            </w:pPr>
            <w:r>
              <w:rPr>
                <w:rFonts w:ascii="宋体" w:hAnsi="宋体"/>
              </w:rPr>
              <w:t>≤1ns</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额定工作电压：</w:t>
            </w:r>
          </w:p>
        </w:tc>
        <w:tc>
          <w:tcPr>
            <w:tcW w:w="1124" w:type="pct"/>
            <w:shd w:val="clear" w:color="auto" w:fill="auto"/>
            <w:vAlign w:val="center"/>
          </w:tcPr>
          <w:p>
            <w:pPr>
              <w:adjustRightInd w:val="0"/>
              <w:snapToGrid w:val="0"/>
              <w:rPr>
                <w:rFonts w:ascii="宋体" w:hAnsi="宋体"/>
              </w:rPr>
            </w:pPr>
            <w:r>
              <w:rPr>
                <w:rFonts w:ascii="宋体" w:hAnsi="宋体"/>
              </w:rPr>
              <w:t>12/24V</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额定工作电流：</w:t>
            </w:r>
          </w:p>
        </w:tc>
        <w:tc>
          <w:tcPr>
            <w:tcW w:w="1124" w:type="pct"/>
            <w:shd w:val="clear" w:color="auto" w:fill="auto"/>
            <w:vAlign w:val="center"/>
          </w:tcPr>
          <w:p>
            <w:pPr>
              <w:adjustRightInd w:val="0"/>
              <w:snapToGrid w:val="0"/>
              <w:rPr>
                <w:rFonts w:ascii="宋体" w:hAnsi="宋体"/>
              </w:rPr>
            </w:pPr>
            <w:r>
              <w:rPr>
                <w:rFonts w:ascii="宋体" w:hAnsi="宋体"/>
              </w:rPr>
              <w:t>1A</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限值电压：</w:t>
            </w:r>
          </w:p>
        </w:tc>
        <w:tc>
          <w:tcPr>
            <w:tcW w:w="1124" w:type="pct"/>
            <w:shd w:val="clear" w:color="auto" w:fill="auto"/>
            <w:vAlign w:val="center"/>
          </w:tcPr>
          <w:p>
            <w:pPr>
              <w:adjustRightInd w:val="0"/>
              <w:snapToGrid w:val="0"/>
              <w:rPr>
                <w:rFonts w:ascii="宋体" w:hAnsi="宋体"/>
              </w:rPr>
            </w:pPr>
            <w:r>
              <w:rPr>
                <w:rFonts w:ascii="宋体" w:hAnsi="宋体"/>
              </w:rPr>
              <w:t>&lt;48/72V</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漏泄电流：</w:t>
            </w:r>
          </w:p>
        </w:tc>
        <w:tc>
          <w:tcPr>
            <w:tcW w:w="1124" w:type="pct"/>
            <w:shd w:val="clear" w:color="auto" w:fill="auto"/>
            <w:vAlign w:val="center"/>
          </w:tcPr>
          <w:p>
            <w:pPr>
              <w:adjustRightInd w:val="0"/>
              <w:snapToGrid w:val="0"/>
              <w:rPr>
                <w:rFonts w:ascii="宋体" w:hAnsi="宋体"/>
              </w:rPr>
            </w:pPr>
            <w:r>
              <w:rPr>
                <w:rFonts w:ascii="宋体" w:hAnsi="宋体"/>
              </w:rPr>
              <w:t>＜1μA</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通频带：</w:t>
            </w:r>
          </w:p>
        </w:tc>
        <w:tc>
          <w:tcPr>
            <w:tcW w:w="1124" w:type="pct"/>
            <w:shd w:val="clear" w:color="auto" w:fill="auto"/>
            <w:vAlign w:val="center"/>
          </w:tcPr>
          <w:p>
            <w:pPr>
              <w:adjustRightInd w:val="0"/>
              <w:snapToGrid w:val="0"/>
              <w:rPr>
                <w:rFonts w:ascii="宋体" w:hAnsi="宋体"/>
              </w:rPr>
            </w:pPr>
            <w:r>
              <w:rPr>
                <w:rFonts w:ascii="宋体" w:hAnsi="宋体"/>
              </w:rPr>
              <w:t>0-150MHz</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插入损耗：</w:t>
            </w:r>
          </w:p>
        </w:tc>
        <w:tc>
          <w:tcPr>
            <w:tcW w:w="1124" w:type="pct"/>
            <w:shd w:val="clear" w:color="auto" w:fill="auto"/>
            <w:vAlign w:val="center"/>
          </w:tcPr>
          <w:p>
            <w:pPr>
              <w:adjustRightInd w:val="0"/>
              <w:snapToGrid w:val="0"/>
              <w:rPr>
                <w:rFonts w:ascii="宋体" w:hAnsi="宋体"/>
              </w:rPr>
            </w:pPr>
            <w:r>
              <w:rPr>
                <w:rFonts w:ascii="宋体" w:hAnsi="宋体"/>
              </w:rPr>
              <w:t>≤0.5dB</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3" w:type="pct"/>
            <w:shd w:val="clear" w:color="auto" w:fill="auto"/>
            <w:vAlign w:val="center"/>
          </w:tcPr>
          <w:p>
            <w:pPr>
              <w:adjustRightInd w:val="0"/>
              <w:snapToGrid w:val="0"/>
              <w:rPr>
                <w:rFonts w:ascii="宋体" w:hAnsi="宋体"/>
              </w:rPr>
            </w:pPr>
            <w:r>
              <w:rPr>
                <w:rFonts w:ascii="宋体" w:hAnsi="宋体"/>
              </w:rPr>
              <w:t>温度范围：</w:t>
            </w:r>
          </w:p>
        </w:tc>
        <w:tc>
          <w:tcPr>
            <w:tcW w:w="1124" w:type="pct"/>
            <w:shd w:val="clear" w:color="auto" w:fill="auto"/>
            <w:vAlign w:val="center"/>
          </w:tcPr>
          <w:p>
            <w:pPr>
              <w:adjustRightInd w:val="0"/>
              <w:snapToGrid w:val="0"/>
              <w:rPr>
                <w:rFonts w:ascii="宋体" w:hAnsi="宋体"/>
              </w:rPr>
            </w:pPr>
            <w:r>
              <w:rPr>
                <w:rFonts w:ascii="宋体" w:hAnsi="宋体"/>
              </w:rPr>
              <w:t>-25</w:t>
            </w:r>
            <w:r>
              <w:rPr>
                <w:rFonts w:hint="eastAsia" w:ascii="宋体" w:hAnsi="宋体"/>
              </w:rPr>
              <w:t>℃</w:t>
            </w:r>
            <w:r>
              <w:rPr>
                <w:rFonts w:ascii="宋体" w:hAnsi="宋体"/>
              </w:rPr>
              <w:t>～+80</w:t>
            </w:r>
            <w:r>
              <w:rPr>
                <w:rFonts w:hint="eastAsia" w:ascii="宋体" w:hAnsi="宋体"/>
              </w:rPr>
              <w:t>℃</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11.3.3.10</w:t>
      </w:r>
      <w:r>
        <w:rPr>
          <w:rFonts w:ascii="宋体" w:hAnsi="宋体"/>
        </w:rPr>
        <w:t>信号雷电保护器</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38"/>
        <w:gridCol w:w="1924"/>
        <w:gridCol w:w="1909"/>
        <w:gridCol w:w="1693"/>
        <w:gridCol w:w="1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名称</w:t>
            </w:r>
          </w:p>
        </w:tc>
        <w:tc>
          <w:tcPr>
            <w:tcW w:w="1124" w:type="pct"/>
            <w:shd w:val="clear" w:color="auto" w:fill="auto"/>
            <w:vAlign w:val="center"/>
          </w:tcPr>
          <w:p>
            <w:pPr>
              <w:adjustRightInd w:val="0"/>
              <w:snapToGrid w:val="0"/>
              <w:rPr>
                <w:rFonts w:ascii="宋体" w:hAnsi="宋体"/>
              </w:rPr>
            </w:pPr>
            <w:r>
              <w:rPr>
                <w:rFonts w:ascii="宋体" w:hAnsi="宋体"/>
              </w:rPr>
              <w:t>性能要求参数</w:t>
            </w:r>
          </w:p>
        </w:tc>
        <w:tc>
          <w:tcPr>
            <w:tcW w:w="1115" w:type="pct"/>
            <w:shd w:val="clear" w:color="auto" w:fill="auto"/>
            <w:vAlign w:val="center"/>
          </w:tcPr>
          <w:p>
            <w:pPr>
              <w:adjustRightInd w:val="0"/>
              <w:snapToGrid w:val="0"/>
              <w:rPr>
                <w:rFonts w:ascii="宋体" w:hAnsi="宋体"/>
              </w:rPr>
            </w:pPr>
            <w:r>
              <w:rPr>
                <w:rFonts w:ascii="宋体" w:hAnsi="宋体"/>
              </w:rPr>
              <w:t>承包商响应参数</w:t>
            </w:r>
          </w:p>
        </w:tc>
        <w:tc>
          <w:tcPr>
            <w:tcW w:w="1693" w:type="dxa"/>
            <w:shd w:val="clear" w:color="auto" w:fill="auto"/>
            <w:vAlign w:val="center"/>
          </w:tcPr>
          <w:p>
            <w:pPr>
              <w:adjustRightInd w:val="0"/>
              <w:snapToGrid w:val="0"/>
              <w:jc w:val="center"/>
              <w:rPr>
                <w:rFonts w:ascii="宋体" w:hAnsi="宋体"/>
              </w:rPr>
            </w:pPr>
            <w:r>
              <w:rPr>
                <w:rFonts w:hint="eastAsia" w:ascii="宋体" w:hAnsi="宋体"/>
              </w:rPr>
              <w:t>偏离情况</w:t>
            </w:r>
          </w:p>
        </w:tc>
        <w:tc>
          <w:tcPr>
            <w:tcW w:w="1693" w:type="dxa"/>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12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124"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111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8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型号</w:t>
            </w:r>
          </w:p>
        </w:tc>
        <w:tc>
          <w:tcPr>
            <w:tcW w:w="1124" w:type="pct"/>
            <w:shd w:val="clear" w:color="auto" w:fill="auto"/>
            <w:vAlign w:val="center"/>
          </w:tcPr>
          <w:p>
            <w:pPr>
              <w:adjustRightInd w:val="0"/>
              <w:snapToGrid w:val="0"/>
              <w:rPr>
                <w:rFonts w:ascii="宋体" w:hAnsi="宋体"/>
              </w:rPr>
            </w:pPr>
            <w:r>
              <w:rPr>
                <w:rFonts w:ascii="宋体" w:hAnsi="宋体"/>
              </w:rPr>
              <w:t>　</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最大放电电流：</w:t>
            </w:r>
          </w:p>
        </w:tc>
        <w:tc>
          <w:tcPr>
            <w:tcW w:w="1124" w:type="pct"/>
            <w:shd w:val="clear" w:color="auto" w:fill="auto"/>
            <w:vAlign w:val="center"/>
          </w:tcPr>
          <w:p>
            <w:pPr>
              <w:adjustRightInd w:val="0"/>
              <w:snapToGrid w:val="0"/>
              <w:rPr>
                <w:rFonts w:ascii="宋体" w:hAnsi="宋体"/>
              </w:rPr>
            </w:pPr>
            <w:r>
              <w:rPr>
                <w:rFonts w:ascii="宋体" w:hAnsi="宋体"/>
              </w:rPr>
              <w:t>20kA/线（8/20μs）</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响应时间：</w:t>
            </w:r>
          </w:p>
        </w:tc>
        <w:tc>
          <w:tcPr>
            <w:tcW w:w="1124" w:type="pct"/>
            <w:shd w:val="clear" w:color="auto" w:fill="auto"/>
            <w:vAlign w:val="center"/>
          </w:tcPr>
          <w:p>
            <w:pPr>
              <w:adjustRightInd w:val="0"/>
              <w:snapToGrid w:val="0"/>
              <w:rPr>
                <w:rFonts w:ascii="宋体" w:hAnsi="宋体"/>
              </w:rPr>
            </w:pPr>
            <w:r>
              <w:rPr>
                <w:rFonts w:ascii="宋体" w:hAnsi="宋体"/>
              </w:rPr>
              <w:t>≤1ns</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额定工作电压：</w:t>
            </w:r>
          </w:p>
        </w:tc>
        <w:tc>
          <w:tcPr>
            <w:tcW w:w="1124" w:type="pct"/>
            <w:shd w:val="clear" w:color="auto" w:fill="auto"/>
            <w:vAlign w:val="center"/>
          </w:tcPr>
          <w:p>
            <w:pPr>
              <w:adjustRightInd w:val="0"/>
              <w:snapToGrid w:val="0"/>
              <w:rPr>
                <w:rFonts w:ascii="宋体" w:hAnsi="宋体"/>
              </w:rPr>
            </w:pPr>
            <w:r>
              <w:rPr>
                <w:rFonts w:ascii="宋体" w:hAnsi="宋体"/>
              </w:rPr>
              <w:t>24V</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额定工作电流：</w:t>
            </w:r>
          </w:p>
        </w:tc>
        <w:tc>
          <w:tcPr>
            <w:tcW w:w="1124" w:type="pct"/>
            <w:shd w:val="clear" w:color="auto" w:fill="auto"/>
            <w:vAlign w:val="center"/>
          </w:tcPr>
          <w:p>
            <w:pPr>
              <w:adjustRightInd w:val="0"/>
              <w:snapToGrid w:val="0"/>
              <w:rPr>
                <w:rFonts w:ascii="宋体" w:hAnsi="宋体"/>
              </w:rPr>
            </w:pPr>
            <w:r>
              <w:rPr>
                <w:rFonts w:ascii="宋体" w:hAnsi="宋体"/>
              </w:rPr>
              <w:t>1A</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限值电压：</w:t>
            </w:r>
          </w:p>
        </w:tc>
        <w:tc>
          <w:tcPr>
            <w:tcW w:w="1124" w:type="pct"/>
            <w:shd w:val="clear" w:color="auto" w:fill="auto"/>
            <w:vAlign w:val="center"/>
          </w:tcPr>
          <w:p>
            <w:pPr>
              <w:adjustRightInd w:val="0"/>
              <w:snapToGrid w:val="0"/>
              <w:rPr>
                <w:rFonts w:ascii="宋体" w:hAnsi="宋体"/>
              </w:rPr>
            </w:pPr>
            <w:r>
              <w:rPr>
                <w:rFonts w:ascii="宋体" w:hAnsi="宋体"/>
              </w:rPr>
              <w:t>72V</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漏泄电流：</w:t>
            </w:r>
          </w:p>
        </w:tc>
        <w:tc>
          <w:tcPr>
            <w:tcW w:w="1124" w:type="pct"/>
            <w:shd w:val="clear" w:color="auto" w:fill="auto"/>
            <w:vAlign w:val="center"/>
          </w:tcPr>
          <w:p>
            <w:pPr>
              <w:adjustRightInd w:val="0"/>
              <w:snapToGrid w:val="0"/>
              <w:rPr>
                <w:rFonts w:ascii="宋体" w:hAnsi="宋体"/>
              </w:rPr>
            </w:pPr>
            <w:r>
              <w:rPr>
                <w:rFonts w:ascii="宋体" w:hAnsi="宋体"/>
              </w:rPr>
              <w:t>＜1μA</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通频带：</w:t>
            </w:r>
          </w:p>
        </w:tc>
        <w:tc>
          <w:tcPr>
            <w:tcW w:w="1124" w:type="pct"/>
            <w:shd w:val="clear" w:color="auto" w:fill="auto"/>
            <w:vAlign w:val="center"/>
          </w:tcPr>
          <w:p>
            <w:pPr>
              <w:adjustRightInd w:val="0"/>
              <w:snapToGrid w:val="0"/>
              <w:rPr>
                <w:rFonts w:ascii="宋体" w:hAnsi="宋体"/>
              </w:rPr>
            </w:pPr>
            <w:r>
              <w:rPr>
                <w:rFonts w:ascii="宋体" w:hAnsi="宋体"/>
              </w:rPr>
              <w:t>0-150MHz</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插入损耗：</w:t>
            </w:r>
          </w:p>
        </w:tc>
        <w:tc>
          <w:tcPr>
            <w:tcW w:w="1124" w:type="pct"/>
            <w:shd w:val="clear" w:color="auto" w:fill="auto"/>
            <w:vAlign w:val="center"/>
          </w:tcPr>
          <w:p>
            <w:pPr>
              <w:adjustRightInd w:val="0"/>
              <w:snapToGrid w:val="0"/>
              <w:rPr>
                <w:rFonts w:ascii="宋体" w:hAnsi="宋体"/>
              </w:rPr>
            </w:pPr>
            <w:r>
              <w:rPr>
                <w:rFonts w:ascii="宋体" w:hAnsi="宋体"/>
              </w:rPr>
              <w:t>≤0.5dB</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温度范围：</w:t>
            </w:r>
          </w:p>
        </w:tc>
        <w:tc>
          <w:tcPr>
            <w:tcW w:w="1124" w:type="pct"/>
            <w:shd w:val="clear" w:color="auto" w:fill="auto"/>
            <w:vAlign w:val="center"/>
          </w:tcPr>
          <w:p>
            <w:pPr>
              <w:adjustRightInd w:val="0"/>
              <w:snapToGrid w:val="0"/>
              <w:rPr>
                <w:rFonts w:ascii="宋体" w:hAnsi="宋体"/>
              </w:rPr>
            </w:pPr>
            <w:r>
              <w:rPr>
                <w:rFonts w:ascii="宋体" w:hAnsi="宋体"/>
              </w:rPr>
              <w:t>-25</w:t>
            </w:r>
            <w:r>
              <w:rPr>
                <w:rFonts w:hint="eastAsia" w:ascii="宋体" w:hAnsi="宋体"/>
              </w:rPr>
              <w:t>℃</w:t>
            </w:r>
            <w:r>
              <w:rPr>
                <w:rFonts w:ascii="宋体" w:hAnsi="宋体"/>
              </w:rPr>
              <w:t>～+80</w:t>
            </w:r>
            <w:r>
              <w:rPr>
                <w:rFonts w:hint="eastAsia" w:ascii="宋体" w:hAnsi="宋体"/>
              </w:rPr>
              <w:t>℃</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82" w:type="pct"/>
            <w:shd w:val="clear" w:color="auto" w:fill="auto"/>
            <w:vAlign w:val="center"/>
          </w:tcPr>
          <w:p>
            <w:pPr>
              <w:adjustRightInd w:val="0"/>
              <w:snapToGrid w:val="0"/>
              <w:rPr>
                <w:rFonts w:ascii="宋体" w:hAnsi="宋体"/>
              </w:rPr>
            </w:pPr>
            <w:r>
              <w:rPr>
                <w:rFonts w:ascii="宋体" w:hAnsi="宋体"/>
              </w:rPr>
              <w:t>　</w:t>
            </w:r>
          </w:p>
        </w:tc>
        <w:tc>
          <w:tcPr>
            <w:tcW w:w="1124" w:type="pct"/>
            <w:shd w:val="clear" w:color="auto" w:fill="auto"/>
            <w:vAlign w:val="center"/>
          </w:tcPr>
          <w:p>
            <w:pPr>
              <w:adjustRightInd w:val="0"/>
              <w:snapToGrid w:val="0"/>
              <w:rPr>
                <w:rFonts w:ascii="宋体" w:hAnsi="宋体"/>
              </w:rPr>
            </w:pPr>
            <w:r>
              <w:rPr>
                <w:rFonts w:ascii="宋体" w:hAnsi="宋体"/>
              </w:rPr>
              <w:t>　</w:t>
            </w:r>
          </w:p>
        </w:tc>
        <w:tc>
          <w:tcPr>
            <w:tcW w:w="1115"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r>
              <w:rPr>
                <w:rFonts w:ascii="宋体" w:hAnsi="宋体"/>
              </w:rPr>
              <w:t>　</w:t>
            </w:r>
          </w:p>
        </w:tc>
        <w:tc>
          <w:tcPr>
            <w:tcW w:w="989" w:type="pct"/>
            <w:shd w:val="clear" w:color="auto" w:fill="auto"/>
            <w:vAlign w:val="center"/>
          </w:tcPr>
          <w:p>
            <w:pPr>
              <w:adjustRightInd w:val="0"/>
              <w:snapToGrid w:val="0"/>
              <w:rPr>
                <w:rFonts w:ascii="宋体" w:hAnsi="宋体"/>
              </w:rPr>
            </w:pPr>
          </w:p>
        </w:tc>
      </w:tr>
    </w:tbl>
    <w:p>
      <w:pPr>
        <w:keepNext/>
        <w:tabs>
          <w:tab w:val="left" w:pos="993"/>
        </w:tabs>
        <w:adjustRightInd w:val="0"/>
        <w:snapToGrid w:val="0"/>
        <w:spacing w:before="203" w:beforeLines="50" w:after="203" w:afterLines="50"/>
        <w:outlineLvl w:val="2"/>
        <w:rPr>
          <w:rFonts w:ascii="宋体" w:hAnsi="宋体"/>
        </w:rPr>
      </w:pPr>
      <w:bookmarkStart w:id="7545" w:name="_Toc479408534"/>
      <w:bookmarkStart w:id="7546" w:name="_Toc106883863"/>
      <w:r>
        <w:rPr>
          <w:rFonts w:hint="eastAsia" w:ascii="宋体" w:hAnsi="宋体"/>
        </w:rPr>
        <w:t>11.3.4</w:t>
      </w:r>
      <w:r>
        <w:rPr>
          <w:rFonts w:ascii="宋体" w:hAnsi="宋体"/>
        </w:rPr>
        <w:t>闭路电视监控系统</w:t>
      </w:r>
      <w:bookmarkEnd w:id="7545"/>
      <w:bookmarkEnd w:id="7546"/>
    </w:p>
    <w:p>
      <w:pPr>
        <w:adjustRightInd w:val="0"/>
        <w:snapToGrid w:val="0"/>
        <w:rPr>
          <w:rFonts w:ascii="宋体" w:hAnsi="宋体"/>
        </w:rPr>
      </w:pPr>
      <w:r>
        <w:rPr>
          <w:rFonts w:hint="eastAsia" w:ascii="宋体" w:hAnsi="宋体"/>
        </w:rPr>
        <w:t>11.3.4.1</w:t>
      </w:r>
      <w:r>
        <w:rPr>
          <w:rFonts w:ascii="宋体" w:hAnsi="宋体"/>
        </w:rPr>
        <w:t>球型网络摄像机</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14"/>
        <w:gridCol w:w="2870"/>
        <w:gridCol w:w="1673"/>
        <w:gridCol w:w="1300"/>
        <w:gridCol w:w="1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26" w:type="pct"/>
            <w:shd w:val="clear" w:color="auto" w:fill="auto"/>
            <w:vAlign w:val="center"/>
          </w:tcPr>
          <w:p>
            <w:pPr>
              <w:adjustRightInd w:val="0"/>
              <w:snapToGrid w:val="0"/>
              <w:rPr>
                <w:rFonts w:ascii="宋体" w:hAnsi="宋体"/>
              </w:rPr>
            </w:pPr>
            <w:r>
              <w:rPr>
                <w:rFonts w:ascii="宋体" w:hAnsi="宋体"/>
              </w:rPr>
              <w:t>名称</w:t>
            </w:r>
          </w:p>
        </w:tc>
        <w:tc>
          <w:tcPr>
            <w:tcW w:w="1676" w:type="pct"/>
            <w:shd w:val="clear" w:color="auto" w:fill="auto"/>
            <w:vAlign w:val="center"/>
          </w:tcPr>
          <w:p>
            <w:pPr>
              <w:adjustRightInd w:val="0"/>
              <w:snapToGrid w:val="0"/>
              <w:rPr>
                <w:rFonts w:ascii="宋体" w:hAnsi="宋体"/>
              </w:rPr>
            </w:pPr>
            <w:r>
              <w:rPr>
                <w:rFonts w:ascii="宋体" w:hAnsi="宋体"/>
              </w:rPr>
              <w:t>性能要求参数</w:t>
            </w:r>
          </w:p>
        </w:tc>
        <w:tc>
          <w:tcPr>
            <w:tcW w:w="977" w:type="pct"/>
            <w:shd w:val="clear" w:color="auto" w:fill="auto"/>
            <w:vAlign w:val="center"/>
          </w:tcPr>
          <w:p>
            <w:pPr>
              <w:adjustRightInd w:val="0"/>
              <w:snapToGrid w:val="0"/>
              <w:rPr>
                <w:rFonts w:ascii="宋体" w:hAnsi="宋体"/>
              </w:rPr>
            </w:pPr>
            <w:r>
              <w:rPr>
                <w:rFonts w:ascii="宋体" w:hAnsi="宋体"/>
              </w:rPr>
              <w:t>承包商响应参数</w:t>
            </w:r>
          </w:p>
        </w:tc>
        <w:tc>
          <w:tcPr>
            <w:tcW w:w="1300" w:type="dxa"/>
            <w:shd w:val="clear" w:color="auto" w:fill="auto"/>
            <w:vAlign w:val="center"/>
          </w:tcPr>
          <w:p>
            <w:pPr>
              <w:adjustRightInd w:val="0"/>
              <w:snapToGrid w:val="0"/>
              <w:jc w:val="center"/>
              <w:rPr>
                <w:rFonts w:ascii="宋体" w:hAnsi="宋体"/>
              </w:rPr>
            </w:pPr>
            <w:r>
              <w:rPr>
                <w:rFonts w:hint="eastAsia" w:ascii="宋体" w:hAnsi="宋体"/>
              </w:rPr>
              <w:t>偏离情况</w:t>
            </w:r>
          </w:p>
        </w:tc>
        <w:tc>
          <w:tcPr>
            <w:tcW w:w="1300" w:type="dxa"/>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67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67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型号</w:t>
            </w:r>
          </w:p>
        </w:tc>
        <w:tc>
          <w:tcPr>
            <w:tcW w:w="1676" w:type="pct"/>
            <w:shd w:val="clear" w:color="auto" w:fill="auto"/>
            <w:vAlign w:val="center"/>
          </w:tcPr>
          <w:p>
            <w:pPr>
              <w:adjustRightInd w:val="0"/>
              <w:snapToGrid w:val="0"/>
              <w:rPr>
                <w:rFonts w:ascii="宋体" w:hAnsi="宋体"/>
              </w:rPr>
            </w:pPr>
            <w:r>
              <w:rPr>
                <w:rFonts w:ascii="宋体" w:hAnsi="宋体"/>
              </w:rPr>
              <w:t>　</w:t>
            </w:r>
          </w:p>
        </w:tc>
        <w:tc>
          <w:tcPr>
            <w:tcW w:w="977"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图像传感器</w:t>
            </w:r>
          </w:p>
        </w:tc>
        <w:tc>
          <w:tcPr>
            <w:tcW w:w="1676" w:type="pct"/>
            <w:shd w:val="clear" w:color="auto" w:fill="auto"/>
            <w:vAlign w:val="center"/>
          </w:tcPr>
          <w:p>
            <w:pPr>
              <w:adjustRightInd w:val="0"/>
              <w:snapToGrid w:val="0"/>
              <w:rPr>
                <w:rFonts w:ascii="宋体" w:hAnsi="宋体"/>
              </w:rPr>
            </w:pPr>
            <w:r>
              <w:rPr>
                <w:rFonts w:ascii="宋体" w:hAnsi="宋体"/>
              </w:rPr>
              <w:t xml:space="preserve">1/4” ExView HAD </w:t>
            </w:r>
          </w:p>
          <w:p>
            <w:pPr>
              <w:adjustRightInd w:val="0"/>
              <w:snapToGrid w:val="0"/>
              <w:rPr>
                <w:rFonts w:ascii="宋体" w:hAnsi="宋体"/>
              </w:rPr>
            </w:pPr>
            <w:r>
              <w:rPr>
                <w:rFonts w:ascii="宋体" w:hAnsi="宋体"/>
              </w:rPr>
              <w:t>逐行扫描CCD</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分辨率</w:t>
            </w:r>
          </w:p>
        </w:tc>
        <w:tc>
          <w:tcPr>
            <w:tcW w:w="1676" w:type="pct"/>
            <w:shd w:val="clear" w:color="auto" w:fill="auto"/>
            <w:vAlign w:val="center"/>
          </w:tcPr>
          <w:p>
            <w:pPr>
              <w:adjustRightInd w:val="0"/>
              <w:snapToGrid w:val="0"/>
              <w:rPr>
                <w:rFonts w:ascii="宋体" w:hAnsi="宋体"/>
              </w:rPr>
            </w:pPr>
            <w:r>
              <w:rPr>
                <w:rFonts w:ascii="宋体" w:hAnsi="宋体"/>
              </w:rPr>
              <w:t>D1 720*576@30/25fps</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镜头焦距</w:t>
            </w:r>
          </w:p>
        </w:tc>
        <w:tc>
          <w:tcPr>
            <w:tcW w:w="1676" w:type="pct"/>
            <w:shd w:val="clear" w:color="auto" w:fill="auto"/>
            <w:vAlign w:val="center"/>
          </w:tcPr>
          <w:p>
            <w:pPr>
              <w:adjustRightInd w:val="0"/>
              <w:snapToGrid w:val="0"/>
              <w:rPr>
                <w:rFonts w:ascii="宋体" w:hAnsi="宋体"/>
              </w:rPr>
            </w:pPr>
            <w:r>
              <w:rPr>
                <w:rFonts w:ascii="宋体" w:hAnsi="宋体"/>
              </w:rPr>
              <w:t>3.6-104.4毫米</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变焦</w:t>
            </w:r>
          </w:p>
        </w:tc>
        <w:tc>
          <w:tcPr>
            <w:tcW w:w="1676" w:type="pct"/>
            <w:shd w:val="clear" w:color="auto" w:fill="auto"/>
            <w:vAlign w:val="center"/>
          </w:tcPr>
          <w:p>
            <w:pPr>
              <w:adjustRightInd w:val="0"/>
              <w:snapToGrid w:val="0"/>
              <w:rPr>
                <w:rFonts w:ascii="宋体" w:hAnsi="宋体"/>
              </w:rPr>
            </w:pPr>
            <w:r>
              <w:rPr>
                <w:rFonts w:ascii="宋体" w:hAnsi="宋体"/>
              </w:rPr>
              <w:t>29倍光学变焦，</w:t>
            </w:r>
          </w:p>
          <w:p>
            <w:pPr>
              <w:adjustRightInd w:val="0"/>
              <w:snapToGrid w:val="0"/>
              <w:rPr>
                <w:rFonts w:ascii="宋体" w:hAnsi="宋体"/>
              </w:rPr>
            </w:pPr>
            <w:r>
              <w:rPr>
                <w:rFonts w:ascii="宋体" w:hAnsi="宋体"/>
              </w:rPr>
              <w:t>12倍数字变焦；</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自动对焦</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自动日夜转换</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 xml:space="preserve">最低照度 </w:t>
            </w:r>
          </w:p>
        </w:tc>
        <w:tc>
          <w:tcPr>
            <w:tcW w:w="1676" w:type="pct"/>
            <w:shd w:val="clear" w:color="auto" w:fill="auto"/>
            <w:vAlign w:val="center"/>
          </w:tcPr>
          <w:p>
            <w:pPr>
              <w:adjustRightInd w:val="0"/>
              <w:snapToGrid w:val="0"/>
              <w:rPr>
                <w:rFonts w:ascii="宋体" w:hAnsi="宋体"/>
              </w:rPr>
            </w:pPr>
            <w:r>
              <w:rPr>
                <w:rFonts w:ascii="宋体" w:hAnsi="宋体"/>
              </w:rPr>
              <w:t>0.5lux（彩色），</w:t>
            </w:r>
          </w:p>
          <w:p>
            <w:pPr>
              <w:adjustRightInd w:val="0"/>
              <w:snapToGrid w:val="0"/>
              <w:rPr>
                <w:rFonts w:ascii="宋体" w:hAnsi="宋体"/>
              </w:rPr>
            </w:pPr>
            <w:r>
              <w:rPr>
                <w:rFonts w:ascii="宋体" w:hAnsi="宋体"/>
              </w:rPr>
              <w:t>0.01lux（黑白）</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水平转动</w:t>
            </w:r>
          </w:p>
        </w:tc>
        <w:tc>
          <w:tcPr>
            <w:tcW w:w="1676" w:type="pct"/>
            <w:shd w:val="clear" w:color="auto" w:fill="auto"/>
            <w:vAlign w:val="center"/>
          </w:tcPr>
          <w:p>
            <w:pPr>
              <w:adjustRightInd w:val="0"/>
              <w:snapToGrid w:val="0"/>
              <w:rPr>
                <w:rFonts w:ascii="宋体" w:hAnsi="宋体"/>
              </w:rPr>
            </w:pPr>
            <w:r>
              <w:rPr>
                <w:rFonts w:ascii="宋体" w:hAnsi="宋体"/>
              </w:rPr>
              <w:t>360°（带自动翻转功能） 速度0.2°-300°/秒</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垂直转动</w:t>
            </w:r>
          </w:p>
        </w:tc>
        <w:tc>
          <w:tcPr>
            <w:tcW w:w="1676" w:type="pct"/>
            <w:shd w:val="clear" w:color="auto" w:fill="auto"/>
            <w:vAlign w:val="center"/>
          </w:tcPr>
          <w:p>
            <w:pPr>
              <w:adjustRightInd w:val="0"/>
              <w:snapToGrid w:val="0"/>
              <w:rPr>
                <w:rFonts w:ascii="宋体" w:hAnsi="宋体"/>
              </w:rPr>
            </w:pPr>
            <w:r>
              <w:rPr>
                <w:rFonts w:ascii="宋体" w:hAnsi="宋体"/>
              </w:rPr>
              <w:t>180°速度0.2°-300°/秒</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预置位</w:t>
            </w:r>
          </w:p>
        </w:tc>
        <w:tc>
          <w:tcPr>
            <w:tcW w:w="1676" w:type="pct"/>
            <w:shd w:val="clear" w:color="auto" w:fill="auto"/>
            <w:vAlign w:val="center"/>
          </w:tcPr>
          <w:p>
            <w:pPr>
              <w:adjustRightInd w:val="0"/>
              <w:snapToGrid w:val="0"/>
              <w:rPr>
                <w:rFonts w:ascii="宋体" w:hAnsi="宋体"/>
              </w:rPr>
            </w:pPr>
            <w:r>
              <w:rPr>
                <w:rFonts w:ascii="宋体" w:hAnsi="宋体"/>
              </w:rPr>
              <w:t>100个</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电子巡查</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压缩编码</w:t>
            </w:r>
          </w:p>
        </w:tc>
        <w:tc>
          <w:tcPr>
            <w:tcW w:w="1676" w:type="pct"/>
            <w:shd w:val="clear" w:color="auto" w:fill="auto"/>
            <w:vAlign w:val="center"/>
          </w:tcPr>
          <w:p>
            <w:pPr>
              <w:adjustRightInd w:val="0"/>
              <w:snapToGrid w:val="0"/>
              <w:rPr>
                <w:rFonts w:ascii="宋体" w:hAnsi="宋体"/>
              </w:rPr>
            </w:pPr>
            <w:r>
              <w:rPr>
                <w:rFonts w:ascii="宋体" w:hAnsi="宋体"/>
              </w:rPr>
              <w:t xml:space="preserve">H.264（MPEG-4 Part 10/AVC） </w:t>
            </w:r>
          </w:p>
          <w:p>
            <w:pPr>
              <w:adjustRightInd w:val="0"/>
              <w:snapToGrid w:val="0"/>
              <w:rPr>
                <w:rFonts w:ascii="宋体" w:hAnsi="宋体"/>
              </w:rPr>
            </w:pPr>
            <w:r>
              <w:rPr>
                <w:rFonts w:ascii="宋体" w:hAnsi="宋体"/>
              </w:rPr>
              <w:t>Motion JPEG</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视频流</w:t>
            </w:r>
          </w:p>
        </w:tc>
        <w:tc>
          <w:tcPr>
            <w:tcW w:w="1676" w:type="pct"/>
            <w:shd w:val="clear" w:color="auto" w:fill="auto"/>
            <w:vAlign w:val="center"/>
          </w:tcPr>
          <w:p>
            <w:pPr>
              <w:adjustRightInd w:val="0"/>
              <w:snapToGrid w:val="0"/>
              <w:rPr>
                <w:rFonts w:ascii="宋体" w:hAnsi="宋体"/>
              </w:rPr>
            </w:pPr>
            <w:r>
              <w:rPr>
                <w:rFonts w:ascii="宋体" w:hAnsi="宋体"/>
              </w:rPr>
              <w:t>同时至少支持3个可独立配置的D1 （720x576）分辨率的30/25帧/秒的H.264或Motion JPEG并发视频流</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H.264</w:t>
            </w:r>
          </w:p>
        </w:tc>
        <w:tc>
          <w:tcPr>
            <w:tcW w:w="1676" w:type="pct"/>
            <w:shd w:val="clear" w:color="auto" w:fill="auto"/>
            <w:vAlign w:val="center"/>
          </w:tcPr>
          <w:p>
            <w:pPr>
              <w:adjustRightInd w:val="0"/>
              <w:snapToGrid w:val="0"/>
              <w:rPr>
                <w:rFonts w:ascii="宋体" w:hAnsi="宋体"/>
              </w:rPr>
            </w:pPr>
            <w:r>
              <w:rPr>
                <w:rFonts w:ascii="宋体" w:hAnsi="宋体"/>
              </w:rPr>
              <w:t>支持VBR（可变码流）</w:t>
            </w:r>
          </w:p>
          <w:p>
            <w:pPr>
              <w:adjustRightInd w:val="0"/>
              <w:snapToGrid w:val="0"/>
              <w:rPr>
                <w:rFonts w:ascii="宋体" w:hAnsi="宋体"/>
              </w:rPr>
            </w:pPr>
            <w:r>
              <w:rPr>
                <w:rFonts w:ascii="宋体" w:hAnsi="宋体"/>
              </w:rPr>
              <w:t>CBR（固定码流）</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可控帧速和带宽</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宽动态</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曝光</w:t>
            </w:r>
          </w:p>
        </w:tc>
        <w:tc>
          <w:tcPr>
            <w:tcW w:w="1676" w:type="pct"/>
            <w:shd w:val="clear" w:color="auto" w:fill="auto"/>
            <w:vAlign w:val="center"/>
          </w:tcPr>
          <w:p>
            <w:pPr>
              <w:adjustRightInd w:val="0"/>
              <w:snapToGrid w:val="0"/>
              <w:rPr>
                <w:rFonts w:ascii="宋体" w:hAnsi="宋体"/>
              </w:rPr>
            </w:pPr>
            <w:r>
              <w:rPr>
                <w:rFonts w:ascii="宋体" w:hAnsi="宋体"/>
              </w:rPr>
              <w:t>曝光控制、曝光区域</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电子稳像</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背光补偿功能</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文本和图像叠加</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隐私遮罩</w:t>
            </w:r>
          </w:p>
        </w:tc>
        <w:tc>
          <w:tcPr>
            <w:tcW w:w="1676" w:type="pct"/>
            <w:shd w:val="clear" w:color="auto" w:fill="auto"/>
            <w:vAlign w:val="center"/>
          </w:tcPr>
          <w:p>
            <w:pPr>
              <w:adjustRightInd w:val="0"/>
              <w:snapToGrid w:val="0"/>
              <w:rPr>
                <w:rFonts w:ascii="宋体" w:hAnsi="宋体"/>
              </w:rPr>
            </w:pPr>
            <w:r>
              <w:rPr>
                <w:rFonts w:ascii="宋体" w:hAnsi="宋体"/>
              </w:rPr>
              <w:t>有</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安全</w:t>
            </w:r>
          </w:p>
        </w:tc>
        <w:tc>
          <w:tcPr>
            <w:tcW w:w="1676" w:type="pct"/>
            <w:shd w:val="clear" w:color="auto" w:fill="auto"/>
            <w:vAlign w:val="center"/>
          </w:tcPr>
          <w:p>
            <w:pPr>
              <w:adjustRightInd w:val="0"/>
              <w:snapToGrid w:val="0"/>
              <w:rPr>
                <w:rFonts w:ascii="宋体" w:hAnsi="宋体"/>
              </w:rPr>
            </w:pPr>
            <w:r>
              <w:rPr>
                <w:rFonts w:ascii="宋体" w:hAnsi="宋体"/>
              </w:rPr>
              <w:t>密码保护；IP地址过滤；HTTPS加密；IEEE802.1X网络访问控制</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智能视频</w:t>
            </w:r>
          </w:p>
        </w:tc>
        <w:tc>
          <w:tcPr>
            <w:tcW w:w="1676" w:type="pct"/>
            <w:shd w:val="clear" w:color="auto" w:fill="auto"/>
            <w:vAlign w:val="center"/>
          </w:tcPr>
          <w:p>
            <w:pPr>
              <w:adjustRightInd w:val="0"/>
              <w:snapToGrid w:val="0"/>
              <w:rPr>
                <w:rFonts w:ascii="宋体" w:hAnsi="宋体"/>
              </w:rPr>
            </w:pPr>
            <w:r>
              <w:rPr>
                <w:rFonts w:ascii="宋体" w:hAnsi="宋体"/>
              </w:rPr>
              <w:t>移动侦测</w:t>
            </w:r>
          </w:p>
          <w:p>
            <w:pPr>
              <w:adjustRightInd w:val="0"/>
              <w:snapToGrid w:val="0"/>
              <w:rPr>
                <w:rFonts w:ascii="宋体" w:hAnsi="宋体"/>
              </w:rPr>
            </w:pPr>
            <w:r>
              <w:rPr>
                <w:rFonts w:ascii="宋体" w:hAnsi="宋体"/>
              </w:rPr>
              <w:t>高级看守</w:t>
            </w:r>
          </w:p>
          <w:p>
            <w:pPr>
              <w:adjustRightInd w:val="0"/>
              <w:snapToGrid w:val="0"/>
              <w:rPr>
                <w:rFonts w:ascii="宋体" w:hAnsi="宋体"/>
              </w:rPr>
            </w:pPr>
            <w:r>
              <w:rPr>
                <w:rFonts w:ascii="宋体" w:hAnsi="宋体"/>
              </w:rPr>
              <w:t>并可安装第三方应用程序</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报警触发</w:t>
            </w:r>
          </w:p>
        </w:tc>
        <w:tc>
          <w:tcPr>
            <w:tcW w:w="1676" w:type="pct"/>
            <w:shd w:val="clear" w:color="auto" w:fill="auto"/>
            <w:vAlign w:val="center"/>
          </w:tcPr>
          <w:p>
            <w:pPr>
              <w:adjustRightInd w:val="0"/>
              <w:snapToGrid w:val="0"/>
              <w:rPr>
                <w:rFonts w:ascii="宋体" w:hAnsi="宋体"/>
              </w:rPr>
            </w:pPr>
            <w:r>
              <w:rPr>
                <w:rFonts w:ascii="宋体" w:hAnsi="宋体"/>
              </w:rPr>
              <w:t>通过移动侦测、PTZ位置、温度、第三方程序、存储卡满等触发</w:t>
            </w:r>
          </w:p>
        </w:tc>
        <w:tc>
          <w:tcPr>
            <w:tcW w:w="977"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报警事件处理</w:t>
            </w:r>
          </w:p>
        </w:tc>
        <w:tc>
          <w:tcPr>
            <w:tcW w:w="1676" w:type="pct"/>
            <w:shd w:val="clear" w:color="auto" w:fill="auto"/>
            <w:vAlign w:val="center"/>
          </w:tcPr>
          <w:p>
            <w:pPr>
              <w:adjustRightInd w:val="0"/>
              <w:snapToGrid w:val="0"/>
              <w:rPr>
                <w:rFonts w:ascii="宋体" w:hAnsi="宋体"/>
              </w:rPr>
            </w:pPr>
            <w:r>
              <w:rPr>
                <w:rFonts w:ascii="宋体" w:hAnsi="宋体"/>
              </w:rPr>
              <w:t>通过 FTP、HTTP 和电子邮件上传文件；</w:t>
            </w:r>
          </w:p>
          <w:p>
            <w:pPr>
              <w:adjustRightInd w:val="0"/>
              <w:snapToGrid w:val="0"/>
              <w:rPr>
                <w:rFonts w:ascii="宋体" w:hAnsi="宋体"/>
              </w:rPr>
            </w:pPr>
            <w:r>
              <w:rPr>
                <w:rFonts w:ascii="宋体" w:hAnsi="宋体"/>
              </w:rPr>
              <w:t>通过电子邮件、HTTP 和 TCP 发送通知；</w:t>
            </w:r>
          </w:p>
          <w:p>
            <w:pPr>
              <w:adjustRightInd w:val="0"/>
              <w:snapToGrid w:val="0"/>
              <w:rPr>
                <w:rFonts w:ascii="宋体" w:hAnsi="宋体"/>
              </w:rPr>
            </w:pPr>
            <w:r>
              <w:rPr>
                <w:rFonts w:ascii="宋体" w:hAnsi="宋体"/>
              </w:rPr>
              <w:t>PTZ 位置；本地存储</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视频缓冲存储</w:t>
            </w:r>
          </w:p>
        </w:tc>
        <w:tc>
          <w:tcPr>
            <w:tcW w:w="1676" w:type="pct"/>
            <w:shd w:val="clear" w:color="auto" w:fill="auto"/>
            <w:vAlign w:val="center"/>
          </w:tcPr>
          <w:p>
            <w:pPr>
              <w:adjustRightInd w:val="0"/>
              <w:snapToGrid w:val="0"/>
              <w:rPr>
                <w:rFonts w:ascii="宋体" w:hAnsi="宋体"/>
              </w:rPr>
            </w:pPr>
            <w:r>
              <w:rPr>
                <w:rFonts w:ascii="宋体" w:hAnsi="宋体"/>
              </w:rPr>
              <w:t>96 MB，报警前后录制</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前端存储</w:t>
            </w:r>
          </w:p>
        </w:tc>
        <w:tc>
          <w:tcPr>
            <w:tcW w:w="1676" w:type="pct"/>
            <w:shd w:val="clear" w:color="auto" w:fill="auto"/>
            <w:vAlign w:val="center"/>
          </w:tcPr>
          <w:p>
            <w:pPr>
              <w:adjustRightInd w:val="0"/>
              <w:snapToGrid w:val="0"/>
              <w:rPr>
                <w:rFonts w:ascii="宋体" w:hAnsi="宋体"/>
              </w:rPr>
            </w:pPr>
            <w:r>
              <w:rPr>
                <w:rFonts w:ascii="宋体" w:hAnsi="宋体"/>
              </w:rPr>
              <w:t>SD/SDHC 内存卡插槽（不包含卡）最大支持32G</w:t>
            </w:r>
          </w:p>
        </w:tc>
        <w:tc>
          <w:tcPr>
            <w:tcW w:w="977"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电源</w:t>
            </w:r>
          </w:p>
        </w:tc>
        <w:tc>
          <w:tcPr>
            <w:tcW w:w="1676" w:type="pct"/>
            <w:shd w:val="clear" w:color="auto" w:fill="auto"/>
            <w:vAlign w:val="center"/>
          </w:tcPr>
          <w:p>
            <w:pPr>
              <w:adjustRightInd w:val="0"/>
              <w:snapToGrid w:val="0"/>
              <w:rPr>
                <w:rFonts w:ascii="宋体" w:hAnsi="宋体"/>
              </w:rPr>
            </w:pPr>
            <w:r>
              <w:rPr>
                <w:rFonts w:ascii="宋体" w:hAnsi="宋体"/>
              </w:rPr>
              <w:t>以太网供电（PoE）；</w:t>
            </w:r>
          </w:p>
          <w:p>
            <w:pPr>
              <w:adjustRightInd w:val="0"/>
              <w:snapToGrid w:val="0"/>
              <w:rPr>
                <w:rFonts w:ascii="宋体" w:hAnsi="宋体"/>
              </w:rPr>
            </w:pPr>
            <w:r>
              <w:rPr>
                <w:rFonts w:ascii="宋体" w:hAnsi="宋体"/>
              </w:rPr>
              <w:t>100-240V交流</w:t>
            </w:r>
          </w:p>
        </w:tc>
        <w:tc>
          <w:tcPr>
            <w:tcW w:w="977"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防护等级</w:t>
            </w:r>
          </w:p>
        </w:tc>
        <w:tc>
          <w:tcPr>
            <w:tcW w:w="1676" w:type="pct"/>
            <w:shd w:val="clear" w:color="auto" w:fill="auto"/>
            <w:vAlign w:val="center"/>
          </w:tcPr>
          <w:p>
            <w:pPr>
              <w:adjustRightInd w:val="0"/>
              <w:snapToGrid w:val="0"/>
              <w:rPr>
                <w:rFonts w:ascii="宋体" w:hAnsi="宋体"/>
              </w:rPr>
            </w:pPr>
            <w:r>
              <w:rPr>
                <w:rFonts w:ascii="宋体" w:hAnsi="宋体"/>
              </w:rPr>
              <w:t>IP66 级和NEMA 4X级</w:t>
            </w:r>
          </w:p>
        </w:tc>
        <w:tc>
          <w:tcPr>
            <w:tcW w:w="977"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6" w:type="pct"/>
            <w:shd w:val="clear" w:color="auto" w:fill="auto"/>
            <w:vAlign w:val="center"/>
          </w:tcPr>
          <w:p>
            <w:pPr>
              <w:adjustRightInd w:val="0"/>
              <w:snapToGrid w:val="0"/>
              <w:rPr>
                <w:rFonts w:ascii="宋体" w:hAnsi="宋体"/>
              </w:rPr>
            </w:pPr>
            <w:r>
              <w:rPr>
                <w:rFonts w:ascii="宋体" w:hAnsi="宋体"/>
              </w:rPr>
              <w:t>工作条件</w:t>
            </w:r>
          </w:p>
        </w:tc>
        <w:tc>
          <w:tcPr>
            <w:tcW w:w="1676" w:type="pct"/>
            <w:shd w:val="clear" w:color="auto" w:fill="auto"/>
            <w:vAlign w:val="center"/>
          </w:tcPr>
          <w:p>
            <w:pPr>
              <w:adjustRightInd w:val="0"/>
              <w:snapToGrid w:val="0"/>
              <w:rPr>
                <w:rFonts w:ascii="宋体" w:hAnsi="宋体"/>
              </w:rPr>
            </w:pPr>
            <w:r>
              <w:rPr>
                <w:rFonts w:ascii="宋体" w:hAnsi="宋体"/>
              </w:rPr>
              <w:t>-20℃ 至 50℃</w:t>
            </w:r>
          </w:p>
        </w:tc>
        <w:tc>
          <w:tcPr>
            <w:tcW w:w="977"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11.3.4.2</w:t>
      </w:r>
      <w:r>
        <w:rPr>
          <w:rFonts w:ascii="宋体" w:hAnsi="宋体"/>
        </w:rPr>
        <w:t>枪式网络摄像机</w:t>
      </w:r>
    </w:p>
    <w:tbl>
      <w:tblPr>
        <w:tblStyle w:val="7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49"/>
        <w:gridCol w:w="3365"/>
        <w:gridCol w:w="1495"/>
        <w:gridCol w:w="1123"/>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46" w:type="pct"/>
            <w:shd w:val="clear" w:color="auto" w:fill="auto"/>
            <w:vAlign w:val="center"/>
          </w:tcPr>
          <w:p>
            <w:pPr>
              <w:adjustRightInd w:val="0"/>
              <w:snapToGrid w:val="0"/>
              <w:rPr>
                <w:rFonts w:ascii="宋体" w:hAnsi="宋体"/>
              </w:rPr>
            </w:pPr>
            <w:r>
              <w:rPr>
                <w:rFonts w:ascii="宋体" w:hAnsi="宋体"/>
              </w:rPr>
              <w:t>名称</w:t>
            </w:r>
          </w:p>
        </w:tc>
        <w:tc>
          <w:tcPr>
            <w:tcW w:w="1965" w:type="pct"/>
            <w:shd w:val="clear" w:color="auto" w:fill="auto"/>
            <w:vAlign w:val="center"/>
          </w:tcPr>
          <w:p>
            <w:pPr>
              <w:adjustRightInd w:val="0"/>
              <w:snapToGrid w:val="0"/>
              <w:rPr>
                <w:rFonts w:ascii="宋体" w:hAnsi="宋体"/>
              </w:rPr>
            </w:pPr>
            <w:r>
              <w:rPr>
                <w:rFonts w:ascii="宋体" w:hAnsi="宋体"/>
              </w:rPr>
              <w:t>性能要求参数</w:t>
            </w:r>
          </w:p>
        </w:tc>
        <w:tc>
          <w:tcPr>
            <w:tcW w:w="873" w:type="pct"/>
            <w:shd w:val="clear" w:color="auto" w:fill="auto"/>
            <w:vAlign w:val="center"/>
          </w:tcPr>
          <w:p>
            <w:pPr>
              <w:adjustRightInd w:val="0"/>
              <w:snapToGrid w:val="0"/>
              <w:rPr>
                <w:rFonts w:ascii="宋体" w:hAnsi="宋体"/>
              </w:rPr>
            </w:pPr>
            <w:r>
              <w:rPr>
                <w:rFonts w:ascii="宋体" w:hAnsi="宋体"/>
              </w:rPr>
              <w:t>承包商响应参数</w:t>
            </w:r>
          </w:p>
        </w:tc>
        <w:tc>
          <w:tcPr>
            <w:tcW w:w="1123" w:type="dxa"/>
            <w:shd w:val="clear" w:color="auto" w:fill="auto"/>
            <w:vAlign w:val="center"/>
          </w:tcPr>
          <w:p>
            <w:pPr>
              <w:adjustRightInd w:val="0"/>
              <w:snapToGrid w:val="0"/>
              <w:jc w:val="center"/>
              <w:rPr>
                <w:rFonts w:ascii="宋体" w:hAnsi="宋体"/>
              </w:rPr>
            </w:pPr>
            <w:r>
              <w:rPr>
                <w:rFonts w:hint="eastAsia" w:ascii="宋体" w:hAnsi="宋体"/>
              </w:rPr>
              <w:t>偏离情况</w:t>
            </w:r>
          </w:p>
        </w:tc>
        <w:tc>
          <w:tcPr>
            <w:tcW w:w="1123" w:type="dxa"/>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96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7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5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5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965"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7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56"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56"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型号</w:t>
            </w:r>
          </w:p>
        </w:tc>
        <w:tc>
          <w:tcPr>
            <w:tcW w:w="1965" w:type="pct"/>
            <w:shd w:val="clear" w:color="auto" w:fill="auto"/>
            <w:vAlign w:val="center"/>
          </w:tcPr>
          <w:p>
            <w:pPr>
              <w:adjustRightInd w:val="0"/>
              <w:snapToGrid w:val="0"/>
              <w:rPr>
                <w:rFonts w:ascii="宋体" w:hAnsi="宋体"/>
              </w:rPr>
            </w:pPr>
            <w:r>
              <w:rPr>
                <w:rFonts w:ascii="宋体" w:hAnsi="宋体"/>
              </w:rPr>
              <w:t>　</w:t>
            </w:r>
          </w:p>
        </w:tc>
        <w:tc>
          <w:tcPr>
            <w:tcW w:w="873"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图像传感器</w:t>
            </w:r>
          </w:p>
        </w:tc>
        <w:tc>
          <w:tcPr>
            <w:tcW w:w="1965" w:type="pct"/>
            <w:shd w:val="clear" w:color="auto" w:fill="auto"/>
            <w:vAlign w:val="center"/>
          </w:tcPr>
          <w:p>
            <w:pPr>
              <w:adjustRightInd w:val="0"/>
              <w:snapToGrid w:val="0"/>
              <w:rPr>
                <w:rFonts w:ascii="宋体" w:hAnsi="宋体"/>
              </w:rPr>
            </w:pPr>
            <w:r>
              <w:rPr>
                <w:rFonts w:ascii="宋体" w:hAnsi="宋体"/>
              </w:rPr>
              <w:t xml:space="preserve">1/4” RGB </w:t>
            </w:r>
          </w:p>
          <w:p>
            <w:pPr>
              <w:adjustRightInd w:val="0"/>
              <w:snapToGrid w:val="0"/>
              <w:rPr>
                <w:rFonts w:ascii="宋体" w:hAnsi="宋体"/>
              </w:rPr>
            </w:pPr>
            <w:r>
              <w:rPr>
                <w:rFonts w:ascii="宋体" w:hAnsi="宋体"/>
              </w:rPr>
              <w:t>逐行扫描CMOS</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分辨率</w:t>
            </w:r>
          </w:p>
        </w:tc>
        <w:tc>
          <w:tcPr>
            <w:tcW w:w="1965" w:type="pct"/>
            <w:shd w:val="clear" w:color="auto" w:fill="auto"/>
            <w:vAlign w:val="center"/>
          </w:tcPr>
          <w:p>
            <w:pPr>
              <w:adjustRightInd w:val="0"/>
              <w:snapToGrid w:val="0"/>
              <w:rPr>
                <w:rFonts w:ascii="宋体" w:hAnsi="宋体"/>
              </w:rPr>
            </w:pPr>
            <w:r>
              <w:rPr>
                <w:rFonts w:ascii="宋体" w:hAnsi="宋体"/>
              </w:rPr>
              <w:t>SVGA 800*600@30/25fps</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镜头焦距</w:t>
            </w:r>
          </w:p>
        </w:tc>
        <w:tc>
          <w:tcPr>
            <w:tcW w:w="1965" w:type="pct"/>
            <w:shd w:val="clear" w:color="auto" w:fill="auto"/>
            <w:vAlign w:val="center"/>
          </w:tcPr>
          <w:p>
            <w:pPr>
              <w:adjustRightInd w:val="0"/>
              <w:snapToGrid w:val="0"/>
              <w:rPr>
                <w:rFonts w:ascii="宋体" w:hAnsi="宋体"/>
              </w:rPr>
            </w:pPr>
            <w:r>
              <w:rPr>
                <w:rFonts w:ascii="宋体" w:hAnsi="宋体"/>
              </w:rPr>
              <w:t>3-8毫米</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镜头接口</w:t>
            </w:r>
          </w:p>
        </w:tc>
        <w:tc>
          <w:tcPr>
            <w:tcW w:w="1965" w:type="pct"/>
            <w:shd w:val="clear" w:color="auto" w:fill="auto"/>
            <w:vAlign w:val="center"/>
          </w:tcPr>
          <w:p>
            <w:pPr>
              <w:adjustRightInd w:val="0"/>
              <w:snapToGrid w:val="0"/>
              <w:rPr>
                <w:rFonts w:ascii="宋体" w:hAnsi="宋体"/>
              </w:rPr>
            </w:pPr>
            <w:r>
              <w:rPr>
                <w:rFonts w:ascii="宋体" w:hAnsi="宋体"/>
              </w:rPr>
              <w:t>红外校正的CS-mount接口</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聚焦</w:t>
            </w:r>
          </w:p>
        </w:tc>
        <w:tc>
          <w:tcPr>
            <w:tcW w:w="1965" w:type="pct"/>
            <w:shd w:val="clear" w:color="auto" w:fill="auto"/>
            <w:vAlign w:val="center"/>
          </w:tcPr>
          <w:p>
            <w:pPr>
              <w:adjustRightInd w:val="0"/>
              <w:snapToGrid w:val="0"/>
              <w:rPr>
                <w:rFonts w:ascii="宋体" w:hAnsi="宋体"/>
              </w:rPr>
            </w:pPr>
            <w:r>
              <w:rPr>
                <w:rFonts w:ascii="宋体" w:hAnsi="宋体"/>
              </w:rPr>
              <w:t>有聚焦助理及远程后焦点</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自动日夜转换</w:t>
            </w:r>
          </w:p>
        </w:tc>
        <w:tc>
          <w:tcPr>
            <w:tcW w:w="1965" w:type="pct"/>
            <w:shd w:val="clear" w:color="auto" w:fill="auto"/>
            <w:vAlign w:val="center"/>
          </w:tcPr>
          <w:p>
            <w:pPr>
              <w:adjustRightInd w:val="0"/>
              <w:snapToGrid w:val="0"/>
              <w:rPr>
                <w:rFonts w:ascii="宋体" w:hAnsi="宋体"/>
              </w:rPr>
            </w:pPr>
            <w:r>
              <w:rPr>
                <w:rFonts w:ascii="宋体" w:hAnsi="宋体"/>
              </w:rPr>
              <w:t>有可自动切换的红外截止滤光片</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 xml:space="preserve">最低照度 </w:t>
            </w:r>
          </w:p>
        </w:tc>
        <w:tc>
          <w:tcPr>
            <w:tcW w:w="1965" w:type="pct"/>
            <w:shd w:val="clear" w:color="auto" w:fill="auto"/>
            <w:vAlign w:val="center"/>
          </w:tcPr>
          <w:p>
            <w:pPr>
              <w:adjustRightInd w:val="0"/>
              <w:snapToGrid w:val="0"/>
              <w:rPr>
                <w:rFonts w:ascii="宋体" w:hAnsi="宋体"/>
              </w:rPr>
            </w:pPr>
            <w:r>
              <w:rPr>
                <w:rFonts w:ascii="宋体" w:hAnsi="宋体"/>
              </w:rPr>
              <w:t>0.2lux（彩色）</w:t>
            </w:r>
          </w:p>
          <w:p>
            <w:pPr>
              <w:adjustRightInd w:val="0"/>
              <w:snapToGrid w:val="0"/>
              <w:rPr>
                <w:rFonts w:ascii="宋体" w:hAnsi="宋体"/>
              </w:rPr>
            </w:pPr>
            <w:r>
              <w:rPr>
                <w:rFonts w:ascii="宋体" w:hAnsi="宋体"/>
              </w:rPr>
              <w:t>0.05lux（黑白）</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数字PTZ</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电子巡航系统</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预设位置</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电子巡查</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压缩编码</w:t>
            </w:r>
          </w:p>
        </w:tc>
        <w:tc>
          <w:tcPr>
            <w:tcW w:w="1965" w:type="pct"/>
            <w:shd w:val="clear" w:color="auto" w:fill="auto"/>
            <w:vAlign w:val="center"/>
          </w:tcPr>
          <w:p>
            <w:pPr>
              <w:adjustRightInd w:val="0"/>
              <w:snapToGrid w:val="0"/>
              <w:rPr>
                <w:rFonts w:ascii="宋体" w:hAnsi="宋体"/>
              </w:rPr>
            </w:pPr>
            <w:r>
              <w:rPr>
                <w:rFonts w:ascii="宋体" w:hAnsi="宋体"/>
              </w:rPr>
              <w:t>H.264（MPEG-4 Part 10/AVC</w:t>
            </w:r>
            <w:r>
              <w:rPr>
                <w:rFonts w:hint="eastAsia" w:ascii="宋体" w:hAnsi="宋体"/>
              </w:rPr>
              <w:t>），</w:t>
            </w:r>
          </w:p>
          <w:p>
            <w:pPr>
              <w:adjustRightInd w:val="0"/>
              <w:snapToGrid w:val="0"/>
              <w:rPr>
                <w:rFonts w:ascii="宋体" w:hAnsi="宋体"/>
              </w:rPr>
            </w:pPr>
            <w:r>
              <w:rPr>
                <w:rFonts w:ascii="宋体" w:hAnsi="宋体"/>
              </w:rPr>
              <w:t>Motion JPEG</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视频流</w:t>
            </w:r>
          </w:p>
        </w:tc>
        <w:tc>
          <w:tcPr>
            <w:tcW w:w="1965" w:type="pct"/>
            <w:shd w:val="clear" w:color="auto" w:fill="auto"/>
            <w:vAlign w:val="center"/>
          </w:tcPr>
          <w:p>
            <w:pPr>
              <w:adjustRightInd w:val="0"/>
              <w:snapToGrid w:val="0"/>
              <w:rPr>
                <w:rFonts w:ascii="宋体" w:hAnsi="宋体"/>
              </w:rPr>
            </w:pPr>
            <w:r>
              <w:rPr>
                <w:rFonts w:ascii="宋体" w:hAnsi="宋体"/>
              </w:rPr>
              <w:t>同时至少支持3个可独立配置的D1 （720x576）分辨率的30/25帧/秒的H.264或Motion JPEG并发视频流</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H.264</w:t>
            </w:r>
          </w:p>
        </w:tc>
        <w:tc>
          <w:tcPr>
            <w:tcW w:w="1965" w:type="pct"/>
            <w:shd w:val="clear" w:color="auto" w:fill="auto"/>
            <w:vAlign w:val="center"/>
          </w:tcPr>
          <w:p>
            <w:pPr>
              <w:adjustRightInd w:val="0"/>
              <w:snapToGrid w:val="0"/>
              <w:rPr>
                <w:rFonts w:ascii="宋体" w:hAnsi="宋体"/>
              </w:rPr>
            </w:pPr>
            <w:r>
              <w:rPr>
                <w:rFonts w:ascii="宋体" w:hAnsi="宋体"/>
              </w:rPr>
              <w:t>支持VBR（可变码流）</w:t>
            </w:r>
          </w:p>
          <w:p>
            <w:pPr>
              <w:adjustRightInd w:val="0"/>
              <w:snapToGrid w:val="0"/>
              <w:rPr>
                <w:rFonts w:ascii="宋体" w:hAnsi="宋体"/>
              </w:rPr>
            </w:pPr>
            <w:r>
              <w:rPr>
                <w:rFonts w:ascii="宋体" w:hAnsi="宋体"/>
              </w:rPr>
              <w:t>CBR（固定码流）</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可控帧速和带宽</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宽动态</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曝光</w:t>
            </w:r>
          </w:p>
        </w:tc>
        <w:tc>
          <w:tcPr>
            <w:tcW w:w="1965" w:type="pct"/>
            <w:shd w:val="clear" w:color="auto" w:fill="auto"/>
            <w:vAlign w:val="center"/>
          </w:tcPr>
          <w:p>
            <w:pPr>
              <w:adjustRightInd w:val="0"/>
              <w:snapToGrid w:val="0"/>
              <w:rPr>
                <w:rFonts w:ascii="宋体" w:hAnsi="宋体"/>
              </w:rPr>
            </w:pPr>
            <w:r>
              <w:rPr>
                <w:rFonts w:ascii="宋体" w:hAnsi="宋体"/>
              </w:rPr>
              <w:t>曝光控制、曝光区域</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背光补偿功能</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文本和图像叠加</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隐私遮罩</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图像旋转、镜像</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走廊格式</w:t>
            </w:r>
          </w:p>
        </w:tc>
        <w:tc>
          <w:tcPr>
            <w:tcW w:w="1965" w:type="pct"/>
            <w:shd w:val="clear" w:color="auto" w:fill="auto"/>
            <w:vAlign w:val="center"/>
          </w:tcPr>
          <w:p>
            <w:pPr>
              <w:adjustRightInd w:val="0"/>
              <w:snapToGrid w:val="0"/>
              <w:rPr>
                <w:rFonts w:ascii="宋体" w:hAnsi="宋体"/>
              </w:rPr>
            </w:pPr>
            <w:r>
              <w:rPr>
                <w:rFonts w:ascii="宋体" w:hAnsi="宋体"/>
              </w:rPr>
              <w:t>有</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音频</w:t>
            </w:r>
          </w:p>
        </w:tc>
        <w:tc>
          <w:tcPr>
            <w:tcW w:w="1965" w:type="pct"/>
            <w:shd w:val="clear" w:color="auto" w:fill="auto"/>
            <w:vAlign w:val="center"/>
          </w:tcPr>
          <w:p>
            <w:pPr>
              <w:adjustRightInd w:val="0"/>
              <w:snapToGrid w:val="0"/>
              <w:rPr>
                <w:rFonts w:ascii="宋体" w:hAnsi="宋体"/>
              </w:rPr>
            </w:pPr>
            <w:r>
              <w:rPr>
                <w:rFonts w:ascii="宋体" w:hAnsi="宋体"/>
              </w:rPr>
              <w:t>支持双向音频流，内置麦克风，有线路输入线路输出</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I/O接口</w:t>
            </w:r>
          </w:p>
        </w:tc>
        <w:tc>
          <w:tcPr>
            <w:tcW w:w="1965" w:type="pct"/>
            <w:shd w:val="clear" w:color="auto" w:fill="auto"/>
            <w:vAlign w:val="center"/>
          </w:tcPr>
          <w:p>
            <w:pPr>
              <w:adjustRightInd w:val="0"/>
              <w:snapToGrid w:val="0"/>
              <w:rPr>
                <w:rFonts w:ascii="宋体" w:hAnsi="宋体"/>
              </w:rPr>
            </w:pPr>
            <w:r>
              <w:rPr>
                <w:rFonts w:ascii="宋体" w:hAnsi="宋体"/>
              </w:rPr>
              <w:t>1路报警输入和1路报警输出</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安全</w:t>
            </w:r>
          </w:p>
        </w:tc>
        <w:tc>
          <w:tcPr>
            <w:tcW w:w="1965" w:type="pct"/>
            <w:shd w:val="clear" w:color="auto" w:fill="auto"/>
            <w:vAlign w:val="center"/>
          </w:tcPr>
          <w:p>
            <w:pPr>
              <w:adjustRightInd w:val="0"/>
              <w:snapToGrid w:val="0"/>
              <w:rPr>
                <w:rFonts w:ascii="宋体" w:hAnsi="宋体"/>
              </w:rPr>
            </w:pPr>
            <w:r>
              <w:rPr>
                <w:rFonts w:ascii="宋体" w:hAnsi="宋体"/>
              </w:rPr>
              <w:t>密码保护；IP地址过滤；HTTPS加密；IEEE802.1X网络访问控制</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智能视频</w:t>
            </w:r>
          </w:p>
        </w:tc>
        <w:tc>
          <w:tcPr>
            <w:tcW w:w="1965" w:type="pct"/>
            <w:shd w:val="clear" w:color="auto" w:fill="auto"/>
            <w:vAlign w:val="center"/>
          </w:tcPr>
          <w:p>
            <w:pPr>
              <w:adjustRightInd w:val="0"/>
              <w:snapToGrid w:val="0"/>
              <w:rPr>
                <w:rFonts w:ascii="宋体" w:hAnsi="宋体"/>
              </w:rPr>
            </w:pPr>
            <w:r>
              <w:rPr>
                <w:rFonts w:ascii="宋体" w:hAnsi="宋体"/>
              </w:rPr>
              <w:t>移动侦测</w:t>
            </w:r>
          </w:p>
          <w:p>
            <w:pPr>
              <w:adjustRightInd w:val="0"/>
              <w:snapToGrid w:val="0"/>
              <w:rPr>
                <w:rFonts w:ascii="宋体" w:hAnsi="宋体"/>
              </w:rPr>
            </w:pPr>
            <w:r>
              <w:rPr>
                <w:rFonts w:ascii="宋体" w:hAnsi="宋体"/>
              </w:rPr>
              <w:t>音频侦测</w:t>
            </w:r>
          </w:p>
          <w:p>
            <w:pPr>
              <w:adjustRightInd w:val="0"/>
              <w:snapToGrid w:val="0"/>
              <w:rPr>
                <w:rFonts w:ascii="宋体" w:hAnsi="宋体"/>
              </w:rPr>
            </w:pPr>
            <w:r>
              <w:rPr>
                <w:rFonts w:ascii="宋体" w:hAnsi="宋体"/>
              </w:rPr>
              <w:t>主动防破坏报警</w:t>
            </w:r>
          </w:p>
          <w:p>
            <w:pPr>
              <w:adjustRightInd w:val="0"/>
              <w:snapToGrid w:val="0"/>
              <w:rPr>
                <w:rFonts w:ascii="宋体" w:hAnsi="宋体"/>
              </w:rPr>
            </w:pPr>
            <w:r>
              <w:rPr>
                <w:rFonts w:ascii="宋体" w:hAnsi="宋体"/>
              </w:rPr>
              <w:t>并可安装第三方应用程序</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报警触发</w:t>
            </w:r>
          </w:p>
        </w:tc>
        <w:tc>
          <w:tcPr>
            <w:tcW w:w="1965" w:type="pct"/>
            <w:shd w:val="clear" w:color="auto" w:fill="auto"/>
            <w:vAlign w:val="center"/>
          </w:tcPr>
          <w:p>
            <w:pPr>
              <w:adjustRightInd w:val="0"/>
              <w:snapToGrid w:val="0"/>
              <w:rPr>
                <w:rFonts w:ascii="宋体" w:hAnsi="宋体"/>
              </w:rPr>
            </w:pPr>
            <w:r>
              <w:rPr>
                <w:rFonts w:ascii="宋体" w:hAnsi="宋体"/>
              </w:rPr>
              <w:t>通过智能视频、外部输入等触发</w:t>
            </w:r>
          </w:p>
        </w:tc>
        <w:tc>
          <w:tcPr>
            <w:tcW w:w="873"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报警事件处理</w:t>
            </w:r>
          </w:p>
        </w:tc>
        <w:tc>
          <w:tcPr>
            <w:tcW w:w="1965" w:type="pct"/>
            <w:shd w:val="clear" w:color="auto" w:fill="auto"/>
            <w:vAlign w:val="center"/>
          </w:tcPr>
          <w:p>
            <w:pPr>
              <w:adjustRightInd w:val="0"/>
              <w:snapToGrid w:val="0"/>
              <w:rPr>
                <w:rFonts w:ascii="宋体" w:hAnsi="宋体"/>
              </w:rPr>
            </w:pPr>
            <w:r>
              <w:rPr>
                <w:rFonts w:ascii="宋体" w:hAnsi="宋体"/>
              </w:rPr>
              <w:t>通过FTP、HTTP和电子邮件上传文件；</w:t>
            </w:r>
          </w:p>
          <w:p>
            <w:pPr>
              <w:adjustRightInd w:val="0"/>
              <w:snapToGrid w:val="0"/>
              <w:rPr>
                <w:rFonts w:ascii="宋体" w:hAnsi="宋体"/>
              </w:rPr>
            </w:pPr>
            <w:r>
              <w:rPr>
                <w:rFonts w:ascii="宋体" w:hAnsi="宋体"/>
              </w:rPr>
              <w:t>通过电子邮件、HTTP 和</w:t>
            </w:r>
          </w:p>
          <w:p>
            <w:pPr>
              <w:adjustRightInd w:val="0"/>
              <w:snapToGrid w:val="0"/>
              <w:rPr>
                <w:rFonts w:ascii="宋体" w:hAnsi="宋体"/>
              </w:rPr>
            </w:pPr>
            <w:r>
              <w:rPr>
                <w:rFonts w:ascii="宋体" w:hAnsi="宋体"/>
              </w:rPr>
              <w:t>TCP 发送通知；</w:t>
            </w:r>
          </w:p>
          <w:p>
            <w:pPr>
              <w:adjustRightInd w:val="0"/>
              <w:snapToGrid w:val="0"/>
              <w:rPr>
                <w:rFonts w:ascii="宋体" w:hAnsi="宋体"/>
              </w:rPr>
            </w:pPr>
            <w:r>
              <w:rPr>
                <w:rFonts w:ascii="宋体" w:hAnsi="宋体"/>
              </w:rPr>
              <w:t>外部输出激活；</w:t>
            </w:r>
          </w:p>
          <w:p>
            <w:pPr>
              <w:adjustRightInd w:val="0"/>
              <w:snapToGrid w:val="0"/>
              <w:rPr>
                <w:rFonts w:ascii="宋体" w:hAnsi="宋体"/>
              </w:rPr>
            </w:pPr>
            <w:r>
              <w:rPr>
                <w:rFonts w:ascii="宋体" w:hAnsi="宋体"/>
              </w:rPr>
              <w:t>视频和音频录制到前端存储设备中；</w:t>
            </w:r>
          </w:p>
          <w:p>
            <w:pPr>
              <w:adjustRightInd w:val="0"/>
              <w:snapToGrid w:val="0"/>
              <w:rPr>
                <w:rFonts w:ascii="宋体" w:hAnsi="宋体"/>
              </w:rPr>
            </w:pPr>
            <w:r>
              <w:rPr>
                <w:rFonts w:ascii="宋体" w:hAnsi="宋体"/>
              </w:rPr>
              <w:t>报警前和报警后视频缓冲</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前端存储</w:t>
            </w:r>
          </w:p>
        </w:tc>
        <w:tc>
          <w:tcPr>
            <w:tcW w:w="1965" w:type="pct"/>
            <w:shd w:val="clear" w:color="auto" w:fill="auto"/>
            <w:vAlign w:val="center"/>
          </w:tcPr>
          <w:p>
            <w:pPr>
              <w:adjustRightInd w:val="0"/>
              <w:snapToGrid w:val="0"/>
              <w:rPr>
                <w:rFonts w:ascii="宋体" w:hAnsi="宋体"/>
              </w:rPr>
            </w:pPr>
            <w:r>
              <w:rPr>
                <w:rFonts w:ascii="宋体" w:hAnsi="宋体"/>
              </w:rPr>
              <w:t>SD/SDHC 内存卡插槽（不包含卡）最大支持32G</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网络存储</w:t>
            </w:r>
          </w:p>
        </w:tc>
        <w:tc>
          <w:tcPr>
            <w:tcW w:w="1965" w:type="pct"/>
            <w:shd w:val="clear" w:color="auto" w:fill="auto"/>
            <w:vAlign w:val="center"/>
          </w:tcPr>
          <w:p>
            <w:pPr>
              <w:adjustRightInd w:val="0"/>
              <w:snapToGrid w:val="0"/>
              <w:rPr>
                <w:rFonts w:ascii="宋体" w:hAnsi="宋体"/>
              </w:rPr>
            </w:pPr>
            <w:r>
              <w:rPr>
                <w:rFonts w:ascii="宋体" w:hAnsi="宋体"/>
              </w:rPr>
              <w:t>可录制到网络共享设备（网络连接存储或文件服务器）</w:t>
            </w:r>
          </w:p>
        </w:tc>
        <w:tc>
          <w:tcPr>
            <w:tcW w:w="873"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电源</w:t>
            </w:r>
          </w:p>
        </w:tc>
        <w:tc>
          <w:tcPr>
            <w:tcW w:w="1965" w:type="pct"/>
            <w:shd w:val="clear" w:color="auto" w:fill="auto"/>
            <w:vAlign w:val="center"/>
          </w:tcPr>
          <w:p>
            <w:pPr>
              <w:adjustRightInd w:val="0"/>
              <w:snapToGrid w:val="0"/>
              <w:rPr>
                <w:rFonts w:ascii="宋体" w:hAnsi="宋体"/>
              </w:rPr>
            </w:pPr>
            <w:r>
              <w:rPr>
                <w:rFonts w:ascii="宋体" w:hAnsi="宋体"/>
              </w:rPr>
              <w:t>以太网供电（PoE）；</w:t>
            </w:r>
          </w:p>
          <w:p>
            <w:pPr>
              <w:adjustRightInd w:val="0"/>
              <w:snapToGrid w:val="0"/>
              <w:rPr>
                <w:rFonts w:ascii="宋体" w:hAnsi="宋体"/>
              </w:rPr>
            </w:pPr>
            <w:r>
              <w:rPr>
                <w:rFonts w:ascii="宋体" w:hAnsi="宋体"/>
              </w:rPr>
              <w:t>8-20V直流</w:t>
            </w:r>
          </w:p>
        </w:tc>
        <w:tc>
          <w:tcPr>
            <w:tcW w:w="873"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防护等级</w:t>
            </w:r>
          </w:p>
        </w:tc>
        <w:tc>
          <w:tcPr>
            <w:tcW w:w="1965" w:type="pct"/>
            <w:shd w:val="clear" w:color="auto" w:fill="auto"/>
            <w:vAlign w:val="center"/>
          </w:tcPr>
          <w:p>
            <w:pPr>
              <w:adjustRightInd w:val="0"/>
              <w:snapToGrid w:val="0"/>
              <w:rPr>
                <w:rFonts w:ascii="宋体" w:hAnsi="宋体"/>
              </w:rPr>
            </w:pPr>
            <w:r>
              <w:rPr>
                <w:rFonts w:ascii="宋体" w:hAnsi="宋体"/>
              </w:rPr>
              <w:t>室外型支持IP66 级和NEMA 4X级防护等级，外壳IK10防碰撞铝外壳，带集成除湿膜</w:t>
            </w:r>
          </w:p>
        </w:tc>
        <w:tc>
          <w:tcPr>
            <w:tcW w:w="873"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46" w:type="pct"/>
            <w:shd w:val="clear" w:color="auto" w:fill="auto"/>
            <w:vAlign w:val="center"/>
          </w:tcPr>
          <w:p>
            <w:pPr>
              <w:adjustRightInd w:val="0"/>
              <w:snapToGrid w:val="0"/>
              <w:rPr>
                <w:rFonts w:ascii="宋体" w:hAnsi="宋体"/>
              </w:rPr>
            </w:pPr>
            <w:r>
              <w:rPr>
                <w:rFonts w:ascii="宋体" w:hAnsi="宋体"/>
              </w:rPr>
              <w:t>工作条件</w:t>
            </w:r>
          </w:p>
        </w:tc>
        <w:tc>
          <w:tcPr>
            <w:tcW w:w="1965" w:type="pct"/>
            <w:shd w:val="clear" w:color="auto" w:fill="auto"/>
            <w:vAlign w:val="center"/>
          </w:tcPr>
          <w:p>
            <w:pPr>
              <w:adjustRightInd w:val="0"/>
              <w:snapToGrid w:val="0"/>
              <w:rPr>
                <w:rFonts w:ascii="宋体" w:hAnsi="宋体"/>
              </w:rPr>
            </w:pPr>
            <w:r>
              <w:rPr>
                <w:rFonts w:ascii="宋体" w:hAnsi="宋体"/>
              </w:rPr>
              <w:t>-40℃ 至 50℃</w:t>
            </w:r>
          </w:p>
        </w:tc>
        <w:tc>
          <w:tcPr>
            <w:tcW w:w="873"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r>
              <w:rPr>
                <w:rFonts w:ascii="宋体" w:hAnsi="宋体"/>
              </w:rPr>
              <w:t>　</w:t>
            </w:r>
          </w:p>
        </w:tc>
        <w:tc>
          <w:tcPr>
            <w:tcW w:w="656"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r>
        <w:rPr>
          <w:rFonts w:hint="eastAsia" w:ascii="宋体" w:hAnsi="宋体"/>
        </w:rPr>
        <w:t>11.3.4.3网络硬盘录像机</w:t>
      </w:r>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60"/>
        <w:gridCol w:w="3235"/>
        <w:gridCol w:w="1492"/>
        <w:gridCol w:w="1135"/>
        <w:gridCol w:w="1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912" w:type="pct"/>
            <w:shd w:val="clear" w:color="auto" w:fill="auto"/>
            <w:vAlign w:val="center"/>
          </w:tcPr>
          <w:p>
            <w:pPr>
              <w:adjustRightInd w:val="0"/>
              <w:snapToGrid w:val="0"/>
              <w:rPr>
                <w:rFonts w:ascii="宋体" w:hAnsi="宋体"/>
              </w:rPr>
            </w:pPr>
            <w:r>
              <w:rPr>
                <w:rFonts w:ascii="宋体" w:hAnsi="宋体"/>
              </w:rPr>
              <w:t>名称</w:t>
            </w:r>
          </w:p>
        </w:tc>
        <w:tc>
          <w:tcPr>
            <w:tcW w:w="1890" w:type="pct"/>
            <w:shd w:val="clear" w:color="auto" w:fill="auto"/>
            <w:vAlign w:val="center"/>
          </w:tcPr>
          <w:p>
            <w:pPr>
              <w:adjustRightInd w:val="0"/>
              <w:snapToGrid w:val="0"/>
              <w:rPr>
                <w:rFonts w:ascii="宋体" w:hAnsi="宋体"/>
              </w:rPr>
            </w:pPr>
            <w:r>
              <w:rPr>
                <w:rFonts w:ascii="宋体" w:hAnsi="宋体"/>
              </w:rPr>
              <w:t>性能要求参数</w:t>
            </w:r>
          </w:p>
        </w:tc>
        <w:tc>
          <w:tcPr>
            <w:tcW w:w="872" w:type="pct"/>
            <w:shd w:val="clear" w:color="auto" w:fill="auto"/>
            <w:vAlign w:val="center"/>
          </w:tcPr>
          <w:p>
            <w:pPr>
              <w:adjustRightInd w:val="0"/>
              <w:snapToGrid w:val="0"/>
              <w:rPr>
                <w:rFonts w:ascii="宋体" w:hAnsi="宋体"/>
              </w:rPr>
            </w:pPr>
            <w:r>
              <w:rPr>
                <w:rFonts w:ascii="宋体" w:hAnsi="宋体"/>
              </w:rPr>
              <w:t>承包商响应参数</w:t>
            </w:r>
          </w:p>
        </w:tc>
        <w:tc>
          <w:tcPr>
            <w:tcW w:w="663"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663"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1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89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7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3"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12"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89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72"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3"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663"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12" w:type="pct"/>
            <w:shd w:val="clear" w:color="auto" w:fill="auto"/>
            <w:vAlign w:val="center"/>
          </w:tcPr>
          <w:p>
            <w:pPr>
              <w:adjustRightInd w:val="0"/>
              <w:snapToGrid w:val="0"/>
              <w:rPr>
                <w:rFonts w:ascii="宋体" w:hAnsi="宋体"/>
              </w:rPr>
            </w:pPr>
            <w:r>
              <w:rPr>
                <w:rFonts w:ascii="宋体" w:hAnsi="宋体"/>
              </w:rPr>
              <w:t>型号</w:t>
            </w:r>
          </w:p>
        </w:tc>
        <w:tc>
          <w:tcPr>
            <w:tcW w:w="1890" w:type="pct"/>
            <w:shd w:val="clear" w:color="auto" w:fill="auto"/>
            <w:vAlign w:val="center"/>
          </w:tcPr>
          <w:p>
            <w:pPr>
              <w:adjustRightInd w:val="0"/>
              <w:snapToGrid w:val="0"/>
              <w:rPr>
                <w:rFonts w:ascii="宋体" w:hAnsi="宋体"/>
              </w:rPr>
            </w:pPr>
            <w:r>
              <w:rPr>
                <w:rFonts w:ascii="宋体" w:hAnsi="宋体"/>
              </w:rPr>
              <w:t>　</w:t>
            </w:r>
          </w:p>
        </w:tc>
        <w:tc>
          <w:tcPr>
            <w:tcW w:w="872"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12" w:type="pct"/>
            <w:shd w:val="clear" w:color="auto" w:fill="auto"/>
            <w:vAlign w:val="center"/>
          </w:tcPr>
          <w:p>
            <w:pPr>
              <w:adjustRightInd w:val="0"/>
              <w:snapToGrid w:val="0"/>
              <w:rPr>
                <w:rFonts w:ascii="宋体" w:hAnsi="宋体"/>
              </w:rPr>
            </w:pPr>
            <w:r>
              <w:rPr>
                <w:rFonts w:ascii="宋体" w:hAnsi="宋体"/>
              </w:rPr>
              <w:t>最大支持接入视频路数</w:t>
            </w:r>
          </w:p>
        </w:tc>
        <w:tc>
          <w:tcPr>
            <w:tcW w:w="1890" w:type="pct"/>
            <w:shd w:val="clear" w:color="auto" w:fill="auto"/>
            <w:vAlign w:val="center"/>
          </w:tcPr>
          <w:p>
            <w:pPr>
              <w:adjustRightInd w:val="0"/>
              <w:snapToGrid w:val="0"/>
              <w:rPr>
                <w:rFonts w:ascii="宋体" w:hAnsi="宋体"/>
              </w:rPr>
            </w:pPr>
            <w:r>
              <w:rPr>
                <w:rFonts w:hint="eastAsia" w:ascii="宋体" w:hAnsi="宋体"/>
              </w:rPr>
              <w:t>40</w:t>
            </w:r>
          </w:p>
        </w:tc>
        <w:tc>
          <w:tcPr>
            <w:tcW w:w="872"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12" w:type="pct"/>
            <w:shd w:val="clear" w:color="auto" w:fill="auto"/>
            <w:vAlign w:val="center"/>
          </w:tcPr>
          <w:p>
            <w:pPr>
              <w:adjustRightInd w:val="0"/>
              <w:snapToGrid w:val="0"/>
              <w:rPr>
                <w:rFonts w:ascii="宋体" w:hAnsi="宋体"/>
              </w:rPr>
            </w:pPr>
            <w:r>
              <w:rPr>
                <w:rFonts w:ascii="宋体" w:hAnsi="宋体"/>
              </w:rPr>
              <w:t>压缩格式</w:t>
            </w:r>
          </w:p>
        </w:tc>
        <w:tc>
          <w:tcPr>
            <w:tcW w:w="1890" w:type="pct"/>
            <w:shd w:val="clear" w:color="auto" w:fill="auto"/>
            <w:vAlign w:val="center"/>
          </w:tcPr>
          <w:p>
            <w:pPr>
              <w:adjustRightInd w:val="0"/>
              <w:snapToGrid w:val="0"/>
              <w:rPr>
                <w:rFonts w:ascii="宋体" w:hAnsi="宋体"/>
              </w:rPr>
            </w:pPr>
            <w:r>
              <w:rPr>
                <w:rFonts w:ascii="宋体" w:hAnsi="宋体"/>
              </w:rPr>
              <w:t>M-JPEG、MPEG4、H.264</w:t>
            </w:r>
          </w:p>
        </w:tc>
        <w:tc>
          <w:tcPr>
            <w:tcW w:w="872"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12" w:type="pct"/>
            <w:shd w:val="clear" w:color="auto" w:fill="auto"/>
            <w:vAlign w:val="center"/>
          </w:tcPr>
          <w:p>
            <w:pPr>
              <w:adjustRightInd w:val="0"/>
              <w:snapToGrid w:val="0"/>
              <w:rPr>
                <w:rFonts w:ascii="宋体" w:hAnsi="宋体"/>
              </w:rPr>
            </w:pPr>
            <w:r>
              <w:rPr>
                <w:rFonts w:ascii="宋体" w:hAnsi="宋体"/>
              </w:rPr>
              <w:t>视频分辨率</w:t>
            </w:r>
          </w:p>
        </w:tc>
        <w:tc>
          <w:tcPr>
            <w:tcW w:w="1890" w:type="pct"/>
            <w:shd w:val="clear" w:color="auto" w:fill="auto"/>
            <w:vAlign w:val="center"/>
          </w:tcPr>
          <w:p>
            <w:pPr>
              <w:adjustRightInd w:val="0"/>
              <w:snapToGrid w:val="0"/>
              <w:rPr>
                <w:rFonts w:ascii="宋体" w:hAnsi="宋体"/>
              </w:rPr>
            </w:pPr>
            <w:r>
              <w:rPr>
                <w:rFonts w:ascii="宋体" w:hAnsi="宋体"/>
              </w:rPr>
              <w:t>CIF/VGA/4CIF/D1/SVGA/百万像素等</w:t>
            </w:r>
          </w:p>
        </w:tc>
        <w:tc>
          <w:tcPr>
            <w:tcW w:w="872"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12" w:type="pct"/>
            <w:shd w:val="clear" w:color="auto" w:fill="auto"/>
            <w:vAlign w:val="center"/>
          </w:tcPr>
          <w:p>
            <w:pPr>
              <w:adjustRightInd w:val="0"/>
              <w:snapToGrid w:val="0"/>
              <w:rPr>
                <w:rFonts w:ascii="宋体" w:hAnsi="宋体"/>
              </w:rPr>
            </w:pPr>
            <w:r>
              <w:rPr>
                <w:rFonts w:ascii="宋体" w:hAnsi="宋体"/>
              </w:rPr>
              <w:t>存储方式</w:t>
            </w:r>
          </w:p>
        </w:tc>
        <w:tc>
          <w:tcPr>
            <w:tcW w:w="1890" w:type="pct"/>
            <w:shd w:val="clear" w:color="auto" w:fill="auto"/>
            <w:vAlign w:val="center"/>
          </w:tcPr>
          <w:p>
            <w:pPr>
              <w:adjustRightInd w:val="0"/>
              <w:snapToGrid w:val="0"/>
              <w:rPr>
                <w:rFonts w:ascii="宋体" w:hAnsi="宋体"/>
              </w:rPr>
            </w:pPr>
            <w:r>
              <w:rPr>
                <w:rFonts w:ascii="宋体" w:hAnsi="宋体"/>
              </w:rPr>
              <w:t>定时存储，报警存储，移动侦测存储，抽帧存储，突发事件存储</w:t>
            </w:r>
          </w:p>
        </w:tc>
        <w:tc>
          <w:tcPr>
            <w:tcW w:w="872"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912" w:type="pct"/>
            <w:shd w:val="clear" w:color="auto" w:fill="auto"/>
            <w:vAlign w:val="center"/>
          </w:tcPr>
          <w:p>
            <w:pPr>
              <w:adjustRightInd w:val="0"/>
              <w:snapToGrid w:val="0"/>
              <w:rPr>
                <w:rFonts w:ascii="宋体" w:hAnsi="宋体"/>
              </w:rPr>
            </w:pPr>
            <w:r>
              <w:rPr>
                <w:rFonts w:ascii="宋体" w:hAnsi="宋体"/>
              </w:rPr>
              <w:t>磁盘阵列</w:t>
            </w:r>
          </w:p>
        </w:tc>
        <w:tc>
          <w:tcPr>
            <w:tcW w:w="1890" w:type="pct"/>
            <w:shd w:val="clear" w:color="auto" w:fill="auto"/>
            <w:vAlign w:val="center"/>
          </w:tcPr>
          <w:p>
            <w:pPr>
              <w:adjustRightInd w:val="0"/>
              <w:snapToGrid w:val="0"/>
              <w:rPr>
                <w:rFonts w:ascii="宋体" w:hAnsi="宋体"/>
              </w:rPr>
            </w:pPr>
            <w:r>
              <w:rPr>
                <w:rFonts w:ascii="宋体" w:hAnsi="宋体"/>
              </w:rPr>
              <w:t>RAID 0, 1, 5</w:t>
            </w:r>
          </w:p>
        </w:tc>
        <w:tc>
          <w:tcPr>
            <w:tcW w:w="872"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r>
              <w:rPr>
                <w:rFonts w:ascii="宋体" w:hAnsi="宋体"/>
              </w:rPr>
              <w:t>　</w:t>
            </w:r>
          </w:p>
        </w:tc>
        <w:tc>
          <w:tcPr>
            <w:tcW w:w="663"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p>
      <w:pPr>
        <w:adjustRightInd w:val="0"/>
        <w:snapToGrid w:val="0"/>
        <w:rPr>
          <w:rFonts w:ascii="宋体" w:hAnsi="宋体"/>
        </w:rPr>
      </w:pPr>
    </w:p>
    <w:p>
      <w:pPr>
        <w:adjustRightInd w:val="0"/>
        <w:snapToGrid w:val="0"/>
        <w:rPr>
          <w:rFonts w:ascii="宋体" w:hAnsi="宋体"/>
        </w:rPr>
      </w:pPr>
      <w:r>
        <w:rPr>
          <w:rFonts w:hint="eastAsia" w:ascii="宋体" w:hAnsi="宋体"/>
        </w:rPr>
        <w:t>11.3.4.4安防工作站</w:t>
      </w:r>
    </w:p>
    <w:tbl>
      <w:tblPr>
        <w:tblStyle w:val="7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94"/>
        <w:gridCol w:w="2208"/>
        <w:gridCol w:w="1472"/>
        <w:gridCol w:w="1642"/>
        <w:gridCol w:w="1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blHeader/>
        </w:trPr>
        <w:tc>
          <w:tcPr>
            <w:tcW w:w="931" w:type="pct"/>
            <w:shd w:val="clear" w:color="auto" w:fill="auto"/>
            <w:vAlign w:val="center"/>
          </w:tcPr>
          <w:p>
            <w:pPr>
              <w:adjustRightInd w:val="0"/>
              <w:snapToGrid w:val="0"/>
              <w:rPr>
                <w:rFonts w:ascii="宋体" w:hAnsi="宋体"/>
              </w:rPr>
            </w:pPr>
            <w:r>
              <w:rPr>
                <w:rFonts w:ascii="宋体" w:hAnsi="宋体"/>
              </w:rPr>
              <w:t>名称</w:t>
            </w:r>
          </w:p>
        </w:tc>
        <w:tc>
          <w:tcPr>
            <w:tcW w:w="1290" w:type="pct"/>
            <w:shd w:val="clear" w:color="auto" w:fill="auto"/>
            <w:vAlign w:val="center"/>
          </w:tcPr>
          <w:p>
            <w:pPr>
              <w:adjustRightInd w:val="0"/>
              <w:snapToGrid w:val="0"/>
              <w:rPr>
                <w:rFonts w:ascii="宋体" w:hAnsi="宋体"/>
              </w:rPr>
            </w:pPr>
            <w:r>
              <w:rPr>
                <w:rFonts w:ascii="宋体" w:hAnsi="宋体"/>
              </w:rPr>
              <w:t>性能要求参数</w:t>
            </w:r>
          </w:p>
        </w:tc>
        <w:tc>
          <w:tcPr>
            <w:tcW w:w="860" w:type="pct"/>
            <w:shd w:val="clear" w:color="auto" w:fill="auto"/>
            <w:vAlign w:val="center"/>
          </w:tcPr>
          <w:p>
            <w:pPr>
              <w:adjustRightInd w:val="0"/>
              <w:snapToGrid w:val="0"/>
              <w:rPr>
                <w:rFonts w:ascii="宋体" w:hAnsi="宋体"/>
              </w:rPr>
            </w:pPr>
            <w:r>
              <w:rPr>
                <w:rFonts w:ascii="宋体" w:hAnsi="宋体"/>
              </w:rPr>
              <w:t>承包商响应参数</w:t>
            </w:r>
          </w:p>
        </w:tc>
        <w:tc>
          <w:tcPr>
            <w:tcW w:w="95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95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29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6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29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860"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型号</w:t>
            </w:r>
          </w:p>
        </w:tc>
        <w:tc>
          <w:tcPr>
            <w:tcW w:w="1290" w:type="pct"/>
            <w:shd w:val="clear" w:color="auto" w:fill="auto"/>
            <w:vAlign w:val="center"/>
          </w:tcPr>
          <w:p>
            <w:pPr>
              <w:adjustRightInd w:val="0"/>
              <w:snapToGrid w:val="0"/>
              <w:rPr>
                <w:rFonts w:ascii="宋体" w:hAnsi="宋体"/>
              </w:rPr>
            </w:pPr>
          </w:p>
        </w:tc>
        <w:tc>
          <w:tcPr>
            <w:tcW w:w="860"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主频</w:t>
            </w:r>
          </w:p>
        </w:tc>
        <w:tc>
          <w:tcPr>
            <w:tcW w:w="1290" w:type="pct"/>
            <w:shd w:val="clear" w:color="auto" w:fill="auto"/>
            <w:vAlign w:val="center"/>
          </w:tcPr>
          <w:p>
            <w:pPr>
              <w:adjustRightInd w:val="0"/>
              <w:snapToGrid w:val="0"/>
              <w:rPr>
                <w:rFonts w:ascii="宋体" w:hAnsi="宋体"/>
              </w:rPr>
            </w:pPr>
            <w:r>
              <w:rPr>
                <w:rFonts w:hint="eastAsia" w:ascii="宋体" w:hAnsi="宋体"/>
              </w:rPr>
              <w:t>不低于Core I7 处理器</w:t>
            </w:r>
            <w:r>
              <w:rPr>
                <w:rFonts w:ascii="宋体" w:hAnsi="宋体"/>
              </w:rPr>
              <w:t>主频≥3.4GHz</w:t>
            </w:r>
          </w:p>
        </w:tc>
        <w:tc>
          <w:tcPr>
            <w:tcW w:w="860"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内存容量</w:t>
            </w:r>
          </w:p>
        </w:tc>
        <w:tc>
          <w:tcPr>
            <w:tcW w:w="1290" w:type="pct"/>
            <w:shd w:val="clear" w:color="auto" w:fill="auto"/>
            <w:vAlign w:val="center"/>
          </w:tcPr>
          <w:p>
            <w:pPr>
              <w:adjustRightInd w:val="0"/>
              <w:snapToGrid w:val="0"/>
              <w:rPr>
                <w:rFonts w:ascii="宋体" w:hAnsi="宋体"/>
              </w:rPr>
            </w:pPr>
            <w:r>
              <w:rPr>
                <w:rFonts w:hint="eastAsia" w:ascii="宋体" w:hAnsi="宋体"/>
              </w:rPr>
              <w:t>8</w:t>
            </w:r>
            <w:r>
              <w:rPr>
                <w:rFonts w:ascii="宋体" w:hAnsi="宋体"/>
              </w:rPr>
              <w:t>GB</w:t>
            </w:r>
          </w:p>
        </w:tc>
        <w:tc>
          <w:tcPr>
            <w:tcW w:w="860"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硬盘容量</w:t>
            </w:r>
          </w:p>
        </w:tc>
        <w:tc>
          <w:tcPr>
            <w:tcW w:w="1290" w:type="pct"/>
            <w:shd w:val="clear" w:color="auto" w:fill="auto"/>
            <w:vAlign w:val="center"/>
          </w:tcPr>
          <w:p>
            <w:pPr>
              <w:adjustRightInd w:val="0"/>
              <w:snapToGrid w:val="0"/>
              <w:rPr>
                <w:rFonts w:ascii="宋体" w:hAnsi="宋体"/>
              </w:rPr>
            </w:pPr>
            <w:r>
              <w:rPr>
                <w:rFonts w:hint="eastAsia" w:ascii="宋体" w:hAnsi="宋体"/>
              </w:rPr>
              <w:t>500</w:t>
            </w:r>
            <w:r>
              <w:rPr>
                <w:rFonts w:ascii="宋体" w:hAnsi="宋体"/>
              </w:rPr>
              <w:t>硬盘</w:t>
            </w:r>
          </w:p>
        </w:tc>
        <w:tc>
          <w:tcPr>
            <w:tcW w:w="860"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通讯端口</w:t>
            </w:r>
          </w:p>
        </w:tc>
        <w:tc>
          <w:tcPr>
            <w:tcW w:w="1290" w:type="pct"/>
            <w:shd w:val="clear" w:color="auto" w:fill="auto"/>
            <w:vAlign w:val="center"/>
          </w:tcPr>
          <w:p>
            <w:pPr>
              <w:adjustRightInd w:val="0"/>
              <w:snapToGrid w:val="0"/>
              <w:rPr>
                <w:rFonts w:ascii="宋体" w:hAnsi="宋体"/>
              </w:rPr>
            </w:pPr>
            <w:r>
              <w:rPr>
                <w:rFonts w:ascii="宋体" w:hAnsi="宋体"/>
              </w:rPr>
              <w:t>10M/100M以太网（RJ-45）</w:t>
            </w:r>
          </w:p>
        </w:tc>
        <w:tc>
          <w:tcPr>
            <w:tcW w:w="860"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光    驱</w:t>
            </w:r>
          </w:p>
        </w:tc>
        <w:tc>
          <w:tcPr>
            <w:tcW w:w="1290" w:type="pct"/>
            <w:shd w:val="clear" w:color="auto" w:fill="auto"/>
            <w:vAlign w:val="center"/>
          </w:tcPr>
          <w:p>
            <w:pPr>
              <w:adjustRightInd w:val="0"/>
              <w:snapToGrid w:val="0"/>
              <w:rPr>
                <w:rFonts w:ascii="宋体" w:hAnsi="宋体"/>
              </w:rPr>
            </w:pPr>
            <w:r>
              <w:rPr>
                <w:rFonts w:ascii="宋体" w:hAnsi="宋体"/>
              </w:rPr>
              <w:t>DVD刻录机，16X刻录速度，缓存8M</w:t>
            </w:r>
          </w:p>
        </w:tc>
        <w:tc>
          <w:tcPr>
            <w:tcW w:w="860"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工作温度</w:t>
            </w:r>
          </w:p>
        </w:tc>
        <w:tc>
          <w:tcPr>
            <w:tcW w:w="1290" w:type="pct"/>
            <w:shd w:val="clear" w:color="auto" w:fill="auto"/>
            <w:vAlign w:val="center"/>
          </w:tcPr>
          <w:p>
            <w:pPr>
              <w:adjustRightInd w:val="0"/>
              <w:snapToGrid w:val="0"/>
              <w:rPr>
                <w:rFonts w:ascii="宋体" w:hAnsi="宋体"/>
              </w:rPr>
            </w:pPr>
            <w:r>
              <w:rPr>
                <w:rFonts w:ascii="宋体" w:hAnsi="宋体"/>
              </w:rPr>
              <w:t>0</w:t>
            </w:r>
            <w:r>
              <w:rPr>
                <w:rFonts w:hint="eastAsia" w:ascii="宋体" w:hAnsi="宋体"/>
              </w:rPr>
              <w:t>℃</w:t>
            </w:r>
            <w:r>
              <w:rPr>
                <w:rFonts w:ascii="宋体" w:hAnsi="宋体"/>
              </w:rPr>
              <w:t>～50</w:t>
            </w:r>
            <w:r>
              <w:rPr>
                <w:rFonts w:hint="eastAsia" w:ascii="宋体" w:hAnsi="宋体"/>
              </w:rPr>
              <w:t>℃</w:t>
            </w:r>
          </w:p>
        </w:tc>
        <w:tc>
          <w:tcPr>
            <w:tcW w:w="860"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r>
              <w:rPr>
                <w:rFonts w:ascii="宋体" w:hAnsi="宋体"/>
              </w:rPr>
              <w:t>　</w:t>
            </w: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存储温度</w:t>
            </w:r>
          </w:p>
        </w:tc>
        <w:tc>
          <w:tcPr>
            <w:tcW w:w="1290" w:type="pct"/>
            <w:shd w:val="clear" w:color="auto" w:fill="auto"/>
            <w:vAlign w:val="center"/>
          </w:tcPr>
          <w:p>
            <w:pPr>
              <w:adjustRightInd w:val="0"/>
              <w:snapToGrid w:val="0"/>
              <w:rPr>
                <w:rFonts w:ascii="宋体" w:hAnsi="宋体"/>
              </w:rPr>
            </w:pPr>
            <w:r>
              <w:rPr>
                <w:rFonts w:ascii="宋体" w:hAnsi="宋体"/>
              </w:rPr>
              <w:t>-20</w:t>
            </w:r>
            <w:r>
              <w:rPr>
                <w:rFonts w:hint="eastAsia" w:ascii="宋体" w:hAnsi="宋体"/>
              </w:rPr>
              <w:t>℃</w:t>
            </w:r>
            <w:r>
              <w:rPr>
                <w:rFonts w:ascii="宋体" w:hAnsi="宋体"/>
              </w:rPr>
              <w:t>～70</w:t>
            </w:r>
            <w:r>
              <w:rPr>
                <w:rFonts w:hint="eastAsia" w:ascii="宋体" w:hAnsi="宋体"/>
              </w:rPr>
              <w:t>℃</w:t>
            </w:r>
          </w:p>
        </w:tc>
        <w:tc>
          <w:tcPr>
            <w:tcW w:w="860"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相对湿度</w:t>
            </w:r>
          </w:p>
        </w:tc>
        <w:tc>
          <w:tcPr>
            <w:tcW w:w="1290" w:type="pct"/>
            <w:shd w:val="clear" w:color="auto" w:fill="auto"/>
            <w:vAlign w:val="center"/>
          </w:tcPr>
          <w:p>
            <w:pPr>
              <w:adjustRightInd w:val="0"/>
              <w:snapToGrid w:val="0"/>
              <w:rPr>
                <w:rFonts w:ascii="宋体" w:hAnsi="宋体"/>
              </w:rPr>
            </w:pPr>
            <w:r>
              <w:rPr>
                <w:rFonts w:ascii="宋体" w:hAnsi="宋体"/>
              </w:rPr>
              <w:t>5%～95%（无凝结）</w:t>
            </w:r>
          </w:p>
        </w:tc>
        <w:tc>
          <w:tcPr>
            <w:tcW w:w="860"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冲    击</w:t>
            </w:r>
          </w:p>
        </w:tc>
        <w:tc>
          <w:tcPr>
            <w:tcW w:w="1290" w:type="pct"/>
            <w:shd w:val="clear" w:color="auto" w:fill="auto"/>
            <w:vAlign w:val="center"/>
          </w:tcPr>
          <w:p>
            <w:pPr>
              <w:adjustRightInd w:val="0"/>
              <w:snapToGrid w:val="0"/>
              <w:rPr>
                <w:rFonts w:ascii="宋体" w:hAnsi="宋体"/>
              </w:rPr>
            </w:pPr>
            <w:r>
              <w:rPr>
                <w:rFonts w:ascii="宋体" w:hAnsi="宋体"/>
              </w:rPr>
              <w:t>10G峰值加速度</w:t>
            </w:r>
          </w:p>
        </w:tc>
        <w:tc>
          <w:tcPr>
            <w:tcW w:w="860"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振    动</w:t>
            </w:r>
          </w:p>
        </w:tc>
        <w:tc>
          <w:tcPr>
            <w:tcW w:w="1290" w:type="pct"/>
            <w:shd w:val="clear" w:color="auto" w:fill="auto"/>
            <w:vAlign w:val="center"/>
          </w:tcPr>
          <w:p>
            <w:pPr>
              <w:adjustRightInd w:val="0"/>
              <w:snapToGrid w:val="0"/>
              <w:rPr>
                <w:rFonts w:ascii="宋体" w:hAnsi="宋体"/>
              </w:rPr>
            </w:pPr>
            <w:r>
              <w:rPr>
                <w:rFonts w:ascii="宋体" w:hAnsi="宋体"/>
              </w:rPr>
              <w:t>不小于1.5G</w:t>
            </w:r>
          </w:p>
        </w:tc>
        <w:tc>
          <w:tcPr>
            <w:tcW w:w="860"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MTBF</w:t>
            </w:r>
          </w:p>
        </w:tc>
        <w:tc>
          <w:tcPr>
            <w:tcW w:w="1290" w:type="pct"/>
            <w:shd w:val="clear" w:color="auto" w:fill="auto"/>
            <w:vAlign w:val="center"/>
          </w:tcPr>
          <w:p>
            <w:pPr>
              <w:adjustRightInd w:val="0"/>
              <w:snapToGrid w:val="0"/>
              <w:rPr>
                <w:rFonts w:ascii="宋体" w:hAnsi="宋体"/>
              </w:rPr>
            </w:pPr>
            <w:r>
              <w:rPr>
                <w:rFonts w:ascii="宋体" w:hAnsi="宋体"/>
              </w:rPr>
              <w:t xml:space="preserve"> 大于50000小时</w:t>
            </w:r>
          </w:p>
        </w:tc>
        <w:tc>
          <w:tcPr>
            <w:tcW w:w="860"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符合标准</w:t>
            </w:r>
          </w:p>
        </w:tc>
        <w:tc>
          <w:tcPr>
            <w:tcW w:w="1290" w:type="pct"/>
            <w:shd w:val="clear" w:color="auto" w:fill="auto"/>
            <w:vAlign w:val="center"/>
          </w:tcPr>
          <w:p>
            <w:pPr>
              <w:adjustRightInd w:val="0"/>
              <w:snapToGrid w:val="0"/>
              <w:rPr>
                <w:rFonts w:ascii="宋体" w:hAnsi="宋体"/>
              </w:rPr>
            </w:pPr>
            <w:r>
              <w:rPr>
                <w:rFonts w:ascii="宋体" w:hAnsi="宋体"/>
              </w:rPr>
              <w:t>FCC，EMC，CE，UL</w:t>
            </w:r>
          </w:p>
        </w:tc>
        <w:tc>
          <w:tcPr>
            <w:tcW w:w="860"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安全认证</w:t>
            </w:r>
          </w:p>
        </w:tc>
        <w:tc>
          <w:tcPr>
            <w:tcW w:w="1290" w:type="pct"/>
            <w:shd w:val="clear" w:color="auto" w:fill="auto"/>
            <w:vAlign w:val="center"/>
          </w:tcPr>
          <w:p>
            <w:pPr>
              <w:adjustRightInd w:val="0"/>
              <w:snapToGrid w:val="0"/>
              <w:rPr>
                <w:rFonts w:ascii="宋体" w:hAnsi="宋体"/>
              </w:rPr>
            </w:pPr>
            <w:r>
              <w:rPr>
                <w:rFonts w:ascii="宋体" w:hAnsi="宋体"/>
              </w:rPr>
              <w:t>UL-508、CSA、CE</w:t>
            </w:r>
          </w:p>
        </w:tc>
        <w:tc>
          <w:tcPr>
            <w:tcW w:w="860"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931" w:type="pct"/>
            <w:shd w:val="clear" w:color="auto" w:fill="auto"/>
            <w:vAlign w:val="center"/>
          </w:tcPr>
          <w:p>
            <w:pPr>
              <w:adjustRightInd w:val="0"/>
              <w:snapToGrid w:val="0"/>
              <w:rPr>
                <w:rFonts w:ascii="宋体" w:hAnsi="宋体"/>
              </w:rPr>
            </w:pPr>
            <w:r>
              <w:rPr>
                <w:rFonts w:ascii="宋体" w:hAnsi="宋体"/>
              </w:rPr>
              <w:t>显示器</w:t>
            </w:r>
          </w:p>
        </w:tc>
        <w:tc>
          <w:tcPr>
            <w:tcW w:w="1290" w:type="pct"/>
            <w:shd w:val="clear" w:color="auto" w:fill="auto"/>
            <w:vAlign w:val="center"/>
          </w:tcPr>
          <w:p>
            <w:pPr>
              <w:adjustRightInd w:val="0"/>
              <w:snapToGrid w:val="0"/>
              <w:rPr>
                <w:rFonts w:ascii="宋体" w:hAnsi="宋体"/>
              </w:rPr>
            </w:pPr>
            <w:r>
              <w:rPr>
                <w:rFonts w:ascii="宋体" w:hAnsi="宋体"/>
              </w:rPr>
              <w:t xml:space="preserve">  2</w:t>
            </w:r>
            <w:r>
              <w:rPr>
                <w:rFonts w:hint="eastAsia" w:ascii="宋体" w:hAnsi="宋体"/>
              </w:rPr>
              <w:t>4</w:t>
            </w:r>
            <w:r>
              <w:rPr>
                <w:rFonts w:ascii="宋体" w:hAnsi="宋体"/>
              </w:rPr>
              <w:t>″液晶</w:t>
            </w:r>
          </w:p>
        </w:tc>
        <w:tc>
          <w:tcPr>
            <w:tcW w:w="860"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c>
          <w:tcPr>
            <w:tcW w:w="959" w:type="pct"/>
            <w:shd w:val="clear" w:color="auto" w:fill="auto"/>
            <w:vAlign w:val="center"/>
          </w:tcPr>
          <w:p>
            <w:pPr>
              <w:adjustRightInd w:val="0"/>
              <w:snapToGrid w:val="0"/>
              <w:rPr>
                <w:rFonts w:ascii="宋体" w:hAnsi="宋体"/>
              </w:rPr>
            </w:pPr>
          </w:p>
        </w:tc>
      </w:tr>
    </w:tbl>
    <w:p>
      <w:pPr>
        <w:adjustRightInd w:val="0"/>
        <w:snapToGrid w:val="0"/>
        <w:rPr>
          <w:rFonts w:ascii="宋体" w:hAnsi="宋体"/>
        </w:rPr>
      </w:pPr>
    </w:p>
    <w:bookmarkEnd w:id="7529"/>
    <w:bookmarkEnd w:id="7530"/>
    <w:p>
      <w:pPr>
        <w:keepNext/>
        <w:adjustRightInd w:val="0"/>
        <w:snapToGrid w:val="0"/>
        <w:spacing w:before="203" w:beforeLines="50" w:after="203" w:afterLines="50"/>
        <w:outlineLvl w:val="1"/>
        <w:rPr>
          <w:rFonts w:ascii="宋体" w:hAnsi="宋体" w:cs="楷体"/>
          <w:b/>
        </w:rPr>
      </w:pPr>
      <w:bookmarkStart w:id="7547" w:name="_Toc106883864"/>
      <w:bookmarkStart w:id="7548" w:name="_Toc521493281"/>
      <w:bookmarkStart w:id="7549" w:name="_Toc521492424"/>
      <w:bookmarkStart w:id="7550" w:name="_Toc521493955"/>
      <w:r>
        <w:rPr>
          <w:rFonts w:hint="eastAsia" w:ascii="宋体" w:hAnsi="宋体" w:cs="楷体"/>
          <w:b/>
        </w:rPr>
        <w:t>11.4管网材料</w:t>
      </w:r>
      <w:bookmarkEnd w:id="7547"/>
    </w:p>
    <w:p>
      <w:pPr>
        <w:keepNext/>
        <w:tabs>
          <w:tab w:val="left" w:pos="993"/>
        </w:tabs>
        <w:adjustRightInd w:val="0"/>
        <w:snapToGrid w:val="0"/>
        <w:spacing w:before="203" w:beforeLines="50" w:after="203" w:afterLines="50"/>
        <w:outlineLvl w:val="2"/>
        <w:rPr>
          <w:rFonts w:ascii="宋体" w:hAnsi="宋体"/>
        </w:rPr>
      </w:pPr>
      <w:r>
        <w:rPr>
          <w:rFonts w:ascii="宋体" w:hAnsi="宋体"/>
        </w:rPr>
        <w:t xml:space="preserve"> </w:t>
      </w:r>
      <w:bookmarkStart w:id="7551" w:name="_Toc106883865"/>
      <w:r>
        <w:rPr>
          <w:rFonts w:hint="eastAsia" w:ascii="宋体" w:hAnsi="宋体"/>
        </w:rPr>
        <w:t>11.4.1钢管及钢制管件</w:t>
      </w:r>
      <w:bookmarkEnd w:id="7551"/>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15"/>
        <w:gridCol w:w="2870"/>
        <w:gridCol w:w="1674"/>
        <w:gridCol w:w="1299"/>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27" w:type="pct"/>
            <w:shd w:val="clear" w:color="auto" w:fill="auto"/>
            <w:vAlign w:val="center"/>
          </w:tcPr>
          <w:p>
            <w:pPr>
              <w:adjustRightInd w:val="0"/>
              <w:snapToGrid w:val="0"/>
              <w:rPr>
                <w:rFonts w:ascii="宋体" w:hAnsi="宋体"/>
              </w:rPr>
            </w:pPr>
            <w:r>
              <w:rPr>
                <w:rFonts w:ascii="宋体" w:hAnsi="宋体"/>
              </w:rPr>
              <w:t>名称</w:t>
            </w:r>
          </w:p>
        </w:tc>
        <w:tc>
          <w:tcPr>
            <w:tcW w:w="1677" w:type="pct"/>
            <w:shd w:val="clear" w:color="auto" w:fill="auto"/>
            <w:vAlign w:val="center"/>
          </w:tcPr>
          <w:p>
            <w:pPr>
              <w:adjustRightInd w:val="0"/>
              <w:snapToGrid w:val="0"/>
              <w:rPr>
                <w:rFonts w:ascii="宋体" w:hAnsi="宋体"/>
              </w:rPr>
            </w:pPr>
            <w:r>
              <w:rPr>
                <w:rFonts w:ascii="宋体" w:hAnsi="宋体"/>
              </w:rPr>
              <w:t>性能要求参数</w:t>
            </w:r>
          </w:p>
        </w:tc>
        <w:tc>
          <w:tcPr>
            <w:tcW w:w="978" w:type="pct"/>
            <w:shd w:val="clear" w:color="auto" w:fill="auto"/>
            <w:vAlign w:val="center"/>
          </w:tcPr>
          <w:p>
            <w:pPr>
              <w:adjustRightInd w:val="0"/>
              <w:snapToGrid w:val="0"/>
              <w:rPr>
                <w:rFonts w:ascii="宋体" w:hAnsi="宋体"/>
              </w:rPr>
            </w:pPr>
            <w:r>
              <w:rPr>
                <w:rFonts w:ascii="宋体" w:hAnsi="宋体"/>
              </w:rPr>
              <w:t>承包商响应参数</w:t>
            </w:r>
          </w:p>
        </w:tc>
        <w:tc>
          <w:tcPr>
            <w:tcW w:w="75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75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型号</w:t>
            </w:r>
          </w:p>
        </w:tc>
        <w:tc>
          <w:tcPr>
            <w:tcW w:w="1677" w:type="pct"/>
            <w:shd w:val="clear" w:color="auto" w:fill="auto"/>
            <w:vAlign w:val="center"/>
          </w:tcPr>
          <w:p>
            <w:pPr>
              <w:adjustRightInd w:val="0"/>
              <w:snapToGrid w:val="0"/>
              <w:rPr>
                <w:rFonts w:ascii="宋体" w:hAnsi="宋体"/>
              </w:rPr>
            </w:pPr>
            <w:r>
              <w:rPr>
                <w:rFonts w:ascii="宋体" w:hAnsi="宋体"/>
              </w:rPr>
              <w:t>　</w:t>
            </w:r>
          </w:p>
        </w:tc>
        <w:tc>
          <w:tcPr>
            <w:tcW w:w="978"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钢管板材</w:t>
            </w:r>
          </w:p>
        </w:tc>
        <w:tc>
          <w:tcPr>
            <w:tcW w:w="1677" w:type="pct"/>
            <w:shd w:val="clear" w:color="auto" w:fill="auto"/>
            <w:vAlign w:val="center"/>
          </w:tcPr>
          <w:p>
            <w:pPr>
              <w:adjustRightInd w:val="0"/>
              <w:snapToGrid w:val="0"/>
              <w:rPr>
                <w:rFonts w:ascii="宋体" w:hAnsi="宋体"/>
              </w:rPr>
            </w:pPr>
            <w:r>
              <w:rPr>
                <w:rFonts w:hint="eastAsia" w:ascii="宋体" w:hAnsi="宋体"/>
              </w:rPr>
              <w:t>采用Q235B</w:t>
            </w:r>
            <w:r>
              <w:rPr>
                <w:rFonts w:hint="eastAsia" w:ascii="宋体" w:hAnsi="宋体" w:cs="宋体"/>
              </w:rPr>
              <w:t>热轧卷板</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焊接</w:t>
            </w:r>
          </w:p>
        </w:tc>
        <w:tc>
          <w:tcPr>
            <w:tcW w:w="1677" w:type="pct"/>
            <w:shd w:val="clear" w:color="auto" w:fill="auto"/>
            <w:vAlign w:val="center"/>
          </w:tcPr>
          <w:p>
            <w:pPr>
              <w:adjustRightInd w:val="0"/>
              <w:snapToGrid w:val="0"/>
              <w:rPr>
                <w:rFonts w:ascii="宋体" w:hAnsi="宋体"/>
              </w:rPr>
            </w:pPr>
            <w:r>
              <w:rPr>
                <w:rFonts w:hint="eastAsia" w:ascii="宋体" w:hAnsi="宋体" w:cs="宋体"/>
              </w:rPr>
              <w:t>管径≤400采用无缝钢管，管径＞400采用直缝卷管</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工作压力</w:t>
            </w:r>
          </w:p>
        </w:tc>
        <w:tc>
          <w:tcPr>
            <w:tcW w:w="1677" w:type="pct"/>
            <w:shd w:val="clear" w:color="auto" w:fill="auto"/>
            <w:vAlign w:val="center"/>
          </w:tcPr>
          <w:p>
            <w:pPr>
              <w:adjustRightInd w:val="0"/>
              <w:snapToGrid w:val="0"/>
              <w:rPr>
                <w:rFonts w:ascii="宋体" w:hAnsi="宋体"/>
              </w:rPr>
            </w:pPr>
            <w:r>
              <w:rPr>
                <w:rFonts w:hint="eastAsia" w:ascii="宋体" w:hAnsi="宋体"/>
              </w:rPr>
              <w:t>不低于1.0Mpa</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钢管椭圆度</w:t>
            </w:r>
          </w:p>
        </w:tc>
        <w:tc>
          <w:tcPr>
            <w:tcW w:w="1677" w:type="pct"/>
            <w:shd w:val="clear" w:color="auto" w:fill="auto"/>
            <w:vAlign w:val="center"/>
          </w:tcPr>
          <w:p>
            <w:pPr>
              <w:adjustRightInd w:val="0"/>
              <w:snapToGrid w:val="0"/>
              <w:rPr>
                <w:rFonts w:ascii="宋体" w:hAnsi="宋体"/>
              </w:rPr>
            </w:pPr>
            <w:r>
              <w:rPr>
                <w:rFonts w:hint="eastAsia" w:ascii="宋体" w:hAnsi="宋体" w:cs="宋体"/>
                <w:lang w:bidi="ar"/>
              </w:rPr>
              <w:t>不超过0.01D(D为管外径)，在管节安装的端部不得超过0.005D</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lang w:bidi="ar"/>
              </w:rPr>
              <w:t>钢管壁厚偏差控制</w:t>
            </w:r>
          </w:p>
        </w:tc>
        <w:tc>
          <w:tcPr>
            <w:tcW w:w="1677" w:type="pct"/>
            <w:shd w:val="clear" w:color="auto" w:fill="auto"/>
            <w:vAlign w:val="center"/>
          </w:tcPr>
          <w:p>
            <w:pPr>
              <w:adjustRightInd w:val="0"/>
              <w:snapToGrid w:val="0"/>
              <w:rPr>
                <w:rFonts w:ascii="宋体" w:hAnsi="宋体"/>
              </w:rPr>
            </w:pPr>
            <w:r>
              <w:rPr>
                <w:rFonts w:hint="eastAsia" w:ascii="宋体" w:hAnsi="宋体"/>
                <w:lang w:bidi="ar"/>
              </w:rPr>
              <w:t>当</w:t>
            </w:r>
            <w:r>
              <w:rPr>
                <w:rFonts w:ascii="宋体" w:hAnsi="宋体"/>
                <w:lang w:bidi="ar"/>
              </w:rPr>
              <w:t>t</w:t>
            </w:r>
            <w:r>
              <w:rPr>
                <w:rFonts w:hint="eastAsia" w:ascii="宋体" w:hAnsi="宋体"/>
                <w:lang w:bidi="ar"/>
              </w:rPr>
              <w:t>≤1</w:t>
            </w:r>
            <w:r>
              <w:rPr>
                <w:rFonts w:ascii="宋体" w:hAnsi="宋体"/>
                <w:lang w:bidi="ar"/>
              </w:rPr>
              <w:t>0mm</w:t>
            </w:r>
            <w:r>
              <w:rPr>
                <w:rFonts w:hint="eastAsia" w:ascii="宋体" w:hAnsi="宋体"/>
                <w:lang w:bidi="ar"/>
              </w:rPr>
              <w:t>时，按±5%</w:t>
            </w:r>
            <w:r>
              <w:rPr>
                <w:rFonts w:ascii="宋体" w:hAnsi="宋体"/>
                <w:lang w:bidi="ar"/>
              </w:rPr>
              <w:t>t</w:t>
            </w:r>
            <w:r>
              <w:rPr>
                <w:rFonts w:hint="eastAsia" w:ascii="宋体" w:hAnsi="宋体"/>
                <w:lang w:bidi="ar"/>
              </w:rPr>
              <w:t>执行，当</w:t>
            </w:r>
            <w:r>
              <w:rPr>
                <w:rFonts w:ascii="宋体" w:hAnsi="宋体"/>
                <w:lang w:bidi="ar"/>
              </w:rPr>
              <w:t>t</w:t>
            </w:r>
            <w:r>
              <w:rPr>
                <w:rFonts w:hint="eastAsia" w:ascii="宋体" w:hAnsi="宋体"/>
                <w:lang w:bidi="ar"/>
              </w:rPr>
              <w:t>﹥1</w:t>
            </w:r>
            <w:r>
              <w:rPr>
                <w:rFonts w:ascii="宋体" w:hAnsi="宋体"/>
                <w:lang w:bidi="ar"/>
              </w:rPr>
              <w:t>0mm</w:t>
            </w:r>
            <w:r>
              <w:rPr>
                <w:rFonts w:hint="eastAsia" w:ascii="宋体" w:hAnsi="宋体"/>
                <w:lang w:bidi="ar"/>
              </w:rPr>
              <w:t>时，按±</w:t>
            </w:r>
            <w:r>
              <w:rPr>
                <w:rFonts w:ascii="宋体" w:hAnsi="宋体"/>
                <w:lang w:bidi="ar"/>
              </w:rPr>
              <w:t>0.5mm</w:t>
            </w:r>
            <w:r>
              <w:rPr>
                <w:rFonts w:hint="eastAsia" w:ascii="宋体" w:hAnsi="宋体"/>
                <w:lang w:bidi="ar"/>
              </w:rPr>
              <w:t>执行（t为公称壁厚）</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lang w:bidi="ar"/>
              </w:rPr>
              <w:t>错边</w:t>
            </w:r>
          </w:p>
        </w:tc>
        <w:tc>
          <w:tcPr>
            <w:tcW w:w="1677" w:type="pct"/>
            <w:shd w:val="clear" w:color="auto" w:fill="auto"/>
            <w:vAlign w:val="center"/>
          </w:tcPr>
          <w:p>
            <w:pPr>
              <w:adjustRightInd w:val="0"/>
              <w:snapToGrid w:val="0"/>
              <w:rPr>
                <w:rFonts w:ascii="宋体" w:hAnsi="宋体"/>
              </w:rPr>
            </w:pPr>
            <w:r>
              <w:rPr>
                <w:rFonts w:hint="eastAsia" w:ascii="宋体" w:hAnsi="宋体"/>
                <w:lang w:bidi="ar"/>
              </w:rPr>
              <w:t>壁厚小于或等于 13mm 的钢管，错边量不应超过 0.35t 且最大不过 3.0mm。壁厚大于 13mm 的钢管，错边量不应超过3.0mm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焊缝</w:t>
            </w:r>
            <w:r>
              <w:rPr>
                <w:rFonts w:hint="eastAsia" w:ascii="宋体" w:hAnsi="宋体"/>
                <w:lang w:bidi="ar"/>
              </w:rPr>
              <w:t>余高</w:t>
            </w:r>
          </w:p>
        </w:tc>
        <w:tc>
          <w:tcPr>
            <w:tcW w:w="1677" w:type="pct"/>
            <w:shd w:val="clear" w:color="auto" w:fill="auto"/>
            <w:vAlign w:val="center"/>
          </w:tcPr>
          <w:p>
            <w:pPr>
              <w:adjustRightInd w:val="0"/>
              <w:snapToGrid w:val="0"/>
              <w:rPr>
                <w:rFonts w:ascii="宋体" w:hAnsi="宋体"/>
              </w:rPr>
            </w:pPr>
            <w:r>
              <w:rPr>
                <w:rFonts w:hint="eastAsia" w:ascii="宋体" w:hAnsi="宋体"/>
                <w:lang w:bidi="ar"/>
              </w:rPr>
              <w:t>钢管内、外焊缝的余高为，当壁厚小于或等于 13.mm 时焊缝余高≦3.5mm,当壁厚大于 13mm 时焊缝余高≦4.0mm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bl>
    <w:p>
      <w:pPr>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552" w:name="_Toc106883866"/>
      <w:r>
        <w:rPr>
          <w:rFonts w:hint="eastAsia" w:ascii="宋体" w:hAnsi="宋体"/>
        </w:rPr>
        <w:t>11.4.2钢管、钢制管件防腐材料</w:t>
      </w:r>
      <w:bookmarkEnd w:id="7552"/>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15"/>
        <w:gridCol w:w="2870"/>
        <w:gridCol w:w="1674"/>
        <w:gridCol w:w="1299"/>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27" w:type="pct"/>
            <w:shd w:val="clear" w:color="auto" w:fill="auto"/>
            <w:vAlign w:val="center"/>
          </w:tcPr>
          <w:p>
            <w:pPr>
              <w:adjustRightInd w:val="0"/>
              <w:snapToGrid w:val="0"/>
              <w:rPr>
                <w:rFonts w:ascii="宋体" w:hAnsi="宋体"/>
              </w:rPr>
            </w:pPr>
            <w:r>
              <w:rPr>
                <w:rFonts w:ascii="宋体" w:hAnsi="宋体"/>
              </w:rPr>
              <w:t>名称</w:t>
            </w:r>
          </w:p>
        </w:tc>
        <w:tc>
          <w:tcPr>
            <w:tcW w:w="1677" w:type="pct"/>
            <w:shd w:val="clear" w:color="auto" w:fill="auto"/>
            <w:vAlign w:val="center"/>
          </w:tcPr>
          <w:p>
            <w:pPr>
              <w:adjustRightInd w:val="0"/>
              <w:snapToGrid w:val="0"/>
              <w:rPr>
                <w:rFonts w:ascii="宋体" w:hAnsi="宋体"/>
              </w:rPr>
            </w:pPr>
            <w:r>
              <w:rPr>
                <w:rFonts w:ascii="宋体" w:hAnsi="宋体"/>
              </w:rPr>
              <w:t>性能要求参数</w:t>
            </w:r>
          </w:p>
        </w:tc>
        <w:tc>
          <w:tcPr>
            <w:tcW w:w="978" w:type="pct"/>
            <w:shd w:val="clear" w:color="auto" w:fill="auto"/>
            <w:vAlign w:val="center"/>
          </w:tcPr>
          <w:p>
            <w:pPr>
              <w:adjustRightInd w:val="0"/>
              <w:snapToGrid w:val="0"/>
              <w:rPr>
                <w:rFonts w:ascii="宋体" w:hAnsi="宋体"/>
              </w:rPr>
            </w:pPr>
            <w:r>
              <w:rPr>
                <w:rFonts w:ascii="宋体" w:hAnsi="宋体"/>
              </w:rPr>
              <w:t>承包商响应参数</w:t>
            </w:r>
          </w:p>
        </w:tc>
        <w:tc>
          <w:tcPr>
            <w:tcW w:w="75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75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型号</w:t>
            </w:r>
          </w:p>
        </w:tc>
        <w:tc>
          <w:tcPr>
            <w:tcW w:w="1677" w:type="pct"/>
            <w:shd w:val="clear" w:color="auto" w:fill="auto"/>
            <w:vAlign w:val="center"/>
          </w:tcPr>
          <w:p>
            <w:pPr>
              <w:adjustRightInd w:val="0"/>
              <w:snapToGrid w:val="0"/>
              <w:rPr>
                <w:rFonts w:ascii="宋体" w:hAnsi="宋体"/>
              </w:rPr>
            </w:pPr>
            <w:r>
              <w:rPr>
                <w:rFonts w:ascii="宋体" w:hAnsi="宋体"/>
              </w:rPr>
              <w:t>　</w:t>
            </w:r>
          </w:p>
        </w:tc>
        <w:tc>
          <w:tcPr>
            <w:tcW w:w="978"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钢管外防腐材料材质</w:t>
            </w:r>
          </w:p>
        </w:tc>
        <w:tc>
          <w:tcPr>
            <w:tcW w:w="1677" w:type="pct"/>
            <w:shd w:val="clear" w:color="auto" w:fill="auto"/>
            <w:vAlign w:val="center"/>
          </w:tcPr>
          <w:p>
            <w:pPr>
              <w:adjustRightInd w:val="0"/>
              <w:snapToGrid w:val="0"/>
              <w:rPr>
                <w:rFonts w:ascii="宋体" w:hAnsi="宋体"/>
              </w:rPr>
            </w:pPr>
            <w:r>
              <w:rPr>
                <w:rFonts w:hint="eastAsia" w:ascii="宋体" w:hAnsi="宋体" w:cs="宋体"/>
                <w:bCs/>
                <w:lang w:val="zh-CN"/>
              </w:rPr>
              <w:t>双层</w:t>
            </w:r>
            <w:r>
              <w:rPr>
                <w:rFonts w:ascii="宋体" w:hAnsi="宋体" w:cs="宋体"/>
                <w:bCs/>
                <w:lang w:val="zh-CN"/>
              </w:rPr>
              <w:t>熔融结合环氧粉末涂层</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钢管外</w:t>
            </w:r>
            <w:r>
              <w:rPr>
                <w:rFonts w:hint="eastAsia" w:ascii="宋体" w:hAnsi="宋体" w:cs="宋体"/>
                <w:bCs/>
                <w:lang w:val="zh-CN"/>
              </w:rPr>
              <w:t>防腐层厚度</w:t>
            </w:r>
          </w:p>
        </w:tc>
        <w:tc>
          <w:tcPr>
            <w:tcW w:w="1677" w:type="pct"/>
            <w:shd w:val="clear" w:color="auto" w:fill="auto"/>
            <w:vAlign w:val="center"/>
          </w:tcPr>
          <w:p>
            <w:pPr>
              <w:adjustRightInd w:val="0"/>
              <w:snapToGrid w:val="0"/>
              <w:rPr>
                <w:rFonts w:ascii="宋体" w:hAnsi="宋体"/>
              </w:rPr>
            </w:pPr>
            <w:r>
              <w:rPr>
                <w:rFonts w:hint="eastAsia" w:ascii="宋体" w:hAnsi="宋体" w:cs="宋体"/>
                <w:bCs/>
                <w:lang w:val="zh-CN"/>
              </w:rPr>
              <w:t>≥600μm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钢管外防腐材料颜色</w:t>
            </w:r>
          </w:p>
        </w:tc>
        <w:tc>
          <w:tcPr>
            <w:tcW w:w="1677" w:type="pct"/>
            <w:shd w:val="clear" w:color="auto" w:fill="auto"/>
            <w:vAlign w:val="center"/>
          </w:tcPr>
          <w:p>
            <w:pPr>
              <w:adjustRightInd w:val="0"/>
              <w:snapToGrid w:val="0"/>
              <w:rPr>
                <w:rFonts w:ascii="宋体" w:hAnsi="宋体" w:cs="宋体"/>
                <w:bCs/>
                <w:lang w:val="zh-CN"/>
              </w:rPr>
            </w:pPr>
            <w:r>
              <w:rPr>
                <w:rFonts w:hint="eastAsia" w:ascii="宋体" w:hAnsi="宋体" w:cs="宋体"/>
                <w:bCs/>
                <w:lang w:val="zh-CN"/>
              </w:rPr>
              <w:t>RAL 5017交通蓝</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钢管</w:t>
            </w:r>
            <w:r>
              <w:rPr>
                <w:rFonts w:ascii="宋体" w:hAnsi="宋体" w:cs="宋体"/>
                <w:bCs/>
                <w:lang w:val="zh-CN"/>
              </w:rPr>
              <w:t>内防腐</w:t>
            </w:r>
            <w:r>
              <w:rPr>
                <w:rFonts w:hint="eastAsia" w:ascii="宋体" w:hAnsi="宋体"/>
              </w:rPr>
              <w:t>材料材质</w:t>
            </w:r>
          </w:p>
        </w:tc>
        <w:tc>
          <w:tcPr>
            <w:tcW w:w="1677" w:type="pct"/>
            <w:shd w:val="clear" w:color="auto" w:fill="auto"/>
            <w:vAlign w:val="center"/>
          </w:tcPr>
          <w:p>
            <w:pPr>
              <w:adjustRightInd w:val="0"/>
              <w:snapToGrid w:val="0"/>
              <w:rPr>
                <w:rFonts w:ascii="宋体" w:hAnsi="宋体"/>
              </w:rPr>
            </w:pPr>
            <w:r>
              <w:rPr>
                <w:rFonts w:ascii="宋体" w:hAnsi="宋体" w:cs="宋体"/>
                <w:bCs/>
                <w:lang w:val="zh-CN"/>
              </w:rPr>
              <w:t>应采用无毒、无污染的</w:t>
            </w:r>
            <w:r>
              <w:rPr>
                <w:rFonts w:hint="eastAsia" w:ascii="宋体" w:hAnsi="宋体" w:cs="宋体"/>
                <w:b/>
                <w:lang w:val="zh-CN"/>
              </w:rPr>
              <w:t>食品级</w:t>
            </w:r>
            <w:r>
              <w:rPr>
                <w:rFonts w:hint="eastAsia" w:ascii="宋体" w:hAnsi="宋体" w:cs="宋体"/>
              </w:rPr>
              <w:t>熔融结合环氧涂料</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钢管</w:t>
            </w:r>
            <w:r>
              <w:rPr>
                <w:rFonts w:ascii="宋体" w:hAnsi="宋体" w:cs="宋体"/>
                <w:bCs/>
                <w:lang w:val="zh-CN"/>
              </w:rPr>
              <w:t>内防腐厚度</w:t>
            </w:r>
          </w:p>
        </w:tc>
        <w:tc>
          <w:tcPr>
            <w:tcW w:w="1677" w:type="pct"/>
            <w:shd w:val="clear" w:color="auto" w:fill="auto"/>
            <w:vAlign w:val="center"/>
          </w:tcPr>
          <w:p>
            <w:pPr>
              <w:adjustRightInd w:val="0"/>
              <w:snapToGrid w:val="0"/>
              <w:rPr>
                <w:rFonts w:ascii="宋体" w:hAnsi="宋体"/>
              </w:rPr>
            </w:pPr>
            <w:r>
              <w:rPr>
                <w:rFonts w:hint="eastAsia" w:ascii="宋体" w:hAnsi="宋体" w:cs="宋体"/>
                <w:bCs/>
                <w:lang w:val="zh-CN"/>
              </w:rPr>
              <w:t>≥</w:t>
            </w:r>
            <w:r>
              <w:rPr>
                <w:rFonts w:ascii="宋体" w:hAnsi="宋体" w:cs="宋体"/>
                <w:bCs/>
                <w:lang w:val="zh-CN"/>
              </w:rPr>
              <w:t>400μm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钢管内防腐材料颜色</w:t>
            </w:r>
          </w:p>
        </w:tc>
        <w:tc>
          <w:tcPr>
            <w:tcW w:w="1677" w:type="pct"/>
            <w:shd w:val="clear" w:color="auto" w:fill="auto"/>
            <w:vAlign w:val="center"/>
          </w:tcPr>
          <w:p>
            <w:pPr>
              <w:adjustRightInd w:val="0"/>
              <w:snapToGrid w:val="0"/>
              <w:rPr>
                <w:rFonts w:ascii="宋体" w:hAnsi="宋体"/>
              </w:rPr>
            </w:pPr>
            <w:r>
              <w:rPr>
                <w:rFonts w:hint="eastAsia" w:ascii="宋体" w:hAnsi="宋体"/>
              </w:rPr>
              <w:t>白色</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cs="宋体"/>
              </w:rPr>
              <w:t>钢管配件外壁</w:t>
            </w:r>
            <w:r>
              <w:rPr>
                <w:rFonts w:hint="eastAsia" w:ascii="宋体" w:hAnsi="宋体"/>
              </w:rPr>
              <w:t>防腐材料材质</w:t>
            </w:r>
          </w:p>
        </w:tc>
        <w:tc>
          <w:tcPr>
            <w:tcW w:w="1677" w:type="pct"/>
            <w:shd w:val="clear" w:color="auto" w:fill="auto"/>
            <w:vAlign w:val="center"/>
          </w:tcPr>
          <w:p>
            <w:pPr>
              <w:adjustRightInd w:val="0"/>
              <w:snapToGrid w:val="0"/>
              <w:rPr>
                <w:rFonts w:ascii="宋体" w:hAnsi="宋体"/>
              </w:rPr>
            </w:pPr>
            <w:r>
              <w:rPr>
                <w:rFonts w:hint="eastAsia" w:ascii="宋体" w:hAnsi="宋体" w:cs="宋体"/>
                <w:bCs/>
                <w:lang w:val="zh-CN"/>
              </w:rPr>
              <w:t>采用单层</w:t>
            </w:r>
            <w:r>
              <w:rPr>
                <w:rFonts w:ascii="宋体" w:hAnsi="宋体" w:cs="宋体"/>
                <w:bCs/>
                <w:lang w:val="zh-CN"/>
              </w:rPr>
              <w:t>熔融结合环氧粉末涂层</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cs="宋体"/>
              </w:rPr>
            </w:pPr>
            <w:r>
              <w:rPr>
                <w:rFonts w:hint="eastAsia" w:ascii="宋体" w:hAnsi="宋体" w:cs="宋体"/>
              </w:rPr>
              <w:t>钢管配件外壁</w:t>
            </w:r>
            <w:r>
              <w:rPr>
                <w:rFonts w:hint="eastAsia" w:ascii="宋体" w:hAnsi="宋体" w:cs="宋体"/>
                <w:bCs/>
                <w:lang w:val="zh-CN"/>
              </w:rPr>
              <w:t>防腐层厚度</w:t>
            </w:r>
          </w:p>
        </w:tc>
        <w:tc>
          <w:tcPr>
            <w:tcW w:w="1677" w:type="pct"/>
            <w:shd w:val="clear" w:color="auto" w:fill="auto"/>
            <w:vAlign w:val="center"/>
          </w:tcPr>
          <w:p>
            <w:pPr>
              <w:adjustRightInd w:val="0"/>
              <w:snapToGrid w:val="0"/>
              <w:rPr>
                <w:rFonts w:ascii="宋体" w:hAnsi="宋体" w:cs="宋体"/>
                <w:bCs/>
                <w:lang w:val="zh-CN"/>
              </w:rPr>
            </w:pPr>
            <w:r>
              <w:rPr>
                <w:rFonts w:hint="eastAsia" w:ascii="宋体" w:hAnsi="宋体" w:cs="宋体"/>
                <w:bCs/>
                <w:lang w:val="zh-CN"/>
              </w:rPr>
              <w:t>≥</w:t>
            </w:r>
            <w:r>
              <w:rPr>
                <w:rFonts w:hint="eastAsia" w:ascii="宋体" w:hAnsi="宋体" w:cs="宋体"/>
                <w:bCs/>
              </w:rPr>
              <w:t>6</w:t>
            </w:r>
            <w:r>
              <w:rPr>
                <w:rFonts w:hint="eastAsia" w:ascii="宋体" w:hAnsi="宋体" w:cs="宋体"/>
                <w:bCs/>
                <w:lang w:val="zh-CN"/>
              </w:rPr>
              <w:t xml:space="preserve">00μm </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cs="宋体"/>
              </w:rPr>
              <w:t>钢管配件外壁</w:t>
            </w:r>
            <w:r>
              <w:rPr>
                <w:rFonts w:hint="eastAsia" w:ascii="宋体" w:hAnsi="宋体"/>
              </w:rPr>
              <w:t>防腐材料颜色</w:t>
            </w:r>
          </w:p>
        </w:tc>
        <w:tc>
          <w:tcPr>
            <w:tcW w:w="1677" w:type="pct"/>
            <w:shd w:val="clear" w:color="auto" w:fill="auto"/>
            <w:vAlign w:val="center"/>
          </w:tcPr>
          <w:p>
            <w:pPr>
              <w:adjustRightInd w:val="0"/>
              <w:snapToGrid w:val="0"/>
              <w:rPr>
                <w:rFonts w:ascii="宋体" w:hAnsi="宋体"/>
                <w:bCs/>
              </w:rPr>
            </w:pPr>
            <w:r>
              <w:rPr>
                <w:rFonts w:hint="eastAsia" w:ascii="宋体" w:hAnsi="宋体" w:cs="宋体"/>
                <w:bCs/>
                <w:lang w:bidi="ar"/>
              </w:rPr>
              <w:t>RAL 5017交通蓝</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cs="宋体"/>
              </w:rPr>
            </w:pPr>
            <w:r>
              <w:rPr>
                <w:rFonts w:hint="eastAsia" w:ascii="宋体" w:hAnsi="宋体" w:cs="宋体"/>
              </w:rPr>
              <w:t>钢管配件</w:t>
            </w:r>
            <w:r>
              <w:rPr>
                <w:rFonts w:ascii="宋体" w:hAnsi="宋体" w:cs="宋体"/>
                <w:bCs/>
                <w:lang w:val="zh-CN"/>
              </w:rPr>
              <w:t>内防腐</w:t>
            </w:r>
            <w:r>
              <w:rPr>
                <w:rFonts w:hint="eastAsia" w:ascii="宋体" w:hAnsi="宋体"/>
              </w:rPr>
              <w:t>材料材质</w:t>
            </w:r>
          </w:p>
        </w:tc>
        <w:tc>
          <w:tcPr>
            <w:tcW w:w="1677" w:type="pct"/>
            <w:shd w:val="clear" w:color="auto" w:fill="auto"/>
            <w:vAlign w:val="center"/>
          </w:tcPr>
          <w:p>
            <w:pPr>
              <w:adjustRightInd w:val="0"/>
              <w:snapToGrid w:val="0"/>
              <w:rPr>
                <w:rFonts w:ascii="宋体" w:hAnsi="宋体" w:cs="宋体"/>
                <w:b/>
                <w:lang w:bidi="ar"/>
              </w:rPr>
            </w:pPr>
            <w:r>
              <w:rPr>
                <w:rFonts w:ascii="宋体" w:hAnsi="宋体" w:cs="宋体"/>
                <w:bCs/>
                <w:lang w:val="zh-CN"/>
              </w:rPr>
              <w:t>应采用无毒、无污染的</w:t>
            </w:r>
            <w:r>
              <w:rPr>
                <w:rFonts w:hint="eastAsia" w:ascii="宋体" w:hAnsi="宋体" w:cs="宋体"/>
                <w:b/>
                <w:lang w:val="zh-CN"/>
              </w:rPr>
              <w:t>食品级</w:t>
            </w:r>
            <w:r>
              <w:rPr>
                <w:rFonts w:hint="eastAsia" w:ascii="宋体" w:hAnsi="宋体" w:cs="宋体"/>
              </w:rPr>
              <w:t>熔融结合环氧涂料</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cs="宋体"/>
              </w:rPr>
            </w:pPr>
            <w:r>
              <w:rPr>
                <w:rFonts w:hint="eastAsia" w:ascii="宋体" w:hAnsi="宋体" w:cs="宋体"/>
              </w:rPr>
              <w:t>钢管配件</w:t>
            </w:r>
            <w:r>
              <w:rPr>
                <w:rFonts w:ascii="宋体" w:hAnsi="宋体" w:cs="宋体"/>
                <w:bCs/>
                <w:lang w:val="zh-CN"/>
              </w:rPr>
              <w:t>内防腐厚度</w:t>
            </w:r>
          </w:p>
        </w:tc>
        <w:tc>
          <w:tcPr>
            <w:tcW w:w="1677" w:type="pct"/>
            <w:shd w:val="clear" w:color="auto" w:fill="auto"/>
            <w:vAlign w:val="center"/>
          </w:tcPr>
          <w:p>
            <w:pPr>
              <w:adjustRightInd w:val="0"/>
              <w:snapToGrid w:val="0"/>
              <w:rPr>
                <w:rFonts w:ascii="宋体" w:hAnsi="宋体" w:cs="宋体"/>
                <w:b/>
                <w:lang w:bidi="ar"/>
              </w:rPr>
            </w:pPr>
            <w:r>
              <w:rPr>
                <w:rFonts w:hint="eastAsia" w:ascii="宋体" w:hAnsi="宋体" w:cs="宋体"/>
                <w:bCs/>
                <w:lang w:val="zh-CN"/>
              </w:rPr>
              <w:t>≥</w:t>
            </w:r>
            <w:r>
              <w:rPr>
                <w:rFonts w:ascii="宋体" w:hAnsi="宋体" w:cs="宋体"/>
                <w:bCs/>
                <w:lang w:val="zh-CN"/>
              </w:rPr>
              <w:t>400μm，</w:t>
            </w:r>
            <w:r>
              <w:rPr>
                <w:rFonts w:hint="eastAsia" w:ascii="宋体" w:hAnsi="宋体" w:cs="宋体"/>
                <w:b/>
                <w:lang w:bidi="ar"/>
              </w:rPr>
              <w:t xml:space="preserve"> </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cs="宋体"/>
              </w:rPr>
            </w:pPr>
            <w:r>
              <w:rPr>
                <w:rFonts w:hint="eastAsia" w:ascii="宋体" w:hAnsi="宋体" w:cs="宋体"/>
              </w:rPr>
              <w:t>钢管配件内壁</w:t>
            </w:r>
            <w:r>
              <w:rPr>
                <w:rFonts w:hint="eastAsia" w:ascii="宋体" w:hAnsi="宋体"/>
              </w:rPr>
              <w:t>防腐材料颜色</w:t>
            </w:r>
          </w:p>
        </w:tc>
        <w:tc>
          <w:tcPr>
            <w:tcW w:w="1677" w:type="pct"/>
            <w:shd w:val="clear" w:color="auto" w:fill="auto"/>
            <w:vAlign w:val="center"/>
          </w:tcPr>
          <w:p>
            <w:pPr>
              <w:adjustRightInd w:val="0"/>
              <w:snapToGrid w:val="0"/>
              <w:rPr>
                <w:rFonts w:ascii="宋体" w:hAnsi="宋体" w:cs="宋体"/>
                <w:bCs/>
                <w:lang w:bidi="ar"/>
              </w:rPr>
            </w:pPr>
            <w:r>
              <w:rPr>
                <w:rFonts w:hint="eastAsia" w:ascii="宋体" w:hAnsi="宋体" w:cs="宋体"/>
                <w:bCs/>
                <w:lang w:val="zh-CN"/>
              </w:rPr>
              <w:t>白色</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bl>
    <w:p>
      <w:pPr>
        <w:rPr>
          <w:rFonts w:ascii="宋体" w:hAnsi="宋体"/>
        </w:rPr>
      </w:pPr>
      <w:r>
        <w:rPr>
          <w:rFonts w:hint="eastAsia" w:ascii="宋体" w:hAnsi="宋体"/>
        </w:rPr>
        <w:t>注：防腐施工由钢管生产厂家进行。钢制管道出厂时两端</w:t>
      </w:r>
      <w:r>
        <w:rPr>
          <w:rFonts w:ascii="宋体" w:hAnsi="宋体"/>
        </w:rPr>
        <w:t>10</w:t>
      </w:r>
      <w:r>
        <w:rPr>
          <w:rFonts w:hint="eastAsia" w:ascii="宋体" w:hAnsi="宋体"/>
        </w:rPr>
        <w:t>0m</w:t>
      </w:r>
      <w:r>
        <w:rPr>
          <w:rFonts w:ascii="宋体" w:hAnsi="宋体"/>
        </w:rPr>
        <w:t>m</w:t>
      </w:r>
      <w:r>
        <w:rPr>
          <w:rFonts w:hint="eastAsia" w:ascii="宋体" w:hAnsi="宋体"/>
        </w:rPr>
        <w:t>范围内（内外）无需防腐，但供应商需负责施工单位本项目管线工程现场钢管焊接后的防腐工作。</w:t>
      </w:r>
    </w:p>
    <w:p>
      <w:pPr>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553" w:name="_Toc106883867"/>
      <w:r>
        <w:rPr>
          <w:rFonts w:hint="eastAsia" w:ascii="宋体" w:hAnsi="宋体"/>
        </w:rPr>
        <w:t>11.4.3球墨铸铁管</w:t>
      </w:r>
      <w:bookmarkEnd w:id="7553"/>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15"/>
        <w:gridCol w:w="2870"/>
        <w:gridCol w:w="1674"/>
        <w:gridCol w:w="1299"/>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27" w:type="pct"/>
            <w:shd w:val="clear" w:color="auto" w:fill="auto"/>
            <w:vAlign w:val="center"/>
          </w:tcPr>
          <w:p>
            <w:pPr>
              <w:adjustRightInd w:val="0"/>
              <w:snapToGrid w:val="0"/>
              <w:rPr>
                <w:rFonts w:ascii="宋体" w:hAnsi="宋体"/>
              </w:rPr>
            </w:pPr>
            <w:r>
              <w:rPr>
                <w:rFonts w:ascii="宋体" w:hAnsi="宋体"/>
              </w:rPr>
              <w:t>名称</w:t>
            </w:r>
          </w:p>
        </w:tc>
        <w:tc>
          <w:tcPr>
            <w:tcW w:w="1677" w:type="pct"/>
            <w:shd w:val="clear" w:color="auto" w:fill="auto"/>
            <w:vAlign w:val="center"/>
          </w:tcPr>
          <w:p>
            <w:pPr>
              <w:adjustRightInd w:val="0"/>
              <w:snapToGrid w:val="0"/>
              <w:rPr>
                <w:rFonts w:ascii="宋体" w:hAnsi="宋体"/>
              </w:rPr>
            </w:pPr>
            <w:r>
              <w:rPr>
                <w:rFonts w:ascii="宋体" w:hAnsi="宋体"/>
              </w:rPr>
              <w:t>性能要求参数</w:t>
            </w:r>
          </w:p>
        </w:tc>
        <w:tc>
          <w:tcPr>
            <w:tcW w:w="978" w:type="pct"/>
            <w:shd w:val="clear" w:color="auto" w:fill="auto"/>
            <w:vAlign w:val="center"/>
          </w:tcPr>
          <w:p>
            <w:pPr>
              <w:adjustRightInd w:val="0"/>
              <w:snapToGrid w:val="0"/>
              <w:rPr>
                <w:rFonts w:ascii="宋体" w:hAnsi="宋体"/>
              </w:rPr>
            </w:pPr>
            <w:r>
              <w:rPr>
                <w:rFonts w:ascii="宋体" w:hAnsi="宋体"/>
              </w:rPr>
              <w:t>承包商响应参数</w:t>
            </w:r>
          </w:p>
        </w:tc>
        <w:tc>
          <w:tcPr>
            <w:tcW w:w="75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75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型号</w:t>
            </w:r>
          </w:p>
        </w:tc>
        <w:tc>
          <w:tcPr>
            <w:tcW w:w="1677" w:type="pct"/>
            <w:shd w:val="clear" w:color="auto" w:fill="auto"/>
            <w:vAlign w:val="center"/>
          </w:tcPr>
          <w:p>
            <w:pPr>
              <w:adjustRightInd w:val="0"/>
              <w:snapToGrid w:val="0"/>
              <w:rPr>
                <w:rFonts w:ascii="宋体" w:hAnsi="宋体"/>
              </w:rPr>
            </w:pPr>
            <w:r>
              <w:rPr>
                <w:rFonts w:ascii="宋体" w:hAnsi="宋体"/>
              </w:rPr>
              <w:t>　</w:t>
            </w:r>
          </w:p>
        </w:tc>
        <w:tc>
          <w:tcPr>
            <w:tcW w:w="978"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材质</w:t>
            </w:r>
          </w:p>
        </w:tc>
        <w:tc>
          <w:tcPr>
            <w:tcW w:w="1677" w:type="pct"/>
            <w:shd w:val="clear" w:color="auto" w:fill="auto"/>
            <w:vAlign w:val="center"/>
          </w:tcPr>
          <w:p>
            <w:pPr>
              <w:adjustRightInd w:val="0"/>
              <w:snapToGrid w:val="0"/>
              <w:rPr>
                <w:rFonts w:ascii="宋体" w:hAnsi="宋体"/>
              </w:rPr>
            </w:pPr>
            <w:r>
              <w:rPr>
                <w:rFonts w:ascii="宋体" w:hAnsi="宋体"/>
              </w:rPr>
              <w:t>球墨铸铁原料</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生产工艺</w:t>
            </w:r>
          </w:p>
        </w:tc>
        <w:tc>
          <w:tcPr>
            <w:tcW w:w="1677" w:type="pct"/>
            <w:shd w:val="clear" w:color="auto" w:fill="auto"/>
            <w:vAlign w:val="center"/>
          </w:tcPr>
          <w:p>
            <w:pPr>
              <w:adjustRightInd w:val="0"/>
              <w:snapToGrid w:val="0"/>
              <w:rPr>
                <w:rFonts w:ascii="宋体" w:hAnsi="宋体"/>
              </w:rPr>
            </w:pPr>
            <w:r>
              <w:rPr>
                <w:rFonts w:ascii="宋体" w:hAnsi="宋体"/>
              </w:rPr>
              <w:t>离心浇注</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铸铁管外表面防腐方式</w:t>
            </w:r>
          </w:p>
        </w:tc>
        <w:tc>
          <w:tcPr>
            <w:tcW w:w="1677" w:type="pct"/>
            <w:shd w:val="clear" w:color="auto" w:fill="auto"/>
            <w:vAlign w:val="center"/>
          </w:tcPr>
          <w:p>
            <w:pPr>
              <w:adjustRightInd w:val="0"/>
              <w:snapToGrid w:val="0"/>
              <w:rPr>
                <w:rFonts w:ascii="宋体" w:hAnsi="宋体"/>
              </w:rPr>
            </w:pPr>
            <w:r>
              <w:rPr>
                <w:rFonts w:ascii="宋体" w:hAnsi="宋体"/>
              </w:rPr>
              <w:t>采用高压电喷锌工艺进行喷锌处理和外涂沥青漆二次防腐，外喷锌密度大于或等于130克/每平方米</w:t>
            </w:r>
            <w:r>
              <w:rPr>
                <w:rFonts w:hint="eastAsia" w:ascii="宋体" w:hAnsi="宋体"/>
              </w:rPr>
              <w:t>，</w:t>
            </w:r>
            <w:r>
              <w:rPr>
                <w:rFonts w:ascii="宋体" w:hAnsi="宋体"/>
              </w:rPr>
              <w:t>喷锌标准为ISO8179。沥青漆厚度不低于70UM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铸铁管内表面防腐方式</w:t>
            </w:r>
          </w:p>
        </w:tc>
        <w:tc>
          <w:tcPr>
            <w:tcW w:w="1677" w:type="pct"/>
            <w:shd w:val="clear" w:color="auto" w:fill="auto"/>
            <w:vAlign w:val="center"/>
          </w:tcPr>
          <w:p>
            <w:pPr>
              <w:adjustRightInd w:val="0"/>
              <w:snapToGrid w:val="0"/>
              <w:jc w:val="left"/>
              <w:rPr>
                <w:rFonts w:ascii="宋体" w:hAnsi="宋体"/>
              </w:rPr>
            </w:pPr>
            <w:r>
              <w:rPr>
                <w:rFonts w:ascii="宋体" w:hAnsi="宋体"/>
              </w:rPr>
              <w:t>要求涂覆ISO4179水泥砂浆，并满足GB/T17219-1998的要求。抗拉强度（Mpa）≥420，对DN100-1000，延伸率≥10%；对DN1200-2000，延伸率≥7%。抗压强度1.0MPa</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内、外防腐涂料质量和卫生指标</w:t>
            </w:r>
          </w:p>
        </w:tc>
        <w:tc>
          <w:tcPr>
            <w:tcW w:w="1677" w:type="pct"/>
            <w:shd w:val="clear" w:color="auto" w:fill="auto"/>
            <w:vAlign w:val="center"/>
          </w:tcPr>
          <w:p>
            <w:pPr>
              <w:adjustRightInd w:val="0"/>
              <w:snapToGrid w:val="0"/>
              <w:rPr>
                <w:rFonts w:ascii="宋体" w:hAnsi="宋体"/>
              </w:rPr>
            </w:pPr>
            <w:r>
              <w:rPr>
                <w:rFonts w:hint="eastAsia" w:ascii="宋体" w:hAnsi="宋体"/>
              </w:rPr>
              <w:t>需达到国家《生活饮用水卫生标准》的规定及卫生部“生活饮用水输配水设备及防护材料的安全性评价标准”规定的全部指标，必须具有省级卫生部门以上“涉及饮用水卫生安全国产产品”卫生许可证</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接口</w:t>
            </w:r>
          </w:p>
        </w:tc>
        <w:tc>
          <w:tcPr>
            <w:tcW w:w="1677" w:type="pct"/>
            <w:shd w:val="clear" w:color="auto" w:fill="auto"/>
            <w:vAlign w:val="center"/>
          </w:tcPr>
          <w:p>
            <w:pPr>
              <w:adjustRightInd w:val="0"/>
              <w:snapToGrid w:val="0"/>
              <w:rPr>
                <w:rFonts w:ascii="宋体" w:hAnsi="宋体"/>
              </w:rPr>
            </w:pPr>
            <w:r>
              <w:rPr>
                <w:rFonts w:hint="eastAsia" w:ascii="宋体" w:hAnsi="宋体"/>
              </w:rPr>
              <w:t>采用柔性</w:t>
            </w:r>
            <w:r>
              <w:rPr>
                <w:rFonts w:ascii="宋体" w:hAnsi="宋体"/>
              </w:rPr>
              <w:t>T型接口，K9级。</w:t>
            </w:r>
            <w:r>
              <w:rPr>
                <w:rFonts w:hint="eastAsia" w:ascii="宋体" w:hAnsi="宋体"/>
              </w:rPr>
              <w:t>管材标准长度为</w:t>
            </w:r>
            <w:r>
              <w:rPr>
                <w:rFonts w:ascii="宋体" w:hAnsi="宋体"/>
              </w:rPr>
              <w:t>6m,允许偏差为±30mm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管材标准长度</w:t>
            </w:r>
          </w:p>
        </w:tc>
        <w:tc>
          <w:tcPr>
            <w:tcW w:w="1677" w:type="pct"/>
            <w:shd w:val="clear" w:color="auto" w:fill="auto"/>
            <w:vAlign w:val="center"/>
          </w:tcPr>
          <w:p>
            <w:pPr>
              <w:adjustRightInd w:val="0"/>
              <w:snapToGrid w:val="0"/>
              <w:rPr>
                <w:rFonts w:ascii="宋体" w:hAnsi="宋体"/>
              </w:rPr>
            </w:pPr>
            <w:r>
              <w:rPr>
                <w:rFonts w:hint="eastAsia" w:ascii="宋体" w:hAnsi="宋体"/>
              </w:rPr>
              <w:t>6</w:t>
            </w:r>
            <w:r>
              <w:rPr>
                <w:rFonts w:ascii="宋体" w:hAnsi="宋体"/>
              </w:rPr>
              <w:t>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允许偏差</w:t>
            </w:r>
          </w:p>
        </w:tc>
        <w:tc>
          <w:tcPr>
            <w:tcW w:w="1677" w:type="pct"/>
            <w:shd w:val="clear" w:color="auto" w:fill="auto"/>
            <w:vAlign w:val="center"/>
          </w:tcPr>
          <w:p>
            <w:pPr>
              <w:adjustRightInd w:val="0"/>
              <w:snapToGrid w:val="0"/>
              <w:rPr>
                <w:rFonts w:ascii="宋体" w:hAnsi="宋体"/>
              </w:rPr>
            </w:pPr>
            <w:r>
              <w:rPr>
                <w:rFonts w:ascii="宋体" w:hAnsi="宋体"/>
              </w:rPr>
              <w:t>±30mm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bl>
    <w:p>
      <w:pPr>
        <w:rPr>
          <w:rFonts w:ascii="宋体" w:hAnsi="宋体"/>
        </w:rPr>
      </w:pPr>
      <w:r>
        <w:rPr>
          <w:rFonts w:hint="eastAsia" w:ascii="宋体" w:hAnsi="宋体"/>
        </w:rPr>
        <w:t>注：内外防腐均由厂家完成</w:t>
      </w:r>
    </w:p>
    <w:p>
      <w:pPr>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554" w:name="_Toc106883868"/>
      <w:r>
        <w:rPr>
          <w:rFonts w:hint="eastAsia" w:ascii="宋体" w:hAnsi="宋体"/>
        </w:rPr>
        <w:t>11.4.4球墨铸铁管配件</w:t>
      </w:r>
      <w:bookmarkEnd w:id="7554"/>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15"/>
        <w:gridCol w:w="2870"/>
        <w:gridCol w:w="1674"/>
        <w:gridCol w:w="1299"/>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27" w:type="pct"/>
            <w:shd w:val="clear" w:color="auto" w:fill="auto"/>
            <w:vAlign w:val="center"/>
          </w:tcPr>
          <w:p>
            <w:pPr>
              <w:adjustRightInd w:val="0"/>
              <w:snapToGrid w:val="0"/>
              <w:rPr>
                <w:rFonts w:ascii="宋体" w:hAnsi="宋体"/>
              </w:rPr>
            </w:pPr>
            <w:r>
              <w:rPr>
                <w:rFonts w:ascii="宋体" w:hAnsi="宋体"/>
              </w:rPr>
              <w:t>名称</w:t>
            </w:r>
          </w:p>
        </w:tc>
        <w:tc>
          <w:tcPr>
            <w:tcW w:w="1677" w:type="pct"/>
            <w:shd w:val="clear" w:color="auto" w:fill="auto"/>
            <w:vAlign w:val="center"/>
          </w:tcPr>
          <w:p>
            <w:pPr>
              <w:adjustRightInd w:val="0"/>
              <w:snapToGrid w:val="0"/>
              <w:rPr>
                <w:rFonts w:ascii="宋体" w:hAnsi="宋体"/>
              </w:rPr>
            </w:pPr>
            <w:r>
              <w:rPr>
                <w:rFonts w:ascii="宋体" w:hAnsi="宋体"/>
              </w:rPr>
              <w:t>性能要求参数</w:t>
            </w:r>
          </w:p>
        </w:tc>
        <w:tc>
          <w:tcPr>
            <w:tcW w:w="978" w:type="pct"/>
            <w:shd w:val="clear" w:color="auto" w:fill="auto"/>
            <w:vAlign w:val="center"/>
          </w:tcPr>
          <w:p>
            <w:pPr>
              <w:adjustRightInd w:val="0"/>
              <w:snapToGrid w:val="0"/>
              <w:rPr>
                <w:rFonts w:ascii="宋体" w:hAnsi="宋体"/>
              </w:rPr>
            </w:pPr>
            <w:r>
              <w:rPr>
                <w:rFonts w:ascii="宋体" w:hAnsi="宋体"/>
              </w:rPr>
              <w:t>承包商响应参数</w:t>
            </w:r>
          </w:p>
        </w:tc>
        <w:tc>
          <w:tcPr>
            <w:tcW w:w="75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75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型号</w:t>
            </w:r>
          </w:p>
        </w:tc>
        <w:tc>
          <w:tcPr>
            <w:tcW w:w="1677" w:type="pct"/>
            <w:shd w:val="clear" w:color="auto" w:fill="auto"/>
            <w:vAlign w:val="center"/>
          </w:tcPr>
          <w:p>
            <w:pPr>
              <w:adjustRightInd w:val="0"/>
              <w:snapToGrid w:val="0"/>
              <w:rPr>
                <w:rFonts w:ascii="宋体" w:hAnsi="宋体"/>
              </w:rPr>
            </w:pPr>
            <w:r>
              <w:rPr>
                <w:rFonts w:ascii="宋体" w:hAnsi="宋体"/>
              </w:rPr>
              <w:t>　</w:t>
            </w:r>
          </w:p>
        </w:tc>
        <w:tc>
          <w:tcPr>
            <w:tcW w:w="978"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材质</w:t>
            </w:r>
          </w:p>
        </w:tc>
        <w:tc>
          <w:tcPr>
            <w:tcW w:w="1677" w:type="pct"/>
            <w:shd w:val="clear" w:color="auto" w:fill="auto"/>
            <w:vAlign w:val="center"/>
          </w:tcPr>
          <w:p>
            <w:pPr>
              <w:adjustRightInd w:val="0"/>
              <w:snapToGrid w:val="0"/>
              <w:rPr>
                <w:rFonts w:ascii="宋体" w:hAnsi="宋体"/>
              </w:rPr>
            </w:pPr>
            <w:r>
              <w:rPr>
                <w:rFonts w:ascii="宋体" w:hAnsi="宋体"/>
              </w:rPr>
              <w:t>球墨铸铁原料</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铸铁管件外表面防腐方式</w:t>
            </w:r>
          </w:p>
        </w:tc>
        <w:tc>
          <w:tcPr>
            <w:tcW w:w="1677" w:type="pct"/>
            <w:shd w:val="clear" w:color="auto" w:fill="auto"/>
            <w:vAlign w:val="center"/>
          </w:tcPr>
          <w:p>
            <w:pPr>
              <w:adjustRightInd w:val="0"/>
              <w:snapToGrid w:val="0"/>
              <w:rPr>
                <w:rFonts w:ascii="宋体" w:hAnsi="宋体"/>
              </w:rPr>
            </w:pPr>
            <w:r>
              <w:rPr>
                <w:rFonts w:ascii="宋体" w:hAnsi="宋体"/>
              </w:rPr>
              <w:t>采用高压电喷锌工艺进行喷锌处理和外涂沥青漆二次防腐，外喷锌密度大于或等于130克/每平方米</w:t>
            </w:r>
            <w:r>
              <w:rPr>
                <w:rFonts w:hint="eastAsia" w:ascii="宋体" w:hAnsi="宋体"/>
              </w:rPr>
              <w:t>，</w:t>
            </w:r>
            <w:r>
              <w:rPr>
                <w:rFonts w:ascii="宋体" w:hAnsi="宋体"/>
              </w:rPr>
              <w:t>喷锌标准为ISO8179。沥青漆厚度不低于70UM</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铸铁管件内表面防腐方式</w:t>
            </w:r>
          </w:p>
        </w:tc>
        <w:tc>
          <w:tcPr>
            <w:tcW w:w="1677" w:type="pct"/>
            <w:shd w:val="clear" w:color="auto" w:fill="auto"/>
            <w:vAlign w:val="center"/>
          </w:tcPr>
          <w:p>
            <w:pPr>
              <w:adjustRightInd w:val="0"/>
              <w:snapToGrid w:val="0"/>
              <w:rPr>
                <w:rFonts w:ascii="宋体" w:hAnsi="宋体" w:cs="宋体"/>
                <w:bCs/>
                <w:lang w:val="zh-CN"/>
              </w:rPr>
            </w:pPr>
            <w:r>
              <w:rPr>
                <w:rFonts w:ascii="宋体" w:hAnsi="宋体"/>
              </w:rPr>
              <w:t>涂覆水泥砂浆内衬（ISO4179标准）</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bl>
    <w:p>
      <w:pPr>
        <w:rPr>
          <w:rFonts w:ascii="宋体" w:hAnsi="宋体"/>
        </w:rPr>
      </w:pPr>
    </w:p>
    <w:p>
      <w:pPr>
        <w:keepNext/>
        <w:tabs>
          <w:tab w:val="left" w:pos="993"/>
        </w:tabs>
        <w:adjustRightInd w:val="0"/>
        <w:snapToGrid w:val="0"/>
        <w:spacing w:before="203" w:beforeLines="50" w:after="203" w:afterLines="50"/>
        <w:outlineLvl w:val="2"/>
        <w:rPr>
          <w:rFonts w:ascii="宋体" w:hAnsi="宋体"/>
        </w:rPr>
      </w:pPr>
      <w:bookmarkStart w:id="7555" w:name="_Toc106883869"/>
      <w:r>
        <w:rPr>
          <w:rFonts w:hint="eastAsia" w:ascii="宋体" w:hAnsi="宋体"/>
        </w:rPr>
        <w:t>11.4.5橡胶密封圈</w:t>
      </w:r>
      <w:bookmarkEnd w:id="7555"/>
    </w:p>
    <w:tbl>
      <w:tblPr>
        <w:tblStyle w:val="7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15"/>
        <w:gridCol w:w="2870"/>
        <w:gridCol w:w="1674"/>
        <w:gridCol w:w="1299"/>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827" w:type="pct"/>
            <w:shd w:val="clear" w:color="auto" w:fill="auto"/>
            <w:vAlign w:val="center"/>
          </w:tcPr>
          <w:p>
            <w:pPr>
              <w:adjustRightInd w:val="0"/>
              <w:snapToGrid w:val="0"/>
              <w:rPr>
                <w:rFonts w:ascii="宋体" w:hAnsi="宋体"/>
              </w:rPr>
            </w:pPr>
            <w:r>
              <w:rPr>
                <w:rFonts w:ascii="宋体" w:hAnsi="宋体"/>
              </w:rPr>
              <w:t>名称</w:t>
            </w:r>
          </w:p>
        </w:tc>
        <w:tc>
          <w:tcPr>
            <w:tcW w:w="1677" w:type="pct"/>
            <w:shd w:val="clear" w:color="auto" w:fill="auto"/>
            <w:vAlign w:val="center"/>
          </w:tcPr>
          <w:p>
            <w:pPr>
              <w:adjustRightInd w:val="0"/>
              <w:snapToGrid w:val="0"/>
              <w:rPr>
                <w:rFonts w:ascii="宋体" w:hAnsi="宋体"/>
              </w:rPr>
            </w:pPr>
            <w:r>
              <w:rPr>
                <w:rFonts w:ascii="宋体" w:hAnsi="宋体"/>
              </w:rPr>
              <w:t>性能要求参数</w:t>
            </w:r>
          </w:p>
        </w:tc>
        <w:tc>
          <w:tcPr>
            <w:tcW w:w="978" w:type="pct"/>
            <w:shd w:val="clear" w:color="auto" w:fill="auto"/>
            <w:vAlign w:val="center"/>
          </w:tcPr>
          <w:p>
            <w:pPr>
              <w:adjustRightInd w:val="0"/>
              <w:snapToGrid w:val="0"/>
              <w:rPr>
                <w:rFonts w:ascii="宋体" w:hAnsi="宋体"/>
              </w:rPr>
            </w:pPr>
            <w:r>
              <w:rPr>
                <w:rFonts w:ascii="宋体" w:hAnsi="宋体"/>
              </w:rPr>
              <w:t>承包商响应参数</w:t>
            </w:r>
          </w:p>
        </w:tc>
        <w:tc>
          <w:tcPr>
            <w:tcW w:w="759" w:type="pct"/>
            <w:shd w:val="clear" w:color="auto" w:fill="auto"/>
            <w:vAlign w:val="center"/>
          </w:tcPr>
          <w:p>
            <w:pPr>
              <w:adjustRightInd w:val="0"/>
              <w:snapToGrid w:val="0"/>
              <w:jc w:val="center"/>
              <w:rPr>
                <w:rFonts w:ascii="宋体" w:hAnsi="宋体"/>
              </w:rPr>
            </w:pPr>
            <w:r>
              <w:rPr>
                <w:rFonts w:hint="eastAsia" w:ascii="宋体" w:hAnsi="宋体"/>
              </w:rPr>
              <w:t>偏离情况</w:t>
            </w:r>
          </w:p>
        </w:tc>
        <w:tc>
          <w:tcPr>
            <w:tcW w:w="759" w:type="pct"/>
            <w:shd w:val="clear" w:color="auto" w:fill="auto"/>
            <w:vAlign w:val="center"/>
          </w:tcPr>
          <w:p>
            <w:pPr>
              <w:adjustRightInd w:val="0"/>
              <w:snapToGrid w:val="0"/>
              <w:jc w:val="center"/>
              <w:rPr>
                <w:rFonts w:ascii="宋体" w:hAnsi="宋体"/>
              </w:rPr>
            </w:pPr>
            <w:r>
              <w:rPr>
                <w:rFonts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制造商</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tcMar>
              <w:top w:w="15" w:type="dxa"/>
              <w:left w:w="15" w:type="dxa"/>
              <w:bottom w:w="0" w:type="dxa"/>
              <w:right w:w="15" w:type="dxa"/>
            </w:tcMar>
            <w:vAlign w:val="center"/>
          </w:tcPr>
          <w:p>
            <w:pPr>
              <w:adjustRightInd w:val="0"/>
              <w:snapToGrid w:val="0"/>
              <w:rPr>
                <w:rFonts w:ascii="宋体" w:hAnsi="宋体"/>
              </w:rPr>
            </w:pPr>
            <w:r>
              <w:rPr>
                <w:rFonts w:ascii="宋体" w:hAnsi="宋体"/>
              </w:rPr>
              <w:t>原产地</w:t>
            </w:r>
          </w:p>
        </w:tc>
        <w:tc>
          <w:tcPr>
            <w:tcW w:w="1677"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978"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c>
          <w:tcPr>
            <w:tcW w:w="759" w:type="pct"/>
            <w:shd w:val="clear" w:color="auto" w:fill="auto"/>
            <w:tcMar>
              <w:top w:w="15" w:type="dxa"/>
              <w:left w:w="15" w:type="dxa"/>
              <w:bottom w:w="0" w:type="dxa"/>
              <w:right w:w="15" w:type="dxa"/>
            </w:tcMar>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型号</w:t>
            </w:r>
          </w:p>
        </w:tc>
        <w:tc>
          <w:tcPr>
            <w:tcW w:w="1677" w:type="pct"/>
            <w:shd w:val="clear" w:color="auto" w:fill="auto"/>
            <w:vAlign w:val="center"/>
          </w:tcPr>
          <w:p>
            <w:pPr>
              <w:adjustRightInd w:val="0"/>
              <w:snapToGrid w:val="0"/>
              <w:rPr>
                <w:rFonts w:ascii="宋体" w:hAnsi="宋体"/>
              </w:rPr>
            </w:pPr>
            <w:r>
              <w:rPr>
                <w:rFonts w:ascii="宋体" w:hAnsi="宋体"/>
              </w:rPr>
              <w:t>　</w:t>
            </w:r>
          </w:p>
        </w:tc>
        <w:tc>
          <w:tcPr>
            <w:tcW w:w="978"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r>
              <w:rPr>
                <w:rFonts w:ascii="宋体" w:hAnsi="宋体"/>
              </w:rPr>
              <w:t>　</w:t>
            </w: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hint="eastAsia" w:ascii="宋体" w:hAnsi="宋体"/>
              </w:rPr>
              <w:t>材质</w:t>
            </w:r>
          </w:p>
        </w:tc>
        <w:tc>
          <w:tcPr>
            <w:tcW w:w="1677" w:type="pct"/>
            <w:shd w:val="clear" w:color="auto" w:fill="auto"/>
            <w:vAlign w:val="center"/>
          </w:tcPr>
          <w:p>
            <w:pPr>
              <w:adjustRightInd w:val="0"/>
              <w:snapToGrid w:val="0"/>
              <w:rPr>
                <w:rFonts w:ascii="宋体" w:hAnsi="宋体"/>
              </w:rPr>
            </w:pPr>
            <w:r>
              <w:rPr>
                <w:rFonts w:ascii="宋体" w:hAnsi="宋体"/>
              </w:rPr>
              <w:t>三元乙丙</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橡胶主体</w:t>
            </w:r>
          </w:p>
        </w:tc>
        <w:tc>
          <w:tcPr>
            <w:tcW w:w="1677" w:type="pct"/>
            <w:shd w:val="clear" w:color="auto" w:fill="auto"/>
            <w:vAlign w:val="center"/>
          </w:tcPr>
          <w:p>
            <w:pPr>
              <w:adjustRightInd w:val="0"/>
              <w:snapToGrid w:val="0"/>
              <w:rPr>
                <w:rFonts w:ascii="宋体" w:hAnsi="宋体"/>
              </w:rPr>
            </w:pPr>
            <w:r>
              <w:rPr>
                <w:rFonts w:ascii="宋体" w:hAnsi="宋体"/>
              </w:rPr>
              <w:t>必须使用100%纯三元乙丙橡胶生产</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827" w:type="pct"/>
            <w:shd w:val="clear" w:color="auto" w:fill="auto"/>
            <w:vAlign w:val="center"/>
          </w:tcPr>
          <w:p>
            <w:pPr>
              <w:adjustRightInd w:val="0"/>
              <w:snapToGrid w:val="0"/>
              <w:rPr>
                <w:rFonts w:ascii="宋体" w:hAnsi="宋体"/>
              </w:rPr>
            </w:pPr>
            <w:r>
              <w:rPr>
                <w:rFonts w:ascii="宋体" w:hAnsi="宋体"/>
              </w:rPr>
              <w:t>卫生指标</w:t>
            </w:r>
          </w:p>
        </w:tc>
        <w:tc>
          <w:tcPr>
            <w:tcW w:w="1677" w:type="pct"/>
            <w:shd w:val="clear" w:color="auto" w:fill="auto"/>
            <w:vAlign w:val="center"/>
          </w:tcPr>
          <w:p>
            <w:pPr>
              <w:adjustRightInd w:val="0"/>
              <w:snapToGrid w:val="0"/>
              <w:rPr>
                <w:rFonts w:ascii="宋体" w:hAnsi="宋体" w:cs="宋体"/>
                <w:bCs/>
                <w:lang w:val="zh-CN"/>
              </w:rPr>
            </w:pPr>
            <w:r>
              <w:rPr>
                <w:rFonts w:ascii="宋体" w:hAnsi="宋体"/>
              </w:rPr>
              <w:t>必须达到GB/T5749-2006《生活饮用水卫生标准生活饮用水标准检验方法》、卫生计生委2013年10月1日出台的《涉及饮用水卫生安全产品标签说明书管理规范》要求，保证每一件产品符合国家卫生指标要求。生产企业必须使用涉水卫生级助剂。</w:t>
            </w:r>
          </w:p>
        </w:tc>
        <w:tc>
          <w:tcPr>
            <w:tcW w:w="978"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c>
          <w:tcPr>
            <w:tcW w:w="759" w:type="pct"/>
            <w:shd w:val="clear" w:color="auto" w:fill="auto"/>
            <w:vAlign w:val="center"/>
          </w:tcPr>
          <w:p>
            <w:pPr>
              <w:adjustRightInd w:val="0"/>
              <w:snapToGrid w:val="0"/>
              <w:rPr>
                <w:rFonts w:ascii="宋体" w:hAnsi="宋体"/>
              </w:rPr>
            </w:pPr>
          </w:p>
        </w:tc>
      </w:tr>
    </w:tbl>
    <w:p>
      <w:pPr>
        <w:pStyle w:val="1328"/>
        <w:rPr>
          <w:rFonts w:ascii="宋体" w:hAnsi="宋体"/>
        </w:rPr>
      </w:pPr>
      <w:r>
        <w:rPr>
          <w:rFonts w:ascii="宋体" w:hAnsi="宋体"/>
        </w:rPr>
        <w:br w:type="page"/>
      </w:r>
    </w:p>
    <w:p>
      <w:pPr>
        <w:pStyle w:val="1328"/>
        <w:rPr>
          <w:rFonts w:ascii="宋体" w:hAnsi="宋体"/>
        </w:rPr>
      </w:pPr>
      <w:bookmarkStart w:id="7556" w:name="_Toc106883870"/>
      <w:r>
        <w:rPr>
          <w:rFonts w:hint="eastAsia" w:ascii="宋体" w:hAnsi="宋体"/>
        </w:rPr>
        <w:t xml:space="preserve">12 </w:t>
      </w:r>
      <w:r>
        <w:rPr>
          <w:rFonts w:ascii="宋体" w:hAnsi="宋体"/>
        </w:rPr>
        <w:t>环境保护</w:t>
      </w:r>
      <w:bookmarkEnd w:id="7548"/>
      <w:bookmarkEnd w:id="7549"/>
      <w:bookmarkEnd w:id="7550"/>
      <w:bookmarkEnd w:id="7556"/>
    </w:p>
    <w:p>
      <w:pPr>
        <w:pStyle w:val="1281"/>
        <w:outlineLvl w:val="0"/>
        <w:rPr>
          <w:rFonts w:ascii="宋体" w:hAnsi="宋体"/>
          <w:color w:val="auto"/>
        </w:rPr>
      </w:pPr>
      <w:bookmarkStart w:id="7557" w:name="_Toc521493282"/>
      <w:bookmarkStart w:id="7558" w:name="_Toc521492425"/>
      <w:bookmarkStart w:id="7559" w:name="_Toc517382777"/>
      <w:bookmarkStart w:id="7560" w:name="_Toc521493956"/>
      <w:bookmarkStart w:id="7561" w:name="_Toc517602466"/>
      <w:bookmarkStart w:id="7562" w:name="_Toc106883871"/>
      <w:r>
        <w:rPr>
          <w:rFonts w:ascii="宋体" w:hAnsi="宋体"/>
          <w:color w:val="auto"/>
        </w:rPr>
        <w:t>1</w:t>
      </w:r>
      <w:r>
        <w:rPr>
          <w:rFonts w:hint="eastAsia" w:ascii="宋体" w:hAnsi="宋体"/>
          <w:color w:val="auto"/>
        </w:rPr>
        <w:t>2</w:t>
      </w:r>
      <w:r>
        <w:rPr>
          <w:rFonts w:ascii="宋体" w:hAnsi="宋体"/>
          <w:color w:val="auto"/>
        </w:rPr>
        <w:t>.1 范围</w:t>
      </w:r>
      <w:bookmarkEnd w:id="7557"/>
      <w:bookmarkEnd w:id="7558"/>
      <w:bookmarkEnd w:id="7559"/>
      <w:bookmarkEnd w:id="7560"/>
      <w:bookmarkEnd w:id="7561"/>
      <w:bookmarkEnd w:id="7562"/>
    </w:p>
    <w:p>
      <w:pPr>
        <w:pStyle w:val="1280"/>
        <w:ind w:firstLine="440"/>
        <w:rPr>
          <w:rFonts w:ascii="宋体"/>
        </w:rPr>
      </w:pPr>
      <w:r>
        <w:rPr>
          <w:rFonts w:ascii="宋体"/>
        </w:rPr>
        <w:t>本章工作内容包括施工及维护期间的环境保护，并应严格遵守招标文件所附的《环境管理计划》。</w:t>
      </w:r>
    </w:p>
    <w:p>
      <w:pPr>
        <w:pStyle w:val="1281"/>
        <w:outlineLvl w:val="0"/>
        <w:rPr>
          <w:rFonts w:ascii="宋体" w:hAnsi="宋体"/>
          <w:color w:val="auto"/>
        </w:rPr>
      </w:pPr>
      <w:bookmarkStart w:id="7563" w:name="_Toc517382778"/>
      <w:bookmarkStart w:id="7564" w:name="_Toc517602467"/>
      <w:bookmarkStart w:id="7565" w:name="_Toc521492426"/>
      <w:bookmarkStart w:id="7566" w:name="_Toc521493283"/>
      <w:bookmarkStart w:id="7567" w:name="_Toc521493957"/>
      <w:bookmarkStart w:id="7568" w:name="_Toc106883872"/>
      <w:r>
        <w:rPr>
          <w:rFonts w:ascii="宋体" w:hAnsi="宋体"/>
          <w:color w:val="auto"/>
        </w:rPr>
        <w:t>1</w:t>
      </w:r>
      <w:r>
        <w:rPr>
          <w:rFonts w:hint="eastAsia" w:ascii="宋体" w:hAnsi="宋体"/>
          <w:color w:val="auto"/>
        </w:rPr>
        <w:t>2</w:t>
      </w:r>
      <w:r>
        <w:rPr>
          <w:rFonts w:ascii="宋体" w:hAnsi="宋体"/>
          <w:color w:val="auto"/>
        </w:rPr>
        <w:t>.2 一般规定</w:t>
      </w:r>
      <w:bookmarkEnd w:id="7563"/>
      <w:bookmarkEnd w:id="7564"/>
      <w:bookmarkEnd w:id="7565"/>
      <w:bookmarkEnd w:id="7566"/>
      <w:bookmarkEnd w:id="7567"/>
      <w:bookmarkEnd w:id="7568"/>
    </w:p>
    <w:p>
      <w:pPr>
        <w:pStyle w:val="1280"/>
        <w:ind w:firstLine="440"/>
        <w:rPr>
          <w:rFonts w:ascii="宋体"/>
        </w:rPr>
      </w:pPr>
      <w:r>
        <w:rPr>
          <w:rFonts w:ascii="宋体"/>
        </w:rPr>
        <w:t>1、施工期间的环境保护</w:t>
      </w:r>
    </w:p>
    <w:p>
      <w:pPr>
        <w:pStyle w:val="1280"/>
        <w:ind w:firstLine="440"/>
        <w:rPr>
          <w:rFonts w:ascii="宋体"/>
        </w:rPr>
      </w:pPr>
      <w:r>
        <w:rPr>
          <w:rFonts w:hint="eastAsia" w:ascii="宋体"/>
        </w:rPr>
        <w:t>（1）</w:t>
      </w:r>
      <w:r>
        <w:rPr>
          <w:rFonts w:ascii="宋体"/>
        </w:rPr>
        <w:t>承包商应遵守国家和地方有关环境保护、控制环境污染的规定，采取必要的措施防止施工中的燃料、油、沥青、污水、废料和垃圾等有害物质对河流、湖泊、池塘和水库的污染，防治扬尘、汽油等物质对环境空气的污染，防治噪声对环境的污染，把施工时环境、空气和居民生活的影响减少到法规允许的范围内。</w:t>
      </w:r>
    </w:p>
    <w:p>
      <w:pPr>
        <w:pStyle w:val="1280"/>
        <w:ind w:firstLine="440"/>
        <w:rPr>
          <w:rFonts w:ascii="宋体"/>
        </w:rPr>
      </w:pPr>
      <w:r>
        <w:rPr>
          <w:rFonts w:hint="eastAsia" w:ascii="宋体"/>
        </w:rPr>
        <w:t>（2）</w:t>
      </w:r>
      <w:r>
        <w:rPr>
          <w:rFonts w:ascii="宋体"/>
        </w:rPr>
        <w:t>在居民集中居住区和靠近学校、医院等环境敏感区，噪声大的施工作业，应按项目监理规定的作业时间施工。</w:t>
      </w:r>
    </w:p>
    <w:p>
      <w:pPr>
        <w:pStyle w:val="1280"/>
        <w:ind w:firstLine="440"/>
        <w:rPr>
          <w:rFonts w:ascii="宋体"/>
        </w:rPr>
      </w:pPr>
      <w:r>
        <w:rPr>
          <w:rFonts w:hint="eastAsia" w:ascii="宋体"/>
        </w:rPr>
        <w:t>（3）</w:t>
      </w:r>
      <w:r>
        <w:rPr>
          <w:rFonts w:ascii="宋体"/>
        </w:rPr>
        <w:t>本规范其它各章对环境保护的具体要求和环境管理计划，承包商在施工阶段应予严格遵守。任何因施工造成的环境污染，承包商都有责任采取措施予以防治和消除，并且应保证业主免于承担由于这种污染而产生的一切索赔和罚款。</w:t>
      </w:r>
    </w:p>
    <w:p>
      <w:pPr>
        <w:pStyle w:val="1280"/>
        <w:ind w:firstLine="440"/>
        <w:rPr>
          <w:rFonts w:ascii="宋体"/>
        </w:rPr>
      </w:pPr>
      <w:r>
        <w:rPr>
          <w:rFonts w:hint="eastAsia" w:ascii="宋体"/>
        </w:rPr>
        <w:t>（4）</w:t>
      </w:r>
      <w:r>
        <w:rPr>
          <w:rFonts w:ascii="宋体"/>
        </w:rPr>
        <w:t>由于承包商的过失、疏忽，或者未及时按图纸规定和项目监理指示做好永久性的环境保护工程，导致需要另外采取环境保护措施，这部分额外工作的费用应由承包商负担。</w:t>
      </w:r>
    </w:p>
    <w:p>
      <w:pPr>
        <w:pStyle w:val="1280"/>
        <w:ind w:firstLine="440"/>
        <w:rPr>
          <w:rFonts w:ascii="宋体"/>
        </w:rPr>
      </w:pPr>
      <w:r>
        <w:rPr>
          <w:rFonts w:hint="eastAsia" w:ascii="宋体"/>
        </w:rPr>
        <w:t>（5）</w:t>
      </w:r>
      <w:r>
        <w:rPr>
          <w:rFonts w:ascii="宋体"/>
        </w:rPr>
        <w:t>环境保护措施一般都是和某些工程项目紧密联系在一起的，因此这些工作的费用应被认为已包含在相应的工程项目中，不再考虑另外支付，除非规范规定或项目监理另有指示。</w:t>
      </w:r>
    </w:p>
    <w:p>
      <w:pPr>
        <w:pStyle w:val="1280"/>
        <w:ind w:firstLine="440"/>
        <w:rPr>
          <w:rFonts w:ascii="宋体"/>
        </w:rPr>
      </w:pPr>
      <w:r>
        <w:rPr>
          <w:rFonts w:hint="eastAsia" w:ascii="宋体"/>
        </w:rPr>
        <w:t>（6）</w:t>
      </w:r>
      <w:r>
        <w:rPr>
          <w:rFonts w:ascii="宋体"/>
        </w:rPr>
        <w:t>施工前承包商应制定施工期间环境保护措施送交项目监理批准，做到统筹规划，合理布置，综合治理，化害为利。</w:t>
      </w:r>
    </w:p>
    <w:p>
      <w:pPr>
        <w:pStyle w:val="1280"/>
        <w:ind w:firstLine="440"/>
        <w:rPr>
          <w:rFonts w:ascii="宋体"/>
        </w:rPr>
      </w:pPr>
      <w:r>
        <w:rPr>
          <w:rFonts w:hint="eastAsia" w:ascii="宋体"/>
        </w:rPr>
        <w:t>（7）</w:t>
      </w:r>
      <w:r>
        <w:rPr>
          <w:rFonts w:ascii="宋体"/>
        </w:rPr>
        <w:t>承包商要负责执行环境管理计划（EMP），并按照EMP中监测计划的要求，聘请具有监测资质的单位对项目实施监测、向EMP咨询顾问提供相应的环境质量监测报告和数据。承包商要定期向EMP外部监测咨询顾问提供《施工项目环境月报》，其主要内容包括施工内容及工程量、施工项目周围环境状况、施工中采取的环境保护措施、施工设计中环保设施的建设情况、近期施工安排及拟采取的环境保护措施等内容。</w:t>
      </w:r>
    </w:p>
    <w:p>
      <w:pPr>
        <w:pStyle w:val="1281"/>
        <w:rPr>
          <w:rFonts w:ascii="宋体" w:hAnsi="宋体"/>
          <w:color w:val="auto"/>
        </w:rPr>
      </w:pPr>
      <w:bookmarkStart w:id="7569" w:name="_Toc475588466"/>
      <w:bookmarkStart w:id="7570" w:name="_Toc517382779"/>
      <w:bookmarkStart w:id="7571" w:name="_Toc517602468"/>
      <w:bookmarkStart w:id="7572" w:name="_Toc521492427"/>
      <w:bookmarkStart w:id="7573" w:name="_Toc521493284"/>
      <w:bookmarkStart w:id="7574" w:name="_Toc521493958"/>
      <w:bookmarkStart w:id="7575" w:name="_Toc106883873"/>
      <w:r>
        <w:rPr>
          <w:rFonts w:ascii="宋体" w:hAnsi="宋体"/>
          <w:color w:val="auto"/>
        </w:rPr>
        <w:t>1</w:t>
      </w:r>
      <w:r>
        <w:rPr>
          <w:rFonts w:hint="eastAsia" w:ascii="宋体" w:hAnsi="宋体"/>
          <w:color w:val="auto"/>
        </w:rPr>
        <w:t>2</w:t>
      </w:r>
      <w:r>
        <w:rPr>
          <w:rFonts w:ascii="宋体" w:hAnsi="宋体"/>
          <w:color w:val="auto"/>
        </w:rPr>
        <w:t>.3 环境保护</w:t>
      </w:r>
      <w:bookmarkEnd w:id="7569"/>
      <w:bookmarkEnd w:id="7570"/>
      <w:bookmarkEnd w:id="7571"/>
      <w:bookmarkEnd w:id="7572"/>
      <w:bookmarkEnd w:id="7573"/>
      <w:bookmarkEnd w:id="7574"/>
      <w:bookmarkEnd w:id="7575"/>
    </w:p>
    <w:p>
      <w:pPr>
        <w:pStyle w:val="1284"/>
        <w:rPr>
          <w:rFonts w:ascii="宋体" w:hAnsi="宋体"/>
        </w:rPr>
      </w:pPr>
      <w:bookmarkStart w:id="7576" w:name="_Toc517602469"/>
      <w:bookmarkStart w:id="7577" w:name="_Toc517382780"/>
      <w:bookmarkStart w:id="7578" w:name="_Toc521493285"/>
      <w:bookmarkStart w:id="7579" w:name="_Toc521492428"/>
      <w:bookmarkStart w:id="7580" w:name="_Toc521493959"/>
      <w:bookmarkStart w:id="7581" w:name="_Toc106883874"/>
      <w:r>
        <w:rPr>
          <w:rFonts w:ascii="宋体" w:hAnsi="宋体"/>
        </w:rPr>
        <w:t>1</w:t>
      </w:r>
      <w:r>
        <w:rPr>
          <w:rFonts w:hint="eastAsia" w:ascii="宋体" w:hAnsi="宋体"/>
        </w:rPr>
        <w:t>2</w:t>
      </w:r>
      <w:r>
        <w:rPr>
          <w:rFonts w:ascii="宋体" w:hAnsi="宋体"/>
        </w:rPr>
        <w:t>.3.1 工作内容</w:t>
      </w:r>
      <w:bookmarkEnd w:id="7576"/>
      <w:bookmarkEnd w:id="7577"/>
      <w:bookmarkEnd w:id="7578"/>
      <w:bookmarkEnd w:id="7579"/>
      <w:bookmarkEnd w:id="7580"/>
      <w:bookmarkEnd w:id="7581"/>
    </w:p>
    <w:p>
      <w:pPr>
        <w:pStyle w:val="1280"/>
        <w:ind w:firstLine="440"/>
        <w:rPr>
          <w:rFonts w:ascii="宋体"/>
        </w:rPr>
      </w:pPr>
      <w:r>
        <w:rPr>
          <w:rFonts w:ascii="宋体"/>
        </w:rPr>
        <w:t>工作内容为在施工期间对环境保护采取必要的措施，使在施工期间受损的环境影响减到最低程度。</w:t>
      </w:r>
    </w:p>
    <w:p>
      <w:pPr>
        <w:pStyle w:val="1284"/>
        <w:rPr>
          <w:rFonts w:ascii="宋体" w:hAnsi="宋体"/>
        </w:rPr>
      </w:pPr>
      <w:bookmarkStart w:id="7582" w:name="_Toc517382781"/>
      <w:bookmarkStart w:id="7583" w:name="_Toc517602470"/>
      <w:bookmarkStart w:id="7584" w:name="_Toc521492429"/>
      <w:bookmarkStart w:id="7585" w:name="_Toc521493286"/>
      <w:bookmarkStart w:id="7586" w:name="_Toc521493960"/>
      <w:bookmarkStart w:id="7587" w:name="_Toc106883875"/>
      <w:r>
        <w:rPr>
          <w:rFonts w:ascii="宋体" w:hAnsi="宋体"/>
        </w:rPr>
        <w:t>12.3.2 文物保护</w:t>
      </w:r>
      <w:bookmarkEnd w:id="7582"/>
      <w:bookmarkEnd w:id="7583"/>
      <w:bookmarkEnd w:id="7584"/>
      <w:bookmarkEnd w:id="7585"/>
      <w:bookmarkEnd w:id="7586"/>
      <w:bookmarkEnd w:id="7587"/>
    </w:p>
    <w:p>
      <w:pPr>
        <w:pStyle w:val="1280"/>
        <w:ind w:firstLine="440"/>
        <w:rPr>
          <w:rFonts w:ascii="宋体"/>
        </w:rPr>
      </w:pPr>
      <w:r>
        <w:rPr>
          <w:rFonts w:ascii="宋体"/>
        </w:rPr>
        <w:t>1、施工时如发现文物古迹，不得移动和收藏，承包商应保护好现场，防止文物流失，并暂时停止作业，立即报告项目监理。</w:t>
      </w:r>
    </w:p>
    <w:p>
      <w:pPr>
        <w:pStyle w:val="1280"/>
        <w:ind w:firstLine="440"/>
        <w:rPr>
          <w:rFonts w:ascii="宋体"/>
        </w:rPr>
      </w:pPr>
      <w:r>
        <w:rPr>
          <w:rFonts w:ascii="宋体"/>
        </w:rPr>
        <w:t>2、由于历史文物的发现和处理，致使承包商的工程进度延误和(或)招致费用的增加，项目监理与业主和承包商应根据实际情况，实事求是地协商解决。</w:t>
      </w:r>
    </w:p>
    <w:p>
      <w:pPr>
        <w:pStyle w:val="1280"/>
        <w:ind w:firstLine="440"/>
        <w:rPr>
          <w:rFonts w:ascii="宋体"/>
        </w:rPr>
      </w:pPr>
      <w:r>
        <w:rPr>
          <w:rFonts w:ascii="宋体"/>
        </w:rPr>
        <w:t>3、土方工程以及其他需要借土、弃土时，对现有的或规划的保护文物遗址，承包商应采取避让的原则进行地点的选择。</w:t>
      </w:r>
    </w:p>
    <w:p>
      <w:pPr>
        <w:pStyle w:val="1284"/>
        <w:rPr>
          <w:rFonts w:ascii="宋体" w:hAnsi="宋体"/>
        </w:rPr>
      </w:pPr>
      <w:bookmarkStart w:id="7588" w:name="_Toc517382782"/>
      <w:bookmarkStart w:id="7589" w:name="_Toc517602471"/>
      <w:bookmarkStart w:id="7590" w:name="_Toc521492430"/>
      <w:bookmarkStart w:id="7591" w:name="_Toc521493287"/>
      <w:bookmarkStart w:id="7592" w:name="_Toc521493961"/>
      <w:bookmarkStart w:id="7593" w:name="_Toc106883876"/>
      <w:r>
        <w:rPr>
          <w:rFonts w:ascii="宋体" w:hAnsi="宋体"/>
        </w:rPr>
        <w:t>12.3.3 防止水土流失和废料废方处理</w:t>
      </w:r>
      <w:bookmarkEnd w:id="7588"/>
      <w:bookmarkEnd w:id="7589"/>
      <w:bookmarkEnd w:id="7590"/>
      <w:bookmarkEnd w:id="7591"/>
      <w:bookmarkEnd w:id="7592"/>
      <w:bookmarkEnd w:id="7593"/>
    </w:p>
    <w:p>
      <w:pPr>
        <w:pStyle w:val="1280"/>
        <w:ind w:firstLine="440"/>
        <w:rPr>
          <w:rFonts w:ascii="宋体"/>
        </w:rPr>
      </w:pPr>
      <w:r>
        <w:rPr>
          <w:rFonts w:ascii="宋体"/>
        </w:rPr>
        <w:t>1、防水排水</w:t>
      </w:r>
    </w:p>
    <w:p>
      <w:pPr>
        <w:pStyle w:val="1280"/>
        <w:ind w:firstLine="440"/>
        <w:rPr>
          <w:rFonts w:ascii="宋体"/>
        </w:rPr>
      </w:pPr>
      <w:r>
        <w:rPr>
          <w:rFonts w:hint="eastAsia" w:ascii="宋体"/>
        </w:rPr>
        <w:t>（1）</w:t>
      </w:r>
      <w:r>
        <w:rPr>
          <w:rFonts w:ascii="宋体"/>
        </w:rPr>
        <w:t>在施工期间应始终保持工地的良好排水状态，修建一些临时排水渠道，并与永久性排水设施相连接，且不得引起淤积和冲刷。</w:t>
      </w:r>
    </w:p>
    <w:p>
      <w:pPr>
        <w:pStyle w:val="1280"/>
        <w:ind w:firstLine="440"/>
        <w:rPr>
          <w:rFonts w:ascii="宋体"/>
        </w:rPr>
      </w:pPr>
      <w:r>
        <w:rPr>
          <w:rFonts w:hint="eastAsia" w:ascii="宋体"/>
        </w:rPr>
        <w:t>（2）</w:t>
      </w:r>
      <w:r>
        <w:rPr>
          <w:rFonts w:ascii="宋体"/>
        </w:rPr>
        <w:t>因承包商未设置足够的排水设施致使土方工程遭受破坏时，其责任由承包商自负。</w:t>
      </w:r>
    </w:p>
    <w:p>
      <w:pPr>
        <w:pStyle w:val="1280"/>
        <w:ind w:firstLine="440"/>
        <w:rPr>
          <w:rFonts w:ascii="宋体"/>
        </w:rPr>
      </w:pPr>
      <w:r>
        <w:rPr>
          <w:rFonts w:hint="eastAsia" w:ascii="宋体"/>
        </w:rPr>
        <w:t>（3）</w:t>
      </w:r>
      <w:r>
        <w:rPr>
          <w:rFonts w:ascii="宋体"/>
        </w:rPr>
        <w:t>雨季填筑路堤应随挖、随运、随填、随压实，依次进行；每层表面应筑成适当的横坡，使不积水。</w:t>
      </w:r>
    </w:p>
    <w:p>
      <w:pPr>
        <w:pStyle w:val="1280"/>
        <w:ind w:firstLine="440"/>
        <w:rPr>
          <w:rFonts w:ascii="宋体"/>
        </w:rPr>
      </w:pPr>
      <w:r>
        <w:rPr>
          <w:rFonts w:ascii="宋体"/>
        </w:rPr>
        <w:t>2、冲刷与淤积</w:t>
      </w:r>
    </w:p>
    <w:p>
      <w:pPr>
        <w:pStyle w:val="1280"/>
        <w:ind w:firstLine="440"/>
        <w:rPr>
          <w:rFonts w:ascii="宋体"/>
        </w:rPr>
      </w:pPr>
      <w:r>
        <w:rPr>
          <w:rFonts w:hint="eastAsia" w:ascii="宋体"/>
        </w:rPr>
        <w:t>（1）</w:t>
      </w:r>
      <w:r>
        <w:rPr>
          <w:rFonts w:ascii="宋体"/>
        </w:rPr>
        <w:t>承包商应采取有效预防措施，防止施工场所占用的土地或临时使用的土地受到冲刷。</w:t>
      </w:r>
    </w:p>
    <w:p>
      <w:pPr>
        <w:pStyle w:val="1280"/>
        <w:ind w:firstLine="440"/>
        <w:rPr>
          <w:rFonts w:ascii="宋体"/>
        </w:rPr>
      </w:pPr>
      <w:r>
        <w:rPr>
          <w:rFonts w:hint="eastAsia" w:ascii="宋体"/>
        </w:rPr>
        <w:t>（2）</w:t>
      </w:r>
      <w:r>
        <w:rPr>
          <w:rFonts w:ascii="宋体"/>
        </w:rPr>
        <w:t>承包商应采取有效预防措施，防止从本工程施工中开挖的土石材料，对河流、水道、灌溉渠或排水系统产生淤积或堵塞。</w:t>
      </w:r>
    </w:p>
    <w:p>
      <w:pPr>
        <w:pStyle w:val="1280"/>
        <w:ind w:firstLine="440"/>
        <w:rPr>
          <w:rFonts w:ascii="宋体"/>
        </w:rPr>
      </w:pPr>
      <w:r>
        <w:rPr>
          <w:rFonts w:hint="eastAsia" w:ascii="宋体"/>
        </w:rPr>
        <w:t>（3）</w:t>
      </w:r>
      <w:r>
        <w:rPr>
          <w:rFonts w:ascii="宋体"/>
        </w:rPr>
        <w:t>施工中的临时排水系统，应能最大限度地减少水土流失及对水文状态的改变。</w:t>
      </w:r>
    </w:p>
    <w:p>
      <w:pPr>
        <w:pStyle w:val="1280"/>
        <w:ind w:firstLine="440"/>
        <w:rPr>
          <w:rFonts w:ascii="宋体"/>
        </w:rPr>
      </w:pPr>
      <w:r>
        <w:rPr>
          <w:rFonts w:hint="eastAsia" w:ascii="宋体"/>
        </w:rPr>
        <w:t>（4）</w:t>
      </w:r>
      <w:r>
        <w:rPr>
          <w:rFonts w:ascii="宋体"/>
        </w:rPr>
        <w:t>开挖或填筑的土质路基边坡应及时采取防护措施，防止雨季到来时水流对坡面的冲刷而影响排水系统，减少对附近水域的污染。</w:t>
      </w:r>
    </w:p>
    <w:p>
      <w:pPr>
        <w:pStyle w:val="1280"/>
        <w:ind w:firstLine="440"/>
        <w:rPr>
          <w:rFonts w:ascii="宋体"/>
        </w:rPr>
      </w:pPr>
      <w:r>
        <w:rPr>
          <w:rFonts w:hint="eastAsia" w:ascii="宋体"/>
        </w:rPr>
        <w:t>（5）</w:t>
      </w:r>
      <w:r>
        <w:rPr>
          <w:rFonts w:ascii="宋体"/>
        </w:rPr>
        <w:t>承包商不管出于任何需要，未经项目监理的事先书面同意，不得干扰河道、水道或现有灌溉或排水系统的自然流动。</w:t>
      </w:r>
    </w:p>
    <w:p>
      <w:pPr>
        <w:pStyle w:val="1280"/>
        <w:ind w:firstLine="440"/>
        <w:rPr>
          <w:rFonts w:ascii="宋体"/>
        </w:rPr>
      </w:pPr>
      <w:r>
        <w:rPr>
          <w:rFonts w:ascii="宋体"/>
        </w:rPr>
        <w:t>3、废料废方的处理</w:t>
      </w:r>
    </w:p>
    <w:p>
      <w:pPr>
        <w:pStyle w:val="1280"/>
        <w:ind w:firstLine="440"/>
        <w:rPr>
          <w:rFonts w:ascii="宋体"/>
        </w:rPr>
      </w:pPr>
      <w:r>
        <w:rPr>
          <w:rFonts w:hint="eastAsia" w:ascii="宋体"/>
        </w:rPr>
        <w:t>（1）</w:t>
      </w:r>
      <w:r>
        <w:rPr>
          <w:rFonts w:ascii="宋体"/>
        </w:rPr>
        <w:t>清理场地的废料和土石方工程的废方处理，不得影响排灌系统及农田水利设施。应按图纸规定或项目监理的指示在适当地点设置弃土场，有条件时，力求少占土地，并结合改地造田。</w:t>
      </w:r>
    </w:p>
    <w:p>
      <w:pPr>
        <w:pStyle w:val="1280"/>
        <w:ind w:firstLine="440"/>
        <w:rPr>
          <w:rFonts w:ascii="宋体"/>
        </w:rPr>
      </w:pPr>
      <w:r>
        <w:rPr>
          <w:rFonts w:hint="eastAsia" w:ascii="宋体"/>
        </w:rPr>
        <w:t>（2）</w:t>
      </w:r>
      <w:r>
        <w:rPr>
          <w:rFonts w:ascii="宋体"/>
        </w:rPr>
        <w:t>当设置弃土堆时，应按《公路路基施工技术规范》(JTG F10-2006)的规定执行。</w:t>
      </w:r>
    </w:p>
    <w:p>
      <w:pPr>
        <w:pStyle w:val="1280"/>
        <w:ind w:firstLine="440"/>
        <w:rPr>
          <w:rFonts w:ascii="宋体"/>
        </w:rPr>
      </w:pPr>
      <w:r>
        <w:rPr>
          <w:rFonts w:hint="eastAsia" w:ascii="宋体"/>
        </w:rPr>
        <w:t>（3）</w:t>
      </w:r>
      <w:r>
        <w:rPr>
          <w:rFonts w:ascii="宋体"/>
        </w:rPr>
        <w:t>桥梁施工过程中的泥浆及废弃物等，应在工程完工时即时清除干净，以免堵塞河道和妨碍交通。</w:t>
      </w:r>
    </w:p>
    <w:p>
      <w:pPr>
        <w:pStyle w:val="1280"/>
        <w:ind w:firstLine="440"/>
        <w:rPr>
          <w:rFonts w:ascii="宋体"/>
        </w:rPr>
      </w:pPr>
      <w:r>
        <w:rPr>
          <w:rFonts w:hint="eastAsia" w:ascii="宋体"/>
        </w:rPr>
        <w:t>（4）</w:t>
      </w:r>
      <w:r>
        <w:rPr>
          <w:rFonts w:ascii="宋体"/>
        </w:rPr>
        <w:t>挖方工程及隧道工程的大型弃方场地，应采取以下水土保持措施：</w:t>
      </w:r>
    </w:p>
    <w:p>
      <w:pPr>
        <w:pStyle w:val="1280"/>
        <w:ind w:firstLine="440"/>
        <w:rPr>
          <w:rFonts w:ascii="宋体"/>
        </w:rPr>
      </w:pPr>
      <w:r>
        <w:rPr>
          <w:rFonts w:ascii="宋体"/>
        </w:rPr>
        <w:t>a</w:t>
      </w:r>
      <w:r>
        <w:rPr>
          <w:rFonts w:hint="eastAsia" w:ascii="宋体"/>
        </w:rPr>
        <w:t>、</w:t>
      </w:r>
      <w:r>
        <w:rPr>
          <w:rFonts w:ascii="宋体"/>
        </w:rPr>
        <w:t>废方堆放点应统筹安排，堆放点应远离河道，尽量不要压盖植被，尽可能选择荒地；</w:t>
      </w:r>
    </w:p>
    <w:p>
      <w:pPr>
        <w:pStyle w:val="1280"/>
        <w:ind w:firstLine="440"/>
        <w:rPr>
          <w:rFonts w:ascii="宋体"/>
        </w:rPr>
      </w:pPr>
      <w:r>
        <w:rPr>
          <w:rFonts w:ascii="宋体"/>
        </w:rPr>
        <w:t>b</w:t>
      </w:r>
      <w:r>
        <w:rPr>
          <w:rFonts w:hint="eastAsia" w:ascii="宋体"/>
        </w:rPr>
        <w:t>、</w:t>
      </w:r>
      <w:r>
        <w:rPr>
          <w:rFonts w:ascii="宋体"/>
        </w:rPr>
        <w:t>及时对弃方进行压实，并在其表面进行植被覆盖，可以种植草皮、灌木或树木，既可防止水土流失，又能美化环境；</w:t>
      </w:r>
    </w:p>
    <w:p>
      <w:pPr>
        <w:pStyle w:val="1280"/>
        <w:ind w:firstLine="440"/>
        <w:rPr>
          <w:rFonts w:ascii="宋体"/>
        </w:rPr>
      </w:pPr>
      <w:r>
        <w:rPr>
          <w:rFonts w:ascii="宋体"/>
        </w:rPr>
        <w:t>c</w:t>
      </w:r>
      <w:r>
        <w:rPr>
          <w:rFonts w:hint="eastAsia" w:ascii="宋体"/>
        </w:rPr>
        <w:t>、</w:t>
      </w:r>
      <w:r>
        <w:rPr>
          <w:rFonts w:ascii="宋体"/>
        </w:rPr>
        <w:t>尽可能对弃土方整平用作耕地；</w:t>
      </w:r>
    </w:p>
    <w:p>
      <w:pPr>
        <w:pStyle w:val="1280"/>
        <w:ind w:firstLine="440"/>
        <w:rPr>
          <w:rFonts w:ascii="宋体"/>
        </w:rPr>
      </w:pPr>
      <w:r>
        <w:rPr>
          <w:rFonts w:ascii="宋体"/>
        </w:rPr>
        <w:t>d</w:t>
      </w:r>
      <w:r>
        <w:rPr>
          <w:rFonts w:hint="eastAsia" w:ascii="宋体"/>
        </w:rPr>
        <w:t>、</w:t>
      </w:r>
      <w:r>
        <w:rPr>
          <w:rFonts w:ascii="宋体"/>
        </w:rPr>
        <w:t>隧道弃渣点应选择植被稀疏的荒地，弃渣的下部和边角宜砌筑拦渣坝或墙，以防止水土流失。</w:t>
      </w:r>
    </w:p>
    <w:p>
      <w:pPr>
        <w:pStyle w:val="1284"/>
        <w:rPr>
          <w:rFonts w:ascii="宋体" w:hAnsi="宋体"/>
        </w:rPr>
      </w:pPr>
      <w:bookmarkStart w:id="7594" w:name="_Toc517382783"/>
      <w:bookmarkStart w:id="7595" w:name="_Toc517602472"/>
      <w:bookmarkStart w:id="7596" w:name="_Toc521492431"/>
      <w:bookmarkStart w:id="7597" w:name="_Toc521493288"/>
      <w:bookmarkStart w:id="7598" w:name="_Toc521493962"/>
      <w:bookmarkStart w:id="7599" w:name="_Toc106883877"/>
      <w:r>
        <w:rPr>
          <w:rFonts w:ascii="宋体" w:hAnsi="宋体"/>
        </w:rPr>
        <w:t>12.3.4 防止和减轻水、大气受污染</w:t>
      </w:r>
      <w:bookmarkEnd w:id="7594"/>
      <w:bookmarkEnd w:id="7595"/>
      <w:bookmarkEnd w:id="7596"/>
      <w:bookmarkEnd w:id="7597"/>
      <w:bookmarkEnd w:id="7598"/>
      <w:bookmarkEnd w:id="7599"/>
    </w:p>
    <w:p>
      <w:pPr>
        <w:pStyle w:val="1280"/>
        <w:ind w:firstLine="440"/>
        <w:rPr>
          <w:rFonts w:ascii="宋体"/>
        </w:rPr>
      </w:pPr>
      <w:r>
        <w:rPr>
          <w:rFonts w:ascii="宋体"/>
        </w:rPr>
        <w:t>1、保护水质</w:t>
      </w:r>
    </w:p>
    <w:p>
      <w:pPr>
        <w:pStyle w:val="1280"/>
        <w:ind w:firstLine="440"/>
        <w:rPr>
          <w:rFonts w:ascii="宋体"/>
        </w:rPr>
      </w:pPr>
      <w:r>
        <w:rPr>
          <w:rFonts w:hint="eastAsia" w:ascii="宋体"/>
        </w:rPr>
        <w:t>（1）</w:t>
      </w:r>
      <w:r>
        <w:rPr>
          <w:rFonts w:ascii="宋体"/>
        </w:rPr>
        <w:t>施工废水、生活污水不得直接排入农田、耕地、灌溉渠和水库，不得排入饮用水源。</w:t>
      </w:r>
    </w:p>
    <w:p>
      <w:pPr>
        <w:pStyle w:val="1280"/>
        <w:ind w:firstLine="440"/>
        <w:rPr>
          <w:rFonts w:ascii="宋体"/>
        </w:rPr>
      </w:pPr>
      <w:r>
        <w:rPr>
          <w:rFonts w:hint="eastAsia" w:ascii="宋体"/>
        </w:rPr>
        <w:t>（2）</w:t>
      </w:r>
      <w:r>
        <w:rPr>
          <w:rFonts w:ascii="宋体"/>
        </w:rPr>
        <w:t>施工区域，砂石料场，在施工期间和完工以后应妥善处理，以减少对河道、溪流的侵蚀，防止沉渣进入河道或溪流。</w:t>
      </w:r>
    </w:p>
    <w:p>
      <w:pPr>
        <w:pStyle w:val="1280"/>
        <w:ind w:firstLine="440"/>
        <w:rPr>
          <w:rFonts w:ascii="宋体"/>
        </w:rPr>
      </w:pPr>
      <w:r>
        <w:rPr>
          <w:rFonts w:hint="eastAsia" w:ascii="宋体"/>
        </w:rPr>
        <w:t>（3）</w:t>
      </w:r>
      <w:r>
        <w:rPr>
          <w:rFonts w:ascii="宋体"/>
        </w:rPr>
        <w:t>冲洗集料或含有沉积物的操作用水，应采取过滤、沉淀池处理或其它措施，使能做到达标排放。</w:t>
      </w:r>
    </w:p>
    <w:p>
      <w:pPr>
        <w:pStyle w:val="1280"/>
        <w:ind w:firstLine="440"/>
        <w:rPr>
          <w:rFonts w:ascii="宋体"/>
        </w:rPr>
      </w:pPr>
      <w:r>
        <w:rPr>
          <w:rFonts w:hint="eastAsia" w:ascii="宋体"/>
        </w:rPr>
        <w:t>（4）</w:t>
      </w:r>
      <w:r>
        <w:rPr>
          <w:rFonts w:ascii="宋体"/>
        </w:rPr>
        <w:t>施工期间，施工物料如沥青、水泥、油料、化学品等应堆放管理严格，防止在雨季或暴雨将物料随雨水径流排入地表及附近水域造成污染。</w:t>
      </w:r>
    </w:p>
    <w:p>
      <w:pPr>
        <w:pStyle w:val="1280"/>
        <w:ind w:firstLine="440"/>
        <w:rPr>
          <w:rFonts w:ascii="宋体"/>
        </w:rPr>
      </w:pPr>
      <w:r>
        <w:rPr>
          <w:rFonts w:hint="eastAsia" w:ascii="宋体"/>
        </w:rPr>
        <w:t>（5）</w:t>
      </w:r>
      <w:r>
        <w:rPr>
          <w:rFonts w:ascii="宋体"/>
        </w:rPr>
        <w:t>施工机械应防止严重漏油，禁止机械在运转中产生的油污水未经处理就直接排放，或维修施工机械时油污水直接排放。</w:t>
      </w:r>
    </w:p>
    <w:p>
      <w:pPr>
        <w:pStyle w:val="1280"/>
        <w:ind w:firstLine="440"/>
        <w:rPr>
          <w:rFonts w:ascii="宋体"/>
        </w:rPr>
      </w:pPr>
      <w:r>
        <w:rPr>
          <w:rFonts w:ascii="宋体"/>
        </w:rPr>
        <w:t>2、控制扬尘</w:t>
      </w:r>
    </w:p>
    <w:p>
      <w:pPr>
        <w:pStyle w:val="1280"/>
        <w:ind w:firstLine="440"/>
        <w:rPr>
          <w:rFonts w:ascii="宋体"/>
        </w:rPr>
      </w:pPr>
      <w:r>
        <w:rPr>
          <w:rFonts w:hint="eastAsia" w:ascii="宋体"/>
        </w:rPr>
        <w:t>（1）</w:t>
      </w:r>
      <w:r>
        <w:rPr>
          <w:rFonts w:ascii="宋体"/>
        </w:rPr>
        <w:t>为减少施工作业产生的灰尘，应随时进行洒水或其他抑尘措施，使不出现明显的降尘。</w:t>
      </w:r>
    </w:p>
    <w:p>
      <w:pPr>
        <w:pStyle w:val="1280"/>
        <w:ind w:firstLine="440"/>
        <w:rPr>
          <w:rFonts w:ascii="宋体"/>
        </w:rPr>
      </w:pPr>
      <w:r>
        <w:rPr>
          <w:rFonts w:hint="eastAsia" w:ascii="宋体"/>
        </w:rPr>
        <w:t>（2）</w:t>
      </w:r>
      <w:r>
        <w:rPr>
          <w:rFonts w:ascii="宋体"/>
        </w:rPr>
        <w:t>易于引起粉尘的细料或松散料应予遮盖或适当洒水润湿。运输时应用帆布、盖套及类似遮盖物覆盖。</w:t>
      </w:r>
    </w:p>
    <w:p>
      <w:pPr>
        <w:pStyle w:val="1280"/>
        <w:ind w:firstLine="440"/>
        <w:rPr>
          <w:rFonts w:ascii="宋体"/>
        </w:rPr>
      </w:pPr>
      <w:r>
        <w:rPr>
          <w:rFonts w:hint="eastAsia" w:ascii="宋体"/>
        </w:rPr>
        <w:t>（3）</w:t>
      </w:r>
      <w:r>
        <w:rPr>
          <w:rFonts w:ascii="宋体"/>
        </w:rPr>
        <w:t>运转时有粉尘发生的施工场地，如水泥混凝土拌和机站(场)、大型轧石机场、沥青拌和机站(场)等投料器均应有防尘设备。在这些场所作业的工作人员，应配备必要的劳保防护用品。</w:t>
      </w:r>
    </w:p>
    <w:p>
      <w:pPr>
        <w:pStyle w:val="1280"/>
        <w:ind w:firstLine="440"/>
        <w:rPr>
          <w:rFonts w:ascii="宋体"/>
        </w:rPr>
      </w:pPr>
      <w:r>
        <w:rPr>
          <w:rFonts w:hint="eastAsia" w:ascii="宋体"/>
        </w:rPr>
        <w:t>（4）</w:t>
      </w:r>
      <w:r>
        <w:rPr>
          <w:rFonts w:ascii="宋体"/>
        </w:rPr>
        <w:t>如果承包商预防措施不力，并已对邻近的河流、湖泊、池塘、农田或卫生环境造成了危害，则由此而引起的一切损失及后果，应有承包商负责。</w:t>
      </w:r>
    </w:p>
    <w:p>
      <w:pPr>
        <w:pStyle w:val="1280"/>
        <w:ind w:firstLine="440"/>
        <w:rPr>
          <w:rFonts w:ascii="宋体"/>
        </w:rPr>
      </w:pPr>
      <w:r>
        <w:rPr>
          <w:rFonts w:ascii="宋体"/>
        </w:rPr>
        <w:t>3、减少噪声、废气污染</w:t>
      </w:r>
    </w:p>
    <w:p>
      <w:pPr>
        <w:pStyle w:val="1280"/>
        <w:ind w:firstLine="440"/>
        <w:rPr>
          <w:rFonts w:ascii="宋体"/>
        </w:rPr>
      </w:pPr>
      <w:r>
        <w:rPr>
          <w:rFonts w:hint="eastAsia" w:ascii="宋体"/>
        </w:rPr>
        <w:t>（1）</w:t>
      </w:r>
      <w:r>
        <w:rPr>
          <w:rFonts w:ascii="宋体"/>
        </w:rPr>
        <w:t>各种临时设施和场地，如堆料场、加工厂、轧石厂、沥青厂等距居民区不宜小于300m，而且应设于居民区主要风向的下风处。</w:t>
      </w:r>
    </w:p>
    <w:p>
      <w:pPr>
        <w:pStyle w:val="1280"/>
        <w:ind w:firstLine="440"/>
        <w:rPr>
          <w:rFonts w:ascii="宋体"/>
        </w:rPr>
      </w:pPr>
      <w:r>
        <w:rPr>
          <w:rFonts w:hint="eastAsia" w:ascii="宋体"/>
        </w:rPr>
        <w:t>（2）</w:t>
      </w:r>
      <w:r>
        <w:rPr>
          <w:rFonts w:ascii="宋体"/>
        </w:rPr>
        <w:t>使用机械设备的工艺操作，要尽量减少噪声、废气等的污染；建筑施工场地的噪声应符合《建筑施工场界噪声限值》</w:t>
      </w:r>
      <w:r>
        <w:rPr>
          <w:rFonts w:hint="eastAsia" w:ascii="宋体"/>
        </w:rPr>
        <w:t>（</w:t>
      </w:r>
      <w:r>
        <w:rPr>
          <w:rFonts w:ascii="宋体"/>
        </w:rPr>
        <w:t>GB 12523-l990</w:t>
      </w:r>
      <w:r>
        <w:rPr>
          <w:rFonts w:hint="eastAsia" w:ascii="宋体"/>
        </w:rPr>
        <w:t>）</w:t>
      </w:r>
      <w:r>
        <w:rPr>
          <w:rFonts w:ascii="宋体"/>
        </w:rPr>
        <w:t>的规定，并应遵守当地有关部门对夜间施工的规定。</w:t>
      </w:r>
    </w:p>
    <w:p>
      <w:pPr>
        <w:pStyle w:val="1284"/>
        <w:rPr>
          <w:rFonts w:ascii="宋体" w:hAnsi="宋体"/>
        </w:rPr>
      </w:pPr>
      <w:bookmarkStart w:id="7600" w:name="_Toc517382784"/>
      <w:bookmarkStart w:id="7601" w:name="_Toc517602473"/>
      <w:bookmarkStart w:id="7602" w:name="_Toc521492432"/>
      <w:bookmarkStart w:id="7603" w:name="_Toc521493289"/>
      <w:bookmarkStart w:id="7604" w:name="_Toc521493963"/>
      <w:bookmarkStart w:id="7605" w:name="_Toc106883878"/>
      <w:r>
        <w:rPr>
          <w:rFonts w:ascii="宋体" w:hAnsi="宋体"/>
        </w:rPr>
        <w:t>12.3.5 保护绿色植被</w:t>
      </w:r>
      <w:bookmarkEnd w:id="7600"/>
      <w:bookmarkEnd w:id="7601"/>
      <w:bookmarkEnd w:id="7602"/>
      <w:bookmarkEnd w:id="7603"/>
      <w:bookmarkEnd w:id="7604"/>
      <w:bookmarkEnd w:id="7605"/>
    </w:p>
    <w:p>
      <w:pPr>
        <w:pStyle w:val="1280"/>
        <w:ind w:firstLine="440"/>
        <w:rPr>
          <w:rFonts w:ascii="宋体"/>
        </w:rPr>
      </w:pPr>
      <w:r>
        <w:rPr>
          <w:rFonts w:ascii="宋体"/>
        </w:rPr>
        <w:t>1、承包商应尽量保护公路用地范围之外的现有绿色植被。若因修建临时工程破坏了现有的绿色植被，应负责在拆除临时工程时予以恢复。</w:t>
      </w:r>
    </w:p>
    <w:p>
      <w:pPr>
        <w:pStyle w:val="1280"/>
        <w:ind w:firstLine="440"/>
        <w:rPr>
          <w:rFonts w:ascii="宋体"/>
        </w:rPr>
      </w:pPr>
      <w:r>
        <w:rPr>
          <w:rFonts w:ascii="宋体"/>
        </w:rPr>
        <w:t>2、要保护公路两旁的古树名木和法定保护的树种，即使处在公路用地范围内，有可能时也要尽量设法保护。</w:t>
      </w:r>
    </w:p>
    <w:p>
      <w:pPr>
        <w:pStyle w:val="1280"/>
        <w:ind w:firstLine="440"/>
        <w:rPr>
          <w:rFonts w:ascii="宋体"/>
        </w:rPr>
      </w:pPr>
      <w:r>
        <w:rPr>
          <w:rFonts w:ascii="宋体"/>
        </w:rPr>
        <w:t>3、施工期间工程破坏植被的面积应严格控制，除了不可避免的工程占地、砍伐以外，不应再发生其它形式的人为破坏。</w:t>
      </w:r>
    </w:p>
    <w:p>
      <w:pPr>
        <w:pStyle w:val="1284"/>
        <w:rPr>
          <w:rFonts w:ascii="宋体" w:hAnsi="宋体"/>
        </w:rPr>
      </w:pPr>
      <w:bookmarkStart w:id="7606" w:name="_Toc517382785"/>
      <w:bookmarkStart w:id="7607" w:name="_Toc517602474"/>
      <w:bookmarkStart w:id="7608" w:name="_Toc521492433"/>
      <w:bookmarkStart w:id="7609" w:name="_Toc521493290"/>
      <w:bookmarkStart w:id="7610" w:name="_Toc521493964"/>
      <w:bookmarkStart w:id="7611" w:name="_Toc106883879"/>
      <w:r>
        <w:rPr>
          <w:rFonts w:ascii="宋体" w:hAnsi="宋体"/>
        </w:rPr>
        <w:t>12.3.6 土地资源的保护</w:t>
      </w:r>
      <w:bookmarkEnd w:id="7606"/>
      <w:bookmarkEnd w:id="7607"/>
      <w:bookmarkEnd w:id="7608"/>
      <w:bookmarkEnd w:id="7609"/>
      <w:bookmarkEnd w:id="7610"/>
      <w:bookmarkEnd w:id="7611"/>
    </w:p>
    <w:p>
      <w:pPr>
        <w:pStyle w:val="1280"/>
        <w:ind w:firstLine="440"/>
        <w:rPr>
          <w:rFonts w:ascii="宋体"/>
        </w:rPr>
      </w:pPr>
      <w:r>
        <w:rPr>
          <w:rFonts w:ascii="宋体"/>
        </w:rPr>
        <w:t>1、妥善处理废方，山坡弃土应尽量避免破坏或掩埋路基下侧的林木、农田及其它工程设施。沿河弃土应避免壅塞河道、改变水流方向和抬高水位而淹没或冲毁农田、房屋。应重视弃土堆的复垦，有条件时，宜在弃土堆顶面绿化，或整平成为耕地。</w:t>
      </w:r>
    </w:p>
    <w:p>
      <w:pPr>
        <w:pStyle w:val="1280"/>
        <w:ind w:firstLine="440"/>
        <w:rPr>
          <w:rFonts w:ascii="宋体"/>
        </w:rPr>
      </w:pPr>
      <w:r>
        <w:rPr>
          <w:rFonts w:ascii="宋体"/>
        </w:rPr>
        <w:t>2、取土坑应选在高地、荒地上，尽量不占耕地；当必须从耕地取土时，应将表面种植土铲除，集中成堆保存，并在工程交工前做好还地工作。对于深而宽的取土坑，可根据当地需要，用作蓄水池或鱼塘。在多年的经济作物区或重要的绿化带，不得设置取土坑。</w:t>
      </w:r>
    </w:p>
    <w:p>
      <w:pPr>
        <w:pStyle w:val="1280"/>
        <w:ind w:firstLine="440"/>
        <w:rPr>
          <w:rFonts w:ascii="宋体"/>
        </w:rPr>
      </w:pPr>
      <w:r>
        <w:rPr>
          <w:rFonts w:ascii="宋体"/>
        </w:rPr>
        <w:t>3、在河床采砂砾材料时，必须注意防止对河流状态的改变，并应符合中华人民共和国水法的规定，即：“在行洪、排涝河流和航道范围内开采砂石、砂金，必须经河道主管部门批准，按照批准的范围和作业方式开采，涉及航道的，由河道主管部门会同航道主管部门批准。</w:t>
      </w:r>
    </w:p>
    <w:p>
      <w:pPr>
        <w:pStyle w:val="1280"/>
        <w:ind w:firstLine="440"/>
        <w:rPr>
          <w:rFonts w:ascii="宋体"/>
        </w:rPr>
      </w:pPr>
      <w:r>
        <w:rPr>
          <w:rFonts w:ascii="宋体"/>
        </w:rPr>
        <w:t>4、.采石场的位置，应结合环境保护的要求选择，其中包括噪声、爆破引起的地下振动、公共安全问题等。采石场的位置，应征得当地政府及环境管理部门的同意并办理必要的手续。</w:t>
      </w:r>
    </w:p>
    <w:p>
      <w:pPr>
        <w:pStyle w:val="1280"/>
        <w:ind w:firstLine="440"/>
        <w:rPr>
          <w:rFonts w:ascii="宋体"/>
        </w:rPr>
      </w:pPr>
      <w:r>
        <w:rPr>
          <w:rFonts w:ascii="宋体"/>
        </w:rPr>
        <w:t>5、对施工人员加强保护自然资源及野生动植物的教育，在雇用合同中规定严禁偷猎和随意砍伐树木。</w:t>
      </w:r>
    </w:p>
    <w:p>
      <w:pPr>
        <w:pStyle w:val="1284"/>
        <w:outlineLvl w:val="0"/>
        <w:rPr>
          <w:rFonts w:ascii="宋体" w:hAnsi="宋体"/>
        </w:rPr>
      </w:pPr>
      <w:bookmarkStart w:id="7612" w:name="_Toc517382786"/>
      <w:bookmarkStart w:id="7613" w:name="_Toc517602475"/>
      <w:bookmarkStart w:id="7614" w:name="_Toc521492434"/>
      <w:bookmarkStart w:id="7615" w:name="_Toc521493291"/>
      <w:bookmarkStart w:id="7616" w:name="_Toc521493965"/>
      <w:bookmarkStart w:id="7617" w:name="_Toc106883880"/>
      <w:r>
        <w:rPr>
          <w:rFonts w:ascii="宋体" w:hAnsi="宋体"/>
        </w:rPr>
        <w:t>12.3.7 现有公用设施的保护</w:t>
      </w:r>
      <w:bookmarkEnd w:id="7612"/>
      <w:bookmarkEnd w:id="7613"/>
      <w:bookmarkEnd w:id="7614"/>
      <w:bookmarkEnd w:id="7615"/>
      <w:bookmarkEnd w:id="7616"/>
      <w:bookmarkEnd w:id="7617"/>
    </w:p>
    <w:p>
      <w:pPr>
        <w:pStyle w:val="1280"/>
        <w:ind w:firstLine="440"/>
        <w:rPr>
          <w:rFonts w:ascii="宋体"/>
        </w:rPr>
      </w:pPr>
      <w:r>
        <w:rPr>
          <w:rFonts w:ascii="宋体"/>
        </w:rPr>
        <w:t>1、对于受本工程影响或正在受影响的一切公用设施与结构物。承包商应在本工程施工期间采取一切适当措施加以保护。</w:t>
      </w:r>
    </w:p>
    <w:p>
      <w:pPr>
        <w:pStyle w:val="1280"/>
        <w:ind w:firstLine="440"/>
        <w:rPr>
          <w:rFonts w:ascii="宋体"/>
        </w:rPr>
      </w:pPr>
      <w:r>
        <w:rPr>
          <w:rFonts w:ascii="宋体"/>
        </w:rPr>
        <w:t>2、靠近公用设施的开挖作业，承包商应通知有关部门，并邀请有关部门代表在施工时到场。承包商应将上述通知与邀请的副本提交项目监理备查。</w:t>
      </w:r>
    </w:p>
    <w:p>
      <w:pPr>
        <w:pStyle w:val="1281"/>
        <w:outlineLvl w:val="0"/>
        <w:rPr>
          <w:rFonts w:ascii="宋体" w:hAnsi="宋体"/>
          <w:color w:val="auto"/>
        </w:rPr>
      </w:pPr>
      <w:bookmarkStart w:id="7618" w:name="_Toc517382787"/>
      <w:bookmarkStart w:id="7619" w:name="_Toc517602476"/>
      <w:bookmarkStart w:id="7620" w:name="_Toc521492435"/>
      <w:bookmarkStart w:id="7621" w:name="_Toc521493292"/>
      <w:bookmarkStart w:id="7622" w:name="_Toc521493966"/>
      <w:bookmarkStart w:id="7623" w:name="_Toc106883881"/>
      <w:r>
        <w:rPr>
          <w:rFonts w:ascii="宋体" w:hAnsi="宋体"/>
          <w:color w:val="auto"/>
        </w:rPr>
        <w:t>1</w:t>
      </w:r>
      <w:r>
        <w:rPr>
          <w:rFonts w:hint="eastAsia" w:ascii="宋体" w:hAnsi="宋体"/>
          <w:color w:val="auto"/>
        </w:rPr>
        <w:t>2</w:t>
      </w:r>
      <w:r>
        <w:rPr>
          <w:rFonts w:ascii="宋体" w:hAnsi="宋体"/>
          <w:color w:val="auto"/>
        </w:rPr>
        <w:t>.4 计量与支付</w:t>
      </w:r>
      <w:bookmarkEnd w:id="7618"/>
      <w:bookmarkEnd w:id="7619"/>
      <w:bookmarkEnd w:id="7620"/>
      <w:bookmarkEnd w:id="7621"/>
      <w:bookmarkEnd w:id="7622"/>
      <w:bookmarkEnd w:id="7623"/>
    </w:p>
    <w:p>
      <w:pPr>
        <w:pStyle w:val="1280"/>
        <w:ind w:firstLine="440"/>
        <w:rPr>
          <w:rFonts w:ascii="宋体"/>
        </w:rPr>
      </w:pPr>
      <w:r>
        <w:rPr>
          <w:rFonts w:ascii="宋体"/>
        </w:rPr>
        <w:t>本节所采取的各项措施，是各有关工程施工期间在环境保护方面应当注意和必须做到的工作，其费用已在本规范相应子目内列出，本节不予单独计量与支付。</w:t>
      </w:r>
    </w:p>
    <w:sectPr>
      <w:footerReference r:id="rId5" w:type="default"/>
      <w:pgSz w:w="11906" w:h="16838"/>
      <w:pgMar w:top="1701" w:right="1701" w:bottom="1701" w:left="1701" w:header="1134" w:footer="1134" w:gutter="0"/>
      <w:cols w:space="425" w:num="1"/>
      <w:docGrid w:type="linesAndChars" w:linePitch="407" w:charSpace="20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Garamond">
    <w:panose1 w:val="02020502050306020203"/>
    <w:charset w:val="00"/>
    <w:family w:val="roman"/>
    <w:pitch w:val="default"/>
    <w:sig w:usb0="00000007" w:usb1="00000000" w:usb2="00000000" w:usb3="00000000" w:csb0="00000093" w:csb1="00000000"/>
  </w:font>
  <w:font w:name="仿宋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swiss"/>
    <w:pitch w:val="default"/>
    <w:sig w:usb0="80001AFF" w:usb1="0000396B" w:usb2="00000000" w:usb3="00000000" w:csb0="200000BF" w:csb1="D7F7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姚体">
    <w:altName w:val="宋体"/>
    <w:panose1 w:val="02010601030101010101"/>
    <w:charset w:val="86"/>
    <w:family w:val="auto"/>
    <w:pitch w:val="default"/>
    <w:sig w:usb0="00000000" w:usb1="00000000" w:usb2="00000000" w:usb3="00000000" w:csb0="00040000" w:csb1="00000000"/>
  </w:font>
  <w:font w:name="CG Times">
    <w:panose1 w:val="02020603050405020304"/>
    <w:charset w:val="00"/>
    <w:family w:val="roman"/>
    <w:pitch w:val="default"/>
    <w:sig w:usb0="00000007" w:usb1="00000000" w:usb2="00000000" w:usb3="00000000" w:csb0="00000093"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Arial Bold">
    <w:altName w:val="Arial"/>
    <w:panose1 w:val="020B0704020202020204"/>
    <w:charset w:val="00"/>
    <w:family w:val="auto"/>
    <w:pitch w:val="default"/>
    <w:sig w:usb0="00000000" w:usb1="00000000" w:usb2="00000009" w:usb3="00000000" w:csb0="000001FF" w:csb1="00000000"/>
  </w:font>
  <w:font w:name="MS Sans Serif">
    <w:altName w:val="Segoe Print"/>
    <w:panose1 w:val="020B0500000000000000"/>
    <w:charset w:val="00"/>
    <w:family w:val="swiss"/>
    <w:pitch w:val="default"/>
    <w:sig w:usb0="00000000" w:usb1="00000000" w:usb2="00000000" w:usb3="00000000" w:csb0="00000001"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Optima">
    <w:altName w:val="Arial"/>
    <w:panose1 w:val="00000000000000000000"/>
    <w:charset w:val="00"/>
    <w:family w:val="auto"/>
    <w:pitch w:val="default"/>
    <w:sig w:usb0="00000000" w:usb1="00000000" w:usb2="00000000" w:usb3="00000000" w:csb0="00000001" w:csb1="00000000"/>
  </w:font>
  <w:font w:name="MS Mincho">
    <w:panose1 w:val="02020609040205080304"/>
    <w:charset w:val="80"/>
    <w:family w:val="roman"/>
    <w:pitch w:val="default"/>
    <w:sig w:usb0="E00002FF" w:usb1="6AC7FDFB" w:usb2="00000012" w:usb3="00000000" w:csb0="4002009F" w:csb1="DFD70000"/>
  </w:font>
  <w:font w:name="PMingLiU">
    <w:panose1 w:val="02020500000000000000"/>
    <w:charset w:val="88"/>
    <w:family w:val="auto"/>
    <w:pitch w:val="default"/>
    <w:sig w:usb0="A00002FF" w:usb1="28CFFCFA" w:usb2="00000016" w:usb3="00000000" w:csb0="00100001" w:csb1="00000000"/>
  </w:font>
  <w:font w:name="Melior">
    <w:altName w:val="宋体"/>
    <w:panose1 w:val="00000000000000000000"/>
    <w:charset w:val="86"/>
    <w:family w:val="roma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RomanD">
    <w:altName w:val="Segoe Print"/>
    <w:panose1 w:val="00000400000000000000"/>
    <w:charset w:val="00"/>
    <w:family w:val="auto"/>
    <w:pitch w:val="default"/>
    <w:sig w:usb0="00000000" w:usb1="00000000" w:usb2="00000000" w:usb3="00000000" w:csb0="000001FF" w:csb1="00000000"/>
  </w:font>
  <w:font w:name="font-weight : 400">
    <w:altName w:val="微软雅黑"/>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文鼎小标宋简">
    <w:altName w:val="宋体"/>
    <w:panose1 w:val="00000000000000000000"/>
    <w:charset w:val="86"/>
    <w:family w:val="modern"/>
    <w:pitch w:val="default"/>
    <w:sig w:usb0="00000000" w:usb1="00000000" w:usb2="00000010" w:usb3="00000000" w:csb0="00040000" w:csb1="00000000"/>
  </w:font>
  <w:font w:name="Lucida Grande">
    <w:altName w:val="Times New Roman"/>
    <w:panose1 w:val="00000000000000000000"/>
    <w:charset w:val="00"/>
    <w:family w:val="roman"/>
    <w:pitch w:val="default"/>
    <w:sig w:usb0="00000000" w:usb1="00000000" w:usb2="00000000" w:usb3="00000000" w:csb0="00040001" w:csb1="00000000"/>
  </w:font>
  <w:font w:name="ヒラギノ角ゴ Pro W3">
    <w:altName w:val="Times New Roman"/>
    <w:panose1 w:val="00000000000000000000"/>
    <w:charset w:val="00"/>
    <w:family w:val="roman"/>
    <w:pitch w:val="default"/>
    <w:sig w:usb0="00000000" w:usb1="00000000" w:usb2="00000000" w:usb3="00000000" w:csb0="00040001" w:csb1="00000000"/>
  </w:font>
  <w:font w:name="BatangChe">
    <w:panose1 w:val="02030609000101010101"/>
    <w:charset w:val="81"/>
    <w:family w:val="modern"/>
    <w:pitch w:val="default"/>
    <w:sig w:usb0="B00002AF" w:usb1="69D77CFB" w:usb2="00000030" w:usb3="00000000" w:csb0="4008009F" w:csb1="DFD70000"/>
  </w:font>
  <w:font w:name="方正魏碑简体">
    <w:altName w:val="宋体"/>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left="0" w:hanging="120"/>
    </w:pPr>
    <w:r>
      <w:fldChar w:fldCharType="begin"/>
    </w:r>
    <w:r>
      <w:instrText xml:space="preserve">PAGE   \* MERGEFORMAT</w:instrText>
    </w:r>
    <w:r>
      <w:fldChar w:fldCharType="separate"/>
    </w:r>
    <w:r>
      <w:rPr>
        <w:lang w:val="zh-CN"/>
      </w:rPr>
      <w:t>v</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left="0" w:hanging="120"/>
    </w:pPr>
    <w:r>
      <w:fldChar w:fldCharType="begin"/>
    </w:r>
    <w:r>
      <w:instrText xml:space="preserve">PAGE   \* MERGEFORMAT</w:instrText>
    </w:r>
    <w:r>
      <w:fldChar w:fldCharType="separate"/>
    </w:r>
    <w:r>
      <w:rPr>
        <w:lang w:val="zh-CN"/>
      </w:rPr>
      <w:t>358</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eastAsia="黑体"/>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5990C"/>
    <w:multiLevelType w:val="singleLevel"/>
    <w:tmpl w:val="9835990C"/>
    <w:lvl w:ilvl="0" w:tentative="0">
      <w:start w:val="1"/>
      <w:numFmt w:val="decimal"/>
      <w:suff w:val="nothing"/>
      <w:lvlText w:val="%1、"/>
      <w:lvlJc w:val="left"/>
    </w:lvl>
  </w:abstractNum>
  <w:abstractNum w:abstractNumId="1">
    <w:nsid w:val="9855CC2E"/>
    <w:multiLevelType w:val="singleLevel"/>
    <w:tmpl w:val="9855CC2E"/>
    <w:lvl w:ilvl="0" w:tentative="0">
      <w:start w:val="1"/>
      <w:numFmt w:val="decimal"/>
      <w:lvlText w:val="(%1)"/>
      <w:lvlJc w:val="left"/>
      <w:pPr>
        <w:ind w:left="425" w:hanging="425"/>
      </w:pPr>
      <w:rPr>
        <w:rFonts w:hint="default"/>
      </w:rPr>
    </w:lvl>
  </w:abstractNum>
  <w:abstractNum w:abstractNumId="2">
    <w:nsid w:val="CC88DD2E"/>
    <w:multiLevelType w:val="singleLevel"/>
    <w:tmpl w:val="CC88DD2E"/>
    <w:lvl w:ilvl="0" w:tentative="0">
      <w:start w:val="3"/>
      <w:numFmt w:val="decimal"/>
      <w:suff w:val="nothing"/>
      <w:lvlText w:val="%1）"/>
      <w:lvlJc w:val="left"/>
      <w:pPr>
        <w:ind w:left="20"/>
      </w:pPr>
    </w:lvl>
  </w:abstractNum>
  <w:abstractNum w:abstractNumId="3">
    <w:nsid w:val="DDE48D9D"/>
    <w:multiLevelType w:val="singleLevel"/>
    <w:tmpl w:val="DDE48D9D"/>
    <w:lvl w:ilvl="0" w:tentative="0">
      <w:start w:val="1"/>
      <w:numFmt w:val="decimal"/>
      <w:lvlText w:val="(%1)"/>
      <w:lvlJc w:val="left"/>
      <w:pPr>
        <w:ind w:left="425" w:hanging="425"/>
      </w:pPr>
      <w:rPr>
        <w:rFonts w:hint="default"/>
      </w:rPr>
    </w:lvl>
  </w:abstractNum>
  <w:abstractNum w:abstractNumId="4">
    <w:nsid w:val="FFFFFF80"/>
    <w:multiLevelType w:val="singleLevel"/>
    <w:tmpl w:val="FFFFFF80"/>
    <w:lvl w:ilvl="0" w:tentative="0">
      <w:start w:val="1"/>
      <w:numFmt w:val="bullet"/>
      <w:pStyle w:val="1242"/>
      <w:lvlText w:val=""/>
      <w:lvlJc w:val="left"/>
      <w:pPr>
        <w:tabs>
          <w:tab w:val="left" w:pos="2040"/>
        </w:tabs>
        <w:ind w:left="2040" w:leftChars="800" w:hanging="360" w:hangingChars="200"/>
      </w:pPr>
      <w:rPr>
        <w:rFonts w:hint="default" w:ascii="Wingdings" w:hAnsi="Wingdings"/>
      </w:rPr>
    </w:lvl>
  </w:abstractNum>
  <w:abstractNum w:abstractNumId="5">
    <w:nsid w:val="FFFFFF82"/>
    <w:multiLevelType w:val="singleLevel"/>
    <w:tmpl w:val="FFFFFF82"/>
    <w:lvl w:ilvl="0" w:tentative="0">
      <w:start w:val="1"/>
      <w:numFmt w:val="bullet"/>
      <w:pStyle w:val="1241"/>
      <w:lvlText w:val=""/>
      <w:lvlJc w:val="left"/>
      <w:pPr>
        <w:tabs>
          <w:tab w:val="left" w:pos="1200"/>
        </w:tabs>
        <w:ind w:left="1200" w:leftChars="400" w:hanging="360" w:hangingChars="200"/>
      </w:pPr>
      <w:rPr>
        <w:rFonts w:hint="default" w:ascii="Wingdings" w:hAnsi="Wingdings"/>
      </w:rPr>
    </w:lvl>
  </w:abstractNum>
  <w:abstractNum w:abstractNumId="6">
    <w:nsid w:val="FFFFFFFB"/>
    <w:multiLevelType w:val="multilevel"/>
    <w:tmpl w:val="FFFFFFFB"/>
    <w:lvl w:ilvl="0" w:tentative="0">
      <w:start w:val="14"/>
      <w:numFmt w:val="decimal"/>
      <w:lvlText w:val="%1."/>
      <w:legacy w:legacy="1" w:legacySpace="144" w:legacyIndent="0"/>
      <w:lvlJc w:val="left"/>
    </w:lvl>
    <w:lvl w:ilvl="1" w:tentative="0">
      <w:start w:val="1"/>
      <w:numFmt w:val="decimal"/>
      <w:lvlText w:val="%1.%2"/>
      <w:legacy w:legacy="1" w:legacySpace="144" w:legacyIndent="0"/>
      <w:lvlJc w:val="left"/>
    </w:lvl>
    <w:lvl w:ilvl="2" w:tentative="0">
      <w:start w:val="1"/>
      <w:numFmt w:val="decimal"/>
      <w:lvlText w:val="%1.%2.%3"/>
      <w:legacy w:legacy="1" w:legacySpace="144" w:legacyIndent="0"/>
      <w:lvlJc w:val="left"/>
    </w:lvl>
    <w:lvl w:ilvl="3" w:tentative="0">
      <w:start w:val="1"/>
      <w:numFmt w:val="decimal"/>
      <w:lvlText w:val="%1.%2.%3.%4"/>
      <w:legacy w:legacy="1" w:legacySpace="144" w:legacyIndent="0"/>
      <w:lvlJc w:val="left"/>
    </w:lvl>
    <w:lvl w:ilvl="4" w:tentative="0">
      <w:start w:val="1"/>
      <w:numFmt w:val="decimal"/>
      <w:pStyle w:val="7"/>
      <w:lvlText w:val="%1.%2.%3.%4.%5"/>
      <w:legacy w:legacy="1" w:legacySpace="144" w:legacyIndent="0"/>
      <w:lvlJc w:val="left"/>
    </w:lvl>
    <w:lvl w:ilvl="5" w:tentative="0">
      <w:start w:val="1"/>
      <w:numFmt w:val="decimal"/>
      <w:pStyle w:val="8"/>
      <w:lvlText w:val="%1.%2.%3.%4.%5.%6"/>
      <w:legacy w:legacy="1" w:legacySpace="144" w:legacyIndent="0"/>
      <w:lvlJc w:val="left"/>
    </w:lvl>
    <w:lvl w:ilvl="6" w:tentative="0">
      <w:start w:val="1"/>
      <w:numFmt w:val="decimal"/>
      <w:pStyle w:val="9"/>
      <w:lvlText w:val="%1.%2.%3.%4.%5.%6.%7"/>
      <w:legacy w:legacy="1" w:legacySpace="144" w:legacyIndent="0"/>
      <w:lvlJc w:val="left"/>
    </w:lvl>
    <w:lvl w:ilvl="7" w:tentative="0">
      <w:start w:val="1"/>
      <w:numFmt w:val="decimal"/>
      <w:pStyle w:val="10"/>
      <w:lvlText w:val="%1.%2.%3.%4.%5.%6.%7.%8"/>
      <w:legacy w:legacy="1" w:legacySpace="144" w:legacyIndent="0"/>
      <w:lvlJc w:val="left"/>
    </w:lvl>
    <w:lvl w:ilvl="8" w:tentative="0">
      <w:start w:val="1"/>
      <w:numFmt w:val="decimal"/>
      <w:pStyle w:val="11"/>
      <w:lvlText w:val="%1.%2.%3.%4.%5.%6.%7.%8.%9"/>
      <w:legacy w:legacy="1" w:legacySpace="144" w:legacyIndent="0"/>
      <w:lvlJc w:val="left"/>
    </w:lvl>
  </w:abstractNum>
  <w:abstractNum w:abstractNumId="7">
    <w:nsid w:val="00000002"/>
    <w:multiLevelType w:val="singleLevel"/>
    <w:tmpl w:val="00000002"/>
    <w:lvl w:ilvl="0" w:tentative="0">
      <w:start w:val="1"/>
      <w:numFmt w:val="bullet"/>
      <w:pStyle w:val="737"/>
      <w:lvlText w:val=""/>
      <w:lvlJc w:val="left"/>
      <w:pPr>
        <w:tabs>
          <w:tab w:val="left" w:pos="2070"/>
        </w:tabs>
        <w:ind w:left="2070" w:hanging="510"/>
      </w:pPr>
      <w:rPr>
        <w:rFonts w:ascii="Symbol" w:hAnsi="Symbol"/>
      </w:rPr>
    </w:lvl>
  </w:abstractNum>
  <w:abstractNum w:abstractNumId="8">
    <w:nsid w:val="005A2E67"/>
    <w:multiLevelType w:val="multilevel"/>
    <w:tmpl w:val="005A2E6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6D7387"/>
    <w:multiLevelType w:val="multilevel"/>
    <w:tmpl w:val="006D7387"/>
    <w:lvl w:ilvl="0" w:tentative="0">
      <w:start w:val="1"/>
      <w:numFmt w:val="decimal"/>
      <w:suff w:val="nothing"/>
      <w:lvlText w:val="%1、"/>
      <w:lvlJc w:val="left"/>
      <w:rPr>
        <w:rFonts w:cs="Times New Roman"/>
      </w:rPr>
    </w:lvl>
    <w:lvl w:ilvl="1" w:tentative="0">
      <w:start w:val="1"/>
      <w:numFmt w:val="decimal"/>
      <w:lvlText w:val="（%2）"/>
      <w:lvlJc w:val="left"/>
      <w:rPr>
        <w:rFonts w:hint="default"/>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0">
    <w:nsid w:val="02790C24"/>
    <w:multiLevelType w:val="multilevel"/>
    <w:tmpl w:val="02790C24"/>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02E95B0E"/>
    <w:multiLevelType w:val="multilevel"/>
    <w:tmpl w:val="02E95B0E"/>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30B5B49"/>
    <w:multiLevelType w:val="multilevel"/>
    <w:tmpl w:val="030B5B49"/>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3">
    <w:nsid w:val="03A032FB"/>
    <w:multiLevelType w:val="multilevel"/>
    <w:tmpl w:val="03A032FB"/>
    <w:lvl w:ilvl="0" w:tentative="0">
      <w:start w:val="1"/>
      <w:numFmt w:val="decimal"/>
      <w:lvlText w:val="%1)"/>
      <w:lvlJc w:val="left"/>
      <w:pPr>
        <w:ind w:left="902" w:hanging="420"/>
      </w:p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4">
    <w:nsid w:val="04B3736C"/>
    <w:multiLevelType w:val="multilevel"/>
    <w:tmpl w:val="04B3736C"/>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55952FF"/>
    <w:multiLevelType w:val="multilevel"/>
    <w:tmpl w:val="055952F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6A87F36"/>
    <w:multiLevelType w:val="multilevel"/>
    <w:tmpl w:val="06A87F3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bullet"/>
      <w:lvlText w:val=""/>
      <w:lvlJc w:val="left"/>
      <w:pPr>
        <w:ind w:left="981" w:hanging="420"/>
      </w:pPr>
      <w:rPr>
        <w:rFonts w:hint="default" w:ascii="Wingdings" w:hAnsi="Wingdings"/>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072E31EC"/>
    <w:multiLevelType w:val="multilevel"/>
    <w:tmpl w:val="072E31E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074B730C"/>
    <w:multiLevelType w:val="multilevel"/>
    <w:tmpl w:val="074B730C"/>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9">
    <w:nsid w:val="077708BF"/>
    <w:multiLevelType w:val="singleLevel"/>
    <w:tmpl w:val="077708BF"/>
    <w:lvl w:ilvl="0" w:tentative="0">
      <w:start w:val="1"/>
      <w:numFmt w:val="decimal"/>
      <w:pStyle w:val="1215"/>
      <w:lvlText w:val="(%1)"/>
      <w:legacy w:legacy="1" w:legacySpace="0" w:legacyIndent="283"/>
      <w:lvlJc w:val="left"/>
      <w:pPr>
        <w:ind w:left="830" w:hanging="283"/>
      </w:pPr>
    </w:lvl>
  </w:abstractNum>
  <w:abstractNum w:abstractNumId="20">
    <w:nsid w:val="080E4431"/>
    <w:multiLevelType w:val="multilevel"/>
    <w:tmpl w:val="080E4431"/>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1">
    <w:nsid w:val="083A41E9"/>
    <w:multiLevelType w:val="multilevel"/>
    <w:tmpl w:val="083A41E9"/>
    <w:lvl w:ilvl="0" w:tentative="0">
      <w:start w:val="1"/>
      <w:numFmt w:val="bullet"/>
      <w:lvlText w:val=""/>
      <w:lvlJc w:val="left"/>
      <w:pPr>
        <w:ind w:left="920" w:hanging="420"/>
      </w:pPr>
      <w:rPr>
        <w:rFonts w:hint="default" w:ascii="Wingdings" w:hAnsi="Wingdings"/>
      </w:rPr>
    </w:lvl>
    <w:lvl w:ilvl="1" w:tentative="0">
      <w:start w:val="1"/>
      <w:numFmt w:val="bullet"/>
      <w:lvlText w:val=""/>
      <w:lvlJc w:val="left"/>
      <w:pPr>
        <w:ind w:left="1340" w:hanging="420"/>
      </w:pPr>
      <w:rPr>
        <w:rFonts w:hint="default" w:ascii="Wingdings" w:hAnsi="Wingdings"/>
      </w:rPr>
    </w:lvl>
    <w:lvl w:ilvl="2" w:tentative="0">
      <w:start w:val="1"/>
      <w:numFmt w:val="bullet"/>
      <w:lvlText w:val=""/>
      <w:lvlJc w:val="left"/>
      <w:pPr>
        <w:ind w:left="1760" w:hanging="420"/>
      </w:pPr>
      <w:rPr>
        <w:rFonts w:hint="default" w:ascii="Wingdings" w:hAnsi="Wingdings"/>
      </w:rPr>
    </w:lvl>
    <w:lvl w:ilvl="3" w:tentative="0">
      <w:start w:val="1"/>
      <w:numFmt w:val="bullet"/>
      <w:lvlText w:val=""/>
      <w:lvlJc w:val="left"/>
      <w:pPr>
        <w:ind w:left="2180" w:hanging="420"/>
      </w:pPr>
      <w:rPr>
        <w:rFonts w:hint="default" w:ascii="Wingdings" w:hAnsi="Wingdings"/>
      </w:rPr>
    </w:lvl>
    <w:lvl w:ilvl="4" w:tentative="0">
      <w:start w:val="1"/>
      <w:numFmt w:val="bullet"/>
      <w:lvlText w:val=""/>
      <w:lvlJc w:val="left"/>
      <w:pPr>
        <w:ind w:left="2600" w:hanging="420"/>
      </w:pPr>
      <w:rPr>
        <w:rFonts w:hint="default" w:ascii="Wingdings" w:hAnsi="Wingdings"/>
      </w:rPr>
    </w:lvl>
    <w:lvl w:ilvl="5" w:tentative="0">
      <w:start w:val="1"/>
      <w:numFmt w:val="bullet"/>
      <w:lvlText w:val=""/>
      <w:lvlJc w:val="left"/>
      <w:pPr>
        <w:ind w:left="3020" w:hanging="420"/>
      </w:pPr>
      <w:rPr>
        <w:rFonts w:hint="default" w:ascii="Wingdings" w:hAnsi="Wingdings"/>
      </w:rPr>
    </w:lvl>
    <w:lvl w:ilvl="6" w:tentative="0">
      <w:start w:val="1"/>
      <w:numFmt w:val="bullet"/>
      <w:lvlText w:val=""/>
      <w:lvlJc w:val="left"/>
      <w:pPr>
        <w:ind w:left="3440" w:hanging="420"/>
      </w:pPr>
      <w:rPr>
        <w:rFonts w:hint="default" w:ascii="Wingdings" w:hAnsi="Wingdings"/>
      </w:rPr>
    </w:lvl>
    <w:lvl w:ilvl="7" w:tentative="0">
      <w:start w:val="1"/>
      <w:numFmt w:val="bullet"/>
      <w:lvlText w:val=""/>
      <w:lvlJc w:val="left"/>
      <w:pPr>
        <w:ind w:left="3860" w:hanging="420"/>
      </w:pPr>
      <w:rPr>
        <w:rFonts w:hint="default" w:ascii="Wingdings" w:hAnsi="Wingdings"/>
      </w:rPr>
    </w:lvl>
    <w:lvl w:ilvl="8" w:tentative="0">
      <w:start w:val="1"/>
      <w:numFmt w:val="bullet"/>
      <w:lvlText w:val=""/>
      <w:lvlJc w:val="left"/>
      <w:pPr>
        <w:ind w:left="4280" w:hanging="420"/>
      </w:pPr>
      <w:rPr>
        <w:rFonts w:hint="default" w:ascii="Wingdings" w:hAnsi="Wingdings"/>
      </w:rPr>
    </w:lvl>
  </w:abstractNum>
  <w:abstractNum w:abstractNumId="22">
    <w:nsid w:val="08BD7572"/>
    <w:multiLevelType w:val="multilevel"/>
    <w:tmpl w:val="08BD7572"/>
    <w:lvl w:ilvl="0" w:tentative="0">
      <w:start w:val="1"/>
      <w:numFmt w:val="bullet"/>
      <w:pStyle w:val="792"/>
      <w:lvlText w:val=""/>
      <w:lvlJc w:val="left"/>
      <w:pPr>
        <w:tabs>
          <w:tab w:val="left" w:pos="680"/>
        </w:tabs>
        <w:ind w:left="680" w:hanging="396"/>
      </w:pPr>
      <w:rPr>
        <w:rFonts w:hint="default" w:ascii="Symbol" w:hAnsi="Symbol" w:cs="Times New Roman"/>
        <w:sz w:val="24"/>
      </w:rPr>
    </w:lvl>
    <w:lvl w:ilvl="1" w:tentative="0">
      <w:start w:val="1"/>
      <w:numFmt w:val="bullet"/>
      <w:lvlText w:val="-"/>
      <w:lvlJc w:val="left"/>
      <w:pPr>
        <w:tabs>
          <w:tab w:val="left" w:pos="1440"/>
        </w:tabs>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3">
    <w:nsid w:val="0B462EA2"/>
    <w:multiLevelType w:val="multilevel"/>
    <w:tmpl w:val="0B462EA2"/>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0B641D32"/>
    <w:multiLevelType w:val="multilevel"/>
    <w:tmpl w:val="0B641D3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0D8E45C5"/>
    <w:multiLevelType w:val="multilevel"/>
    <w:tmpl w:val="0D8E45C5"/>
    <w:lvl w:ilvl="0" w:tentative="0">
      <w:start w:val="1"/>
      <w:numFmt w:val="decimal"/>
      <w:lvlText w:val="%1）"/>
      <w:lvlJc w:val="left"/>
      <w:pPr>
        <w:ind w:left="920" w:hanging="420"/>
      </w:pPr>
      <w:rPr>
        <w:rFonts w:hint="eastAsia"/>
      </w:rPr>
    </w:lvl>
    <w:lvl w:ilvl="1" w:tentative="0">
      <w:start w:val="1"/>
      <w:numFmt w:val="lowerLetter"/>
      <w:lvlText w:val="%2)"/>
      <w:lvlJc w:val="left"/>
      <w:pPr>
        <w:ind w:left="1340" w:hanging="420"/>
      </w:pPr>
    </w:lvl>
    <w:lvl w:ilvl="2" w:tentative="0">
      <w:start w:val="1"/>
      <w:numFmt w:val="lowerRoman"/>
      <w:lvlText w:val="%3."/>
      <w:lvlJc w:val="right"/>
      <w:pPr>
        <w:ind w:left="1760" w:hanging="420"/>
      </w:p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26">
    <w:nsid w:val="0DB46842"/>
    <w:multiLevelType w:val="singleLevel"/>
    <w:tmpl w:val="0DB46842"/>
    <w:lvl w:ilvl="0" w:tentative="0">
      <w:start w:val="1"/>
      <w:numFmt w:val="decimal"/>
      <w:lvlText w:val="(%1)"/>
      <w:lvlJc w:val="left"/>
      <w:pPr>
        <w:ind w:left="425" w:hanging="425"/>
      </w:pPr>
      <w:rPr>
        <w:rFonts w:hint="default"/>
      </w:rPr>
    </w:lvl>
  </w:abstractNum>
  <w:abstractNum w:abstractNumId="27">
    <w:nsid w:val="0E5465C5"/>
    <w:multiLevelType w:val="multilevel"/>
    <w:tmpl w:val="0E5465C5"/>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28">
    <w:nsid w:val="0E9236FD"/>
    <w:multiLevelType w:val="multilevel"/>
    <w:tmpl w:val="0E9236FD"/>
    <w:lvl w:ilvl="0" w:tentative="0">
      <w:start w:val="1"/>
      <w:numFmt w:val="lowerLetter"/>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Letter"/>
      <w:lvlText w:val="%3)"/>
      <w:lvlJc w:val="lef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0F821EDA"/>
    <w:multiLevelType w:val="multilevel"/>
    <w:tmpl w:val="0F821EDA"/>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30">
    <w:nsid w:val="0FBA17E2"/>
    <w:multiLevelType w:val="multilevel"/>
    <w:tmpl w:val="0FBA17E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1">
    <w:nsid w:val="0FD3321F"/>
    <w:multiLevelType w:val="multilevel"/>
    <w:tmpl w:val="0FD3321F"/>
    <w:lvl w:ilvl="0" w:tentative="0">
      <w:start w:val="1"/>
      <w:numFmt w:val="decimal"/>
      <w:lvlText w:val="%1）"/>
      <w:lvlJc w:val="left"/>
      <w:pPr>
        <w:ind w:left="920" w:hanging="420"/>
      </w:pPr>
      <w:rPr>
        <w:rFonts w:hint="eastAsia"/>
      </w:rPr>
    </w:lvl>
    <w:lvl w:ilvl="1" w:tentative="0">
      <w:start w:val="1"/>
      <w:numFmt w:val="lowerLetter"/>
      <w:lvlText w:val="%2)"/>
      <w:lvlJc w:val="left"/>
      <w:pPr>
        <w:ind w:left="1340" w:hanging="420"/>
      </w:pPr>
    </w:lvl>
    <w:lvl w:ilvl="2" w:tentative="0">
      <w:start w:val="1"/>
      <w:numFmt w:val="lowerRoman"/>
      <w:lvlText w:val="%3."/>
      <w:lvlJc w:val="right"/>
      <w:pPr>
        <w:ind w:left="1760" w:hanging="420"/>
      </w:p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32">
    <w:nsid w:val="1005302B"/>
    <w:multiLevelType w:val="singleLevel"/>
    <w:tmpl w:val="1005302B"/>
    <w:lvl w:ilvl="0" w:tentative="0">
      <w:start w:val="1"/>
      <w:numFmt w:val="decimal"/>
      <w:lvlText w:val="(%1)"/>
      <w:lvlJc w:val="left"/>
      <w:pPr>
        <w:ind w:left="425" w:hanging="425"/>
      </w:pPr>
      <w:rPr>
        <w:rFonts w:hint="default"/>
      </w:rPr>
    </w:lvl>
  </w:abstractNum>
  <w:abstractNum w:abstractNumId="33">
    <w:nsid w:val="13776FA0"/>
    <w:multiLevelType w:val="multilevel"/>
    <w:tmpl w:val="13776FA0"/>
    <w:lvl w:ilvl="0" w:tentative="0">
      <w:start w:val="1"/>
      <w:numFmt w:val="lowerLetter"/>
      <w:lvlText w:val="%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4">
    <w:nsid w:val="167426B6"/>
    <w:multiLevelType w:val="multilevel"/>
    <w:tmpl w:val="167426B6"/>
    <w:lvl w:ilvl="0" w:tentative="0">
      <w:start w:val="1"/>
      <w:numFmt w:val="bullet"/>
      <w:lvlText w:val=""/>
      <w:lvlJc w:val="left"/>
      <w:pPr>
        <w:ind w:left="920" w:hanging="420"/>
      </w:pPr>
      <w:rPr>
        <w:rFonts w:hint="default" w:ascii="Wingdings" w:hAnsi="Wingdings"/>
      </w:rPr>
    </w:lvl>
    <w:lvl w:ilvl="1" w:tentative="0">
      <w:start w:val="1"/>
      <w:numFmt w:val="bullet"/>
      <w:lvlText w:val=""/>
      <w:lvlJc w:val="left"/>
      <w:pPr>
        <w:ind w:left="1340" w:hanging="420"/>
      </w:pPr>
      <w:rPr>
        <w:rFonts w:hint="default" w:ascii="Wingdings" w:hAnsi="Wingdings"/>
      </w:rPr>
    </w:lvl>
    <w:lvl w:ilvl="2" w:tentative="0">
      <w:start w:val="1"/>
      <w:numFmt w:val="bullet"/>
      <w:lvlText w:val=""/>
      <w:lvlJc w:val="left"/>
      <w:pPr>
        <w:ind w:left="1760" w:hanging="420"/>
      </w:pPr>
      <w:rPr>
        <w:rFonts w:hint="default" w:ascii="Wingdings" w:hAnsi="Wingdings"/>
      </w:rPr>
    </w:lvl>
    <w:lvl w:ilvl="3" w:tentative="0">
      <w:start w:val="1"/>
      <w:numFmt w:val="bullet"/>
      <w:lvlText w:val=""/>
      <w:lvlJc w:val="left"/>
      <w:pPr>
        <w:ind w:left="2180" w:hanging="420"/>
      </w:pPr>
      <w:rPr>
        <w:rFonts w:hint="default" w:ascii="Wingdings" w:hAnsi="Wingdings"/>
      </w:rPr>
    </w:lvl>
    <w:lvl w:ilvl="4" w:tentative="0">
      <w:start w:val="1"/>
      <w:numFmt w:val="bullet"/>
      <w:lvlText w:val=""/>
      <w:lvlJc w:val="left"/>
      <w:pPr>
        <w:ind w:left="2600" w:hanging="420"/>
      </w:pPr>
      <w:rPr>
        <w:rFonts w:hint="default" w:ascii="Wingdings" w:hAnsi="Wingdings"/>
      </w:rPr>
    </w:lvl>
    <w:lvl w:ilvl="5" w:tentative="0">
      <w:start w:val="1"/>
      <w:numFmt w:val="bullet"/>
      <w:lvlText w:val=""/>
      <w:lvlJc w:val="left"/>
      <w:pPr>
        <w:ind w:left="3020" w:hanging="420"/>
      </w:pPr>
      <w:rPr>
        <w:rFonts w:hint="default" w:ascii="Wingdings" w:hAnsi="Wingdings"/>
      </w:rPr>
    </w:lvl>
    <w:lvl w:ilvl="6" w:tentative="0">
      <w:start w:val="1"/>
      <w:numFmt w:val="bullet"/>
      <w:lvlText w:val=""/>
      <w:lvlJc w:val="left"/>
      <w:pPr>
        <w:ind w:left="3440" w:hanging="420"/>
      </w:pPr>
      <w:rPr>
        <w:rFonts w:hint="default" w:ascii="Wingdings" w:hAnsi="Wingdings"/>
      </w:rPr>
    </w:lvl>
    <w:lvl w:ilvl="7" w:tentative="0">
      <w:start w:val="1"/>
      <w:numFmt w:val="bullet"/>
      <w:lvlText w:val=""/>
      <w:lvlJc w:val="left"/>
      <w:pPr>
        <w:ind w:left="3860" w:hanging="420"/>
      </w:pPr>
      <w:rPr>
        <w:rFonts w:hint="default" w:ascii="Wingdings" w:hAnsi="Wingdings"/>
      </w:rPr>
    </w:lvl>
    <w:lvl w:ilvl="8" w:tentative="0">
      <w:start w:val="1"/>
      <w:numFmt w:val="bullet"/>
      <w:lvlText w:val=""/>
      <w:lvlJc w:val="left"/>
      <w:pPr>
        <w:ind w:left="4280" w:hanging="420"/>
      </w:pPr>
      <w:rPr>
        <w:rFonts w:hint="default" w:ascii="Wingdings" w:hAnsi="Wingdings"/>
      </w:rPr>
    </w:lvl>
  </w:abstractNum>
  <w:abstractNum w:abstractNumId="35">
    <w:nsid w:val="174F6955"/>
    <w:multiLevelType w:val="multilevel"/>
    <w:tmpl w:val="174F6955"/>
    <w:lvl w:ilvl="0" w:tentative="0">
      <w:start w:val="1"/>
      <w:numFmt w:val="bullet"/>
      <w:lvlText w:val=""/>
      <w:lvlJc w:val="left"/>
      <w:pPr>
        <w:ind w:left="920" w:hanging="420"/>
      </w:pPr>
      <w:rPr>
        <w:rFonts w:hint="default" w:ascii="Wingdings" w:hAnsi="Wingdings"/>
      </w:rPr>
    </w:lvl>
    <w:lvl w:ilvl="1" w:tentative="0">
      <w:start w:val="1"/>
      <w:numFmt w:val="bullet"/>
      <w:lvlText w:val=""/>
      <w:lvlJc w:val="left"/>
      <w:pPr>
        <w:ind w:left="1340" w:hanging="420"/>
      </w:pPr>
      <w:rPr>
        <w:rFonts w:hint="default" w:ascii="Wingdings" w:hAnsi="Wingdings"/>
      </w:rPr>
    </w:lvl>
    <w:lvl w:ilvl="2" w:tentative="0">
      <w:start w:val="1"/>
      <w:numFmt w:val="bullet"/>
      <w:lvlText w:val=""/>
      <w:lvlJc w:val="left"/>
      <w:pPr>
        <w:ind w:left="1760" w:hanging="420"/>
      </w:pPr>
      <w:rPr>
        <w:rFonts w:hint="default" w:ascii="Wingdings" w:hAnsi="Wingdings"/>
      </w:rPr>
    </w:lvl>
    <w:lvl w:ilvl="3" w:tentative="0">
      <w:start w:val="1"/>
      <w:numFmt w:val="bullet"/>
      <w:lvlText w:val=""/>
      <w:lvlJc w:val="left"/>
      <w:pPr>
        <w:ind w:left="2180" w:hanging="420"/>
      </w:pPr>
      <w:rPr>
        <w:rFonts w:hint="default" w:ascii="Wingdings" w:hAnsi="Wingdings"/>
      </w:rPr>
    </w:lvl>
    <w:lvl w:ilvl="4" w:tentative="0">
      <w:start w:val="1"/>
      <w:numFmt w:val="bullet"/>
      <w:lvlText w:val=""/>
      <w:lvlJc w:val="left"/>
      <w:pPr>
        <w:ind w:left="2600" w:hanging="420"/>
      </w:pPr>
      <w:rPr>
        <w:rFonts w:hint="default" w:ascii="Wingdings" w:hAnsi="Wingdings"/>
      </w:rPr>
    </w:lvl>
    <w:lvl w:ilvl="5" w:tentative="0">
      <w:start w:val="1"/>
      <w:numFmt w:val="bullet"/>
      <w:lvlText w:val=""/>
      <w:lvlJc w:val="left"/>
      <w:pPr>
        <w:ind w:left="3020" w:hanging="420"/>
      </w:pPr>
      <w:rPr>
        <w:rFonts w:hint="default" w:ascii="Wingdings" w:hAnsi="Wingdings"/>
      </w:rPr>
    </w:lvl>
    <w:lvl w:ilvl="6" w:tentative="0">
      <w:start w:val="1"/>
      <w:numFmt w:val="bullet"/>
      <w:lvlText w:val=""/>
      <w:lvlJc w:val="left"/>
      <w:pPr>
        <w:ind w:left="3440" w:hanging="420"/>
      </w:pPr>
      <w:rPr>
        <w:rFonts w:hint="default" w:ascii="Wingdings" w:hAnsi="Wingdings"/>
      </w:rPr>
    </w:lvl>
    <w:lvl w:ilvl="7" w:tentative="0">
      <w:start w:val="1"/>
      <w:numFmt w:val="bullet"/>
      <w:lvlText w:val=""/>
      <w:lvlJc w:val="left"/>
      <w:pPr>
        <w:ind w:left="3860" w:hanging="420"/>
      </w:pPr>
      <w:rPr>
        <w:rFonts w:hint="default" w:ascii="Wingdings" w:hAnsi="Wingdings"/>
      </w:rPr>
    </w:lvl>
    <w:lvl w:ilvl="8" w:tentative="0">
      <w:start w:val="1"/>
      <w:numFmt w:val="bullet"/>
      <w:lvlText w:val=""/>
      <w:lvlJc w:val="left"/>
      <w:pPr>
        <w:ind w:left="4280" w:hanging="420"/>
      </w:pPr>
      <w:rPr>
        <w:rFonts w:hint="default" w:ascii="Wingdings" w:hAnsi="Wingdings"/>
      </w:rPr>
    </w:lvl>
  </w:abstractNum>
  <w:abstractNum w:abstractNumId="36">
    <w:nsid w:val="17D15108"/>
    <w:multiLevelType w:val="multilevel"/>
    <w:tmpl w:val="17D15108"/>
    <w:lvl w:ilvl="0" w:tentative="0">
      <w:start w:val="1"/>
      <w:numFmt w:val="decimal"/>
      <w:suff w:val="space"/>
      <w:lvlText w:val="%1)"/>
      <w:lvlJc w:val="left"/>
      <w:pPr>
        <w:ind w:left="987" w:hanging="420"/>
      </w:pPr>
      <w:rPr>
        <w:rFonts w:hint="eastAsia"/>
      </w:rPr>
    </w:lvl>
    <w:lvl w:ilvl="1" w:tentative="0">
      <w:start w:val="1"/>
      <w:numFmt w:val="lowerLetter"/>
      <w:lvlText w:val="%2)"/>
      <w:lvlJc w:val="left"/>
      <w:pPr>
        <w:ind w:left="1409" w:hanging="420"/>
      </w:pPr>
    </w:lvl>
    <w:lvl w:ilvl="2" w:tentative="0">
      <w:start w:val="1"/>
      <w:numFmt w:val="decimal"/>
      <w:lvlText w:val="%3)"/>
      <w:lvlJc w:val="left"/>
      <w:pPr>
        <w:ind w:left="2204" w:hanging="795"/>
      </w:pPr>
      <w:rPr>
        <w:rFonts w:hint="default"/>
      </w:rPr>
    </w:lvl>
    <w:lvl w:ilvl="3" w:tentative="0">
      <w:start w:val="1"/>
      <w:numFmt w:val="decimal"/>
      <w:lvlText w:val="%4."/>
      <w:lvlJc w:val="left"/>
      <w:pPr>
        <w:ind w:left="2249" w:hanging="420"/>
      </w:pPr>
    </w:lvl>
    <w:lvl w:ilvl="4" w:tentative="0">
      <w:start w:val="1"/>
      <w:numFmt w:val="lowerLetter"/>
      <w:lvlText w:val="%5)"/>
      <w:lvlJc w:val="left"/>
      <w:pPr>
        <w:ind w:left="2669" w:hanging="420"/>
      </w:pPr>
    </w:lvl>
    <w:lvl w:ilvl="5" w:tentative="0">
      <w:start w:val="1"/>
      <w:numFmt w:val="lowerRoman"/>
      <w:lvlText w:val="%6."/>
      <w:lvlJc w:val="right"/>
      <w:pPr>
        <w:ind w:left="3089" w:hanging="420"/>
      </w:pPr>
    </w:lvl>
    <w:lvl w:ilvl="6" w:tentative="0">
      <w:start w:val="1"/>
      <w:numFmt w:val="decimal"/>
      <w:lvlText w:val="%7."/>
      <w:lvlJc w:val="left"/>
      <w:pPr>
        <w:ind w:left="3509" w:hanging="420"/>
      </w:pPr>
    </w:lvl>
    <w:lvl w:ilvl="7" w:tentative="0">
      <w:start w:val="1"/>
      <w:numFmt w:val="lowerLetter"/>
      <w:lvlText w:val="%8)"/>
      <w:lvlJc w:val="left"/>
      <w:pPr>
        <w:ind w:left="3929" w:hanging="420"/>
      </w:pPr>
    </w:lvl>
    <w:lvl w:ilvl="8" w:tentative="0">
      <w:start w:val="1"/>
      <w:numFmt w:val="lowerRoman"/>
      <w:lvlText w:val="%9."/>
      <w:lvlJc w:val="right"/>
      <w:pPr>
        <w:ind w:left="4349" w:hanging="420"/>
      </w:pPr>
    </w:lvl>
  </w:abstractNum>
  <w:abstractNum w:abstractNumId="37">
    <w:nsid w:val="19690E96"/>
    <w:multiLevelType w:val="singleLevel"/>
    <w:tmpl w:val="19690E96"/>
    <w:lvl w:ilvl="0" w:tentative="0">
      <w:start w:val="1"/>
      <w:numFmt w:val="decimal"/>
      <w:lvlText w:val="(%1)"/>
      <w:lvlJc w:val="left"/>
      <w:pPr>
        <w:ind w:left="425" w:hanging="425"/>
      </w:pPr>
      <w:rPr>
        <w:rFonts w:hint="default"/>
      </w:rPr>
    </w:lvl>
  </w:abstractNum>
  <w:abstractNum w:abstractNumId="38">
    <w:nsid w:val="19BE38BF"/>
    <w:multiLevelType w:val="multilevel"/>
    <w:tmpl w:val="19BE38BF"/>
    <w:lvl w:ilvl="0" w:tentative="0">
      <w:start w:val="11"/>
      <w:numFmt w:val="decimal"/>
      <w:lvlText w:val="%1"/>
      <w:lvlJc w:val="left"/>
      <w:pPr>
        <w:ind w:left="771" w:hanging="771"/>
      </w:pPr>
      <w:rPr>
        <w:rFonts w:hint="default"/>
      </w:rPr>
    </w:lvl>
    <w:lvl w:ilvl="1" w:tentative="0">
      <w:start w:val="3"/>
      <w:numFmt w:val="decimal"/>
      <w:lvlText w:val="%1.%2"/>
      <w:lvlJc w:val="left"/>
      <w:pPr>
        <w:ind w:left="771" w:hanging="771"/>
      </w:pPr>
      <w:rPr>
        <w:rFonts w:hint="default"/>
      </w:rPr>
    </w:lvl>
    <w:lvl w:ilvl="2" w:tentative="0">
      <w:start w:val="3"/>
      <w:numFmt w:val="decimal"/>
      <w:lvlText w:val="%1.%2.%3"/>
      <w:lvlJc w:val="left"/>
      <w:pPr>
        <w:ind w:left="771" w:hanging="771"/>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abstractNum w:abstractNumId="39">
    <w:nsid w:val="1A0D0D3F"/>
    <w:multiLevelType w:val="multilevel"/>
    <w:tmpl w:val="1A0D0D3F"/>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1A1B3AE3"/>
    <w:multiLevelType w:val="multilevel"/>
    <w:tmpl w:val="1A1B3AE3"/>
    <w:lvl w:ilvl="0" w:tentative="0">
      <w:start w:val="1"/>
      <w:numFmt w:val="decimal"/>
      <w:lvlText w:val="%1)"/>
      <w:lvlJc w:val="left"/>
      <w:pPr>
        <w:ind w:left="900" w:hanging="420"/>
      </w:pPr>
      <w:rPr>
        <w:rFonts w:hint="eastAsia"/>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1">
    <w:nsid w:val="1A305E96"/>
    <w:multiLevelType w:val="multilevel"/>
    <w:tmpl w:val="1A305E96"/>
    <w:lvl w:ilvl="0" w:tentative="0">
      <w:start w:val="1"/>
      <w:numFmt w:val="upperLetter"/>
      <w:lvlText w:val="%1."/>
      <w:lvlJc w:val="left"/>
      <w:pPr>
        <w:ind w:left="420" w:hanging="4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42">
    <w:nsid w:val="1C2A2B41"/>
    <w:multiLevelType w:val="multilevel"/>
    <w:tmpl w:val="1C2A2B41"/>
    <w:lvl w:ilvl="0" w:tentative="0">
      <w:start w:val="1"/>
      <w:numFmt w:val="decimal"/>
      <w:lvlText w:val="%1)"/>
      <w:lvlJc w:val="left"/>
      <w:pPr>
        <w:ind w:left="1401" w:hanging="420"/>
      </w:pPr>
    </w:lvl>
    <w:lvl w:ilvl="1" w:tentative="0">
      <w:start w:val="1"/>
      <w:numFmt w:val="lowerLetter"/>
      <w:lvlText w:val="%2)"/>
      <w:lvlJc w:val="left"/>
      <w:pPr>
        <w:ind w:left="1821" w:hanging="420"/>
      </w:pPr>
    </w:lvl>
    <w:lvl w:ilvl="2" w:tentative="0">
      <w:start w:val="1"/>
      <w:numFmt w:val="lowerRoman"/>
      <w:lvlText w:val="%3."/>
      <w:lvlJc w:val="right"/>
      <w:pPr>
        <w:ind w:left="2241" w:hanging="420"/>
      </w:pPr>
    </w:lvl>
    <w:lvl w:ilvl="3" w:tentative="0">
      <w:start w:val="1"/>
      <w:numFmt w:val="decimal"/>
      <w:lvlText w:val="%4."/>
      <w:lvlJc w:val="left"/>
      <w:pPr>
        <w:ind w:left="2661" w:hanging="420"/>
      </w:pPr>
    </w:lvl>
    <w:lvl w:ilvl="4" w:tentative="0">
      <w:start w:val="1"/>
      <w:numFmt w:val="lowerLetter"/>
      <w:lvlText w:val="%5)"/>
      <w:lvlJc w:val="left"/>
      <w:pPr>
        <w:ind w:left="3081" w:hanging="420"/>
      </w:pPr>
    </w:lvl>
    <w:lvl w:ilvl="5" w:tentative="0">
      <w:start w:val="1"/>
      <w:numFmt w:val="lowerRoman"/>
      <w:lvlText w:val="%6."/>
      <w:lvlJc w:val="right"/>
      <w:pPr>
        <w:ind w:left="3501" w:hanging="420"/>
      </w:pPr>
    </w:lvl>
    <w:lvl w:ilvl="6" w:tentative="0">
      <w:start w:val="1"/>
      <w:numFmt w:val="decimal"/>
      <w:lvlText w:val="%7."/>
      <w:lvlJc w:val="left"/>
      <w:pPr>
        <w:ind w:left="3921" w:hanging="420"/>
      </w:pPr>
    </w:lvl>
    <w:lvl w:ilvl="7" w:tentative="0">
      <w:start w:val="1"/>
      <w:numFmt w:val="lowerLetter"/>
      <w:lvlText w:val="%8)"/>
      <w:lvlJc w:val="left"/>
      <w:pPr>
        <w:ind w:left="4341" w:hanging="420"/>
      </w:pPr>
    </w:lvl>
    <w:lvl w:ilvl="8" w:tentative="0">
      <w:start w:val="1"/>
      <w:numFmt w:val="lowerRoman"/>
      <w:lvlText w:val="%9."/>
      <w:lvlJc w:val="right"/>
      <w:pPr>
        <w:ind w:left="4761" w:hanging="420"/>
      </w:pPr>
    </w:lvl>
  </w:abstractNum>
  <w:abstractNum w:abstractNumId="43">
    <w:nsid w:val="1C9A02CC"/>
    <w:multiLevelType w:val="multilevel"/>
    <w:tmpl w:val="1C9A02CC"/>
    <w:lvl w:ilvl="0" w:tentative="0">
      <w:start w:val="1"/>
      <w:numFmt w:val="decimal"/>
      <w:lvlText w:val="（%1）"/>
      <w:lvlJc w:val="left"/>
      <w:pPr>
        <w:ind w:left="567" w:firstLine="0"/>
      </w:pPr>
      <w:rPr>
        <w:rFonts w:hint="eastAsia"/>
        <w:b/>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rPr>
        <w:rFonts w:hint="default"/>
      </w:r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4">
    <w:nsid w:val="1D4E748F"/>
    <w:multiLevelType w:val="multilevel"/>
    <w:tmpl w:val="1D4E748F"/>
    <w:lvl w:ilvl="0" w:tentative="0">
      <w:start w:val="1"/>
      <w:numFmt w:val="decimal"/>
      <w:lvlText w:val="%1）"/>
      <w:lvlJc w:val="left"/>
      <w:pPr>
        <w:ind w:left="920" w:hanging="420"/>
      </w:pPr>
      <w:rPr>
        <w:rFonts w:hint="eastAsia"/>
      </w:rPr>
    </w:lvl>
    <w:lvl w:ilvl="1" w:tentative="0">
      <w:start w:val="1"/>
      <w:numFmt w:val="lowerLetter"/>
      <w:lvlText w:val="%2)"/>
      <w:lvlJc w:val="left"/>
      <w:pPr>
        <w:ind w:left="1340" w:hanging="420"/>
      </w:pPr>
    </w:lvl>
    <w:lvl w:ilvl="2" w:tentative="0">
      <w:start w:val="1"/>
      <w:numFmt w:val="lowerRoman"/>
      <w:lvlText w:val="%3."/>
      <w:lvlJc w:val="right"/>
      <w:pPr>
        <w:ind w:left="1760" w:hanging="420"/>
      </w:p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45">
    <w:nsid w:val="1D591980"/>
    <w:multiLevelType w:val="multilevel"/>
    <w:tmpl w:val="1D59198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6">
    <w:nsid w:val="204C4342"/>
    <w:multiLevelType w:val="multilevel"/>
    <w:tmpl w:val="204C434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7">
    <w:nsid w:val="218B18BE"/>
    <w:multiLevelType w:val="multilevel"/>
    <w:tmpl w:val="218B18BE"/>
    <w:lvl w:ilvl="0" w:tentative="0">
      <w:start w:val="1"/>
      <w:numFmt w:val="decimal"/>
      <w:lvlText w:val="（%1）"/>
      <w:lvlJc w:val="left"/>
      <w:pPr>
        <w:ind w:left="920" w:hanging="420"/>
      </w:pPr>
      <w:rPr>
        <w:rFonts w:hint="default"/>
      </w:rPr>
    </w:lvl>
    <w:lvl w:ilvl="1" w:tentative="0">
      <w:start w:val="1"/>
      <w:numFmt w:val="lowerLetter"/>
      <w:lvlText w:val="%2)"/>
      <w:lvlJc w:val="left"/>
      <w:pPr>
        <w:ind w:left="1340" w:hanging="420"/>
      </w:pPr>
    </w:lvl>
    <w:lvl w:ilvl="2" w:tentative="0">
      <w:start w:val="1"/>
      <w:numFmt w:val="lowerRoman"/>
      <w:lvlText w:val="%3."/>
      <w:lvlJc w:val="right"/>
      <w:pPr>
        <w:ind w:left="1760" w:hanging="420"/>
      </w:p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48">
    <w:nsid w:val="21F271D1"/>
    <w:multiLevelType w:val="multilevel"/>
    <w:tmpl w:val="21F271D1"/>
    <w:lvl w:ilvl="0" w:tentative="0">
      <w:start w:val="1"/>
      <w:numFmt w:val="decimal"/>
      <w:lvlText w:val="%1)"/>
      <w:lvlJc w:val="left"/>
      <w:pPr>
        <w:ind w:left="1365" w:hanging="420"/>
      </w:pPr>
    </w:lvl>
    <w:lvl w:ilvl="1" w:tentative="0">
      <w:start w:val="1"/>
      <w:numFmt w:val="lowerLetter"/>
      <w:lvlText w:val="%2)"/>
      <w:lvlJc w:val="left"/>
      <w:pPr>
        <w:ind w:left="1785" w:hanging="420"/>
      </w:pPr>
    </w:lvl>
    <w:lvl w:ilvl="2" w:tentative="0">
      <w:start w:val="1"/>
      <w:numFmt w:val="lowerRoman"/>
      <w:lvlText w:val="%3."/>
      <w:lvlJc w:val="right"/>
      <w:pPr>
        <w:ind w:left="2205" w:hanging="420"/>
      </w:pPr>
    </w:lvl>
    <w:lvl w:ilvl="3" w:tentative="0">
      <w:start w:val="1"/>
      <w:numFmt w:val="decimal"/>
      <w:lvlText w:val="%4."/>
      <w:lvlJc w:val="left"/>
      <w:pPr>
        <w:ind w:left="2625" w:hanging="420"/>
      </w:pPr>
    </w:lvl>
    <w:lvl w:ilvl="4" w:tentative="0">
      <w:start w:val="1"/>
      <w:numFmt w:val="lowerLetter"/>
      <w:lvlText w:val="%5)"/>
      <w:lvlJc w:val="left"/>
      <w:pPr>
        <w:ind w:left="3045" w:hanging="420"/>
      </w:pPr>
    </w:lvl>
    <w:lvl w:ilvl="5" w:tentative="0">
      <w:start w:val="1"/>
      <w:numFmt w:val="lowerRoman"/>
      <w:lvlText w:val="%6."/>
      <w:lvlJc w:val="right"/>
      <w:pPr>
        <w:ind w:left="3465" w:hanging="420"/>
      </w:pPr>
    </w:lvl>
    <w:lvl w:ilvl="6" w:tentative="0">
      <w:start w:val="1"/>
      <w:numFmt w:val="decimal"/>
      <w:lvlText w:val="%7."/>
      <w:lvlJc w:val="left"/>
      <w:pPr>
        <w:ind w:left="3885" w:hanging="420"/>
      </w:pPr>
    </w:lvl>
    <w:lvl w:ilvl="7" w:tentative="0">
      <w:start w:val="1"/>
      <w:numFmt w:val="lowerLetter"/>
      <w:lvlText w:val="%8)"/>
      <w:lvlJc w:val="left"/>
      <w:pPr>
        <w:ind w:left="4305" w:hanging="420"/>
      </w:pPr>
    </w:lvl>
    <w:lvl w:ilvl="8" w:tentative="0">
      <w:start w:val="1"/>
      <w:numFmt w:val="lowerRoman"/>
      <w:lvlText w:val="%9."/>
      <w:lvlJc w:val="right"/>
      <w:pPr>
        <w:ind w:left="4725" w:hanging="420"/>
      </w:pPr>
    </w:lvl>
  </w:abstractNum>
  <w:abstractNum w:abstractNumId="49">
    <w:nsid w:val="22CC196A"/>
    <w:multiLevelType w:val="multilevel"/>
    <w:tmpl w:val="22CC196A"/>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0">
    <w:nsid w:val="22EC645A"/>
    <w:multiLevelType w:val="multilevel"/>
    <w:tmpl w:val="22EC645A"/>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1">
    <w:nsid w:val="24784E94"/>
    <w:multiLevelType w:val="multilevel"/>
    <w:tmpl w:val="24784E94"/>
    <w:lvl w:ilvl="0" w:tentative="0">
      <w:start w:val="1"/>
      <w:numFmt w:val="decimal"/>
      <w:lvlText w:val="%1）"/>
      <w:lvlJc w:val="left"/>
      <w:pPr>
        <w:ind w:left="920" w:hanging="420"/>
      </w:pPr>
      <w:rPr>
        <w:rFonts w:hint="eastAsia"/>
      </w:rPr>
    </w:lvl>
    <w:lvl w:ilvl="1" w:tentative="0">
      <w:start w:val="1"/>
      <w:numFmt w:val="lowerLetter"/>
      <w:lvlText w:val="%2)"/>
      <w:lvlJc w:val="left"/>
      <w:pPr>
        <w:ind w:left="1340" w:hanging="420"/>
      </w:pPr>
    </w:lvl>
    <w:lvl w:ilvl="2" w:tentative="0">
      <w:start w:val="1"/>
      <w:numFmt w:val="lowerRoman"/>
      <w:lvlText w:val="%3."/>
      <w:lvlJc w:val="right"/>
      <w:pPr>
        <w:ind w:left="1760" w:hanging="420"/>
      </w:p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52">
    <w:nsid w:val="24946DD2"/>
    <w:multiLevelType w:val="multilevel"/>
    <w:tmpl w:val="24946DD2"/>
    <w:lvl w:ilvl="0" w:tentative="0">
      <w:start w:val="1"/>
      <w:numFmt w:val="decimal"/>
      <w:lvlText w:val="%1)"/>
      <w:lvlJc w:val="left"/>
      <w:pPr>
        <w:ind w:left="981" w:hanging="420"/>
      </w:pPr>
    </w:lvl>
    <w:lvl w:ilvl="1" w:tentative="0">
      <w:start w:val="1"/>
      <w:numFmt w:val="decimal"/>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53">
    <w:nsid w:val="252D1B77"/>
    <w:multiLevelType w:val="singleLevel"/>
    <w:tmpl w:val="252D1B77"/>
    <w:lvl w:ilvl="0" w:tentative="0">
      <w:start w:val="1"/>
      <w:numFmt w:val="decimal"/>
      <w:lvlText w:val="(%1)"/>
      <w:lvlJc w:val="left"/>
      <w:pPr>
        <w:ind w:left="425" w:hanging="425"/>
      </w:pPr>
      <w:rPr>
        <w:rFonts w:hint="default"/>
      </w:rPr>
    </w:lvl>
  </w:abstractNum>
  <w:abstractNum w:abstractNumId="54">
    <w:nsid w:val="255F67C3"/>
    <w:multiLevelType w:val="multilevel"/>
    <w:tmpl w:val="255F67C3"/>
    <w:lvl w:ilvl="0" w:tentative="0">
      <w:start w:val="1"/>
      <w:numFmt w:val="bullet"/>
      <w:lvlText w:val=""/>
      <w:lvlJc w:val="left"/>
      <w:pPr>
        <w:ind w:left="981" w:hanging="420"/>
      </w:pPr>
      <w:rPr>
        <w:rFonts w:hint="default" w:ascii="Wingdings" w:hAnsi="Wingdings"/>
      </w:rPr>
    </w:lvl>
    <w:lvl w:ilvl="1" w:tentative="0">
      <w:start w:val="1"/>
      <w:numFmt w:val="bullet"/>
      <w:lvlText w:val=""/>
      <w:lvlJc w:val="left"/>
      <w:pPr>
        <w:ind w:left="1401" w:hanging="420"/>
      </w:pPr>
      <w:rPr>
        <w:rFonts w:hint="default" w:ascii="Wingdings" w:hAnsi="Wingdings"/>
      </w:rPr>
    </w:lvl>
    <w:lvl w:ilvl="2" w:tentative="0">
      <w:start w:val="1"/>
      <w:numFmt w:val="bullet"/>
      <w:lvlText w:val=""/>
      <w:lvlJc w:val="left"/>
      <w:pPr>
        <w:ind w:left="1821" w:hanging="420"/>
      </w:pPr>
      <w:rPr>
        <w:rFonts w:hint="default" w:ascii="Wingdings" w:hAnsi="Wingdings"/>
      </w:rPr>
    </w:lvl>
    <w:lvl w:ilvl="3" w:tentative="0">
      <w:start w:val="1"/>
      <w:numFmt w:val="bullet"/>
      <w:lvlText w:val=""/>
      <w:lvlJc w:val="left"/>
      <w:pPr>
        <w:ind w:left="2241" w:hanging="420"/>
      </w:pPr>
      <w:rPr>
        <w:rFonts w:hint="default" w:ascii="Wingdings" w:hAnsi="Wingdings"/>
      </w:rPr>
    </w:lvl>
    <w:lvl w:ilvl="4" w:tentative="0">
      <w:start w:val="1"/>
      <w:numFmt w:val="bullet"/>
      <w:lvlText w:val=""/>
      <w:lvlJc w:val="left"/>
      <w:pPr>
        <w:ind w:left="2661" w:hanging="420"/>
      </w:pPr>
      <w:rPr>
        <w:rFonts w:hint="default" w:ascii="Wingdings" w:hAnsi="Wingdings"/>
      </w:rPr>
    </w:lvl>
    <w:lvl w:ilvl="5" w:tentative="0">
      <w:start w:val="1"/>
      <w:numFmt w:val="bullet"/>
      <w:lvlText w:val=""/>
      <w:lvlJc w:val="left"/>
      <w:pPr>
        <w:ind w:left="3081" w:hanging="420"/>
      </w:pPr>
      <w:rPr>
        <w:rFonts w:hint="default" w:ascii="Wingdings" w:hAnsi="Wingdings"/>
      </w:rPr>
    </w:lvl>
    <w:lvl w:ilvl="6" w:tentative="0">
      <w:start w:val="1"/>
      <w:numFmt w:val="bullet"/>
      <w:lvlText w:val=""/>
      <w:lvlJc w:val="left"/>
      <w:pPr>
        <w:ind w:left="3501" w:hanging="420"/>
      </w:pPr>
      <w:rPr>
        <w:rFonts w:hint="default" w:ascii="Wingdings" w:hAnsi="Wingdings"/>
      </w:rPr>
    </w:lvl>
    <w:lvl w:ilvl="7" w:tentative="0">
      <w:start w:val="1"/>
      <w:numFmt w:val="bullet"/>
      <w:lvlText w:val=""/>
      <w:lvlJc w:val="left"/>
      <w:pPr>
        <w:ind w:left="3921" w:hanging="420"/>
      </w:pPr>
      <w:rPr>
        <w:rFonts w:hint="default" w:ascii="Wingdings" w:hAnsi="Wingdings"/>
      </w:rPr>
    </w:lvl>
    <w:lvl w:ilvl="8" w:tentative="0">
      <w:start w:val="1"/>
      <w:numFmt w:val="bullet"/>
      <w:lvlText w:val=""/>
      <w:lvlJc w:val="left"/>
      <w:pPr>
        <w:ind w:left="4341" w:hanging="420"/>
      </w:pPr>
      <w:rPr>
        <w:rFonts w:hint="default" w:ascii="Wingdings" w:hAnsi="Wingdings"/>
      </w:rPr>
    </w:lvl>
  </w:abstractNum>
  <w:abstractNum w:abstractNumId="55">
    <w:nsid w:val="25684987"/>
    <w:multiLevelType w:val="multilevel"/>
    <w:tmpl w:val="25684987"/>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56">
    <w:nsid w:val="28C300F3"/>
    <w:multiLevelType w:val="multilevel"/>
    <w:tmpl w:val="28C300F3"/>
    <w:lvl w:ilvl="0" w:tentative="0">
      <w:start w:val="1"/>
      <w:numFmt w:val="decimal"/>
      <w:lvlText w:val="%1)"/>
      <w:lvlJc w:val="left"/>
      <w:pPr>
        <w:ind w:left="920" w:hanging="420"/>
      </w:pPr>
      <w:rPr>
        <w:rFonts w:hint="default"/>
      </w:rPr>
    </w:lvl>
    <w:lvl w:ilvl="1" w:tentative="0">
      <w:start w:val="1"/>
      <w:numFmt w:val="lowerLetter"/>
      <w:lvlText w:val="%2)"/>
      <w:lvlJc w:val="left"/>
      <w:pPr>
        <w:ind w:left="1340" w:hanging="420"/>
      </w:pPr>
    </w:lvl>
    <w:lvl w:ilvl="2" w:tentative="0">
      <w:start w:val="1"/>
      <w:numFmt w:val="decimal"/>
      <w:lvlText w:val="%3）"/>
      <w:lvlJc w:val="left"/>
      <w:pPr>
        <w:ind w:left="1760" w:hanging="420"/>
      </w:pPr>
      <w:rPr>
        <w:rFonts w:hint="eastAsia"/>
      </w:r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57">
    <w:nsid w:val="29961DFF"/>
    <w:multiLevelType w:val="multilevel"/>
    <w:tmpl w:val="29961DFF"/>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58">
    <w:nsid w:val="29F5529F"/>
    <w:multiLevelType w:val="multilevel"/>
    <w:tmpl w:val="29F5529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9">
    <w:nsid w:val="2A0F2B17"/>
    <w:multiLevelType w:val="multilevel"/>
    <w:tmpl w:val="2A0F2B17"/>
    <w:lvl w:ilvl="0" w:tentative="0">
      <w:start w:val="1"/>
      <w:numFmt w:val="decimal"/>
      <w:lvlText w:val="%1)"/>
      <w:lvlJc w:val="left"/>
      <w:pPr>
        <w:ind w:left="2241" w:hanging="420"/>
      </w:pPr>
    </w:lvl>
    <w:lvl w:ilvl="1" w:tentative="0">
      <w:start w:val="1"/>
      <w:numFmt w:val="lowerLetter"/>
      <w:lvlText w:val="%2)"/>
      <w:lvlJc w:val="left"/>
      <w:pPr>
        <w:ind w:left="2661" w:hanging="420"/>
      </w:pPr>
    </w:lvl>
    <w:lvl w:ilvl="2" w:tentative="0">
      <w:start w:val="1"/>
      <w:numFmt w:val="lowerRoman"/>
      <w:lvlText w:val="%3."/>
      <w:lvlJc w:val="right"/>
      <w:pPr>
        <w:ind w:left="3081" w:hanging="420"/>
      </w:pPr>
    </w:lvl>
    <w:lvl w:ilvl="3" w:tentative="0">
      <w:start w:val="1"/>
      <w:numFmt w:val="decimal"/>
      <w:lvlText w:val="%4."/>
      <w:lvlJc w:val="left"/>
      <w:pPr>
        <w:ind w:left="3501" w:hanging="420"/>
      </w:pPr>
    </w:lvl>
    <w:lvl w:ilvl="4" w:tentative="0">
      <w:start w:val="1"/>
      <w:numFmt w:val="lowerLetter"/>
      <w:lvlText w:val="%5)"/>
      <w:lvlJc w:val="left"/>
      <w:pPr>
        <w:ind w:left="3921" w:hanging="420"/>
      </w:pPr>
    </w:lvl>
    <w:lvl w:ilvl="5" w:tentative="0">
      <w:start w:val="1"/>
      <w:numFmt w:val="lowerRoman"/>
      <w:lvlText w:val="%6."/>
      <w:lvlJc w:val="right"/>
      <w:pPr>
        <w:ind w:left="4341" w:hanging="420"/>
      </w:pPr>
    </w:lvl>
    <w:lvl w:ilvl="6" w:tentative="0">
      <w:start w:val="1"/>
      <w:numFmt w:val="decimal"/>
      <w:lvlText w:val="%7."/>
      <w:lvlJc w:val="left"/>
      <w:pPr>
        <w:ind w:left="4761" w:hanging="420"/>
      </w:pPr>
    </w:lvl>
    <w:lvl w:ilvl="7" w:tentative="0">
      <w:start w:val="1"/>
      <w:numFmt w:val="lowerLetter"/>
      <w:lvlText w:val="%8)"/>
      <w:lvlJc w:val="left"/>
      <w:pPr>
        <w:ind w:left="5181" w:hanging="420"/>
      </w:pPr>
    </w:lvl>
    <w:lvl w:ilvl="8" w:tentative="0">
      <w:start w:val="1"/>
      <w:numFmt w:val="lowerRoman"/>
      <w:lvlText w:val="%9."/>
      <w:lvlJc w:val="right"/>
      <w:pPr>
        <w:ind w:left="5601" w:hanging="420"/>
      </w:pPr>
    </w:lvl>
  </w:abstractNum>
  <w:abstractNum w:abstractNumId="60">
    <w:nsid w:val="2A4C5544"/>
    <w:multiLevelType w:val="multilevel"/>
    <w:tmpl w:val="2A4C5544"/>
    <w:lvl w:ilvl="0" w:tentative="0">
      <w:start w:val="1"/>
      <w:numFmt w:val="decimal"/>
      <w:pStyle w:val="1223"/>
      <w:lvlText w:val="5.6.%1 "/>
      <w:lvlJc w:val="left"/>
      <w:pPr>
        <w:tabs>
          <w:tab w:val="left" w:pos="2665"/>
        </w:tabs>
        <w:ind w:left="2370" w:hanging="425"/>
      </w:pPr>
      <w:rPr>
        <w:rFonts w:hint="eastAsia"/>
      </w:rPr>
    </w:lvl>
    <w:lvl w:ilvl="1" w:tentative="0">
      <w:start w:val="1"/>
      <w:numFmt w:val="lowerLetter"/>
      <w:lvlText w:val="(%2)"/>
      <w:lvlJc w:val="left"/>
      <w:pPr>
        <w:tabs>
          <w:tab w:val="left" w:pos="845"/>
        </w:tabs>
        <w:ind w:left="845" w:hanging="425"/>
      </w:pPr>
      <w:rPr>
        <w:rFonts w:hint="eastAsia"/>
        <w:b w:val="0"/>
        <w:i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1">
    <w:nsid w:val="2B644C78"/>
    <w:multiLevelType w:val="multilevel"/>
    <w:tmpl w:val="2B644C78"/>
    <w:lvl w:ilvl="0" w:tentative="0">
      <w:start w:val="1"/>
      <w:numFmt w:val="decimal"/>
      <w:suff w:val="space"/>
      <w:lvlText w:val="%1)"/>
      <w:lvlJc w:val="left"/>
      <w:pPr>
        <w:ind w:left="900" w:hanging="420"/>
      </w:pPr>
      <w:rPr>
        <w:rFonts w:hint="eastAsia"/>
      </w:rPr>
    </w:lvl>
    <w:lvl w:ilvl="1" w:tentative="0">
      <w:start w:val="1"/>
      <w:numFmt w:val="lowerLetter"/>
      <w:lvlText w:val="%2)"/>
      <w:lvlJc w:val="left"/>
      <w:pPr>
        <w:ind w:left="1322" w:hanging="420"/>
      </w:pPr>
    </w:lvl>
    <w:lvl w:ilvl="2" w:tentative="0">
      <w:start w:val="1"/>
      <w:numFmt w:val="decimal"/>
      <w:lvlText w:val="%3)"/>
      <w:lvlJc w:val="left"/>
      <w:pPr>
        <w:ind w:left="2117" w:hanging="795"/>
      </w:pPr>
      <w:rPr>
        <w:rFonts w:hint="default"/>
      </w:r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2">
    <w:nsid w:val="2C8D61F7"/>
    <w:multiLevelType w:val="multilevel"/>
    <w:tmpl w:val="2C8D61F7"/>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3">
    <w:nsid w:val="2CE80D8A"/>
    <w:multiLevelType w:val="singleLevel"/>
    <w:tmpl w:val="2CE80D8A"/>
    <w:lvl w:ilvl="0" w:tentative="0">
      <w:start w:val="1"/>
      <w:numFmt w:val="decimal"/>
      <w:lvlText w:val="(%1)"/>
      <w:lvlJc w:val="left"/>
      <w:pPr>
        <w:ind w:left="425" w:hanging="425"/>
      </w:pPr>
      <w:rPr>
        <w:rFonts w:hint="default"/>
      </w:rPr>
    </w:lvl>
  </w:abstractNum>
  <w:abstractNum w:abstractNumId="64">
    <w:nsid w:val="2D4D305A"/>
    <w:multiLevelType w:val="multilevel"/>
    <w:tmpl w:val="2D4D305A"/>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5">
    <w:nsid w:val="2DA60779"/>
    <w:multiLevelType w:val="multilevel"/>
    <w:tmpl w:val="2DA60779"/>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6">
    <w:nsid w:val="307C3F13"/>
    <w:multiLevelType w:val="multilevel"/>
    <w:tmpl w:val="307C3F13"/>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67">
    <w:nsid w:val="30AB57BF"/>
    <w:multiLevelType w:val="multilevel"/>
    <w:tmpl w:val="30AB57BF"/>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8">
    <w:nsid w:val="30D4695C"/>
    <w:multiLevelType w:val="multilevel"/>
    <w:tmpl w:val="30D4695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31D4416D"/>
    <w:multiLevelType w:val="multilevel"/>
    <w:tmpl w:val="31D4416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0">
    <w:nsid w:val="32C625E2"/>
    <w:multiLevelType w:val="multilevel"/>
    <w:tmpl w:val="32C625E2"/>
    <w:lvl w:ilvl="0" w:tentative="0">
      <w:start w:val="1"/>
      <w:numFmt w:val="decimal"/>
      <w:lvlText w:val="%1)"/>
      <w:lvlJc w:val="left"/>
      <w:pPr>
        <w:ind w:left="920" w:hanging="420"/>
      </w:pPr>
      <w:rPr>
        <w:rFonts w:hint="default"/>
      </w:rPr>
    </w:lvl>
    <w:lvl w:ilvl="1" w:tentative="0">
      <w:start w:val="1"/>
      <w:numFmt w:val="lowerLetter"/>
      <w:lvlText w:val="%2)"/>
      <w:lvlJc w:val="left"/>
      <w:pPr>
        <w:ind w:left="1340" w:hanging="420"/>
      </w:pPr>
    </w:lvl>
    <w:lvl w:ilvl="2" w:tentative="0">
      <w:start w:val="1"/>
      <w:numFmt w:val="lowerRoman"/>
      <w:lvlText w:val="%3."/>
      <w:lvlJc w:val="right"/>
      <w:pPr>
        <w:ind w:left="1760" w:hanging="420"/>
      </w:p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71">
    <w:nsid w:val="32DB35B6"/>
    <w:multiLevelType w:val="multilevel"/>
    <w:tmpl w:val="32DB35B6"/>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72">
    <w:nsid w:val="337A0AEC"/>
    <w:multiLevelType w:val="multilevel"/>
    <w:tmpl w:val="337A0AEC"/>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73">
    <w:nsid w:val="33D94F85"/>
    <w:multiLevelType w:val="multilevel"/>
    <w:tmpl w:val="33D94F8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4">
    <w:nsid w:val="344B6EBC"/>
    <w:multiLevelType w:val="multilevel"/>
    <w:tmpl w:val="344B6EB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34A30D66"/>
    <w:multiLevelType w:val="multilevel"/>
    <w:tmpl w:val="34A30D66"/>
    <w:lvl w:ilvl="0" w:tentative="0">
      <w:start w:val="1"/>
      <w:numFmt w:val="decimal"/>
      <w:lvlText w:val="（%1）"/>
      <w:lvlJc w:val="left"/>
      <w:pPr>
        <w:ind w:left="920" w:hanging="420"/>
      </w:pPr>
    </w:lvl>
    <w:lvl w:ilvl="1" w:tentative="0">
      <w:start w:val="1"/>
      <w:numFmt w:val="decimal"/>
      <w:lvlText w:val="（%2）"/>
      <w:lvlJc w:val="left"/>
      <w:pPr>
        <w:ind w:left="845" w:hanging="420"/>
      </w:pPr>
    </w:lvl>
    <w:lvl w:ilvl="2" w:tentative="0">
      <w:start w:val="1"/>
      <w:numFmt w:val="decimal"/>
      <w:lvlText w:val="(%3)"/>
      <w:lvlJc w:val="left"/>
      <w:pPr>
        <w:ind w:left="1760" w:hanging="420"/>
      </w:pPr>
      <w:rPr>
        <w:rFonts w:hint="default"/>
      </w:rPr>
    </w:lvl>
    <w:lvl w:ilvl="3" w:tentative="0">
      <w:start w:val="1"/>
      <w:numFmt w:val="decimal"/>
      <w:lvlText w:val="%4）"/>
      <w:lvlJc w:val="left"/>
      <w:pPr>
        <w:ind w:left="2480" w:hanging="720"/>
      </w:pPr>
      <w:rPr>
        <w:rFonts w:hint="default"/>
      </w:r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76">
    <w:nsid w:val="34A553C1"/>
    <w:multiLevelType w:val="multilevel"/>
    <w:tmpl w:val="34A553C1"/>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7">
    <w:nsid w:val="34F25CEE"/>
    <w:multiLevelType w:val="multilevel"/>
    <w:tmpl w:val="34F25CEE"/>
    <w:lvl w:ilvl="0" w:tentative="0">
      <w:start w:val="1"/>
      <w:numFmt w:val="decimal"/>
      <w:lvlText w:val="%1)"/>
      <w:lvlJc w:val="left"/>
      <w:pPr>
        <w:ind w:left="1365" w:hanging="420"/>
      </w:pPr>
    </w:lvl>
    <w:lvl w:ilvl="1" w:tentative="0">
      <w:start w:val="1"/>
      <w:numFmt w:val="lowerLetter"/>
      <w:lvlText w:val="%2)"/>
      <w:lvlJc w:val="left"/>
      <w:pPr>
        <w:ind w:left="1785" w:hanging="420"/>
      </w:pPr>
    </w:lvl>
    <w:lvl w:ilvl="2" w:tentative="0">
      <w:start w:val="1"/>
      <w:numFmt w:val="lowerRoman"/>
      <w:lvlText w:val="%3."/>
      <w:lvlJc w:val="right"/>
      <w:pPr>
        <w:ind w:left="2205" w:hanging="420"/>
      </w:pPr>
    </w:lvl>
    <w:lvl w:ilvl="3" w:tentative="0">
      <w:start w:val="1"/>
      <w:numFmt w:val="decimal"/>
      <w:lvlText w:val="%4."/>
      <w:lvlJc w:val="left"/>
      <w:pPr>
        <w:ind w:left="2625" w:hanging="420"/>
      </w:pPr>
    </w:lvl>
    <w:lvl w:ilvl="4" w:tentative="0">
      <w:start w:val="1"/>
      <w:numFmt w:val="lowerLetter"/>
      <w:lvlText w:val="%5)"/>
      <w:lvlJc w:val="left"/>
      <w:pPr>
        <w:ind w:left="3045" w:hanging="420"/>
      </w:pPr>
    </w:lvl>
    <w:lvl w:ilvl="5" w:tentative="0">
      <w:start w:val="1"/>
      <w:numFmt w:val="lowerRoman"/>
      <w:lvlText w:val="%6."/>
      <w:lvlJc w:val="right"/>
      <w:pPr>
        <w:ind w:left="3465" w:hanging="420"/>
      </w:pPr>
    </w:lvl>
    <w:lvl w:ilvl="6" w:tentative="0">
      <w:start w:val="1"/>
      <w:numFmt w:val="decimal"/>
      <w:lvlText w:val="%7."/>
      <w:lvlJc w:val="left"/>
      <w:pPr>
        <w:ind w:left="3885" w:hanging="420"/>
      </w:pPr>
    </w:lvl>
    <w:lvl w:ilvl="7" w:tentative="0">
      <w:start w:val="1"/>
      <w:numFmt w:val="lowerLetter"/>
      <w:lvlText w:val="%8)"/>
      <w:lvlJc w:val="left"/>
      <w:pPr>
        <w:ind w:left="4305" w:hanging="420"/>
      </w:pPr>
    </w:lvl>
    <w:lvl w:ilvl="8" w:tentative="0">
      <w:start w:val="1"/>
      <w:numFmt w:val="lowerRoman"/>
      <w:lvlText w:val="%9."/>
      <w:lvlJc w:val="right"/>
      <w:pPr>
        <w:ind w:left="4725" w:hanging="420"/>
      </w:pPr>
    </w:lvl>
  </w:abstractNum>
  <w:abstractNum w:abstractNumId="78">
    <w:nsid w:val="37B675B4"/>
    <w:multiLevelType w:val="multilevel"/>
    <w:tmpl w:val="37B675B4"/>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9">
    <w:nsid w:val="37E4574F"/>
    <w:multiLevelType w:val="multilevel"/>
    <w:tmpl w:val="37E4574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0">
    <w:nsid w:val="38EB50A9"/>
    <w:multiLevelType w:val="multilevel"/>
    <w:tmpl w:val="38EB50A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1">
    <w:nsid w:val="3AB44A66"/>
    <w:multiLevelType w:val="multilevel"/>
    <w:tmpl w:val="3AB44A66"/>
    <w:lvl w:ilvl="0" w:tentative="0">
      <w:start w:val="1"/>
      <w:numFmt w:val="decimal"/>
      <w:pStyle w:val="1222"/>
      <w:lvlText w:val="5.4.%1"/>
      <w:lvlJc w:val="left"/>
      <w:pPr>
        <w:tabs>
          <w:tab w:val="left" w:pos="1260"/>
        </w:tabs>
        <w:ind w:left="1260" w:hanging="420"/>
      </w:pPr>
      <w:rPr>
        <w:rFonts w:hint="eastAsia"/>
      </w:rPr>
    </w:lvl>
    <w:lvl w:ilvl="1" w:tentative="0">
      <w:start w:val="1"/>
      <w:numFmt w:val="decimal"/>
      <w:lvlText w:val="5.5.%2. "/>
      <w:lvlJc w:val="left"/>
      <w:pPr>
        <w:tabs>
          <w:tab w:val="left" w:pos="1500"/>
        </w:tabs>
        <w:ind w:left="845" w:hanging="425"/>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2">
    <w:nsid w:val="3BF61002"/>
    <w:multiLevelType w:val="multilevel"/>
    <w:tmpl w:val="3BF61002"/>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3">
    <w:nsid w:val="3CD877C5"/>
    <w:multiLevelType w:val="multilevel"/>
    <w:tmpl w:val="3CD877C5"/>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4">
    <w:nsid w:val="3D2D2EE8"/>
    <w:multiLevelType w:val="multilevel"/>
    <w:tmpl w:val="3D2D2EE8"/>
    <w:lvl w:ilvl="0" w:tentative="0">
      <w:start w:val="1"/>
      <w:numFmt w:val="bullet"/>
      <w:lvlText w:val=""/>
      <w:lvlJc w:val="left"/>
      <w:pPr>
        <w:ind w:left="920" w:hanging="420"/>
      </w:pPr>
      <w:rPr>
        <w:rFonts w:hint="default" w:ascii="Wingdings" w:hAnsi="Wingdings"/>
      </w:rPr>
    </w:lvl>
    <w:lvl w:ilvl="1" w:tentative="0">
      <w:start w:val="1"/>
      <w:numFmt w:val="bullet"/>
      <w:lvlText w:val=""/>
      <w:lvlJc w:val="left"/>
      <w:pPr>
        <w:ind w:left="1340" w:hanging="420"/>
      </w:pPr>
      <w:rPr>
        <w:rFonts w:hint="default" w:ascii="Wingdings" w:hAnsi="Wingdings"/>
      </w:rPr>
    </w:lvl>
    <w:lvl w:ilvl="2" w:tentative="0">
      <w:start w:val="1"/>
      <w:numFmt w:val="bullet"/>
      <w:lvlText w:val=""/>
      <w:lvlJc w:val="left"/>
      <w:pPr>
        <w:ind w:left="1760" w:hanging="420"/>
      </w:pPr>
      <w:rPr>
        <w:rFonts w:hint="default" w:ascii="Wingdings" w:hAnsi="Wingdings"/>
      </w:rPr>
    </w:lvl>
    <w:lvl w:ilvl="3" w:tentative="0">
      <w:start w:val="1"/>
      <w:numFmt w:val="bullet"/>
      <w:lvlText w:val=""/>
      <w:lvlJc w:val="left"/>
      <w:pPr>
        <w:ind w:left="2180" w:hanging="420"/>
      </w:pPr>
      <w:rPr>
        <w:rFonts w:hint="default" w:ascii="Wingdings" w:hAnsi="Wingdings"/>
      </w:rPr>
    </w:lvl>
    <w:lvl w:ilvl="4" w:tentative="0">
      <w:start w:val="1"/>
      <w:numFmt w:val="bullet"/>
      <w:lvlText w:val=""/>
      <w:lvlJc w:val="left"/>
      <w:pPr>
        <w:ind w:left="2600" w:hanging="420"/>
      </w:pPr>
      <w:rPr>
        <w:rFonts w:hint="default" w:ascii="Wingdings" w:hAnsi="Wingdings"/>
      </w:rPr>
    </w:lvl>
    <w:lvl w:ilvl="5" w:tentative="0">
      <w:start w:val="1"/>
      <w:numFmt w:val="bullet"/>
      <w:lvlText w:val=""/>
      <w:lvlJc w:val="left"/>
      <w:pPr>
        <w:ind w:left="3020" w:hanging="420"/>
      </w:pPr>
      <w:rPr>
        <w:rFonts w:hint="default" w:ascii="Wingdings" w:hAnsi="Wingdings"/>
      </w:rPr>
    </w:lvl>
    <w:lvl w:ilvl="6" w:tentative="0">
      <w:start w:val="1"/>
      <w:numFmt w:val="bullet"/>
      <w:lvlText w:val=""/>
      <w:lvlJc w:val="left"/>
      <w:pPr>
        <w:ind w:left="3440" w:hanging="420"/>
      </w:pPr>
      <w:rPr>
        <w:rFonts w:hint="default" w:ascii="Wingdings" w:hAnsi="Wingdings"/>
      </w:rPr>
    </w:lvl>
    <w:lvl w:ilvl="7" w:tentative="0">
      <w:start w:val="1"/>
      <w:numFmt w:val="bullet"/>
      <w:lvlText w:val=""/>
      <w:lvlJc w:val="left"/>
      <w:pPr>
        <w:ind w:left="3860" w:hanging="420"/>
      </w:pPr>
      <w:rPr>
        <w:rFonts w:hint="default" w:ascii="Wingdings" w:hAnsi="Wingdings"/>
      </w:rPr>
    </w:lvl>
    <w:lvl w:ilvl="8" w:tentative="0">
      <w:start w:val="1"/>
      <w:numFmt w:val="bullet"/>
      <w:lvlText w:val=""/>
      <w:lvlJc w:val="left"/>
      <w:pPr>
        <w:ind w:left="4280" w:hanging="420"/>
      </w:pPr>
      <w:rPr>
        <w:rFonts w:hint="default" w:ascii="Wingdings" w:hAnsi="Wingdings"/>
      </w:rPr>
    </w:lvl>
  </w:abstractNum>
  <w:abstractNum w:abstractNumId="85">
    <w:nsid w:val="3DBB6E40"/>
    <w:multiLevelType w:val="multilevel"/>
    <w:tmpl w:val="3DBB6E40"/>
    <w:lvl w:ilvl="0" w:tentative="0">
      <w:start w:val="1"/>
      <w:numFmt w:val="decimal"/>
      <w:pStyle w:val="717"/>
      <w:lvlText w:val="%1"/>
      <w:lvlJc w:val="left"/>
      <w:pPr>
        <w:tabs>
          <w:tab w:val="left" w:pos="720"/>
        </w:tabs>
        <w:ind w:left="720" w:hanging="720"/>
      </w:pPr>
      <w:rPr>
        <w:rFonts w:hint="default" w:ascii="Arial" w:hAnsi="Arial"/>
        <w:b/>
        <w:i w:val="0"/>
        <w:sz w:val="28"/>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86">
    <w:nsid w:val="3E003B5A"/>
    <w:multiLevelType w:val="multilevel"/>
    <w:tmpl w:val="3E003B5A"/>
    <w:lvl w:ilvl="0" w:tentative="0">
      <w:start w:val="1"/>
      <w:numFmt w:val="chineseCountingThousand"/>
      <w:pStyle w:val="2"/>
      <w:suff w:val="space"/>
      <w:lvlText w:val="第%1章"/>
      <w:lvlJc w:val="center"/>
      <w:pPr>
        <w:ind w:left="0" w:firstLine="0"/>
      </w:pPr>
      <w:rPr>
        <w:rFonts w:hint="eastAsia" w:ascii="黑体" w:eastAsia="黑体"/>
        <w:b/>
        <w:i w:val="0"/>
        <w:spacing w:val="8"/>
        <w:w w:val="100"/>
        <w:position w:val="0"/>
        <w:sz w:val="32"/>
      </w:rPr>
    </w:lvl>
    <w:lvl w:ilvl="1" w:tentative="0">
      <w:start w:val="1"/>
      <w:numFmt w:val="decimal"/>
      <w:pStyle w:val="3"/>
      <w:suff w:val="space"/>
      <w:lvlText w:val="1.%2"/>
      <w:lvlJc w:val="left"/>
      <w:pPr>
        <w:ind w:left="-152" w:firstLine="578"/>
      </w:pPr>
      <w:rPr>
        <w:rFonts w:hint="eastAsia" w:ascii="黑体" w:eastAsia="黑体"/>
        <w:b/>
        <w:i w:val="0"/>
        <w:spacing w:val="8"/>
        <w:w w:val="100"/>
        <w:position w:val="0"/>
        <w:sz w:val="30"/>
      </w:rPr>
    </w:lvl>
    <w:lvl w:ilvl="2" w:tentative="0">
      <w:start w:val="1"/>
      <w:numFmt w:val="decimal"/>
      <w:suff w:val="space"/>
      <w:lvlText w:val="1.1.%3"/>
      <w:lvlJc w:val="left"/>
      <w:pPr>
        <w:ind w:left="-578" w:firstLine="578"/>
      </w:pPr>
      <w:rPr>
        <w:rFonts w:hint="eastAsia" w:ascii="黑体" w:eastAsia="黑体"/>
        <w:b/>
        <w:i w:val="0"/>
        <w:spacing w:val="8"/>
        <w:w w:val="100"/>
        <w:position w:val="0"/>
        <w:sz w:val="28"/>
      </w:rPr>
    </w:lvl>
    <w:lvl w:ilvl="3" w:tentative="0">
      <w:start w:val="1"/>
      <w:numFmt w:val="decimal"/>
      <w:suff w:val="space"/>
      <w:lvlText w:val="1.1.1.%4"/>
      <w:lvlJc w:val="left"/>
      <w:pPr>
        <w:ind w:left="0" w:firstLine="578"/>
      </w:pPr>
      <w:rPr>
        <w:rFonts w:hint="default" w:ascii="Times New Roman" w:hAnsi="Times New Roman" w:eastAsia="宋体"/>
        <w:b w:val="0"/>
        <w:i w:val="0"/>
        <w:spacing w:val="8"/>
        <w:w w:val="100"/>
        <w:position w:val="0"/>
        <w:sz w:val="28"/>
      </w:rPr>
    </w:lvl>
    <w:lvl w:ilvl="4" w:tentative="0">
      <w:start w:val="1"/>
      <w:numFmt w:val="none"/>
      <w:suff w:val="nothing"/>
      <w:lvlText w:val=""/>
      <w:lvlJc w:val="left"/>
      <w:pPr>
        <w:ind w:left="578" w:firstLine="0"/>
      </w:pPr>
      <w:rPr>
        <w:rFonts w:hint="eastAsia"/>
      </w:rPr>
    </w:lvl>
    <w:lvl w:ilvl="5" w:tentative="0">
      <w:start w:val="1"/>
      <w:numFmt w:val="none"/>
      <w:suff w:val="nothing"/>
      <w:lvlText w:val=""/>
      <w:lvlJc w:val="left"/>
      <w:pPr>
        <w:ind w:left="578" w:firstLine="0"/>
      </w:pPr>
      <w:rPr>
        <w:rFonts w:hint="eastAsia"/>
      </w:rPr>
    </w:lvl>
    <w:lvl w:ilvl="6" w:tentative="0">
      <w:start w:val="1"/>
      <w:numFmt w:val="none"/>
      <w:suff w:val="nothing"/>
      <w:lvlText w:val=""/>
      <w:lvlJc w:val="left"/>
      <w:pPr>
        <w:ind w:left="578" w:firstLine="0"/>
      </w:pPr>
      <w:rPr>
        <w:rFonts w:hint="eastAsia"/>
      </w:rPr>
    </w:lvl>
    <w:lvl w:ilvl="7" w:tentative="0">
      <w:start w:val="1"/>
      <w:numFmt w:val="none"/>
      <w:suff w:val="nothing"/>
      <w:lvlText w:val=""/>
      <w:lvlJc w:val="left"/>
      <w:pPr>
        <w:ind w:left="578" w:firstLine="0"/>
      </w:pPr>
      <w:rPr>
        <w:rFonts w:hint="eastAsia"/>
      </w:rPr>
    </w:lvl>
    <w:lvl w:ilvl="8" w:tentative="0">
      <w:start w:val="1"/>
      <w:numFmt w:val="none"/>
      <w:suff w:val="nothing"/>
      <w:lvlText w:val=""/>
      <w:lvlJc w:val="left"/>
      <w:pPr>
        <w:ind w:left="578" w:firstLine="0"/>
      </w:pPr>
      <w:rPr>
        <w:rFonts w:hint="eastAsia"/>
      </w:rPr>
    </w:lvl>
  </w:abstractNum>
  <w:abstractNum w:abstractNumId="87">
    <w:nsid w:val="3F462A54"/>
    <w:multiLevelType w:val="multilevel"/>
    <w:tmpl w:val="3F462A54"/>
    <w:lvl w:ilvl="0" w:tentative="0">
      <w:start w:val="1"/>
      <w:numFmt w:val="decimal"/>
      <w:lvlText w:val="%1)"/>
      <w:lvlJc w:val="left"/>
      <w:pPr>
        <w:ind w:left="981" w:hanging="420"/>
      </w:pPr>
    </w:lvl>
    <w:lvl w:ilvl="1" w:tentative="0">
      <w:start w:val="1"/>
      <w:numFmt w:val="lowerLetter"/>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88">
    <w:nsid w:val="3F918659"/>
    <w:multiLevelType w:val="singleLevel"/>
    <w:tmpl w:val="3F918659"/>
    <w:lvl w:ilvl="0" w:tentative="0">
      <w:start w:val="1"/>
      <w:numFmt w:val="decimal"/>
      <w:lvlText w:val="(%1)"/>
      <w:lvlJc w:val="left"/>
      <w:pPr>
        <w:ind w:left="425" w:hanging="425"/>
      </w:pPr>
      <w:rPr>
        <w:rFonts w:hint="default"/>
      </w:rPr>
    </w:lvl>
  </w:abstractNum>
  <w:abstractNum w:abstractNumId="89">
    <w:nsid w:val="41731304"/>
    <w:multiLevelType w:val="multilevel"/>
    <w:tmpl w:val="41731304"/>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0">
    <w:nsid w:val="4175550D"/>
    <w:multiLevelType w:val="singleLevel"/>
    <w:tmpl w:val="4175550D"/>
    <w:lvl w:ilvl="0" w:tentative="0">
      <w:start w:val="1"/>
      <w:numFmt w:val="decimal"/>
      <w:lvlText w:val="(%1)"/>
      <w:lvlJc w:val="left"/>
      <w:pPr>
        <w:ind w:left="425" w:hanging="425"/>
      </w:pPr>
      <w:rPr>
        <w:rFonts w:hint="default"/>
      </w:rPr>
    </w:lvl>
  </w:abstractNum>
  <w:abstractNum w:abstractNumId="91">
    <w:nsid w:val="41F10A3F"/>
    <w:multiLevelType w:val="multilevel"/>
    <w:tmpl w:val="41F10A3F"/>
    <w:lvl w:ilvl="0" w:tentative="0">
      <w:start w:val="1"/>
      <w:numFmt w:val="decimal"/>
      <w:lvlText w:val="（%1）"/>
      <w:lvlJc w:val="left"/>
      <w:pPr>
        <w:ind w:left="1170" w:hanging="420"/>
      </w:pPr>
      <w:rPr>
        <w:rFonts w:hint="default"/>
      </w:rPr>
    </w:lvl>
    <w:lvl w:ilvl="1" w:tentative="0">
      <w:start w:val="1"/>
      <w:numFmt w:val="lowerLetter"/>
      <w:lvlText w:val="%2)"/>
      <w:lvlJc w:val="left"/>
      <w:pPr>
        <w:ind w:left="1340" w:hanging="420"/>
      </w:pPr>
    </w:lvl>
    <w:lvl w:ilvl="2" w:tentative="0">
      <w:start w:val="1"/>
      <w:numFmt w:val="lowerRoman"/>
      <w:lvlText w:val="%3."/>
      <w:lvlJc w:val="right"/>
      <w:pPr>
        <w:ind w:left="1760" w:hanging="420"/>
      </w:p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92">
    <w:nsid w:val="421149A9"/>
    <w:multiLevelType w:val="multilevel"/>
    <w:tmpl w:val="421149A9"/>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93">
    <w:nsid w:val="42126B09"/>
    <w:multiLevelType w:val="multilevel"/>
    <w:tmpl w:val="42126B09"/>
    <w:lvl w:ilvl="0" w:tentative="0">
      <w:start w:val="1"/>
      <w:numFmt w:val="bullet"/>
      <w:lvlText w:val=""/>
      <w:lvlJc w:val="left"/>
      <w:pPr>
        <w:ind w:left="920" w:hanging="420"/>
      </w:pPr>
      <w:rPr>
        <w:rFonts w:hint="default" w:ascii="Wingdings" w:hAnsi="Wingdings"/>
      </w:rPr>
    </w:lvl>
    <w:lvl w:ilvl="1" w:tentative="0">
      <w:start w:val="1"/>
      <w:numFmt w:val="bullet"/>
      <w:lvlText w:val=""/>
      <w:lvlJc w:val="left"/>
      <w:pPr>
        <w:ind w:left="1340" w:hanging="420"/>
      </w:pPr>
      <w:rPr>
        <w:rFonts w:hint="default" w:ascii="Wingdings" w:hAnsi="Wingdings"/>
      </w:rPr>
    </w:lvl>
    <w:lvl w:ilvl="2" w:tentative="0">
      <w:start w:val="1"/>
      <w:numFmt w:val="bullet"/>
      <w:lvlText w:val=""/>
      <w:lvlJc w:val="left"/>
      <w:pPr>
        <w:ind w:left="1760" w:hanging="420"/>
      </w:pPr>
      <w:rPr>
        <w:rFonts w:hint="default" w:ascii="Wingdings" w:hAnsi="Wingdings"/>
      </w:rPr>
    </w:lvl>
    <w:lvl w:ilvl="3" w:tentative="0">
      <w:start w:val="1"/>
      <w:numFmt w:val="bullet"/>
      <w:lvlText w:val=""/>
      <w:lvlJc w:val="left"/>
      <w:pPr>
        <w:ind w:left="2180" w:hanging="420"/>
      </w:pPr>
      <w:rPr>
        <w:rFonts w:hint="default" w:ascii="Wingdings" w:hAnsi="Wingdings"/>
      </w:rPr>
    </w:lvl>
    <w:lvl w:ilvl="4" w:tentative="0">
      <w:start w:val="1"/>
      <w:numFmt w:val="bullet"/>
      <w:lvlText w:val=""/>
      <w:lvlJc w:val="left"/>
      <w:pPr>
        <w:ind w:left="2600" w:hanging="420"/>
      </w:pPr>
      <w:rPr>
        <w:rFonts w:hint="default" w:ascii="Wingdings" w:hAnsi="Wingdings"/>
      </w:rPr>
    </w:lvl>
    <w:lvl w:ilvl="5" w:tentative="0">
      <w:start w:val="1"/>
      <w:numFmt w:val="bullet"/>
      <w:lvlText w:val=""/>
      <w:lvlJc w:val="left"/>
      <w:pPr>
        <w:ind w:left="3020" w:hanging="420"/>
      </w:pPr>
      <w:rPr>
        <w:rFonts w:hint="default" w:ascii="Wingdings" w:hAnsi="Wingdings"/>
      </w:rPr>
    </w:lvl>
    <w:lvl w:ilvl="6" w:tentative="0">
      <w:start w:val="1"/>
      <w:numFmt w:val="bullet"/>
      <w:lvlText w:val=""/>
      <w:lvlJc w:val="left"/>
      <w:pPr>
        <w:ind w:left="3440" w:hanging="420"/>
      </w:pPr>
      <w:rPr>
        <w:rFonts w:hint="default" w:ascii="Wingdings" w:hAnsi="Wingdings"/>
      </w:rPr>
    </w:lvl>
    <w:lvl w:ilvl="7" w:tentative="0">
      <w:start w:val="1"/>
      <w:numFmt w:val="bullet"/>
      <w:lvlText w:val=""/>
      <w:lvlJc w:val="left"/>
      <w:pPr>
        <w:ind w:left="3860" w:hanging="420"/>
      </w:pPr>
      <w:rPr>
        <w:rFonts w:hint="default" w:ascii="Wingdings" w:hAnsi="Wingdings"/>
      </w:rPr>
    </w:lvl>
    <w:lvl w:ilvl="8" w:tentative="0">
      <w:start w:val="1"/>
      <w:numFmt w:val="bullet"/>
      <w:lvlText w:val=""/>
      <w:lvlJc w:val="left"/>
      <w:pPr>
        <w:ind w:left="4280" w:hanging="420"/>
      </w:pPr>
      <w:rPr>
        <w:rFonts w:hint="default" w:ascii="Wingdings" w:hAnsi="Wingdings"/>
      </w:rPr>
    </w:lvl>
  </w:abstractNum>
  <w:abstractNum w:abstractNumId="94">
    <w:nsid w:val="431F30EA"/>
    <w:multiLevelType w:val="multilevel"/>
    <w:tmpl w:val="431F30EA"/>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95">
    <w:nsid w:val="445C3730"/>
    <w:multiLevelType w:val="multilevel"/>
    <w:tmpl w:val="445C3730"/>
    <w:lvl w:ilvl="0" w:tentative="0">
      <w:start w:val="1"/>
      <w:numFmt w:val="bullet"/>
      <w:lvlText w:val=""/>
      <w:lvlJc w:val="left"/>
      <w:pPr>
        <w:ind w:left="920" w:hanging="420"/>
      </w:pPr>
      <w:rPr>
        <w:rFonts w:hint="default" w:ascii="Wingdings" w:hAnsi="Wingdings"/>
      </w:rPr>
    </w:lvl>
    <w:lvl w:ilvl="1" w:tentative="0">
      <w:start w:val="1"/>
      <w:numFmt w:val="bullet"/>
      <w:lvlText w:val=""/>
      <w:lvlJc w:val="left"/>
      <w:pPr>
        <w:ind w:left="1340" w:hanging="420"/>
      </w:pPr>
      <w:rPr>
        <w:rFonts w:hint="default" w:ascii="Wingdings" w:hAnsi="Wingdings"/>
      </w:rPr>
    </w:lvl>
    <w:lvl w:ilvl="2" w:tentative="0">
      <w:start w:val="1"/>
      <w:numFmt w:val="bullet"/>
      <w:lvlText w:val=""/>
      <w:lvlJc w:val="left"/>
      <w:pPr>
        <w:ind w:left="1760" w:hanging="420"/>
      </w:pPr>
      <w:rPr>
        <w:rFonts w:hint="default" w:ascii="Wingdings" w:hAnsi="Wingdings"/>
      </w:rPr>
    </w:lvl>
    <w:lvl w:ilvl="3" w:tentative="0">
      <w:start w:val="1"/>
      <w:numFmt w:val="bullet"/>
      <w:lvlText w:val=""/>
      <w:lvlJc w:val="left"/>
      <w:pPr>
        <w:ind w:left="2180" w:hanging="420"/>
      </w:pPr>
      <w:rPr>
        <w:rFonts w:hint="default" w:ascii="Wingdings" w:hAnsi="Wingdings"/>
      </w:rPr>
    </w:lvl>
    <w:lvl w:ilvl="4" w:tentative="0">
      <w:start w:val="1"/>
      <w:numFmt w:val="bullet"/>
      <w:lvlText w:val=""/>
      <w:lvlJc w:val="left"/>
      <w:pPr>
        <w:ind w:left="2600" w:hanging="420"/>
      </w:pPr>
      <w:rPr>
        <w:rFonts w:hint="default" w:ascii="Wingdings" w:hAnsi="Wingdings"/>
      </w:rPr>
    </w:lvl>
    <w:lvl w:ilvl="5" w:tentative="0">
      <w:start w:val="1"/>
      <w:numFmt w:val="bullet"/>
      <w:lvlText w:val=""/>
      <w:lvlJc w:val="left"/>
      <w:pPr>
        <w:ind w:left="3020" w:hanging="420"/>
      </w:pPr>
      <w:rPr>
        <w:rFonts w:hint="default" w:ascii="Wingdings" w:hAnsi="Wingdings"/>
      </w:rPr>
    </w:lvl>
    <w:lvl w:ilvl="6" w:tentative="0">
      <w:start w:val="1"/>
      <w:numFmt w:val="bullet"/>
      <w:lvlText w:val=""/>
      <w:lvlJc w:val="left"/>
      <w:pPr>
        <w:ind w:left="3440" w:hanging="420"/>
      </w:pPr>
      <w:rPr>
        <w:rFonts w:hint="default" w:ascii="Wingdings" w:hAnsi="Wingdings"/>
      </w:rPr>
    </w:lvl>
    <w:lvl w:ilvl="7" w:tentative="0">
      <w:start w:val="1"/>
      <w:numFmt w:val="bullet"/>
      <w:lvlText w:val=""/>
      <w:lvlJc w:val="left"/>
      <w:pPr>
        <w:ind w:left="3860" w:hanging="420"/>
      </w:pPr>
      <w:rPr>
        <w:rFonts w:hint="default" w:ascii="Wingdings" w:hAnsi="Wingdings"/>
      </w:rPr>
    </w:lvl>
    <w:lvl w:ilvl="8" w:tentative="0">
      <w:start w:val="1"/>
      <w:numFmt w:val="bullet"/>
      <w:lvlText w:val=""/>
      <w:lvlJc w:val="left"/>
      <w:pPr>
        <w:ind w:left="4280" w:hanging="420"/>
      </w:pPr>
      <w:rPr>
        <w:rFonts w:hint="default" w:ascii="Wingdings" w:hAnsi="Wingdings"/>
      </w:rPr>
    </w:lvl>
  </w:abstractNum>
  <w:abstractNum w:abstractNumId="96">
    <w:nsid w:val="44774DE1"/>
    <w:multiLevelType w:val="multilevel"/>
    <w:tmpl w:val="44774DE1"/>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7">
    <w:nsid w:val="45701084"/>
    <w:multiLevelType w:val="multilevel"/>
    <w:tmpl w:val="45701084"/>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8">
    <w:nsid w:val="45A91D09"/>
    <w:multiLevelType w:val="multilevel"/>
    <w:tmpl w:val="45A91D09"/>
    <w:lvl w:ilvl="0" w:tentative="0">
      <w:start w:val="1"/>
      <w:numFmt w:val="lowerLetter"/>
      <w:lvlText w:val="%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9">
    <w:nsid w:val="464E6349"/>
    <w:multiLevelType w:val="multilevel"/>
    <w:tmpl w:val="464E6349"/>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0">
    <w:nsid w:val="47FA181F"/>
    <w:multiLevelType w:val="multilevel"/>
    <w:tmpl w:val="47FA181F"/>
    <w:lvl w:ilvl="0" w:tentative="0">
      <w:start w:val="1"/>
      <w:numFmt w:val="lowerLetter"/>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1">
    <w:nsid w:val="4A2818C3"/>
    <w:multiLevelType w:val="multilevel"/>
    <w:tmpl w:val="4A2818C3"/>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2">
    <w:nsid w:val="4A525E62"/>
    <w:multiLevelType w:val="multilevel"/>
    <w:tmpl w:val="4A525E62"/>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3">
    <w:nsid w:val="4A903280"/>
    <w:multiLevelType w:val="singleLevel"/>
    <w:tmpl w:val="4A903280"/>
    <w:lvl w:ilvl="0" w:tentative="0">
      <w:start w:val="1"/>
      <w:numFmt w:val="decimal"/>
      <w:lvlText w:val="(%1)"/>
      <w:lvlJc w:val="left"/>
      <w:pPr>
        <w:ind w:left="425" w:hanging="425"/>
      </w:pPr>
      <w:rPr>
        <w:rFonts w:hint="default"/>
      </w:rPr>
    </w:lvl>
  </w:abstractNum>
  <w:abstractNum w:abstractNumId="104">
    <w:nsid w:val="4AE615B6"/>
    <w:multiLevelType w:val="multilevel"/>
    <w:tmpl w:val="4AE615B6"/>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5">
    <w:nsid w:val="4B530628"/>
    <w:multiLevelType w:val="multilevel"/>
    <w:tmpl w:val="4B530628"/>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06">
    <w:nsid w:val="4F7B6FAF"/>
    <w:multiLevelType w:val="multilevel"/>
    <w:tmpl w:val="4F7B6FAF"/>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7">
    <w:nsid w:val="4F8F6AF3"/>
    <w:multiLevelType w:val="multilevel"/>
    <w:tmpl w:val="4F8F6AF3"/>
    <w:lvl w:ilvl="0" w:tentative="0">
      <w:start w:val="1"/>
      <w:numFmt w:val="decimal"/>
      <w:suff w:val="nothing"/>
      <w:lvlText w:val="%1、"/>
      <w:lvlJc w:val="left"/>
      <w:rPr>
        <w:rFonts w:cs="Times New Roman"/>
      </w:rPr>
    </w:lvl>
    <w:lvl w:ilvl="1" w:tentative="0">
      <w:start w:val="1"/>
      <w:numFmt w:val="decimal"/>
      <w:lvlText w:val="（%2）"/>
      <w:lvlJc w:val="left"/>
      <w:rPr>
        <w:rFonts w:hint="default"/>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08">
    <w:nsid w:val="50092D4A"/>
    <w:multiLevelType w:val="multilevel"/>
    <w:tmpl w:val="50092D4A"/>
    <w:lvl w:ilvl="0" w:tentative="0">
      <w:start w:val="1"/>
      <w:numFmt w:val="bullet"/>
      <w:lvlText w:val=""/>
      <w:lvlJc w:val="left"/>
      <w:pPr>
        <w:ind w:left="420" w:hanging="4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9">
    <w:nsid w:val="510F0545"/>
    <w:multiLevelType w:val="singleLevel"/>
    <w:tmpl w:val="510F0545"/>
    <w:lvl w:ilvl="0" w:tentative="0">
      <w:start w:val="1"/>
      <w:numFmt w:val="decimal"/>
      <w:lvlText w:val="(%1)"/>
      <w:lvlJc w:val="left"/>
      <w:pPr>
        <w:ind w:left="425" w:hanging="425"/>
      </w:pPr>
      <w:rPr>
        <w:rFonts w:hint="default"/>
      </w:rPr>
    </w:lvl>
  </w:abstractNum>
  <w:abstractNum w:abstractNumId="110">
    <w:nsid w:val="52485883"/>
    <w:multiLevelType w:val="multilevel"/>
    <w:tmpl w:val="52485883"/>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111">
    <w:nsid w:val="52524E5B"/>
    <w:multiLevelType w:val="multilevel"/>
    <w:tmpl w:val="52524E5B"/>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12">
    <w:nsid w:val="52780BA6"/>
    <w:multiLevelType w:val="multilevel"/>
    <w:tmpl w:val="52780BA6"/>
    <w:lvl w:ilvl="0" w:tentative="0">
      <w:start w:val="1"/>
      <w:numFmt w:val="bullet"/>
      <w:lvlText w:val=""/>
      <w:lvlJc w:val="left"/>
      <w:pPr>
        <w:ind w:left="420" w:hanging="4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3">
    <w:nsid w:val="5310526F"/>
    <w:multiLevelType w:val="multilevel"/>
    <w:tmpl w:val="5310526F"/>
    <w:lvl w:ilvl="0" w:tentative="0">
      <w:start w:val="1"/>
      <w:numFmt w:val="decimal"/>
      <w:suff w:val="nothing"/>
      <w:lvlText w:val="%1、"/>
      <w:lvlJc w:val="left"/>
      <w:rPr>
        <w:rFonts w:cs="Times New Roman"/>
      </w:rPr>
    </w:lvl>
    <w:lvl w:ilvl="1" w:tentative="0">
      <w:start w:val="1"/>
      <w:numFmt w:val="decimal"/>
      <w:lvlText w:val="（%2）"/>
      <w:lvlJc w:val="left"/>
      <w:rPr>
        <w:rFonts w:hint="default"/>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14">
    <w:nsid w:val="53C61E8F"/>
    <w:multiLevelType w:val="multilevel"/>
    <w:tmpl w:val="53C61E8F"/>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5">
    <w:nsid w:val="53FB1271"/>
    <w:multiLevelType w:val="singleLevel"/>
    <w:tmpl w:val="53FB1271"/>
    <w:lvl w:ilvl="0" w:tentative="0">
      <w:start w:val="1"/>
      <w:numFmt w:val="decimal"/>
      <w:suff w:val="nothing"/>
      <w:lvlText w:val="%1、"/>
      <w:lvlJc w:val="left"/>
    </w:lvl>
  </w:abstractNum>
  <w:abstractNum w:abstractNumId="116">
    <w:nsid w:val="5465761F"/>
    <w:multiLevelType w:val="singleLevel"/>
    <w:tmpl w:val="5465761F"/>
    <w:lvl w:ilvl="0" w:tentative="0">
      <w:start w:val="1"/>
      <w:numFmt w:val="decimal"/>
      <w:suff w:val="nothing"/>
      <w:lvlText w:val="%1、"/>
      <w:lvlJc w:val="left"/>
    </w:lvl>
  </w:abstractNum>
  <w:abstractNum w:abstractNumId="117">
    <w:nsid w:val="5507236E"/>
    <w:multiLevelType w:val="multilevel"/>
    <w:tmpl w:val="5507236E"/>
    <w:lvl w:ilvl="0" w:tentative="0">
      <w:start w:val="1"/>
      <w:numFmt w:val="bullet"/>
      <w:lvlText w:val=""/>
      <w:lvlJc w:val="left"/>
      <w:pPr>
        <w:ind w:left="420" w:hanging="4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8">
    <w:nsid w:val="550FFBC1"/>
    <w:multiLevelType w:val="singleLevel"/>
    <w:tmpl w:val="550FFBC1"/>
    <w:lvl w:ilvl="0" w:tentative="0">
      <w:start w:val="1"/>
      <w:numFmt w:val="decimal"/>
      <w:lvlText w:val="(%1)"/>
      <w:lvlJc w:val="left"/>
      <w:pPr>
        <w:ind w:left="425" w:hanging="425"/>
      </w:pPr>
      <w:rPr>
        <w:rFonts w:hint="default"/>
      </w:rPr>
    </w:lvl>
  </w:abstractNum>
  <w:abstractNum w:abstractNumId="119">
    <w:nsid w:val="56FD6F63"/>
    <w:multiLevelType w:val="multilevel"/>
    <w:tmpl w:val="56FD6F6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0">
    <w:nsid w:val="584C2DDD"/>
    <w:multiLevelType w:val="singleLevel"/>
    <w:tmpl w:val="584C2DDD"/>
    <w:lvl w:ilvl="0" w:tentative="0">
      <w:start w:val="1"/>
      <w:numFmt w:val="decimal"/>
      <w:lvlText w:val="(%1)"/>
      <w:lvlJc w:val="left"/>
      <w:pPr>
        <w:ind w:left="425" w:hanging="425"/>
      </w:pPr>
      <w:rPr>
        <w:rFonts w:hint="default"/>
      </w:rPr>
    </w:lvl>
  </w:abstractNum>
  <w:abstractNum w:abstractNumId="121">
    <w:nsid w:val="59D04A69"/>
    <w:multiLevelType w:val="multilevel"/>
    <w:tmpl w:val="59D04A6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2">
    <w:nsid w:val="5AD31D1D"/>
    <w:multiLevelType w:val="multilevel"/>
    <w:tmpl w:val="5AD31D1D"/>
    <w:lvl w:ilvl="0" w:tentative="0">
      <w:start w:val="1"/>
      <w:numFmt w:val="decimal"/>
      <w:lvlText w:val="%1)"/>
      <w:lvlJc w:val="left"/>
      <w:pPr>
        <w:ind w:left="90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3">
    <w:nsid w:val="5B004F66"/>
    <w:multiLevelType w:val="multilevel"/>
    <w:tmpl w:val="5B004F66"/>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4">
    <w:nsid w:val="5BF34B68"/>
    <w:multiLevelType w:val="multilevel"/>
    <w:tmpl w:val="5BF34B68"/>
    <w:lvl w:ilvl="0" w:tentative="0">
      <w:start w:val="1"/>
      <w:numFmt w:val="bullet"/>
      <w:lvlText w:val=""/>
      <w:lvlJc w:val="left"/>
      <w:pPr>
        <w:ind w:left="920" w:hanging="420"/>
      </w:pPr>
      <w:rPr>
        <w:rFonts w:hint="default" w:ascii="Wingdings" w:hAnsi="Wingdings"/>
      </w:rPr>
    </w:lvl>
    <w:lvl w:ilvl="1" w:tentative="0">
      <w:start w:val="1"/>
      <w:numFmt w:val="bullet"/>
      <w:lvlText w:val=""/>
      <w:lvlJc w:val="left"/>
      <w:pPr>
        <w:ind w:left="1340" w:hanging="420"/>
      </w:pPr>
      <w:rPr>
        <w:rFonts w:hint="default" w:ascii="Wingdings" w:hAnsi="Wingdings"/>
      </w:rPr>
    </w:lvl>
    <w:lvl w:ilvl="2" w:tentative="0">
      <w:start w:val="1"/>
      <w:numFmt w:val="bullet"/>
      <w:lvlText w:val=""/>
      <w:lvlJc w:val="left"/>
      <w:pPr>
        <w:ind w:left="1760" w:hanging="420"/>
      </w:pPr>
      <w:rPr>
        <w:rFonts w:hint="default" w:ascii="Wingdings" w:hAnsi="Wingdings"/>
      </w:rPr>
    </w:lvl>
    <w:lvl w:ilvl="3" w:tentative="0">
      <w:start w:val="1"/>
      <w:numFmt w:val="bullet"/>
      <w:lvlText w:val=""/>
      <w:lvlJc w:val="left"/>
      <w:pPr>
        <w:ind w:left="2180" w:hanging="420"/>
      </w:pPr>
      <w:rPr>
        <w:rFonts w:hint="default" w:ascii="Wingdings" w:hAnsi="Wingdings"/>
      </w:rPr>
    </w:lvl>
    <w:lvl w:ilvl="4" w:tentative="0">
      <w:start w:val="1"/>
      <w:numFmt w:val="bullet"/>
      <w:lvlText w:val=""/>
      <w:lvlJc w:val="left"/>
      <w:pPr>
        <w:ind w:left="2600" w:hanging="420"/>
      </w:pPr>
      <w:rPr>
        <w:rFonts w:hint="default" w:ascii="Wingdings" w:hAnsi="Wingdings"/>
      </w:rPr>
    </w:lvl>
    <w:lvl w:ilvl="5" w:tentative="0">
      <w:start w:val="1"/>
      <w:numFmt w:val="bullet"/>
      <w:lvlText w:val=""/>
      <w:lvlJc w:val="left"/>
      <w:pPr>
        <w:ind w:left="3020" w:hanging="420"/>
      </w:pPr>
      <w:rPr>
        <w:rFonts w:hint="default" w:ascii="Wingdings" w:hAnsi="Wingdings"/>
      </w:rPr>
    </w:lvl>
    <w:lvl w:ilvl="6" w:tentative="0">
      <w:start w:val="1"/>
      <w:numFmt w:val="bullet"/>
      <w:lvlText w:val=""/>
      <w:lvlJc w:val="left"/>
      <w:pPr>
        <w:ind w:left="3440" w:hanging="420"/>
      </w:pPr>
      <w:rPr>
        <w:rFonts w:hint="default" w:ascii="Wingdings" w:hAnsi="Wingdings"/>
      </w:rPr>
    </w:lvl>
    <w:lvl w:ilvl="7" w:tentative="0">
      <w:start w:val="1"/>
      <w:numFmt w:val="bullet"/>
      <w:lvlText w:val=""/>
      <w:lvlJc w:val="left"/>
      <w:pPr>
        <w:ind w:left="3860" w:hanging="420"/>
      </w:pPr>
      <w:rPr>
        <w:rFonts w:hint="default" w:ascii="Wingdings" w:hAnsi="Wingdings"/>
      </w:rPr>
    </w:lvl>
    <w:lvl w:ilvl="8" w:tentative="0">
      <w:start w:val="1"/>
      <w:numFmt w:val="bullet"/>
      <w:lvlText w:val=""/>
      <w:lvlJc w:val="left"/>
      <w:pPr>
        <w:ind w:left="4280" w:hanging="420"/>
      </w:pPr>
      <w:rPr>
        <w:rFonts w:hint="default" w:ascii="Wingdings" w:hAnsi="Wingdings"/>
      </w:rPr>
    </w:lvl>
  </w:abstractNum>
  <w:abstractNum w:abstractNumId="125">
    <w:nsid w:val="5D0D0976"/>
    <w:multiLevelType w:val="multilevel"/>
    <w:tmpl w:val="5D0D097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6">
    <w:nsid w:val="5D640C29"/>
    <w:multiLevelType w:val="multilevel"/>
    <w:tmpl w:val="5D640C29"/>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27">
    <w:nsid w:val="5DB3D68F"/>
    <w:multiLevelType w:val="singleLevel"/>
    <w:tmpl w:val="5DB3D68F"/>
    <w:lvl w:ilvl="0" w:tentative="0">
      <w:start w:val="1"/>
      <w:numFmt w:val="decimal"/>
      <w:lvlText w:val="(%1)"/>
      <w:lvlJc w:val="left"/>
      <w:pPr>
        <w:ind w:left="425" w:hanging="425"/>
      </w:pPr>
      <w:rPr>
        <w:rFonts w:hint="default"/>
      </w:rPr>
    </w:lvl>
  </w:abstractNum>
  <w:abstractNum w:abstractNumId="128">
    <w:nsid w:val="5EBF1D26"/>
    <w:multiLevelType w:val="multilevel"/>
    <w:tmpl w:val="5EBF1D26"/>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29">
    <w:nsid w:val="5ED73094"/>
    <w:multiLevelType w:val="multilevel"/>
    <w:tmpl w:val="5ED73094"/>
    <w:lvl w:ilvl="0" w:tentative="0">
      <w:start w:val="1"/>
      <w:numFmt w:val="decimal"/>
      <w:lvlText w:val="%1)"/>
      <w:lvlJc w:val="left"/>
      <w:pPr>
        <w:ind w:left="840" w:hanging="420"/>
      </w:pPr>
      <w:rPr>
        <w:rFonts w:hint="default"/>
      </w:rPr>
    </w:lvl>
    <w:lvl w:ilvl="1" w:tentative="0">
      <w:start w:val="1"/>
      <w:numFmt w:val="decimal"/>
      <w:lvlText w:val="%2)"/>
      <w:lvlJc w:val="left"/>
      <w:pPr>
        <w:ind w:left="1260" w:hanging="42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0">
    <w:nsid w:val="5FB97A37"/>
    <w:multiLevelType w:val="multilevel"/>
    <w:tmpl w:val="5FB97A37"/>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1">
    <w:nsid w:val="5FBD174A"/>
    <w:multiLevelType w:val="multilevel"/>
    <w:tmpl w:val="5FBD174A"/>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2">
    <w:nsid w:val="61070664"/>
    <w:multiLevelType w:val="multilevel"/>
    <w:tmpl w:val="61070664"/>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3">
    <w:nsid w:val="61750A17"/>
    <w:multiLevelType w:val="multilevel"/>
    <w:tmpl w:val="61750A17"/>
    <w:lvl w:ilvl="0" w:tentative="0">
      <w:start w:val="1"/>
      <w:numFmt w:val="decimal"/>
      <w:lvlText w:val="%1)"/>
      <w:lvlJc w:val="left"/>
      <w:pPr>
        <w:ind w:left="420" w:hanging="420"/>
      </w:pPr>
      <w:rPr>
        <w:rFonts w:hint="default"/>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4">
    <w:nsid w:val="61D8535A"/>
    <w:multiLevelType w:val="singleLevel"/>
    <w:tmpl w:val="61D8535A"/>
    <w:lvl w:ilvl="0" w:tentative="0">
      <w:start w:val="1"/>
      <w:numFmt w:val="decimal"/>
      <w:suff w:val="nothing"/>
      <w:lvlText w:val="%1、"/>
      <w:lvlJc w:val="left"/>
    </w:lvl>
  </w:abstractNum>
  <w:abstractNum w:abstractNumId="135">
    <w:nsid w:val="622E579D"/>
    <w:multiLevelType w:val="multilevel"/>
    <w:tmpl w:val="622E579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6">
    <w:nsid w:val="63505172"/>
    <w:multiLevelType w:val="multilevel"/>
    <w:tmpl w:val="63505172"/>
    <w:lvl w:ilvl="0" w:tentative="0">
      <w:start w:val="1"/>
      <w:numFmt w:val="bullet"/>
      <w:pStyle w:val="721"/>
      <w:lvlText w:val=""/>
      <w:lvlJc w:val="left"/>
      <w:pPr>
        <w:tabs>
          <w:tab w:val="left" w:pos="420"/>
        </w:tabs>
        <w:ind w:left="420" w:hanging="420"/>
      </w:pPr>
      <w:rPr>
        <w:rFonts w:hint="default" w:ascii="Symbol" w:hAnsi="Symbol"/>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7">
    <w:nsid w:val="63CF43C4"/>
    <w:multiLevelType w:val="multilevel"/>
    <w:tmpl w:val="63CF43C4"/>
    <w:lvl w:ilvl="0" w:tentative="0">
      <w:start w:val="1"/>
      <w:numFmt w:val="bullet"/>
      <w:pStyle w:val="720"/>
      <w:lvlText w:val=""/>
      <w:lvlJc w:val="left"/>
      <w:pPr>
        <w:tabs>
          <w:tab w:val="left" w:pos="900"/>
        </w:tabs>
        <w:ind w:left="900" w:hanging="420"/>
      </w:pPr>
      <w:rPr>
        <w:rFonts w:hint="default" w:ascii="Wingdings" w:hAnsi="Wingdings"/>
        <w:sz w:val="18"/>
      </w:rPr>
    </w:lvl>
    <w:lvl w:ilvl="1" w:tentative="0">
      <w:start w:val="1"/>
      <w:numFmt w:val="lowerRoman"/>
      <w:lvlText w:val="(%2)"/>
      <w:lvlJc w:val="left"/>
      <w:pPr>
        <w:tabs>
          <w:tab w:val="left" w:pos="1620"/>
        </w:tabs>
        <w:ind w:left="1320" w:hanging="420"/>
      </w:pPr>
      <w:rPr>
        <w:rFonts w:hint="eastAsia"/>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38">
    <w:nsid w:val="645D19D0"/>
    <w:multiLevelType w:val="multilevel"/>
    <w:tmpl w:val="645D19D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9">
    <w:nsid w:val="664958BA"/>
    <w:multiLevelType w:val="multilevel"/>
    <w:tmpl w:val="664958BA"/>
    <w:lvl w:ilvl="0" w:tentative="0">
      <w:start w:val="1"/>
      <w:numFmt w:val="decimal"/>
      <w:lvlText w:val="%1)"/>
      <w:lvlJc w:val="left"/>
      <w:pPr>
        <w:ind w:left="920" w:hanging="420"/>
      </w:pPr>
      <w:rPr>
        <w:rFonts w:hint="default"/>
      </w:rPr>
    </w:lvl>
    <w:lvl w:ilvl="1" w:tentative="0">
      <w:start w:val="1"/>
      <w:numFmt w:val="lowerLetter"/>
      <w:lvlText w:val="%2)"/>
      <w:lvlJc w:val="left"/>
      <w:pPr>
        <w:ind w:left="1340" w:hanging="420"/>
      </w:pPr>
    </w:lvl>
    <w:lvl w:ilvl="2" w:tentative="0">
      <w:start w:val="1"/>
      <w:numFmt w:val="decimal"/>
      <w:lvlText w:val="%3)"/>
      <w:lvlJc w:val="left"/>
      <w:pPr>
        <w:ind w:left="900" w:hanging="420"/>
      </w:pPr>
    </w:lvl>
    <w:lvl w:ilvl="3" w:tentative="0">
      <w:start w:val="1"/>
      <w:numFmt w:val="decimal"/>
      <w:lvlText w:val="%4."/>
      <w:lvlJc w:val="left"/>
      <w:pPr>
        <w:ind w:left="2180" w:hanging="420"/>
      </w:pPr>
    </w:lvl>
    <w:lvl w:ilvl="4" w:tentative="0">
      <w:start w:val="1"/>
      <w:numFmt w:val="lowerLetter"/>
      <w:lvlText w:val="%5)"/>
      <w:lvlJc w:val="left"/>
      <w:pPr>
        <w:ind w:left="2600" w:hanging="420"/>
      </w:pPr>
    </w:lvl>
    <w:lvl w:ilvl="5" w:tentative="0">
      <w:start w:val="1"/>
      <w:numFmt w:val="lowerRoman"/>
      <w:lvlText w:val="%6."/>
      <w:lvlJc w:val="right"/>
      <w:pPr>
        <w:ind w:left="3020" w:hanging="420"/>
      </w:pPr>
    </w:lvl>
    <w:lvl w:ilvl="6" w:tentative="0">
      <w:start w:val="1"/>
      <w:numFmt w:val="decimal"/>
      <w:lvlText w:val="%7."/>
      <w:lvlJc w:val="left"/>
      <w:pPr>
        <w:ind w:left="3440" w:hanging="420"/>
      </w:pPr>
    </w:lvl>
    <w:lvl w:ilvl="7" w:tentative="0">
      <w:start w:val="1"/>
      <w:numFmt w:val="lowerLetter"/>
      <w:lvlText w:val="%8)"/>
      <w:lvlJc w:val="left"/>
      <w:pPr>
        <w:ind w:left="3860" w:hanging="420"/>
      </w:pPr>
    </w:lvl>
    <w:lvl w:ilvl="8" w:tentative="0">
      <w:start w:val="1"/>
      <w:numFmt w:val="lowerRoman"/>
      <w:lvlText w:val="%9."/>
      <w:lvlJc w:val="right"/>
      <w:pPr>
        <w:ind w:left="4280" w:hanging="420"/>
      </w:pPr>
    </w:lvl>
  </w:abstractNum>
  <w:abstractNum w:abstractNumId="140">
    <w:nsid w:val="66906E5B"/>
    <w:multiLevelType w:val="multilevel"/>
    <w:tmpl w:val="66906E5B"/>
    <w:lvl w:ilvl="0" w:tentative="0">
      <w:start w:val="1"/>
      <w:numFmt w:val="decimal"/>
      <w:lvlText w:val="13.%1"/>
      <w:lvlJc w:val="left"/>
      <w:pPr>
        <w:ind w:left="920" w:hanging="420"/>
      </w:pPr>
      <w:rPr>
        <w:rFonts w:hint="eastAsia"/>
      </w:rPr>
    </w:lvl>
    <w:lvl w:ilvl="1" w:tentative="0">
      <w:start w:val="1"/>
      <w:numFmt w:val="decimal"/>
      <w:lvlText w:val="7.%2"/>
      <w:lvlJc w:val="left"/>
      <w:pPr>
        <w:ind w:left="562" w:hanging="420"/>
      </w:pPr>
      <w:rPr>
        <w:rFonts w:hint="eastAsia"/>
      </w:rPr>
    </w:lvl>
    <w:lvl w:ilvl="2" w:tentative="0">
      <w:start w:val="1"/>
      <w:numFmt w:val="decimal"/>
      <w:lvlText w:val="（%3）"/>
      <w:lvlJc w:val="left"/>
      <w:pPr>
        <w:ind w:left="1560" w:hanging="720"/>
      </w:pPr>
      <w:rPr>
        <w:rFonts w:hint="default"/>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1">
    <w:nsid w:val="675E4C01"/>
    <w:multiLevelType w:val="multilevel"/>
    <w:tmpl w:val="675E4C01"/>
    <w:lvl w:ilvl="0" w:tentative="0">
      <w:start w:val="1"/>
      <w:numFmt w:val="decimal"/>
      <w:lvlText w:val="%1)"/>
      <w:lvlJc w:val="left"/>
      <w:pPr>
        <w:ind w:left="840" w:hanging="420"/>
      </w:pPr>
      <w:rPr>
        <w:rFonts w:hint="default"/>
      </w:rPr>
    </w:lvl>
    <w:lvl w:ilvl="1" w:tentative="0">
      <w:start w:val="1"/>
      <w:numFmt w:val="decimalEnclosedCircle"/>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2">
    <w:nsid w:val="69D73346"/>
    <w:multiLevelType w:val="multilevel"/>
    <w:tmpl w:val="69D73346"/>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3">
    <w:nsid w:val="69FA719F"/>
    <w:multiLevelType w:val="multilevel"/>
    <w:tmpl w:val="69FA719F"/>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44">
    <w:nsid w:val="6ACE9811"/>
    <w:multiLevelType w:val="singleLevel"/>
    <w:tmpl w:val="6ACE9811"/>
    <w:lvl w:ilvl="0" w:tentative="0">
      <w:start w:val="1"/>
      <w:numFmt w:val="decimal"/>
      <w:suff w:val="nothing"/>
      <w:lvlText w:val="%1、"/>
      <w:lvlJc w:val="left"/>
    </w:lvl>
  </w:abstractNum>
  <w:abstractNum w:abstractNumId="145">
    <w:nsid w:val="6DDE2E50"/>
    <w:multiLevelType w:val="multilevel"/>
    <w:tmpl w:val="6DDE2E50"/>
    <w:lvl w:ilvl="0" w:tentative="0">
      <w:start w:val="1"/>
      <w:numFmt w:val="decimal"/>
      <w:lvlText w:val="%1）"/>
      <w:lvlJc w:val="left"/>
      <w:pPr>
        <w:tabs>
          <w:tab w:val="left" w:pos="1140"/>
        </w:tabs>
        <w:ind w:left="1140" w:hanging="420"/>
      </w:pPr>
      <w:rPr>
        <w:rFonts w:hint="eastAsia"/>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46">
    <w:nsid w:val="6FC94DFD"/>
    <w:multiLevelType w:val="singleLevel"/>
    <w:tmpl w:val="6FC94DFD"/>
    <w:lvl w:ilvl="0" w:tentative="0">
      <w:start w:val="1"/>
      <w:numFmt w:val="bullet"/>
      <w:pStyle w:val="1153"/>
      <w:lvlText w:val=""/>
      <w:lvlJc w:val="left"/>
      <w:pPr>
        <w:tabs>
          <w:tab w:val="left" w:pos="425"/>
        </w:tabs>
        <w:ind w:left="425" w:hanging="425"/>
      </w:pPr>
      <w:rPr>
        <w:rFonts w:hint="default" w:ascii="Wingdings" w:hAnsi="Wingdings"/>
      </w:rPr>
    </w:lvl>
  </w:abstractNum>
  <w:abstractNum w:abstractNumId="147">
    <w:nsid w:val="6FE31FBB"/>
    <w:multiLevelType w:val="multilevel"/>
    <w:tmpl w:val="6FE31FBB"/>
    <w:lvl w:ilvl="0" w:tentative="0">
      <w:start w:val="1"/>
      <w:numFmt w:val="bullet"/>
      <w:lvlText w:val=""/>
      <w:lvlJc w:val="left"/>
      <w:pPr>
        <w:ind w:left="920" w:hanging="420"/>
      </w:pPr>
      <w:rPr>
        <w:rFonts w:hint="default" w:ascii="Wingdings" w:hAnsi="Wingdings"/>
      </w:rPr>
    </w:lvl>
    <w:lvl w:ilvl="1" w:tentative="0">
      <w:start w:val="1"/>
      <w:numFmt w:val="bullet"/>
      <w:lvlText w:val=""/>
      <w:lvlJc w:val="left"/>
      <w:pPr>
        <w:ind w:left="1340" w:hanging="420"/>
      </w:pPr>
      <w:rPr>
        <w:rFonts w:hint="default" w:ascii="Wingdings" w:hAnsi="Wingdings"/>
      </w:rPr>
    </w:lvl>
    <w:lvl w:ilvl="2" w:tentative="0">
      <w:start w:val="1"/>
      <w:numFmt w:val="bullet"/>
      <w:lvlText w:val=""/>
      <w:lvlJc w:val="left"/>
      <w:pPr>
        <w:ind w:left="1760" w:hanging="420"/>
      </w:pPr>
      <w:rPr>
        <w:rFonts w:hint="default" w:ascii="Wingdings" w:hAnsi="Wingdings"/>
      </w:rPr>
    </w:lvl>
    <w:lvl w:ilvl="3" w:tentative="0">
      <w:start w:val="1"/>
      <w:numFmt w:val="bullet"/>
      <w:lvlText w:val=""/>
      <w:lvlJc w:val="left"/>
      <w:pPr>
        <w:ind w:left="2180" w:hanging="420"/>
      </w:pPr>
      <w:rPr>
        <w:rFonts w:hint="default" w:ascii="Wingdings" w:hAnsi="Wingdings"/>
      </w:rPr>
    </w:lvl>
    <w:lvl w:ilvl="4" w:tentative="0">
      <w:start w:val="1"/>
      <w:numFmt w:val="bullet"/>
      <w:lvlText w:val=""/>
      <w:lvlJc w:val="left"/>
      <w:pPr>
        <w:ind w:left="2600" w:hanging="420"/>
      </w:pPr>
      <w:rPr>
        <w:rFonts w:hint="default" w:ascii="Wingdings" w:hAnsi="Wingdings"/>
      </w:rPr>
    </w:lvl>
    <w:lvl w:ilvl="5" w:tentative="0">
      <w:start w:val="1"/>
      <w:numFmt w:val="bullet"/>
      <w:lvlText w:val=""/>
      <w:lvlJc w:val="left"/>
      <w:pPr>
        <w:ind w:left="3020" w:hanging="420"/>
      </w:pPr>
      <w:rPr>
        <w:rFonts w:hint="default" w:ascii="Wingdings" w:hAnsi="Wingdings"/>
      </w:rPr>
    </w:lvl>
    <w:lvl w:ilvl="6" w:tentative="0">
      <w:start w:val="1"/>
      <w:numFmt w:val="bullet"/>
      <w:lvlText w:val=""/>
      <w:lvlJc w:val="left"/>
      <w:pPr>
        <w:ind w:left="3440" w:hanging="420"/>
      </w:pPr>
      <w:rPr>
        <w:rFonts w:hint="default" w:ascii="Wingdings" w:hAnsi="Wingdings"/>
      </w:rPr>
    </w:lvl>
    <w:lvl w:ilvl="7" w:tentative="0">
      <w:start w:val="1"/>
      <w:numFmt w:val="bullet"/>
      <w:lvlText w:val=""/>
      <w:lvlJc w:val="left"/>
      <w:pPr>
        <w:ind w:left="3860" w:hanging="420"/>
      </w:pPr>
      <w:rPr>
        <w:rFonts w:hint="default" w:ascii="Wingdings" w:hAnsi="Wingdings"/>
      </w:rPr>
    </w:lvl>
    <w:lvl w:ilvl="8" w:tentative="0">
      <w:start w:val="1"/>
      <w:numFmt w:val="bullet"/>
      <w:lvlText w:val=""/>
      <w:lvlJc w:val="left"/>
      <w:pPr>
        <w:ind w:left="4280" w:hanging="420"/>
      </w:pPr>
      <w:rPr>
        <w:rFonts w:hint="default" w:ascii="Wingdings" w:hAnsi="Wingdings"/>
      </w:rPr>
    </w:lvl>
  </w:abstractNum>
  <w:abstractNum w:abstractNumId="148">
    <w:nsid w:val="70D30FF3"/>
    <w:multiLevelType w:val="multilevel"/>
    <w:tmpl w:val="70D30FF3"/>
    <w:lvl w:ilvl="0" w:tentative="0">
      <w:start w:val="1"/>
      <w:numFmt w:val="bullet"/>
      <w:lvlText w:val=""/>
      <w:lvlJc w:val="left"/>
      <w:pPr>
        <w:ind w:left="420" w:hanging="4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9">
    <w:nsid w:val="71C60101"/>
    <w:multiLevelType w:val="multilevel"/>
    <w:tmpl w:val="71C60101"/>
    <w:lvl w:ilvl="0" w:tentative="0">
      <w:start w:val="1"/>
      <w:numFmt w:val="decimal"/>
      <w:lvlText w:val="%1"/>
      <w:lvlJc w:val="left"/>
      <w:pPr>
        <w:tabs>
          <w:tab w:val="left" w:pos="720"/>
        </w:tabs>
        <w:ind w:left="720" w:hanging="720"/>
      </w:pPr>
      <w:rPr>
        <w:rFonts w:hint="default" w:ascii="Arial" w:hAnsi="Arial"/>
        <w:b/>
        <w:i w:val="0"/>
        <w:sz w:val="28"/>
      </w:rPr>
    </w:lvl>
    <w:lvl w:ilvl="1" w:tentative="0">
      <w:start w:val="1"/>
      <w:numFmt w:val="decimal"/>
      <w:pStyle w:val="716"/>
      <w:lvlText w:val="%1.%2"/>
      <w:lvlJc w:val="left"/>
      <w:pPr>
        <w:tabs>
          <w:tab w:val="left" w:pos="720"/>
        </w:tabs>
        <w:ind w:left="720" w:hanging="720"/>
      </w:pPr>
      <w:rPr>
        <w:rFonts w:hint="default"/>
      </w:rPr>
    </w:lvl>
    <w:lvl w:ilvl="2" w:tentative="0">
      <w:start w:val="1"/>
      <w:numFmt w:val="decimal"/>
      <w:pStyle w:val="719"/>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50">
    <w:nsid w:val="72F02260"/>
    <w:multiLevelType w:val="multilevel"/>
    <w:tmpl w:val="72F02260"/>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51">
    <w:nsid w:val="744433D2"/>
    <w:multiLevelType w:val="multilevel"/>
    <w:tmpl w:val="744433D2"/>
    <w:lvl w:ilvl="0" w:tentative="0">
      <w:start w:val="1"/>
      <w:numFmt w:val="decimal"/>
      <w:lvlText w:val="%1)"/>
      <w:lvlJc w:val="left"/>
      <w:pPr>
        <w:ind w:left="981" w:hanging="420"/>
      </w:pPr>
    </w:lvl>
    <w:lvl w:ilvl="1" w:tentative="0">
      <w:start w:val="1"/>
      <w:numFmt w:val="decimal"/>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152">
    <w:nsid w:val="7449E94E"/>
    <w:multiLevelType w:val="singleLevel"/>
    <w:tmpl w:val="7449E94E"/>
    <w:lvl w:ilvl="0" w:tentative="0">
      <w:start w:val="1"/>
      <w:numFmt w:val="decimal"/>
      <w:suff w:val="nothing"/>
      <w:lvlText w:val="%1、"/>
      <w:lvlJc w:val="left"/>
    </w:lvl>
  </w:abstractNum>
  <w:abstractNum w:abstractNumId="153">
    <w:nsid w:val="758247C4"/>
    <w:multiLevelType w:val="multilevel"/>
    <w:tmpl w:val="758247C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4">
    <w:nsid w:val="77A702FE"/>
    <w:multiLevelType w:val="multilevel"/>
    <w:tmpl w:val="77A702FE"/>
    <w:lvl w:ilvl="0" w:tentative="0">
      <w:start w:val="1"/>
      <w:numFmt w:val="bullet"/>
      <w:lvlText w:val=""/>
      <w:lvlJc w:val="left"/>
      <w:pPr>
        <w:ind w:left="0" w:firstLine="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5">
    <w:nsid w:val="78984254"/>
    <w:multiLevelType w:val="multilevel"/>
    <w:tmpl w:val="7898425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6">
    <w:nsid w:val="79B85D28"/>
    <w:multiLevelType w:val="multilevel"/>
    <w:tmpl w:val="79B85D28"/>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7">
    <w:nsid w:val="7D9F0029"/>
    <w:multiLevelType w:val="multilevel"/>
    <w:tmpl w:val="7D9F002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8">
    <w:nsid w:val="7DEB6628"/>
    <w:multiLevelType w:val="multilevel"/>
    <w:tmpl w:val="7DEB6628"/>
    <w:lvl w:ilvl="0" w:tentative="0">
      <w:start w:val="1"/>
      <w:numFmt w:val="decimal"/>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159">
    <w:nsid w:val="7E6009FA"/>
    <w:multiLevelType w:val="multilevel"/>
    <w:tmpl w:val="7E6009FA"/>
    <w:lvl w:ilvl="0" w:tentative="0">
      <w:start w:val="1"/>
      <w:numFmt w:val="decimal"/>
      <w:lvlText w:val="%1)"/>
      <w:lvlJc w:val="left"/>
      <w:pPr>
        <w:ind w:left="900" w:hanging="420"/>
      </w:pPr>
      <w:rPr>
        <w:rFonts w:hint="eastAsia"/>
      </w:rPr>
    </w:lvl>
    <w:lvl w:ilvl="1" w:tentative="0">
      <w:start w:val="1"/>
      <w:numFmt w:val="decimal"/>
      <w:lvlText w:val="%2)"/>
      <w:lvlJc w:val="left"/>
      <w:pPr>
        <w:ind w:left="1320" w:hanging="420"/>
      </w:pPr>
      <w:rPr>
        <w:rFonts w:hint="eastAsia"/>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0">
    <w:nsid w:val="7EA8473D"/>
    <w:multiLevelType w:val="multilevel"/>
    <w:tmpl w:val="7EA8473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86"/>
  </w:num>
  <w:num w:numId="2">
    <w:abstractNumId w:val="6"/>
  </w:num>
  <w:num w:numId="3">
    <w:abstractNumId w:val="149"/>
  </w:num>
  <w:num w:numId="4">
    <w:abstractNumId w:val="85"/>
  </w:num>
  <w:num w:numId="5">
    <w:abstractNumId w:val="137"/>
  </w:num>
  <w:num w:numId="6">
    <w:abstractNumId w:val="136"/>
  </w:num>
  <w:num w:numId="7">
    <w:abstractNumId w:val="7"/>
  </w:num>
  <w:num w:numId="8">
    <w:abstractNumId w:val="22"/>
  </w:num>
  <w:num w:numId="9">
    <w:abstractNumId w:val="146"/>
  </w:num>
  <w:num w:numId="10">
    <w:abstractNumId w:val="19"/>
  </w:num>
  <w:num w:numId="11">
    <w:abstractNumId w:val="81"/>
  </w:num>
  <w:num w:numId="12">
    <w:abstractNumId w:val="60"/>
  </w:num>
  <w:num w:numId="13">
    <w:abstractNumId w:val="5"/>
  </w:num>
  <w:num w:numId="14">
    <w:abstractNumId w:val="4"/>
  </w:num>
  <w:num w:numId="15">
    <w:abstractNumId w:val="74"/>
  </w:num>
  <w:num w:numId="16">
    <w:abstractNumId w:val="14"/>
  </w:num>
  <w:num w:numId="17">
    <w:abstractNumId w:val="40"/>
  </w:num>
  <w:num w:numId="18">
    <w:abstractNumId w:val="158"/>
  </w:num>
  <w:num w:numId="19">
    <w:abstractNumId w:val="96"/>
  </w:num>
  <w:num w:numId="20">
    <w:abstractNumId w:val="33"/>
  </w:num>
  <w:num w:numId="21">
    <w:abstractNumId w:val="98"/>
  </w:num>
  <w:num w:numId="22">
    <w:abstractNumId w:val="110"/>
  </w:num>
  <w:num w:numId="23">
    <w:abstractNumId w:val="100"/>
  </w:num>
  <w:num w:numId="24">
    <w:abstractNumId w:val="13"/>
  </w:num>
  <w:num w:numId="25">
    <w:abstractNumId w:val="122"/>
  </w:num>
  <w:num w:numId="26">
    <w:abstractNumId w:val="104"/>
  </w:num>
  <w:num w:numId="27">
    <w:abstractNumId w:val="49"/>
  </w:num>
  <w:num w:numId="28">
    <w:abstractNumId w:val="28"/>
  </w:num>
  <w:num w:numId="29">
    <w:abstractNumId w:val="62"/>
  </w:num>
  <w:num w:numId="30">
    <w:abstractNumId w:val="55"/>
  </w:num>
  <w:num w:numId="31">
    <w:abstractNumId w:val="159"/>
  </w:num>
  <w:num w:numId="32">
    <w:abstractNumId w:val="69"/>
  </w:num>
  <w:num w:numId="33">
    <w:abstractNumId w:val="155"/>
  </w:num>
  <w:num w:numId="34">
    <w:abstractNumId w:val="153"/>
  </w:num>
  <w:num w:numId="35">
    <w:abstractNumId w:val="68"/>
  </w:num>
  <w:num w:numId="36">
    <w:abstractNumId w:val="67"/>
  </w:num>
  <w:num w:numId="37">
    <w:abstractNumId w:val="102"/>
  </w:num>
  <w:num w:numId="38">
    <w:abstractNumId w:val="15"/>
  </w:num>
  <w:num w:numId="39">
    <w:abstractNumId w:val="106"/>
  </w:num>
  <w:num w:numId="40">
    <w:abstractNumId w:val="116"/>
  </w:num>
  <w:num w:numId="41">
    <w:abstractNumId w:val="131"/>
  </w:num>
  <w:num w:numId="42">
    <w:abstractNumId w:val="20"/>
  </w:num>
  <w:num w:numId="43">
    <w:abstractNumId w:val="76"/>
  </w:num>
  <w:num w:numId="44">
    <w:abstractNumId w:val="133"/>
  </w:num>
  <w:num w:numId="45">
    <w:abstractNumId w:val="41"/>
  </w:num>
  <w:num w:numId="46">
    <w:abstractNumId w:val="82"/>
  </w:num>
  <w:num w:numId="47">
    <w:abstractNumId w:val="9"/>
  </w:num>
  <w:num w:numId="48">
    <w:abstractNumId w:val="160"/>
  </w:num>
  <w:num w:numId="49">
    <w:abstractNumId w:val="79"/>
  </w:num>
  <w:num w:numId="50">
    <w:abstractNumId w:val="97"/>
  </w:num>
  <w:num w:numId="51">
    <w:abstractNumId w:val="157"/>
  </w:num>
  <w:num w:numId="52">
    <w:abstractNumId w:val="0"/>
  </w:num>
  <w:num w:numId="53">
    <w:abstractNumId w:val="119"/>
  </w:num>
  <w:num w:numId="54">
    <w:abstractNumId w:val="141"/>
  </w:num>
  <w:num w:numId="55">
    <w:abstractNumId w:val="45"/>
  </w:num>
  <w:num w:numId="56">
    <w:abstractNumId w:val="129"/>
  </w:num>
  <w:num w:numId="57">
    <w:abstractNumId w:val="144"/>
  </w:num>
  <w:num w:numId="58">
    <w:abstractNumId w:val="151"/>
  </w:num>
  <w:num w:numId="59">
    <w:abstractNumId w:val="54"/>
  </w:num>
  <w:num w:numId="60">
    <w:abstractNumId w:val="42"/>
  </w:num>
  <w:num w:numId="61">
    <w:abstractNumId w:val="52"/>
  </w:num>
  <w:num w:numId="62">
    <w:abstractNumId w:val="16"/>
  </w:num>
  <w:num w:numId="63">
    <w:abstractNumId w:val="2"/>
  </w:num>
  <w:num w:numId="64">
    <w:abstractNumId w:val="34"/>
  </w:num>
  <w:num w:numId="65">
    <w:abstractNumId w:val="114"/>
  </w:num>
  <w:num w:numId="66">
    <w:abstractNumId w:val="132"/>
  </w:num>
  <w:num w:numId="67">
    <w:abstractNumId w:val="113"/>
  </w:num>
  <w:num w:numId="68">
    <w:abstractNumId w:val="99"/>
  </w:num>
  <w:num w:numId="69">
    <w:abstractNumId w:val="10"/>
  </w:num>
  <w:num w:numId="70">
    <w:abstractNumId w:val="30"/>
  </w:num>
  <w:num w:numId="71">
    <w:abstractNumId w:val="50"/>
  </w:num>
  <w:num w:numId="72">
    <w:abstractNumId w:val="65"/>
  </w:num>
  <w:num w:numId="73">
    <w:abstractNumId w:val="89"/>
  </w:num>
  <w:num w:numId="74">
    <w:abstractNumId w:val="135"/>
  </w:num>
  <w:num w:numId="75">
    <w:abstractNumId w:val="101"/>
  </w:num>
  <w:num w:numId="76">
    <w:abstractNumId w:val="142"/>
  </w:num>
  <w:num w:numId="77">
    <w:abstractNumId w:val="83"/>
  </w:num>
  <w:num w:numId="78">
    <w:abstractNumId w:val="107"/>
  </w:num>
  <w:num w:numId="79">
    <w:abstractNumId w:val="152"/>
  </w:num>
  <w:num w:numId="80">
    <w:abstractNumId w:val="115"/>
  </w:num>
  <w:num w:numId="81">
    <w:abstractNumId w:val="75"/>
  </w:num>
  <w:num w:numId="82">
    <w:abstractNumId w:val="95"/>
  </w:num>
  <w:num w:numId="83">
    <w:abstractNumId w:val="8"/>
  </w:num>
  <w:num w:numId="84">
    <w:abstractNumId w:val="125"/>
  </w:num>
  <w:num w:numId="85">
    <w:abstractNumId w:val="12"/>
  </w:num>
  <w:num w:numId="86">
    <w:abstractNumId w:val="87"/>
  </w:num>
  <w:num w:numId="87">
    <w:abstractNumId w:val="59"/>
  </w:num>
  <w:num w:numId="88">
    <w:abstractNumId w:val="134"/>
  </w:num>
  <w:num w:numId="89">
    <w:abstractNumId w:val="1"/>
  </w:num>
  <w:num w:numId="90">
    <w:abstractNumId w:val="70"/>
  </w:num>
  <w:num w:numId="91">
    <w:abstractNumId w:val="21"/>
  </w:num>
  <w:num w:numId="92">
    <w:abstractNumId w:val="118"/>
  </w:num>
  <w:num w:numId="93">
    <w:abstractNumId w:val="18"/>
  </w:num>
  <w:num w:numId="94">
    <w:abstractNumId w:val="57"/>
  </w:num>
  <w:num w:numId="95">
    <w:abstractNumId w:val="66"/>
  </w:num>
  <w:num w:numId="96">
    <w:abstractNumId w:val="143"/>
  </w:num>
  <w:num w:numId="97">
    <w:abstractNumId w:val="27"/>
  </w:num>
  <w:num w:numId="98">
    <w:abstractNumId w:val="29"/>
  </w:num>
  <w:num w:numId="99">
    <w:abstractNumId w:val="145"/>
  </w:num>
  <w:num w:numId="100">
    <w:abstractNumId w:val="88"/>
  </w:num>
  <w:num w:numId="101">
    <w:abstractNumId w:val="53"/>
  </w:num>
  <w:num w:numId="102">
    <w:abstractNumId w:val="36"/>
  </w:num>
  <w:num w:numId="103">
    <w:abstractNumId w:val="61"/>
  </w:num>
  <w:num w:numId="104">
    <w:abstractNumId w:val="43"/>
  </w:num>
  <w:num w:numId="105">
    <w:abstractNumId w:val="154"/>
  </w:num>
  <w:num w:numId="106">
    <w:abstractNumId w:val="90"/>
  </w:num>
  <w:num w:numId="107">
    <w:abstractNumId w:val="92"/>
  </w:num>
  <w:num w:numId="108">
    <w:abstractNumId w:val="126"/>
  </w:num>
  <w:num w:numId="109">
    <w:abstractNumId w:val="72"/>
  </w:num>
  <w:num w:numId="110">
    <w:abstractNumId w:val="71"/>
  </w:num>
  <w:num w:numId="111">
    <w:abstractNumId w:val="111"/>
  </w:num>
  <w:num w:numId="112">
    <w:abstractNumId w:val="94"/>
  </w:num>
  <w:num w:numId="113">
    <w:abstractNumId w:val="105"/>
  </w:num>
  <w:num w:numId="114">
    <w:abstractNumId w:val="109"/>
  </w:num>
  <w:num w:numId="115">
    <w:abstractNumId w:val="103"/>
  </w:num>
  <w:num w:numId="116">
    <w:abstractNumId w:val="147"/>
  </w:num>
  <w:num w:numId="117">
    <w:abstractNumId w:val="148"/>
  </w:num>
  <w:num w:numId="118">
    <w:abstractNumId w:val="84"/>
  </w:num>
  <w:num w:numId="119">
    <w:abstractNumId w:val="108"/>
  </w:num>
  <w:num w:numId="120">
    <w:abstractNumId w:val="93"/>
  </w:num>
  <w:num w:numId="121">
    <w:abstractNumId w:val="112"/>
  </w:num>
  <w:num w:numId="122">
    <w:abstractNumId w:val="56"/>
  </w:num>
  <w:num w:numId="123">
    <w:abstractNumId w:val="77"/>
  </w:num>
  <w:num w:numId="124">
    <w:abstractNumId w:val="123"/>
  </w:num>
  <w:num w:numId="125">
    <w:abstractNumId w:val="156"/>
  </w:num>
  <w:num w:numId="126">
    <w:abstractNumId w:val="130"/>
  </w:num>
  <w:num w:numId="127">
    <w:abstractNumId w:val="64"/>
  </w:num>
  <w:num w:numId="128">
    <w:abstractNumId w:val="35"/>
  </w:num>
  <w:num w:numId="129">
    <w:abstractNumId w:val="117"/>
  </w:num>
  <w:num w:numId="130">
    <w:abstractNumId w:val="139"/>
  </w:num>
  <w:num w:numId="131">
    <w:abstractNumId w:val="48"/>
  </w:num>
  <w:num w:numId="132">
    <w:abstractNumId w:val="51"/>
  </w:num>
  <w:num w:numId="133">
    <w:abstractNumId w:val="31"/>
  </w:num>
  <w:num w:numId="134">
    <w:abstractNumId w:val="44"/>
  </w:num>
  <w:num w:numId="135">
    <w:abstractNumId w:val="25"/>
  </w:num>
  <w:num w:numId="136">
    <w:abstractNumId w:val="124"/>
  </w:num>
  <w:num w:numId="137">
    <w:abstractNumId w:val="150"/>
  </w:num>
  <w:num w:numId="138">
    <w:abstractNumId w:val="47"/>
  </w:num>
  <w:num w:numId="139">
    <w:abstractNumId w:val="91"/>
  </w:num>
  <w:num w:numId="140">
    <w:abstractNumId w:val="24"/>
  </w:num>
  <w:num w:numId="141">
    <w:abstractNumId w:val="140"/>
  </w:num>
  <w:num w:numId="142">
    <w:abstractNumId w:val="58"/>
  </w:num>
  <w:num w:numId="143">
    <w:abstractNumId w:val="80"/>
  </w:num>
  <w:num w:numId="144">
    <w:abstractNumId w:val="121"/>
  </w:num>
  <w:num w:numId="145">
    <w:abstractNumId w:val="17"/>
  </w:num>
  <w:num w:numId="146">
    <w:abstractNumId w:val="73"/>
  </w:num>
  <w:num w:numId="147">
    <w:abstractNumId w:val="46"/>
  </w:num>
  <w:num w:numId="148">
    <w:abstractNumId w:val="138"/>
  </w:num>
  <w:num w:numId="149">
    <w:abstractNumId w:val="127"/>
  </w:num>
  <w:num w:numId="150">
    <w:abstractNumId w:val="3"/>
  </w:num>
  <w:num w:numId="151">
    <w:abstractNumId w:val="26"/>
  </w:num>
  <w:num w:numId="152">
    <w:abstractNumId w:val="128"/>
  </w:num>
  <w:num w:numId="153">
    <w:abstractNumId w:val="32"/>
  </w:num>
  <w:num w:numId="154">
    <w:abstractNumId w:val="120"/>
  </w:num>
  <w:num w:numId="155">
    <w:abstractNumId w:val="37"/>
  </w:num>
  <w:num w:numId="156">
    <w:abstractNumId w:val="63"/>
  </w:num>
  <w:num w:numId="157">
    <w:abstractNumId w:val="39"/>
  </w:num>
  <w:num w:numId="158">
    <w:abstractNumId w:val="78"/>
  </w:num>
  <w:num w:numId="159">
    <w:abstractNumId w:val="11"/>
  </w:num>
  <w:num w:numId="160">
    <w:abstractNumId w:val="23"/>
  </w:num>
  <w:num w:numId="16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attachedTemplate r:id="rId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xZmRmMDhlZWE3ZjdhZTU1MzcxZThmNTFkZjY4MTkifQ=="/>
  </w:docVars>
  <w:rsids>
    <w:rsidRoot w:val="007363F3"/>
    <w:rsid w:val="00001B22"/>
    <w:rsid w:val="00003004"/>
    <w:rsid w:val="00003DD4"/>
    <w:rsid w:val="000055AE"/>
    <w:rsid w:val="00005980"/>
    <w:rsid w:val="00006EE0"/>
    <w:rsid w:val="0001009E"/>
    <w:rsid w:val="00011868"/>
    <w:rsid w:val="000118DC"/>
    <w:rsid w:val="00014572"/>
    <w:rsid w:val="00014611"/>
    <w:rsid w:val="000158A9"/>
    <w:rsid w:val="00015B27"/>
    <w:rsid w:val="0001623B"/>
    <w:rsid w:val="00017C22"/>
    <w:rsid w:val="00020CDD"/>
    <w:rsid w:val="00021014"/>
    <w:rsid w:val="000215D4"/>
    <w:rsid w:val="00021B61"/>
    <w:rsid w:val="00021E8F"/>
    <w:rsid w:val="00022848"/>
    <w:rsid w:val="00023EBB"/>
    <w:rsid w:val="000240FF"/>
    <w:rsid w:val="00024B0A"/>
    <w:rsid w:val="0002689B"/>
    <w:rsid w:val="00026FCB"/>
    <w:rsid w:val="00027DBC"/>
    <w:rsid w:val="00027E68"/>
    <w:rsid w:val="00031354"/>
    <w:rsid w:val="00031924"/>
    <w:rsid w:val="00031B1B"/>
    <w:rsid w:val="00031EBA"/>
    <w:rsid w:val="0003359E"/>
    <w:rsid w:val="0003495E"/>
    <w:rsid w:val="0003669D"/>
    <w:rsid w:val="00036A81"/>
    <w:rsid w:val="00037C23"/>
    <w:rsid w:val="00037D02"/>
    <w:rsid w:val="000411DE"/>
    <w:rsid w:val="000431F3"/>
    <w:rsid w:val="00044252"/>
    <w:rsid w:val="00044715"/>
    <w:rsid w:val="0004551A"/>
    <w:rsid w:val="0004738A"/>
    <w:rsid w:val="000505B8"/>
    <w:rsid w:val="0005097D"/>
    <w:rsid w:val="000509AF"/>
    <w:rsid w:val="00052F42"/>
    <w:rsid w:val="000531F3"/>
    <w:rsid w:val="000533E0"/>
    <w:rsid w:val="0005551B"/>
    <w:rsid w:val="000559A9"/>
    <w:rsid w:val="000559C8"/>
    <w:rsid w:val="00057C0A"/>
    <w:rsid w:val="000606DF"/>
    <w:rsid w:val="0006110E"/>
    <w:rsid w:val="00061EAD"/>
    <w:rsid w:val="00063C92"/>
    <w:rsid w:val="00065893"/>
    <w:rsid w:val="00065CFC"/>
    <w:rsid w:val="0006714A"/>
    <w:rsid w:val="000676C5"/>
    <w:rsid w:val="00070AAF"/>
    <w:rsid w:val="0007159B"/>
    <w:rsid w:val="0007234F"/>
    <w:rsid w:val="00072C69"/>
    <w:rsid w:val="00072D27"/>
    <w:rsid w:val="00074AA9"/>
    <w:rsid w:val="000762DB"/>
    <w:rsid w:val="00081859"/>
    <w:rsid w:val="0008190B"/>
    <w:rsid w:val="00082FB1"/>
    <w:rsid w:val="00083266"/>
    <w:rsid w:val="0008385C"/>
    <w:rsid w:val="00087E10"/>
    <w:rsid w:val="000929FB"/>
    <w:rsid w:val="0009564A"/>
    <w:rsid w:val="0009565C"/>
    <w:rsid w:val="0009775D"/>
    <w:rsid w:val="000A0A77"/>
    <w:rsid w:val="000A11F4"/>
    <w:rsid w:val="000A1679"/>
    <w:rsid w:val="000A1794"/>
    <w:rsid w:val="000A1D63"/>
    <w:rsid w:val="000A4392"/>
    <w:rsid w:val="000A545F"/>
    <w:rsid w:val="000A605A"/>
    <w:rsid w:val="000A7156"/>
    <w:rsid w:val="000A73BF"/>
    <w:rsid w:val="000A779D"/>
    <w:rsid w:val="000B0C11"/>
    <w:rsid w:val="000B1B22"/>
    <w:rsid w:val="000B3668"/>
    <w:rsid w:val="000B4306"/>
    <w:rsid w:val="000B49E1"/>
    <w:rsid w:val="000B58C2"/>
    <w:rsid w:val="000B6026"/>
    <w:rsid w:val="000C00D6"/>
    <w:rsid w:val="000C06A0"/>
    <w:rsid w:val="000C287F"/>
    <w:rsid w:val="000C2B76"/>
    <w:rsid w:val="000C45FA"/>
    <w:rsid w:val="000C481B"/>
    <w:rsid w:val="000C5343"/>
    <w:rsid w:val="000C684B"/>
    <w:rsid w:val="000C6FAA"/>
    <w:rsid w:val="000C7F3D"/>
    <w:rsid w:val="000D089B"/>
    <w:rsid w:val="000D091C"/>
    <w:rsid w:val="000D376A"/>
    <w:rsid w:val="000D4367"/>
    <w:rsid w:val="000D6485"/>
    <w:rsid w:val="000D6824"/>
    <w:rsid w:val="000D69EC"/>
    <w:rsid w:val="000E03E7"/>
    <w:rsid w:val="000E4321"/>
    <w:rsid w:val="000E45DA"/>
    <w:rsid w:val="000E5088"/>
    <w:rsid w:val="000E5942"/>
    <w:rsid w:val="000E64DE"/>
    <w:rsid w:val="000E6EB7"/>
    <w:rsid w:val="000F0162"/>
    <w:rsid w:val="000F1FD9"/>
    <w:rsid w:val="000F2B84"/>
    <w:rsid w:val="000F3E62"/>
    <w:rsid w:val="001001F1"/>
    <w:rsid w:val="001011F8"/>
    <w:rsid w:val="00101302"/>
    <w:rsid w:val="00101779"/>
    <w:rsid w:val="00101A4B"/>
    <w:rsid w:val="00101B5E"/>
    <w:rsid w:val="00101C20"/>
    <w:rsid w:val="001022B3"/>
    <w:rsid w:val="00102700"/>
    <w:rsid w:val="00102953"/>
    <w:rsid w:val="00105117"/>
    <w:rsid w:val="001058B2"/>
    <w:rsid w:val="00106503"/>
    <w:rsid w:val="00106C67"/>
    <w:rsid w:val="00107088"/>
    <w:rsid w:val="0011181A"/>
    <w:rsid w:val="00111CA6"/>
    <w:rsid w:val="00113A53"/>
    <w:rsid w:val="001141A2"/>
    <w:rsid w:val="001150EC"/>
    <w:rsid w:val="0012016D"/>
    <w:rsid w:val="0012070F"/>
    <w:rsid w:val="00120819"/>
    <w:rsid w:val="00120AB8"/>
    <w:rsid w:val="001210EF"/>
    <w:rsid w:val="00121328"/>
    <w:rsid w:val="00121868"/>
    <w:rsid w:val="001226AA"/>
    <w:rsid w:val="0012356F"/>
    <w:rsid w:val="00125185"/>
    <w:rsid w:val="001259BF"/>
    <w:rsid w:val="00125DD4"/>
    <w:rsid w:val="001310E1"/>
    <w:rsid w:val="00131293"/>
    <w:rsid w:val="00134C50"/>
    <w:rsid w:val="00135EBC"/>
    <w:rsid w:val="00137963"/>
    <w:rsid w:val="00137A72"/>
    <w:rsid w:val="00141134"/>
    <w:rsid w:val="001415E9"/>
    <w:rsid w:val="001418C3"/>
    <w:rsid w:val="00141DF6"/>
    <w:rsid w:val="0014544D"/>
    <w:rsid w:val="00145952"/>
    <w:rsid w:val="00145974"/>
    <w:rsid w:val="001470BC"/>
    <w:rsid w:val="00150659"/>
    <w:rsid w:val="00150801"/>
    <w:rsid w:val="00150EED"/>
    <w:rsid w:val="001554D4"/>
    <w:rsid w:val="00156FF0"/>
    <w:rsid w:val="0015718C"/>
    <w:rsid w:val="00160C86"/>
    <w:rsid w:val="001613D9"/>
    <w:rsid w:val="00161B88"/>
    <w:rsid w:val="001621D0"/>
    <w:rsid w:val="001625FE"/>
    <w:rsid w:val="00162AE1"/>
    <w:rsid w:val="00162E65"/>
    <w:rsid w:val="00163354"/>
    <w:rsid w:val="00163704"/>
    <w:rsid w:val="00165912"/>
    <w:rsid w:val="00165EEA"/>
    <w:rsid w:val="0017098B"/>
    <w:rsid w:val="00171320"/>
    <w:rsid w:val="00171E65"/>
    <w:rsid w:val="00172EC0"/>
    <w:rsid w:val="0017395B"/>
    <w:rsid w:val="0017431F"/>
    <w:rsid w:val="00174A25"/>
    <w:rsid w:val="00177028"/>
    <w:rsid w:val="0017765A"/>
    <w:rsid w:val="00177BCA"/>
    <w:rsid w:val="00177D46"/>
    <w:rsid w:val="0018047F"/>
    <w:rsid w:val="001804DB"/>
    <w:rsid w:val="001815C3"/>
    <w:rsid w:val="00182F7F"/>
    <w:rsid w:val="00187007"/>
    <w:rsid w:val="001907AA"/>
    <w:rsid w:val="00190862"/>
    <w:rsid w:val="00191157"/>
    <w:rsid w:val="001941A9"/>
    <w:rsid w:val="001943EC"/>
    <w:rsid w:val="0019520C"/>
    <w:rsid w:val="00195444"/>
    <w:rsid w:val="001962CF"/>
    <w:rsid w:val="001968E6"/>
    <w:rsid w:val="00196C05"/>
    <w:rsid w:val="00197B57"/>
    <w:rsid w:val="001A0126"/>
    <w:rsid w:val="001A0311"/>
    <w:rsid w:val="001A1656"/>
    <w:rsid w:val="001A1B09"/>
    <w:rsid w:val="001A2C9C"/>
    <w:rsid w:val="001A3509"/>
    <w:rsid w:val="001A5D2B"/>
    <w:rsid w:val="001A7692"/>
    <w:rsid w:val="001A7E31"/>
    <w:rsid w:val="001A7F0D"/>
    <w:rsid w:val="001B0F96"/>
    <w:rsid w:val="001B1377"/>
    <w:rsid w:val="001B1B58"/>
    <w:rsid w:val="001B1DCA"/>
    <w:rsid w:val="001B24EE"/>
    <w:rsid w:val="001B3C08"/>
    <w:rsid w:val="001B4BDB"/>
    <w:rsid w:val="001B5C6E"/>
    <w:rsid w:val="001B6BC8"/>
    <w:rsid w:val="001B7468"/>
    <w:rsid w:val="001B7677"/>
    <w:rsid w:val="001C1267"/>
    <w:rsid w:val="001C452F"/>
    <w:rsid w:val="001C4F20"/>
    <w:rsid w:val="001C61B3"/>
    <w:rsid w:val="001C6E97"/>
    <w:rsid w:val="001C6F1C"/>
    <w:rsid w:val="001C754A"/>
    <w:rsid w:val="001C7C12"/>
    <w:rsid w:val="001D02EB"/>
    <w:rsid w:val="001D0F0B"/>
    <w:rsid w:val="001D21AF"/>
    <w:rsid w:val="001D3482"/>
    <w:rsid w:val="001D3D2C"/>
    <w:rsid w:val="001D40FC"/>
    <w:rsid w:val="001D7378"/>
    <w:rsid w:val="001D7B01"/>
    <w:rsid w:val="001D7F4A"/>
    <w:rsid w:val="001E029C"/>
    <w:rsid w:val="001E27DD"/>
    <w:rsid w:val="001E438E"/>
    <w:rsid w:val="001E4599"/>
    <w:rsid w:val="001E5705"/>
    <w:rsid w:val="001E6499"/>
    <w:rsid w:val="001F150C"/>
    <w:rsid w:val="001F16DD"/>
    <w:rsid w:val="001F2EF9"/>
    <w:rsid w:val="001F37B5"/>
    <w:rsid w:val="001F42DB"/>
    <w:rsid w:val="001F47F3"/>
    <w:rsid w:val="001F7D95"/>
    <w:rsid w:val="00200C2A"/>
    <w:rsid w:val="00201580"/>
    <w:rsid w:val="00201626"/>
    <w:rsid w:val="00201A20"/>
    <w:rsid w:val="00203556"/>
    <w:rsid w:val="002044BF"/>
    <w:rsid w:val="002060B2"/>
    <w:rsid w:val="00210A72"/>
    <w:rsid w:val="00210DCF"/>
    <w:rsid w:val="00211493"/>
    <w:rsid w:val="0021195A"/>
    <w:rsid w:val="00211C9C"/>
    <w:rsid w:val="0021338B"/>
    <w:rsid w:val="00213756"/>
    <w:rsid w:val="00213B1F"/>
    <w:rsid w:val="002146BE"/>
    <w:rsid w:val="00215C3D"/>
    <w:rsid w:val="00217748"/>
    <w:rsid w:val="00217A41"/>
    <w:rsid w:val="00217C43"/>
    <w:rsid w:val="0022390A"/>
    <w:rsid w:val="00223A34"/>
    <w:rsid w:val="00224B26"/>
    <w:rsid w:val="00225770"/>
    <w:rsid w:val="00227E87"/>
    <w:rsid w:val="0023018C"/>
    <w:rsid w:val="00232326"/>
    <w:rsid w:val="0023327A"/>
    <w:rsid w:val="0023361B"/>
    <w:rsid w:val="00235A32"/>
    <w:rsid w:val="00236FA5"/>
    <w:rsid w:val="00237A6A"/>
    <w:rsid w:val="00245F3E"/>
    <w:rsid w:val="002465C0"/>
    <w:rsid w:val="002502C3"/>
    <w:rsid w:val="00250D69"/>
    <w:rsid w:val="002535BF"/>
    <w:rsid w:val="00255D58"/>
    <w:rsid w:val="0025609C"/>
    <w:rsid w:val="00257651"/>
    <w:rsid w:val="00261760"/>
    <w:rsid w:val="002620DD"/>
    <w:rsid w:val="002621C4"/>
    <w:rsid w:val="00262B69"/>
    <w:rsid w:val="00263118"/>
    <w:rsid w:val="00263B1D"/>
    <w:rsid w:val="00264E71"/>
    <w:rsid w:val="00265E1E"/>
    <w:rsid w:val="00266263"/>
    <w:rsid w:val="002671C6"/>
    <w:rsid w:val="002675A8"/>
    <w:rsid w:val="002704CB"/>
    <w:rsid w:val="002726BD"/>
    <w:rsid w:val="00273E0A"/>
    <w:rsid w:val="002757BB"/>
    <w:rsid w:val="00276954"/>
    <w:rsid w:val="00276977"/>
    <w:rsid w:val="00276B88"/>
    <w:rsid w:val="00276E8C"/>
    <w:rsid w:val="00277CE3"/>
    <w:rsid w:val="00277F15"/>
    <w:rsid w:val="00281256"/>
    <w:rsid w:val="00283B7A"/>
    <w:rsid w:val="00284007"/>
    <w:rsid w:val="00286A47"/>
    <w:rsid w:val="0028746A"/>
    <w:rsid w:val="002877E1"/>
    <w:rsid w:val="00290A99"/>
    <w:rsid w:val="0029180F"/>
    <w:rsid w:val="00291BFA"/>
    <w:rsid w:val="00294194"/>
    <w:rsid w:val="002945AA"/>
    <w:rsid w:val="002948F5"/>
    <w:rsid w:val="002960A7"/>
    <w:rsid w:val="00296C83"/>
    <w:rsid w:val="002A0090"/>
    <w:rsid w:val="002A1E23"/>
    <w:rsid w:val="002A2EC1"/>
    <w:rsid w:val="002A4BDC"/>
    <w:rsid w:val="002A63FF"/>
    <w:rsid w:val="002A747F"/>
    <w:rsid w:val="002B02B6"/>
    <w:rsid w:val="002B02CD"/>
    <w:rsid w:val="002B0CB5"/>
    <w:rsid w:val="002B0FDA"/>
    <w:rsid w:val="002B185A"/>
    <w:rsid w:val="002B2B96"/>
    <w:rsid w:val="002B31C8"/>
    <w:rsid w:val="002B3DDB"/>
    <w:rsid w:val="002B56BF"/>
    <w:rsid w:val="002B73D5"/>
    <w:rsid w:val="002C0F30"/>
    <w:rsid w:val="002C13C0"/>
    <w:rsid w:val="002C2E02"/>
    <w:rsid w:val="002C5247"/>
    <w:rsid w:val="002C6232"/>
    <w:rsid w:val="002C7782"/>
    <w:rsid w:val="002D0A23"/>
    <w:rsid w:val="002D1720"/>
    <w:rsid w:val="002D1B7E"/>
    <w:rsid w:val="002D22AE"/>
    <w:rsid w:val="002D4B09"/>
    <w:rsid w:val="002D4E58"/>
    <w:rsid w:val="002D5D61"/>
    <w:rsid w:val="002D6F5B"/>
    <w:rsid w:val="002D78B4"/>
    <w:rsid w:val="002D7DD1"/>
    <w:rsid w:val="002E0D3E"/>
    <w:rsid w:val="002E2B5E"/>
    <w:rsid w:val="002E4572"/>
    <w:rsid w:val="002E4A6E"/>
    <w:rsid w:val="002E54A0"/>
    <w:rsid w:val="002E6FAB"/>
    <w:rsid w:val="002F0008"/>
    <w:rsid w:val="002F06E1"/>
    <w:rsid w:val="002F2BE5"/>
    <w:rsid w:val="002F3FB1"/>
    <w:rsid w:val="002F61E5"/>
    <w:rsid w:val="002F69E3"/>
    <w:rsid w:val="002F6A4B"/>
    <w:rsid w:val="002F6CF1"/>
    <w:rsid w:val="002F6F26"/>
    <w:rsid w:val="002F6F89"/>
    <w:rsid w:val="003005B3"/>
    <w:rsid w:val="00300D80"/>
    <w:rsid w:val="00301FB5"/>
    <w:rsid w:val="003034D9"/>
    <w:rsid w:val="0030406D"/>
    <w:rsid w:val="0030620B"/>
    <w:rsid w:val="00306D6E"/>
    <w:rsid w:val="00310318"/>
    <w:rsid w:val="00310535"/>
    <w:rsid w:val="00310FC6"/>
    <w:rsid w:val="00313CC7"/>
    <w:rsid w:val="00313FB2"/>
    <w:rsid w:val="00315BFF"/>
    <w:rsid w:val="00315E59"/>
    <w:rsid w:val="003160AB"/>
    <w:rsid w:val="0031633A"/>
    <w:rsid w:val="00316A1C"/>
    <w:rsid w:val="00317665"/>
    <w:rsid w:val="003215DA"/>
    <w:rsid w:val="0032333C"/>
    <w:rsid w:val="00323342"/>
    <w:rsid w:val="00323B14"/>
    <w:rsid w:val="003240D6"/>
    <w:rsid w:val="0032727F"/>
    <w:rsid w:val="00331304"/>
    <w:rsid w:val="003342E2"/>
    <w:rsid w:val="00340E6E"/>
    <w:rsid w:val="00343794"/>
    <w:rsid w:val="003442D5"/>
    <w:rsid w:val="00345790"/>
    <w:rsid w:val="00345E0F"/>
    <w:rsid w:val="003502CE"/>
    <w:rsid w:val="003502FA"/>
    <w:rsid w:val="00351467"/>
    <w:rsid w:val="00351DA7"/>
    <w:rsid w:val="003545B7"/>
    <w:rsid w:val="003545C9"/>
    <w:rsid w:val="003549E1"/>
    <w:rsid w:val="00354B60"/>
    <w:rsid w:val="00355106"/>
    <w:rsid w:val="003557E1"/>
    <w:rsid w:val="0035605D"/>
    <w:rsid w:val="00356992"/>
    <w:rsid w:val="0036060A"/>
    <w:rsid w:val="00363926"/>
    <w:rsid w:val="00364372"/>
    <w:rsid w:val="003658F3"/>
    <w:rsid w:val="00365C4E"/>
    <w:rsid w:val="00365F95"/>
    <w:rsid w:val="0037111F"/>
    <w:rsid w:val="00372067"/>
    <w:rsid w:val="00372EF1"/>
    <w:rsid w:val="00373E2B"/>
    <w:rsid w:val="00374238"/>
    <w:rsid w:val="00374A8F"/>
    <w:rsid w:val="00374C5A"/>
    <w:rsid w:val="003774B1"/>
    <w:rsid w:val="00377B17"/>
    <w:rsid w:val="00380305"/>
    <w:rsid w:val="00382D97"/>
    <w:rsid w:val="003831BD"/>
    <w:rsid w:val="00384D40"/>
    <w:rsid w:val="003909CA"/>
    <w:rsid w:val="00391778"/>
    <w:rsid w:val="0039233B"/>
    <w:rsid w:val="00392B3E"/>
    <w:rsid w:val="0039336A"/>
    <w:rsid w:val="00394655"/>
    <w:rsid w:val="00394A4F"/>
    <w:rsid w:val="00395096"/>
    <w:rsid w:val="00395253"/>
    <w:rsid w:val="003954E1"/>
    <w:rsid w:val="00395865"/>
    <w:rsid w:val="003964B6"/>
    <w:rsid w:val="0039795A"/>
    <w:rsid w:val="00397E51"/>
    <w:rsid w:val="003A1B29"/>
    <w:rsid w:val="003A575E"/>
    <w:rsid w:val="003A5829"/>
    <w:rsid w:val="003A5F48"/>
    <w:rsid w:val="003A632E"/>
    <w:rsid w:val="003A7F23"/>
    <w:rsid w:val="003B03EE"/>
    <w:rsid w:val="003B0BCD"/>
    <w:rsid w:val="003B1125"/>
    <w:rsid w:val="003B3F9F"/>
    <w:rsid w:val="003B3FF4"/>
    <w:rsid w:val="003B4B73"/>
    <w:rsid w:val="003B571A"/>
    <w:rsid w:val="003B5F92"/>
    <w:rsid w:val="003C09C4"/>
    <w:rsid w:val="003C1A2C"/>
    <w:rsid w:val="003C3455"/>
    <w:rsid w:val="003C3EB8"/>
    <w:rsid w:val="003C4304"/>
    <w:rsid w:val="003C515D"/>
    <w:rsid w:val="003C5293"/>
    <w:rsid w:val="003C553A"/>
    <w:rsid w:val="003C7098"/>
    <w:rsid w:val="003C7C1F"/>
    <w:rsid w:val="003D0507"/>
    <w:rsid w:val="003D0744"/>
    <w:rsid w:val="003D0A69"/>
    <w:rsid w:val="003D3736"/>
    <w:rsid w:val="003D5D46"/>
    <w:rsid w:val="003D77E9"/>
    <w:rsid w:val="003D7965"/>
    <w:rsid w:val="003E218B"/>
    <w:rsid w:val="003E626F"/>
    <w:rsid w:val="003E657F"/>
    <w:rsid w:val="003E7D33"/>
    <w:rsid w:val="003F08A5"/>
    <w:rsid w:val="003F18EF"/>
    <w:rsid w:val="003F2A78"/>
    <w:rsid w:val="003F3D4E"/>
    <w:rsid w:val="003F5153"/>
    <w:rsid w:val="003F5A61"/>
    <w:rsid w:val="003F5FA7"/>
    <w:rsid w:val="003F63F1"/>
    <w:rsid w:val="003F7442"/>
    <w:rsid w:val="00401634"/>
    <w:rsid w:val="00401CA2"/>
    <w:rsid w:val="0040253C"/>
    <w:rsid w:val="00402679"/>
    <w:rsid w:val="00402F4C"/>
    <w:rsid w:val="00405B0B"/>
    <w:rsid w:val="00406885"/>
    <w:rsid w:val="00407551"/>
    <w:rsid w:val="0040788D"/>
    <w:rsid w:val="00407ADF"/>
    <w:rsid w:val="00407FB6"/>
    <w:rsid w:val="00410099"/>
    <w:rsid w:val="004112CD"/>
    <w:rsid w:val="00412F35"/>
    <w:rsid w:val="004156FE"/>
    <w:rsid w:val="00416680"/>
    <w:rsid w:val="00416D29"/>
    <w:rsid w:val="00417E69"/>
    <w:rsid w:val="00417F01"/>
    <w:rsid w:val="00421349"/>
    <w:rsid w:val="00421CDD"/>
    <w:rsid w:val="00424ABC"/>
    <w:rsid w:val="00427D9F"/>
    <w:rsid w:val="00431511"/>
    <w:rsid w:val="0043167A"/>
    <w:rsid w:val="00434076"/>
    <w:rsid w:val="0043558F"/>
    <w:rsid w:val="00436CAA"/>
    <w:rsid w:val="00440142"/>
    <w:rsid w:val="004419D4"/>
    <w:rsid w:val="004423B1"/>
    <w:rsid w:val="004426EC"/>
    <w:rsid w:val="00443A5C"/>
    <w:rsid w:val="00443CCE"/>
    <w:rsid w:val="00443FF2"/>
    <w:rsid w:val="0044405E"/>
    <w:rsid w:val="00445E6C"/>
    <w:rsid w:val="00446157"/>
    <w:rsid w:val="00447F56"/>
    <w:rsid w:val="0045138F"/>
    <w:rsid w:val="00451B0B"/>
    <w:rsid w:val="00452F60"/>
    <w:rsid w:val="00453050"/>
    <w:rsid w:val="004530DD"/>
    <w:rsid w:val="00455100"/>
    <w:rsid w:val="004553BB"/>
    <w:rsid w:val="00455DCB"/>
    <w:rsid w:val="0045710D"/>
    <w:rsid w:val="004601B5"/>
    <w:rsid w:val="00460BFD"/>
    <w:rsid w:val="00460D13"/>
    <w:rsid w:val="00461180"/>
    <w:rsid w:val="0046204E"/>
    <w:rsid w:val="00463395"/>
    <w:rsid w:val="004633BE"/>
    <w:rsid w:val="00463D78"/>
    <w:rsid w:val="00464CA6"/>
    <w:rsid w:val="004650EB"/>
    <w:rsid w:val="00465D9A"/>
    <w:rsid w:val="00467667"/>
    <w:rsid w:val="00470058"/>
    <w:rsid w:val="00470E0F"/>
    <w:rsid w:val="00473032"/>
    <w:rsid w:val="00474101"/>
    <w:rsid w:val="00475D57"/>
    <w:rsid w:val="00475F97"/>
    <w:rsid w:val="00481E09"/>
    <w:rsid w:val="0048225D"/>
    <w:rsid w:val="00482EDF"/>
    <w:rsid w:val="00483092"/>
    <w:rsid w:val="004833A1"/>
    <w:rsid w:val="00483AD8"/>
    <w:rsid w:val="0048516A"/>
    <w:rsid w:val="004874C1"/>
    <w:rsid w:val="00487CFC"/>
    <w:rsid w:val="004902A3"/>
    <w:rsid w:val="00490359"/>
    <w:rsid w:val="00490BEE"/>
    <w:rsid w:val="00492125"/>
    <w:rsid w:val="00493A72"/>
    <w:rsid w:val="00494144"/>
    <w:rsid w:val="004A136B"/>
    <w:rsid w:val="004A1DB0"/>
    <w:rsid w:val="004A1EAB"/>
    <w:rsid w:val="004A35B5"/>
    <w:rsid w:val="004A368C"/>
    <w:rsid w:val="004A39B4"/>
    <w:rsid w:val="004A497C"/>
    <w:rsid w:val="004A4AB6"/>
    <w:rsid w:val="004A4D65"/>
    <w:rsid w:val="004A6220"/>
    <w:rsid w:val="004A69F9"/>
    <w:rsid w:val="004A7294"/>
    <w:rsid w:val="004A7DB1"/>
    <w:rsid w:val="004B22D6"/>
    <w:rsid w:val="004B3881"/>
    <w:rsid w:val="004B4C2A"/>
    <w:rsid w:val="004B5B49"/>
    <w:rsid w:val="004B614E"/>
    <w:rsid w:val="004B6217"/>
    <w:rsid w:val="004B6C86"/>
    <w:rsid w:val="004C1E99"/>
    <w:rsid w:val="004C305F"/>
    <w:rsid w:val="004C45D7"/>
    <w:rsid w:val="004C75A6"/>
    <w:rsid w:val="004C7AAB"/>
    <w:rsid w:val="004D0756"/>
    <w:rsid w:val="004D133D"/>
    <w:rsid w:val="004D2215"/>
    <w:rsid w:val="004D4657"/>
    <w:rsid w:val="004D466A"/>
    <w:rsid w:val="004D4944"/>
    <w:rsid w:val="004D5BE3"/>
    <w:rsid w:val="004D6BEA"/>
    <w:rsid w:val="004E170F"/>
    <w:rsid w:val="004E27D6"/>
    <w:rsid w:val="004E3BED"/>
    <w:rsid w:val="004E454F"/>
    <w:rsid w:val="004E4F86"/>
    <w:rsid w:val="004E5E6D"/>
    <w:rsid w:val="004F04C0"/>
    <w:rsid w:val="004F076B"/>
    <w:rsid w:val="004F1007"/>
    <w:rsid w:val="004F4F79"/>
    <w:rsid w:val="004F57CE"/>
    <w:rsid w:val="004F6027"/>
    <w:rsid w:val="004F7574"/>
    <w:rsid w:val="004F7A23"/>
    <w:rsid w:val="004F7F12"/>
    <w:rsid w:val="00506A6F"/>
    <w:rsid w:val="0050765B"/>
    <w:rsid w:val="005107F7"/>
    <w:rsid w:val="00510D5C"/>
    <w:rsid w:val="00511973"/>
    <w:rsid w:val="005126CC"/>
    <w:rsid w:val="005135AB"/>
    <w:rsid w:val="00513659"/>
    <w:rsid w:val="00515B5F"/>
    <w:rsid w:val="00517AD4"/>
    <w:rsid w:val="00520DA6"/>
    <w:rsid w:val="0052168C"/>
    <w:rsid w:val="00521BE7"/>
    <w:rsid w:val="005220B7"/>
    <w:rsid w:val="00522672"/>
    <w:rsid w:val="00524A27"/>
    <w:rsid w:val="005255A6"/>
    <w:rsid w:val="00527EE3"/>
    <w:rsid w:val="00527FCC"/>
    <w:rsid w:val="005300D6"/>
    <w:rsid w:val="00530BAD"/>
    <w:rsid w:val="00531C5A"/>
    <w:rsid w:val="00531EA5"/>
    <w:rsid w:val="005335F6"/>
    <w:rsid w:val="00533695"/>
    <w:rsid w:val="005346DF"/>
    <w:rsid w:val="005358B6"/>
    <w:rsid w:val="0053618A"/>
    <w:rsid w:val="0053656A"/>
    <w:rsid w:val="0053783B"/>
    <w:rsid w:val="00540457"/>
    <w:rsid w:val="0054052D"/>
    <w:rsid w:val="005417C7"/>
    <w:rsid w:val="00543C25"/>
    <w:rsid w:val="00543CBC"/>
    <w:rsid w:val="00545BA8"/>
    <w:rsid w:val="005464E6"/>
    <w:rsid w:val="00550B67"/>
    <w:rsid w:val="005520B1"/>
    <w:rsid w:val="00554779"/>
    <w:rsid w:val="00557184"/>
    <w:rsid w:val="00557ED3"/>
    <w:rsid w:val="00557FCE"/>
    <w:rsid w:val="005614DC"/>
    <w:rsid w:val="005626A6"/>
    <w:rsid w:val="00562A76"/>
    <w:rsid w:val="00562B47"/>
    <w:rsid w:val="00563E20"/>
    <w:rsid w:val="005646ED"/>
    <w:rsid w:val="00564AC6"/>
    <w:rsid w:val="0056548D"/>
    <w:rsid w:val="00565D3F"/>
    <w:rsid w:val="00571758"/>
    <w:rsid w:val="00571C97"/>
    <w:rsid w:val="00572303"/>
    <w:rsid w:val="00573028"/>
    <w:rsid w:val="0057429D"/>
    <w:rsid w:val="00576C9B"/>
    <w:rsid w:val="00577994"/>
    <w:rsid w:val="005811CB"/>
    <w:rsid w:val="005844D3"/>
    <w:rsid w:val="005853DF"/>
    <w:rsid w:val="00585EB9"/>
    <w:rsid w:val="00586DE3"/>
    <w:rsid w:val="00587678"/>
    <w:rsid w:val="00587C74"/>
    <w:rsid w:val="005916BB"/>
    <w:rsid w:val="00591B02"/>
    <w:rsid w:val="00591ED5"/>
    <w:rsid w:val="00592032"/>
    <w:rsid w:val="00593C79"/>
    <w:rsid w:val="00594AC7"/>
    <w:rsid w:val="00596924"/>
    <w:rsid w:val="00596B2F"/>
    <w:rsid w:val="005976DF"/>
    <w:rsid w:val="005978E9"/>
    <w:rsid w:val="005A1094"/>
    <w:rsid w:val="005A1B6B"/>
    <w:rsid w:val="005A1D5E"/>
    <w:rsid w:val="005A1EA2"/>
    <w:rsid w:val="005A3611"/>
    <w:rsid w:val="005A36B7"/>
    <w:rsid w:val="005A4532"/>
    <w:rsid w:val="005A5194"/>
    <w:rsid w:val="005A7040"/>
    <w:rsid w:val="005A71C6"/>
    <w:rsid w:val="005A7F7C"/>
    <w:rsid w:val="005B054A"/>
    <w:rsid w:val="005B2550"/>
    <w:rsid w:val="005B3ED1"/>
    <w:rsid w:val="005B4A1D"/>
    <w:rsid w:val="005B67AE"/>
    <w:rsid w:val="005B7052"/>
    <w:rsid w:val="005C2353"/>
    <w:rsid w:val="005C27B2"/>
    <w:rsid w:val="005C35BE"/>
    <w:rsid w:val="005C4102"/>
    <w:rsid w:val="005C4E75"/>
    <w:rsid w:val="005C5BFD"/>
    <w:rsid w:val="005C65FD"/>
    <w:rsid w:val="005C725F"/>
    <w:rsid w:val="005C79D3"/>
    <w:rsid w:val="005D0210"/>
    <w:rsid w:val="005D1E85"/>
    <w:rsid w:val="005D6EA1"/>
    <w:rsid w:val="005D7265"/>
    <w:rsid w:val="005E0812"/>
    <w:rsid w:val="005E0E32"/>
    <w:rsid w:val="005E0EB4"/>
    <w:rsid w:val="005E129F"/>
    <w:rsid w:val="005E2A2B"/>
    <w:rsid w:val="005E2DAC"/>
    <w:rsid w:val="005E4759"/>
    <w:rsid w:val="005E4B09"/>
    <w:rsid w:val="005E53B6"/>
    <w:rsid w:val="005E5FF4"/>
    <w:rsid w:val="005F03EC"/>
    <w:rsid w:val="005F1B1C"/>
    <w:rsid w:val="005F1F59"/>
    <w:rsid w:val="005F244E"/>
    <w:rsid w:val="005F28AA"/>
    <w:rsid w:val="005F30E8"/>
    <w:rsid w:val="005F320F"/>
    <w:rsid w:val="005F336C"/>
    <w:rsid w:val="005F428D"/>
    <w:rsid w:val="005F4F95"/>
    <w:rsid w:val="005F56A5"/>
    <w:rsid w:val="005F7EB9"/>
    <w:rsid w:val="0060133A"/>
    <w:rsid w:val="00601BD5"/>
    <w:rsid w:val="00601E12"/>
    <w:rsid w:val="00601EA1"/>
    <w:rsid w:val="00603A62"/>
    <w:rsid w:val="00603A99"/>
    <w:rsid w:val="00606FD5"/>
    <w:rsid w:val="00611551"/>
    <w:rsid w:val="00620D8C"/>
    <w:rsid w:val="00621982"/>
    <w:rsid w:val="00622F68"/>
    <w:rsid w:val="00623D14"/>
    <w:rsid w:val="006243B8"/>
    <w:rsid w:val="00624F21"/>
    <w:rsid w:val="00626CDC"/>
    <w:rsid w:val="006301BC"/>
    <w:rsid w:val="00631891"/>
    <w:rsid w:val="00633A28"/>
    <w:rsid w:val="006344E9"/>
    <w:rsid w:val="006344F9"/>
    <w:rsid w:val="00635EC5"/>
    <w:rsid w:val="006373FE"/>
    <w:rsid w:val="00640EE8"/>
    <w:rsid w:val="00641F5E"/>
    <w:rsid w:val="006457C7"/>
    <w:rsid w:val="00646C19"/>
    <w:rsid w:val="00646DE0"/>
    <w:rsid w:val="006475B9"/>
    <w:rsid w:val="00651545"/>
    <w:rsid w:val="00651B21"/>
    <w:rsid w:val="006520B1"/>
    <w:rsid w:val="00655DF0"/>
    <w:rsid w:val="006600C9"/>
    <w:rsid w:val="006632E5"/>
    <w:rsid w:val="0066414B"/>
    <w:rsid w:val="00664C69"/>
    <w:rsid w:val="0066563A"/>
    <w:rsid w:val="00665948"/>
    <w:rsid w:val="00665D45"/>
    <w:rsid w:val="00666820"/>
    <w:rsid w:val="00666F2E"/>
    <w:rsid w:val="00670063"/>
    <w:rsid w:val="00673585"/>
    <w:rsid w:val="00673EB8"/>
    <w:rsid w:val="006758E1"/>
    <w:rsid w:val="00675FCF"/>
    <w:rsid w:val="006774B9"/>
    <w:rsid w:val="00680F63"/>
    <w:rsid w:val="00682E32"/>
    <w:rsid w:val="00683682"/>
    <w:rsid w:val="006836CB"/>
    <w:rsid w:val="00690501"/>
    <w:rsid w:val="00691D34"/>
    <w:rsid w:val="00692C2F"/>
    <w:rsid w:val="0069572F"/>
    <w:rsid w:val="0069718B"/>
    <w:rsid w:val="00697FB2"/>
    <w:rsid w:val="006A118E"/>
    <w:rsid w:val="006A11BE"/>
    <w:rsid w:val="006A21A0"/>
    <w:rsid w:val="006A2EE7"/>
    <w:rsid w:val="006A3A27"/>
    <w:rsid w:val="006A4196"/>
    <w:rsid w:val="006A5692"/>
    <w:rsid w:val="006A6F6D"/>
    <w:rsid w:val="006A787F"/>
    <w:rsid w:val="006B1084"/>
    <w:rsid w:val="006B1241"/>
    <w:rsid w:val="006B2029"/>
    <w:rsid w:val="006B531F"/>
    <w:rsid w:val="006B6191"/>
    <w:rsid w:val="006B6598"/>
    <w:rsid w:val="006B7CCD"/>
    <w:rsid w:val="006C36AB"/>
    <w:rsid w:val="006C3BA3"/>
    <w:rsid w:val="006C4111"/>
    <w:rsid w:val="006C44E5"/>
    <w:rsid w:val="006C61A2"/>
    <w:rsid w:val="006C786D"/>
    <w:rsid w:val="006C7F72"/>
    <w:rsid w:val="006D020B"/>
    <w:rsid w:val="006D1D66"/>
    <w:rsid w:val="006D2C43"/>
    <w:rsid w:val="006D38F6"/>
    <w:rsid w:val="006D3ACD"/>
    <w:rsid w:val="006D4E7B"/>
    <w:rsid w:val="006D6CD0"/>
    <w:rsid w:val="006D7090"/>
    <w:rsid w:val="006E05B1"/>
    <w:rsid w:val="006E0672"/>
    <w:rsid w:val="006E2E98"/>
    <w:rsid w:val="006E5C05"/>
    <w:rsid w:val="006E5C7E"/>
    <w:rsid w:val="006E6FC0"/>
    <w:rsid w:val="006E78EB"/>
    <w:rsid w:val="006E7AEA"/>
    <w:rsid w:val="006E7E91"/>
    <w:rsid w:val="006F0473"/>
    <w:rsid w:val="006F5EBA"/>
    <w:rsid w:val="006F622F"/>
    <w:rsid w:val="006F72CC"/>
    <w:rsid w:val="006F7327"/>
    <w:rsid w:val="006F755A"/>
    <w:rsid w:val="007020AF"/>
    <w:rsid w:val="007024F0"/>
    <w:rsid w:val="00703223"/>
    <w:rsid w:val="0070491B"/>
    <w:rsid w:val="00705905"/>
    <w:rsid w:val="00705DC7"/>
    <w:rsid w:val="00707A82"/>
    <w:rsid w:val="00707B15"/>
    <w:rsid w:val="007106D3"/>
    <w:rsid w:val="00711415"/>
    <w:rsid w:val="00711DAA"/>
    <w:rsid w:val="00713760"/>
    <w:rsid w:val="00714D2A"/>
    <w:rsid w:val="0071569E"/>
    <w:rsid w:val="007156FC"/>
    <w:rsid w:val="007178CE"/>
    <w:rsid w:val="00717911"/>
    <w:rsid w:val="007200C8"/>
    <w:rsid w:val="007221C7"/>
    <w:rsid w:val="00722E83"/>
    <w:rsid w:val="00723C07"/>
    <w:rsid w:val="00725D74"/>
    <w:rsid w:val="00726074"/>
    <w:rsid w:val="00730644"/>
    <w:rsid w:val="00731174"/>
    <w:rsid w:val="00732E36"/>
    <w:rsid w:val="00732F4D"/>
    <w:rsid w:val="00733097"/>
    <w:rsid w:val="007339CA"/>
    <w:rsid w:val="00733B95"/>
    <w:rsid w:val="00733ED6"/>
    <w:rsid w:val="007358B8"/>
    <w:rsid w:val="007363A0"/>
    <w:rsid w:val="007363F3"/>
    <w:rsid w:val="00737C68"/>
    <w:rsid w:val="0074009D"/>
    <w:rsid w:val="00740544"/>
    <w:rsid w:val="00740A1D"/>
    <w:rsid w:val="00741786"/>
    <w:rsid w:val="00741C5E"/>
    <w:rsid w:val="00743C00"/>
    <w:rsid w:val="00744C7C"/>
    <w:rsid w:val="00745AB6"/>
    <w:rsid w:val="007476C8"/>
    <w:rsid w:val="0074791C"/>
    <w:rsid w:val="00747D88"/>
    <w:rsid w:val="0075311B"/>
    <w:rsid w:val="00753B2D"/>
    <w:rsid w:val="00754CDB"/>
    <w:rsid w:val="00755892"/>
    <w:rsid w:val="00755DBC"/>
    <w:rsid w:val="007563BE"/>
    <w:rsid w:val="00760E5D"/>
    <w:rsid w:val="00761D24"/>
    <w:rsid w:val="007623C6"/>
    <w:rsid w:val="0076417B"/>
    <w:rsid w:val="00764A97"/>
    <w:rsid w:val="007659DB"/>
    <w:rsid w:val="00766871"/>
    <w:rsid w:val="007671AE"/>
    <w:rsid w:val="00767F49"/>
    <w:rsid w:val="0077077A"/>
    <w:rsid w:val="00770B5A"/>
    <w:rsid w:val="00770CA0"/>
    <w:rsid w:val="00771D80"/>
    <w:rsid w:val="007721B9"/>
    <w:rsid w:val="00772CD1"/>
    <w:rsid w:val="0077341B"/>
    <w:rsid w:val="007734E6"/>
    <w:rsid w:val="00773F4A"/>
    <w:rsid w:val="007740C0"/>
    <w:rsid w:val="007755D0"/>
    <w:rsid w:val="00775857"/>
    <w:rsid w:val="00776E9F"/>
    <w:rsid w:val="0078125D"/>
    <w:rsid w:val="0078167C"/>
    <w:rsid w:val="007859D4"/>
    <w:rsid w:val="00786135"/>
    <w:rsid w:val="00786394"/>
    <w:rsid w:val="0078656F"/>
    <w:rsid w:val="00787478"/>
    <w:rsid w:val="007902B9"/>
    <w:rsid w:val="00790FE5"/>
    <w:rsid w:val="00791891"/>
    <w:rsid w:val="00791F8E"/>
    <w:rsid w:val="007927B2"/>
    <w:rsid w:val="00793BE0"/>
    <w:rsid w:val="0079421B"/>
    <w:rsid w:val="00794476"/>
    <w:rsid w:val="0079511C"/>
    <w:rsid w:val="0079682F"/>
    <w:rsid w:val="007968FD"/>
    <w:rsid w:val="00796AAD"/>
    <w:rsid w:val="0079705E"/>
    <w:rsid w:val="007977E5"/>
    <w:rsid w:val="007A045F"/>
    <w:rsid w:val="007A0AD4"/>
    <w:rsid w:val="007A0F0D"/>
    <w:rsid w:val="007A1914"/>
    <w:rsid w:val="007A3F82"/>
    <w:rsid w:val="007A4E41"/>
    <w:rsid w:val="007A50D5"/>
    <w:rsid w:val="007A688C"/>
    <w:rsid w:val="007A6E46"/>
    <w:rsid w:val="007A73E6"/>
    <w:rsid w:val="007B104A"/>
    <w:rsid w:val="007B347D"/>
    <w:rsid w:val="007B3845"/>
    <w:rsid w:val="007B65E5"/>
    <w:rsid w:val="007B732B"/>
    <w:rsid w:val="007B7812"/>
    <w:rsid w:val="007C04BE"/>
    <w:rsid w:val="007C04DC"/>
    <w:rsid w:val="007C27A0"/>
    <w:rsid w:val="007C3134"/>
    <w:rsid w:val="007C5B85"/>
    <w:rsid w:val="007C5EF5"/>
    <w:rsid w:val="007C64C3"/>
    <w:rsid w:val="007C6C77"/>
    <w:rsid w:val="007D02DB"/>
    <w:rsid w:val="007D19CF"/>
    <w:rsid w:val="007D2549"/>
    <w:rsid w:val="007D40AB"/>
    <w:rsid w:val="007D40D7"/>
    <w:rsid w:val="007D4191"/>
    <w:rsid w:val="007D47A3"/>
    <w:rsid w:val="007D61B9"/>
    <w:rsid w:val="007E089D"/>
    <w:rsid w:val="007E5229"/>
    <w:rsid w:val="007E57D3"/>
    <w:rsid w:val="007E7740"/>
    <w:rsid w:val="007F0039"/>
    <w:rsid w:val="007F4025"/>
    <w:rsid w:val="007F4FF0"/>
    <w:rsid w:val="007F55D5"/>
    <w:rsid w:val="007F5D0F"/>
    <w:rsid w:val="007F6BD5"/>
    <w:rsid w:val="007F6BF6"/>
    <w:rsid w:val="007F6D52"/>
    <w:rsid w:val="00801519"/>
    <w:rsid w:val="00801787"/>
    <w:rsid w:val="00802203"/>
    <w:rsid w:val="008031B3"/>
    <w:rsid w:val="00803FE2"/>
    <w:rsid w:val="008049FE"/>
    <w:rsid w:val="008058FA"/>
    <w:rsid w:val="00805E83"/>
    <w:rsid w:val="00805F3C"/>
    <w:rsid w:val="00807820"/>
    <w:rsid w:val="00812BA0"/>
    <w:rsid w:val="00813BE9"/>
    <w:rsid w:val="00814991"/>
    <w:rsid w:val="00814B65"/>
    <w:rsid w:val="00815251"/>
    <w:rsid w:val="00815A43"/>
    <w:rsid w:val="00815BD0"/>
    <w:rsid w:val="00815D49"/>
    <w:rsid w:val="00816DAE"/>
    <w:rsid w:val="00817821"/>
    <w:rsid w:val="00820457"/>
    <w:rsid w:val="00820B0C"/>
    <w:rsid w:val="008217DE"/>
    <w:rsid w:val="008220C3"/>
    <w:rsid w:val="008232DB"/>
    <w:rsid w:val="00823537"/>
    <w:rsid w:val="0082468B"/>
    <w:rsid w:val="008246C3"/>
    <w:rsid w:val="008269BD"/>
    <w:rsid w:val="008276DF"/>
    <w:rsid w:val="00827D55"/>
    <w:rsid w:val="00831C72"/>
    <w:rsid w:val="00833EDB"/>
    <w:rsid w:val="00836721"/>
    <w:rsid w:val="00837A6E"/>
    <w:rsid w:val="00842944"/>
    <w:rsid w:val="00843EB2"/>
    <w:rsid w:val="00843FA4"/>
    <w:rsid w:val="00846C42"/>
    <w:rsid w:val="0085070C"/>
    <w:rsid w:val="0085253A"/>
    <w:rsid w:val="008537D1"/>
    <w:rsid w:val="00853CC1"/>
    <w:rsid w:val="00854CA6"/>
    <w:rsid w:val="008556B4"/>
    <w:rsid w:val="00856366"/>
    <w:rsid w:val="00856DD1"/>
    <w:rsid w:val="00860D03"/>
    <w:rsid w:val="008633B7"/>
    <w:rsid w:val="00863915"/>
    <w:rsid w:val="0086445F"/>
    <w:rsid w:val="0086516B"/>
    <w:rsid w:val="00865E65"/>
    <w:rsid w:val="0086627E"/>
    <w:rsid w:val="0086782E"/>
    <w:rsid w:val="008707FF"/>
    <w:rsid w:val="008708B4"/>
    <w:rsid w:val="00870D9D"/>
    <w:rsid w:val="00871431"/>
    <w:rsid w:val="00872E5A"/>
    <w:rsid w:val="00873D75"/>
    <w:rsid w:val="00875789"/>
    <w:rsid w:val="00876D63"/>
    <w:rsid w:val="00880CDF"/>
    <w:rsid w:val="00880D95"/>
    <w:rsid w:val="00880ED5"/>
    <w:rsid w:val="0088249E"/>
    <w:rsid w:val="008835CD"/>
    <w:rsid w:val="00883D4C"/>
    <w:rsid w:val="00883E83"/>
    <w:rsid w:val="00884023"/>
    <w:rsid w:val="00884A19"/>
    <w:rsid w:val="0088628E"/>
    <w:rsid w:val="00887227"/>
    <w:rsid w:val="00887745"/>
    <w:rsid w:val="008924B3"/>
    <w:rsid w:val="00892536"/>
    <w:rsid w:val="0089397A"/>
    <w:rsid w:val="00894474"/>
    <w:rsid w:val="00894C93"/>
    <w:rsid w:val="008A19C5"/>
    <w:rsid w:val="008A1A9B"/>
    <w:rsid w:val="008A2191"/>
    <w:rsid w:val="008A2E4B"/>
    <w:rsid w:val="008A35CE"/>
    <w:rsid w:val="008A588C"/>
    <w:rsid w:val="008A7221"/>
    <w:rsid w:val="008A7524"/>
    <w:rsid w:val="008B2B4D"/>
    <w:rsid w:val="008B3B7D"/>
    <w:rsid w:val="008C0603"/>
    <w:rsid w:val="008C1EAF"/>
    <w:rsid w:val="008C2888"/>
    <w:rsid w:val="008C4464"/>
    <w:rsid w:val="008C6B8B"/>
    <w:rsid w:val="008D187D"/>
    <w:rsid w:val="008D187F"/>
    <w:rsid w:val="008D1A75"/>
    <w:rsid w:val="008D331C"/>
    <w:rsid w:val="008D4174"/>
    <w:rsid w:val="008D42AB"/>
    <w:rsid w:val="008D52B0"/>
    <w:rsid w:val="008D53AF"/>
    <w:rsid w:val="008D547D"/>
    <w:rsid w:val="008D5645"/>
    <w:rsid w:val="008D5774"/>
    <w:rsid w:val="008D5AF1"/>
    <w:rsid w:val="008D6CA9"/>
    <w:rsid w:val="008D7FAE"/>
    <w:rsid w:val="008E0A79"/>
    <w:rsid w:val="008E129E"/>
    <w:rsid w:val="008E243D"/>
    <w:rsid w:val="008E41D2"/>
    <w:rsid w:val="008E5181"/>
    <w:rsid w:val="008E71CB"/>
    <w:rsid w:val="008E7B08"/>
    <w:rsid w:val="008E7E4B"/>
    <w:rsid w:val="008F0755"/>
    <w:rsid w:val="008F2EDA"/>
    <w:rsid w:val="008F330A"/>
    <w:rsid w:val="008F3BCF"/>
    <w:rsid w:val="008F4FB6"/>
    <w:rsid w:val="008F5C3F"/>
    <w:rsid w:val="009022B1"/>
    <w:rsid w:val="00902865"/>
    <w:rsid w:val="009030B4"/>
    <w:rsid w:val="0090347B"/>
    <w:rsid w:val="00903FC7"/>
    <w:rsid w:val="00904176"/>
    <w:rsid w:val="009042BE"/>
    <w:rsid w:val="009048A5"/>
    <w:rsid w:val="00906C71"/>
    <w:rsid w:val="0090702E"/>
    <w:rsid w:val="00907229"/>
    <w:rsid w:val="009074C3"/>
    <w:rsid w:val="00907C3C"/>
    <w:rsid w:val="00914770"/>
    <w:rsid w:val="0091541A"/>
    <w:rsid w:val="00915C61"/>
    <w:rsid w:val="009168EC"/>
    <w:rsid w:val="00916EF9"/>
    <w:rsid w:val="0092076D"/>
    <w:rsid w:val="009207FB"/>
    <w:rsid w:val="00923D4D"/>
    <w:rsid w:val="00927F9A"/>
    <w:rsid w:val="00930854"/>
    <w:rsid w:val="00932354"/>
    <w:rsid w:val="00932C5A"/>
    <w:rsid w:val="00933379"/>
    <w:rsid w:val="00933536"/>
    <w:rsid w:val="00937DB1"/>
    <w:rsid w:val="00940EA4"/>
    <w:rsid w:val="0094192A"/>
    <w:rsid w:val="0094281B"/>
    <w:rsid w:val="0094315D"/>
    <w:rsid w:val="00943405"/>
    <w:rsid w:val="00944BFE"/>
    <w:rsid w:val="00945A4A"/>
    <w:rsid w:val="0094735D"/>
    <w:rsid w:val="00947A3C"/>
    <w:rsid w:val="009529E7"/>
    <w:rsid w:val="0095375B"/>
    <w:rsid w:val="009539A5"/>
    <w:rsid w:val="00955417"/>
    <w:rsid w:val="009555DF"/>
    <w:rsid w:val="00956A94"/>
    <w:rsid w:val="00956CEA"/>
    <w:rsid w:val="009617C2"/>
    <w:rsid w:val="00964B58"/>
    <w:rsid w:val="00965D81"/>
    <w:rsid w:val="0097096F"/>
    <w:rsid w:val="00971EDF"/>
    <w:rsid w:val="00973F7E"/>
    <w:rsid w:val="009745F5"/>
    <w:rsid w:val="0097582C"/>
    <w:rsid w:val="00975CEF"/>
    <w:rsid w:val="0097675C"/>
    <w:rsid w:val="009769C1"/>
    <w:rsid w:val="009773F2"/>
    <w:rsid w:val="0097755A"/>
    <w:rsid w:val="00977D33"/>
    <w:rsid w:val="0098175F"/>
    <w:rsid w:val="009826C5"/>
    <w:rsid w:val="009830D7"/>
    <w:rsid w:val="0098355F"/>
    <w:rsid w:val="009837C1"/>
    <w:rsid w:val="00984DE9"/>
    <w:rsid w:val="00985BDB"/>
    <w:rsid w:val="009862FC"/>
    <w:rsid w:val="00986EB4"/>
    <w:rsid w:val="009875E5"/>
    <w:rsid w:val="009904DE"/>
    <w:rsid w:val="009910D8"/>
    <w:rsid w:val="009914D2"/>
    <w:rsid w:val="00991530"/>
    <w:rsid w:val="00991E31"/>
    <w:rsid w:val="00993818"/>
    <w:rsid w:val="00996329"/>
    <w:rsid w:val="009A196C"/>
    <w:rsid w:val="009A26BF"/>
    <w:rsid w:val="009A4E1F"/>
    <w:rsid w:val="009A6028"/>
    <w:rsid w:val="009A762B"/>
    <w:rsid w:val="009A7AB1"/>
    <w:rsid w:val="009B07C1"/>
    <w:rsid w:val="009B248C"/>
    <w:rsid w:val="009B2692"/>
    <w:rsid w:val="009B4325"/>
    <w:rsid w:val="009B539E"/>
    <w:rsid w:val="009B788A"/>
    <w:rsid w:val="009C04EA"/>
    <w:rsid w:val="009C0914"/>
    <w:rsid w:val="009C10EF"/>
    <w:rsid w:val="009C1E90"/>
    <w:rsid w:val="009C2DD9"/>
    <w:rsid w:val="009C3EC1"/>
    <w:rsid w:val="009C4AE3"/>
    <w:rsid w:val="009C6161"/>
    <w:rsid w:val="009C69D5"/>
    <w:rsid w:val="009C773B"/>
    <w:rsid w:val="009C7B25"/>
    <w:rsid w:val="009D0518"/>
    <w:rsid w:val="009D0F0A"/>
    <w:rsid w:val="009D1184"/>
    <w:rsid w:val="009D1282"/>
    <w:rsid w:val="009D1547"/>
    <w:rsid w:val="009D18C8"/>
    <w:rsid w:val="009D2EA3"/>
    <w:rsid w:val="009D2FF3"/>
    <w:rsid w:val="009D4D6E"/>
    <w:rsid w:val="009D6CF5"/>
    <w:rsid w:val="009D728F"/>
    <w:rsid w:val="009D75C1"/>
    <w:rsid w:val="009D7C66"/>
    <w:rsid w:val="009E0A99"/>
    <w:rsid w:val="009E1DD0"/>
    <w:rsid w:val="009E264D"/>
    <w:rsid w:val="009E3924"/>
    <w:rsid w:val="009E4403"/>
    <w:rsid w:val="009E4522"/>
    <w:rsid w:val="009E46E2"/>
    <w:rsid w:val="009E475A"/>
    <w:rsid w:val="009E5734"/>
    <w:rsid w:val="009E5E31"/>
    <w:rsid w:val="009E6265"/>
    <w:rsid w:val="009E72B8"/>
    <w:rsid w:val="009F1BA4"/>
    <w:rsid w:val="009F20C6"/>
    <w:rsid w:val="009F2F5E"/>
    <w:rsid w:val="009F33B0"/>
    <w:rsid w:val="009F48CC"/>
    <w:rsid w:val="009F6B87"/>
    <w:rsid w:val="00A00206"/>
    <w:rsid w:val="00A00485"/>
    <w:rsid w:val="00A00F11"/>
    <w:rsid w:val="00A02410"/>
    <w:rsid w:val="00A038EB"/>
    <w:rsid w:val="00A0434A"/>
    <w:rsid w:val="00A1231C"/>
    <w:rsid w:val="00A12E33"/>
    <w:rsid w:val="00A136E1"/>
    <w:rsid w:val="00A155A4"/>
    <w:rsid w:val="00A15714"/>
    <w:rsid w:val="00A23057"/>
    <w:rsid w:val="00A2560A"/>
    <w:rsid w:val="00A25751"/>
    <w:rsid w:val="00A2575D"/>
    <w:rsid w:val="00A2578C"/>
    <w:rsid w:val="00A260AD"/>
    <w:rsid w:val="00A31CFF"/>
    <w:rsid w:val="00A32407"/>
    <w:rsid w:val="00A3553C"/>
    <w:rsid w:val="00A35B2D"/>
    <w:rsid w:val="00A37FD8"/>
    <w:rsid w:val="00A4110D"/>
    <w:rsid w:val="00A42CE2"/>
    <w:rsid w:val="00A42D44"/>
    <w:rsid w:val="00A42F98"/>
    <w:rsid w:val="00A436C7"/>
    <w:rsid w:val="00A45D6A"/>
    <w:rsid w:val="00A463C3"/>
    <w:rsid w:val="00A46BAD"/>
    <w:rsid w:val="00A472A8"/>
    <w:rsid w:val="00A479C5"/>
    <w:rsid w:val="00A50649"/>
    <w:rsid w:val="00A50B5B"/>
    <w:rsid w:val="00A51431"/>
    <w:rsid w:val="00A51842"/>
    <w:rsid w:val="00A54E32"/>
    <w:rsid w:val="00A54F0C"/>
    <w:rsid w:val="00A54F20"/>
    <w:rsid w:val="00A569EA"/>
    <w:rsid w:val="00A56D83"/>
    <w:rsid w:val="00A6001D"/>
    <w:rsid w:val="00A6184A"/>
    <w:rsid w:val="00A6339A"/>
    <w:rsid w:val="00A63688"/>
    <w:rsid w:val="00A636ED"/>
    <w:rsid w:val="00A64B30"/>
    <w:rsid w:val="00A661EB"/>
    <w:rsid w:val="00A663CE"/>
    <w:rsid w:val="00A67337"/>
    <w:rsid w:val="00A67735"/>
    <w:rsid w:val="00A70BF5"/>
    <w:rsid w:val="00A7145E"/>
    <w:rsid w:val="00A73719"/>
    <w:rsid w:val="00A73B59"/>
    <w:rsid w:val="00A74061"/>
    <w:rsid w:val="00A749F3"/>
    <w:rsid w:val="00A76342"/>
    <w:rsid w:val="00A76829"/>
    <w:rsid w:val="00A83268"/>
    <w:rsid w:val="00A83DE7"/>
    <w:rsid w:val="00A854C6"/>
    <w:rsid w:val="00A87BD0"/>
    <w:rsid w:val="00A94129"/>
    <w:rsid w:val="00A94834"/>
    <w:rsid w:val="00A94E82"/>
    <w:rsid w:val="00A955AD"/>
    <w:rsid w:val="00A95889"/>
    <w:rsid w:val="00AA0000"/>
    <w:rsid w:val="00AA2E8C"/>
    <w:rsid w:val="00AA4BA1"/>
    <w:rsid w:val="00AA69AD"/>
    <w:rsid w:val="00AB5D00"/>
    <w:rsid w:val="00AB7912"/>
    <w:rsid w:val="00AC2929"/>
    <w:rsid w:val="00AC3A02"/>
    <w:rsid w:val="00AC3C47"/>
    <w:rsid w:val="00AC68BE"/>
    <w:rsid w:val="00AC7647"/>
    <w:rsid w:val="00AD14E0"/>
    <w:rsid w:val="00AD157B"/>
    <w:rsid w:val="00AD1675"/>
    <w:rsid w:val="00AD1EEC"/>
    <w:rsid w:val="00AD2CA2"/>
    <w:rsid w:val="00AD3B40"/>
    <w:rsid w:val="00AD4D56"/>
    <w:rsid w:val="00AD530A"/>
    <w:rsid w:val="00AD68EE"/>
    <w:rsid w:val="00AD6B22"/>
    <w:rsid w:val="00AD7CDA"/>
    <w:rsid w:val="00AE0EB1"/>
    <w:rsid w:val="00AE3C74"/>
    <w:rsid w:val="00AE6590"/>
    <w:rsid w:val="00AE7ABF"/>
    <w:rsid w:val="00AF09EA"/>
    <w:rsid w:val="00AF18DE"/>
    <w:rsid w:val="00AF1A82"/>
    <w:rsid w:val="00AF2293"/>
    <w:rsid w:val="00AF2437"/>
    <w:rsid w:val="00AF400E"/>
    <w:rsid w:val="00AF4077"/>
    <w:rsid w:val="00AF4206"/>
    <w:rsid w:val="00AF4D8D"/>
    <w:rsid w:val="00AF57B3"/>
    <w:rsid w:val="00AF6B9D"/>
    <w:rsid w:val="00B014F7"/>
    <w:rsid w:val="00B01E69"/>
    <w:rsid w:val="00B02001"/>
    <w:rsid w:val="00B028FC"/>
    <w:rsid w:val="00B0595C"/>
    <w:rsid w:val="00B05EF0"/>
    <w:rsid w:val="00B07024"/>
    <w:rsid w:val="00B10293"/>
    <w:rsid w:val="00B11F0B"/>
    <w:rsid w:val="00B1219D"/>
    <w:rsid w:val="00B12BCC"/>
    <w:rsid w:val="00B131F3"/>
    <w:rsid w:val="00B13493"/>
    <w:rsid w:val="00B1466A"/>
    <w:rsid w:val="00B16357"/>
    <w:rsid w:val="00B167B2"/>
    <w:rsid w:val="00B17486"/>
    <w:rsid w:val="00B178A0"/>
    <w:rsid w:val="00B20DD4"/>
    <w:rsid w:val="00B20E8F"/>
    <w:rsid w:val="00B21149"/>
    <w:rsid w:val="00B21367"/>
    <w:rsid w:val="00B21DB2"/>
    <w:rsid w:val="00B26379"/>
    <w:rsid w:val="00B2684A"/>
    <w:rsid w:val="00B26A35"/>
    <w:rsid w:val="00B27490"/>
    <w:rsid w:val="00B30420"/>
    <w:rsid w:val="00B30713"/>
    <w:rsid w:val="00B31024"/>
    <w:rsid w:val="00B3292C"/>
    <w:rsid w:val="00B33778"/>
    <w:rsid w:val="00B348E9"/>
    <w:rsid w:val="00B34D89"/>
    <w:rsid w:val="00B403A3"/>
    <w:rsid w:val="00B42360"/>
    <w:rsid w:val="00B42DCE"/>
    <w:rsid w:val="00B445A1"/>
    <w:rsid w:val="00B44C1F"/>
    <w:rsid w:val="00B458A6"/>
    <w:rsid w:val="00B458C3"/>
    <w:rsid w:val="00B5292E"/>
    <w:rsid w:val="00B52E7D"/>
    <w:rsid w:val="00B52FFE"/>
    <w:rsid w:val="00B53177"/>
    <w:rsid w:val="00B5327B"/>
    <w:rsid w:val="00B532D1"/>
    <w:rsid w:val="00B53411"/>
    <w:rsid w:val="00B54F4B"/>
    <w:rsid w:val="00B5621A"/>
    <w:rsid w:val="00B562F6"/>
    <w:rsid w:val="00B57B81"/>
    <w:rsid w:val="00B57DD9"/>
    <w:rsid w:val="00B61AA9"/>
    <w:rsid w:val="00B62135"/>
    <w:rsid w:val="00B6403C"/>
    <w:rsid w:val="00B64172"/>
    <w:rsid w:val="00B646E0"/>
    <w:rsid w:val="00B648E1"/>
    <w:rsid w:val="00B65282"/>
    <w:rsid w:val="00B66D7F"/>
    <w:rsid w:val="00B7081A"/>
    <w:rsid w:val="00B70A0F"/>
    <w:rsid w:val="00B7162C"/>
    <w:rsid w:val="00B73EA2"/>
    <w:rsid w:val="00B74693"/>
    <w:rsid w:val="00B74E63"/>
    <w:rsid w:val="00B76CD4"/>
    <w:rsid w:val="00B77A04"/>
    <w:rsid w:val="00B77BD2"/>
    <w:rsid w:val="00B802A0"/>
    <w:rsid w:val="00B8149A"/>
    <w:rsid w:val="00B81906"/>
    <w:rsid w:val="00B81A28"/>
    <w:rsid w:val="00B85626"/>
    <w:rsid w:val="00B85B39"/>
    <w:rsid w:val="00B85F89"/>
    <w:rsid w:val="00B87AF9"/>
    <w:rsid w:val="00B91594"/>
    <w:rsid w:val="00B9159E"/>
    <w:rsid w:val="00B9258C"/>
    <w:rsid w:val="00B92FA3"/>
    <w:rsid w:val="00B92FDD"/>
    <w:rsid w:val="00B94616"/>
    <w:rsid w:val="00B95513"/>
    <w:rsid w:val="00BA2440"/>
    <w:rsid w:val="00BA2B50"/>
    <w:rsid w:val="00BA30B6"/>
    <w:rsid w:val="00BA472E"/>
    <w:rsid w:val="00BA505A"/>
    <w:rsid w:val="00BA6BE5"/>
    <w:rsid w:val="00BA6DB0"/>
    <w:rsid w:val="00BA7425"/>
    <w:rsid w:val="00BA771D"/>
    <w:rsid w:val="00BB0B91"/>
    <w:rsid w:val="00BB246E"/>
    <w:rsid w:val="00BB2C5A"/>
    <w:rsid w:val="00BB2D8A"/>
    <w:rsid w:val="00BB4DF9"/>
    <w:rsid w:val="00BB515D"/>
    <w:rsid w:val="00BB5B16"/>
    <w:rsid w:val="00BB786A"/>
    <w:rsid w:val="00BC08FA"/>
    <w:rsid w:val="00BC0B42"/>
    <w:rsid w:val="00BC22D0"/>
    <w:rsid w:val="00BC2B6D"/>
    <w:rsid w:val="00BC51A9"/>
    <w:rsid w:val="00BC7DF2"/>
    <w:rsid w:val="00BD07FF"/>
    <w:rsid w:val="00BD0B2D"/>
    <w:rsid w:val="00BD0C42"/>
    <w:rsid w:val="00BD142F"/>
    <w:rsid w:val="00BD4447"/>
    <w:rsid w:val="00BD4F01"/>
    <w:rsid w:val="00BD6F2D"/>
    <w:rsid w:val="00BD7448"/>
    <w:rsid w:val="00BD7FAC"/>
    <w:rsid w:val="00BE068C"/>
    <w:rsid w:val="00BE09CF"/>
    <w:rsid w:val="00BE0B0A"/>
    <w:rsid w:val="00BE214E"/>
    <w:rsid w:val="00BE29A9"/>
    <w:rsid w:val="00BE335D"/>
    <w:rsid w:val="00BE5AB5"/>
    <w:rsid w:val="00BF0B59"/>
    <w:rsid w:val="00BF1965"/>
    <w:rsid w:val="00BF1ED1"/>
    <w:rsid w:val="00BF217D"/>
    <w:rsid w:val="00BF2C72"/>
    <w:rsid w:val="00BF3EAF"/>
    <w:rsid w:val="00BF4508"/>
    <w:rsid w:val="00BF52A1"/>
    <w:rsid w:val="00BF729F"/>
    <w:rsid w:val="00BF7E20"/>
    <w:rsid w:val="00C018A7"/>
    <w:rsid w:val="00C01EFC"/>
    <w:rsid w:val="00C03333"/>
    <w:rsid w:val="00C053FC"/>
    <w:rsid w:val="00C076E6"/>
    <w:rsid w:val="00C07760"/>
    <w:rsid w:val="00C07FE2"/>
    <w:rsid w:val="00C13701"/>
    <w:rsid w:val="00C15870"/>
    <w:rsid w:val="00C15CA0"/>
    <w:rsid w:val="00C1679D"/>
    <w:rsid w:val="00C1701A"/>
    <w:rsid w:val="00C20044"/>
    <w:rsid w:val="00C205DD"/>
    <w:rsid w:val="00C21AE6"/>
    <w:rsid w:val="00C22971"/>
    <w:rsid w:val="00C2301C"/>
    <w:rsid w:val="00C2380D"/>
    <w:rsid w:val="00C242AA"/>
    <w:rsid w:val="00C24B7E"/>
    <w:rsid w:val="00C2552E"/>
    <w:rsid w:val="00C2581B"/>
    <w:rsid w:val="00C26767"/>
    <w:rsid w:val="00C30831"/>
    <w:rsid w:val="00C345B4"/>
    <w:rsid w:val="00C3483E"/>
    <w:rsid w:val="00C3556A"/>
    <w:rsid w:val="00C3642C"/>
    <w:rsid w:val="00C36BBF"/>
    <w:rsid w:val="00C37277"/>
    <w:rsid w:val="00C37563"/>
    <w:rsid w:val="00C376B4"/>
    <w:rsid w:val="00C40D58"/>
    <w:rsid w:val="00C423D6"/>
    <w:rsid w:val="00C42F5A"/>
    <w:rsid w:val="00C439F9"/>
    <w:rsid w:val="00C50B0E"/>
    <w:rsid w:val="00C51DB1"/>
    <w:rsid w:val="00C52BD5"/>
    <w:rsid w:val="00C53468"/>
    <w:rsid w:val="00C53ED9"/>
    <w:rsid w:val="00C55A78"/>
    <w:rsid w:val="00C566B6"/>
    <w:rsid w:val="00C56F86"/>
    <w:rsid w:val="00C5751A"/>
    <w:rsid w:val="00C57B5E"/>
    <w:rsid w:val="00C6171D"/>
    <w:rsid w:val="00C62314"/>
    <w:rsid w:val="00C62F57"/>
    <w:rsid w:val="00C63620"/>
    <w:rsid w:val="00C63FB8"/>
    <w:rsid w:val="00C64226"/>
    <w:rsid w:val="00C67013"/>
    <w:rsid w:val="00C70E1F"/>
    <w:rsid w:val="00C72405"/>
    <w:rsid w:val="00C738E3"/>
    <w:rsid w:val="00C75FDC"/>
    <w:rsid w:val="00C7751D"/>
    <w:rsid w:val="00C77CFC"/>
    <w:rsid w:val="00C77FBD"/>
    <w:rsid w:val="00C81A6C"/>
    <w:rsid w:val="00C8249F"/>
    <w:rsid w:val="00C82657"/>
    <w:rsid w:val="00C838E5"/>
    <w:rsid w:val="00C8518B"/>
    <w:rsid w:val="00C86097"/>
    <w:rsid w:val="00C8638F"/>
    <w:rsid w:val="00C875CD"/>
    <w:rsid w:val="00C87A6C"/>
    <w:rsid w:val="00C87D2F"/>
    <w:rsid w:val="00C90138"/>
    <w:rsid w:val="00C905B0"/>
    <w:rsid w:val="00C9134D"/>
    <w:rsid w:val="00C91A7D"/>
    <w:rsid w:val="00C938A9"/>
    <w:rsid w:val="00C9510D"/>
    <w:rsid w:val="00C96E60"/>
    <w:rsid w:val="00C97794"/>
    <w:rsid w:val="00CA0817"/>
    <w:rsid w:val="00CA22F1"/>
    <w:rsid w:val="00CA2343"/>
    <w:rsid w:val="00CA2AFC"/>
    <w:rsid w:val="00CA2C57"/>
    <w:rsid w:val="00CA4892"/>
    <w:rsid w:val="00CA4E05"/>
    <w:rsid w:val="00CA74E6"/>
    <w:rsid w:val="00CA7E8B"/>
    <w:rsid w:val="00CA7EC6"/>
    <w:rsid w:val="00CB0DBB"/>
    <w:rsid w:val="00CB2176"/>
    <w:rsid w:val="00CB296F"/>
    <w:rsid w:val="00CB4BEF"/>
    <w:rsid w:val="00CB539F"/>
    <w:rsid w:val="00CB5DCC"/>
    <w:rsid w:val="00CC3111"/>
    <w:rsid w:val="00CC4961"/>
    <w:rsid w:val="00CC59FB"/>
    <w:rsid w:val="00CC5EE8"/>
    <w:rsid w:val="00CC651D"/>
    <w:rsid w:val="00CC696E"/>
    <w:rsid w:val="00CC7B39"/>
    <w:rsid w:val="00CD00AC"/>
    <w:rsid w:val="00CD0159"/>
    <w:rsid w:val="00CD09A1"/>
    <w:rsid w:val="00CD0A1B"/>
    <w:rsid w:val="00CD1E2F"/>
    <w:rsid w:val="00CD26E2"/>
    <w:rsid w:val="00CD5DED"/>
    <w:rsid w:val="00CE0843"/>
    <w:rsid w:val="00CE10E2"/>
    <w:rsid w:val="00CE1949"/>
    <w:rsid w:val="00CE20E1"/>
    <w:rsid w:val="00CE2803"/>
    <w:rsid w:val="00CE52F0"/>
    <w:rsid w:val="00CE571C"/>
    <w:rsid w:val="00CE6E15"/>
    <w:rsid w:val="00CE7F1D"/>
    <w:rsid w:val="00CF4FEE"/>
    <w:rsid w:val="00CF66D2"/>
    <w:rsid w:val="00CF7439"/>
    <w:rsid w:val="00CF7C6F"/>
    <w:rsid w:val="00D01302"/>
    <w:rsid w:val="00D01C01"/>
    <w:rsid w:val="00D01C71"/>
    <w:rsid w:val="00D07777"/>
    <w:rsid w:val="00D157C8"/>
    <w:rsid w:val="00D204A0"/>
    <w:rsid w:val="00D20682"/>
    <w:rsid w:val="00D223C8"/>
    <w:rsid w:val="00D24B6E"/>
    <w:rsid w:val="00D24C4C"/>
    <w:rsid w:val="00D2521E"/>
    <w:rsid w:val="00D25EEA"/>
    <w:rsid w:val="00D26D29"/>
    <w:rsid w:val="00D26F59"/>
    <w:rsid w:val="00D30638"/>
    <w:rsid w:val="00D30A2D"/>
    <w:rsid w:val="00D31BCE"/>
    <w:rsid w:val="00D32A1F"/>
    <w:rsid w:val="00D32ED1"/>
    <w:rsid w:val="00D40F3D"/>
    <w:rsid w:val="00D41E2F"/>
    <w:rsid w:val="00D437CE"/>
    <w:rsid w:val="00D43B63"/>
    <w:rsid w:val="00D44DA5"/>
    <w:rsid w:val="00D4503F"/>
    <w:rsid w:val="00D45A31"/>
    <w:rsid w:val="00D46778"/>
    <w:rsid w:val="00D46F1B"/>
    <w:rsid w:val="00D4755F"/>
    <w:rsid w:val="00D47FA1"/>
    <w:rsid w:val="00D50997"/>
    <w:rsid w:val="00D5132C"/>
    <w:rsid w:val="00D52D4C"/>
    <w:rsid w:val="00D52EA5"/>
    <w:rsid w:val="00D5323D"/>
    <w:rsid w:val="00D54700"/>
    <w:rsid w:val="00D54E83"/>
    <w:rsid w:val="00D56119"/>
    <w:rsid w:val="00D56361"/>
    <w:rsid w:val="00D60B68"/>
    <w:rsid w:val="00D60FF0"/>
    <w:rsid w:val="00D633DF"/>
    <w:rsid w:val="00D656E6"/>
    <w:rsid w:val="00D65D64"/>
    <w:rsid w:val="00D6669D"/>
    <w:rsid w:val="00D67135"/>
    <w:rsid w:val="00D67DB1"/>
    <w:rsid w:val="00D70F40"/>
    <w:rsid w:val="00D71287"/>
    <w:rsid w:val="00D71DB0"/>
    <w:rsid w:val="00D72F8A"/>
    <w:rsid w:val="00D748B5"/>
    <w:rsid w:val="00D75E39"/>
    <w:rsid w:val="00D7619F"/>
    <w:rsid w:val="00D77103"/>
    <w:rsid w:val="00D77BFF"/>
    <w:rsid w:val="00D814C5"/>
    <w:rsid w:val="00D829BB"/>
    <w:rsid w:val="00D852C5"/>
    <w:rsid w:val="00D8577D"/>
    <w:rsid w:val="00D85FA2"/>
    <w:rsid w:val="00D86321"/>
    <w:rsid w:val="00D91490"/>
    <w:rsid w:val="00D92D57"/>
    <w:rsid w:val="00D92E79"/>
    <w:rsid w:val="00D9323F"/>
    <w:rsid w:val="00D93488"/>
    <w:rsid w:val="00D939FA"/>
    <w:rsid w:val="00D94E9F"/>
    <w:rsid w:val="00D95857"/>
    <w:rsid w:val="00DA1CE5"/>
    <w:rsid w:val="00DA237F"/>
    <w:rsid w:val="00DA56FF"/>
    <w:rsid w:val="00DA745B"/>
    <w:rsid w:val="00DB0128"/>
    <w:rsid w:val="00DB1421"/>
    <w:rsid w:val="00DB2C0B"/>
    <w:rsid w:val="00DB5DE3"/>
    <w:rsid w:val="00DB679A"/>
    <w:rsid w:val="00DB7899"/>
    <w:rsid w:val="00DC146F"/>
    <w:rsid w:val="00DC1F01"/>
    <w:rsid w:val="00DC2173"/>
    <w:rsid w:val="00DC2425"/>
    <w:rsid w:val="00DC302B"/>
    <w:rsid w:val="00DC58B1"/>
    <w:rsid w:val="00DC6869"/>
    <w:rsid w:val="00DC6E15"/>
    <w:rsid w:val="00DC6E96"/>
    <w:rsid w:val="00DD0224"/>
    <w:rsid w:val="00DD0BB1"/>
    <w:rsid w:val="00DD25D0"/>
    <w:rsid w:val="00DD2A90"/>
    <w:rsid w:val="00DD3180"/>
    <w:rsid w:val="00DD31DC"/>
    <w:rsid w:val="00DD3A37"/>
    <w:rsid w:val="00DD4B39"/>
    <w:rsid w:val="00DD4F69"/>
    <w:rsid w:val="00DD5234"/>
    <w:rsid w:val="00DD5D20"/>
    <w:rsid w:val="00DD634F"/>
    <w:rsid w:val="00DE04FE"/>
    <w:rsid w:val="00DE0B8C"/>
    <w:rsid w:val="00DE11DB"/>
    <w:rsid w:val="00DE2306"/>
    <w:rsid w:val="00DE2DC0"/>
    <w:rsid w:val="00DE3CD9"/>
    <w:rsid w:val="00DE48D4"/>
    <w:rsid w:val="00DE562F"/>
    <w:rsid w:val="00DE5D7D"/>
    <w:rsid w:val="00DE7F4F"/>
    <w:rsid w:val="00DF33EB"/>
    <w:rsid w:val="00DF5363"/>
    <w:rsid w:val="00DF5C43"/>
    <w:rsid w:val="00DF74FB"/>
    <w:rsid w:val="00DF7B3C"/>
    <w:rsid w:val="00DF7E66"/>
    <w:rsid w:val="00DF7F5F"/>
    <w:rsid w:val="00E00735"/>
    <w:rsid w:val="00E00D93"/>
    <w:rsid w:val="00E00FBA"/>
    <w:rsid w:val="00E01C82"/>
    <w:rsid w:val="00E06A18"/>
    <w:rsid w:val="00E06F5F"/>
    <w:rsid w:val="00E102FD"/>
    <w:rsid w:val="00E1339B"/>
    <w:rsid w:val="00E141FB"/>
    <w:rsid w:val="00E1528B"/>
    <w:rsid w:val="00E17903"/>
    <w:rsid w:val="00E17F1F"/>
    <w:rsid w:val="00E20447"/>
    <w:rsid w:val="00E20F55"/>
    <w:rsid w:val="00E2146F"/>
    <w:rsid w:val="00E22F0B"/>
    <w:rsid w:val="00E26CA4"/>
    <w:rsid w:val="00E33B93"/>
    <w:rsid w:val="00E35643"/>
    <w:rsid w:val="00E35B44"/>
    <w:rsid w:val="00E374CA"/>
    <w:rsid w:val="00E42186"/>
    <w:rsid w:val="00E42F9A"/>
    <w:rsid w:val="00E439E7"/>
    <w:rsid w:val="00E468E5"/>
    <w:rsid w:val="00E47224"/>
    <w:rsid w:val="00E51013"/>
    <w:rsid w:val="00E51CF9"/>
    <w:rsid w:val="00E538D9"/>
    <w:rsid w:val="00E548AE"/>
    <w:rsid w:val="00E569E7"/>
    <w:rsid w:val="00E62E40"/>
    <w:rsid w:val="00E62E45"/>
    <w:rsid w:val="00E64A9B"/>
    <w:rsid w:val="00E64BC1"/>
    <w:rsid w:val="00E65B31"/>
    <w:rsid w:val="00E709AB"/>
    <w:rsid w:val="00E72D5D"/>
    <w:rsid w:val="00E73730"/>
    <w:rsid w:val="00E74DE9"/>
    <w:rsid w:val="00E74FF7"/>
    <w:rsid w:val="00E76EAF"/>
    <w:rsid w:val="00E770FE"/>
    <w:rsid w:val="00E8013B"/>
    <w:rsid w:val="00E81559"/>
    <w:rsid w:val="00E84D5D"/>
    <w:rsid w:val="00E84F28"/>
    <w:rsid w:val="00E853DB"/>
    <w:rsid w:val="00E869E0"/>
    <w:rsid w:val="00E87359"/>
    <w:rsid w:val="00E87937"/>
    <w:rsid w:val="00E90CA6"/>
    <w:rsid w:val="00E91074"/>
    <w:rsid w:val="00E91112"/>
    <w:rsid w:val="00E92050"/>
    <w:rsid w:val="00E921B7"/>
    <w:rsid w:val="00E930B8"/>
    <w:rsid w:val="00E931F6"/>
    <w:rsid w:val="00E938CA"/>
    <w:rsid w:val="00E948F2"/>
    <w:rsid w:val="00E95171"/>
    <w:rsid w:val="00E97FFD"/>
    <w:rsid w:val="00EA0153"/>
    <w:rsid w:val="00EA023A"/>
    <w:rsid w:val="00EA1B71"/>
    <w:rsid w:val="00EA23C2"/>
    <w:rsid w:val="00EA24E4"/>
    <w:rsid w:val="00EA2C61"/>
    <w:rsid w:val="00EA3709"/>
    <w:rsid w:val="00EA3B27"/>
    <w:rsid w:val="00EA51E5"/>
    <w:rsid w:val="00EA5B19"/>
    <w:rsid w:val="00EA5C2D"/>
    <w:rsid w:val="00EA6F68"/>
    <w:rsid w:val="00EA72C8"/>
    <w:rsid w:val="00EA7AA5"/>
    <w:rsid w:val="00EB04B3"/>
    <w:rsid w:val="00EB124D"/>
    <w:rsid w:val="00EB1C3C"/>
    <w:rsid w:val="00EB2269"/>
    <w:rsid w:val="00EB4CA5"/>
    <w:rsid w:val="00EB55E0"/>
    <w:rsid w:val="00EB5893"/>
    <w:rsid w:val="00EB624D"/>
    <w:rsid w:val="00EB6CDD"/>
    <w:rsid w:val="00EB7C33"/>
    <w:rsid w:val="00EC08EE"/>
    <w:rsid w:val="00EC0C0D"/>
    <w:rsid w:val="00EC0C18"/>
    <w:rsid w:val="00EC12B2"/>
    <w:rsid w:val="00EC13A7"/>
    <w:rsid w:val="00EC22FC"/>
    <w:rsid w:val="00EC3104"/>
    <w:rsid w:val="00EC3561"/>
    <w:rsid w:val="00EC4847"/>
    <w:rsid w:val="00EC5046"/>
    <w:rsid w:val="00EC5866"/>
    <w:rsid w:val="00EC7729"/>
    <w:rsid w:val="00ED140E"/>
    <w:rsid w:val="00ED2966"/>
    <w:rsid w:val="00ED2D25"/>
    <w:rsid w:val="00ED32CC"/>
    <w:rsid w:val="00ED3953"/>
    <w:rsid w:val="00ED76FD"/>
    <w:rsid w:val="00ED791B"/>
    <w:rsid w:val="00EE0116"/>
    <w:rsid w:val="00EE1925"/>
    <w:rsid w:val="00EE1A01"/>
    <w:rsid w:val="00EE2212"/>
    <w:rsid w:val="00EE30CE"/>
    <w:rsid w:val="00EE538B"/>
    <w:rsid w:val="00EE6080"/>
    <w:rsid w:val="00EF21D2"/>
    <w:rsid w:val="00EF252E"/>
    <w:rsid w:val="00EF261B"/>
    <w:rsid w:val="00EF2EBD"/>
    <w:rsid w:val="00EF38C0"/>
    <w:rsid w:val="00EF3923"/>
    <w:rsid w:val="00EF3F0D"/>
    <w:rsid w:val="00EF43C5"/>
    <w:rsid w:val="00EF523A"/>
    <w:rsid w:val="00EF759A"/>
    <w:rsid w:val="00F03304"/>
    <w:rsid w:val="00F03670"/>
    <w:rsid w:val="00F04F49"/>
    <w:rsid w:val="00F060BA"/>
    <w:rsid w:val="00F06564"/>
    <w:rsid w:val="00F0719D"/>
    <w:rsid w:val="00F07304"/>
    <w:rsid w:val="00F07C2D"/>
    <w:rsid w:val="00F07D9C"/>
    <w:rsid w:val="00F10C41"/>
    <w:rsid w:val="00F1291D"/>
    <w:rsid w:val="00F12C2D"/>
    <w:rsid w:val="00F13C04"/>
    <w:rsid w:val="00F141B0"/>
    <w:rsid w:val="00F14B84"/>
    <w:rsid w:val="00F14C98"/>
    <w:rsid w:val="00F1592D"/>
    <w:rsid w:val="00F15C7B"/>
    <w:rsid w:val="00F16223"/>
    <w:rsid w:val="00F16248"/>
    <w:rsid w:val="00F1725D"/>
    <w:rsid w:val="00F17CE8"/>
    <w:rsid w:val="00F221D9"/>
    <w:rsid w:val="00F22510"/>
    <w:rsid w:val="00F22892"/>
    <w:rsid w:val="00F23773"/>
    <w:rsid w:val="00F240F6"/>
    <w:rsid w:val="00F253DD"/>
    <w:rsid w:val="00F25BC5"/>
    <w:rsid w:val="00F264E6"/>
    <w:rsid w:val="00F27B13"/>
    <w:rsid w:val="00F27B9D"/>
    <w:rsid w:val="00F31F68"/>
    <w:rsid w:val="00F330A3"/>
    <w:rsid w:val="00F37374"/>
    <w:rsid w:val="00F376F7"/>
    <w:rsid w:val="00F406F5"/>
    <w:rsid w:val="00F40A8A"/>
    <w:rsid w:val="00F41DAF"/>
    <w:rsid w:val="00F436BA"/>
    <w:rsid w:val="00F45EB8"/>
    <w:rsid w:val="00F46F5A"/>
    <w:rsid w:val="00F51571"/>
    <w:rsid w:val="00F5195C"/>
    <w:rsid w:val="00F51B91"/>
    <w:rsid w:val="00F52204"/>
    <w:rsid w:val="00F53B88"/>
    <w:rsid w:val="00F548AA"/>
    <w:rsid w:val="00F5697F"/>
    <w:rsid w:val="00F56AC6"/>
    <w:rsid w:val="00F574EE"/>
    <w:rsid w:val="00F57511"/>
    <w:rsid w:val="00F57CBC"/>
    <w:rsid w:val="00F60492"/>
    <w:rsid w:val="00F64556"/>
    <w:rsid w:val="00F64C28"/>
    <w:rsid w:val="00F66334"/>
    <w:rsid w:val="00F6664A"/>
    <w:rsid w:val="00F66652"/>
    <w:rsid w:val="00F6696E"/>
    <w:rsid w:val="00F70B5A"/>
    <w:rsid w:val="00F70C83"/>
    <w:rsid w:val="00F72230"/>
    <w:rsid w:val="00F72D5B"/>
    <w:rsid w:val="00F73654"/>
    <w:rsid w:val="00F743AE"/>
    <w:rsid w:val="00F744F0"/>
    <w:rsid w:val="00F745B7"/>
    <w:rsid w:val="00F75413"/>
    <w:rsid w:val="00F75F1D"/>
    <w:rsid w:val="00F76CA2"/>
    <w:rsid w:val="00F76CFE"/>
    <w:rsid w:val="00F76E4E"/>
    <w:rsid w:val="00F77968"/>
    <w:rsid w:val="00F80B5A"/>
    <w:rsid w:val="00F8145B"/>
    <w:rsid w:val="00F81693"/>
    <w:rsid w:val="00F85264"/>
    <w:rsid w:val="00F85699"/>
    <w:rsid w:val="00F9058F"/>
    <w:rsid w:val="00F90DD3"/>
    <w:rsid w:val="00F91BD3"/>
    <w:rsid w:val="00F91E49"/>
    <w:rsid w:val="00F92BCE"/>
    <w:rsid w:val="00F9431B"/>
    <w:rsid w:val="00F95C14"/>
    <w:rsid w:val="00F95CB7"/>
    <w:rsid w:val="00F97CCA"/>
    <w:rsid w:val="00F97EC9"/>
    <w:rsid w:val="00FA072F"/>
    <w:rsid w:val="00FA0E50"/>
    <w:rsid w:val="00FA13E2"/>
    <w:rsid w:val="00FA1807"/>
    <w:rsid w:val="00FA35BC"/>
    <w:rsid w:val="00FA45E4"/>
    <w:rsid w:val="00FA5622"/>
    <w:rsid w:val="00FA62D4"/>
    <w:rsid w:val="00FB0199"/>
    <w:rsid w:val="00FB08E5"/>
    <w:rsid w:val="00FB1144"/>
    <w:rsid w:val="00FB3985"/>
    <w:rsid w:val="00FB3BCD"/>
    <w:rsid w:val="00FB5D42"/>
    <w:rsid w:val="00FB703C"/>
    <w:rsid w:val="00FB77D2"/>
    <w:rsid w:val="00FB7B1D"/>
    <w:rsid w:val="00FC0F29"/>
    <w:rsid w:val="00FC282A"/>
    <w:rsid w:val="00FC2B4C"/>
    <w:rsid w:val="00FC4BE9"/>
    <w:rsid w:val="00FC4D2F"/>
    <w:rsid w:val="00FC7AF0"/>
    <w:rsid w:val="00FD13EB"/>
    <w:rsid w:val="00FD15B3"/>
    <w:rsid w:val="00FD597E"/>
    <w:rsid w:val="00FD6DEC"/>
    <w:rsid w:val="00FE1406"/>
    <w:rsid w:val="00FE1DE2"/>
    <w:rsid w:val="00FE240C"/>
    <w:rsid w:val="00FE41E2"/>
    <w:rsid w:val="00FE4DC4"/>
    <w:rsid w:val="00FE4FC4"/>
    <w:rsid w:val="00FF02FA"/>
    <w:rsid w:val="00FF056E"/>
    <w:rsid w:val="00FF0D31"/>
    <w:rsid w:val="00FF2F6E"/>
    <w:rsid w:val="00FF59D4"/>
    <w:rsid w:val="00FF6A56"/>
    <w:rsid w:val="00FF6C76"/>
    <w:rsid w:val="00FF710E"/>
    <w:rsid w:val="02937AF3"/>
    <w:rsid w:val="04652C31"/>
    <w:rsid w:val="07646CAE"/>
    <w:rsid w:val="0ADA1A06"/>
    <w:rsid w:val="0B274404"/>
    <w:rsid w:val="0C2C6AF6"/>
    <w:rsid w:val="0C7A4257"/>
    <w:rsid w:val="0C923393"/>
    <w:rsid w:val="0DC604B6"/>
    <w:rsid w:val="11215BED"/>
    <w:rsid w:val="138255F5"/>
    <w:rsid w:val="141D4A85"/>
    <w:rsid w:val="141F13F7"/>
    <w:rsid w:val="143D15BB"/>
    <w:rsid w:val="154873B7"/>
    <w:rsid w:val="1649395C"/>
    <w:rsid w:val="176E094E"/>
    <w:rsid w:val="17F81DCE"/>
    <w:rsid w:val="18324ECE"/>
    <w:rsid w:val="18C77EB5"/>
    <w:rsid w:val="1907191B"/>
    <w:rsid w:val="1AD55DFC"/>
    <w:rsid w:val="1D1A7766"/>
    <w:rsid w:val="1D2848F6"/>
    <w:rsid w:val="1EE3167A"/>
    <w:rsid w:val="1F25573D"/>
    <w:rsid w:val="204833A8"/>
    <w:rsid w:val="218F3780"/>
    <w:rsid w:val="235155F6"/>
    <w:rsid w:val="2654225A"/>
    <w:rsid w:val="285655EF"/>
    <w:rsid w:val="28E10295"/>
    <w:rsid w:val="29256282"/>
    <w:rsid w:val="2BFA33DE"/>
    <w:rsid w:val="2F3976A5"/>
    <w:rsid w:val="30ED128A"/>
    <w:rsid w:val="32614C78"/>
    <w:rsid w:val="328010A0"/>
    <w:rsid w:val="33003428"/>
    <w:rsid w:val="33422A14"/>
    <w:rsid w:val="33E82DBF"/>
    <w:rsid w:val="378147EC"/>
    <w:rsid w:val="3D2F7BC8"/>
    <w:rsid w:val="3DE4169C"/>
    <w:rsid w:val="40E726D0"/>
    <w:rsid w:val="41233F78"/>
    <w:rsid w:val="419B1B54"/>
    <w:rsid w:val="4288144D"/>
    <w:rsid w:val="46184194"/>
    <w:rsid w:val="46CF190D"/>
    <w:rsid w:val="48F75F42"/>
    <w:rsid w:val="4C5A4A69"/>
    <w:rsid w:val="4DE52BD7"/>
    <w:rsid w:val="4E1310B7"/>
    <w:rsid w:val="4F5C1039"/>
    <w:rsid w:val="514B3AFE"/>
    <w:rsid w:val="54D6004D"/>
    <w:rsid w:val="558340E6"/>
    <w:rsid w:val="56602D41"/>
    <w:rsid w:val="57294606"/>
    <w:rsid w:val="578B0DE5"/>
    <w:rsid w:val="58D8475A"/>
    <w:rsid w:val="591D6CE8"/>
    <w:rsid w:val="59FF3E08"/>
    <w:rsid w:val="5FDA486D"/>
    <w:rsid w:val="64284883"/>
    <w:rsid w:val="667417E6"/>
    <w:rsid w:val="678E426B"/>
    <w:rsid w:val="6A1221FF"/>
    <w:rsid w:val="6B4B10F1"/>
    <w:rsid w:val="6CC10903"/>
    <w:rsid w:val="6DA3624F"/>
    <w:rsid w:val="6DE07A71"/>
    <w:rsid w:val="6F1D0D04"/>
    <w:rsid w:val="713142AE"/>
    <w:rsid w:val="734306A3"/>
    <w:rsid w:val="75430CE4"/>
    <w:rsid w:val="798A2C01"/>
    <w:rsid w:val="7C310F5E"/>
    <w:rsid w:val="7ECC65C4"/>
  </w:rsids>
  <m:mathPr>
    <m:mathFont m:val="Cambria Math"/>
    <m:brkBin m:val="before"/>
    <m:brkBinSub m:val="--"/>
    <m:smallFrac m:val="1"/>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0" w:name="envelope address"/>
    <w:lsdException w:uiPriority="0" w:name="envelope return"/>
    <w:lsdException w:qFormat="1" w:unhideWhenUsed="0"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qFormat="1" w:unhideWhenUsed="0" w:uiPriority="0" w:semiHidden="0" w:name="table of authorities"/>
    <w:lsdException w:uiPriority="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name="List Number"/>
    <w:lsdException w:qFormat="1" w:unhideWhenUsed="0" w:uiPriority="0" w:semiHidden="0" w:name="List 2"/>
    <w:lsdException w:qFormat="1" w:unhideWhenUsed="0" w:uiPriority="0" w:semiHidden="0" w:name="List 3"/>
    <w:lsdException w:qFormat="1" w:unhideWhenUsed="0" w:uiPriority="0" w:name="List 4"/>
    <w:lsdException w:qFormat="1" w:unhideWhenUsed="0" w:uiPriority="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unhideWhenUsed="0" w:uiPriority="0" w:semiHidden="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qFormat="1"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88"/>
    <w:qFormat/>
    <w:uiPriority w:val="0"/>
    <w:pPr>
      <w:numPr>
        <w:ilvl w:val="0"/>
        <w:numId w:val="1"/>
      </w:numPr>
      <w:autoSpaceDE w:val="0"/>
      <w:autoSpaceDN w:val="0"/>
      <w:adjustRightInd w:val="0"/>
      <w:spacing w:before="240" w:line="315" w:lineRule="atLeast"/>
      <w:jc w:val="left"/>
      <w:outlineLvl w:val="0"/>
    </w:pPr>
    <w:rPr>
      <w:rFonts w:ascii="黑体" w:eastAsia="黑体"/>
      <w:kern w:val="0"/>
      <w:sz w:val="60"/>
      <w:szCs w:val="60"/>
    </w:rPr>
  </w:style>
  <w:style w:type="paragraph" w:styleId="3">
    <w:name w:val="heading 2"/>
    <w:basedOn w:val="1"/>
    <w:next w:val="4"/>
    <w:link w:val="90"/>
    <w:qFormat/>
    <w:uiPriority w:val="0"/>
    <w:pPr>
      <w:keepNext/>
      <w:keepLines/>
      <w:numPr>
        <w:ilvl w:val="1"/>
        <w:numId w:val="1"/>
      </w:numPr>
      <w:spacing w:before="120" w:after="120"/>
      <w:outlineLvl w:val="1"/>
    </w:pPr>
    <w:rPr>
      <w:rFonts w:eastAsia="黑体"/>
      <w:b/>
      <w:snapToGrid w:val="0"/>
      <w:kern w:val="0"/>
      <w:sz w:val="28"/>
    </w:rPr>
  </w:style>
  <w:style w:type="paragraph" w:styleId="5">
    <w:name w:val="heading 3"/>
    <w:basedOn w:val="1"/>
    <w:next w:val="4"/>
    <w:link w:val="91"/>
    <w:qFormat/>
    <w:uiPriority w:val="0"/>
    <w:pPr>
      <w:keepNext/>
      <w:keepLines/>
      <w:tabs>
        <w:tab w:val="left" w:pos="425"/>
      </w:tabs>
      <w:spacing w:before="120" w:after="120"/>
      <w:ind w:left="425" w:hanging="425"/>
      <w:outlineLvl w:val="2"/>
    </w:pPr>
    <w:rPr>
      <w:rFonts w:eastAsia="黑体"/>
      <w:b/>
      <w:snapToGrid w:val="0"/>
      <w:kern w:val="0"/>
      <w:sz w:val="28"/>
    </w:rPr>
  </w:style>
  <w:style w:type="paragraph" w:styleId="6">
    <w:name w:val="heading 4"/>
    <w:basedOn w:val="1"/>
    <w:next w:val="1"/>
    <w:link w:val="9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93"/>
    <w:qFormat/>
    <w:uiPriority w:val="0"/>
    <w:pPr>
      <w:keepNext/>
      <w:keepLines/>
      <w:numPr>
        <w:ilvl w:val="4"/>
        <w:numId w:val="2"/>
      </w:numPr>
      <w:tabs>
        <w:tab w:val="left" w:pos="0"/>
      </w:tabs>
      <w:spacing w:before="200" w:after="60" w:line="360" w:lineRule="auto"/>
      <w:outlineLvl w:val="4"/>
    </w:pPr>
    <w:rPr>
      <w:rFonts w:eastAsia="黑体"/>
      <w:sz w:val="21"/>
      <w:szCs w:val="20"/>
    </w:rPr>
  </w:style>
  <w:style w:type="paragraph" w:styleId="8">
    <w:name w:val="heading 6"/>
    <w:basedOn w:val="1"/>
    <w:next w:val="1"/>
    <w:link w:val="94"/>
    <w:qFormat/>
    <w:uiPriority w:val="0"/>
    <w:pPr>
      <w:keepNext/>
      <w:keepLines/>
      <w:numPr>
        <w:ilvl w:val="5"/>
        <w:numId w:val="2"/>
      </w:numPr>
      <w:tabs>
        <w:tab w:val="left" w:pos="0"/>
      </w:tabs>
      <w:spacing w:before="120" w:after="60" w:line="360" w:lineRule="auto"/>
      <w:outlineLvl w:val="5"/>
    </w:pPr>
    <w:rPr>
      <w:rFonts w:hAnsi="Arial" w:eastAsia="黑体"/>
      <w:sz w:val="21"/>
      <w:szCs w:val="20"/>
    </w:rPr>
  </w:style>
  <w:style w:type="paragraph" w:styleId="9">
    <w:name w:val="heading 7"/>
    <w:basedOn w:val="1"/>
    <w:next w:val="1"/>
    <w:link w:val="95"/>
    <w:qFormat/>
    <w:uiPriority w:val="0"/>
    <w:pPr>
      <w:keepNext/>
      <w:keepLines/>
      <w:numPr>
        <w:ilvl w:val="6"/>
        <w:numId w:val="2"/>
      </w:numPr>
      <w:tabs>
        <w:tab w:val="left" w:pos="0"/>
      </w:tabs>
      <w:spacing w:before="120" w:after="60" w:line="360" w:lineRule="auto"/>
      <w:outlineLvl w:val="6"/>
    </w:pPr>
    <w:rPr>
      <w:rFonts w:eastAsia="黑体"/>
      <w:sz w:val="21"/>
      <w:szCs w:val="20"/>
    </w:rPr>
  </w:style>
  <w:style w:type="paragraph" w:styleId="10">
    <w:name w:val="heading 8"/>
    <w:basedOn w:val="1"/>
    <w:next w:val="1"/>
    <w:link w:val="96"/>
    <w:qFormat/>
    <w:uiPriority w:val="0"/>
    <w:pPr>
      <w:keepNext/>
      <w:keepLines/>
      <w:numPr>
        <w:ilvl w:val="7"/>
        <w:numId w:val="2"/>
      </w:numPr>
      <w:tabs>
        <w:tab w:val="left" w:pos="0"/>
      </w:tabs>
      <w:spacing w:before="120" w:line="360" w:lineRule="auto"/>
      <w:outlineLvl w:val="7"/>
    </w:pPr>
    <w:rPr>
      <w:rFonts w:hAnsi="Arial" w:eastAsia="黑体"/>
      <w:sz w:val="21"/>
      <w:szCs w:val="20"/>
    </w:rPr>
  </w:style>
  <w:style w:type="paragraph" w:styleId="11">
    <w:name w:val="heading 9"/>
    <w:basedOn w:val="1"/>
    <w:next w:val="1"/>
    <w:link w:val="97"/>
    <w:qFormat/>
    <w:uiPriority w:val="0"/>
    <w:pPr>
      <w:keepNext/>
      <w:keepLines/>
      <w:numPr>
        <w:ilvl w:val="8"/>
        <w:numId w:val="2"/>
      </w:numPr>
      <w:tabs>
        <w:tab w:val="left" w:pos="0"/>
      </w:tabs>
      <w:spacing w:before="120" w:line="360" w:lineRule="auto"/>
      <w:outlineLvl w:val="8"/>
    </w:pPr>
    <w:rPr>
      <w:rFonts w:hAnsi="Arial" w:eastAsia="黑体"/>
      <w:sz w:val="21"/>
      <w:szCs w:val="20"/>
    </w:rPr>
  </w:style>
  <w:style w:type="character" w:default="1" w:styleId="79">
    <w:name w:val="Default Paragraph Font"/>
    <w:semiHidden/>
    <w:unhideWhenUsed/>
    <w:qFormat/>
    <w:uiPriority w:val="1"/>
  </w:style>
  <w:style w:type="table" w:default="1" w:styleId="7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89"/>
    <w:qFormat/>
    <w:uiPriority w:val="0"/>
    <w:pPr>
      <w:ind w:firstLine="420" w:firstLineChars="200"/>
    </w:pPr>
  </w:style>
  <w:style w:type="paragraph" w:styleId="12">
    <w:name w:val="List 3"/>
    <w:basedOn w:val="1"/>
    <w:qFormat/>
    <w:uiPriority w:val="0"/>
    <w:pPr>
      <w:adjustRightInd w:val="0"/>
      <w:spacing w:before="60" w:after="60" w:line="312" w:lineRule="auto"/>
      <w:ind w:left="100" w:leftChars="400" w:hanging="200" w:hangingChars="200"/>
      <w:jc w:val="left"/>
      <w:textAlignment w:val="baseline"/>
    </w:pPr>
    <w:rPr>
      <w:kern w:val="0"/>
      <w:szCs w:val="20"/>
    </w:rPr>
  </w:style>
  <w:style w:type="paragraph" w:styleId="13">
    <w:name w:val="toc 7"/>
    <w:basedOn w:val="1"/>
    <w:next w:val="1"/>
    <w:qFormat/>
    <w:uiPriority w:val="39"/>
    <w:pPr>
      <w:ind w:left="1440"/>
      <w:jc w:val="left"/>
    </w:pPr>
    <w:rPr>
      <w:sz w:val="18"/>
      <w:szCs w:val="18"/>
    </w:rPr>
  </w:style>
  <w:style w:type="paragraph" w:styleId="14">
    <w:name w:val="List Number 2"/>
    <w:basedOn w:val="15"/>
    <w:semiHidden/>
    <w:qFormat/>
    <w:uiPriority w:val="0"/>
    <w:pPr>
      <w:keepLines/>
      <w:widowControl/>
      <w:tabs>
        <w:tab w:val="left" w:pos="360"/>
      </w:tabs>
      <w:spacing w:before="120" w:line="280" w:lineRule="atLeast"/>
      <w:ind w:left="851" w:hanging="426"/>
    </w:pPr>
    <w:rPr>
      <w:kern w:val="0"/>
      <w:sz w:val="22"/>
      <w:szCs w:val="20"/>
      <w:lang w:val="en-GB"/>
    </w:rPr>
  </w:style>
  <w:style w:type="paragraph" w:styleId="15">
    <w:name w:val="List Number"/>
    <w:basedOn w:val="1"/>
    <w:semiHidden/>
    <w:qFormat/>
    <w:uiPriority w:val="0"/>
    <w:pPr>
      <w:tabs>
        <w:tab w:val="left" w:pos="360"/>
      </w:tabs>
      <w:ind w:left="360" w:hanging="360"/>
    </w:pPr>
    <w:rPr>
      <w:sz w:val="28"/>
    </w:rPr>
  </w:style>
  <w:style w:type="paragraph" w:styleId="16">
    <w:name w:val="table of authorities"/>
    <w:basedOn w:val="1"/>
    <w:next w:val="1"/>
    <w:qFormat/>
    <w:uiPriority w:val="0"/>
    <w:pPr>
      <w:snapToGrid w:val="0"/>
      <w:ind w:left="420" w:leftChars="200" w:firstLine="200" w:firstLineChars="200"/>
    </w:pPr>
    <w:rPr>
      <w:rFonts w:ascii="宋体" w:hAnsi="宋体"/>
      <w:bCs/>
      <w:szCs w:val="20"/>
    </w:rPr>
  </w:style>
  <w:style w:type="paragraph" w:styleId="17">
    <w:name w:val="List Bullet 4"/>
    <w:basedOn w:val="1"/>
    <w:qFormat/>
    <w:uiPriority w:val="0"/>
    <w:pPr>
      <w:tabs>
        <w:tab w:val="left" w:pos="-227"/>
      </w:tabs>
      <w:adjustRightInd w:val="0"/>
      <w:spacing w:before="60" w:after="60" w:line="312" w:lineRule="auto"/>
      <w:ind w:left="-652"/>
      <w:jc w:val="left"/>
      <w:textAlignment w:val="baseline"/>
    </w:pPr>
    <w:rPr>
      <w:kern w:val="0"/>
      <w:szCs w:val="20"/>
    </w:rPr>
  </w:style>
  <w:style w:type="paragraph" w:styleId="18">
    <w:name w:val="index 8"/>
    <w:basedOn w:val="1"/>
    <w:next w:val="1"/>
    <w:semiHidden/>
    <w:qFormat/>
    <w:uiPriority w:val="0"/>
    <w:pPr>
      <w:adjustRightInd w:val="0"/>
      <w:spacing w:line="360" w:lineRule="auto"/>
      <w:ind w:left="2940" w:firstLine="567"/>
      <w:textAlignment w:val="baseline"/>
    </w:pPr>
    <w:rPr>
      <w:kern w:val="0"/>
      <w:sz w:val="28"/>
      <w:szCs w:val="20"/>
    </w:rPr>
  </w:style>
  <w:style w:type="paragraph" w:styleId="19">
    <w:name w:val="caption"/>
    <w:basedOn w:val="1"/>
    <w:next w:val="1"/>
    <w:qFormat/>
    <w:uiPriority w:val="0"/>
    <w:pPr>
      <w:wordWrap w:val="0"/>
    </w:pPr>
    <w:rPr>
      <w:rFonts w:ascii="Arial" w:hAnsi="Arial" w:eastAsia="黑体" w:cs="Arial"/>
      <w:sz w:val="20"/>
      <w:szCs w:val="20"/>
    </w:rPr>
  </w:style>
  <w:style w:type="paragraph" w:styleId="20">
    <w:name w:val="index 5"/>
    <w:basedOn w:val="1"/>
    <w:next w:val="1"/>
    <w:semiHidden/>
    <w:qFormat/>
    <w:uiPriority w:val="0"/>
    <w:pPr>
      <w:adjustRightInd w:val="0"/>
      <w:spacing w:line="360" w:lineRule="auto"/>
      <w:ind w:left="1680" w:firstLine="567"/>
      <w:textAlignment w:val="baseline"/>
    </w:pPr>
    <w:rPr>
      <w:kern w:val="0"/>
      <w:sz w:val="28"/>
      <w:szCs w:val="20"/>
    </w:rPr>
  </w:style>
  <w:style w:type="paragraph" w:styleId="21">
    <w:name w:val="List Bullet"/>
    <w:basedOn w:val="1"/>
    <w:qFormat/>
    <w:uiPriority w:val="0"/>
    <w:pPr>
      <w:tabs>
        <w:tab w:val="left" w:pos="360"/>
      </w:tabs>
      <w:snapToGrid w:val="0"/>
      <w:spacing w:line="360" w:lineRule="auto"/>
      <w:ind w:left="360" w:hanging="360" w:hangingChars="200"/>
    </w:pPr>
    <w:rPr>
      <w:sz w:val="28"/>
    </w:rPr>
  </w:style>
  <w:style w:type="paragraph" w:styleId="22">
    <w:name w:val="Document Map"/>
    <w:basedOn w:val="1"/>
    <w:link w:val="98"/>
    <w:semiHidden/>
    <w:qFormat/>
    <w:uiPriority w:val="0"/>
    <w:pPr>
      <w:shd w:val="clear" w:color="auto" w:fill="000080"/>
    </w:pPr>
  </w:style>
  <w:style w:type="paragraph" w:styleId="23">
    <w:name w:val="toa heading"/>
    <w:basedOn w:val="1"/>
    <w:next w:val="1"/>
    <w:qFormat/>
    <w:uiPriority w:val="0"/>
    <w:rPr>
      <w:rFonts w:ascii="Arial" w:hAnsi="Arial"/>
      <w:szCs w:val="20"/>
    </w:rPr>
  </w:style>
  <w:style w:type="paragraph" w:styleId="24">
    <w:name w:val="annotation text"/>
    <w:basedOn w:val="1"/>
    <w:link w:val="99"/>
    <w:qFormat/>
    <w:uiPriority w:val="0"/>
    <w:pPr>
      <w:jc w:val="left"/>
    </w:pPr>
    <w:rPr>
      <w:sz w:val="21"/>
      <w:szCs w:val="20"/>
    </w:rPr>
  </w:style>
  <w:style w:type="paragraph" w:styleId="25">
    <w:name w:val="index 6"/>
    <w:basedOn w:val="1"/>
    <w:next w:val="1"/>
    <w:semiHidden/>
    <w:qFormat/>
    <w:uiPriority w:val="0"/>
    <w:pPr>
      <w:adjustRightInd w:val="0"/>
      <w:spacing w:line="360" w:lineRule="auto"/>
      <w:ind w:left="2100" w:firstLine="567"/>
      <w:textAlignment w:val="baseline"/>
    </w:pPr>
    <w:rPr>
      <w:kern w:val="0"/>
      <w:sz w:val="28"/>
      <w:szCs w:val="20"/>
    </w:rPr>
  </w:style>
  <w:style w:type="paragraph" w:styleId="26">
    <w:name w:val="Salutation"/>
    <w:basedOn w:val="1"/>
    <w:next w:val="1"/>
    <w:link w:val="1336"/>
    <w:qFormat/>
    <w:uiPriority w:val="0"/>
    <w:pPr>
      <w:wordWrap w:val="0"/>
      <w:spacing w:line="360" w:lineRule="auto"/>
    </w:pPr>
    <w:rPr>
      <w:kern w:val="0"/>
      <w:sz w:val="28"/>
      <w:szCs w:val="20"/>
    </w:rPr>
  </w:style>
  <w:style w:type="paragraph" w:styleId="27">
    <w:name w:val="Body Text 3"/>
    <w:basedOn w:val="1"/>
    <w:link w:val="100"/>
    <w:qFormat/>
    <w:uiPriority w:val="0"/>
    <w:pPr>
      <w:wordWrap w:val="0"/>
      <w:adjustRightInd w:val="0"/>
      <w:snapToGrid w:val="0"/>
      <w:spacing w:line="312" w:lineRule="auto"/>
      <w:ind w:firstLine="425"/>
      <w:textAlignment w:val="baseline"/>
    </w:pPr>
    <w:rPr>
      <w:kern w:val="0"/>
      <w:szCs w:val="20"/>
      <w:lang w:val="zh-CN"/>
    </w:rPr>
  </w:style>
  <w:style w:type="paragraph" w:styleId="28">
    <w:name w:val="Closing"/>
    <w:basedOn w:val="1"/>
    <w:next w:val="1"/>
    <w:link w:val="101"/>
    <w:semiHidden/>
    <w:qFormat/>
    <w:uiPriority w:val="0"/>
    <w:pPr>
      <w:widowControl/>
      <w:wordWrap w:val="0"/>
      <w:spacing w:line="220" w:lineRule="atLeast"/>
      <w:ind w:firstLine="200" w:firstLineChars="200"/>
    </w:pPr>
    <w:rPr>
      <w:rFonts w:ascii="Garamond" w:hAnsi="Garamond"/>
      <w:kern w:val="0"/>
      <w:sz w:val="22"/>
      <w:szCs w:val="20"/>
      <w:lang w:val="zh-CN"/>
    </w:rPr>
  </w:style>
  <w:style w:type="paragraph" w:styleId="29">
    <w:name w:val="List Bullet 3"/>
    <w:basedOn w:val="30"/>
    <w:qFormat/>
    <w:uiPriority w:val="0"/>
    <w:pPr>
      <w:widowControl/>
      <w:tabs>
        <w:tab w:val="left" w:pos="1276"/>
      </w:tabs>
      <w:spacing w:after="120" w:line="280" w:lineRule="atLeast"/>
      <w:ind w:left="1276" w:hanging="425"/>
    </w:pPr>
    <w:rPr>
      <w:kern w:val="0"/>
      <w:sz w:val="22"/>
      <w:lang w:val="en-GB"/>
    </w:rPr>
  </w:style>
  <w:style w:type="paragraph" w:styleId="30">
    <w:name w:val="Body Text"/>
    <w:basedOn w:val="1"/>
    <w:link w:val="102"/>
    <w:qFormat/>
    <w:uiPriority w:val="0"/>
    <w:pPr>
      <w:spacing w:line="360" w:lineRule="auto"/>
    </w:pPr>
    <w:rPr>
      <w:szCs w:val="20"/>
    </w:rPr>
  </w:style>
  <w:style w:type="paragraph" w:styleId="31">
    <w:name w:val="Body Text Indent"/>
    <w:basedOn w:val="1"/>
    <w:link w:val="103"/>
    <w:qFormat/>
    <w:uiPriority w:val="0"/>
    <w:pPr>
      <w:spacing w:before="156"/>
      <w:ind w:left="-50" w:leftChars="-50" w:hanging="105" w:hangingChars="50"/>
      <w:jc w:val="center"/>
    </w:pPr>
  </w:style>
  <w:style w:type="paragraph" w:styleId="32">
    <w:name w:val="List 2"/>
    <w:basedOn w:val="1"/>
    <w:qFormat/>
    <w:uiPriority w:val="0"/>
    <w:pPr>
      <w:adjustRightInd w:val="0"/>
      <w:spacing w:line="312" w:lineRule="auto"/>
      <w:ind w:left="840" w:hanging="420"/>
      <w:textAlignment w:val="baseline"/>
    </w:pPr>
    <w:rPr>
      <w:kern w:val="0"/>
      <w:sz w:val="28"/>
      <w:szCs w:val="20"/>
    </w:rPr>
  </w:style>
  <w:style w:type="paragraph" w:styleId="33">
    <w:name w:val="List Continue"/>
    <w:basedOn w:val="1"/>
    <w:semiHidden/>
    <w:qFormat/>
    <w:uiPriority w:val="0"/>
    <w:pPr>
      <w:adjustRightInd w:val="0"/>
      <w:spacing w:before="60" w:after="120" w:line="312" w:lineRule="auto"/>
      <w:ind w:left="420" w:leftChars="200"/>
      <w:jc w:val="left"/>
      <w:textAlignment w:val="baseline"/>
    </w:pPr>
    <w:rPr>
      <w:kern w:val="0"/>
      <w:szCs w:val="20"/>
    </w:rPr>
  </w:style>
  <w:style w:type="paragraph" w:styleId="34">
    <w:name w:val="Block Text"/>
    <w:basedOn w:val="1"/>
    <w:qFormat/>
    <w:uiPriority w:val="0"/>
    <w:pPr>
      <w:spacing w:before="60" w:after="60" w:line="312" w:lineRule="auto"/>
      <w:ind w:left="284" w:right="284" w:firstLine="567"/>
    </w:pPr>
    <w:rPr>
      <w:rFonts w:eastAsia="仿宋_GB2312"/>
      <w:sz w:val="28"/>
      <w:szCs w:val="28"/>
    </w:rPr>
  </w:style>
  <w:style w:type="paragraph" w:styleId="35">
    <w:name w:val="List Bullet 2"/>
    <w:basedOn w:val="21"/>
    <w:qFormat/>
    <w:uiPriority w:val="0"/>
    <w:pPr>
      <w:keepLines/>
      <w:widowControl/>
      <w:tabs>
        <w:tab w:val="left" w:pos="1060"/>
        <w:tab w:val="clear" w:pos="360"/>
      </w:tabs>
      <w:snapToGrid/>
      <w:spacing w:before="120"/>
      <w:ind w:left="1060" w:firstLine="0" w:firstLineChars="0"/>
    </w:pPr>
    <w:rPr>
      <w:color w:val="000000"/>
      <w:kern w:val="0"/>
      <w:sz w:val="21"/>
      <w:szCs w:val="20"/>
      <w:lang w:val="en-GB"/>
    </w:rPr>
  </w:style>
  <w:style w:type="paragraph" w:styleId="36">
    <w:name w:val="index 4"/>
    <w:basedOn w:val="1"/>
    <w:next w:val="1"/>
    <w:semiHidden/>
    <w:qFormat/>
    <w:uiPriority w:val="0"/>
    <w:pPr>
      <w:adjustRightInd w:val="0"/>
      <w:spacing w:line="360" w:lineRule="auto"/>
      <w:ind w:left="1260" w:firstLine="567"/>
      <w:textAlignment w:val="baseline"/>
    </w:pPr>
    <w:rPr>
      <w:kern w:val="0"/>
      <w:sz w:val="28"/>
      <w:szCs w:val="20"/>
    </w:rPr>
  </w:style>
  <w:style w:type="paragraph" w:styleId="37">
    <w:name w:val="toc 5"/>
    <w:basedOn w:val="1"/>
    <w:next w:val="1"/>
    <w:qFormat/>
    <w:uiPriority w:val="39"/>
    <w:pPr>
      <w:ind w:left="960"/>
      <w:jc w:val="left"/>
    </w:pPr>
    <w:rPr>
      <w:sz w:val="18"/>
      <w:szCs w:val="18"/>
    </w:rPr>
  </w:style>
  <w:style w:type="paragraph" w:styleId="38">
    <w:name w:val="toc 3"/>
    <w:basedOn w:val="1"/>
    <w:next w:val="1"/>
    <w:qFormat/>
    <w:uiPriority w:val="39"/>
    <w:pPr>
      <w:ind w:left="480"/>
      <w:jc w:val="left"/>
    </w:pPr>
    <w:rPr>
      <w:i/>
      <w:iCs/>
      <w:sz w:val="20"/>
      <w:szCs w:val="20"/>
    </w:rPr>
  </w:style>
  <w:style w:type="paragraph" w:styleId="39">
    <w:name w:val="Plain Text"/>
    <w:basedOn w:val="1"/>
    <w:link w:val="104"/>
    <w:qFormat/>
    <w:uiPriority w:val="0"/>
    <w:rPr>
      <w:rFonts w:ascii="Wingdings" w:hAnsi="宋体" w:eastAsia="Wingdings"/>
      <w:sz w:val="28"/>
    </w:rPr>
  </w:style>
  <w:style w:type="paragraph" w:styleId="40">
    <w:name w:val="List Bullet 5"/>
    <w:basedOn w:val="1"/>
    <w:qFormat/>
    <w:uiPriority w:val="0"/>
    <w:pPr>
      <w:tabs>
        <w:tab w:val="left" w:pos="2040"/>
      </w:tabs>
      <w:ind w:left="2040" w:hanging="360"/>
    </w:pPr>
    <w:rPr>
      <w:sz w:val="28"/>
      <w:szCs w:val="32"/>
    </w:rPr>
  </w:style>
  <w:style w:type="paragraph" w:styleId="41">
    <w:name w:val="toc 8"/>
    <w:basedOn w:val="1"/>
    <w:next w:val="1"/>
    <w:qFormat/>
    <w:uiPriority w:val="39"/>
    <w:pPr>
      <w:ind w:left="1680"/>
      <w:jc w:val="left"/>
    </w:pPr>
    <w:rPr>
      <w:sz w:val="18"/>
      <w:szCs w:val="18"/>
    </w:rPr>
  </w:style>
  <w:style w:type="paragraph" w:styleId="42">
    <w:name w:val="index 3"/>
    <w:basedOn w:val="1"/>
    <w:next w:val="1"/>
    <w:semiHidden/>
    <w:qFormat/>
    <w:uiPriority w:val="0"/>
    <w:pPr>
      <w:adjustRightInd w:val="0"/>
      <w:spacing w:line="360" w:lineRule="auto"/>
      <w:ind w:left="840" w:firstLine="567"/>
      <w:textAlignment w:val="baseline"/>
    </w:pPr>
    <w:rPr>
      <w:kern w:val="0"/>
      <w:sz w:val="28"/>
      <w:szCs w:val="20"/>
    </w:rPr>
  </w:style>
  <w:style w:type="paragraph" w:styleId="43">
    <w:name w:val="Date"/>
    <w:basedOn w:val="1"/>
    <w:next w:val="1"/>
    <w:link w:val="105"/>
    <w:qFormat/>
    <w:uiPriority w:val="0"/>
    <w:pPr>
      <w:ind w:left="100" w:leftChars="2500"/>
    </w:pPr>
    <w:rPr>
      <w:b/>
      <w:bCs/>
      <w:sz w:val="30"/>
    </w:rPr>
  </w:style>
  <w:style w:type="paragraph" w:styleId="44">
    <w:name w:val="Body Text Indent 2"/>
    <w:basedOn w:val="1"/>
    <w:link w:val="106"/>
    <w:qFormat/>
    <w:uiPriority w:val="0"/>
    <w:pPr>
      <w:adjustRightInd w:val="0"/>
      <w:spacing w:line="360" w:lineRule="auto"/>
      <w:ind w:firstLine="574"/>
      <w:textAlignment w:val="baseline"/>
    </w:pPr>
    <w:rPr>
      <w:kern w:val="0"/>
      <w:szCs w:val="20"/>
    </w:rPr>
  </w:style>
  <w:style w:type="paragraph" w:styleId="45">
    <w:name w:val="endnote text"/>
    <w:basedOn w:val="1"/>
    <w:link w:val="1258"/>
    <w:qFormat/>
    <w:uiPriority w:val="0"/>
    <w:pPr>
      <w:widowControl/>
      <w:jc w:val="left"/>
    </w:pPr>
    <w:rPr>
      <w:rFonts w:ascii="Courier New" w:hAnsi="Courier New" w:eastAsia="Times New Roman"/>
      <w:kern w:val="0"/>
      <w:szCs w:val="20"/>
    </w:rPr>
  </w:style>
  <w:style w:type="paragraph" w:styleId="46">
    <w:name w:val="Balloon Text"/>
    <w:basedOn w:val="1"/>
    <w:link w:val="107"/>
    <w:qFormat/>
    <w:uiPriority w:val="0"/>
    <w:rPr>
      <w:sz w:val="18"/>
      <w:szCs w:val="18"/>
    </w:rPr>
  </w:style>
  <w:style w:type="paragraph" w:styleId="47">
    <w:name w:val="footer"/>
    <w:basedOn w:val="1"/>
    <w:link w:val="108"/>
    <w:qFormat/>
    <w:uiPriority w:val="99"/>
    <w:pPr>
      <w:tabs>
        <w:tab w:val="center" w:pos="4153"/>
        <w:tab w:val="right" w:pos="8306"/>
      </w:tabs>
      <w:snapToGrid w:val="0"/>
      <w:jc w:val="left"/>
    </w:pPr>
    <w:rPr>
      <w:sz w:val="18"/>
      <w:szCs w:val="20"/>
    </w:rPr>
  </w:style>
  <w:style w:type="paragraph" w:styleId="48">
    <w:name w:val="header"/>
    <w:basedOn w:val="1"/>
    <w:link w:val="109"/>
    <w:qFormat/>
    <w:uiPriority w:val="99"/>
    <w:pPr>
      <w:pBdr>
        <w:bottom w:val="single" w:color="auto" w:sz="6" w:space="1"/>
      </w:pBdr>
      <w:tabs>
        <w:tab w:val="center" w:pos="4153"/>
        <w:tab w:val="right" w:pos="8306"/>
      </w:tabs>
      <w:snapToGrid w:val="0"/>
      <w:jc w:val="center"/>
    </w:pPr>
    <w:rPr>
      <w:sz w:val="18"/>
      <w:szCs w:val="18"/>
    </w:rPr>
  </w:style>
  <w:style w:type="paragraph" w:styleId="49">
    <w:name w:val="Signature"/>
    <w:basedOn w:val="1"/>
    <w:link w:val="110"/>
    <w:semiHidden/>
    <w:qFormat/>
    <w:uiPriority w:val="0"/>
    <w:pPr>
      <w:wordWrap w:val="0"/>
      <w:adjustRightInd w:val="0"/>
      <w:spacing w:before="60" w:after="60" w:line="312" w:lineRule="auto"/>
      <w:ind w:left="100" w:leftChars="2100"/>
      <w:jc w:val="left"/>
      <w:textAlignment w:val="baseline"/>
    </w:pPr>
    <w:rPr>
      <w:kern w:val="0"/>
      <w:szCs w:val="20"/>
    </w:rPr>
  </w:style>
  <w:style w:type="paragraph" w:styleId="50">
    <w:name w:val="toc 1"/>
    <w:basedOn w:val="1"/>
    <w:next w:val="1"/>
    <w:qFormat/>
    <w:uiPriority w:val="39"/>
    <w:pPr>
      <w:spacing w:before="120" w:after="120"/>
      <w:jc w:val="left"/>
    </w:pPr>
    <w:rPr>
      <w:b/>
      <w:bCs/>
      <w:caps/>
      <w:sz w:val="20"/>
      <w:szCs w:val="20"/>
    </w:rPr>
  </w:style>
  <w:style w:type="paragraph" w:styleId="51">
    <w:name w:val="List Continue 4"/>
    <w:basedOn w:val="1"/>
    <w:semiHidden/>
    <w:qFormat/>
    <w:uiPriority w:val="0"/>
    <w:pPr>
      <w:spacing w:after="120" w:line="420" w:lineRule="exact"/>
      <w:ind w:left="1680" w:leftChars="800" w:firstLine="471" w:firstLineChars="200"/>
    </w:pPr>
  </w:style>
  <w:style w:type="paragraph" w:styleId="52">
    <w:name w:val="toc 4"/>
    <w:basedOn w:val="1"/>
    <w:next w:val="1"/>
    <w:qFormat/>
    <w:uiPriority w:val="39"/>
    <w:pPr>
      <w:ind w:left="720"/>
      <w:jc w:val="left"/>
    </w:pPr>
    <w:rPr>
      <w:sz w:val="18"/>
      <w:szCs w:val="18"/>
    </w:rPr>
  </w:style>
  <w:style w:type="paragraph" w:styleId="53">
    <w:name w:val="index heading"/>
    <w:basedOn w:val="1"/>
    <w:next w:val="54"/>
    <w:semiHidden/>
    <w:qFormat/>
    <w:uiPriority w:val="0"/>
    <w:pPr>
      <w:adjustRightInd w:val="0"/>
      <w:snapToGrid w:val="0"/>
      <w:spacing w:line="306" w:lineRule="atLeast"/>
      <w:ind w:firstLine="200" w:firstLineChars="200"/>
      <w:textAlignment w:val="baseline"/>
    </w:pPr>
    <w:rPr>
      <w:kern w:val="0"/>
      <w:sz w:val="28"/>
      <w:szCs w:val="28"/>
    </w:rPr>
  </w:style>
  <w:style w:type="paragraph" w:styleId="54">
    <w:name w:val="index 1"/>
    <w:basedOn w:val="1"/>
    <w:next w:val="1"/>
    <w:qFormat/>
    <w:uiPriority w:val="0"/>
    <w:pPr>
      <w:wordWrap w:val="0"/>
    </w:pPr>
    <w:rPr>
      <w:sz w:val="28"/>
      <w:szCs w:val="28"/>
    </w:rPr>
  </w:style>
  <w:style w:type="paragraph" w:styleId="55">
    <w:name w:val="Subtitle"/>
    <w:basedOn w:val="1"/>
    <w:link w:val="111"/>
    <w:qFormat/>
    <w:uiPriority w:val="0"/>
    <w:pPr>
      <w:wordWrap w:val="0"/>
      <w:adjustRightInd w:val="0"/>
      <w:spacing w:before="240" w:after="60" w:line="312" w:lineRule="auto"/>
      <w:ind w:firstLine="567"/>
      <w:jc w:val="center"/>
      <w:textAlignment w:val="baseline"/>
      <w:outlineLvl w:val="1"/>
    </w:pPr>
    <w:rPr>
      <w:rFonts w:ascii="Arial" w:hAnsi="Arial"/>
      <w:b/>
      <w:bCs/>
      <w:kern w:val="28"/>
      <w:sz w:val="32"/>
      <w:szCs w:val="32"/>
      <w:lang w:val="zh-CN"/>
    </w:rPr>
  </w:style>
  <w:style w:type="paragraph" w:styleId="56">
    <w:name w:val="List"/>
    <w:basedOn w:val="1"/>
    <w:qFormat/>
    <w:uiPriority w:val="0"/>
    <w:pPr>
      <w:ind w:left="200" w:hanging="200" w:hangingChars="200"/>
    </w:pPr>
  </w:style>
  <w:style w:type="paragraph" w:styleId="57">
    <w:name w:val="footnote text"/>
    <w:basedOn w:val="1"/>
    <w:link w:val="112"/>
    <w:qFormat/>
    <w:uiPriority w:val="0"/>
    <w:pPr>
      <w:tabs>
        <w:tab w:val="right" w:pos="14410"/>
      </w:tabs>
      <w:wordWrap w:val="0"/>
      <w:autoSpaceDE w:val="0"/>
      <w:autoSpaceDN w:val="0"/>
      <w:adjustRightInd w:val="0"/>
      <w:ind w:left="200" w:hanging="200"/>
    </w:pPr>
    <w:rPr>
      <w:rFonts w:ascii="Arial" w:hAnsi="Arial"/>
      <w:color w:val="000000"/>
      <w:sz w:val="18"/>
      <w:szCs w:val="20"/>
      <w:lang w:val="zh-CN"/>
    </w:rPr>
  </w:style>
  <w:style w:type="paragraph" w:styleId="58">
    <w:name w:val="toc 6"/>
    <w:basedOn w:val="1"/>
    <w:next w:val="1"/>
    <w:qFormat/>
    <w:uiPriority w:val="39"/>
    <w:pPr>
      <w:ind w:left="1200"/>
      <w:jc w:val="left"/>
    </w:pPr>
    <w:rPr>
      <w:sz w:val="18"/>
      <w:szCs w:val="18"/>
    </w:rPr>
  </w:style>
  <w:style w:type="paragraph" w:styleId="59">
    <w:name w:val="List 5"/>
    <w:basedOn w:val="1"/>
    <w:semiHidden/>
    <w:qFormat/>
    <w:uiPriority w:val="0"/>
    <w:pPr>
      <w:spacing w:line="420" w:lineRule="exact"/>
      <w:ind w:left="100" w:leftChars="800" w:hanging="200" w:hangingChars="200"/>
    </w:pPr>
  </w:style>
  <w:style w:type="paragraph" w:styleId="60">
    <w:name w:val="Body Text Indent 3"/>
    <w:basedOn w:val="1"/>
    <w:link w:val="113"/>
    <w:qFormat/>
    <w:uiPriority w:val="0"/>
    <w:pPr>
      <w:spacing w:after="312"/>
      <w:ind w:firstLine="510"/>
    </w:pPr>
    <w:rPr>
      <w:rFonts w:ascii="Wingdings"/>
      <w:szCs w:val="20"/>
    </w:rPr>
  </w:style>
  <w:style w:type="paragraph" w:styleId="61">
    <w:name w:val="index 7"/>
    <w:basedOn w:val="1"/>
    <w:next w:val="1"/>
    <w:semiHidden/>
    <w:qFormat/>
    <w:uiPriority w:val="0"/>
    <w:pPr>
      <w:adjustRightInd w:val="0"/>
      <w:spacing w:line="360" w:lineRule="auto"/>
      <w:ind w:left="2520" w:firstLine="567"/>
      <w:textAlignment w:val="baseline"/>
    </w:pPr>
    <w:rPr>
      <w:kern w:val="0"/>
      <w:sz w:val="28"/>
      <w:szCs w:val="20"/>
    </w:rPr>
  </w:style>
  <w:style w:type="paragraph" w:styleId="62">
    <w:name w:val="index 9"/>
    <w:basedOn w:val="1"/>
    <w:next w:val="1"/>
    <w:semiHidden/>
    <w:qFormat/>
    <w:uiPriority w:val="0"/>
    <w:pPr>
      <w:adjustRightInd w:val="0"/>
      <w:spacing w:line="360" w:lineRule="auto"/>
      <w:ind w:left="3360" w:firstLine="567"/>
      <w:textAlignment w:val="baseline"/>
    </w:pPr>
    <w:rPr>
      <w:kern w:val="0"/>
      <w:sz w:val="28"/>
      <w:szCs w:val="20"/>
    </w:rPr>
  </w:style>
  <w:style w:type="paragraph" w:styleId="63">
    <w:name w:val="table of figures"/>
    <w:basedOn w:val="1"/>
    <w:next w:val="1"/>
    <w:semiHidden/>
    <w:qFormat/>
    <w:uiPriority w:val="0"/>
    <w:pPr>
      <w:ind w:left="200" w:leftChars="200" w:hanging="200" w:hangingChars="200"/>
    </w:pPr>
    <w:rPr>
      <w:sz w:val="28"/>
      <w:szCs w:val="28"/>
    </w:rPr>
  </w:style>
  <w:style w:type="paragraph" w:styleId="64">
    <w:name w:val="toc 2"/>
    <w:basedOn w:val="1"/>
    <w:next w:val="1"/>
    <w:qFormat/>
    <w:uiPriority w:val="39"/>
    <w:pPr>
      <w:ind w:left="240"/>
      <w:jc w:val="left"/>
    </w:pPr>
    <w:rPr>
      <w:smallCaps/>
      <w:sz w:val="20"/>
      <w:szCs w:val="20"/>
    </w:rPr>
  </w:style>
  <w:style w:type="paragraph" w:styleId="65">
    <w:name w:val="toc 9"/>
    <w:basedOn w:val="1"/>
    <w:next w:val="1"/>
    <w:qFormat/>
    <w:uiPriority w:val="39"/>
    <w:pPr>
      <w:ind w:left="1920"/>
      <w:jc w:val="left"/>
    </w:pPr>
    <w:rPr>
      <w:sz w:val="18"/>
      <w:szCs w:val="18"/>
    </w:rPr>
  </w:style>
  <w:style w:type="paragraph" w:styleId="66">
    <w:name w:val="Body Text 2"/>
    <w:basedOn w:val="1"/>
    <w:link w:val="114"/>
    <w:qFormat/>
    <w:uiPriority w:val="0"/>
    <w:pPr>
      <w:wordWrap w:val="0"/>
      <w:spacing w:after="120" w:line="480" w:lineRule="auto"/>
    </w:pPr>
    <w:rPr>
      <w:sz w:val="28"/>
      <w:szCs w:val="28"/>
      <w:lang w:val="zh-CN"/>
    </w:rPr>
  </w:style>
  <w:style w:type="paragraph" w:styleId="67">
    <w:name w:val="List 4"/>
    <w:basedOn w:val="1"/>
    <w:semiHidden/>
    <w:qFormat/>
    <w:uiPriority w:val="0"/>
    <w:pPr>
      <w:adjustRightInd w:val="0"/>
      <w:spacing w:before="60" w:after="60" w:line="312" w:lineRule="auto"/>
      <w:ind w:left="100" w:leftChars="600" w:hanging="200" w:hangingChars="200"/>
      <w:jc w:val="left"/>
      <w:textAlignment w:val="baseline"/>
    </w:pPr>
    <w:rPr>
      <w:kern w:val="0"/>
      <w:szCs w:val="20"/>
    </w:rPr>
  </w:style>
  <w:style w:type="paragraph" w:styleId="68">
    <w:name w:val="List Continue 2"/>
    <w:basedOn w:val="1"/>
    <w:semiHidden/>
    <w:qFormat/>
    <w:uiPriority w:val="0"/>
    <w:pPr>
      <w:adjustRightInd w:val="0"/>
      <w:spacing w:before="60" w:after="120" w:line="312" w:lineRule="auto"/>
      <w:ind w:left="840" w:leftChars="400"/>
      <w:jc w:val="left"/>
      <w:textAlignment w:val="baseline"/>
    </w:pPr>
    <w:rPr>
      <w:kern w:val="0"/>
      <w:szCs w:val="20"/>
    </w:rPr>
  </w:style>
  <w:style w:type="paragraph" w:styleId="69">
    <w:name w:val="HTML Preformatted"/>
    <w:basedOn w:val="1"/>
    <w:link w:val="11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rPr>
  </w:style>
  <w:style w:type="paragraph" w:styleId="70">
    <w:name w:val="Normal (Web)"/>
    <w:basedOn w:val="1"/>
    <w:qFormat/>
    <w:uiPriority w:val="0"/>
    <w:pPr>
      <w:widowControl/>
      <w:wordWrap w:val="0"/>
      <w:spacing w:before="100" w:beforeAutospacing="1" w:after="100" w:afterAutospacing="1"/>
      <w:jc w:val="left"/>
    </w:pPr>
    <w:rPr>
      <w:rFonts w:ascii="宋体" w:hAnsi="宋体"/>
      <w:kern w:val="0"/>
    </w:rPr>
  </w:style>
  <w:style w:type="paragraph" w:styleId="71">
    <w:name w:val="List Continue 3"/>
    <w:basedOn w:val="1"/>
    <w:semiHidden/>
    <w:qFormat/>
    <w:uiPriority w:val="0"/>
    <w:pPr>
      <w:adjustRightInd w:val="0"/>
      <w:spacing w:before="60" w:after="120" w:line="312" w:lineRule="auto"/>
      <w:ind w:left="1260" w:leftChars="600"/>
      <w:jc w:val="left"/>
      <w:textAlignment w:val="baseline"/>
    </w:pPr>
    <w:rPr>
      <w:kern w:val="0"/>
      <w:szCs w:val="20"/>
    </w:rPr>
  </w:style>
  <w:style w:type="paragraph" w:styleId="72">
    <w:name w:val="index 2"/>
    <w:basedOn w:val="1"/>
    <w:next w:val="1"/>
    <w:semiHidden/>
    <w:qFormat/>
    <w:uiPriority w:val="0"/>
    <w:pPr>
      <w:adjustRightInd w:val="0"/>
      <w:spacing w:line="360" w:lineRule="auto"/>
      <w:ind w:left="420" w:firstLine="567"/>
      <w:textAlignment w:val="baseline"/>
    </w:pPr>
    <w:rPr>
      <w:kern w:val="0"/>
      <w:sz w:val="28"/>
      <w:szCs w:val="20"/>
    </w:rPr>
  </w:style>
  <w:style w:type="paragraph" w:styleId="73">
    <w:name w:val="Title"/>
    <w:basedOn w:val="1"/>
    <w:link w:val="116"/>
    <w:qFormat/>
    <w:uiPriority w:val="0"/>
    <w:pPr>
      <w:jc w:val="center"/>
    </w:pPr>
    <w:rPr>
      <w:rFonts w:eastAsia="黑体" w:cs="Arial"/>
      <w:b/>
      <w:sz w:val="30"/>
    </w:rPr>
  </w:style>
  <w:style w:type="paragraph" w:styleId="74">
    <w:name w:val="annotation subject"/>
    <w:basedOn w:val="24"/>
    <w:next w:val="24"/>
    <w:link w:val="117"/>
    <w:qFormat/>
    <w:uiPriority w:val="0"/>
    <w:rPr>
      <w:b/>
      <w:bCs/>
    </w:rPr>
  </w:style>
  <w:style w:type="paragraph" w:styleId="75">
    <w:name w:val="Body Text First Indent"/>
    <w:basedOn w:val="30"/>
    <w:link w:val="118"/>
    <w:qFormat/>
    <w:uiPriority w:val="0"/>
    <w:pPr>
      <w:wordWrap w:val="0"/>
      <w:spacing w:after="120" w:line="240" w:lineRule="auto"/>
      <w:ind w:firstLine="420" w:firstLineChars="100"/>
    </w:pPr>
    <w:rPr>
      <w:sz w:val="28"/>
      <w:szCs w:val="28"/>
      <w:lang w:val="zh-CN"/>
    </w:rPr>
  </w:style>
  <w:style w:type="paragraph" w:styleId="76">
    <w:name w:val="Body Text First Indent 2"/>
    <w:basedOn w:val="31"/>
    <w:link w:val="119"/>
    <w:qFormat/>
    <w:uiPriority w:val="0"/>
    <w:pPr>
      <w:wordWrap w:val="0"/>
      <w:spacing w:before="0" w:after="120"/>
      <w:ind w:left="420" w:leftChars="200" w:firstLine="420" w:firstLineChars="200"/>
      <w:jc w:val="both"/>
    </w:pPr>
    <w:rPr>
      <w:sz w:val="28"/>
      <w:szCs w:val="28"/>
      <w:lang w:val="zh-CN"/>
    </w:rPr>
  </w:style>
  <w:style w:type="table" w:styleId="78">
    <w:name w:val="Table Grid"/>
    <w:basedOn w:val="7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0">
    <w:name w:val="Strong"/>
    <w:qFormat/>
    <w:uiPriority w:val="0"/>
    <w:rPr>
      <w:b/>
      <w:bCs/>
    </w:rPr>
  </w:style>
  <w:style w:type="character" w:styleId="81">
    <w:name w:val="page number"/>
    <w:basedOn w:val="79"/>
    <w:qFormat/>
    <w:uiPriority w:val="0"/>
  </w:style>
  <w:style w:type="character" w:styleId="82">
    <w:name w:val="FollowedHyperlink"/>
    <w:qFormat/>
    <w:uiPriority w:val="0"/>
    <w:rPr>
      <w:color w:val="800080"/>
      <w:u w:val="single"/>
    </w:rPr>
  </w:style>
  <w:style w:type="character" w:styleId="83">
    <w:name w:val="Emphasis"/>
    <w:qFormat/>
    <w:uiPriority w:val="0"/>
    <w:rPr>
      <w:i/>
      <w:iCs/>
    </w:rPr>
  </w:style>
  <w:style w:type="character" w:styleId="84">
    <w:name w:val="HTML Typewriter"/>
    <w:qFormat/>
    <w:uiPriority w:val="0"/>
    <w:rPr>
      <w:rFonts w:ascii="宋体" w:hAnsi="宋体" w:eastAsia="宋体" w:cs="宋体"/>
      <w:sz w:val="24"/>
      <w:szCs w:val="24"/>
    </w:rPr>
  </w:style>
  <w:style w:type="character" w:styleId="85">
    <w:name w:val="Hyperlink"/>
    <w:basedOn w:val="79"/>
    <w:qFormat/>
    <w:uiPriority w:val="99"/>
    <w:rPr>
      <w:color w:val="0000FF"/>
      <w:u w:val="single"/>
    </w:rPr>
  </w:style>
  <w:style w:type="character" w:styleId="86">
    <w:name w:val="annotation reference"/>
    <w:qFormat/>
    <w:uiPriority w:val="99"/>
    <w:rPr>
      <w:sz w:val="21"/>
      <w:szCs w:val="21"/>
    </w:rPr>
  </w:style>
  <w:style w:type="character" w:styleId="87">
    <w:name w:val="footnote reference"/>
    <w:semiHidden/>
    <w:qFormat/>
    <w:uiPriority w:val="0"/>
    <w:rPr>
      <w:vertAlign w:val="superscript"/>
    </w:rPr>
  </w:style>
  <w:style w:type="character" w:customStyle="1" w:styleId="88">
    <w:name w:val="标题 1 Char2"/>
    <w:link w:val="2"/>
    <w:qFormat/>
    <w:locked/>
    <w:uiPriority w:val="0"/>
    <w:rPr>
      <w:rFonts w:ascii="黑体" w:eastAsia="黑体"/>
      <w:sz w:val="60"/>
      <w:szCs w:val="60"/>
      <w:lang w:bidi="ar-SA"/>
    </w:rPr>
  </w:style>
  <w:style w:type="character" w:customStyle="1" w:styleId="89">
    <w:name w:val="正文缩进 Char1"/>
    <w:link w:val="4"/>
    <w:qFormat/>
    <w:uiPriority w:val="0"/>
    <w:rPr>
      <w:kern w:val="2"/>
      <w:sz w:val="24"/>
      <w:szCs w:val="24"/>
    </w:rPr>
  </w:style>
  <w:style w:type="character" w:customStyle="1" w:styleId="90">
    <w:name w:val="标题 2 Char2"/>
    <w:link w:val="3"/>
    <w:qFormat/>
    <w:uiPriority w:val="0"/>
    <w:rPr>
      <w:rFonts w:eastAsia="黑体"/>
      <w:b/>
      <w:snapToGrid w:val="0"/>
      <w:sz w:val="28"/>
      <w:szCs w:val="24"/>
      <w:lang w:bidi="ar-SA"/>
    </w:rPr>
  </w:style>
  <w:style w:type="character" w:customStyle="1" w:styleId="91">
    <w:name w:val="标题 3 Char2"/>
    <w:link w:val="5"/>
    <w:qFormat/>
    <w:uiPriority w:val="0"/>
    <w:rPr>
      <w:rFonts w:eastAsia="黑体"/>
      <w:b/>
      <w:snapToGrid w:val="0"/>
      <w:sz w:val="28"/>
      <w:szCs w:val="24"/>
      <w:lang w:val="en-US" w:eastAsia="zh-CN" w:bidi="ar-SA"/>
    </w:rPr>
  </w:style>
  <w:style w:type="character" w:customStyle="1" w:styleId="92">
    <w:name w:val="标题 4 Char2"/>
    <w:link w:val="6"/>
    <w:qFormat/>
    <w:uiPriority w:val="9"/>
    <w:rPr>
      <w:rFonts w:ascii="Arial" w:hAnsi="Arial" w:eastAsia="黑体"/>
      <w:b/>
      <w:bCs/>
      <w:kern w:val="2"/>
      <w:sz w:val="28"/>
      <w:szCs w:val="28"/>
      <w:lang w:val="en-US" w:eastAsia="zh-CN" w:bidi="ar-SA"/>
    </w:rPr>
  </w:style>
  <w:style w:type="character" w:customStyle="1" w:styleId="93">
    <w:name w:val="标题 5 Char1"/>
    <w:link w:val="7"/>
    <w:qFormat/>
    <w:uiPriority w:val="0"/>
    <w:rPr>
      <w:rFonts w:eastAsia="黑体"/>
      <w:kern w:val="2"/>
      <w:sz w:val="21"/>
      <w:lang w:bidi="ar-SA"/>
    </w:rPr>
  </w:style>
  <w:style w:type="character" w:customStyle="1" w:styleId="94">
    <w:name w:val="标题 6 Char1"/>
    <w:link w:val="8"/>
    <w:qFormat/>
    <w:uiPriority w:val="0"/>
    <w:rPr>
      <w:rFonts w:hAnsi="Arial" w:eastAsia="黑体"/>
      <w:kern w:val="2"/>
      <w:sz w:val="21"/>
      <w:lang w:bidi="ar-SA"/>
    </w:rPr>
  </w:style>
  <w:style w:type="character" w:customStyle="1" w:styleId="95">
    <w:name w:val="标题 7 Char2"/>
    <w:link w:val="9"/>
    <w:qFormat/>
    <w:uiPriority w:val="0"/>
    <w:rPr>
      <w:rFonts w:eastAsia="黑体"/>
      <w:kern w:val="2"/>
      <w:sz w:val="21"/>
      <w:lang w:bidi="ar-SA"/>
    </w:rPr>
  </w:style>
  <w:style w:type="character" w:customStyle="1" w:styleId="96">
    <w:name w:val="标题 8 Char"/>
    <w:link w:val="10"/>
    <w:qFormat/>
    <w:uiPriority w:val="0"/>
    <w:rPr>
      <w:rFonts w:hAnsi="Arial" w:eastAsia="黑体"/>
      <w:kern w:val="2"/>
      <w:sz w:val="21"/>
      <w:lang w:bidi="ar-SA"/>
    </w:rPr>
  </w:style>
  <w:style w:type="character" w:customStyle="1" w:styleId="97">
    <w:name w:val="标题 9 Char2"/>
    <w:link w:val="11"/>
    <w:qFormat/>
    <w:uiPriority w:val="0"/>
    <w:rPr>
      <w:rFonts w:hAnsi="Arial" w:eastAsia="黑体"/>
      <w:kern w:val="2"/>
      <w:sz w:val="21"/>
      <w:lang w:bidi="ar-SA"/>
    </w:rPr>
  </w:style>
  <w:style w:type="character" w:customStyle="1" w:styleId="98">
    <w:name w:val="文档结构图 Char1"/>
    <w:link w:val="22"/>
    <w:semiHidden/>
    <w:qFormat/>
    <w:locked/>
    <w:uiPriority w:val="0"/>
    <w:rPr>
      <w:rFonts w:eastAsia="宋体"/>
      <w:kern w:val="2"/>
      <w:sz w:val="24"/>
      <w:szCs w:val="24"/>
      <w:lang w:val="en-US" w:eastAsia="zh-CN" w:bidi="ar-SA"/>
    </w:rPr>
  </w:style>
  <w:style w:type="character" w:customStyle="1" w:styleId="99">
    <w:name w:val="批注文字 Char2"/>
    <w:link w:val="24"/>
    <w:qFormat/>
    <w:uiPriority w:val="99"/>
    <w:rPr>
      <w:rFonts w:eastAsia="宋体"/>
      <w:kern w:val="2"/>
      <w:sz w:val="21"/>
      <w:lang w:val="en-US" w:eastAsia="zh-CN" w:bidi="ar-SA"/>
    </w:rPr>
  </w:style>
  <w:style w:type="character" w:customStyle="1" w:styleId="100">
    <w:name w:val="正文文本 3 Char2"/>
    <w:link w:val="27"/>
    <w:qFormat/>
    <w:uiPriority w:val="0"/>
    <w:rPr>
      <w:sz w:val="24"/>
      <w:lang w:bidi="ar-SA"/>
    </w:rPr>
  </w:style>
  <w:style w:type="character" w:customStyle="1" w:styleId="101">
    <w:name w:val="结束语 Char1"/>
    <w:link w:val="28"/>
    <w:qFormat/>
    <w:uiPriority w:val="0"/>
    <w:rPr>
      <w:rFonts w:ascii="Garamond" w:hAnsi="Garamond"/>
      <w:sz w:val="22"/>
      <w:lang w:bidi="ar-SA"/>
    </w:rPr>
  </w:style>
  <w:style w:type="character" w:customStyle="1" w:styleId="102">
    <w:name w:val="正文文本 Char4"/>
    <w:link w:val="30"/>
    <w:qFormat/>
    <w:uiPriority w:val="0"/>
    <w:rPr>
      <w:rFonts w:eastAsia="宋体"/>
      <w:kern w:val="2"/>
      <w:sz w:val="24"/>
      <w:lang w:val="en-US" w:eastAsia="zh-CN" w:bidi="ar-SA"/>
    </w:rPr>
  </w:style>
  <w:style w:type="character" w:customStyle="1" w:styleId="103">
    <w:name w:val="正文文本缩进 Char2"/>
    <w:link w:val="31"/>
    <w:qFormat/>
    <w:uiPriority w:val="0"/>
    <w:rPr>
      <w:rFonts w:eastAsia="宋体"/>
      <w:kern w:val="2"/>
      <w:sz w:val="24"/>
      <w:szCs w:val="24"/>
      <w:lang w:val="en-US" w:eastAsia="zh-CN" w:bidi="ar-SA"/>
    </w:rPr>
  </w:style>
  <w:style w:type="character" w:customStyle="1" w:styleId="104">
    <w:name w:val="纯文本 Char4"/>
    <w:link w:val="39"/>
    <w:qFormat/>
    <w:uiPriority w:val="0"/>
    <w:rPr>
      <w:rFonts w:ascii="Wingdings" w:hAnsi="宋体" w:eastAsia="Wingdings"/>
      <w:kern w:val="2"/>
      <w:sz w:val="28"/>
      <w:szCs w:val="24"/>
      <w:lang w:val="en-US" w:eastAsia="zh-CN" w:bidi="ar-SA"/>
    </w:rPr>
  </w:style>
  <w:style w:type="character" w:customStyle="1" w:styleId="105">
    <w:name w:val="日期 Char1"/>
    <w:link w:val="43"/>
    <w:qFormat/>
    <w:uiPriority w:val="0"/>
    <w:rPr>
      <w:rFonts w:eastAsia="宋体"/>
      <w:b/>
      <w:bCs/>
      <w:kern w:val="2"/>
      <w:sz w:val="30"/>
      <w:szCs w:val="24"/>
      <w:lang w:val="en-US" w:eastAsia="zh-CN" w:bidi="ar-SA"/>
    </w:rPr>
  </w:style>
  <w:style w:type="character" w:customStyle="1" w:styleId="106">
    <w:name w:val="正文文本缩进 2 Char2"/>
    <w:link w:val="44"/>
    <w:qFormat/>
    <w:uiPriority w:val="0"/>
    <w:rPr>
      <w:rFonts w:eastAsia="宋体"/>
      <w:sz w:val="24"/>
      <w:lang w:val="en-US" w:eastAsia="zh-CN" w:bidi="ar-SA"/>
    </w:rPr>
  </w:style>
  <w:style w:type="character" w:customStyle="1" w:styleId="107">
    <w:name w:val="批注框文本 Char2"/>
    <w:link w:val="46"/>
    <w:qFormat/>
    <w:uiPriority w:val="0"/>
    <w:rPr>
      <w:rFonts w:eastAsia="宋体"/>
      <w:kern w:val="2"/>
      <w:sz w:val="18"/>
      <w:szCs w:val="18"/>
      <w:lang w:val="en-US" w:eastAsia="zh-CN" w:bidi="ar-SA"/>
    </w:rPr>
  </w:style>
  <w:style w:type="character" w:customStyle="1" w:styleId="108">
    <w:name w:val="页脚 Char3"/>
    <w:link w:val="47"/>
    <w:qFormat/>
    <w:uiPriority w:val="99"/>
    <w:rPr>
      <w:rFonts w:eastAsia="宋体"/>
      <w:kern w:val="2"/>
      <w:sz w:val="18"/>
      <w:lang w:val="en-US" w:eastAsia="zh-CN" w:bidi="ar-SA"/>
    </w:rPr>
  </w:style>
  <w:style w:type="character" w:customStyle="1" w:styleId="109">
    <w:name w:val="页眉 Char3"/>
    <w:link w:val="48"/>
    <w:qFormat/>
    <w:uiPriority w:val="99"/>
    <w:rPr>
      <w:rFonts w:eastAsia="宋体"/>
      <w:kern w:val="2"/>
      <w:sz w:val="18"/>
      <w:szCs w:val="18"/>
      <w:lang w:val="en-US" w:eastAsia="zh-CN" w:bidi="ar-SA"/>
    </w:rPr>
  </w:style>
  <w:style w:type="character" w:customStyle="1" w:styleId="110">
    <w:name w:val="签名 Char"/>
    <w:basedOn w:val="79"/>
    <w:link w:val="49"/>
    <w:semiHidden/>
    <w:qFormat/>
    <w:uiPriority w:val="0"/>
    <w:rPr>
      <w:sz w:val="24"/>
    </w:rPr>
  </w:style>
  <w:style w:type="character" w:customStyle="1" w:styleId="111">
    <w:name w:val="副标题 Char1"/>
    <w:link w:val="55"/>
    <w:qFormat/>
    <w:uiPriority w:val="0"/>
    <w:rPr>
      <w:rFonts w:ascii="Arial" w:hAnsi="Arial"/>
      <w:b/>
      <w:bCs/>
      <w:kern w:val="28"/>
      <w:sz w:val="32"/>
      <w:szCs w:val="32"/>
      <w:lang w:bidi="ar-SA"/>
    </w:rPr>
  </w:style>
  <w:style w:type="character" w:customStyle="1" w:styleId="112">
    <w:name w:val="脚注文本 Char1"/>
    <w:link w:val="57"/>
    <w:qFormat/>
    <w:uiPriority w:val="0"/>
    <w:rPr>
      <w:rFonts w:ascii="Arial" w:hAnsi="Arial"/>
      <w:color w:val="000000"/>
      <w:kern w:val="2"/>
      <w:sz w:val="18"/>
      <w:lang w:bidi="ar-SA"/>
    </w:rPr>
  </w:style>
  <w:style w:type="character" w:customStyle="1" w:styleId="113">
    <w:name w:val="正文文本缩进 3 Char2"/>
    <w:link w:val="60"/>
    <w:qFormat/>
    <w:uiPriority w:val="0"/>
    <w:rPr>
      <w:rFonts w:ascii="Wingdings" w:eastAsia="宋体"/>
      <w:kern w:val="2"/>
      <w:sz w:val="24"/>
      <w:lang w:val="en-US" w:eastAsia="zh-CN" w:bidi="ar-SA"/>
    </w:rPr>
  </w:style>
  <w:style w:type="character" w:customStyle="1" w:styleId="114">
    <w:name w:val="正文文本 2 Char1"/>
    <w:link w:val="66"/>
    <w:qFormat/>
    <w:uiPriority w:val="0"/>
    <w:rPr>
      <w:kern w:val="2"/>
      <w:sz w:val="28"/>
      <w:szCs w:val="28"/>
      <w:lang w:bidi="ar-SA"/>
    </w:rPr>
  </w:style>
  <w:style w:type="character" w:customStyle="1" w:styleId="115">
    <w:name w:val="HTML 预设格式 Char1"/>
    <w:link w:val="69"/>
    <w:qFormat/>
    <w:uiPriority w:val="0"/>
    <w:rPr>
      <w:rFonts w:ascii="Arial" w:hAnsi="Arial" w:eastAsia="宋体" w:cs="Arial"/>
      <w:sz w:val="24"/>
      <w:szCs w:val="24"/>
      <w:lang w:val="en-US" w:eastAsia="zh-CN" w:bidi="ar-SA"/>
    </w:rPr>
  </w:style>
  <w:style w:type="character" w:customStyle="1" w:styleId="116">
    <w:name w:val="标题 Char1"/>
    <w:link w:val="73"/>
    <w:qFormat/>
    <w:uiPriority w:val="0"/>
    <w:rPr>
      <w:rFonts w:eastAsia="黑体" w:cs="Arial"/>
      <w:b/>
      <w:kern w:val="2"/>
      <w:sz w:val="30"/>
      <w:szCs w:val="24"/>
      <w:lang w:val="en-US" w:eastAsia="zh-CN" w:bidi="ar-SA"/>
    </w:rPr>
  </w:style>
  <w:style w:type="character" w:customStyle="1" w:styleId="117">
    <w:name w:val="批注主题 Char1"/>
    <w:link w:val="74"/>
    <w:qFormat/>
    <w:uiPriority w:val="0"/>
    <w:rPr>
      <w:rFonts w:eastAsia="宋体"/>
      <w:b/>
      <w:bCs/>
      <w:kern w:val="2"/>
      <w:sz w:val="21"/>
      <w:lang w:val="en-US" w:eastAsia="zh-CN" w:bidi="ar-SA"/>
    </w:rPr>
  </w:style>
  <w:style w:type="character" w:customStyle="1" w:styleId="118">
    <w:name w:val="正文首行缩进 Char3"/>
    <w:link w:val="75"/>
    <w:qFormat/>
    <w:uiPriority w:val="0"/>
    <w:rPr>
      <w:kern w:val="2"/>
      <w:sz w:val="28"/>
      <w:szCs w:val="28"/>
      <w:lang w:bidi="ar-SA"/>
    </w:rPr>
  </w:style>
  <w:style w:type="character" w:customStyle="1" w:styleId="119">
    <w:name w:val="正文首行缩进 2 Char"/>
    <w:basedOn w:val="103"/>
    <w:link w:val="76"/>
    <w:qFormat/>
    <w:uiPriority w:val="0"/>
    <w:rPr>
      <w:rFonts w:eastAsia="宋体"/>
      <w:kern w:val="2"/>
      <w:sz w:val="28"/>
      <w:szCs w:val="28"/>
      <w:lang w:val="zh-CN" w:eastAsia="zh-CN" w:bidi="ar-SA"/>
    </w:rPr>
  </w:style>
  <w:style w:type="character" w:customStyle="1" w:styleId="120">
    <w:name w:val="标题 1 Char"/>
    <w:qFormat/>
    <w:locked/>
    <w:uiPriority w:val="0"/>
    <w:rPr>
      <w:rFonts w:ascii="黑体" w:eastAsia="黑体"/>
      <w:sz w:val="60"/>
      <w:szCs w:val="60"/>
      <w:lang w:val="en-US" w:eastAsia="zh-CN" w:bidi="ar-SA"/>
    </w:rPr>
  </w:style>
  <w:style w:type="character" w:customStyle="1" w:styleId="121">
    <w:name w:val="标题 3 Char"/>
    <w:qFormat/>
    <w:uiPriority w:val="0"/>
    <w:rPr>
      <w:rFonts w:ascii="黑体" w:eastAsia="黑体"/>
      <w:sz w:val="28"/>
      <w:szCs w:val="28"/>
      <w:lang w:val="en-US" w:eastAsia="zh-CN" w:bidi="ar-SA"/>
    </w:rPr>
  </w:style>
  <w:style w:type="character" w:customStyle="1" w:styleId="122">
    <w:name w:val="标题 2 Char"/>
    <w:qFormat/>
    <w:uiPriority w:val="0"/>
    <w:rPr>
      <w:rFonts w:ascii="Arial" w:hAnsi="Arial" w:eastAsia="黑体"/>
      <w:b/>
      <w:bCs/>
      <w:kern w:val="2"/>
      <w:sz w:val="32"/>
      <w:szCs w:val="32"/>
      <w:lang w:val="en-US" w:eastAsia="zh-CN" w:bidi="ar-SA"/>
    </w:rPr>
  </w:style>
  <w:style w:type="character" w:customStyle="1" w:styleId="123">
    <w:name w:val="标题 4 Char"/>
    <w:qFormat/>
    <w:uiPriority w:val="0"/>
    <w:rPr>
      <w:rFonts w:ascii="Arial" w:hAnsi="Arial" w:eastAsia="宋体"/>
      <w:b/>
      <w:sz w:val="22"/>
      <w:lang w:val="en-GB" w:eastAsia="zh-CN" w:bidi="ar-SA"/>
    </w:rPr>
  </w:style>
  <w:style w:type="table" w:customStyle="1" w:styleId="124">
    <w:name w:val="表格样式2"/>
    <w:basedOn w:val="77"/>
    <w:qFormat/>
    <w:uiPriority w:val="0"/>
    <w:pPr>
      <w:jc w:val="center"/>
    </w:pPr>
    <w:rPr>
      <w:rFonts w:eastAsia="Times New Roman"/>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
    <w:trPr>
      <w:jc w:val="center"/>
    </w:trPr>
    <w:tcPr>
      <w:shd w:val="clear" w:color="auto" w:fill="auto"/>
      <w:vAlign w:val="center"/>
    </w:tcPr>
  </w:style>
  <w:style w:type="character" w:customStyle="1" w:styleId="125">
    <w:name w:val="UP标题3 Char Char"/>
    <w:link w:val="126"/>
    <w:qFormat/>
    <w:locked/>
    <w:uiPriority w:val="0"/>
    <w:rPr>
      <w:rFonts w:ascii="黑体" w:eastAsia="黑体" w:cs="宋体"/>
      <w:kern w:val="2"/>
      <w:sz w:val="28"/>
      <w:szCs w:val="28"/>
      <w:lang w:val="en-US" w:eastAsia="zh-CN" w:bidi="ar-SA"/>
    </w:rPr>
  </w:style>
  <w:style w:type="paragraph" w:customStyle="1" w:styleId="126">
    <w:name w:val="UP标题3"/>
    <w:basedOn w:val="1"/>
    <w:link w:val="125"/>
    <w:qFormat/>
    <w:uiPriority w:val="0"/>
    <w:pPr>
      <w:spacing w:line="360" w:lineRule="auto"/>
      <w:ind w:firstLine="149" w:firstLineChars="149"/>
    </w:pPr>
    <w:rPr>
      <w:rFonts w:ascii="黑体" w:eastAsia="黑体" w:cs="宋体"/>
      <w:sz w:val="28"/>
      <w:szCs w:val="28"/>
    </w:rPr>
  </w:style>
  <w:style w:type="character" w:customStyle="1" w:styleId="127">
    <w:name w:val="标题 3 Char Char Char"/>
    <w:qFormat/>
    <w:uiPriority w:val="0"/>
    <w:rPr>
      <w:rFonts w:ascii="Arial" w:hAnsi="Arial" w:eastAsia="黑体"/>
      <w:b/>
      <w:kern w:val="2"/>
      <w:sz w:val="24"/>
      <w:lang w:val="en-US" w:eastAsia="zh-CN" w:bidi="ar-SA"/>
    </w:rPr>
  </w:style>
  <w:style w:type="paragraph" w:customStyle="1" w:styleId="128">
    <w:name w:val="Char2"/>
    <w:basedOn w:val="1"/>
    <w:qFormat/>
    <w:uiPriority w:val="0"/>
  </w:style>
  <w:style w:type="character" w:customStyle="1" w:styleId="129">
    <w:name w:val="Char Char2"/>
    <w:semiHidden/>
    <w:qFormat/>
    <w:uiPriority w:val="0"/>
    <w:rPr>
      <w:rFonts w:ascii="Wingdings" w:hAnsi="宋体" w:eastAsia="Wingdings"/>
      <w:kern w:val="2"/>
      <w:sz w:val="28"/>
      <w:lang w:val="en-US" w:eastAsia="zh-CN" w:bidi="ar-SA"/>
    </w:rPr>
  </w:style>
  <w:style w:type="paragraph" w:customStyle="1" w:styleId="130">
    <w:name w:val="Char Char Char Char"/>
    <w:basedOn w:val="1"/>
    <w:qFormat/>
    <w:uiPriority w:val="0"/>
    <w:rPr>
      <w:szCs w:val="21"/>
    </w:rPr>
  </w:style>
  <w:style w:type="paragraph" w:customStyle="1" w:styleId="131">
    <w:name w:val="Char"/>
    <w:basedOn w:val="1"/>
    <w:qFormat/>
    <w:uiPriority w:val="0"/>
  </w:style>
  <w:style w:type="paragraph" w:customStyle="1" w:styleId="132">
    <w:name w:val="Normal1"/>
    <w:link w:val="1282"/>
    <w:qFormat/>
    <w:uiPriority w:val="0"/>
    <w:pPr>
      <w:widowControl w:val="0"/>
      <w:adjustRightInd w:val="0"/>
      <w:spacing w:line="312" w:lineRule="atLeast"/>
      <w:jc w:val="both"/>
      <w:textAlignment w:val="baseline"/>
    </w:pPr>
    <w:rPr>
      <w:rFonts w:ascii="Arial" w:hAnsi="Arial" w:eastAsia="宋体" w:cs="Times New Roman"/>
      <w:sz w:val="24"/>
      <w:lang w:val="en-US" w:eastAsia="zh-CN" w:bidi="ar-SA"/>
    </w:rPr>
  </w:style>
  <w:style w:type="paragraph" w:customStyle="1" w:styleId="133">
    <w:name w:val="规范文本"/>
    <w:basedOn w:val="39"/>
    <w:qFormat/>
    <w:uiPriority w:val="0"/>
    <w:pPr>
      <w:adjustRightInd w:val="0"/>
      <w:snapToGrid w:val="0"/>
      <w:spacing w:line="360" w:lineRule="atLeast"/>
      <w:ind w:firstLine="420"/>
    </w:pPr>
    <w:rPr>
      <w:rFonts w:hint="eastAsia" w:ascii="宋体" w:hAnsi="Courier New" w:eastAsia="宋体" w:cs="Lucida Sans Unicode"/>
      <w:kern w:val="0"/>
      <w:sz w:val="21"/>
      <w:szCs w:val="21"/>
    </w:rPr>
  </w:style>
  <w:style w:type="paragraph" w:customStyle="1" w:styleId="134">
    <w:name w:val="xl69"/>
    <w:basedOn w:val="1"/>
    <w:link w:val="1330"/>
    <w:qFormat/>
    <w:uiPriority w:val="0"/>
    <w:pPr>
      <w:widowControl/>
      <w:spacing w:before="100" w:beforeAutospacing="1" w:after="100" w:afterAutospacing="1"/>
      <w:jc w:val="left"/>
    </w:pPr>
    <w:rPr>
      <w:rFonts w:ascii="宋体" w:hAnsi="宋体"/>
      <w:kern w:val="0"/>
      <w:sz w:val="20"/>
      <w:szCs w:val="20"/>
    </w:rPr>
  </w:style>
  <w:style w:type="paragraph" w:customStyle="1" w:styleId="135">
    <w:name w:val="Char Char Char Char Char Char Char"/>
    <w:basedOn w:val="1"/>
    <w:next w:val="1"/>
    <w:qFormat/>
    <w:uiPriority w:val="0"/>
    <w:pPr>
      <w:spacing w:line="360" w:lineRule="auto"/>
      <w:ind w:firstLine="200" w:firstLineChars="200"/>
    </w:pPr>
    <w:rPr>
      <w:rFonts w:ascii="宋体" w:hAnsi="宋体" w:cs="宋体"/>
    </w:rPr>
  </w:style>
  <w:style w:type="character" w:customStyle="1" w:styleId="136">
    <w:name w:val="纯文本 Char"/>
    <w:qFormat/>
    <w:uiPriority w:val="99"/>
    <w:rPr>
      <w:rFonts w:ascii="宋体" w:hAnsi="Courier New" w:eastAsia="宋体"/>
      <w:kern w:val="2"/>
      <w:sz w:val="28"/>
      <w:lang w:val="en-US" w:eastAsia="zh-CN" w:bidi="ar-SA"/>
    </w:rPr>
  </w:style>
  <w:style w:type="paragraph" w:customStyle="1" w:styleId="137">
    <w:name w:val="默认段落字体 Para Char Char Char Char"/>
    <w:basedOn w:val="1"/>
    <w:qFormat/>
    <w:uiPriority w:val="0"/>
  </w:style>
  <w:style w:type="paragraph" w:customStyle="1" w:styleId="138">
    <w:name w:val="text"/>
    <w:basedOn w:val="1"/>
    <w:qFormat/>
    <w:uiPriority w:val="0"/>
    <w:pPr>
      <w:widowControl/>
      <w:overflowPunct w:val="0"/>
      <w:autoSpaceDE w:val="0"/>
      <w:autoSpaceDN w:val="0"/>
      <w:adjustRightInd w:val="0"/>
      <w:spacing w:before="120" w:after="120"/>
      <w:ind w:left="851"/>
      <w:textAlignment w:val="baseline"/>
    </w:pPr>
    <w:rPr>
      <w:rFonts w:ascii="宋体"/>
      <w:kern w:val="0"/>
      <w:szCs w:val="20"/>
    </w:rPr>
  </w:style>
  <w:style w:type="paragraph" w:customStyle="1" w:styleId="139">
    <w:name w:val="head1"/>
    <w:basedOn w:val="1"/>
    <w:qFormat/>
    <w:uiPriority w:val="0"/>
    <w:pPr>
      <w:widowControl/>
      <w:overflowPunct w:val="0"/>
      <w:autoSpaceDE w:val="0"/>
      <w:autoSpaceDN w:val="0"/>
      <w:adjustRightInd w:val="0"/>
      <w:spacing w:before="120"/>
      <w:ind w:left="144"/>
      <w:jc w:val="center"/>
      <w:textAlignment w:val="baseline"/>
    </w:pPr>
    <w:rPr>
      <w:rFonts w:ascii="黑体" w:eastAsia="黑体"/>
      <w:kern w:val="0"/>
      <w:sz w:val="32"/>
      <w:szCs w:val="20"/>
    </w:rPr>
  </w:style>
  <w:style w:type="paragraph" w:customStyle="1" w:styleId="140">
    <w:name w:val="表格内容-左对齐"/>
    <w:basedOn w:val="1"/>
    <w:qFormat/>
    <w:uiPriority w:val="0"/>
    <w:pPr>
      <w:widowControl/>
      <w:overflowPunct w:val="0"/>
      <w:autoSpaceDE w:val="0"/>
      <w:autoSpaceDN w:val="0"/>
      <w:adjustRightInd w:val="0"/>
      <w:spacing w:before="40" w:after="40" w:line="300" w:lineRule="exact"/>
      <w:ind w:left="57"/>
      <w:jc w:val="left"/>
      <w:textAlignment w:val="baseline"/>
    </w:pPr>
    <w:rPr>
      <w:kern w:val="0"/>
      <w:szCs w:val="20"/>
    </w:rPr>
  </w:style>
  <w:style w:type="paragraph" w:customStyle="1" w:styleId="141">
    <w:name w:val="1)"/>
    <w:basedOn w:val="1"/>
    <w:qFormat/>
    <w:uiPriority w:val="0"/>
    <w:pPr>
      <w:widowControl/>
      <w:tabs>
        <w:tab w:val="left" w:pos="1361"/>
      </w:tabs>
      <w:spacing w:before="120" w:line="264" w:lineRule="auto"/>
      <w:ind w:left="1361" w:hanging="454"/>
      <w:jc w:val="left"/>
    </w:pPr>
    <w:rPr>
      <w:rFonts w:ascii="宋体" w:hAnsi="宋体"/>
    </w:rPr>
  </w:style>
  <w:style w:type="paragraph" w:customStyle="1" w:styleId="142">
    <w:name w:val="Char Char16"/>
    <w:basedOn w:val="1"/>
    <w:semiHidden/>
    <w:qFormat/>
    <w:uiPriority w:val="0"/>
  </w:style>
  <w:style w:type="character" w:customStyle="1" w:styleId="143">
    <w:name w:val="Char Char15"/>
    <w:semiHidden/>
    <w:qFormat/>
    <w:locked/>
    <w:uiPriority w:val="0"/>
    <w:rPr>
      <w:rFonts w:ascii="Wingdings" w:hAnsi="宋体"/>
      <w:kern w:val="2"/>
      <w:sz w:val="28"/>
      <w:szCs w:val="28"/>
      <w:lang w:val="en-US" w:eastAsia="zh-CN" w:bidi="ar-SA"/>
    </w:rPr>
  </w:style>
  <w:style w:type="paragraph" w:customStyle="1" w:styleId="144">
    <w:name w:val="Char Char4 Char Char"/>
    <w:basedOn w:val="1"/>
    <w:semiHidden/>
    <w:qFormat/>
    <w:uiPriority w:val="0"/>
  </w:style>
  <w:style w:type="paragraph" w:customStyle="1" w:styleId="145">
    <w:name w:val="Char Char4"/>
    <w:basedOn w:val="1"/>
    <w:semiHidden/>
    <w:qFormat/>
    <w:uiPriority w:val="0"/>
  </w:style>
  <w:style w:type="paragraph" w:customStyle="1" w:styleId="146">
    <w:name w:val="Char Char5 Char Char"/>
    <w:basedOn w:val="1"/>
    <w:semiHidden/>
    <w:qFormat/>
    <w:uiPriority w:val="0"/>
    <w:rPr>
      <w:sz w:val="21"/>
    </w:rPr>
  </w:style>
  <w:style w:type="paragraph" w:customStyle="1" w:styleId="147">
    <w:name w:val="Normal3"/>
    <w:qFormat/>
    <w:uiPriority w:val="0"/>
    <w:pPr>
      <w:widowControl w:val="0"/>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148">
    <w:name w:val="样式3"/>
    <w:basedOn w:val="56"/>
    <w:qFormat/>
    <w:uiPriority w:val="0"/>
    <w:pPr>
      <w:spacing w:line="400" w:lineRule="atLeast"/>
      <w:ind w:left="0" w:firstLine="496" w:firstLineChars="200"/>
    </w:pPr>
    <w:rPr>
      <w:rFonts w:cs="Arial"/>
      <w:spacing w:val="4"/>
      <w:szCs w:val="20"/>
    </w:rPr>
  </w:style>
  <w:style w:type="paragraph" w:customStyle="1" w:styleId="149">
    <w:name w:val="批注框文本1"/>
    <w:basedOn w:val="1"/>
    <w:semiHidden/>
    <w:qFormat/>
    <w:uiPriority w:val="0"/>
    <w:pPr>
      <w:adjustRightInd w:val="0"/>
      <w:spacing w:line="312" w:lineRule="atLeast"/>
      <w:textAlignment w:val="baseline"/>
    </w:pPr>
    <w:rPr>
      <w:kern w:val="0"/>
      <w:sz w:val="18"/>
      <w:szCs w:val="18"/>
    </w:rPr>
  </w:style>
  <w:style w:type="paragraph" w:customStyle="1" w:styleId="150">
    <w:name w:val="F03"/>
    <w:basedOn w:val="1"/>
    <w:semiHidden/>
    <w:qFormat/>
    <w:uiPriority w:val="0"/>
    <w:pPr>
      <w:spacing w:before="120" w:after="120" w:line="240" w:lineRule="atLeast"/>
      <w:ind w:firstLine="320"/>
      <w:outlineLvl w:val="2"/>
    </w:pPr>
    <w:rPr>
      <w:rFonts w:ascii="Arial" w:hAnsi="Arial" w:eastAsia="黑体"/>
      <w:kern w:val="28"/>
      <w:sz w:val="32"/>
      <w:szCs w:val="20"/>
    </w:rPr>
  </w:style>
  <w:style w:type="paragraph" w:customStyle="1" w:styleId="151">
    <w:name w:val="称呼 字符"/>
    <w:basedOn w:val="1"/>
    <w:semiHidden/>
    <w:qFormat/>
    <w:uiPriority w:val="0"/>
    <w:rPr>
      <w:sz w:val="21"/>
    </w:rPr>
  </w:style>
  <w:style w:type="character" w:customStyle="1" w:styleId="152">
    <w:name w:val="Char Char48"/>
    <w:semiHidden/>
    <w:qFormat/>
    <w:uiPriority w:val="0"/>
    <w:rPr>
      <w:rFonts w:eastAsia="宋体"/>
      <w:b/>
      <w:bCs/>
      <w:kern w:val="44"/>
      <w:sz w:val="28"/>
      <w:szCs w:val="28"/>
      <w:lang w:val="en-US" w:eastAsia="zh-CN" w:bidi="ar-SA"/>
    </w:rPr>
  </w:style>
  <w:style w:type="character" w:customStyle="1" w:styleId="153">
    <w:name w:val="Char Char46"/>
    <w:semiHidden/>
    <w:qFormat/>
    <w:uiPriority w:val="0"/>
    <w:rPr>
      <w:rFonts w:eastAsia="黑体"/>
      <w:b/>
      <w:bCs/>
      <w:kern w:val="2"/>
      <w:sz w:val="32"/>
      <w:szCs w:val="32"/>
      <w:lang w:val="en-US" w:eastAsia="zh-CN" w:bidi="ar-SA"/>
    </w:rPr>
  </w:style>
  <w:style w:type="character" w:customStyle="1" w:styleId="154">
    <w:name w:val="三章正文 Char Char"/>
    <w:link w:val="155"/>
    <w:qFormat/>
    <w:uiPriority w:val="0"/>
    <w:rPr>
      <w:kern w:val="2"/>
      <w:sz w:val="24"/>
      <w:szCs w:val="24"/>
      <w:lang w:bidi="ar-SA"/>
    </w:rPr>
  </w:style>
  <w:style w:type="paragraph" w:customStyle="1" w:styleId="155">
    <w:name w:val="三章正文 Char"/>
    <w:basedOn w:val="1"/>
    <w:link w:val="154"/>
    <w:semiHidden/>
    <w:qFormat/>
    <w:uiPriority w:val="0"/>
    <w:pPr>
      <w:wordWrap w:val="0"/>
      <w:spacing w:line="360" w:lineRule="auto"/>
      <w:ind w:firstLine="200" w:firstLineChars="200"/>
    </w:pPr>
    <w:rPr>
      <w:lang w:val="zh-CN"/>
    </w:rPr>
  </w:style>
  <w:style w:type="character" w:customStyle="1" w:styleId="156">
    <w:name w:val="表中齐 Char"/>
    <w:link w:val="157"/>
    <w:qFormat/>
    <w:uiPriority w:val="0"/>
    <w:rPr>
      <w:rFonts w:eastAsia="宋体"/>
      <w:kern w:val="2"/>
      <w:sz w:val="24"/>
      <w:szCs w:val="21"/>
      <w:lang w:val="en-US" w:eastAsia="zh-CN" w:bidi="ar-SA"/>
    </w:rPr>
  </w:style>
  <w:style w:type="paragraph" w:customStyle="1" w:styleId="157">
    <w:name w:val="表中齐"/>
    <w:basedOn w:val="1"/>
    <w:link w:val="156"/>
    <w:semiHidden/>
    <w:qFormat/>
    <w:uiPriority w:val="0"/>
    <w:pPr>
      <w:wordWrap w:val="0"/>
      <w:adjustRightInd w:val="0"/>
      <w:snapToGrid w:val="0"/>
      <w:spacing w:line="240" w:lineRule="exact"/>
      <w:ind w:left="-63" w:leftChars="-23" w:right="-115" w:rightChars="-41" w:hanging="1"/>
      <w:jc w:val="center"/>
    </w:pPr>
    <w:rPr>
      <w:szCs w:val="21"/>
    </w:rPr>
  </w:style>
  <w:style w:type="character" w:customStyle="1" w:styleId="158">
    <w:name w:val="Char Char26"/>
    <w:semiHidden/>
    <w:qFormat/>
    <w:uiPriority w:val="0"/>
    <w:rPr>
      <w:kern w:val="2"/>
      <w:sz w:val="28"/>
      <w:szCs w:val="28"/>
      <w:lang w:bidi="ar-SA"/>
    </w:rPr>
  </w:style>
  <w:style w:type="character" w:customStyle="1" w:styleId="159">
    <w:name w:val="bhq Char"/>
    <w:link w:val="160"/>
    <w:qFormat/>
    <w:uiPriority w:val="0"/>
    <w:rPr>
      <w:kern w:val="2"/>
      <w:sz w:val="28"/>
      <w:szCs w:val="28"/>
      <w:lang w:bidi="ar-SA"/>
    </w:rPr>
  </w:style>
  <w:style w:type="paragraph" w:customStyle="1" w:styleId="160">
    <w:name w:val="bhq"/>
    <w:basedOn w:val="1"/>
    <w:link w:val="159"/>
    <w:semiHidden/>
    <w:qFormat/>
    <w:uiPriority w:val="0"/>
    <w:pPr>
      <w:wordWrap w:val="0"/>
      <w:adjustRightInd w:val="0"/>
      <w:spacing w:line="360" w:lineRule="auto"/>
      <w:ind w:firstLine="200" w:firstLineChars="200"/>
    </w:pPr>
    <w:rPr>
      <w:sz w:val="28"/>
      <w:szCs w:val="28"/>
      <w:lang w:val="zh-CN"/>
    </w:rPr>
  </w:style>
  <w:style w:type="character" w:customStyle="1" w:styleId="161">
    <w:name w:val="样式1 Char"/>
    <w:link w:val="162"/>
    <w:qFormat/>
    <w:uiPriority w:val="0"/>
    <w:rPr>
      <w:rFonts w:ascii="仿宋_GB2312" w:eastAsia="仿宋_GB2312"/>
      <w:kern w:val="2"/>
      <w:sz w:val="32"/>
      <w:szCs w:val="32"/>
      <w:lang w:bidi="ar-SA"/>
    </w:rPr>
  </w:style>
  <w:style w:type="paragraph" w:customStyle="1" w:styleId="162">
    <w:name w:val="样式1"/>
    <w:basedOn w:val="1"/>
    <w:link w:val="161"/>
    <w:qFormat/>
    <w:uiPriority w:val="0"/>
    <w:pPr>
      <w:wordWrap w:val="0"/>
      <w:spacing w:line="600" w:lineRule="exact"/>
      <w:ind w:firstLine="200" w:firstLineChars="200"/>
    </w:pPr>
    <w:rPr>
      <w:rFonts w:ascii="仿宋_GB2312" w:eastAsia="仿宋_GB2312"/>
      <w:sz w:val="32"/>
      <w:szCs w:val="32"/>
      <w:lang w:val="zh-CN"/>
    </w:rPr>
  </w:style>
  <w:style w:type="character" w:customStyle="1" w:styleId="163">
    <w:name w:val="样式7 Char"/>
    <w:link w:val="164"/>
    <w:qFormat/>
    <w:uiPriority w:val="0"/>
    <w:rPr>
      <w:rFonts w:eastAsia="华文中宋"/>
      <w:b/>
      <w:kern w:val="2"/>
      <w:sz w:val="28"/>
      <w:lang w:val="en-US" w:eastAsia="zh-CN" w:bidi="ar-SA"/>
    </w:rPr>
  </w:style>
  <w:style w:type="paragraph" w:customStyle="1" w:styleId="164">
    <w:name w:val="样式7"/>
    <w:basedOn w:val="1"/>
    <w:link w:val="163"/>
    <w:qFormat/>
    <w:uiPriority w:val="0"/>
    <w:pPr>
      <w:wordWrap w:val="0"/>
      <w:spacing w:line="300" w:lineRule="exact"/>
      <w:ind w:left="-120" w:leftChars="-50" w:right="-50" w:rightChars="-50"/>
      <w:jc w:val="center"/>
    </w:pPr>
    <w:rPr>
      <w:rFonts w:eastAsia="华文中宋"/>
      <w:b/>
      <w:sz w:val="28"/>
      <w:szCs w:val="20"/>
    </w:rPr>
  </w:style>
  <w:style w:type="character" w:customStyle="1" w:styleId="165">
    <w:name w:val="右齐表头 Char"/>
    <w:link w:val="166"/>
    <w:qFormat/>
    <w:uiPriority w:val="0"/>
    <w:rPr>
      <w:rFonts w:ascii="宋体" w:hAnsi="宋体"/>
      <w:kern w:val="16"/>
      <w:sz w:val="28"/>
      <w:szCs w:val="36"/>
      <w:lang w:bidi="ar-SA"/>
    </w:rPr>
  </w:style>
  <w:style w:type="paragraph" w:customStyle="1" w:styleId="166">
    <w:name w:val="右齐表头"/>
    <w:basedOn w:val="1"/>
    <w:link w:val="165"/>
    <w:semiHidden/>
    <w:qFormat/>
    <w:uiPriority w:val="0"/>
    <w:pPr>
      <w:wordWrap w:val="0"/>
      <w:adjustRightInd w:val="0"/>
      <w:spacing w:line="360" w:lineRule="auto"/>
      <w:jc w:val="right"/>
      <w:textAlignment w:val="baseline"/>
      <w:outlineLvl w:val="0"/>
    </w:pPr>
    <w:rPr>
      <w:rFonts w:ascii="宋体" w:hAnsi="宋体"/>
      <w:kern w:val="16"/>
      <w:sz w:val="28"/>
      <w:szCs w:val="36"/>
      <w:lang w:val="zh-CN"/>
    </w:rPr>
  </w:style>
  <w:style w:type="character" w:customStyle="1" w:styleId="167">
    <w:name w:val="样式 宋体 小四 Char"/>
    <w:link w:val="168"/>
    <w:qFormat/>
    <w:uiPriority w:val="0"/>
    <w:rPr>
      <w:rFonts w:ascii="宋体" w:hAnsi="宋体"/>
      <w:snapToGrid w:val="0"/>
      <w:kern w:val="2"/>
      <w:sz w:val="24"/>
      <w:szCs w:val="24"/>
      <w:lang w:bidi="ar-SA"/>
    </w:rPr>
  </w:style>
  <w:style w:type="paragraph" w:customStyle="1" w:styleId="168">
    <w:name w:val="样式 宋体 小四"/>
    <w:basedOn w:val="1"/>
    <w:link w:val="167"/>
    <w:semiHidden/>
    <w:qFormat/>
    <w:uiPriority w:val="0"/>
    <w:pPr>
      <w:wordWrap w:val="0"/>
      <w:spacing w:line="360" w:lineRule="auto"/>
      <w:ind w:firstLine="200" w:firstLineChars="200"/>
    </w:pPr>
    <w:rPr>
      <w:rFonts w:ascii="宋体" w:hAnsi="宋体"/>
      <w:snapToGrid w:val="0"/>
      <w:lang w:val="zh-CN"/>
    </w:rPr>
  </w:style>
  <w:style w:type="character" w:customStyle="1" w:styleId="169">
    <w:name w:val="样式 标题 2广州标题 22 headlinehheadlineS&amp;R2ERMH2标题 1.1编号标题2题 2... Char Char"/>
    <w:link w:val="170"/>
    <w:qFormat/>
    <w:uiPriority w:val="0"/>
    <w:rPr>
      <w:rFonts w:ascii="Arial" w:hAnsi="Arial" w:eastAsia="黑体"/>
      <w:b/>
      <w:bCs/>
      <w:sz w:val="32"/>
      <w:szCs w:val="32"/>
      <w:lang w:bidi="ar-SA"/>
    </w:rPr>
  </w:style>
  <w:style w:type="paragraph" w:customStyle="1" w:styleId="170">
    <w:name w:val="样式 标题 2广州标题 22 headlinehheadlineS&amp;R2ERMH2标题 1.1编号标题2题 2... Char"/>
    <w:basedOn w:val="3"/>
    <w:link w:val="169"/>
    <w:semiHidden/>
    <w:qFormat/>
    <w:uiPriority w:val="0"/>
    <w:pPr>
      <w:numPr>
        <w:numId w:val="0"/>
      </w:numPr>
      <w:tabs>
        <w:tab w:val="left" w:pos="1080"/>
      </w:tabs>
      <w:wordWrap w:val="0"/>
      <w:spacing w:before="240" w:after="240"/>
      <w:jc w:val="left"/>
    </w:pPr>
    <w:rPr>
      <w:rFonts w:ascii="Arial" w:hAnsi="Arial"/>
      <w:bCs/>
      <w:snapToGrid/>
      <w:sz w:val="32"/>
      <w:szCs w:val="32"/>
      <w:lang w:val="zh-CN"/>
    </w:rPr>
  </w:style>
  <w:style w:type="character" w:customStyle="1" w:styleId="171">
    <w:name w:val="段落 Char Char Char Char Char"/>
    <w:link w:val="172"/>
    <w:qFormat/>
    <w:uiPriority w:val="0"/>
    <w:rPr>
      <w:rFonts w:eastAsia="宋体"/>
      <w:sz w:val="24"/>
      <w:szCs w:val="24"/>
      <w:lang w:bidi="ar-SA"/>
    </w:rPr>
  </w:style>
  <w:style w:type="paragraph" w:customStyle="1" w:styleId="172">
    <w:name w:val="段落 Char Char Char Char"/>
    <w:basedOn w:val="1"/>
    <w:link w:val="171"/>
    <w:semiHidden/>
    <w:qFormat/>
    <w:uiPriority w:val="0"/>
    <w:pPr>
      <w:wordWrap w:val="0"/>
      <w:topLinePunct/>
      <w:snapToGrid w:val="0"/>
      <w:spacing w:line="360" w:lineRule="auto"/>
      <w:ind w:firstLine="200" w:firstLineChars="200"/>
    </w:pPr>
    <w:rPr>
      <w:kern w:val="0"/>
      <w:lang w:val="zh-CN"/>
    </w:rPr>
  </w:style>
  <w:style w:type="character" w:customStyle="1" w:styleId="173">
    <w:name w:val="表头 Char"/>
    <w:link w:val="174"/>
    <w:qFormat/>
    <w:uiPriority w:val="0"/>
    <w:rPr>
      <w:b/>
      <w:sz w:val="30"/>
      <w:lang w:bidi="ar-SA"/>
    </w:rPr>
  </w:style>
  <w:style w:type="paragraph" w:customStyle="1" w:styleId="174">
    <w:name w:val="表头"/>
    <w:basedOn w:val="1"/>
    <w:link w:val="173"/>
    <w:qFormat/>
    <w:uiPriority w:val="0"/>
    <w:pPr>
      <w:wordWrap w:val="0"/>
      <w:adjustRightInd w:val="0"/>
      <w:ind w:firstLine="482"/>
      <w:jc w:val="center"/>
      <w:textAlignment w:val="baseline"/>
    </w:pPr>
    <w:rPr>
      <w:b/>
      <w:kern w:val="0"/>
      <w:sz w:val="30"/>
      <w:szCs w:val="20"/>
      <w:lang w:val="zh-CN"/>
    </w:rPr>
  </w:style>
  <w:style w:type="character" w:customStyle="1" w:styleId="175">
    <w:name w:val="样式4 Char2"/>
    <w:link w:val="176"/>
    <w:qFormat/>
    <w:uiPriority w:val="0"/>
    <w:rPr>
      <w:rFonts w:eastAsia="黑体"/>
      <w:sz w:val="84"/>
      <w:lang w:val="en-US" w:eastAsia="zh-CN" w:bidi="ar-SA"/>
    </w:rPr>
  </w:style>
  <w:style w:type="paragraph" w:customStyle="1" w:styleId="176">
    <w:name w:val="样式4"/>
    <w:basedOn w:val="1"/>
    <w:link w:val="175"/>
    <w:qFormat/>
    <w:uiPriority w:val="0"/>
    <w:pPr>
      <w:wordWrap w:val="0"/>
      <w:adjustRightInd w:val="0"/>
      <w:spacing w:line="0" w:lineRule="atLeast"/>
      <w:ind w:firstLine="567"/>
      <w:jc w:val="center"/>
      <w:textAlignment w:val="baseline"/>
      <w:outlineLvl w:val="0"/>
    </w:pPr>
    <w:rPr>
      <w:rFonts w:eastAsia="黑体"/>
      <w:kern w:val="0"/>
      <w:sz w:val="84"/>
      <w:szCs w:val="20"/>
    </w:rPr>
  </w:style>
  <w:style w:type="character" w:customStyle="1" w:styleId="177">
    <w:name w:val="图名 Char"/>
    <w:link w:val="178"/>
    <w:qFormat/>
    <w:uiPriority w:val="0"/>
    <w:rPr>
      <w:rFonts w:ascii="仿宋_GB2312"/>
      <w:sz w:val="24"/>
      <w:szCs w:val="28"/>
      <w:u w:val="double"/>
      <w:lang w:bidi="ar-SA"/>
    </w:rPr>
  </w:style>
  <w:style w:type="paragraph" w:customStyle="1" w:styleId="178">
    <w:name w:val="图名"/>
    <w:basedOn w:val="1"/>
    <w:link w:val="177"/>
    <w:semiHidden/>
    <w:qFormat/>
    <w:uiPriority w:val="0"/>
    <w:pPr>
      <w:wordWrap w:val="0"/>
      <w:adjustRightInd w:val="0"/>
      <w:snapToGrid w:val="0"/>
      <w:spacing w:line="360" w:lineRule="auto"/>
      <w:ind w:firstLine="1080"/>
    </w:pPr>
    <w:rPr>
      <w:rFonts w:ascii="仿宋_GB2312"/>
      <w:kern w:val="0"/>
      <w:szCs w:val="28"/>
      <w:u w:val="double"/>
      <w:lang w:val="zh-CN"/>
    </w:rPr>
  </w:style>
  <w:style w:type="character" w:customStyle="1" w:styleId="179">
    <w:name w:val="样式 标题 3 + (符号) 宋体 小四 Char Char"/>
    <w:link w:val="180"/>
    <w:qFormat/>
    <w:uiPriority w:val="0"/>
    <w:rPr>
      <w:rFonts w:ascii="宋体" w:eastAsia="宋体"/>
      <w:b/>
      <w:bCs/>
      <w:sz w:val="28"/>
      <w:szCs w:val="32"/>
      <w:lang w:val="en-US" w:eastAsia="zh-CN" w:bidi="ar-SA"/>
    </w:rPr>
  </w:style>
  <w:style w:type="paragraph" w:customStyle="1" w:styleId="180">
    <w:name w:val="样式 标题 3 + (符号) 宋体 小四"/>
    <w:basedOn w:val="5"/>
    <w:link w:val="179"/>
    <w:semiHidden/>
    <w:qFormat/>
    <w:uiPriority w:val="0"/>
    <w:pPr>
      <w:tabs>
        <w:tab w:val="clear" w:pos="425"/>
      </w:tabs>
      <w:wordWrap w:val="0"/>
      <w:spacing w:before="0" w:after="0"/>
      <w:ind w:left="0" w:firstLine="100" w:firstLineChars="100"/>
      <w:jc w:val="left"/>
    </w:pPr>
    <w:rPr>
      <w:rFonts w:ascii="宋体" w:eastAsia="宋体"/>
      <w:bCs/>
      <w:snapToGrid/>
      <w:szCs w:val="32"/>
    </w:rPr>
  </w:style>
  <w:style w:type="character" w:customStyle="1" w:styleId="181">
    <w:name w:val="表左齐 Char"/>
    <w:basedOn w:val="156"/>
    <w:link w:val="182"/>
    <w:qFormat/>
    <w:uiPriority w:val="0"/>
    <w:rPr>
      <w:rFonts w:eastAsia="宋体"/>
      <w:kern w:val="2"/>
      <w:sz w:val="24"/>
      <w:szCs w:val="21"/>
      <w:lang w:val="en-US" w:eastAsia="zh-CN" w:bidi="ar-SA"/>
    </w:rPr>
  </w:style>
  <w:style w:type="paragraph" w:customStyle="1" w:styleId="182">
    <w:name w:val="表左齐"/>
    <w:basedOn w:val="157"/>
    <w:link w:val="181"/>
    <w:semiHidden/>
    <w:qFormat/>
    <w:uiPriority w:val="0"/>
    <w:pPr>
      <w:adjustRightInd/>
      <w:ind w:left="0" w:leftChars="0" w:right="0" w:rightChars="0" w:firstLine="0"/>
      <w:jc w:val="left"/>
    </w:pPr>
  </w:style>
  <w:style w:type="character" w:customStyle="1" w:styleId="183">
    <w:name w:val="Char Char21"/>
    <w:semiHidden/>
    <w:qFormat/>
    <w:uiPriority w:val="0"/>
    <w:rPr>
      <w:rFonts w:eastAsia="宋体"/>
      <w:kern w:val="2"/>
      <w:sz w:val="28"/>
      <w:szCs w:val="28"/>
      <w:lang w:val="en-US" w:eastAsia="zh-CN" w:bidi="ar-SA"/>
    </w:rPr>
  </w:style>
  <w:style w:type="character" w:customStyle="1" w:styleId="184">
    <w:name w:val="表头右齐 Char"/>
    <w:link w:val="185"/>
    <w:qFormat/>
    <w:uiPriority w:val="0"/>
    <w:rPr>
      <w:rFonts w:ascii="仿宋_GB2312"/>
      <w:b/>
      <w:color w:val="000000"/>
      <w:sz w:val="24"/>
      <w:szCs w:val="24"/>
      <w:lang w:bidi="ar-SA"/>
    </w:rPr>
  </w:style>
  <w:style w:type="paragraph" w:customStyle="1" w:styleId="185">
    <w:name w:val="表头右齐"/>
    <w:basedOn w:val="1"/>
    <w:next w:val="1"/>
    <w:link w:val="184"/>
    <w:semiHidden/>
    <w:qFormat/>
    <w:uiPriority w:val="0"/>
    <w:pPr>
      <w:wordWrap w:val="0"/>
      <w:adjustRightInd w:val="0"/>
      <w:snapToGrid w:val="0"/>
      <w:ind w:left="-109" w:leftChars="-39" w:right="140" w:rightChars="50" w:firstLine="1081"/>
      <w:jc w:val="right"/>
    </w:pPr>
    <w:rPr>
      <w:rFonts w:ascii="仿宋_GB2312"/>
      <w:b/>
      <w:color w:val="000000"/>
      <w:kern w:val="0"/>
      <w:lang w:val="zh-CN"/>
    </w:rPr>
  </w:style>
  <w:style w:type="character" w:customStyle="1" w:styleId="186">
    <w:name w:val="图片样式 Char"/>
    <w:link w:val="187"/>
    <w:qFormat/>
    <w:uiPriority w:val="0"/>
    <w:rPr>
      <w:rFonts w:eastAsia="黑体" w:cs="宋体"/>
      <w:kern w:val="2"/>
      <w:sz w:val="21"/>
      <w:lang w:val="en-US" w:eastAsia="zh-CN" w:bidi="ar-SA"/>
    </w:rPr>
  </w:style>
  <w:style w:type="paragraph" w:customStyle="1" w:styleId="187">
    <w:name w:val="图片样式"/>
    <w:basedOn w:val="1"/>
    <w:link w:val="186"/>
    <w:semiHidden/>
    <w:qFormat/>
    <w:uiPriority w:val="0"/>
    <w:pPr>
      <w:wordWrap w:val="0"/>
      <w:snapToGrid w:val="0"/>
      <w:spacing w:line="360" w:lineRule="auto"/>
      <w:jc w:val="center"/>
    </w:pPr>
    <w:rPr>
      <w:rFonts w:eastAsia="黑体" w:cs="宋体"/>
      <w:sz w:val="21"/>
      <w:szCs w:val="20"/>
    </w:rPr>
  </w:style>
  <w:style w:type="character" w:customStyle="1" w:styleId="188">
    <w:name w:val="表格 Char"/>
    <w:link w:val="189"/>
    <w:qFormat/>
    <w:uiPriority w:val="0"/>
    <w:rPr>
      <w:sz w:val="24"/>
      <w:lang w:bidi="ar-SA"/>
    </w:rPr>
  </w:style>
  <w:style w:type="paragraph" w:customStyle="1" w:styleId="189">
    <w:name w:val="表格"/>
    <w:basedOn w:val="1"/>
    <w:link w:val="188"/>
    <w:qFormat/>
    <w:uiPriority w:val="0"/>
    <w:pPr>
      <w:wordWrap w:val="0"/>
      <w:adjustRightInd w:val="0"/>
      <w:spacing w:line="288" w:lineRule="auto"/>
      <w:ind w:firstLine="34"/>
      <w:jc w:val="center"/>
      <w:textAlignment w:val="baseline"/>
    </w:pPr>
    <w:rPr>
      <w:kern w:val="0"/>
      <w:szCs w:val="20"/>
      <w:lang w:val="zh-CN"/>
    </w:rPr>
  </w:style>
  <w:style w:type="character" w:customStyle="1" w:styleId="190">
    <w:name w:val="嵩县 Char"/>
    <w:link w:val="191"/>
    <w:qFormat/>
    <w:uiPriority w:val="0"/>
    <w:rPr>
      <w:kern w:val="2"/>
      <w:sz w:val="28"/>
      <w:szCs w:val="24"/>
      <w:lang w:bidi="ar-SA"/>
    </w:rPr>
  </w:style>
  <w:style w:type="paragraph" w:customStyle="1" w:styleId="191">
    <w:name w:val="嵩县"/>
    <w:basedOn w:val="1"/>
    <w:link w:val="190"/>
    <w:semiHidden/>
    <w:qFormat/>
    <w:uiPriority w:val="0"/>
    <w:pPr>
      <w:wordWrap w:val="0"/>
      <w:spacing w:line="360" w:lineRule="auto"/>
      <w:ind w:firstLine="200" w:firstLineChars="200"/>
    </w:pPr>
    <w:rPr>
      <w:sz w:val="28"/>
      <w:lang w:val="zh-CN"/>
    </w:rPr>
  </w:style>
  <w:style w:type="character" w:customStyle="1" w:styleId="192">
    <w:name w:val="bhq正文 Char"/>
    <w:link w:val="193"/>
    <w:qFormat/>
    <w:uiPriority w:val="0"/>
    <w:rPr>
      <w:rFonts w:eastAsia="宋体"/>
      <w:kern w:val="2"/>
      <w:sz w:val="28"/>
      <w:szCs w:val="28"/>
      <w:lang w:val="en-US" w:eastAsia="zh-CN" w:bidi="ar-SA"/>
    </w:rPr>
  </w:style>
  <w:style w:type="paragraph" w:customStyle="1" w:styleId="193">
    <w:name w:val="bhq正文"/>
    <w:basedOn w:val="1"/>
    <w:link w:val="192"/>
    <w:semiHidden/>
    <w:qFormat/>
    <w:uiPriority w:val="0"/>
    <w:pPr>
      <w:wordWrap w:val="0"/>
      <w:adjustRightInd w:val="0"/>
      <w:snapToGrid w:val="0"/>
      <w:spacing w:line="360" w:lineRule="auto"/>
      <w:ind w:firstLine="560" w:firstLineChars="200"/>
    </w:pPr>
    <w:rPr>
      <w:sz w:val="28"/>
      <w:szCs w:val="28"/>
    </w:rPr>
  </w:style>
  <w:style w:type="character" w:customStyle="1" w:styleId="194">
    <w:name w:val="样式 表右齐 + Char"/>
    <w:basedOn w:val="195"/>
    <w:link w:val="196"/>
    <w:qFormat/>
    <w:uiPriority w:val="0"/>
    <w:rPr>
      <w:rFonts w:ascii="仿宋_GB2312" w:hAnsi="宋体" w:eastAsia="宋体" w:cs="宋体"/>
      <w:kern w:val="18"/>
      <w:sz w:val="24"/>
      <w:szCs w:val="24"/>
      <w:shd w:val="clear" w:color="auto" w:fill="FFFFFF"/>
      <w:lang w:val="en-US" w:eastAsia="zh-CN" w:bidi="ar-SA"/>
    </w:rPr>
  </w:style>
  <w:style w:type="character" w:customStyle="1" w:styleId="195">
    <w:name w:val="表右齐 Char"/>
    <w:semiHidden/>
    <w:qFormat/>
    <w:uiPriority w:val="0"/>
    <w:rPr>
      <w:rFonts w:ascii="仿宋_GB2312" w:hAnsi="宋体" w:eastAsia="宋体" w:cs="宋体"/>
      <w:kern w:val="18"/>
      <w:sz w:val="24"/>
      <w:szCs w:val="24"/>
      <w:shd w:val="clear" w:color="auto" w:fill="FFFFFF"/>
      <w:lang w:val="en-US" w:eastAsia="zh-CN" w:bidi="ar-SA"/>
    </w:rPr>
  </w:style>
  <w:style w:type="paragraph" w:customStyle="1" w:styleId="196">
    <w:name w:val="样式 表右齐 +"/>
    <w:basedOn w:val="197"/>
    <w:link w:val="194"/>
    <w:semiHidden/>
    <w:qFormat/>
    <w:uiPriority w:val="0"/>
    <w:pPr>
      <w:wordWrap/>
      <w:spacing w:line="240" w:lineRule="auto"/>
      <w:ind w:left="-54" w:leftChars="-23" w:right="22" w:rightChars="8" w:hanging="1"/>
      <w:jc w:val="left"/>
    </w:pPr>
    <w:rPr>
      <w:rFonts w:ascii="仿宋_GB2312" w:cs="宋体"/>
      <w:kern w:val="18"/>
      <w:shd w:val="clear" w:color="auto" w:fill="FFFFFF"/>
      <w:lang w:val="en-US"/>
    </w:rPr>
  </w:style>
  <w:style w:type="paragraph" w:customStyle="1" w:styleId="197">
    <w:name w:val="表右齐"/>
    <w:basedOn w:val="182"/>
    <w:next w:val="1"/>
    <w:link w:val="198"/>
    <w:semiHidden/>
    <w:qFormat/>
    <w:uiPriority w:val="0"/>
    <w:pPr>
      <w:adjustRightInd w:val="0"/>
      <w:ind w:right="140" w:rightChars="50"/>
      <w:jc w:val="right"/>
    </w:pPr>
    <w:rPr>
      <w:rFonts w:ascii="宋体" w:hAnsi="宋体"/>
      <w:szCs w:val="24"/>
      <w:lang w:val="zh-CN"/>
    </w:rPr>
  </w:style>
  <w:style w:type="character" w:customStyle="1" w:styleId="198">
    <w:name w:val="表右齐 Char Char"/>
    <w:link w:val="197"/>
    <w:qFormat/>
    <w:uiPriority w:val="0"/>
    <w:rPr>
      <w:rFonts w:ascii="宋体" w:hAnsi="宋体" w:eastAsia="宋体"/>
      <w:kern w:val="2"/>
      <w:sz w:val="24"/>
      <w:szCs w:val="24"/>
      <w:lang w:val="zh-CN" w:eastAsia="zh-CN" w:bidi="ar-SA"/>
    </w:rPr>
  </w:style>
  <w:style w:type="character" w:customStyle="1" w:styleId="199">
    <w:name w:val="文本 Char"/>
    <w:link w:val="200"/>
    <w:qFormat/>
    <w:uiPriority w:val="0"/>
    <w:rPr>
      <w:rFonts w:ascii="宋体" w:hAnsi="宋体" w:eastAsia="宋体" w:cs="宋体"/>
      <w:sz w:val="28"/>
      <w:lang w:val="de-DE" w:eastAsia="zh-CN" w:bidi="ar-SA"/>
    </w:rPr>
  </w:style>
  <w:style w:type="paragraph" w:customStyle="1" w:styleId="200">
    <w:name w:val="文本"/>
    <w:basedOn w:val="1"/>
    <w:link w:val="199"/>
    <w:semiHidden/>
    <w:qFormat/>
    <w:uiPriority w:val="0"/>
    <w:pPr>
      <w:wordWrap w:val="0"/>
      <w:spacing w:line="200" w:lineRule="atLeast"/>
      <w:ind w:firstLine="560" w:firstLineChars="200"/>
    </w:pPr>
    <w:rPr>
      <w:rFonts w:ascii="宋体" w:hAnsi="宋体" w:cs="宋体"/>
      <w:kern w:val="0"/>
      <w:sz w:val="28"/>
      <w:szCs w:val="20"/>
      <w:lang w:val="de-DE"/>
    </w:rPr>
  </w:style>
  <w:style w:type="character" w:customStyle="1" w:styleId="201">
    <w:name w:val="表头中齐 Char"/>
    <w:link w:val="202"/>
    <w:qFormat/>
    <w:uiPriority w:val="0"/>
    <w:rPr>
      <w:rFonts w:ascii="仿宋_GB2312"/>
      <w:b/>
      <w:bCs/>
      <w:color w:val="000000"/>
      <w:kern w:val="2"/>
      <w:sz w:val="24"/>
      <w:szCs w:val="28"/>
      <w:lang w:bidi="ar-SA"/>
    </w:rPr>
  </w:style>
  <w:style w:type="paragraph" w:customStyle="1" w:styleId="202">
    <w:name w:val="表头中齐"/>
    <w:basedOn w:val="1"/>
    <w:link w:val="201"/>
    <w:semiHidden/>
    <w:qFormat/>
    <w:uiPriority w:val="0"/>
    <w:pPr>
      <w:wordWrap w:val="0"/>
      <w:snapToGrid w:val="0"/>
      <w:spacing w:line="440" w:lineRule="exact"/>
      <w:ind w:firstLine="470" w:firstLineChars="196"/>
    </w:pPr>
    <w:rPr>
      <w:rFonts w:ascii="仿宋_GB2312"/>
      <w:b/>
      <w:bCs/>
      <w:color w:val="000000"/>
      <w:szCs w:val="28"/>
      <w:lang w:val="zh-CN"/>
    </w:rPr>
  </w:style>
  <w:style w:type="character" w:customStyle="1" w:styleId="203">
    <w:name w:val="华阳 Char"/>
    <w:link w:val="204"/>
    <w:qFormat/>
    <w:uiPriority w:val="0"/>
    <w:rPr>
      <w:rFonts w:ascii="宋体"/>
      <w:color w:val="000000"/>
      <w:kern w:val="2"/>
      <w:sz w:val="28"/>
      <w:lang w:bidi="ar-SA"/>
    </w:rPr>
  </w:style>
  <w:style w:type="paragraph" w:customStyle="1" w:styleId="204">
    <w:name w:val="华阳"/>
    <w:basedOn w:val="1"/>
    <w:link w:val="203"/>
    <w:semiHidden/>
    <w:qFormat/>
    <w:uiPriority w:val="0"/>
    <w:pPr>
      <w:wordWrap w:val="0"/>
      <w:spacing w:line="360" w:lineRule="auto"/>
      <w:ind w:firstLine="200" w:firstLineChars="200"/>
    </w:pPr>
    <w:rPr>
      <w:rFonts w:ascii="宋体"/>
      <w:color w:val="000000"/>
      <w:sz w:val="28"/>
      <w:szCs w:val="20"/>
      <w:lang w:val="zh-CN"/>
    </w:rPr>
  </w:style>
  <w:style w:type="character" w:customStyle="1" w:styleId="205">
    <w:name w:val="表格样式 Char"/>
    <w:link w:val="206"/>
    <w:qFormat/>
    <w:uiPriority w:val="0"/>
    <w:rPr>
      <w:rFonts w:eastAsia="宋体" w:cs="宋体"/>
      <w:kern w:val="2"/>
      <w:sz w:val="28"/>
      <w:szCs w:val="28"/>
      <w:lang w:val="en-US" w:eastAsia="zh-CN" w:bidi="ar-SA"/>
    </w:rPr>
  </w:style>
  <w:style w:type="paragraph" w:customStyle="1" w:styleId="206">
    <w:name w:val="表格样式"/>
    <w:basedOn w:val="187"/>
    <w:link w:val="205"/>
    <w:semiHidden/>
    <w:qFormat/>
    <w:uiPriority w:val="0"/>
    <w:pPr>
      <w:adjustRightInd w:val="0"/>
      <w:spacing w:line="240" w:lineRule="auto"/>
    </w:pPr>
    <w:rPr>
      <w:rFonts w:eastAsia="宋体"/>
      <w:sz w:val="28"/>
      <w:szCs w:val="28"/>
    </w:rPr>
  </w:style>
  <w:style w:type="character" w:customStyle="1" w:styleId="207">
    <w:name w:val="表格左起 Char Char"/>
    <w:link w:val="208"/>
    <w:qFormat/>
    <w:uiPriority w:val="0"/>
    <w:rPr>
      <w:sz w:val="24"/>
      <w:lang w:bidi="ar-SA"/>
    </w:rPr>
  </w:style>
  <w:style w:type="paragraph" w:customStyle="1" w:styleId="208">
    <w:name w:val="表格左起"/>
    <w:basedOn w:val="1"/>
    <w:link w:val="207"/>
    <w:semiHidden/>
    <w:qFormat/>
    <w:uiPriority w:val="0"/>
    <w:pPr>
      <w:wordWrap w:val="0"/>
      <w:adjustRightInd w:val="0"/>
      <w:spacing w:line="240" w:lineRule="exact"/>
      <w:ind w:firstLine="34"/>
      <w:jc w:val="left"/>
      <w:textAlignment w:val="baseline"/>
    </w:pPr>
    <w:rPr>
      <w:kern w:val="0"/>
      <w:szCs w:val="20"/>
      <w:lang w:val="zh-CN"/>
    </w:rPr>
  </w:style>
  <w:style w:type="character" w:customStyle="1" w:styleId="209">
    <w:name w:val="样式 正文缩进正文（首行缩进两字） + 宋体 四号 Char"/>
    <w:link w:val="210"/>
    <w:qFormat/>
    <w:uiPriority w:val="0"/>
    <w:rPr>
      <w:rFonts w:ascii="宋体" w:hAnsi="宋体"/>
      <w:kern w:val="2"/>
      <w:sz w:val="28"/>
      <w:lang w:bidi="ar-SA"/>
    </w:rPr>
  </w:style>
  <w:style w:type="paragraph" w:customStyle="1" w:styleId="210">
    <w:name w:val="样式 正文缩进正文（首行缩进两字） + 宋体 四号"/>
    <w:basedOn w:val="4"/>
    <w:link w:val="209"/>
    <w:semiHidden/>
    <w:qFormat/>
    <w:uiPriority w:val="0"/>
    <w:pPr>
      <w:wordWrap w:val="0"/>
      <w:ind w:firstLine="200"/>
    </w:pPr>
    <w:rPr>
      <w:rFonts w:ascii="宋体" w:hAnsi="宋体"/>
      <w:sz w:val="28"/>
      <w:szCs w:val="20"/>
      <w:lang w:val="zh-CN"/>
    </w:rPr>
  </w:style>
  <w:style w:type="character" w:customStyle="1" w:styleId="211">
    <w:name w:val="公式 Char"/>
    <w:link w:val="212"/>
    <w:qFormat/>
    <w:uiPriority w:val="0"/>
    <w:rPr>
      <w:rFonts w:ascii="华文中宋"/>
      <w:kern w:val="2"/>
      <w:sz w:val="24"/>
      <w:lang w:bidi="ar-SA"/>
    </w:rPr>
  </w:style>
  <w:style w:type="paragraph" w:customStyle="1" w:styleId="212">
    <w:name w:val="公式"/>
    <w:basedOn w:val="1"/>
    <w:next w:val="1"/>
    <w:link w:val="211"/>
    <w:semiHidden/>
    <w:qFormat/>
    <w:uiPriority w:val="0"/>
    <w:pPr>
      <w:wordWrap w:val="0"/>
      <w:spacing w:afterLines="50" w:line="360" w:lineRule="auto"/>
      <w:ind w:left="737" w:firstLine="480" w:firstLineChars="200"/>
    </w:pPr>
    <w:rPr>
      <w:rFonts w:ascii="华文中宋"/>
      <w:szCs w:val="20"/>
      <w:lang w:val="zh-CN"/>
    </w:rPr>
  </w:style>
  <w:style w:type="character" w:customStyle="1" w:styleId="213">
    <w:name w:val="Char Char11"/>
    <w:basedOn w:val="158"/>
    <w:semiHidden/>
    <w:qFormat/>
    <w:uiPriority w:val="0"/>
    <w:rPr>
      <w:kern w:val="2"/>
      <w:sz w:val="28"/>
      <w:szCs w:val="28"/>
      <w:lang w:bidi="ar-SA"/>
    </w:rPr>
  </w:style>
  <w:style w:type="character" w:customStyle="1" w:styleId="214">
    <w:name w:val="图表眉脚 Char"/>
    <w:link w:val="215"/>
    <w:qFormat/>
    <w:uiPriority w:val="0"/>
    <w:rPr>
      <w:rFonts w:ascii="华文中宋" w:eastAsia="新宋体"/>
      <w:kern w:val="2"/>
      <w:sz w:val="18"/>
      <w:lang w:bidi="ar-SA"/>
    </w:rPr>
  </w:style>
  <w:style w:type="paragraph" w:customStyle="1" w:styleId="215">
    <w:name w:val="图表眉脚"/>
    <w:basedOn w:val="30"/>
    <w:link w:val="214"/>
    <w:semiHidden/>
    <w:qFormat/>
    <w:uiPriority w:val="0"/>
    <w:pPr>
      <w:tabs>
        <w:tab w:val="right" w:pos="9072"/>
      </w:tabs>
      <w:wordWrap w:val="0"/>
      <w:spacing w:afterLines="50" w:line="180" w:lineRule="atLeast"/>
      <w:ind w:firstLine="360" w:firstLineChars="200"/>
    </w:pPr>
    <w:rPr>
      <w:rFonts w:ascii="华文中宋" w:eastAsia="新宋体"/>
      <w:sz w:val="18"/>
      <w:lang w:val="zh-CN"/>
    </w:rPr>
  </w:style>
  <w:style w:type="character" w:customStyle="1" w:styleId="216">
    <w:name w:val="段落 Char Char"/>
    <w:link w:val="217"/>
    <w:qFormat/>
    <w:uiPriority w:val="0"/>
    <w:rPr>
      <w:kern w:val="2"/>
      <w:sz w:val="24"/>
      <w:szCs w:val="28"/>
      <w:lang w:bidi="ar-SA"/>
    </w:rPr>
  </w:style>
  <w:style w:type="paragraph" w:customStyle="1" w:styleId="217">
    <w:name w:val="段落 Char"/>
    <w:basedOn w:val="1"/>
    <w:link w:val="216"/>
    <w:semiHidden/>
    <w:qFormat/>
    <w:uiPriority w:val="0"/>
    <w:pPr>
      <w:wordWrap w:val="0"/>
      <w:topLinePunct/>
      <w:snapToGrid w:val="0"/>
      <w:spacing w:line="360" w:lineRule="auto"/>
      <w:ind w:firstLine="200" w:firstLineChars="200"/>
    </w:pPr>
    <w:rPr>
      <w:szCs w:val="28"/>
      <w:lang w:val="zh-CN"/>
    </w:rPr>
  </w:style>
  <w:style w:type="character" w:customStyle="1" w:styleId="218">
    <w:name w:val="样式 标题 2节第一章 标题 2Heading 2 HiddenHeading 2 CCBSheading 2H2... Char"/>
    <w:link w:val="219"/>
    <w:qFormat/>
    <w:uiPriority w:val="0"/>
    <w:rPr>
      <w:rFonts w:ascii="宋体" w:hAnsi="宋体" w:eastAsia="宋体"/>
      <w:b/>
      <w:bCs/>
      <w:kern w:val="2"/>
      <w:sz w:val="24"/>
      <w:szCs w:val="24"/>
      <w:lang w:val="en-US" w:eastAsia="zh-CN" w:bidi="ar-SA"/>
    </w:rPr>
  </w:style>
  <w:style w:type="paragraph" w:customStyle="1" w:styleId="219">
    <w:name w:val="样式 标题 2节第一章 标题 2Heading 2 HiddenHeading 2 CCBSheading 2H2..."/>
    <w:basedOn w:val="3"/>
    <w:link w:val="218"/>
    <w:semiHidden/>
    <w:qFormat/>
    <w:uiPriority w:val="0"/>
    <w:pPr>
      <w:numPr>
        <w:ilvl w:val="0"/>
        <w:numId w:val="0"/>
      </w:numPr>
      <w:tabs>
        <w:tab w:val="left" w:pos="1080"/>
      </w:tabs>
      <w:wordWrap w:val="0"/>
      <w:adjustRightInd w:val="0"/>
      <w:snapToGrid w:val="0"/>
      <w:spacing w:beforeLines="50" w:after="0" w:line="480" w:lineRule="exact"/>
      <w:ind w:left="240" w:right="280" w:rightChars="100" w:hanging="240" w:hangingChars="100"/>
    </w:pPr>
    <w:rPr>
      <w:rFonts w:ascii="宋体" w:hAnsi="宋体" w:eastAsia="宋体"/>
      <w:bCs/>
      <w:snapToGrid/>
      <w:kern w:val="2"/>
      <w:sz w:val="24"/>
    </w:rPr>
  </w:style>
  <w:style w:type="character" w:customStyle="1" w:styleId="220">
    <w:name w:val="样式 表格 + 五号1 Char"/>
    <w:basedOn w:val="188"/>
    <w:link w:val="221"/>
    <w:qFormat/>
    <w:uiPriority w:val="0"/>
    <w:rPr>
      <w:sz w:val="24"/>
      <w:lang w:bidi="ar-SA"/>
    </w:rPr>
  </w:style>
  <w:style w:type="paragraph" w:customStyle="1" w:styleId="221">
    <w:name w:val="样式 表格 + 五号1"/>
    <w:basedOn w:val="189"/>
    <w:link w:val="220"/>
    <w:semiHidden/>
    <w:qFormat/>
    <w:uiPriority w:val="0"/>
  </w:style>
  <w:style w:type="character" w:customStyle="1" w:styleId="222">
    <w:name w:val="正文中齐 Char"/>
    <w:link w:val="223"/>
    <w:qFormat/>
    <w:uiPriority w:val="0"/>
    <w:rPr>
      <w:rFonts w:ascii="宋体" w:hAnsi="宋体"/>
      <w:color w:val="000000"/>
      <w:sz w:val="24"/>
      <w:szCs w:val="21"/>
      <w:lang w:bidi="ar-SA"/>
    </w:rPr>
  </w:style>
  <w:style w:type="paragraph" w:customStyle="1" w:styleId="223">
    <w:name w:val="正文中齐"/>
    <w:basedOn w:val="1"/>
    <w:link w:val="222"/>
    <w:semiHidden/>
    <w:qFormat/>
    <w:uiPriority w:val="0"/>
    <w:pPr>
      <w:wordWrap w:val="0"/>
      <w:adjustRightInd w:val="0"/>
      <w:jc w:val="center"/>
      <w:textAlignment w:val="baseline"/>
    </w:pPr>
    <w:rPr>
      <w:rFonts w:ascii="宋体" w:hAnsi="宋体"/>
      <w:color w:val="000000"/>
      <w:kern w:val="0"/>
      <w:szCs w:val="21"/>
      <w:lang w:val="zh-CN"/>
    </w:rPr>
  </w:style>
  <w:style w:type="character" w:customStyle="1" w:styleId="224">
    <w:name w:val="中等深浅网格 2 Char"/>
    <w:link w:val="225"/>
    <w:qFormat/>
    <w:uiPriority w:val="0"/>
    <w:rPr>
      <w:rFonts w:ascii="Calibri" w:hAnsi="Calibri" w:eastAsia="Times New Roman"/>
      <w:sz w:val="24"/>
      <w:szCs w:val="22"/>
      <w:lang w:val="en-US" w:eastAsia="zh-CN" w:bidi="ar-SA"/>
    </w:rPr>
  </w:style>
  <w:style w:type="paragraph" w:customStyle="1" w:styleId="225">
    <w:name w:val="中等深浅网格 21"/>
    <w:link w:val="224"/>
    <w:qFormat/>
    <w:uiPriority w:val="0"/>
    <w:pPr>
      <w:adjustRightInd w:val="0"/>
      <w:snapToGrid w:val="0"/>
      <w:spacing w:line="240" w:lineRule="atLeast"/>
    </w:pPr>
    <w:rPr>
      <w:rFonts w:ascii="Calibri" w:hAnsi="Calibri" w:eastAsia="Times New Roman" w:cs="Times New Roman"/>
      <w:sz w:val="24"/>
      <w:szCs w:val="22"/>
      <w:lang w:val="en-US" w:eastAsia="zh-CN" w:bidi="ar-SA"/>
    </w:rPr>
  </w:style>
  <w:style w:type="character" w:customStyle="1" w:styleId="226">
    <w:name w:val="样式 表左齐 + 宋体 Char"/>
    <w:link w:val="227"/>
    <w:qFormat/>
    <w:uiPriority w:val="0"/>
    <w:rPr>
      <w:rFonts w:ascii="宋体" w:hAnsi="宋体" w:eastAsia="宋体"/>
      <w:kern w:val="18"/>
      <w:sz w:val="24"/>
      <w:szCs w:val="24"/>
      <w:lang w:val="en-US" w:eastAsia="zh-CN" w:bidi="ar-SA"/>
    </w:rPr>
  </w:style>
  <w:style w:type="paragraph" w:customStyle="1" w:styleId="227">
    <w:name w:val="样式 表左齐 + 宋体"/>
    <w:basedOn w:val="182"/>
    <w:link w:val="226"/>
    <w:semiHidden/>
    <w:qFormat/>
    <w:uiPriority w:val="0"/>
    <w:pPr>
      <w:adjustRightInd w:val="0"/>
      <w:spacing w:line="240" w:lineRule="auto"/>
    </w:pPr>
    <w:rPr>
      <w:rFonts w:ascii="宋体" w:hAnsi="宋体"/>
      <w:kern w:val="18"/>
      <w:szCs w:val="24"/>
    </w:rPr>
  </w:style>
  <w:style w:type="character" w:customStyle="1" w:styleId="228">
    <w:name w:val="Char Char7"/>
    <w:semiHidden/>
    <w:qFormat/>
    <w:uiPriority w:val="0"/>
    <w:rPr>
      <w:rFonts w:eastAsia="宋体"/>
      <w:kern w:val="2"/>
      <w:sz w:val="28"/>
      <w:szCs w:val="28"/>
      <w:lang w:val="en-US" w:eastAsia="zh-CN" w:bidi="ar-SA"/>
    </w:rPr>
  </w:style>
  <w:style w:type="character" w:customStyle="1" w:styleId="229">
    <w:name w:val="题注表 Char"/>
    <w:link w:val="230"/>
    <w:semiHidden/>
    <w:qFormat/>
    <w:uiPriority w:val="0"/>
    <w:rPr>
      <w:rFonts w:ascii="幼圆" w:hAnsi="Arial" w:eastAsia="幼圆" w:cs="Arial"/>
      <w:kern w:val="2"/>
      <w:sz w:val="28"/>
      <w:szCs w:val="24"/>
      <w:lang w:val="en-US" w:eastAsia="zh-CN" w:bidi="ar-SA"/>
    </w:rPr>
  </w:style>
  <w:style w:type="paragraph" w:customStyle="1" w:styleId="230">
    <w:name w:val="题注表"/>
    <w:link w:val="229"/>
    <w:semiHidden/>
    <w:qFormat/>
    <w:uiPriority w:val="0"/>
    <w:pPr>
      <w:keepNext/>
      <w:jc w:val="center"/>
    </w:pPr>
    <w:rPr>
      <w:rFonts w:ascii="幼圆" w:hAnsi="Arial" w:eastAsia="幼圆" w:cs="Arial"/>
      <w:kern w:val="2"/>
      <w:sz w:val="28"/>
      <w:szCs w:val="24"/>
      <w:lang w:val="en-US" w:eastAsia="zh-CN" w:bidi="ar-SA"/>
    </w:rPr>
  </w:style>
  <w:style w:type="character" w:customStyle="1" w:styleId="231">
    <w:name w:val="图表眉脚 Char Char Char Char"/>
    <w:link w:val="232"/>
    <w:qFormat/>
    <w:uiPriority w:val="0"/>
    <w:rPr>
      <w:rFonts w:ascii="华文中宋" w:eastAsia="新宋体"/>
      <w:sz w:val="18"/>
      <w:szCs w:val="24"/>
      <w:lang w:bidi="ar-SA"/>
    </w:rPr>
  </w:style>
  <w:style w:type="paragraph" w:customStyle="1" w:styleId="232">
    <w:name w:val="图表眉脚 Char Char Char"/>
    <w:basedOn w:val="30"/>
    <w:link w:val="231"/>
    <w:semiHidden/>
    <w:qFormat/>
    <w:uiPriority w:val="0"/>
    <w:pPr>
      <w:tabs>
        <w:tab w:val="right" w:pos="9072"/>
      </w:tabs>
      <w:wordWrap w:val="0"/>
      <w:spacing w:afterLines="50" w:line="180" w:lineRule="atLeast"/>
      <w:ind w:firstLine="360" w:firstLineChars="200"/>
    </w:pPr>
    <w:rPr>
      <w:rFonts w:ascii="华文中宋" w:eastAsia="新宋体"/>
      <w:kern w:val="0"/>
      <w:sz w:val="18"/>
      <w:szCs w:val="24"/>
      <w:lang w:val="zh-CN"/>
    </w:rPr>
  </w:style>
  <w:style w:type="character" w:customStyle="1" w:styleId="233">
    <w:name w:val="样式 宋体 小四 Char Char Char Char"/>
    <w:link w:val="234"/>
    <w:qFormat/>
    <w:uiPriority w:val="0"/>
    <w:rPr>
      <w:rFonts w:ascii="宋体" w:hAnsi="宋体" w:eastAsia="宋体"/>
      <w:snapToGrid w:val="0"/>
      <w:sz w:val="24"/>
      <w:szCs w:val="24"/>
      <w:lang w:bidi="ar-SA"/>
    </w:rPr>
  </w:style>
  <w:style w:type="paragraph" w:customStyle="1" w:styleId="234">
    <w:name w:val="样式 宋体 小四 Char Char Char"/>
    <w:basedOn w:val="1"/>
    <w:link w:val="233"/>
    <w:semiHidden/>
    <w:qFormat/>
    <w:uiPriority w:val="0"/>
    <w:pPr>
      <w:wordWrap w:val="0"/>
      <w:spacing w:line="360" w:lineRule="auto"/>
      <w:ind w:firstLine="200" w:firstLineChars="200"/>
    </w:pPr>
    <w:rPr>
      <w:rFonts w:ascii="宋体" w:hAnsi="宋体"/>
      <w:snapToGrid w:val="0"/>
      <w:kern w:val="0"/>
      <w:lang w:val="zh-CN"/>
    </w:rPr>
  </w:style>
  <w:style w:type="character" w:customStyle="1" w:styleId="235">
    <w:name w:val="三章正文 Char Char Char Char Char"/>
    <w:link w:val="236"/>
    <w:qFormat/>
    <w:uiPriority w:val="0"/>
    <w:rPr>
      <w:rFonts w:eastAsia="宋体"/>
      <w:sz w:val="24"/>
      <w:szCs w:val="24"/>
      <w:lang w:bidi="ar-SA"/>
    </w:rPr>
  </w:style>
  <w:style w:type="paragraph" w:customStyle="1" w:styleId="236">
    <w:name w:val="三章正文 Char Char Char Char"/>
    <w:basedOn w:val="1"/>
    <w:link w:val="235"/>
    <w:semiHidden/>
    <w:qFormat/>
    <w:uiPriority w:val="0"/>
    <w:pPr>
      <w:wordWrap w:val="0"/>
      <w:spacing w:line="360" w:lineRule="auto"/>
      <w:ind w:firstLine="200" w:firstLineChars="200"/>
    </w:pPr>
    <w:rPr>
      <w:kern w:val="0"/>
      <w:lang w:val="zh-CN"/>
    </w:rPr>
  </w:style>
  <w:style w:type="character" w:customStyle="1" w:styleId="237">
    <w:name w:val="正文文字 Char Char Char Char"/>
    <w:link w:val="238"/>
    <w:qFormat/>
    <w:uiPriority w:val="0"/>
    <w:rPr>
      <w:rFonts w:ascii="华文中宋" w:eastAsia="华文中宋"/>
      <w:sz w:val="24"/>
      <w:szCs w:val="24"/>
      <w:lang w:bidi="ar-SA"/>
    </w:rPr>
  </w:style>
  <w:style w:type="paragraph" w:customStyle="1" w:styleId="238">
    <w:name w:val="正文文字 Char Char Char"/>
    <w:basedOn w:val="1"/>
    <w:link w:val="237"/>
    <w:semiHidden/>
    <w:qFormat/>
    <w:uiPriority w:val="0"/>
    <w:pPr>
      <w:wordWrap w:val="0"/>
      <w:spacing w:afterLines="50" w:line="360" w:lineRule="auto"/>
      <w:ind w:firstLine="480" w:firstLineChars="200"/>
    </w:pPr>
    <w:rPr>
      <w:rFonts w:ascii="华文中宋" w:eastAsia="华文中宋"/>
      <w:kern w:val="0"/>
      <w:lang w:val="zh-CN"/>
    </w:rPr>
  </w:style>
  <w:style w:type="character" w:customStyle="1" w:styleId="239">
    <w:name w:val="表格文字 Char Char"/>
    <w:link w:val="240"/>
    <w:qFormat/>
    <w:uiPriority w:val="0"/>
    <w:rPr>
      <w:rFonts w:ascii="宋体" w:eastAsia="宋体"/>
      <w:kern w:val="2"/>
      <w:sz w:val="21"/>
      <w:szCs w:val="24"/>
      <w:lang w:val="en-US" w:eastAsia="zh-CN" w:bidi="ar-SA"/>
    </w:rPr>
  </w:style>
  <w:style w:type="paragraph" w:customStyle="1" w:styleId="240">
    <w:name w:val="表格文字 Char"/>
    <w:basedOn w:val="1"/>
    <w:link w:val="239"/>
    <w:semiHidden/>
    <w:qFormat/>
    <w:uiPriority w:val="0"/>
    <w:pPr>
      <w:wordWrap w:val="0"/>
      <w:jc w:val="center"/>
    </w:pPr>
    <w:rPr>
      <w:rFonts w:ascii="宋体"/>
      <w:sz w:val="21"/>
    </w:rPr>
  </w:style>
  <w:style w:type="character" w:customStyle="1" w:styleId="241">
    <w:name w:val="表格内容 Char"/>
    <w:link w:val="242"/>
    <w:qFormat/>
    <w:uiPriority w:val="0"/>
    <w:rPr>
      <w:rFonts w:eastAsia="宋体"/>
      <w:color w:val="000000"/>
      <w:spacing w:val="-10"/>
      <w:sz w:val="21"/>
      <w:szCs w:val="21"/>
      <w:lang w:val="en-US" w:eastAsia="zh-CN" w:bidi="ar-SA"/>
    </w:rPr>
  </w:style>
  <w:style w:type="paragraph" w:customStyle="1" w:styleId="242">
    <w:name w:val="表格内容"/>
    <w:basedOn w:val="1"/>
    <w:link w:val="241"/>
    <w:semiHidden/>
    <w:qFormat/>
    <w:uiPriority w:val="0"/>
    <w:pPr>
      <w:tabs>
        <w:tab w:val="left" w:pos="1535"/>
        <w:tab w:val="left" w:pos="3105"/>
        <w:tab w:val="left" w:pos="4676"/>
        <w:tab w:val="left" w:pos="6247"/>
        <w:tab w:val="left" w:pos="7740"/>
        <w:tab w:val="left" w:pos="9288"/>
      </w:tabs>
      <w:wordWrap w:val="0"/>
      <w:adjustRightInd w:val="0"/>
      <w:snapToGrid w:val="0"/>
      <w:ind w:left="120" w:leftChars="50"/>
      <w:jc w:val="center"/>
      <w:textAlignment w:val="baseline"/>
    </w:pPr>
    <w:rPr>
      <w:color w:val="000000"/>
      <w:spacing w:val="-10"/>
      <w:kern w:val="0"/>
      <w:sz w:val="21"/>
      <w:szCs w:val="21"/>
    </w:rPr>
  </w:style>
  <w:style w:type="character" w:customStyle="1" w:styleId="243">
    <w:name w:val="公式 Char Char Char Char"/>
    <w:link w:val="244"/>
    <w:qFormat/>
    <w:uiPriority w:val="0"/>
    <w:rPr>
      <w:rFonts w:ascii="华文中宋" w:eastAsia="宋体"/>
      <w:sz w:val="24"/>
      <w:szCs w:val="24"/>
      <w:lang w:bidi="ar-SA"/>
    </w:rPr>
  </w:style>
  <w:style w:type="paragraph" w:customStyle="1" w:styleId="244">
    <w:name w:val="公式 Char Char Char"/>
    <w:basedOn w:val="1"/>
    <w:next w:val="1"/>
    <w:link w:val="243"/>
    <w:semiHidden/>
    <w:qFormat/>
    <w:uiPriority w:val="0"/>
    <w:pPr>
      <w:wordWrap w:val="0"/>
      <w:spacing w:afterLines="50" w:line="360" w:lineRule="auto"/>
      <w:ind w:left="737" w:firstLine="480" w:firstLineChars="200"/>
    </w:pPr>
    <w:rPr>
      <w:rFonts w:ascii="华文中宋"/>
      <w:kern w:val="0"/>
      <w:lang w:val="zh-CN"/>
    </w:rPr>
  </w:style>
  <w:style w:type="character" w:customStyle="1" w:styleId="245">
    <w:name w:val="表格题目 Char Char"/>
    <w:link w:val="246"/>
    <w:qFormat/>
    <w:uiPriority w:val="0"/>
    <w:rPr>
      <w:rFonts w:ascii="宋体" w:hAnsi="宋体" w:eastAsia="宋体"/>
      <w:sz w:val="28"/>
      <w:szCs w:val="28"/>
      <w:lang w:bidi="ar-SA"/>
    </w:rPr>
  </w:style>
  <w:style w:type="paragraph" w:customStyle="1" w:styleId="246">
    <w:name w:val="表格题目 Char"/>
    <w:basedOn w:val="1"/>
    <w:link w:val="245"/>
    <w:semiHidden/>
    <w:qFormat/>
    <w:uiPriority w:val="0"/>
    <w:pPr>
      <w:wordWrap w:val="0"/>
      <w:adjustRightInd w:val="0"/>
      <w:spacing w:before="120" w:after="60" w:line="360" w:lineRule="auto"/>
      <w:ind w:right="477" w:firstLine="2931" w:firstLineChars="980"/>
      <w:textAlignment w:val="baseline"/>
    </w:pPr>
    <w:rPr>
      <w:rFonts w:ascii="宋体" w:hAnsi="宋体"/>
      <w:kern w:val="0"/>
      <w:sz w:val="28"/>
      <w:szCs w:val="28"/>
      <w:lang w:val="zh-CN"/>
    </w:rPr>
  </w:style>
  <w:style w:type="character" w:customStyle="1" w:styleId="247">
    <w:name w:val="D文本 Char"/>
    <w:link w:val="248"/>
    <w:qFormat/>
    <w:uiPriority w:val="0"/>
    <w:rPr>
      <w:rFonts w:eastAsia="宋体"/>
      <w:sz w:val="24"/>
      <w:lang w:bidi="en-US"/>
    </w:rPr>
  </w:style>
  <w:style w:type="paragraph" w:customStyle="1" w:styleId="248">
    <w:name w:val="D文本"/>
    <w:basedOn w:val="1"/>
    <w:link w:val="247"/>
    <w:semiHidden/>
    <w:qFormat/>
    <w:uiPriority w:val="0"/>
    <w:pPr>
      <w:widowControl/>
      <w:wordWrap w:val="0"/>
      <w:spacing w:beforeLines="50" w:afterLines="50" w:line="360" w:lineRule="auto"/>
      <w:ind w:firstLine="200" w:firstLineChars="200"/>
      <w:jc w:val="left"/>
    </w:pPr>
    <w:rPr>
      <w:kern w:val="0"/>
      <w:szCs w:val="20"/>
      <w:lang w:val="zh-CN" w:bidi="en-US"/>
    </w:rPr>
  </w:style>
  <w:style w:type="character" w:customStyle="1" w:styleId="249">
    <w:name w:val="T图表 Char"/>
    <w:link w:val="250"/>
    <w:qFormat/>
    <w:uiPriority w:val="0"/>
    <w:rPr>
      <w:rFonts w:eastAsia="宋体"/>
      <w:iCs/>
      <w:sz w:val="21"/>
      <w:lang w:eastAsia="en-US" w:bidi="en-US"/>
    </w:rPr>
  </w:style>
  <w:style w:type="paragraph" w:customStyle="1" w:styleId="250">
    <w:name w:val="T图表"/>
    <w:basedOn w:val="1"/>
    <w:link w:val="249"/>
    <w:semiHidden/>
    <w:qFormat/>
    <w:uiPriority w:val="0"/>
    <w:pPr>
      <w:widowControl/>
      <w:wordWrap w:val="0"/>
      <w:jc w:val="center"/>
    </w:pPr>
    <w:rPr>
      <w:iCs/>
      <w:kern w:val="0"/>
      <w:sz w:val="21"/>
      <w:szCs w:val="20"/>
      <w:lang w:val="zh-CN" w:eastAsia="en-US" w:bidi="en-US"/>
    </w:rPr>
  </w:style>
  <w:style w:type="paragraph" w:customStyle="1" w:styleId="251">
    <w:name w:val="正文 New New New New New New New New New New New New New New New"/>
    <w:semiHidden/>
    <w:qFormat/>
    <w:uiPriority w:val="0"/>
    <w:pPr>
      <w:widowControl w:val="0"/>
      <w:jc w:val="both"/>
    </w:pPr>
    <w:rPr>
      <w:rFonts w:ascii="Calibri" w:hAnsi="Calibri" w:eastAsia="宋体" w:cs="Times New Roman"/>
      <w:kern w:val="2"/>
      <w:sz w:val="21"/>
      <w:lang w:val="en-US" w:eastAsia="zh-CN" w:bidi="ar-SA"/>
    </w:rPr>
  </w:style>
  <w:style w:type="paragraph" w:customStyle="1" w:styleId="252">
    <w:name w:val="彩色列表 - 强调文字颜色 111"/>
    <w:basedOn w:val="1"/>
    <w:qFormat/>
    <w:uiPriority w:val="0"/>
    <w:pPr>
      <w:wordWrap w:val="0"/>
      <w:ind w:firstLine="420" w:firstLineChars="200"/>
    </w:pPr>
    <w:rPr>
      <w:rFonts w:ascii="Calibri" w:hAnsi="Calibri"/>
      <w:sz w:val="21"/>
      <w:szCs w:val="22"/>
    </w:rPr>
  </w:style>
  <w:style w:type="paragraph" w:customStyle="1" w:styleId="253">
    <w:name w:val="正文 New New"/>
    <w:semiHidden/>
    <w:qFormat/>
    <w:uiPriority w:val="0"/>
    <w:pPr>
      <w:widowControl w:val="0"/>
      <w:jc w:val="both"/>
    </w:pPr>
    <w:rPr>
      <w:rFonts w:ascii="Calibri" w:hAnsi="Calibri" w:eastAsia="宋体" w:cs="Times New Roman"/>
      <w:kern w:val="2"/>
      <w:sz w:val="21"/>
      <w:lang w:val="en-US" w:eastAsia="zh-CN" w:bidi="ar-SA"/>
    </w:rPr>
  </w:style>
  <w:style w:type="paragraph" w:customStyle="1" w:styleId="254">
    <w:name w:val="p0"/>
    <w:basedOn w:val="1"/>
    <w:qFormat/>
    <w:uiPriority w:val="0"/>
    <w:pPr>
      <w:widowControl/>
      <w:wordWrap w:val="0"/>
    </w:pPr>
    <w:rPr>
      <w:kern w:val="0"/>
      <w:sz w:val="21"/>
      <w:szCs w:val="21"/>
    </w:rPr>
  </w:style>
  <w:style w:type="paragraph" w:customStyle="1" w:styleId="255">
    <w:name w:val="Char11"/>
    <w:basedOn w:val="1"/>
    <w:semiHidden/>
    <w:qFormat/>
    <w:uiPriority w:val="0"/>
    <w:pPr>
      <w:wordWrap w:val="0"/>
    </w:pPr>
    <w:rPr>
      <w:sz w:val="28"/>
      <w:szCs w:val="28"/>
    </w:rPr>
  </w:style>
  <w:style w:type="paragraph" w:customStyle="1" w:styleId="256">
    <w:name w:val="zw"/>
    <w:semiHidden/>
    <w:qFormat/>
    <w:uiPriority w:val="0"/>
    <w:pPr>
      <w:spacing w:line="360" w:lineRule="auto"/>
      <w:ind w:firstLine="560" w:firstLineChars="200"/>
      <w:jc w:val="both"/>
    </w:pPr>
    <w:rPr>
      <w:rFonts w:ascii="Times New Roman" w:hAnsi="Times New Roman" w:eastAsia="宋体" w:cs="Times New Roman"/>
      <w:sz w:val="28"/>
      <w:lang w:val="en-US" w:eastAsia="zh-CN" w:bidi="ar-SA"/>
    </w:rPr>
  </w:style>
  <w:style w:type="paragraph" w:customStyle="1" w:styleId="257">
    <w:name w:val="样式2"/>
    <w:basedOn w:val="2"/>
    <w:qFormat/>
    <w:uiPriority w:val="0"/>
    <w:pPr>
      <w:keepNext/>
      <w:keepLines/>
      <w:numPr>
        <w:numId w:val="0"/>
      </w:numPr>
      <w:tabs>
        <w:tab w:val="left" w:pos="1440"/>
      </w:tabs>
      <w:wordWrap w:val="0"/>
      <w:autoSpaceDE/>
      <w:autoSpaceDN/>
      <w:snapToGrid w:val="0"/>
      <w:spacing w:before="300" w:after="300" w:line="360" w:lineRule="auto"/>
      <w:ind w:firstLine="200" w:firstLineChars="200"/>
      <w:jc w:val="center"/>
    </w:pPr>
    <w:rPr>
      <w:rFonts w:ascii="宋体" w:hAnsi="宋体"/>
      <w:b/>
      <w:kern w:val="44"/>
      <w:sz w:val="36"/>
      <w:szCs w:val="36"/>
    </w:rPr>
  </w:style>
  <w:style w:type="paragraph" w:customStyle="1" w:styleId="258">
    <w:name w:val="表名"/>
    <w:basedOn w:val="1"/>
    <w:link w:val="259"/>
    <w:qFormat/>
    <w:uiPriority w:val="0"/>
    <w:pPr>
      <w:tabs>
        <w:tab w:val="left" w:pos="1350"/>
      </w:tabs>
      <w:wordWrap w:val="0"/>
      <w:autoSpaceDE w:val="0"/>
      <w:autoSpaceDN w:val="0"/>
      <w:adjustRightInd w:val="0"/>
      <w:snapToGrid w:val="0"/>
      <w:spacing w:before="234" w:after="78" w:line="320" w:lineRule="exact"/>
      <w:ind w:firstLine="241" w:firstLineChars="100"/>
      <w:jc w:val="center"/>
    </w:pPr>
    <w:rPr>
      <w:rFonts w:ascii="Arial" w:hAnsi="Arial" w:eastAsia="楷体_GB2312" w:cs="Arial"/>
      <w:b/>
      <w:szCs w:val="20"/>
      <w:shd w:val="clear" w:color="auto" w:fill="FFFFFF"/>
    </w:rPr>
  </w:style>
  <w:style w:type="character" w:customStyle="1" w:styleId="259">
    <w:name w:val="表名 Char"/>
    <w:link w:val="258"/>
    <w:qFormat/>
    <w:uiPriority w:val="0"/>
    <w:rPr>
      <w:rFonts w:ascii="Arial" w:hAnsi="Arial" w:eastAsia="楷体_GB2312" w:cs="Arial"/>
      <w:b/>
      <w:kern w:val="2"/>
      <w:sz w:val="24"/>
      <w:shd w:val="clear" w:color="auto" w:fill="FFFFFF"/>
      <w:lang w:val="en-US" w:eastAsia="zh-CN" w:bidi="ar-SA"/>
    </w:rPr>
  </w:style>
  <w:style w:type="paragraph" w:customStyle="1" w:styleId="260">
    <w:name w:val="SMEDI表内"/>
    <w:basedOn w:val="1"/>
    <w:next w:val="1"/>
    <w:semiHidden/>
    <w:qFormat/>
    <w:uiPriority w:val="0"/>
    <w:pPr>
      <w:wordWrap w:val="0"/>
      <w:spacing w:line="400" w:lineRule="atLeast"/>
      <w:jc w:val="left"/>
    </w:pPr>
    <w:rPr>
      <w:rFonts w:ascii="Calibri" w:hAnsi="Calibri"/>
      <w:szCs w:val="22"/>
    </w:rPr>
  </w:style>
  <w:style w:type="paragraph" w:customStyle="1" w:styleId="261">
    <w:name w:val="正文 New New New New New New New New New New New New New New New New"/>
    <w:semiHidden/>
    <w:qFormat/>
    <w:uiPriority w:val="0"/>
    <w:pPr>
      <w:widowControl w:val="0"/>
      <w:jc w:val="both"/>
    </w:pPr>
    <w:rPr>
      <w:rFonts w:ascii="Calibri" w:hAnsi="Calibri" w:eastAsia="宋体" w:cs="Times New Roman"/>
      <w:kern w:val="2"/>
      <w:sz w:val="28"/>
      <w:szCs w:val="24"/>
      <w:lang w:val="en-US" w:eastAsia="zh-CN" w:bidi="ar-SA"/>
    </w:rPr>
  </w:style>
  <w:style w:type="paragraph" w:customStyle="1" w:styleId="262">
    <w:name w:val="正文0"/>
    <w:basedOn w:val="257"/>
    <w:link w:val="263"/>
    <w:semiHidden/>
    <w:qFormat/>
    <w:uiPriority w:val="0"/>
    <w:pPr>
      <w:keepNext w:val="0"/>
      <w:keepLines w:val="0"/>
      <w:adjustRightInd/>
      <w:snapToGrid/>
      <w:spacing w:before="0" w:after="0" w:line="480" w:lineRule="auto"/>
      <w:jc w:val="both"/>
      <w:outlineLvl w:val="9"/>
    </w:pPr>
    <w:rPr>
      <w:rFonts w:eastAsia="宋体"/>
      <w:b w:val="0"/>
      <w:kern w:val="24"/>
      <w:sz w:val="24"/>
      <w:szCs w:val="24"/>
    </w:rPr>
  </w:style>
  <w:style w:type="character" w:customStyle="1" w:styleId="263">
    <w:name w:val="正文0 Char"/>
    <w:link w:val="262"/>
    <w:qFormat/>
    <w:uiPriority w:val="0"/>
    <w:rPr>
      <w:rFonts w:ascii="宋体" w:hAnsi="宋体" w:eastAsia="宋体"/>
      <w:kern w:val="24"/>
      <w:sz w:val="24"/>
      <w:szCs w:val="24"/>
      <w:lang w:val="en-US" w:eastAsia="zh-CN" w:bidi="ar-SA"/>
    </w:rPr>
  </w:style>
  <w:style w:type="paragraph" w:customStyle="1" w:styleId="264">
    <w:name w:val="p21"/>
    <w:basedOn w:val="1"/>
    <w:semiHidden/>
    <w:qFormat/>
    <w:uiPriority w:val="0"/>
    <w:pPr>
      <w:widowControl/>
      <w:spacing w:line="360" w:lineRule="auto"/>
      <w:ind w:firstLine="420"/>
      <w:jc w:val="center"/>
    </w:pPr>
    <w:rPr>
      <w:rFonts w:ascii="仿宋_GB2312" w:hAnsi="宋体" w:eastAsia="仿宋_GB2312" w:cs="宋体"/>
      <w:spacing w:val="-10"/>
      <w:kern w:val="0"/>
    </w:rPr>
  </w:style>
  <w:style w:type="paragraph" w:customStyle="1" w:styleId="265">
    <w:name w:val="Default"/>
    <w:qFormat/>
    <w:uiPriority w:val="0"/>
    <w:pPr>
      <w:autoSpaceDE w:val="0"/>
      <w:autoSpaceDN w:val="0"/>
      <w:adjustRightInd w:val="0"/>
    </w:pPr>
    <w:rPr>
      <w:rFonts w:ascii="宋体" w:hAnsi="Times New Roman" w:eastAsia="宋体" w:cs="宋体"/>
      <w:color w:val="000000"/>
      <w:sz w:val="24"/>
      <w:szCs w:val="24"/>
      <w:lang w:val="en-US" w:eastAsia="zh-CN" w:bidi="ar-SA"/>
    </w:rPr>
  </w:style>
  <w:style w:type="paragraph" w:customStyle="1" w:styleId="266">
    <w:name w:val="p17"/>
    <w:basedOn w:val="1"/>
    <w:semiHidden/>
    <w:qFormat/>
    <w:uiPriority w:val="0"/>
    <w:pPr>
      <w:widowControl/>
      <w:spacing w:line="300" w:lineRule="atLeast"/>
      <w:jc w:val="center"/>
    </w:pPr>
    <w:rPr>
      <w:rFonts w:ascii="宋体" w:hAnsi="宋体" w:cs="宋体"/>
      <w:spacing w:val="-10"/>
      <w:kern w:val="0"/>
    </w:rPr>
  </w:style>
  <w:style w:type="character" w:customStyle="1" w:styleId="267">
    <w:name w:val="Char Char33"/>
    <w:semiHidden/>
    <w:qFormat/>
    <w:uiPriority w:val="0"/>
    <w:rPr>
      <w:rFonts w:ascii="Arial" w:hAnsi="Arial" w:eastAsia="仿宋体" w:cs="Arial"/>
      <w:i/>
      <w:iCs/>
      <w:kern w:val="2"/>
      <w:sz w:val="18"/>
      <w:szCs w:val="18"/>
      <w:lang w:bidi="ar-SA"/>
    </w:rPr>
  </w:style>
  <w:style w:type="character" w:customStyle="1" w:styleId="268">
    <w:name w:val="表头 + 加粗"/>
    <w:semiHidden/>
    <w:qFormat/>
    <w:uiPriority w:val="0"/>
    <w:rPr>
      <w:rFonts w:eastAsia="宋体"/>
      <w:b/>
      <w:bCs/>
      <w:color w:val="auto"/>
      <w:sz w:val="28"/>
      <w:szCs w:val="28"/>
    </w:rPr>
  </w:style>
  <w:style w:type="character" w:customStyle="1" w:styleId="269">
    <w:name w:val="China3 Char"/>
    <w:semiHidden/>
    <w:qFormat/>
    <w:uiPriority w:val="0"/>
    <w:rPr>
      <w:rFonts w:ascii="Times New Roman" w:hAnsi="Times New Roman" w:eastAsia="宋体" w:cs="Times New Roman"/>
      <w:b/>
      <w:bCs/>
      <w:sz w:val="32"/>
      <w:szCs w:val="32"/>
    </w:rPr>
  </w:style>
  <w:style w:type="character" w:customStyle="1" w:styleId="270">
    <w:name w:val="正文缩进1 Char Char"/>
    <w:semiHidden/>
    <w:qFormat/>
    <w:uiPriority w:val="0"/>
    <w:rPr>
      <w:rFonts w:ascii="仿宋_GB2312" w:hAnsi="宋体" w:eastAsia="仿宋_GB2312"/>
      <w:kern w:val="2"/>
      <w:sz w:val="28"/>
      <w:lang w:val="en-US" w:eastAsia="zh-CN" w:bidi="ar-SA"/>
    </w:rPr>
  </w:style>
  <w:style w:type="character" w:customStyle="1" w:styleId="271">
    <w:name w:val="样式 三号 黑色"/>
    <w:semiHidden/>
    <w:qFormat/>
    <w:uiPriority w:val="0"/>
    <w:rPr>
      <w:color w:val="000000"/>
      <w:sz w:val="32"/>
      <w:szCs w:val="32"/>
    </w:rPr>
  </w:style>
  <w:style w:type="character" w:customStyle="1" w:styleId="272">
    <w:name w:val="样式 小三"/>
    <w:semiHidden/>
    <w:qFormat/>
    <w:uiPriority w:val="0"/>
    <w:rPr>
      <w:sz w:val="28"/>
      <w:szCs w:val="28"/>
    </w:rPr>
  </w:style>
  <w:style w:type="character" w:customStyle="1" w:styleId="273">
    <w:name w:val="样式 样式 小三 左 首行缩进:  1.06 厘米 + 宋体 Char Char"/>
    <w:semiHidden/>
    <w:qFormat/>
    <w:uiPriority w:val="0"/>
    <w:rPr>
      <w:rFonts w:ascii="宋体" w:hAnsi="宋体" w:eastAsia="宋体" w:cs="宋体"/>
      <w:kern w:val="2"/>
      <w:sz w:val="28"/>
      <w:lang w:val="en-US" w:eastAsia="zh-CN" w:bidi="ar-SA"/>
    </w:rPr>
  </w:style>
  <w:style w:type="character" w:customStyle="1" w:styleId="274">
    <w:name w:val="Char Char17"/>
    <w:semiHidden/>
    <w:qFormat/>
    <w:uiPriority w:val="0"/>
    <w:rPr>
      <w:rFonts w:ascii="Cambria" w:hAnsi="Cambria" w:eastAsia="宋体" w:cs="Times New Roman"/>
      <w:b/>
      <w:bCs/>
      <w:sz w:val="28"/>
      <w:szCs w:val="28"/>
    </w:rPr>
  </w:style>
  <w:style w:type="character" w:customStyle="1" w:styleId="275">
    <w:name w:val="章标题 Char Char"/>
    <w:semiHidden/>
    <w:qFormat/>
    <w:uiPriority w:val="0"/>
    <w:rPr>
      <w:rFonts w:eastAsia="宋体"/>
      <w:b/>
      <w:kern w:val="44"/>
      <w:sz w:val="32"/>
      <w:lang w:val="en-US" w:eastAsia="zh-CN" w:bidi="ar-SA"/>
    </w:rPr>
  </w:style>
  <w:style w:type="character" w:customStyle="1" w:styleId="276">
    <w:name w:val="h31"/>
    <w:semiHidden/>
    <w:qFormat/>
    <w:uiPriority w:val="0"/>
    <w:rPr>
      <w:sz w:val="21"/>
      <w:szCs w:val="21"/>
    </w:rPr>
  </w:style>
  <w:style w:type="character" w:customStyle="1" w:styleId="277">
    <w:name w:val="Char Char30"/>
    <w:semiHidden/>
    <w:qFormat/>
    <w:uiPriority w:val="0"/>
    <w:rPr>
      <w:rFonts w:ascii="Arial" w:hAnsi="Arial" w:eastAsia="仿宋体" w:cs="Arial"/>
      <w:i/>
      <w:iCs/>
      <w:kern w:val="2"/>
      <w:sz w:val="28"/>
      <w:szCs w:val="28"/>
      <w:lang w:bidi="ar-SA"/>
    </w:rPr>
  </w:style>
  <w:style w:type="character" w:customStyle="1" w:styleId="278">
    <w:name w:val="Header Char"/>
    <w:semiHidden/>
    <w:qFormat/>
    <w:locked/>
    <w:uiPriority w:val="0"/>
    <w:rPr>
      <w:rFonts w:cs="Times New Roman"/>
      <w:kern w:val="2"/>
      <w:sz w:val="18"/>
      <w:szCs w:val="18"/>
    </w:rPr>
  </w:style>
  <w:style w:type="character" w:customStyle="1" w:styleId="279">
    <w:name w:val="Char Char27"/>
    <w:semiHidden/>
    <w:qFormat/>
    <w:uiPriority w:val="0"/>
    <w:rPr>
      <w:rFonts w:ascii="Arial" w:hAnsi="Arial" w:eastAsia="仿宋体" w:cs="Arial"/>
      <w:kern w:val="2"/>
      <w:sz w:val="28"/>
      <w:szCs w:val="28"/>
      <w:lang w:bidi="ar-SA"/>
    </w:rPr>
  </w:style>
  <w:style w:type="character" w:customStyle="1" w:styleId="280">
    <w:name w:val="Body Text Indent Char"/>
    <w:semiHidden/>
    <w:qFormat/>
    <w:locked/>
    <w:uiPriority w:val="0"/>
    <w:rPr>
      <w:rFonts w:ascii="Times New Roman" w:hAnsi="Times New Roman" w:cs="Times New Roman"/>
      <w:kern w:val="2"/>
      <w:sz w:val="24"/>
    </w:rPr>
  </w:style>
  <w:style w:type="character" w:customStyle="1" w:styleId="281">
    <w:name w:val="正文文字 Char"/>
    <w:semiHidden/>
    <w:qFormat/>
    <w:uiPriority w:val="0"/>
    <w:rPr>
      <w:rFonts w:eastAsia="宋体"/>
      <w:kern w:val="2"/>
      <w:sz w:val="28"/>
      <w:szCs w:val="28"/>
      <w:lang w:val="en-US" w:eastAsia="zh-CN" w:bidi="ar-SA"/>
    </w:rPr>
  </w:style>
  <w:style w:type="character" w:customStyle="1" w:styleId="282">
    <w:name w:val="标题 1 Char1"/>
    <w:qFormat/>
    <w:uiPriority w:val="0"/>
    <w:rPr>
      <w:rFonts w:ascii="宋体" w:hAnsi="宋体" w:eastAsia="黑体"/>
      <w:b/>
      <w:kern w:val="44"/>
      <w:sz w:val="36"/>
      <w:szCs w:val="36"/>
      <w:lang w:val="en-US" w:eastAsia="zh-CN" w:bidi="ar-SA"/>
    </w:rPr>
  </w:style>
  <w:style w:type="character" w:customStyle="1" w:styleId="283">
    <w:name w:val="样式，加粗"/>
    <w:semiHidden/>
    <w:qFormat/>
    <w:uiPriority w:val="0"/>
    <w:rPr>
      <w:spacing w:val="0"/>
      <w:u w:val="none"/>
    </w:rPr>
  </w:style>
  <w:style w:type="character" w:customStyle="1" w:styleId="284">
    <w:name w:val="Char Char18"/>
    <w:semiHidden/>
    <w:qFormat/>
    <w:uiPriority w:val="0"/>
    <w:rPr>
      <w:rFonts w:ascii="Cambria" w:hAnsi="Cambria" w:eastAsia="宋体" w:cs="Times New Roman"/>
      <w:b/>
      <w:bCs/>
      <w:sz w:val="32"/>
      <w:szCs w:val="32"/>
    </w:rPr>
  </w:style>
  <w:style w:type="character" w:customStyle="1" w:styleId="285">
    <w:name w:val="正文缩进 Char"/>
    <w:qFormat/>
    <w:uiPriority w:val="0"/>
    <w:rPr>
      <w:rFonts w:eastAsia="宋体"/>
      <w:kern w:val="2"/>
      <w:sz w:val="28"/>
      <w:lang w:val="en-US" w:eastAsia="zh-CN" w:bidi="ar-SA"/>
    </w:rPr>
  </w:style>
  <w:style w:type="character" w:customStyle="1" w:styleId="286">
    <w:name w:val="样式 楷体_GB2312 黑色"/>
    <w:semiHidden/>
    <w:qFormat/>
    <w:uiPriority w:val="0"/>
    <w:rPr>
      <w:rFonts w:ascii="楷体_GB2312" w:hAnsi="楷体_GB2312" w:eastAsia="宋体"/>
      <w:color w:val="000000"/>
    </w:rPr>
  </w:style>
  <w:style w:type="character" w:customStyle="1" w:styleId="287">
    <w:name w:val="正文文本缩进 Char"/>
    <w:qFormat/>
    <w:uiPriority w:val="0"/>
    <w:rPr>
      <w:rFonts w:eastAsia="宋体"/>
      <w:kern w:val="2"/>
      <w:sz w:val="24"/>
      <w:szCs w:val="24"/>
      <w:lang w:val="en-US" w:eastAsia="zh-CN" w:bidi="ar-SA"/>
    </w:rPr>
  </w:style>
  <w:style w:type="character" w:customStyle="1" w:styleId="288">
    <w:name w:val="正文首行缩进 Char"/>
    <w:qFormat/>
    <w:uiPriority w:val="0"/>
    <w:rPr>
      <w:rFonts w:eastAsia="宋体"/>
      <w:sz w:val="18"/>
      <w:lang w:val="en-US" w:eastAsia="zh-CN" w:bidi="ar-SA"/>
    </w:rPr>
  </w:style>
  <w:style w:type="character" w:customStyle="1" w:styleId="289">
    <w:name w:val="Plain Text Char"/>
    <w:semiHidden/>
    <w:qFormat/>
    <w:locked/>
    <w:uiPriority w:val="0"/>
    <w:rPr>
      <w:rFonts w:ascii="宋体" w:hAnsi="Courier New" w:cs="Times New Roman"/>
      <w:kern w:val="2"/>
      <w:sz w:val="21"/>
    </w:rPr>
  </w:style>
  <w:style w:type="character" w:customStyle="1" w:styleId="290">
    <w:name w:val="样式41"/>
    <w:semiHidden/>
    <w:qFormat/>
    <w:uiPriority w:val="0"/>
    <w:rPr>
      <w:color w:val="313D42"/>
    </w:rPr>
  </w:style>
  <w:style w:type="character" w:customStyle="1" w:styleId="291">
    <w:name w:val="Char Char32"/>
    <w:semiHidden/>
    <w:qFormat/>
    <w:uiPriority w:val="0"/>
    <w:rPr>
      <w:rFonts w:ascii="Arial" w:hAnsi="Arial" w:eastAsia="黑体"/>
      <w:snapToGrid w:val="0"/>
      <w:sz w:val="36"/>
      <w:szCs w:val="28"/>
    </w:rPr>
  </w:style>
  <w:style w:type="character" w:customStyle="1" w:styleId="292">
    <w:name w:val="China1 Char"/>
    <w:semiHidden/>
    <w:qFormat/>
    <w:uiPriority w:val="0"/>
    <w:rPr>
      <w:rFonts w:ascii="Times New Roman" w:hAnsi="Times New Roman" w:eastAsia="宋体" w:cs="Times New Roman"/>
      <w:b/>
      <w:bCs/>
      <w:kern w:val="44"/>
      <w:sz w:val="44"/>
      <w:szCs w:val="44"/>
    </w:rPr>
  </w:style>
  <w:style w:type="character" w:customStyle="1" w:styleId="293">
    <w:name w:val="articlelink"/>
    <w:basedOn w:val="79"/>
    <w:semiHidden/>
    <w:qFormat/>
    <w:uiPriority w:val="0"/>
  </w:style>
  <w:style w:type="character" w:customStyle="1" w:styleId="294">
    <w:name w:val="普通文字 Char3"/>
    <w:semiHidden/>
    <w:qFormat/>
    <w:uiPriority w:val="0"/>
    <w:rPr>
      <w:rFonts w:ascii="宋体" w:hAnsi="Courier New"/>
      <w:sz w:val="28"/>
    </w:rPr>
  </w:style>
  <w:style w:type="character" w:customStyle="1" w:styleId="295">
    <w:name w:val="表头2"/>
    <w:semiHidden/>
    <w:qFormat/>
    <w:uiPriority w:val="0"/>
    <w:rPr>
      <w:rFonts w:eastAsia="宋体"/>
      <w:bCs/>
      <w:color w:val="auto"/>
      <w:sz w:val="28"/>
      <w:szCs w:val="28"/>
    </w:rPr>
  </w:style>
  <w:style w:type="character" w:customStyle="1" w:styleId="296">
    <w:name w:val="黄龙溪正文粗 Char"/>
    <w:semiHidden/>
    <w:qFormat/>
    <w:uiPriority w:val="0"/>
    <w:rPr>
      <w:rFonts w:ascii="Arial" w:hAnsi="Arial" w:eastAsia="华文细黑"/>
      <w:b/>
      <w:kern w:val="2"/>
      <w:sz w:val="24"/>
      <w:szCs w:val="24"/>
      <w:lang w:val="en-US" w:eastAsia="zh-CN" w:bidi="ar-SA"/>
    </w:rPr>
  </w:style>
  <w:style w:type="character" w:customStyle="1" w:styleId="297">
    <w:name w:val="hei141"/>
    <w:semiHidden/>
    <w:qFormat/>
    <w:uiPriority w:val="0"/>
    <w:rPr>
      <w:color w:val="000000"/>
      <w:sz w:val="21"/>
      <w:szCs w:val="21"/>
    </w:rPr>
  </w:style>
  <w:style w:type="character" w:customStyle="1" w:styleId="298">
    <w:name w:val="style131"/>
    <w:semiHidden/>
    <w:qFormat/>
    <w:uiPriority w:val="0"/>
    <w:rPr>
      <w:sz w:val="18"/>
      <w:szCs w:val="18"/>
    </w:rPr>
  </w:style>
  <w:style w:type="character" w:customStyle="1" w:styleId="299">
    <w:name w:val="style11"/>
    <w:semiHidden/>
    <w:qFormat/>
    <w:uiPriority w:val="0"/>
    <w:rPr>
      <w:sz w:val="21"/>
      <w:szCs w:val="21"/>
    </w:rPr>
  </w:style>
  <w:style w:type="character" w:customStyle="1" w:styleId="300">
    <w:name w:val="China2 Char"/>
    <w:semiHidden/>
    <w:qFormat/>
    <w:uiPriority w:val="0"/>
    <w:rPr>
      <w:rFonts w:eastAsia="黑体"/>
      <w:bCs/>
      <w:kern w:val="2"/>
      <w:sz w:val="30"/>
      <w:szCs w:val="32"/>
      <w:lang w:val="en-US" w:eastAsia="zh-CN" w:bidi="ar-SA"/>
    </w:rPr>
  </w:style>
  <w:style w:type="character" w:customStyle="1" w:styleId="301">
    <w:name w:val="Footnotes Char Char"/>
    <w:semiHidden/>
    <w:qFormat/>
    <w:uiPriority w:val="0"/>
    <w:rPr>
      <w:kern w:val="2"/>
      <w:sz w:val="18"/>
      <w:szCs w:val="18"/>
    </w:rPr>
  </w:style>
  <w:style w:type="character" w:customStyle="1" w:styleId="302">
    <w:name w:val="Footnotes Char Char1"/>
    <w:semiHidden/>
    <w:qFormat/>
    <w:uiPriority w:val="0"/>
    <w:rPr>
      <w:kern w:val="2"/>
      <w:sz w:val="18"/>
      <w:szCs w:val="18"/>
    </w:rPr>
  </w:style>
  <w:style w:type="character" w:customStyle="1" w:styleId="303">
    <w:name w:val="Footer Char"/>
    <w:semiHidden/>
    <w:qFormat/>
    <w:locked/>
    <w:uiPriority w:val="0"/>
    <w:rPr>
      <w:rFonts w:cs="Times New Roman"/>
      <w:kern w:val="2"/>
      <w:sz w:val="18"/>
      <w:szCs w:val="18"/>
    </w:rPr>
  </w:style>
  <w:style w:type="character" w:customStyle="1" w:styleId="304">
    <w:name w:val="Char Char34"/>
    <w:semiHidden/>
    <w:qFormat/>
    <w:uiPriority w:val="0"/>
    <w:rPr>
      <w:rFonts w:ascii="Arial" w:hAnsi="Arial" w:eastAsia="仿宋体" w:cs="Arial"/>
      <w:i/>
      <w:iCs/>
      <w:kern w:val="2"/>
      <w:sz w:val="28"/>
      <w:szCs w:val="28"/>
      <w:lang w:bidi="ar-SA"/>
    </w:rPr>
  </w:style>
  <w:style w:type="character" w:customStyle="1" w:styleId="305">
    <w:name w:val="Heading 3 Char"/>
    <w:semiHidden/>
    <w:qFormat/>
    <w:locked/>
    <w:uiPriority w:val="0"/>
    <w:rPr>
      <w:rFonts w:ascii="Times New Roman" w:hAnsi="Times New Roman" w:cs="Times New Roman"/>
      <w:b/>
      <w:bCs/>
      <w:kern w:val="2"/>
      <w:sz w:val="32"/>
      <w:szCs w:val="32"/>
    </w:rPr>
  </w:style>
  <w:style w:type="character" w:customStyle="1" w:styleId="306">
    <w:name w:val="正文不缩进 Char1"/>
    <w:semiHidden/>
    <w:qFormat/>
    <w:uiPriority w:val="0"/>
    <w:rPr>
      <w:rFonts w:eastAsia="宋体"/>
      <w:kern w:val="2"/>
      <w:sz w:val="28"/>
      <w:szCs w:val="28"/>
      <w:lang w:val="en-US" w:eastAsia="zh-CN" w:bidi="ar-SA"/>
    </w:rPr>
  </w:style>
  <w:style w:type="character" w:customStyle="1" w:styleId="307">
    <w:name w:val="Title Char"/>
    <w:semiHidden/>
    <w:qFormat/>
    <w:locked/>
    <w:uiPriority w:val="0"/>
    <w:rPr>
      <w:rFonts w:ascii="Cambria" w:hAnsi="Cambria" w:cs="Times New Roman"/>
      <w:b/>
      <w:bCs/>
      <w:kern w:val="2"/>
      <w:sz w:val="32"/>
      <w:szCs w:val="32"/>
    </w:rPr>
  </w:style>
  <w:style w:type="character" w:customStyle="1" w:styleId="308">
    <w:name w:val="headline-content"/>
    <w:semiHidden/>
    <w:qFormat/>
    <w:uiPriority w:val="0"/>
  </w:style>
  <w:style w:type="character" w:customStyle="1" w:styleId="309">
    <w:name w:val="纯文本 Char1"/>
    <w:qFormat/>
    <w:uiPriority w:val="0"/>
    <w:rPr>
      <w:rFonts w:ascii="宋体" w:hAnsi="Courier New" w:eastAsia="宋体" w:cs="Times New Roman"/>
      <w:szCs w:val="21"/>
    </w:rPr>
  </w:style>
  <w:style w:type="character" w:customStyle="1" w:styleId="310">
    <w:name w:val="正文文字 Char Char"/>
    <w:semiHidden/>
    <w:qFormat/>
    <w:uiPriority w:val="0"/>
    <w:rPr>
      <w:rFonts w:ascii="Times New Roman" w:hAnsi="Times New Roman"/>
      <w:kern w:val="2"/>
      <w:sz w:val="24"/>
      <w:szCs w:val="22"/>
    </w:rPr>
  </w:style>
  <w:style w:type="character" w:customStyle="1" w:styleId="311">
    <w:name w:val="普通文字 Char"/>
    <w:semiHidden/>
    <w:qFormat/>
    <w:uiPriority w:val="0"/>
    <w:rPr>
      <w:rFonts w:ascii="宋体" w:hAnsi="Courier New"/>
      <w:kern w:val="2"/>
      <w:sz w:val="21"/>
    </w:rPr>
  </w:style>
  <w:style w:type="character" w:customStyle="1" w:styleId="312">
    <w:name w:val="Char Char31"/>
    <w:semiHidden/>
    <w:qFormat/>
    <w:uiPriority w:val="0"/>
    <w:rPr>
      <w:rFonts w:ascii="Arial" w:hAnsi="Arial" w:eastAsia="仿宋体" w:cs="Arial"/>
      <w:kern w:val="2"/>
      <w:sz w:val="28"/>
      <w:szCs w:val="28"/>
      <w:lang w:bidi="ar-SA"/>
    </w:rPr>
  </w:style>
  <w:style w:type="character" w:customStyle="1" w:styleId="313">
    <w:name w:val="Char Char29"/>
    <w:semiHidden/>
    <w:qFormat/>
    <w:uiPriority w:val="0"/>
    <w:rPr>
      <w:rFonts w:ascii="Arial" w:hAnsi="Arial" w:eastAsia="仿宋体" w:cs="Arial"/>
      <w:i/>
      <w:iCs/>
      <w:kern w:val="2"/>
      <w:sz w:val="18"/>
      <w:szCs w:val="18"/>
      <w:lang w:bidi="ar-SA"/>
    </w:rPr>
  </w:style>
  <w:style w:type="character" w:customStyle="1" w:styleId="314">
    <w:name w:val="Char Char28"/>
    <w:semiHidden/>
    <w:qFormat/>
    <w:uiPriority w:val="0"/>
    <w:rPr>
      <w:rFonts w:ascii="Arial" w:hAnsi="Arial" w:eastAsia="黑体"/>
      <w:snapToGrid w:val="0"/>
      <w:sz w:val="36"/>
      <w:szCs w:val="28"/>
    </w:rPr>
  </w:style>
  <w:style w:type="character" w:customStyle="1" w:styleId="315">
    <w:name w:val="正文不缩进 Char"/>
    <w:semiHidden/>
    <w:qFormat/>
    <w:uiPriority w:val="0"/>
    <w:rPr>
      <w:rFonts w:eastAsia="宋体"/>
      <w:kern w:val="2"/>
      <w:sz w:val="28"/>
      <w:szCs w:val="28"/>
      <w:lang w:val="en-US" w:eastAsia="zh-CN" w:bidi="ar-SA"/>
    </w:rPr>
  </w:style>
  <w:style w:type="character" w:customStyle="1" w:styleId="316">
    <w:name w:val="Char Char35"/>
    <w:semiHidden/>
    <w:qFormat/>
    <w:uiPriority w:val="0"/>
    <w:rPr>
      <w:rFonts w:ascii="Arial" w:hAnsi="Arial" w:eastAsia="仿宋体" w:cs="Arial"/>
      <w:kern w:val="2"/>
      <w:sz w:val="28"/>
      <w:szCs w:val="28"/>
      <w:lang w:bidi="ar-SA"/>
    </w:rPr>
  </w:style>
  <w:style w:type="character" w:customStyle="1" w:styleId="317">
    <w:name w:val="Char Char37"/>
    <w:semiHidden/>
    <w:qFormat/>
    <w:uiPriority w:val="0"/>
    <w:rPr>
      <w:rFonts w:ascii="Arial" w:hAnsi="Arial" w:eastAsia="仿宋体" w:cs="Arial"/>
      <w:kern w:val="2"/>
      <w:sz w:val="28"/>
      <w:szCs w:val="28"/>
      <w:lang w:bidi="ar-SA"/>
    </w:rPr>
  </w:style>
  <w:style w:type="character" w:customStyle="1" w:styleId="318">
    <w:name w:val="Char Char36"/>
    <w:semiHidden/>
    <w:qFormat/>
    <w:uiPriority w:val="0"/>
    <w:rPr>
      <w:rFonts w:ascii="Arial" w:hAnsi="Arial" w:eastAsia="仿宋体" w:cs="Arial"/>
      <w:i/>
      <w:iCs/>
      <w:kern w:val="2"/>
      <w:sz w:val="28"/>
      <w:szCs w:val="28"/>
      <w:lang w:bidi="ar-SA"/>
    </w:rPr>
  </w:style>
  <w:style w:type="character" w:customStyle="1" w:styleId="319">
    <w:name w:val="正文不缩进 Char2"/>
    <w:semiHidden/>
    <w:qFormat/>
    <w:uiPriority w:val="0"/>
    <w:rPr>
      <w:rFonts w:eastAsia="宋体"/>
      <w:kern w:val="2"/>
      <w:sz w:val="28"/>
      <w:szCs w:val="28"/>
      <w:lang w:val="en-US" w:eastAsia="zh-CN" w:bidi="ar-SA"/>
    </w:rPr>
  </w:style>
  <w:style w:type="character" w:customStyle="1" w:styleId="320">
    <w:name w:val="正文文字 Char Char1"/>
    <w:semiHidden/>
    <w:qFormat/>
    <w:uiPriority w:val="0"/>
    <w:rPr>
      <w:kern w:val="2"/>
      <w:sz w:val="28"/>
      <w:szCs w:val="28"/>
    </w:rPr>
  </w:style>
  <w:style w:type="character" w:customStyle="1" w:styleId="321">
    <w:name w:val="普通文字 Char2"/>
    <w:semiHidden/>
    <w:qFormat/>
    <w:uiPriority w:val="0"/>
    <w:rPr>
      <w:rFonts w:ascii="宋体" w:hAnsi="Courier New"/>
      <w:sz w:val="28"/>
    </w:rPr>
  </w:style>
  <w:style w:type="character" w:customStyle="1" w:styleId="322">
    <w:name w:val="纯文本 Char2"/>
    <w:qFormat/>
    <w:uiPriority w:val="0"/>
    <w:rPr>
      <w:rFonts w:ascii="宋体" w:hAnsi="Courier New" w:cs="Courier New"/>
      <w:kern w:val="2"/>
      <w:sz w:val="21"/>
      <w:szCs w:val="21"/>
    </w:rPr>
  </w:style>
  <w:style w:type="paragraph" w:customStyle="1" w:styleId="323">
    <w:name w:val="Char Char Char Char Char Char Char1"/>
    <w:basedOn w:val="1"/>
    <w:semiHidden/>
    <w:qFormat/>
    <w:uiPriority w:val="0"/>
    <w:pPr>
      <w:adjustRightInd w:val="0"/>
      <w:spacing w:line="360" w:lineRule="auto"/>
      <w:ind w:left="1276"/>
      <w:jc w:val="center"/>
      <w:outlineLvl w:val="3"/>
    </w:pPr>
    <w:rPr>
      <w:rFonts w:ascii="Tahoma" w:hAnsi="Tahoma" w:cs="宋体"/>
      <w:shd w:val="clear" w:color="auto" w:fill="000080"/>
    </w:rPr>
  </w:style>
  <w:style w:type="paragraph" w:customStyle="1" w:styleId="32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325">
    <w:name w:val="报告正文"/>
    <w:basedOn w:val="1"/>
    <w:semiHidden/>
    <w:qFormat/>
    <w:uiPriority w:val="0"/>
    <w:pPr>
      <w:wordWrap w:val="0"/>
      <w:spacing w:line="600" w:lineRule="exact"/>
      <w:ind w:firstLine="560" w:firstLineChars="200"/>
      <w:jc w:val="left"/>
    </w:pPr>
    <w:rPr>
      <w:rFonts w:ascii="宋体" w:hAnsi="宋体"/>
      <w:sz w:val="28"/>
      <w:szCs w:val="28"/>
    </w:rPr>
  </w:style>
  <w:style w:type="paragraph" w:customStyle="1" w:styleId="326">
    <w:name w:val="xl90"/>
    <w:basedOn w:val="1"/>
    <w:semiHidden/>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327">
    <w:name w:val="font13"/>
    <w:basedOn w:val="1"/>
    <w:qFormat/>
    <w:uiPriority w:val="0"/>
    <w:pPr>
      <w:widowControl/>
      <w:spacing w:before="100" w:beforeAutospacing="1" w:after="100" w:afterAutospacing="1"/>
      <w:jc w:val="left"/>
    </w:pPr>
    <w:rPr>
      <w:kern w:val="0"/>
      <w:sz w:val="22"/>
      <w:szCs w:val="22"/>
    </w:rPr>
  </w:style>
  <w:style w:type="paragraph" w:customStyle="1" w:styleId="328">
    <w:name w:val="MTDisplayEquation"/>
    <w:basedOn w:val="1"/>
    <w:semiHidden/>
    <w:qFormat/>
    <w:uiPriority w:val="0"/>
    <w:pPr>
      <w:tabs>
        <w:tab w:val="center" w:pos="4540"/>
        <w:tab w:val="right" w:pos="9080"/>
      </w:tabs>
      <w:spacing w:before="240" w:line="600" w:lineRule="exact"/>
      <w:ind w:firstLine="640" w:firstLineChars="200"/>
    </w:pPr>
    <w:rPr>
      <w:rFonts w:ascii="仿宋_GB2312" w:eastAsia="仿宋_GB2312"/>
      <w:kern w:val="0"/>
      <w:sz w:val="32"/>
      <w:szCs w:val="20"/>
      <w:lang w:val="de-DE"/>
    </w:rPr>
  </w:style>
  <w:style w:type="paragraph" w:customStyle="1" w:styleId="329">
    <w:name w:val="xl110"/>
    <w:basedOn w:val="1"/>
    <w:semiHidden/>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000000"/>
      <w:kern w:val="0"/>
      <w:sz w:val="22"/>
      <w:szCs w:val="22"/>
    </w:rPr>
  </w:style>
  <w:style w:type="paragraph" w:customStyle="1" w:styleId="330">
    <w:name w:val="样式 标题 4 + 首行缩进:  1 字符"/>
    <w:basedOn w:val="6"/>
    <w:semiHidden/>
    <w:qFormat/>
    <w:uiPriority w:val="0"/>
    <w:pPr>
      <w:tabs>
        <w:tab w:val="left" w:pos="864"/>
        <w:tab w:val="right" w:pos="8640"/>
      </w:tabs>
      <w:spacing w:line="377" w:lineRule="auto"/>
    </w:pPr>
    <w:rPr>
      <w:rFonts w:ascii="Times New Roman" w:hAnsi="Times New Roman" w:cs="宋体"/>
      <w:b w:val="0"/>
      <w:bCs w:val="0"/>
      <w:i/>
      <w:sz w:val="24"/>
      <w:szCs w:val="20"/>
    </w:rPr>
  </w:style>
  <w:style w:type="paragraph" w:customStyle="1" w:styleId="331">
    <w:name w:val="佛山正文"/>
    <w:basedOn w:val="44"/>
    <w:semiHidden/>
    <w:qFormat/>
    <w:uiPriority w:val="0"/>
    <w:pPr>
      <w:ind w:firstLine="560"/>
    </w:pPr>
    <w:rPr>
      <w:rFonts w:ascii="宋体"/>
      <w:kern w:val="2"/>
      <w:sz w:val="28"/>
    </w:rPr>
  </w:style>
  <w:style w:type="paragraph" w:customStyle="1" w:styleId="33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33">
    <w:name w:val="xl95"/>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2"/>
      <w:szCs w:val="22"/>
    </w:rPr>
  </w:style>
  <w:style w:type="paragraph" w:customStyle="1" w:styleId="334">
    <w:name w:val="Style Heading 1 + 12 pt"/>
    <w:basedOn w:val="2"/>
    <w:semiHidden/>
    <w:qFormat/>
    <w:uiPriority w:val="0"/>
    <w:pPr>
      <w:keepNext/>
      <w:widowControl/>
      <w:numPr>
        <w:numId w:val="0"/>
      </w:numPr>
      <w:tabs>
        <w:tab w:val="left" w:pos="0"/>
        <w:tab w:val="left" w:pos="360"/>
      </w:tabs>
      <w:autoSpaceDE/>
      <w:autoSpaceDN/>
      <w:adjustRightInd/>
      <w:spacing w:after="240" w:line="240" w:lineRule="atLeast"/>
      <w:jc w:val="center"/>
    </w:pPr>
    <w:rPr>
      <w:rFonts w:ascii="Arial" w:hAnsi="Arial" w:eastAsia="Arial" w:cs="Arial"/>
      <w:b/>
      <w:bCs/>
      <w:caps/>
      <w:sz w:val="24"/>
      <w:szCs w:val="24"/>
    </w:rPr>
  </w:style>
  <w:style w:type="paragraph" w:customStyle="1" w:styleId="335">
    <w:name w:val="xl96"/>
    <w:basedOn w:val="1"/>
    <w:semiHidden/>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336">
    <w:name w:val="xl98"/>
    <w:basedOn w:val="1"/>
    <w:semiHidden/>
    <w:qFormat/>
    <w:uiPriority w:val="0"/>
    <w:pPr>
      <w:widowControl/>
      <w:pBdr>
        <w:left w:val="single" w:color="auto" w:sz="4" w:space="0"/>
        <w:bottom w:val="single" w:color="auto" w:sz="4" w:space="0"/>
      </w:pBdr>
      <w:spacing w:before="100" w:beforeAutospacing="1" w:after="100" w:afterAutospacing="1"/>
      <w:jc w:val="center"/>
    </w:pPr>
    <w:rPr>
      <w:b/>
      <w:bCs/>
      <w:kern w:val="0"/>
      <w:sz w:val="22"/>
      <w:szCs w:val="22"/>
    </w:rPr>
  </w:style>
  <w:style w:type="paragraph" w:customStyle="1" w:styleId="337">
    <w:name w:val="l_text Char Char"/>
    <w:basedOn w:val="1"/>
    <w:semiHidden/>
    <w:qFormat/>
    <w:uiPriority w:val="0"/>
    <w:pPr>
      <w:widowControl/>
      <w:overflowPunct w:val="0"/>
      <w:autoSpaceDE w:val="0"/>
      <w:autoSpaceDN w:val="0"/>
      <w:adjustRightInd w:val="0"/>
      <w:snapToGrid w:val="0"/>
      <w:spacing w:line="360" w:lineRule="auto"/>
      <w:ind w:firstLine="549" w:firstLineChars="196"/>
      <w:textAlignment w:val="baseline"/>
    </w:pPr>
    <w:rPr>
      <w:sz w:val="28"/>
      <w:szCs w:val="28"/>
    </w:rPr>
  </w:style>
  <w:style w:type="paragraph" w:customStyle="1" w:styleId="33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339">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340">
    <w:name w:val="Char Char Char Char Char Char"/>
    <w:basedOn w:val="1"/>
    <w:semiHidden/>
    <w:qFormat/>
    <w:uiPriority w:val="0"/>
    <w:rPr>
      <w:szCs w:val="21"/>
    </w:rPr>
  </w:style>
  <w:style w:type="paragraph" w:customStyle="1" w:styleId="341">
    <w:name w:val="样式 表格 + 右"/>
    <w:basedOn w:val="189"/>
    <w:semiHidden/>
    <w:qFormat/>
    <w:uiPriority w:val="0"/>
    <w:pPr>
      <w:widowControl/>
      <w:wordWrap/>
      <w:adjustRightInd/>
      <w:spacing w:line="264" w:lineRule="auto"/>
      <w:ind w:firstLine="0"/>
      <w:jc w:val="right"/>
      <w:textAlignment w:val="auto"/>
    </w:pPr>
    <w:rPr>
      <w:rFonts w:cs="宋体"/>
      <w:kern w:val="2"/>
    </w:rPr>
  </w:style>
  <w:style w:type="paragraph" w:customStyle="1" w:styleId="342">
    <w:name w:val="正文缩进加粗"/>
    <w:basedOn w:val="4"/>
    <w:semiHidden/>
    <w:qFormat/>
    <w:uiPriority w:val="0"/>
    <w:pPr>
      <w:adjustRightInd w:val="0"/>
      <w:spacing w:line="360" w:lineRule="auto"/>
      <w:ind w:firstLine="562"/>
      <w:textAlignment w:val="baseline"/>
    </w:pPr>
    <w:rPr>
      <w:rFonts w:ascii="宋体"/>
      <w:b/>
      <w:kern w:val="0"/>
      <w:sz w:val="28"/>
      <w:szCs w:val="20"/>
    </w:rPr>
  </w:style>
  <w:style w:type="paragraph" w:customStyle="1" w:styleId="343">
    <w:name w:val="font12"/>
    <w:basedOn w:val="1"/>
    <w:qFormat/>
    <w:uiPriority w:val="0"/>
    <w:pPr>
      <w:widowControl/>
      <w:spacing w:before="100" w:beforeAutospacing="1" w:after="100" w:afterAutospacing="1"/>
      <w:jc w:val="left"/>
    </w:pPr>
    <w:rPr>
      <w:rFonts w:hint="eastAsia" w:ascii="仿宋_GB2312" w:eastAsia="仿宋_GB2312"/>
      <w:kern w:val="0"/>
      <w:sz w:val="21"/>
      <w:szCs w:val="21"/>
    </w:rPr>
  </w:style>
  <w:style w:type="paragraph" w:customStyle="1" w:styleId="344">
    <w:name w:val="5号"/>
    <w:basedOn w:val="1"/>
    <w:semiHidden/>
    <w:qFormat/>
    <w:uiPriority w:val="0"/>
    <w:pPr>
      <w:adjustRightInd w:val="0"/>
      <w:jc w:val="center"/>
      <w:textAlignment w:val="baseline"/>
    </w:pPr>
    <w:rPr>
      <w:kern w:val="0"/>
      <w:szCs w:val="21"/>
    </w:rPr>
  </w:style>
  <w:style w:type="paragraph" w:customStyle="1" w:styleId="345">
    <w:name w:val="一般正文"/>
    <w:basedOn w:val="1"/>
    <w:semiHidden/>
    <w:qFormat/>
    <w:uiPriority w:val="0"/>
    <w:pPr>
      <w:adjustRightInd w:val="0"/>
      <w:snapToGrid w:val="0"/>
      <w:spacing w:before="60" w:after="60" w:line="500" w:lineRule="exact"/>
      <w:ind w:firstLine="200" w:firstLineChars="200"/>
    </w:pPr>
    <w:rPr>
      <w:sz w:val="28"/>
      <w:szCs w:val="20"/>
    </w:rPr>
  </w:style>
  <w:style w:type="paragraph" w:customStyle="1" w:styleId="346">
    <w:name w:val="样式 目录 2 + 首行缩进:  2 字符"/>
    <w:basedOn w:val="64"/>
    <w:semiHidden/>
    <w:qFormat/>
    <w:uiPriority w:val="0"/>
    <w:pPr>
      <w:tabs>
        <w:tab w:val="right" w:leader="dot" w:pos="9061"/>
      </w:tabs>
      <w:spacing w:line="360" w:lineRule="auto"/>
      <w:ind w:firstLine="200" w:firstLineChars="200"/>
    </w:pPr>
    <w:rPr>
      <w:rFonts w:ascii="Calibri" w:hAnsi="Calibri" w:cs="宋体"/>
      <w:sz w:val="28"/>
    </w:rPr>
  </w:style>
  <w:style w:type="paragraph" w:customStyle="1" w:styleId="347">
    <w:name w:val="表中齐小"/>
    <w:basedOn w:val="157"/>
    <w:semiHidden/>
    <w:qFormat/>
    <w:uiPriority w:val="0"/>
    <w:pPr>
      <w:widowControl/>
      <w:wordWrap/>
      <w:snapToGrid/>
      <w:spacing w:line="240" w:lineRule="auto"/>
      <w:ind w:left="0" w:leftChars="0" w:right="0" w:rightChars="0" w:firstLine="0"/>
      <w:textAlignment w:val="baseline"/>
    </w:pPr>
    <w:rPr>
      <w:rFonts w:ascii="宋体" w:hAnsi="宋体" w:cs="宋体"/>
      <w:kern w:val="0"/>
      <w:sz w:val="21"/>
    </w:rPr>
  </w:style>
  <w:style w:type="paragraph" w:customStyle="1" w:styleId="348">
    <w:name w:val="Char211"/>
    <w:basedOn w:val="1"/>
    <w:semiHidden/>
    <w:qFormat/>
    <w:uiPriority w:val="0"/>
    <w:pPr>
      <w:ind w:left="432" w:hanging="432"/>
    </w:pPr>
  </w:style>
  <w:style w:type="paragraph" w:customStyle="1" w:styleId="349">
    <w:name w:val="正文无缩进"/>
    <w:basedOn w:val="1"/>
    <w:semiHidden/>
    <w:qFormat/>
    <w:uiPriority w:val="0"/>
    <w:pPr>
      <w:spacing w:before="40" w:after="40" w:line="260" w:lineRule="exact"/>
    </w:pPr>
    <w:rPr>
      <w:rFonts w:eastAsia="华文细黑"/>
    </w:rPr>
  </w:style>
  <w:style w:type="paragraph" w:customStyle="1" w:styleId="350">
    <w:name w:val="正文文本缩进1"/>
    <w:basedOn w:val="1"/>
    <w:semiHidden/>
    <w:qFormat/>
    <w:uiPriority w:val="0"/>
    <w:pPr>
      <w:spacing w:after="120"/>
      <w:ind w:left="420"/>
    </w:pPr>
  </w:style>
  <w:style w:type="paragraph" w:customStyle="1" w:styleId="351">
    <w:name w:val="样式 宋体 行距: 1.5 倍行距"/>
    <w:basedOn w:val="1"/>
    <w:semiHidden/>
    <w:qFormat/>
    <w:uiPriority w:val="0"/>
    <w:pPr>
      <w:spacing w:line="360" w:lineRule="auto"/>
      <w:ind w:firstLine="200" w:firstLineChars="200"/>
    </w:pPr>
    <w:rPr>
      <w:rFonts w:ascii="宋体" w:hAnsi="宋体" w:cs="宋体"/>
      <w:szCs w:val="20"/>
    </w:rPr>
  </w:style>
  <w:style w:type="paragraph" w:customStyle="1" w:styleId="352">
    <w:name w:val="标题5"/>
    <w:basedOn w:val="1"/>
    <w:semiHidden/>
    <w:qFormat/>
    <w:uiPriority w:val="0"/>
    <w:pPr>
      <w:spacing w:before="60" w:after="60" w:line="360" w:lineRule="auto"/>
      <w:ind w:firstLine="480"/>
    </w:pPr>
    <w:rPr>
      <w:color w:val="FF0000"/>
      <w:szCs w:val="20"/>
    </w:rPr>
  </w:style>
  <w:style w:type="paragraph" w:customStyle="1" w:styleId="353">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kern w:val="0"/>
      <w:sz w:val="20"/>
      <w:szCs w:val="20"/>
    </w:rPr>
  </w:style>
  <w:style w:type="paragraph" w:customStyle="1" w:styleId="354">
    <w:name w:val="样式 左 首行缩进:  1.06 厘米"/>
    <w:basedOn w:val="1"/>
    <w:semiHidden/>
    <w:qFormat/>
    <w:uiPriority w:val="0"/>
    <w:pPr>
      <w:spacing w:line="360" w:lineRule="auto"/>
      <w:ind w:firstLine="601" w:firstLineChars="200"/>
      <w:jc w:val="left"/>
    </w:pPr>
    <w:rPr>
      <w:sz w:val="28"/>
      <w:szCs w:val="20"/>
    </w:rPr>
  </w:style>
  <w:style w:type="paragraph" w:customStyle="1" w:styleId="35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356">
    <w:name w:val="Style pa + 12 pt After:  6 pt"/>
    <w:basedOn w:val="357"/>
    <w:semiHidden/>
    <w:qFormat/>
    <w:uiPriority w:val="0"/>
    <w:pPr>
      <w:spacing w:line="240" w:lineRule="auto"/>
    </w:pPr>
    <w:rPr>
      <w:szCs w:val="24"/>
    </w:rPr>
  </w:style>
  <w:style w:type="paragraph" w:customStyle="1" w:styleId="357">
    <w:name w:val="pa"/>
    <w:basedOn w:val="66"/>
    <w:semiHidden/>
    <w:qFormat/>
    <w:uiPriority w:val="0"/>
    <w:pPr>
      <w:keepNext/>
      <w:widowControl/>
      <w:wordWrap/>
      <w:spacing w:after="240" w:line="240" w:lineRule="atLeast"/>
      <w:jc w:val="center"/>
    </w:pPr>
    <w:rPr>
      <w:rFonts w:ascii="Arial" w:hAnsi="Arial" w:cs="Arial"/>
      <w:kern w:val="0"/>
      <w:sz w:val="24"/>
      <w:szCs w:val="22"/>
      <w:shd w:val="clear" w:color="auto" w:fill="FFFFFF"/>
    </w:rPr>
  </w:style>
  <w:style w:type="paragraph" w:customStyle="1" w:styleId="358">
    <w:name w:val="标准正文"/>
    <w:basedOn w:val="1"/>
    <w:semiHidden/>
    <w:qFormat/>
    <w:uiPriority w:val="0"/>
    <w:pPr>
      <w:ind w:firstLine="525" w:firstLineChars="196"/>
    </w:pPr>
    <w:rPr>
      <w:bCs/>
      <w:spacing w:val="-6"/>
      <w:sz w:val="28"/>
      <w:szCs w:val="28"/>
    </w:rPr>
  </w:style>
  <w:style w:type="paragraph" w:customStyle="1" w:styleId="35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360">
    <w:name w:val="Char1"/>
    <w:basedOn w:val="1"/>
    <w:semiHidden/>
    <w:qFormat/>
    <w:uiPriority w:val="0"/>
    <w:rPr>
      <w:sz w:val="28"/>
      <w:szCs w:val="28"/>
    </w:rPr>
  </w:style>
  <w:style w:type="paragraph" w:customStyle="1" w:styleId="361">
    <w:name w:val="正文用"/>
    <w:basedOn w:val="1"/>
    <w:semiHidden/>
    <w:qFormat/>
    <w:uiPriority w:val="0"/>
    <w:pPr>
      <w:spacing w:line="300" w:lineRule="auto"/>
      <w:ind w:firstLine="420"/>
    </w:pPr>
  </w:style>
  <w:style w:type="paragraph" w:customStyle="1" w:styleId="362">
    <w:name w:val="样式 正文文字 + 首行缩进:  2 字符"/>
    <w:basedOn w:val="30"/>
    <w:semiHidden/>
    <w:qFormat/>
    <w:uiPriority w:val="0"/>
    <w:pPr>
      <w:spacing w:before="60" w:after="60" w:line="312" w:lineRule="auto"/>
      <w:ind w:firstLine="560" w:firstLineChars="200"/>
    </w:pPr>
    <w:rPr>
      <w:rFonts w:cs="宋体"/>
      <w:sz w:val="28"/>
    </w:rPr>
  </w:style>
  <w:style w:type="paragraph" w:customStyle="1" w:styleId="36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364">
    <w:name w:val="num(1)"/>
    <w:basedOn w:val="1"/>
    <w:semiHidden/>
    <w:qFormat/>
    <w:uiPriority w:val="0"/>
    <w:pPr>
      <w:widowControl/>
      <w:tabs>
        <w:tab w:val="left" w:pos="851"/>
      </w:tabs>
      <w:spacing w:after="160" w:line="264" w:lineRule="auto"/>
      <w:ind w:left="851" w:hanging="851"/>
    </w:pPr>
    <w:rPr>
      <w:sz w:val="22"/>
    </w:rPr>
  </w:style>
  <w:style w:type="paragraph" w:customStyle="1" w:styleId="365">
    <w:name w:val="样式 表格 + 字距调整8 磅"/>
    <w:basedOn w:val="189"/>
    <w:semiHidden/>
    <w:qFormat/>
    <w:uiPriority w:val="0"/>
    <w:pPr>
      <w:widowControl/>
      <w:wordWrap/>
      <w:adjustRightInd/>
      <w:spacing w:line="264" w:lineRule="auto"/>
      <w:ind w:firstLine="0"/>
      <w:jc w:val="right"/>
      <w:textAlignment w:val="auto"/>
    </w:pPr>
  </w:style>
  <w:style w:type="paragraph" w:customStyle="1" w:styleId="366">
    <w:name w:val="xl22"/>
    <w:basedOn w:val="1"/>
    <w:semiHidden/>
    <w:qFormat/>
    <w:uiPriority w:val="0"/>
    <w:pPr>
      <w:widowControl/>
      <w:spacing w:before="100" w:beforeAutospacing="1" w:after="100" w:afterAutospacing="1"/>
      <w:jc w:val="center"/>
      <w:textAlignment w:val="center"/>
    </w:pPr>
    <w:rPr>
      <w:rFonts w:ascii="宋体" w:hAnsi="宋体"/>
      <w:color w:val="000000"/>
      <w:kern w:val="0"/>
      <w:sz w:val="22"/>
      <w:szCs w:val="22"/>
    </w:rPr>
  </w:style>
  <w:style w:type="paragraph" w:customStyle="1" w:styleId="367">
    <w:name w:val="样式 表格 + 左对齐"/>
    <w:basedOn w:val="189"/>
    <w:semiHidden/>
    <w:qFormat/>
    <w:uiPriority w:val="0"/>
    <w:pPr>
      <w:wordWrap/>
      <w:adjustRightInd/>
      <w:spacing w:line="264" w:lineRule="auto"/>
      <w:ind w:firstLine="0"/>
      <w:jc w:val="left"/>
      <w:textAlignment w:val="auto"/>
    </w:pPr>
    <w:rPr>
      <w:rFonts w:ascii="宋体" w:hAnsi="宋体" w:cs="宋体"/>
      <w:kern w:val="2"/>
    </w:rPr>
  </w:style>
  <w:style w:type="paragraph" w:customStyle="1" w:styleId="368">
    <w:name w:val="表格文字"/>
    <w:basedOn w:val="1"/>
    <w:qFormat/>
    <w:uiPriority w:val="0"/>
    <w:pPr>
      <w:jc w:val="center"/>
    </w:pPr>
    <w:rPr>
      <w:b/>
      <w:bCs/>
      <w:sz w:val="28"/>
      <w:szCs w:val="28"/>
    </w:rPr>
  </w:style>
  <w:style w:type="paragraph" w:customStyle="1" w:styleId="36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b/>
      <w:bCs/>
      <w:kern w:val="0"/>
      <w:sz w:val="20"/>
      <w:szCs w:val="20"/>
    </w:rPr>
  </w:style>
  <w:style w:type="paragraph" w:customStyle="1" w:styleId="370">
    <w:name w:val="bgbt"/>
    <w:basedOn w:val="1"/>
    <w:semiHidden/>
    <w:qFormat/>
    <w:uiPriority w:val="0"/>
    <w:pPr>
      <w:adjustRightInd w:val="0"/>
      <w:spacing w:after="100"/>
      <w:ind w:firstLine="573" w:firstLineChars="200"/>
      <w:jc w:val="right"/>
      <w:textAlignment w:val="baseline"/>
    </w:pPr>
    <w:rPr>
      <w:b/>
      <w:kern w:val="0"/>
      <w:szCs w:val="20"/>
    </w:rPr>
  </w:style>
  <w:style w:type="paragraph" w:customStyle="1" w:styleId="371">
    <w:name w:val="xl121"/>
    <w:basedOn w:val="1"/>
    <w:semiHidden/>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rPr>
  </w:style>
  <w:style w:type="paragraph" w:customStyle="1" w:styleId="372">
    <w:name w:val="用户1"/>
    <w:basedOn w:val="1"/>
    <w:semiHidden/>
    <w:qFormat/>
    <w:uiPriority w:val="0"/>
    <w:pPr>
      <w:adjustRightInd w:val="0"/>
      <w:snapToGrid w:val="0"/>
      <w:spacing w:line="500" w:lineRule="exact"/>
      <w:ind w:firstLine="635" w:firstLineChars="200"/>
    </w:pPr>
    <w:rPr>
      <w:rFonts w:eastAsia="楷体_GB2312"/>
      <w:sz w:val="32"/>
      <w:szCs w:val="20"/>
    </w:rPr>
  </w:style>
  <w:style w:type="paragraph" w:customStyle="1" w:styleId="373">
    <w:name w:val="样式 首行缩进:  1.29 厘米"/>
    <w:basedOn w:val="1"/>
    <w:semiHidden/>
    <w:qFormat/>
    <w:uiPriority w:val="0"/>
    <w:pPr>
      <w:spacing w:line="360" w:lineRule="auto"/>
      <w:ind w:firstLine="731" w:firstLineChars="200"/>
    </w:pPr>
    <w:rPr>
      <w:sz w:val="28"/>
      <w:szCs w:val="20"/>
    </w:rPr>
  </w:style>
  <w:style w:type="paragraph" w:customStyle="1" w:styleId="374">
    <w:name w:val="xl120"/>
    <w:basedOn w:val="1"/>
    <w:semiHidden/>
    <w:qFormat/>
    <w:uiPriority w:val="0"/>
    <w:pPr>
      <w:widowControl/>
      <w:pBdr>
        <w:left w:val="single" w:color="auto" w:sz="4" w:space="0"/>
        <w:bottom w:val="single" w:color="auto" w:sz="4" w:space="0"/>
        <w:right w:val="single" w:color="auto" w:sz="4" w:space="0"/>
      </w:pBdr>
      <w:shd w:val="clear" w:color="000000" w:fill="FFCC00"/>
      <w:spacing w:before="100" w:beforeAutospacing="1" w:after="100" w:afterAutospacing="1"/>
      <w:jc w:val="center"/>
      <w:textAlignment w:val="center"/>
    </w:pPr>
    <w:rPr>
      <w:rFonts w:ascii="宋体" w:hAnsi="宋体" w:cs="宋体"/>
      <w:color w:val="000000"/>
      <w:kern w:val="0"/>
      <w:sz w:val="22"/>
      <w:szCs w:val="22"/>
    </w:rPr>
  </w:style>
  <w:style w:type="paragraph" w:customStyle="1" w:styleId="375">
    <w:name w:val="6'"/>
    <w:basedOn w:val="1"/>
    <w:semiHidden/>
    <w:qFormat/>
    <w:uiPriority w:val="0"/>
    <w:pPr>
      <w:autoSpaceDE w:val="0"/>
      <w:autoSpaceDN w:val="0"/>
      <w:adjustRightInd w:val="0"/>
      <w:spacing w:line="320" w:lineRule="exact"/>
      <w:jc w:val="center"/>
      <w:textAlignment w:val="baseline"/>
    </w:pPr>
    <w:rPr>
      <w:spacing w:val="20"/>
      <w:kern w:val="28"/>
      <w:sz w:val="28"/>
      <w:szCs w:val="20"/>
    </w:rPr>
  </w:style>
  <w:style w:type="paragraph" w:customStyle="1" w:styleId="376">
    <w:name w:val="目录"/>
    <w:basedOn w:val="1"/>
    <w:qFormat/>
    <w:uiPriority w:val="0"/>
    <w:pPr>
      <w:spacing w:line="360" w:lineRule="auto"/>
      <w:ind w:firstLine="640" w:firstLineChars="200"/>
      <w:jc w:val="center"/>
    </w:pPr>
    <w:rPr>
      <w:rFonts w:eastAsia="黑体"/>
      <w:sz w:val="32"/>
      <w:szCs w:val="20"/>
      <w:shd w:val="clear" w:color="auto" w:fill="FFFFFF"/>
    </w:rPr>
  </w:style>
  <w:style w:type="paragraph" w:customStyle="1" w:styleId="37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bCs/>
      <w:kern w:val="0"/>
      <w:sz w:val="20"/>
      <w:szCs w:val="20"/>
    </w:rPr>
  </w:style>
  <w:style w:type="paragraph" w:customStyle="1" w:styleId="378">
    <w:name w:val="表格5号线"/>
    <w:basedOn w:val="30"/>
    <w:semiHidden/>
    <w:qFormat/>
    <w:uiPriority w:val="0"/>
    <w:pPr>
      <w:adjustRightInd w:val="0"/>
      <w:snapToGrid w:val="0"/>
      <w:spacing w:before="60" w:after="60" w:line="520" w:lineRule="exact"/>
      <w:jc w:val="center"/>
    </w:pPr>
    <w:rPr>
      <w:rFonts w:ascii="宋体" w:hAnsi="宋体"/>
    </w:rPr>
  </w:style>
  <w:style w:type="paragraph" w:customStyle="1" w:styleId="379">
    <w:name w:val="插图"/>
    <w:basedOn w:val="63"/>
    <w:next w:val="1"/>
    <w:semiHidden/>
    <w:qFormat/>
    <w:uiPriority w:val="0"/>
    <w:pPr>
      <w:spacing w:after="360" w:line="360" w:lineRule="auto"/>
      <w:ind w:left="0" w:leftChars="0" w:firstLine="0" w:firstLineChars="0"/>
      <w:jc w:val="center"/>
    </w:pPr>
    <w:rPr>
      <w:rFonts w:ascii="仿宋_GB2312" w:eastAsia="仿宋_GB2312"/>
      <w:sz w:val="24"/>
      <w:szCs w:val="20"/>
    </w:rPr>
  </w:style>
  <w:style w:type="paragraph" w:customStyle="1" w:styleId="380">
    <w:name w:val="样式 表中齐小 + 紧缩量  1.5 磅"/>
    <w:basedOn w:val="347"/>
    <w:semiHidden/>
    <w:qFormat/>
    <w:uiPriority w:val="0"/>
    <w:rPr>
      <w:spacing w:val="-10"/>
    </w:rPr>
  </w:style>
  <w:style w:type="paragraph" w:customStyle="1" w:styleId="381">
    <w:name w:val="样式 标题 3 + 段前: 0.5 行 段后: 1 行"/>
    <w:basedOn w:val="5"/>
    <w:semiHidden/>
    <w:qFormat/>
    <w:uiPriority w:val="0"/>
    <w:pPr>
      <w:tabs>
        <w:tab w:val="clear" w:pos="425"/>
      </w:tabs>
      <w:adjustRightInd w:val="0"/>
      <w:snapToGrid w:val="0"/>
      <w:spacing w:beforeLines="50" w:afterLines="50" w:line="360" w:lineRule="auto"/>
      <w:ind w:left="0" w:firstLine="0"/>
      <w:textAlignment w:val="baseline"/>
    </w:pPr>
    <w:rPr>
      <w:rFonts w:ascii="宋体" w:hAnsi="宋体" w:eastAsia="宋体" w:cs="宋体"/>
      <w:b w:val="0"/>
      <w:bCs/>
      <w:sz w:val="24"/>
      <w:szCs w:val="20"/>
    </w:rPr>
  </w:style>
  <w:style w:type="paragraph" w:customStyle="1" w:styleId="382">
    <w:name w:val="Char Char2 Char Char Char Char Char Char1 Char"/>
    <w:basedOn w:val="22"/>
    <w:semiHidden/>
    <w:qFormat/>
    <w:uiPriority w:val="0"/>
    <w:pPr>
      <w:adjustRightInd w:val="0"/>
      <w:spacing w:line="436" w:lineRule="exact"/>
      <w:ind w:left="357"/>
      <w:jc w:val="left"/>
      <w:outlineLvl w:val="3"/>
    </w:pPr>
    <w:rPr>
      <w:rFonts w:ascii="Tahoma" w:hAnsi="Tahoma"/>
      <w:b/>
      <w:szCs w:val="28"/>
    </w:rPr>
  </w:style>
  <w:style w:type="paragraph" w:customStyle="1" w:styleId="383">
    <w:name w:val="样式 正文文本缩进正文文字缩进 + 首行缩进:  2 字符 行距: 1.5 倍行距"/>
    <w:basedOn w:val="31"/>
    <w:semiHidden/>
    <w:qFormat/>
    <w:uiPriority w:val="0"/>
    <w:pPr>
      <w:adjustRightInd w:val="0"/>
      <w:snapToGrid w:val="0"/>
      <w:spacing w:before="0" w:line="360" w:lineRule="auto"/>
      <w:ind w:left="0" w:leftChars="0" w:firstLine="560" w:firstLineChars="200"/>
      <w:jc w:val="both"/>
    </w:pPr>
    <w:rPr>
      <w:rFonts w:cs="宋体"/>
      <w:sz w:val="28"/>
      <w:szCs w:val="20"/>
      <w:lang w:val="zh-CN"/>
    </w:rPr>
  </w:style>
  <w:style w:type="paragraph" w:customStyle="1" w:styleId="384">
    <w:name w:val="样式 首行缩进:  2 字符 Char Char"/>
    <w:basedOn w:val="1"/>
    <w:semiHidden/>
    <w:qFormat/>
    <w:uiPriority w:val="0"/>
    <w:pPr>
      <w:spacing w:before="60" w:after="60" w:line="480" w:lineRule="exact"/>
      <w:ind w:firstLine="560" w:firstLineChars="200"/>
    </w:pPr>
    <w:rPr>
      <w:kern w:val="28"/>
      <w:sz w:val="28"/>
      <w:szCs w:val="20"/>
    </w:rPr>
  </w:style>
  <w:style w:type="paragraph" w:customStyle="1" w:styleId="385">
    <w:name w:val="表"/>
    <w:basedOn w:val="1"/>
    <w:qFormat/>
    <w:uiPriority w:val="0"/>
    <w:pPr>
      <w:spacing w:line="440" w:lineRule="exact"/>
      <w:jc w:val="center"/>
    </w:pPr>
    <w:rPr>
      <w:sz w:val="21"/>
      <w:szCs w:val="20"/>
    </w:rPr>
  </w:style>
  <w:style w:type="paragraph" w:customStyle="1" w:styleId="386">
    <w:name w:val="落款1"/>
    <w:basedOn w:val="1"/>
    <w:semiHidden/>
    <w:qFormat/>
    <w:uiPriority w:val="0"/>
    <w:pPr>
      <w:ind w:right="420" w:rightChars="200"/>
      <w:jc w:val="right"/>
    </w:pPr>
    <w:rPr>
      <w:rFonts w:cs="宋体"/>
    </w:rPr>
  </w:style>
  <w:style w:type="paragraph" w:customStyle="1" w:styleId="387">
    <w:name w:val="pic-info"/>
    <w:basedOn w:val="1"/>
    <w:semiHidden/>
    <w:qFormat/>
    <w:uiPriority w:val="0"/>
    <w:pPr>
      <w:widowControl/>
      <w:spacing w:before="100" w:beforeAutospacing="1" w:after="100" w:afterAutospacing="1"/>
      <w:jc w:val="left"/>
    </w:pPr>
    <w:rPr>
      <w:rFonts w:ascii="宋体" w:hAnsi="宋体" w:cs="宋体"/>
      <w:kern w:val="0"/>
    </w:rPr>
  </w:style>
  <w:style w:type="paragraph" w:customStyle="1" w:styleId="388">
    <w:name w:val="样式 bhq正文 + 小三 首行缩进:  2 字符"/>
    <w:basedOn w:val="193"/>
    <w:semiHidden/>
    <w:qFormat/>
    <w:uiPriority w:val="0"/>
    <w:pPr>
      <w:wordWrap/>
      <w:ind w:firstLine="600"/>
    </w:pPr>
    <w:rPr>
      <w:rFonts w:cs="宋体"/>
      <w:szCs w:val="20"/>
    </w:rPr>
  </w:style>
  <w:style w:type="paragraph" w:customStyle="1" w:styleId="389">
    <w:name w:val="xl119"/>
    <w:basedOn w:val="1"/>
    <w:semiHidden/>
    <w:qFormat/>
    <w:uiPriority w:val="0"/>
    <w:pPr>
      <w:widowControl/>
      <w:pBdr>
        <w:top w:val="single" w:color="auto" w:sz="4" w:space="0"/>
        <w:left w:val="single" w:color="auto" w:sz="4" w:space="0"/>
        <w:right w:val="single" w:color="auto" w:sz="4" w:space="0"/>
      </w:pBdr>
      <w:shd w:val="clear" w:color="000000" w:fill="FFCC00"/>
      <w:spacing w:before="100" w:beforeAutospacing="1" w:after="100" w:afterAutospacing="1"/>
      <w:jc w:val="center"/>
      <w:textAlignment w:val="center"/>
    </w:pPr>
    <w:rPr>
      <w:rFonts w:ascii="宋体" w:hAnsi="宋体" w:cs="宋体"/>
      <w:color w:val="000000"/>
      <w:kern w:val="0"/>
      <w:sz w:val="22"/>
      <w:szCs w:val="22"/>
    </w:rPr>
  </w:style>
  <w:style w:type="paragraph" w:customStyle="1" w:styleId="390">
    <w:name w:val="font5"/>
    <w:basedOn w:val="1"/>
    <w:qFormat/>
    <w:uiPriority w:val="0"/>
    <w:pPr>
      <w:widowControl/>
      <w:spacing w:before="100" w:beforeAutospacing="1" w:after="100" w:afterAutospacing="1" w:line="600" w:lineRule="exact"/>
      <w:ind w:firstLine="200" w:firstLineChars="200"/>
      <w:jc w:val="left"/>
    </w:pPr>
    <w:rPr>
      <w:rFonts w:hint="eastAsia" w:ascii="宋体" w:hAnsi="宋体" w:eastAsia="仿宋_GB2312"/>
      <w:kern w:val="0"/>
      <w:sz w:val="18"/>
      <w:szCs w:val="18"/>
    </w:rPr>
  </w:style>
  <w:style w:type="paragraph" w:customStyle="1" w:styleId="391">
    <w:name w:val="List Paragraph1"/>
    <w:basedOn w:val="1"/>
    <w:semiHidden/>
    <w:qFormat/>
    <w:uiPriority w:val="0"/>
    <w:pPr>
      <w:ind w:firstLine="420" w:firstLineChars="200"/>
    </w:pPr>
    <w:rPr>
      <w:rFonts w:ascii="Calibri" w:hAnsi="Calibri" w:cs="Calibri"/>
      <w:sz w:val="21"/>
      <w:szCs w:val="21"/>
    </w:rPr>
  </w:style>
  <w:style w:type="paragraph" w:customStyle="1" w:styleId="392">
    <w:name w:val="xl109"/>
    <w:basedOn w:val="1"/>
    <w:semiHidden/>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000000"/>
      <w:kern w:val="0"/>
      <w:sz w:val="22"/>
      <w:szCs w:val="22"/>
    </w:rPr>
  </w:style>
  <w:style w:type="paragraph" w:customStyle="1" w:styleId="393">
    <w:name w:val="标准"/>
    <w:basedOn w:val="1"/>
    <w:semiHidden/>
    <w:qFormat/>
    <w:uiPriority w:val="0"/>
    <w:pPr>
      <w:adjustRightInd w:val="0"/>
      <w:jc w:val="center"/>
      <w:textAlignment w:val="baseline"/>
    </w:pPr>
    <w:rPr>
      <w:rFonts w:ascii="楷体_GB2312" w:eastAsia="楷体_GB2312"/>
      <w:b/>
      <w:spacing w:val="-20"/>
      <w:w w:val="90"/>
      <w:kern w:val="0"/>
      <w:szCs w:val="20"/>
    </w:rPr>
  </w:style>
  <w:style w:type="paragraph" w:customStyle="1" w:styleId="394">
    <w:name w:val="003 节"/>
    <w:next w:val="1"/>
    <w:semiHidden/>
    <w:qFormat/>
    <w:uiPriority w:val="0"/>
    <w:pPr>
      <w:keepNext/>
      <w:widowControl w:val="0"/>
      <w:spacing w:before="240" w:after="120" w:line="480" w:lineRule="auto"/>
      <w:jc w:val="center"/>
      <w:outlineLvl w:val="2"/>
    </w:pPr>
    <w:rPr>
      <w:rFonts w:ascii="Arial" w:hAnsi="Arial" w:eastAsia="黑体" w:cs="Times New Roman"/>
      <w:spacing w:val="10"/>
      <w:sz w:val="24"/>
      <w:szCs w:val="24"/>
      <w:lang w:val="en-US" w:eastAsia="zh-CN" w:bidi="ar-SA"/>
    </w:rPr>
  </w:style>
  <w:style w:type="paragraph" w:customStyle="1" w:styleId="395">
    <w:name w:val="样式 宋体 12 磅 首行缩进:  2 字符"/>
    <w:basedOn w:val="1"/>
    <w:semiHidden/>
    <w:qFormat/>
    <w:uiPriority w:val="0"/>
    <w:pPr>
      <w:spacing w:before="60" w:after="60" w:line="500" w:lineRule="exact"/>
      <w:ind w:firstLine="200" w:firstLineChars="200"/>
    </w:pPr>
    <w:rPr>
      <w:rFonts w:ascii="宋体" w:hAnsi="宋体"/>
      <w:sz w:val="26"/>
      <w:szCs w:val="20"/>
    </w:rPr>
  </w:style>
  <w:style w:type="paragraph" w:customStyle="1" w:styleId="396">
    <w:name w:val="table"/>
    <w:basedOn w:val="1"/>
    <w:semiHidden/>
    <w:qFormat/>
    <w:uiPriority w:val="0"/>
    <w:pPr>
      <w:widowControl/>
      <w:overflowPunct w:val="0"/>
      <w:autoSpaceDE w:val="0"/>
      <w:autoSpaceDN w:val="0"/>
      <w:adjustRightInd w:val="0"/>
      <w:spacing w:before="60" w:after="60"/>
      <w:jc w:val="center"/>
      <w:textAlignment w:val="baseline"/>
    </w:pPr>
    <w:rPr>
      <w:rFonts w:ascii="宋体" w:cs="宋体"/>
      <w:kern w:val="0"/>
    </w:rPr>
  </w:style>
  <w:style w:type="paragraph" w:customStyle="1" w:styleId="397">
    <w:name w:val="广州三级标题"/>
    <w:basedOn w:val="1"/>
    <w:next w:val="1"/>
    <w:semiHidden/>
    <w:qFormat/>
    <w:uiPriority w:val="0"/>
    <w:pPr>
      <w:spacing w:before="60" w:after="60" w:line="360" w:lineRule="auto"/>
    </w:pPr>
    <w:rPr>
      <w:sz w:val="30"/>
      <w:szCs w:val="20"/>
    </w:rPr>
  </w:style>
  <w:style w:type="paragraph" w:customStyle="1" w:styleId="39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399">
    <w:name w:val="Char Char2 Char Char Char Char Char Char Char Char Char Char"/>
    <w:basedOn w:val="1"/>
    <w:semiHidden/>
    <w:qFormat/>
    <w:uiPriority w:val="0"/>
    <w:pPr>
      <w:adjustRightInd w:val="0"/>
      <w:spacing w:line="436" w:lineRule="exact"/>
      <w:ind w:left="357"/>
      <w:jc w:val="left"/>
      <w:outlineLvl w:val="3"/>
    </w:pPr>
    <w:rPr>
      <w:rFonts w:ascii="Tahoma" w:hAnsi="Tahoma" w:cs="宋体"/>
      <w:b/>
      <w:szCs w:val="20"/>
      <w:shd w:val="clear" w:color="auto" w:fill="000080"/>
    </w:rPr>
  </w:style>
  <w:style w:type="paragraph" w:customStyle="1" w:styleId="400">
    <w:name w:val="样式 目录 1 + 首行缩进:  2 字符"/>
    <w:basedOn w:val="50"/>
    <w:semiHidden/>
    <w:qFormat/>
    <w:uiPriority w:val="0"/>
    <w:pPr>
      <w:tabs>
        <w:tab w:val="right" w:leader="dot" w:pos="1050"/>
        <w:tab w:val="left" w:pos="1680"/>
        <w:tab w:val="right" w:leader="dot" w:pos="9061"/>
      </w:tabs>
      <w:spacing w:line="324" w:lineRule="auto"/>
      <w:ind w:firstLine="630" w:firstLineChars="225"/>
    </w:pPr>
    <w:rPr>
      <w:rFonts w:ascii="黑体" w:hAnsi="Calibri" w:cs="宋体"/>
      <w:bCs w:val="0"/>
      <w:sz w:val="28"/>
    </w:rPr>
  </w:style>
  <w:style w:type="paragraph" w:customStyle="1" w:styleId="401">
    <w:name w:val="样式 正文1 表内文字 + 字距调整8 磅"/>
    <w:basedOn w:val="1"/>
    <w:semiHidden/>
    <w:qFormat/>
    <w:uiPriority w:val="0"/>
    <w:pPr>
      <w:widowControl/>
      <w:spacing w:line="300" w:lineRule="exact"/>
      <w:ind w:left="-105" w:right="-21"/>
    </w:pPr>
    <w:rPr>
      <w:color w:val="000000"/>
      <w:kern w:val="16"/>
    </w:rPr>
  </w:style>
  <w:style w:type="paragraph" w:customStyle="1" w:styleId="40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03">
    <w:name w:val="简单回函地址"/>
    <w:basedOn w:val="1"/>
    <w:semiHidden/>
    <w:qFormat/>
    <w:uiPriority w:val="0"/>
    <w:pPr>
      <w:adjustRightInd w:val="0"/>
      <w:spacing w:before="60" w:after="60" w:line="312" w:lineRule="auto"/>
      <w:jc w:val="left"/>
      <w:textAlignment w:val="baseline"/>
    </w:pPr>
    <w:rPr>
      <w:kern w:val="0"/>
      <w:szCs w:val="20"/>
    </w:rPr>
  </w:style>
  <w:style w:type="paragraph" w:customStyle="1" w:styleId="404">
    <w:name w:val="T五级标题"/>
    <w:basedOn w:val="1"/>
    <w:next w:val="1"/>
    <w:semiHidden/>
    <w:qFormat/>
    <w:uiPriority w:val="0"/>
    <w:pPr>
      <w:widowControl/>
      <w:tabs>
        <w:tab w:val="left" w:pos="0"/>
      </w:tabs>
      <w:spacing w:beforeLines="50" w:afterLines="50" w:line="360" w:lineRule="auto"/>
      <w:jc w:val="left"/>
    </w:pPr>
    <w:rPr>
      <w:rFonts w:ascii="Calibri" w:hAnsi="Calibri" w:eastAsia="华文细黑"/>
      <w:kern w:val="0"/>
      <w:szCs w:val="22"/>
      <w:lang w:eastAsia="en-US" w:bidi="en-US"/>
    </w:rPr>
  </w:style>
  <w:style w:type="paragraph" w:customStyle="1" w:styleId="405">
    <w:name w:val="普通 (Web)"/>
    <w:basedOn w:val="1"/>
    <w:semiHidden/>
    <w:qFormat/>
    <w:uiPriority w:val="0"/>
    <w:pPr>
      <w:widowControl/>
      <w:adjustRightInd w:val="0"/>
      <w:snapToGrid w:val="0"/>
      <w:spacing w:before="100" w:beforeAutospacing="1" w:after="100" w:afterAutospacing="1" w:line="360" w:lineRule="auto"/>
      <w:ind w:firstLine="200" w:firstLineChars="200"/>
      <w:jc w:val="left"/>
    </w:pPr>
    <w:rPr>
      <w:rFonts w:ascii="宋体" w:hAnsi="宋体"/>
      <w:kern w:val="0"/>
      <w:szCs w:val="20"/>
    </w:rPr>
  </w:style>
  <w:style w:type="paragraph" w:customStyle="1" w:styleId="406">
    <w:name w:val="Date2"/>
    <w:basedOn w:val="1"/>
    <w:next w:val="1"/>
    <w:semiHidden/>
    <w:qFormat/>
    <w:uiPriority w:val="0"/>
    <w:pPr>
      <w:adjustRightInd w:val="0"/>
      <w:textAlignment w:val="baseline"/>
    </w:pPr>
    <w:rPr>
      <w:snapToGrid w:val="0"/>
      <w:szCs w:val="20"/>
    </w:rPr>
  </w:style>
  <w:style w:type="paragraph" w:customStyle="1" w:styleId="407">
    <w:name w:val="样式 样式 标题 3头小节标题标题 3 Char1标题 3 Char Char标题 4 Char小标题一Heading... +..."/>
    <w:basedOn w:val="1"/>
    <w:semiHidden/>
    <w:qFormat/>
    <w:uiPriority w:val="0"/>
    <w:pPr>
      <w:keepNext/>
      <w:keepLines/>
      <w:adjustRightInd w:val="0"/>
      <w:snapToGrid w:val="0"/>
      <w:spacing w:before="380" w:after="380" w:line="360" w:lineRule="auto"/>
      <w:ind w:right="280" w:rightChars="100"/>
      <w:jc w:val="left"/>
      <w:textAlignment w:val="baseline"/>
      <w:outlineLvl w:val="2"/>
    </w:pPr>
    <w:rPr>
      <w:rFonts w:cs="宋体"/>
      <w:b/>
      <w:bCs/>
      <w:kern w:val="0"/>
      <w:sz w:val="32"/>
      <w:szCs w:val="20"/>
    </w:rPr>
  </w:style>
  <w:style w:type="paragraph" w:customStyle="1" w:styleId="408">
    <w:name w:val="大庆样式1"/>
    <w:basedOn w:val="1"/>
    <w:semiHidden/>
    <w:qFormat/>
    <w:uiPriority w:val="0"/>
    <w:pPr>
      <w:autoSpaceDE w:val="0"/>
      <w:autoSpaceDN w:val="0"/>
      <w:adjustRightInd w:val="0"/>
      <w:snapToGrid w:val="0"/>
      <w:spacing w:line="360" w:lineRule="auto"/>
      <w:ind w:firstLine="748" w:firstLineChars="200"/>
      <w:jc w:val="left"/>
      <w:textAlignment w:val="baseline"/>
    </w:pPr>
    <w:rPr>
      <w:rFonts w:ascii="宋体"/>
      <w:spacing w:val="5"/>
      <w:kern w:val="0"/>
      <w:sz w:val="30"/>
      <w:szCs w:val="28"/>
    </w:rPr>
  </w:style>
  <w:style w:type="paragraph" w:customStyle="1" w:styleId="409">
    <w:name w:val="表头1 加粗 居中"/>
    <w:basedOn w:val="1"/>
    <w:semiHidden/>
    <w:qFormat/>
    <w:uiPriority w:val="0"/>
    <w:pPr>
      <w:widowControl/>
      <w:ind w:right="-108" w:firstLine="480"/>
      <w:jc w:val="center"/>
    </w:pPr>
    <w:rPr>
      <w:rFonts w:cs="宋体"/>
      <w:color w:val="000000"/>
      <w:kern w:val="0"/>
      <w:sz w:val="28"/>
      <w:szCs w:val="28"/>
    </w:rPr>
  </w:style>
  <w:style w:type="paragraph" w:customStyle="1" w:styleId="410">
    <w:name w:val="页眉1"/>
    <w:basedOn w:val="1"/>
    <w:semiHidden/>
    <w:qFormat/>
    <w:uiPriority w:val="0"/>
    <w:pPr>
      <w:adjustRightInd w:val="0"/>
      <w:ind w:firstLine="567"/>
      <w:textAlignment w:val="baseline"/>
    </w:pPr>
    <w:rPr>
      <w:b/>
      <w:kern w:val="0"/>
      <w:sz w:val="30"/>
      <w:szCs w:val="20"/>
    </w:rPr>
  </w:style>
  <w:style w:type="paragraph" w:customStyle="1" w:styleId="411">
    <w:name w:val="Paragraph"/>
    <w:basedOn w:val="1"/>
    <w:semiHidden/>
    <w:qFormat/>
    <w:uiPriority w:val="0"/>
    <w:pPr>
      <w:widowControl/>
      <w:tabs>
        <w:tab w:val="left" w:pos="360"/>
      </w:tabs>
      <w:adjustRightInd w:val="0"/>
      <w:snapToGrid w:val="0"/>
      <w:spacing w:after="240"/>
      <w:ind w:left="360" w:hanging="360"/>
    </w:pPr>
    <w:rPr>
      <w:rFonts w:ascii="Arial" w:hAnsi="Arial" w:cs="Arial"/>
      <w:color w:val="FF0000"/>
      <w:kern w:val="0"/>
    </w:rPr>
  </w:style>
  <w:style w:type="paragraph" w:customStyle="1" w:styleId="412">
    <w:name w:val="样式 样式 标题 1 + 首行缩进:  2 字符 + 首行缩进:  2 字符"/>
    <w:basedOn w:val="1"/>
    <w:semiHidden/>
    <w:qFormat/>
    <w:uiPriority w:val="0"/>
    <w:pPr>
      <w:keepNext/>
      <w:keepLines/>
      <w:spacing w:line="360" w:lineRule="auto"/>
      <w:outlineLvl w:val="0"/>
    </w:pPr>
    <w:rPr>
      <w:rFonts w:cs="宋体"/>
      <w:b/>
      <w:bCs/>
      <w:kern w:val="44"/>
      <w:sz w:val="36"/>
      <w:szCs w:val="20"/>
    </w:rPr>
  </w:style>
  <w:style w:type="paragraph" w:customStyle="1" w:styleId="41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color w:val="FF0000"/>
      <w:kern w:val="0"/>
      <w:sz w:val="20"/>
      <w:szCs w:val="20"/>
    </w:rPr>
  </w:style>
  <w:style w:type="paragraph" w:customStyle="1" w:styleId="414">
    <w:name w:val="样式 表格 + 首行缩进:  2 字符"/>
    <w:basedOn w:val="189"/>
    <w:semiHidden/>
    <w:qFormat/>
    <w:uiPriority w:val="0"/>
    <w:pPr>
      <w:wordWrap/>
      <w:snapToGrid w:val="0"/>
      <w:ind w:firstLine="0"/>
      <w:jc w:val="both"/>
    </w:pPr>
    <w:rPr>
      <w:rFonts w:ascii="宋体" w:cs="宋体"/>
    </w:rPr>
  </w:style>
  <w:style w:type="paragraph" w:customStyle="1" w:styleId="415">
    <w:name w:val="qptext"/>
    <w:basedOn w:val="1"/>
    <w:semiHidden/>
    <w:qFormat/>
    <w:uiPriority w:val="0"/>
    <w:pPr>
      <w:tabs>
        <w:tab w:val="left" w:pos="3770"/>
      </w:tabs>
      <w:spacing w:before="60" w:after="60" w:line="312" w:lineRule="auto"/>
      <w:ind w:left="3770" w:hanging="420"/>
    </w:pPr>
    <w:rPr>
      <w:sz w:val="21"/>
      <w:szCs w:val="20"/>
    </w:rPr>
  </w:style>
  <w:style w:type="paragraph" w:customStyle="1" w:styleId="416">
    <w:name w:val="xl123"/>
    <w:basedOn w:val="1"/>
    <w:semiHidden/>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textAlignment w:val="center"/>
    </w:pPr>
    <w:rPr>
      <w:rFonts w:ascii="宋体" w:hAnsi="宋体" w:cs="宋体"/>
      <w:color w:val="000000"/>
      <w:kern w:val="0"/>
      <w:sz w:val="22"/>
      <w:szCs w:val="22"/>
    </w:rPr>
  </w:style>
  <w:style w:type="paragraph" w:customStyle="1" w:styleId="417">
    <w:name w:val="样式 表中齐小 + 紧缩量  1.5 磅1"/>
    <w:basedOn w:val="347"/>
    <w:semiHidden/>
    <w:qFormat/>
    <w:uiPriority w:val="0"/>
    <w:rPr>
      <w:spacing w:val="-12"/>
    </w:rPr>
  </w:style>
  <w:style w:type="paragraph" w:customStyle="1" w:styleId="418">
    <w:name w:val="正文段落"/>
    <w:basedOn w:val="1"/>
    <w:semiHidden/>
    <w:qFormat/>
    <w:uiPriority w:val="0"/>
    <w:pPr>
      <w:autoSpaceDE w:val="0"/>
      <w:autoSpaceDN w:val="0"/>
      <w:adjustRightInd w:val="0"/>
      <w:snapToGrid w:val="0"/>
      <w:spacing w:beforeLines="20" w:beforeAutospacing="1" w:after="100" w:afterAutospacing="1" w:line="360" w:lineRule="auto"/>
      <w:ind w:firstLine="567" w:firstLineChars="200"/>
      <w:textAlignment w:val="baseline"/>
    </w:pPr>
    <w:rPr>
      <w:rFonts w:ascii="宋体" w:hAnsi="Tms Rmn"/>
      <w:kern w:val="0"/>
      <w:sz w:val="26"/>
      <w:szCs w:val="20"/>
    </w:rPr>
  </w:style>
  <w:style w:type="paragraph" w:customStyle="1" w:styleId="419">
    <w:name w:val="公式脚注"/>
    <w:basedOn w:val="1"/>
    <w:semiHidden/>
    <w:qFormat/>
    <w:uiPriority w:val="0"/>
    <w:pPr>
      <w:spacing w:afterLines="50" w:line="360" w:lineRule="auto"/>
      <w:ind w:left="737" w:firstLine="480" w:firstLineChars="200"/>
    </w:pPr>
    <w:rPr>
      <w:rFonts w:ascii="华文中宋" w:cs="宋体"/>
      <w:szCs w:val="20"/>
    </w:rPr>
  </w:style>
  <w:style w:type="paragraph" w:customStyle="1" w:styleId="420">
    <w:name w:val="bt2"/>
    <w:basedOn w:val="1"/>
    <w:semiHidden/>
    <w:qFormat/>
    <w:uiPriority w:val="0"/>
    <w:pPr>
      <w:tabs>
        <w:tab w:val="left" w:pos="567"/>
      </w:tabs>
      <w:adjustRightInd w:val="0"/>
      <w:spacing w:beforeLines="120" w:afterLines="100"/>
      <w:ind w:left="567" w:hanging="567" w:firstLineChars="200"/>
      <w:jc w:val="center"/>
      <w:textAlignment w:val="baseline"/>
      <w:outlineLvl w:val="1"/>
    </w:pPr>
    <w:rPr>
      <w:b/>
      <w:kern w:val="0"/>
      <w:sz w:val="32"/>
      <w:szCs w:val="20"/>
    </w:rPr>
  </w:style>
  <w:style w:type="paragraph" w:customStyle="1" w:styleId="421">
    <w:name w:val="样式 标题 1 + (中文) 宋体 三号 居中 段前: 12 磅 段后: 12 磅 行距: 单倍行距"/>
    <w:basedOn w:val="2"/>
    <w:semiHidden/>
    <w:qFormat/>
    <w:uiPriority w:val="0"/>
    <w:pPr>
      <w:keepNext/>
      <w:keepLines/>
      <w:numPr>
        <w:numId w:val="0"/>
      </w:numPr>
      <w:tabs>
        <w:tab w:val="left" w:pos="1440"/>
      </w:tabs>
      <w:autoSpaceDE/>
      <w:autoSpaceDN/>
      <w:adjustRightInd/>
      <w:spacing w:before="360" w:after="240" w:line="240" w:lineRule="auto"/>
      <w:jc w:val="center"/>
    </w:pPr>
    <w:rPr>
      <w:rFonts w:ascii="Times New Roman" w:eastAsia="宋体" w:cs="宋体"/>
      <w:b/>
      <w:bCs/>
      <w:kern w:val="44"/>
      <w:sz w:val="32"/>
      <w:szCs w:val="20"/>
    </w:rPr>
  </w:style>
  <w:style w:type="paragraph" w:customStyle="1" w:styleId="422">
    <w:name w:val="样式 样式 标题 2 + 首行缩进:  2 字符 + 段后: 0.5 行"/>
    <w:basedOn w:val="423"/>
    <w:semiHidden/>
    <w:qFormat/>
    <w:uiPriority w:val="0"/>
    <w:pPr>
      <w:tabs>
        <w:tab w:val="left" w:pos="1080"/>
      </w:tabs>
      <w:adjustRightInd w:val="0"/>
      <w:snapToGrid w:val="0"/>
      <w:spacing w:beforeLines="50" w:after="50" w:line="480" w:lineRule="exact"/>
      <w:ind w:left="240" w:right="280" w:rightChars="100"/>
    </w:pPr>
    <w:rPr>
      <w:rFonts w:ascii="宋体" w:hAnsi="宋体" w:eastAsia="宋体"/>
      <w:bCs w:val="0"/>
      <w:sz w:val="24"/>
      <w:szCs w:val="28"/>
    </w:rPr>
  </w:style>
  <w:style w:type="paragraph" w:customStyle="1" w:styleId="423">
    <w:name w:val="样式 标题 2 + 首行缩进:  2 字符"/>
    <w:basedOn w:val="3"/>
    <w:semiHidden/>
    <w:qFormat/>
    <w:uiPriority w:val="0"/>
    <w:pPr>
      <w:numPr>
        <w:ilvl w:val="0"/>
        <w:numId w:val="0"/>
      </w:numPr>
      <w:tabs>
        <w:tab w:val="left" w:pos="1080"/>
      </w:tabs>
      <w:spacing w:line="300" w:lineRule="auto"/>
    </w:pPr>
    <w:rPr>
      <w:rFonts w:ascii="Arial" w:hAnsi="Arial" w:cs="宋体"/>
      <w:b w:val="0"/>
      <w:bCs/>
      <w:snapToGrid/>
      <w:kern w:val="2"/>
      <w:sz w:val="30"/>
      <w:szCs w:val="20"/>
    </w:rPr>
  </w:style>
  <w:style w:type="paragraph" w:customStyle="1" w:styleId="424">
    <w:name w:val="1 Char Char Char Char"/>
    <w:basedOn w:val="1"/>
    <w:semiHidden/>
    <w:qFormat/>
    <w:uiPriority w:val="0"/>
    <w:rPr>
      <w:sz w:val="21"/>
    </w:rPr>
  </w:style>
  <w:style w:type="paragraph" w:customStyle="1" w:styleId="425">
    <w:name w:val="font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26">
    <w:name w:val="样式 首行缩进:  1.11 厘米"/>
    <w:basedOn w:val="1"/>
    <w:semiHidden/>
    <w:qFormat/>
    <w:uiPriority w:val="0"/>
    <w:pPr>
      <w:spacing w:line="360" w:lineRule="auto"/>
      <w:ind w:firstLine="629" w:firstLineChars="200"/>
    </w:pPr>
    <w:rPr>
      <w:sz w:val="28"/>
      <w:szCs w:val="20"/>
    </w:rPr>
  </w:style>
  <w:style w:type="paragraph" w:customStyle="1" w:styleId="427">
    <w:name w:val="xl105"/>
    <w:basedOn w:val="1"/>
    <w:semiHidden/>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428">
    <w:name w:val="样式 1.1.1 + 居中 首行缩进:  2 字符 段前: 7.8 磅 段后: 7.8 磅 行距: 最小值 20 磅"/>
    <w:semiHidden/>
    <w:qFormat/>
    <w:uiPriority w:val="0"/>
    <w:pPr>
      <w:spacing w:before="156" w:after="156" w:line="400" w:lineRule="atLeast"/>
      <w:ind w:right="31" w:rightChars="13" w:firstLine="562"/>
      <w:jc w:val="center"/>
    </w:pPr>
    <w:rPr>
      <w:rFonts w:ascii="宋体" w:hAnsi="Arial" w:eastAsia="宋体" w:cs="宋体"/>
      <w:b/>
      <w:bCs/>
      <w:sz w:val="28"/>
      <w:lang w:val="en-US" w:eastAsia="zh-CN" w:bidi="ar-SA"/>
    </w:rPr>
  </w:style>
  <w:style w:type="paragraph" w:customStyle="1" w:styleId="429">
    <w:name w:val="Char Char Char Char1"/>
    <w:basedOn w:val="1"/>
    <w:semiHidden/>
    <w:qFormat/>
    <w:uiPriority w:val="0"/>
    <w:pPr>
      <w:snapToGrid w:val="0"/>
      <w:jc w:val="center"/>
    </w:pPr>
    <w:rPr>
      <w:rFonts w:ascii="宋体" w:hAnsi="宋体"/>
      <w:color w:val="000000"/>
      <w:sz w:val="21"/>
    </w:rPr>
  </w:style>
  <w:style w:type="paragraph" w:customStyle="1" w:styleId="430">
    <w:name w:val="样式 (中文) 黑体 初号 居中"/>
    <w:basedOn w:val="1"/>
    <w:semiHidden/>
    <w:qFormat/>
    <w:uiPriority w:val="0"/>
    <w:pPr>
      <w:adjustRightInd w:val="0"/>
      <w:snapToGrid w:val="0"/>
      <w:spacing w:line="360" w:lineRule="auto"/>
      <w:ind w:firstLine="560" w:firstLineChars="200"/>
      <w:jc w:val="center"/>
    </w:pPr>
    <w:rPr>
      <w:rFonts w:ascii="宋体" w:eastAsia="黑体" w:cs="宋体"/>
      <w:snapToGrid w:val="0"/>
      <w:spacing w:val="40"/>
      <w:kern w:val="0"/>
      <w:sz w:val="84"/>
      <w:szCs w:val="84"/>
      <w:shd w:val="clear" w:color="auto" w:fill="FFFFFF"/>
    </w:rPr>
  </w:style>
  <w:style w:type="paragraph" w:customStyle="1" w:styleId="431">
    <w:name w:val="我的正文"/>
    <w:basedOn w:val="1"/>
    <w:semiHidden/>
    <w:qFormat/>
    <w:uiPriority w:val="0"/>
    <w:pPr>
      <w:spacing w:line="500" w:lineRule="exact"/>
      <w:ind w:firstLine="584"/>
    </w:pPr>
    <w:rPr>
      <w:rFonts w:ascii="宋体" w:hAnsi="宋体" w:cs="Arial"/>
      <w:bCs/>
      <w:color w:val="000000"/>
      <w:kern w:val="28"/>
      <w:sz w:val="28"/>
      <w:szCs w:val="32"/>
    </w:rPr>
  </w:style>
  <w:style w:type="paragraph" w:customStyle="1" w:styleId="432">
    <w:name w:val="正文项目编号1"/>
    <w:basedOn w:val="1"/>
    <w:semiHidden/>
    <w:qFormat/>
    <w:uiPriority w:val="0"/>
    <w:pPr>
      <w:tabs>
        <w:tab w:val="left" w:pos="960"/>
      </w:tabs>
      <w:spacing w:before="60" w:after="60" w:line="360" w:lineRule="auto"/>
      <w:ind w:left="960" w:hanging="420"/>
    </w:pPr>
    <w:rPr>
      <w:rFonts w:eastAsia="仿宋_GB2312"/>
      <w:kern w:val="0"/>
      <w:sz w:val="28"/>
      <w:szCs w:val="20"/>
    </w:rPr>
  </w:style>
  <w:style w:type="paragraph" w:customStyle="1" w:styleId="433">
    <w:name w:val="Body Text 1"/>
    <w:basedOn w:val="1"/>
    <w:semiHidden/>
    <w:qFormat/>
    <w:uiPriority w:val="0"/>
    <w:pPr>
      <w:widowControl/>
      <w:tabs>
        <w:tab w:val="left" w:pos="709"/>
        <w:tab w:val="right" w:pos="1276"/>
      </w:tabs>
      <w:spacing w:beforeLines="50" w:afterLines="50" w:line="240" w:lineRule="atLeast"/>
      <w:ind w:left="709" w:right="-57" w:hanging="283"/>
      <w:jc w:val="left"/>
    </w:pPr>
    <w:rPr>
      <w:rFonts w:ascii="Arial" w:hAnsi="Arial"/>
      <w:kern w:val="0"/>
    </w:rPr>
  </w:style>
  <w:style w:type="paragraph" w:customStyle="1" w:styleId="434">
    <w:name w:val="样式 表头 + 小四"/>
    <w:basedOn w:val="63"/>
    <w:semiHidden/>
    <w:qFormat/>
    <w:uiPriority w:val="0"/>
    <w:pPr>
      <w:ind w:left="420" w:leftChars="0" w:hanging="420" w:firstLineChars="0"/>
      <w:jc w:val="center"/>
    </w:pPr>
    <w:rPr>
      <w:b/>
      <w:bCs/>
      <w:sz w:val="24"/>
      <w:szCs w:val="20"/>
    </w:rPr>
  </w:style>
  <w:style w:type="paragraph" w:customStyle="1" w:styleId="435">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36">
    <w:name w:val="样式 样式 宋体 小四 首行缩进:  2 字符 + 行距: 固定值 25 磅"/>
    <w:basedOn w:val="1"/>
    <w:semiHidden/>
    <w:qFormat/>
    <w:uiPriority w:val="0"/>
    <w:pPr>
      <w:spacing w:line="500" w:lineRule="exact"/>
      <w:ind w:firstLine="480" w:firstLineChars="200"/>
    </w:pPr>
    <w:rPr>
      <w:rFonts w:ascii="宋体" w:hAnsi="宋体" w:cs="宋体"/>
      <w:szCs w:val="20"/>
    </w:rPr>
  </w:style>
  <w:style w:type="paragraph" w:customStyle="1" w:styleId="437">
    <w:name w:val="样式 表格 + 小四 居中"/>
    <w:basedOn w:val="189"/>
    <w:semiHidden/>
    <w:qFormat/>
    <w:uiPriority w:val="0"/>
    <w:pPr>
      <w:widowControl/>
      <w:wordWrap/>
      <w:adjustRightInd/>
      <w:spacing w:line="240" w:lineRule="auto"/>
      <w:ind w:firstLine="0"/>
      <w:textAlignment w:val="auto"/>
    </w:pPr>
    <w:rPr>
      <w:rFonts w:cs="宋体"/>
      <w:kern w:val="2"/>
    </w:rPr>
  </w:style>
  <w:style w:type="paragraph" w:customStyle="1" w:styleId="438">
    <w:name w:val="标题1"/>
    <w:basedOn w:val="2"/>
    <w:semiHidden/>
    <w:qFormat/>
    <w:uiPriority w:val="0"/>
    <w:pPr>
      <w:keepNext/>
      <w:keepLines/>
      <w:numPr>
        <w:numId w:val="0"/>
      </w:numPr>
      <w:tabs>
        <w:tab w:val="left" w:pos="1440"/>
      </w:tabs>
      <w:autoSpaceDE/>
      <w:autoSpaceDN/>
      <w:spacing w:after="240" w:line="360" w:lineRule="auto"/>
      <w:jc w:val="center"/>
      <w:textAlignment w:val="baseline"/>
    </w:pPr>
    <w:rPr>
      <w:rFonts w:ascii="Times New Roman" w:hAnsi="华文中宋" w:eastAsia="宋体"/>
      <w:b/>
      <w:bCs/>
      <w:kern w:val="44"/>
      <w:sz w:val="32"/>
      <w:szCs w:val="44"/>
    </w:rPr>
  </w:style>
  <w:style w:type="paragraph" w:customStyle="1" w:styleId="439">
    <w:name w:val="基准页眉样式"/>
    <w:basedOn w:val="30"/>
    <w:semiHidden/>
    <w:qFormat/>
    <w:uiPriority w:val="0"/>
    <w:pPr>
      <w:spacing w:line="500" w:lineRule="exact"/>
      <w:jc w:val="center"/>
    </w:pPr>
    <w:rPr>
      <w:lang w:val="zh-CN"/>
    </w:rPr>
  </w:style>
  <w:style w:type="paragraph" w:customStyle="1" w:styleId="440">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color w:val="000000"/>
      <w:kern w:val="0"/>
      <w:sz w:val="20"/>
      <w:szCs w:val="20"/>
    </w:rPr>
  </w:style>
  <w:style w:type="paragraph" w:customStyle="1" w:styleId="441">
    <w:name w:val="bt1"/>
    <w:basedOn w:val="1"/>
    <w:semiHidden/>
    <w:qFormat/>
    <w:uiPriority w:val="0"/>
    <w:pPr>
      <w:tabs>
        <w:tab w:val="left" w:pos="425"/>
      </w:tabs>
      <w:adjustRightInd w:val="0"/>
      <w:spacing w:beforeLines="100" w:afterLines="70"/>
      <w:ind w:left="425" w:hanging="425" w:firstLineChars="200"/>
      <w:jc w:val="center"/>
      <w:textAlignment w:val="baseline"/>
      <w:outlineLvl w:val="0"/>
    </w:pPr>
    <w:rPr>
      <w:b/>
      <w:kern w:val="0"/>
      <w:sz w:val="36"/>
      <w:szCs w:val="20"/>
    </w:rPr>
  </w:style>
  <w:style w:type="paragraph" w:customStyle="1" w:styleId="442">
    <w:name w:val="xl86"/>
    <w:basedOn w:val="1"/>
    <w:semiHidden/>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43">
    <w:name w:val="正文首行缩进2字符"/>
    <w:basedOn w:val="1"/>
    <w:semiHidden/>
    <w:qFormat/>
    <w:uiPriority w:val="0"/>
    <w:pPr>
      <w:spacing w:before="60" w:after="60" w:line="500" w:lineRule="exact"/>
      <w:ind w:firstLine="200" w:firstLineChars="200"/>
    </w:pPr>
    <w:rPr>
      <w:rFonts w:ascii="宋体" w:hAnsi="宋体" w:cs="宋体"/>
      <w:sz w:val="28"/>
      <w:szCs w:val="28"/>
    </w:rPr>
  </w:style>
  <w:style w:type="paragraph" w:customStyle="1" w:styleId="44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45">
    <w:name w:val="网格表 31"/>
    <w:basedOn w:val="2"/>
    <w:next w:val="1"/>
    <w:qFormat/>
    <w:uiPriority w:val="0"/>
    <w:pPr>
      <w:keepNext/>
      <w:keepLines/>
      <w:widowControl/>
      <w:numPr>
        <w:numId w:val="0"/>
      </w:numPr>
      <w:tabs>
        <w:tab w:val="left" w:pos="1440"/>
      </w:tabs>
      <w:autoSpaceDE/>
      <w:autoSpaceDN/>
      <w:adjustRightInd/>
      <w:spacing w:before="480" w:line="276" w:lineRule="auto"/>
      <w:outlineLvl w:val="9"/>
    </w:pPr>
    <w:rPr>
      <w:rFonts w:ascii="Cambria" w:hAnsi="Cambria" w:eastAsia="宋体"/>
      <w:b/>
      <w:bCs/>
      <w:color w:val="365F91"/>
      <w:sz w:val="28"/>
      <w:szCs w:val="28"/>
    </w:rPr>
  </w:style>
  <w:style w:type="paragraph" w:customStyle="1" w:styleId="446">
    <w:name w:val="xl84"/>
    <w:basedOn w:val="1"/>
    <w:semiHidden/>
    <w:qFormat/>
    <w:uiPriority w:val="0"/>
    <w:pPr>
      <w:widowControl/>
      <w:spacing w:before="100" w:beforeAutospacing="1" w:after="100" w:afterAutospacing="1"/>
      <w:jc w:val="right"/>
    </w:pPr>
    <w:rPr>
      <w:rFonts w:ascii="宋体" w:hAnsi="宋体" w:cs="宋体"/>
      <w:color w:val="000000"/>
      <w:kern w:val="0"/>
      <w:sz w:val="20"/>
      <w:szCs w:val="20"/>
    </w:rPr>
  </w:style>
  <w:style w:type="paragraph" w:customStyle="1" w:styleId="447">
    <w:name w:val="样式 大标题 + 段前: 2 行"/>
    <w:basedOn w:val="448"/>
    <w:semiHidden/>
    <w:qFormat/>
    <w:uiPriority w:val="0"/>
    <w:pPr>
      <w:keepNext w:val="0"/>
      <w:keepLines w:val="0"/>
      <w:tabs>
        <w:tab w:val="left" w:pos="1440"/>
      </w:tabs>
    </w:pPr>
    <w:rPr>
      <w:bCs/>
      <w:szCs w:val="20"/>
    </w:rPr>
  </w:style>
  <w:style w:type="paragraph" w:customStyle="1" w:styleId="448">
    <w:name w:val="大标题"/>
    <w:basedOn w:val="2"/>
    <w:semiHidden/>
    <w:qFormat/>
    <w:uiPriority w:val="0"/>
    <w:pPr>
      <w:keepNext/>
      <w:keepLines/>
      <w:numPr>
        <w:numId w:val="0"/>
      </w:numPr>
      <w:tabs>
        <w:tab w:val="left" w:pos="1440"/>
      </w:tabs>
      <w:autoSpaceDE/>
      <w:autoSpaceDN/>
      <w:adjustRightInd/>
      <w:spacing w:beforeLines="200" w:after="200" w:line="360" w:lineRule="auto"/>
      <w:ind w:left="425" w:hanging="425"/>
      <w:jc w:val="both"/>
    </w:pPr>
    <w:rPr>
      <w:b/>
      <w:kern w:val="44"/>
      <w:sz w:val="32"/>
      <w:szCs w:val="32"/>
    </w:rPr>
  </w:style>
  <w:style w:type="paragraph" w:customStyle="1" w:styleId="449">
    <w:name w:val="样式 (中文) 黑体 二号 居中 加宽量  2 磅"/>
    <w:basedOn w:val="1"/>
    <w:semiHidden/>
    <w:qFormat/>
    <w:uiPriority w:val="0"/>
    <w:pPr>
      <w:adjustRightInd w:val="0"/>
      <w:snapToGrid w:val="0"/>
      <w:spacing w:line="360" w:lineRule="auto"/>
      <w:ind w:firstLine="560" w:firstLineChars="200"/>
      <w:jc w:val="center"/>
    </w:pPr>
    <w:rPr>
      <w:rFonts w:ascii="宋体" w:eastAsia="黑体" w:cs="宋体"/>
      <w:snapToGrid w:val="0"/>
      <w:spacing w:val="40"/>
      <w:kern w:val="0"/>
      <w:sz w:val="44"/>
      <w:szCs w:val="44"/>
      <w:shd w:val="clear" w:color="auto" w:fill="FFFFFF"/>
    </w:rPr>
  </w:style>
  <w:style w:type="paragraph" w:customStyle="1" w:styleId="450">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1">
    <w:name w:val="PP 行"/>
    <w:basedOn w:val="49"/>
    <w:semiHidden/>
    <w:qFormat/>
    <w:uiPriority w:val="0"/>
    <w:pPr>
      <w:wordWrap/>
    </w:pPr>
  </w:style>
  <w:style w:type="paragraph" w:customStyle="1" w:styleId="452">
    <w:name w:val="标题4"/>
    <w:basedOn w:val="1"/>
    <w:semiHidden/>
    <w:qFormat/>
    <w:uiPriority w:val="0"/>
    <w:pPr>
      <w:autoSpaceDE w:val="0"/>
      <w:autoSpaceDN w:val="0"/>
      <w:adjustRightInd w:val="0"/>
      <w:spacing w:line="560" w:lineRule="exact"/>
      <w:jc w:val="left"/>
      <w:textAlignment w:val="bottom"/>
    </w:pPr>
    <w:rPr>
      <w:rFonts w:ascii="Arial" w:hAnsi="Arial"/>
      <w:kern w:val="0"/>
      <w:sz w:val="28"/>
      <w:szCs w:val="20"/>
    </w:rPr>
  </w:style>
  <w:style w:type="paragraph" w:customStyle="1" w:styleId="453">
    <w:name w:val="xl103"/>
    <w:basedOn w:val="1"/>
    <w:semiHidden/>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454">
    <w:name w:val="样式 标题 4 + 左侧:  2 字符"/>
    <w:basedOn w:val="6"/>
    <w:semiHidden/>
    <w:qFormat/>
    <w:uiPriority w:val="0"/>
    <w:pPr>
      <w:tabs>
        <w:tab w:val="left" w:pos="864"/>
      </w:tabs>
      <w:spacing w:before="0" w:after="0" w:line="240" w:lineRule="auto"/>
      <w:ind w:left="864" w:hanging="144"/>
      <w:outlineLvl w:val="0"/>
    </w:pPr>
    <w:rPr>
      <w:rFonts w:ascii="Times New Roman" w:hAnsi="Times New Roman" w:eastAsia="宋体"/>
      <w:bCs w:val="0"/>
    </w:rPr>
  </w:style>
  <w:style w:type="paragraph" w:customStyle="1" w:styleId="455">
    <w:name w:val="样式 表格 + 首行缩进:  2 字符1"/>
    <w:basedOn w:val="189"/>
    <w:semiHidden/>
    <w:qFormat/>
    <w:uiPriority w:val="0"/>
    <w:pPr>
      <w:wordWrap/>
      <w:snapToGrid w:val="0"/>
      <w:ind w:firstLine="0"/>
      <w:jc w:val="both"/>
    </w:pPr>
    <w:rPr>
      <w:rFonts w:ascii="宋体" w:cs="宋体"/>
    </w:rPr>
  </w:style>
  <w:style w:type="paragraph" w:customStyle="1" w:styleId="456">
    <w:name w:val="表文新"/>
    <w:basedOn w:val="1"/>
    <w:semiHidden/>
    <w:qFormat/>
    <w:uiPriority w:val="0"/>
    <w:pPr>
      <w:spacing w:line="400" w:lineRule="exact"/>
      <w:jc w:val="center"/>
    </w:pPr>
    <w:rPr>
      <w:rFonts w:eastAsia="华文中宋"/>
      <w:sz w:val="21"/>
      <w:szCs w:val="18"/>
    </w:rPr>
  </w:style>
  <w:style w:type="paragraph" w:customStyle="1" w:styleId="457">
    <w:name w:val="note"/>
    <w:basedOn w:val="1"/>
    <w:semiHidden/>
    <w:qFormat/>
    <w:uiPriority w:val="0"/>
    <w:pPr>
      <w:widowControl/>
      <w:spacing w:after="160" w:line="264" w:lineRule="auto"/>
      <w:ind w:left="1247" w:hanging="1247"/>
    </w:pPr>
    <w:rPr>
      <w:rFonts w:ascii="Arial" w:hAnsi="Arial" w:cs="Arial"/>
      <w:bCs/>
      <w:sz w:val="18"/>
      <w:szCs w:val="18"/>
    </w:rPr>
  </w:style>
  <w:style w:type="paragraph" w:customStyle="1" w:styleId="458">
    <w:name w:val="样式 标题 2节标题 +"/>
    <w:basedOn w:val="3"/>
    <w:semiHidden/>
    <w:qFormat/>
    <w:uiPriority w:val="0"/>
    <w:pPr>
      <w:numPr>
        <w:numId w:val="0"/>
      </w:numPr>
      <w:tabs>
        <w:tab w:val="left" w:pos="720"/>
        <w:tab w:val="left" w:pos="1080"/>
      </w:tabs>
      <w:spacing w:beforeLines="50" w:afterLines="20" w:line="480" w:lineRule="exact"/>
      <w:ind w:right="280" w:rightChars="100"/>
      <w:jc w:val="left"/>
    </w:pPr>
    <w:rPr>
      <w:rFonts w:cs="宋体"/>
      <w:bCs/>
      <w:snapToGrid/>
      <w:kern w:val="2"/>
      <w:sz w:val="24"/>
    </w:rPr>
  </w:style>
  <w:style w:type="paragraph" w:customStyle="1" w:styleId="459">
    <w:name w:val="font10"/>
    <w:basedOn w:val="1"/>
    <w:qFormat/>
    <w:uiPriority w:val="0"/>
    <w:pPr>
      <w:widowControl/>
      <w:spacing w:before="100" w:beforeAutospacing="1" w:after="100" w:afterAutospacing="1"/>
      <w:jc w:val="left"/>
    </w:pPr>
    <w:rPr>
      <w:kern w:val="0"/>
      <w:sz w:val="20"/>
      <w:szCs w:val="20"/>
    </w:rPr>
  </w:style>
  <w:style w:type="paragraph" w:customStyle="1" w:styleId="460">
    <w:name w:val="xl104"/>
    <w:basedOn w:val="1"/>
    <w:semiHidden/>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461">
    <w:name w:val="封面3"/>
    <w:basedOn w:val="1"/>
    <w:semiHidden/>
    <w:qFormat/>
    <w:uiPriority w:val="0"/>
    <w:pPr>
      <w:adjustRightInd w:val="0"/>
      <w:spacing w:line="0" w:lineRule="atLeast"/>
      <w:jc w:val="center"/>
      <w:textAlignment w:val="baseline"/>
    </w:pPr>
    <w:rPr>
      <w:rFonts w:eastAsia="方正姚体"/>
      <w:kern w:val="0"/>
      <w:sz w:val="48"/>
      <w:szCs w:val="20"/>
    </w:rPr>
  </w:style>
  <w:style w:type="paragraph" w:customStyle="1" w:styleId="462">
    <w:name w:val="正文 首行缩进:  2 字符"/>
    <w:basedOn w:val="1"/>
    <w:semiHidden/>
    <w:qFormat/>
    <w:uiPriority w:val="0"/>
    <w:pPr>
      <w:widowControl/>
      <w:spacing w:line="360" w:lineRule="auto"/>
      <w:ind w:right="-448" w:rightChars="-160" w:firstLine="560" w:firstLineChars="200"/>
    </w:pPr>
    <w:rPr>
      <w:rFonts w:cs="宋体"/>
      <w:color w:val="000000"/>
      <w:kern w:val="0"/>
      <w:sz w:val="28"/>
      <w:szCs w:val="20"/>
    </w:rPr>
  </w:style>
  <w:style w:type="paragraph" w:customStyle="1" w:styleId="463">
    <w:name w:val="样式 小三 左 首行缩进:  1.06 厘米"/>
    <w:basedOn w:val="1"/>
    <w:semiHidden/>
    <w:qFormat/>
    <w:uiPriority w:val="0"/>
    <w:pPr>
      <w:adjustRightInd w:val="0"/>
      <w:spacing w:line="360" w:lineRule="auto"/>
      <w:ind w:firstLine="601" w:firstLineChars="200"/>
      <w:jc w:val="left"/>
      <w:textAlignment w:val="baseline"/>
    </w:pPr>
    <w:rPr>
      <w:kern w:val="0"/>
      <w:sz w:val="28"/>
      <w:szCs w:val="20"/>
    </w:rPr>
  </w:style>
  <w:style w:type="paragraph" w:customStyle="1" w:styleId="464">
    <w:name w:val="xl108"/>
    <w:basedOn w:val="1"/>
    <w:semiHidden/>
    <w:qFormat/>
    <w:uiPriority w:val="0"/>
    <w:pPr>
      <w:widowControl/>
      <w:pBdr>
        <w:top w:val="single" w:color="auto" w:sz="4" w:space="0"/>
        <w:left w:val="single" w:color="auto" w:sz="4" w:space="0"/>
        <w:bottom w:val="single" w:color="auto" w:sz="4" w:space="0"/>
        <w:right w:val="single" w:color="auto" w:sz="4" w:space="0"/>
      </w:pBdr>
      <w:shd w:val="clear" w:color="000000" w:fill="00FFFF"/>
      <w:spacing w:before="100" w:beforeAutospacing="1" w:after="100" w:afterAutospacing="1"/>
      <w:jc w:val="center"/>
      <w:textAlignment w:val="center"/>
    </w:pPr>
    <w:rPr>
      <w:rFonts w:ascii="宋体" w:hAnsi="宋体" w:cs="宋体"/>
      <w:kern w:val="0"/>
      <w:sz w:val="22"/>
      <w:szCs w:val="22"/>
    </w:rPr>
  </w:style>
  <w:style w:type="paragraph" w:customStyle="1" w:styleId="465">
    <w:name w:val="正文文本1"/>
    <w:basedOn w:val="1"/>
    <w:semiHidden/>
    <w:qFormat/>
    <w:uiPriority w:val="0"/>
    <w:pPr>
      <w:widowControl/>
      <w:tabs>
        <w:tab w:val="left" w:pos="1440"/>
      </w:tabs>
      <w:adjustRightInd w:val="0"/>
      <w:snapToGrid w:val="0"/>
      <w:spacing w:after="240"/>
      <w:ind w:left="1440" w:right="400" w:hanging="360"/>
    </w:pPr>
    <w:rPr>
      <w:rFonts w:ascii="Arial" w:hAnsi="Arial" w:cs="Arial"/>
      <w:snapToGrid w:val="0"/>
    </w:rPr>
  </w:style>
  <w:style w:type="paragraph" w:customStyle="1" w:styleId="466">
    <w:name w:val="样式 Arial 小四 黑色 行距: 2 倍行距"/>
    <w:basedOn w:val="1"/>
    <w:semiHidden/>
    <w:qFormat/>
    <w:uiPriority w:val="0"/>
    <w:pPr>
      <w:spacing w:line="480" w:lineRule="auto"/>
    </w:pPr>
    <w:rPr>
      <w:rFonts w:ascii="Arial" w:hAnsi="Arial" w:cs="宋体"/>
      <w:color w:val="000000"/>
      <w:sz w:val="21"/>
      <w:szCs w:val="20"/>
    </w:rPr>
  </w:style>
  <w:style w:type="paragraph" w:customStyle="1" w:styleId="46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8">
    <w:name w:val="样式 楷体_GB2312 黑色 首行缩进:  0.99 厘米"/>
    <w:basedOn w:val="1"/>
    <w:semiHidden/>
    <w:qFormat/>
    <w:uiPriority w:val="0"/>
    <w:pPr>
      <w:adjustRightInd w:val="0"/>
      <w:spacing w:line="312" w:lineRule="auto"/>
      <w:ind w:firstLine="560"/>
      <w:textAlignment w:val="baseline"/>
    </w:pPr>
    <w:rPr>
      <w:rFonts w:ascii="楷体_GB2312"/>
      <w:color w:val="000000"/>
      <w:kern w:val="0"/>
      <w:sz w:val="28"/>
      <w:szCs w:val="20"/>
    </w:rPr>
  </w:style>
  <w:style w:type="paragraph" w:customStyle="1" w:styleId="469">
    <w:name w:val="样式6"/>
    <w:basedOn w:val="1"/>
    <w:semiHidden/>
    <w:qFormat/>
    <w:uiPriority w:val="0"/>
    <w:pPr>
      <w:ind w:firstLine="420" w:firstLineChars="200"/>
    </w:pPr>
    <w:rPr>
      <w:rFonts w:eastAsia="华文中宋"/>
      <w:color w:val="000000"/>
      <w:kern w:val="0"/>
      <w:sz w:val="21"/>
    </w:rPr>
  </w:style>
  <w:style w:type="paragraph" w:customStyle="1" w:styleId="470">
    <w:name w:val="表题"/>
    <w:basedOn w:val="1"/>
    <w:semiHidden/>
    <w:qFormat/>
    <w:uiPriority w:val="0"/>
    <w:pPr>
      <w:adjustRightInd w:val="0"/>
      <w:spacing w:afterLines="50" w:line="500" w:lineRule="exact"/>
      <w:ind w:firstLine="567"/>
      <w:jc w:val="center"/>
      <w:textAlignment w:val="baseline"/>
    </w:pPr>
    <w:rPr>
      <w:rFonts w:ascii="CG Times" w:hAnsi="CG Times" w:eastAsia="黑体"/>
      <w:b/>
      <w:kern w:val="0"/>
      <w:sz w:val="28"/>
      <w:szCs w:val="28"/>
    </w:rPr>
  </w:style>
  <w:style w:type="paragraph" w:customStyle="1" w:styleId="471">
    <w:name w:val="表格字样"/>
    <w:basedOn w:val="1"/>
    <w:semiHidden/>
    <w:qFormat/>
    <w:uiPriority w:val="0"/>
    <w:pPr>
      <w:snapToGrid w:val="0"/>
    </w:pPr>
    <w:rPr>
      <w:sz w:val="21"/>
      <w:szCs w:val="21"/>
    </w:rPr>
  </w:style>
  <w:style w:type="paragraph" w:customStyle="1" w:styleId="472">
    <w:name w:val="xl6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bCs/>
      <w:kern w:val="0"/>
      <w:sz w:val="20"/>
      <w:szCs w:val="20"/>
    </w:rPr>
  </w:style>
  <w:style w:type="paragraph" w:customStyle="1" w:styleId="475">
    <w:name w:val="Char5"/>
    <w:basedOn w:val="1"/>
    <w:semiHidden/>
    <w:qFormat/>
    <w:uiPriority w:val="0"/>
    <w:pPr>
      <w:adjustRightInd w:val="0"/>
      <w:spacing w:line="436" w:lineRule="exact"/>
      <w:ind w:left="357"/>
      <w:jc w:val="left"/>
      <w:outlineLvl w:val="3"/>
    </w:pPr>
    <w:rPr>
      <w:rFonts w:ascii="Tahoma" w:hAnsi="Tahoma" w:cs="宋体"/>
      <w:b/>
      <w:szCs w:val="20"/>
      <w:shd w:val="clear" w:color="auto" w:fill="000080"/>
    </w:rPr>
  </w:style>
  <w:style w:type="paragraph" w:customStyle="1" w:styleId="47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kern w:val="0"/>
      <w:sz w:val="20"/>
      <w:szCs w:val="20"/>
    </w:rPr>
  </w:style>
  <w:style w:type="paragraph" w:customStyle="1" w:styleId="477">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bCs/>
      <w:kern w:val="0"/>
      <w:sz w:val="20"/>
      <w:szCs w:val="20"/>
    </w:rPr>
  </w:style>
  <w:style w:type="paragraph" w:customStyle="1" w:styleId="478">
    <w:name w:val="样式 表格 + 红色"/>
    <w:basedOn w:val="189"/>
    <w:semiHidden/>
    <w:qFormat/>
    <w:uiPriority w:val="0"/>
    <w:pPr>
      <w:wordWrap/>
      <w:ind w:right="370" w:rightChars="132"/>
    </w:pPr>
    <w:rPr>
      <w:rFonts w:cs="宋体"/>
      <w:sz w:val="21"/>
      <w:szCs w:val="21"/>
    </w:rPr>
  </w:style>
  <w:style w:type="paragraph" w:customStyle="1" w:styleId="479">
    <w:name w:val="段落"/>
    <w:basedOn w:val="1"/>
    <w:semiHidden/>
    <w:qFormat/>
    <w:uiPriority w:val="0"/>
    <w:pPr>
      <w:widowControl/>
      <w:tabs>
        <w:tab w:val="left" w:pos="720"/>
      </w:tabs>
      <w:ind w:left="720" w:hanging="720"/>
      <w:jc w:val="left"/>
    </w:pPr>
    <w:rPr>
      <w:rFonts w:ascii="Arial" w:hAnsi="Arial" w:cs="Arial"/>
      <w:kern w:val="0"/>
    </w:rPr>
  </w:style>
  <w:style w:type="paragraph" w:customStyle="1" w:styleId="480">
    <w:name w:val="正文右齐"/>
    <w:basedOn w:val="1"/>
    <w:next w:val="1"/>
    <w:semiHidden/>
    <w:qFormat/>
    <w:uiPriority w:val="0"/>
    <w:pPr>
      <w:spacing w:line="360" w:lineRule="auto"/>
      <w:ind w:firstLine="600" w:firstLineChars="200"/>
      <w:jc w:val="right"/>
    </w:pPr>
    <w:rPr>
      <w:color w:val="000000"/>
      <w:szCs w:val="30"/>
      <w:shd w:val="clear" w:color="auto" w:fill="FFFFFF"/>
    </w:rPr>
  </w:style>
  <w:style w:type="paragraph" w:customStyle="1" w:styleId="481">
    <w:name w:val="xl107"/>
    <w:basedOn w:val="1"/>
    <w:semiHidden/>
    <w:qFormat/>
    <w:uiPriority w:val="0"/>
    <w:pPr>
      <w:widowControl/>
      <w:pBdr>
        <w:left w:val="single" w:color="auto" w:sz="4" w:space="0"/>
        <w:bottom w:val="single" w:color="auto" w:sz="4" w:space="0"/>
        <w:right w:val="single" w:color="auto" w:sz="4" w:space="0"/>
      </w:pBdr>
      <w:shd w:val="clear" w:color="000000" w:fill="00B0F0"/>
      <w:spacing w:before="100" w:beforeAutospacing="1" w:after="100" w:afterAutospacing="1"/>
      <w:jc w:val="center"/>
      <w:textAlignment w:val="center"/>
    </w:pPr>
    <w:rPr>
      <w:rFonts w:ascii="宋体" w:hAnsi="宋体" w:cs="宋体"/>
      <w:color w:val="000000"/>
      <w:kern w:val="0"/>
      <w:sz w:val="22"/>
      <w:szCs w:val="22"/>
    </w:rPr>
  </w:style>
  <w:style w:type="paragraph" w:customStyle="1" w:styleId="48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483">
    <w:name w:val="扉页2"/>
    <w:basedOn w:val="1"/>
    <w:semiHidden/>
    <w:qFormat/>
    <w:uiPriority w:val="0"/>
    <w:pPr>
      <w:adjustRightInd w:val="0"/>
      <w:spacing w:line="360" w:lineRule="auto"/>
      <w:ind w:firstLine="834" w:firstLineChars="86"/>
      <w:textAlignment w:val="baseline"/>
    </w:pPr>
    <w:rPr>
      <w:kern w:val="0"/>
      <w:sz w:val="30"/>
      <w:szCs w:val="30"/>
    </w:rPr>
  </w:style>
  <w:style w:type="paragraph" w:customStyle="1" w:styleId="484">
    <w:name w:val="标题3"/>
    <w:basedOn w:val="31"/>
    <w:semiHidden/>
    <w:qFormat/>
    <w:uiPriority w:val="0"/>
    <w:pPr>
      <w:adjustRightInd w:val="0"/>
      <w:spacing w:before="100" w:after="100" w:line="480" w:lineRule="exact"/>
      <w:ind w:left="0" w:leftChars="0" w:firstLine="600" w:firstLineChars="0"/>
      <w:jc w:val="both"/>
      <w:textAlignment w:val="baseline"/>
    </w:pPr>
    <w:rPr>
      <w:rFonts w:ascii="黑体"/>
      <w:bCs/>
      <w:kern w:val="32"/>
      <w:sz w:val="28"/>
      <w:szCs w:val="28"/>
      <w:lang w:val="zh-CN"/>
    </w:rPr>
  </w:style>
  <w:style w:type="paragraph" w:customStyle="1" w:styleId="485">
    <w:name w:val="xl88"/>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2"/>
      <w:szCs w:val="22"/>
    </w:rPr>
  </w:style>
  <w:style w:type="paragraph" w:customStyle="1" w:styleId="486">
    <w:name w:val="样式 首行缩进:  0.85 厘米"/>
    <w:basedOn w:val="1"/>
    <w:semiHidden/>
    <w:qFormat/>
    <w:uiPriority w:val="0"/>
    <w:pPr>
      <w:spacing w:line="360" w:lineRule="auto"/>
      <w:ind w:firstLine="200" w:firstLineChars="200"/>
    </w:pPr>
    <w:rPr>
      <w:rFonts w:cs="宋体"/>
    </w:rPr>
  </w:style>
  <w:style w:type="paragraph" w:customStyle="1" w:styleId="487">
    <w:name w:val="默认段落字体 Para Char"/>
    <w:basedOn w:val="1"/>
    <w:semiHidden/>
    <w:qFormat/>
    <w:uiPriority w:val="0"/>
  </w:style>
  <w:style w:type="paragraph" w:customStyle="1" w:styleId="488">
    <w:name w:val="样式 标题 33 bullet2head:3#Head 3título 3列表编号3 + 段前: 1 行 段后: ..."/>
    <w:basedOn w:val="5"/>
    <w:semiHidden/>
    <w:qFormat/>
    <w:uiPriority w:val="0"/>
    <w:pPr>
      <w:tabs>
        <w:tab w:val="clear" w:pos="425"/>
      </w:tabs>
      <w:adjustRightInd w:val="0"/>
      <w:snapToGrid w:val="0"/>
      <w:spacing w:beforeLines="100" w:afterLines="50"/>
      <w:ind w:left="0" w:firstLine="496" w:firstLineChars="172"/>
    </w:pPr>
    <w:rPr>
      <w:rFonts w:ascii="宋体" w:hAnsi="宋体" w:eastAsia="宋体" w:cs="宋体"/>
      <w:snapToGrid/>
      <w:kern w:val="2"/>
      <w:szCs w:val="28"/>
    </w:rPr>
  </w:style>
  <w:style w:type="paragraph" w:customStyle="1" w:styleId="489">
    <w:name w:val="font8"/>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90">
    <w:name w:val="样式 标题 1章标题 + 段前: 0.5 行 段后: 0.5 行"/>
    <w:basedOn w:val="2"/>
    <w:semiHidden/>
    <w:qFormat/>
    <w:uiPriority w:val="0"/>
    <w:pPr>
      <w:keepNext/>
      <w:numPr>
        <w:numId w:val="0"/>
      </w:numPr>
      <w:tabs>
        <w:tab w:val="left" w:pos="432"/>
      </w:tabs>
      <w:autoSpaceDE/>
      <w:autoSpaceDN/>
      <w:adjustRightInd/>
      <w:spacing w:beforeLines="50" w:afterLines="50" w:line="360" w:lineRule="auto"/>
      <w:jc w:val="center"/>
    </w:pPr>
    <w:rPr>
      <w:rFonts w:ascii="Times New Roman" w:cs="宋体"/>
      <w:b/>
      <w:bCs/>
      <w:kern w:val="2"/>
      <w:sz w:val="32"/>
      <w:szCs w:val="32"/>
    </w:rPr>
  </w:style>
  <w:style w:type="paragraph" w:customStyle="1" w:styleId="491">
    <w:name w:val="样式 标题 1 + 三号 居中 行距: 单倍行距"/>
    <w:basedOn w:val="2"/>
    <w:semiHidden/>
    <w:qFormat/>
    <w:uiPriority w:val="0"/>
    <w:pPr>
      <w:keepNext/>
      <w:keepLines/>
      <w:numPr>
        <w:numId w:val="0"/>
      </w:numPr>
      <w:tabs>
        <w:tab w:val="left" w:pos="1440"/>
      </w:tabs>
      <w:autoSpaceDE/>
      <w:autoSpaceDN/>
      <w:snapToGrid w:val="0"/>
      <w:spacing w:line="480" w:lineRule="auto"/>
      <w:jc w:val="center"/>
    </w:pPr>
    <w:rPr>
      <w:rFonts w:ascii="Times New Roman" w:eastAsia="宋体" w:cs="宋体"/>
      <w:b/>
      <w:bCs/>
      <w:kern w:val="44"/>
      <w:sz w:val="32"/>
      <w:szCs w:val="36"/>
    </w:rPr>
  </w:style>
  <w:style w:type="paragraph" w:customStyle="1" w:styleId="492">
    <w:name w:val="Chapitre"/>
    <w:basedOn w:val="1"/>
    <w:semiHidden/>
    <w:qFormat/>
    <w:uiPriority w:val="0"/>
    <w:pPr>
      <w:widowControl/>
      <w:spacing w:before="60" w:after="60" w:line="312" w:lineRule="auto"/>
    </w:pPr>
    <w:rPr>
      <w:b/>
      <w:kern w:val="0"/>
      <w:szCs w:val="20"/>
      <w:lang w:val="fr-FR"/>
    </w:rPr>
  </w:style>
  <w:style w:type="paragraph" w:customStyle="1" w:styleId="493">
    <w:name w:val="Date1"/>
    <w:basedOn w:val="1"/>
    <w:next w:val="1"/>
    <w:semiHidden/>
    <w:qFormat/>
    <w:uiPriority w:val="0"/>
    <w:pPr>
      <w:adjustRightInd w:val="0"/>
      <w:textAlignment w:val="baseline"/>
    </w:pPr>
    <w:rPr>
      <w:snapToGrid w:val="0"/>
      <w:szCs w:val="20"/>
    </w:rPr>
  </w:style>
  <w:style w:type="paragraph" w:customStyle="1" w:styleId="494">
    <w:name w:val="广州标题4"/>
    <w:basedOn w:val="5"/>
    <w:next w:val="1"/>
    <w:semiHidden/>
    <w:qFormat/>
    <w:uiPriority w:val="0"/>
    <w:pPr>
      <w:tabs>
        <w:tab w:val="clear" w:pos="425"/>
      </w:tabs>
      <w:spacing w:before="0" w:after="0" w:line="360" w:lineRule="auto"/>
      <w:ind w:left="0" w:firstLine="200" w:firstLineChars="200"/>
      <w:jc w:val="left"/>
    </w:pPr>
    <w:rPr>
      <w:bCs/>
      <w:snapToGrid/>
      <w:kern w:val="2"/>
    </w:rPr>
  </w:style>
  <w:style w:type="paragraph" w:customStyle="1" w:styleId="495">
    <w:name w:val="6"/>
    <w:basedOn w:val="1"/>
    <w:next w:val="39"/>
    <w:qFormat/>
    <w:uiPriority w:val="0"/>
    <w:pPr>
      <w:spacing w:before="60" w:after="60" w:line="500" w:lineRule="exact"/>
    </w:pPr>
    <w:rPr>
      <w:rFonts w:ascii="宋体" w:hAnsi="Courier New"/>
      <w:sz w:val="21"/>
      <w:szCs w:val="21"/>
    </w:rPr>
  </w:style>
  <w:style w:type="paragraph" w:customStyle="1" w:styleId="496">
    <w:name w:val="样式 标题 1 + 三号 居中 行距: 多倍行距 1.25 字行1"/>
    <w:basedOn w:val="2"/>
    <w:semiHidden/>
    <w:qFormat/>
    <w:uiPriority w:val="0"/>
    <w:pPr>
      <w:keepNext/>
      <w:keepLines/>
      <w:numPr>
        <w:numId w:val="0"/>
      </w:numPr>
      <w:tabs>
        <w:tab w:val="left" w:pos="420"/>
      </w:tabs>
      <w:autoSpaceDE/>
      <w:autoSpaceDN/>
      <w:adjustRightInd/>
      <w:spacing w:before="340" w:after="330" w:line="300" w:lineRule="auto"/>
      <w:ind w:left="420" w:hanging="420"/>
      <w:jc w:val="center"/>
    </w:pPr>
    <w:rPr>
      <w:rFonts w:ascii="Times New Roman" w:eastAsia="宋体" w:cs="宋体"/>
      <w:b/>
      <w:bCs/>
      <w:kern w:val="44"/>
      <w:sz w:val="32"/>
      <w:szCs w:val="32"/>
    </w:rPr>
  </w:style>
  <w:style w:type="paragraph" w:customStyle="1" w:styleId="497">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8">
    <w:name w:val="002 章"/>
    <w:basedOn w:val="1"/>
    <w:next w:val="1"/>
    <w:semiHidden/>
    <w:qFormat/>
    <w:uiPriority w:val="0"/>
    <w:pPr>
      <w:keepNext/>
      <w:adjustRightInd w:val="0"/>
      <w:spacing w:before="720" w:after="120" w:line="480" w:lineRule="auto"/>
      <w:ind w:firstLine="400"/>
      <w:jc w:val="center"/>
      <w:textAlignment w:val="baseline"/>
      <w:outlineLvl w:val="1"/>
    </w:pPr>
    <w:rPr>
      <w:rFonts w:ascii="黑体" w:hAnsi="Courier New" w:eastAsia="黑体"/>
      <w:spacing w:val="26"/>
      <w:kern w:val="0"/>
      <w:szCs w:val="32"/>
    </w:rPr>
  </w:style>
  <w:style w:type="paragraph" w:customStyle="1" w:styleId="499">
    <w:name w:val="图标标题"/>
    <w:basedOn w:val="1"/>
    <w:semiHidden/>
    <w:qFormat/>
    <w:uiPriority w:val="0"/>
    <w:pPr>
      <w:spacing w:beforeLines="50"/>
    </w:pPr>
    <w:rPr>
      <w:rFonts w:ascii="宋体" w:hAnsi="宋体"/>
      <w:b/>
      <w:sz w:val="28"/>
      <w:szCs w:val="21"/>
    </w:rPr>
  </w:style>
  <w:style w:type="paragraph" w:customStyle="1" w:styleId="500">
    <w:name w:val="xl23"/>
    <w:basedOn w:val="1"/>
    <w:semiHidden/>
    <w:qFormat/>
    <w:uiPriority w:val="0"/>
    <w:pPr>
      <w:widowControl/>
      <w:pBdr>
        <w:bottom w:val="single" w:color="auto" w:sz="4" w:space="0"/>
        <w:right w:val="single" w:color="auto" w:sz="4" w:space="0"/>
      </w:pBdr>
      <w:spacing w:before="100" w:beforeAutospacing="1" w:after="100" w:afterAutospacing="1"/>
      <w:jc w:val="center"/>
    </w:pPr>
    <w:rPr>
      <w:rFonts w:eastAsia="Arial Unicode MS"/>
      <w:kern w:val="0"/>
      <w:sz w:val="18"/>
      <w:szCs w:val="18"/>
    </w:rPr>
  </w:style>
  <w:style w:type="paragraph" w:customStyle="1" w:styleId="501">
    <w:name w:val="font6"/>
    <w:basedOn w:val="1"/>
    <w:qFormat/>
    <w:uiPriority w:val="0"/>
    <w:pPr>
      <w:widowControl/>
      <w:spacing w:before="100" w:beforeAutospacing="1" w:after="100" w:afterAutospacing="1"/>
      <w:jc w:val="left"/>
    </w:pPr>
    <w:rPr>
      <w:b/>
      <w:bCs/>
      <w:kern w:val="0"/>
      <w:sz w:val="20"/>
      <w:szCs w:val="20"/>
    </w:rPr>
  </w:style>
  <w:style w:type="paragraph" w:customStyle="1" w:styleId="502">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03">
    <w:name w:val="正文2"/>
    <w:basedOn w:val="1"/>
    <w:qFormat/>
    <w:uiPriority w:val="0"/>
    <w:pPr>
      <w:widowControl/>
      <w:adjustRightInd w:val="0"/>
      <w:snapToGrid w:val="0"/>
      <w:spacing w:line="360" w:lineRule="auto"/>
      <w:ind w:firstLine="200" w:firstLineChars="200"/>
      <w:jc w:val="center"/>
    </w:pPr>
    <w:rPr>
      <w:color w:val="000000"/>
      <w:kern w:val="0"/>
      <w:sz w:val="28"/>
      <w:szCs w:val="32"/>
    </w:rPr>
  </w:style>
  <w:style w:type="paragraph" w:customStyle="1" w:styleId="504">
    <w:name w:val="Body Text 22"/>
    <w:basedOn w:val="1"/>
    <w:semiHidden/>
    <w:qFormat/>
    <w:uiPriority w:val="0"/>
    <w:pPr>
      <w:adjustRightInd w:val="0"/>
      <w:snapToGrid w:val="0"/>
      <w:spacing w:line="300" w:lineRule="auto"/>
      <w:ind w:firstLine="600" w:firstLineChars="200"/>
      <w:textAlignment w:val="baseline"/>
    </w:pPr>
    <w:rPr>
      <w:rFonts w:ascii="宋体"/>
      <w:kern w:val="32"/>
      <w:sz w:val="28"/>
      <w:szCs w:val="28"/>
    </w:rPr>
  </w:style>
  <w:style w:type="paragraph" w:customStyle="1" w:styleId="505">
    <w:name w:val="表文"/>
    <w:basedOn w:val="1"/>
    <w:semiHidden/>
    <w:qFormat/>
    <w:uiPriority w:val="0"/>
    <w:pPr>
      <w:adjustRightInd w:val="0"/>
      <w:spacing w:line="400" w:lineRule="exact"/>
      <w:jc w:val="center"/>
      <w:textAlignment w:val="baseline"/>
    </w:pPr>
    <w:rPr>
      <w:rFonts w:ascii="宋体" w:hAnsi="宋体"/>
      <w:kern w:val="0"/>
      <w:sz w:val="28"/>
      <w:szCs w:val="20"/>
    </w:rPr>
  </w:style>
  <w:style w:type="paragraph" w:customStyle="1" w:styleId="506">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507">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8">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509">
    <w:name w:val="样式 目录 3 + 首行缩进:  2 字符1"/>
    <w:basedOn w:val="38"/>
    <w:semiHidden/>
    <w:qFormat/>
    <w:uiPriority w:val="0"/>
    <w:pPr>
      <w:tabs>
        <w:tab w:val="right" w:leader="dot" w:pos="9061"/>
      </w:tabs>
      <w:spacing w:line="300" w:lineRule="auto"/>
      <w:ind w:left="839" w:firstLine="200" w:firstLineChars="200"/>
    </w:pPr>
    <w:rPr>
      <w:rFonts w:ascii="Calibri" w:hAnsi="Calibri" w:cs="宋体"/>
      <w:sz w:val="28"/>
    </w:rPr>
  </w:style>
  <w:style w:type="paragraph" w:customStyle="1" w:styleId="510">
    <w:name w:val="样式 小四 居中"/>
    <w:basedOn w:val="1"/>
    <w:semiHidden/>
    <w:qFormat/>
    <w:uiPriority w:val="0"/>
    <w:pPr>
      <w:adjustRightInd w:val="0"/>
      <w:snapToGrid w:val="0"/>
      <w:spacing w:line="360" w:lineRule="auto"/>
      <w:jc w:val="center"/>
    </w:pPr>
    <w:rPr>
      <w:rFonts w:ascii="宋体" w:cs="宋体"/>
      <w:snapToGrid w:val="0"/>
      <w:kern w:val="0"/>
      <w:szCs w:val="20"/>
    </w:rPr>
  </w:style>
  <w:style w:type="paragraph" w:customStyle="1" w:styleId="511">
    <w:name w:val="封面4"/>
    <w:basedOn w:val="461"/>
    <w:semiHidden/>
    <w:qFormat/>
    <w:uiPriority w:val="0"/>
    <w:rPr>
      <w:sz w:val="36"/>
    </w:rPr>
  </w:style>
  <w:style w:type="paragraph" w:customStyle="1" w:styleId="51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13">
    <w:name w:val="xl99"/>
    <w:basedOn w:val="1"/>
    <w:semiHidden/>
    <w:qFormat/>
    <w:uiPriority w:val="0"/>
    <w:pPr>
      <w:widowControl/>
      <w:pBdr>
        <w:bottom w:val="single" w:color="auto" w:sz="4" w:space="0"/>
        <w:right w:val="single" w:color="auto" w:sz="4" w:space="0"/>
      </w:pBdr>
      <w:spacing w:before="100" w:beforeAutospacing="1" w:after="100" w:afterAutospacing="1"/>
      <w:jc w:val="center"/>
    </w:pPr>
    <w:rPr>
      <w:b/>
      <w:bCs/>
      <w:kern w:val="0"/>
      <w:sz w:val="22"/>
      <w:szCs w:val="22"/>
    </w:rPr>
  </w:style>
  <w:style w:type="paragraph" w:customStyle="1" w:styleId="514">
    <w:name w:val="xl113"/>
    <w:basedOn w:val="1"/>
    <w:semiHidden/>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center"/>
      <w:textAlignment w:val="center"/>
    </w:pPr>
    <w:rPr>
      <w:rFonts w:ascii="宋体" w:hAnsi="宋体" w:cs="宋体"/>
      <w:color w:val="000000"/>
      <w:kern w:val="0"/>
      <w:sz w:val="22"/>
      <w:szCs w:val="22"/>
    </w:rPr>
  </w:style>
  <w:style w:type="paragraph" w:customStyle="1" w:styleId="515">
    <w:name w:val="样式 表格 + 五号"/>
    <w:basedOn w:val="189"/>
    <w:semiHidden/>
    <w:qFormat/>
    <w:uiPriority w:val="0"/>
    <w:pPr>
      <w:wordWrap/>
    </w:pPr>
    <w:rPr>
      <w:kern w:val="18"/>
    </w:rPr>
  </w:style>
  <w:style w:type="paragraph" w:customStyle="1" w:styleId="516">
    <w:name w:val="样式 标题 3 + 左侧:  0 厘米"/>
    <w:basedOn w:val="5"/>
    <w:semiHidden/>
    <w:qFormat/>
    <w:uiPriority w:val="0"/>
    <w:pPr>
      <w:tabs>
        <w:tab w:val="clear" w:pos="425"/>
      </w:tabs>
      <w:adjustRightInd w:val="0"/>
      <w:snapToGrid w:val="0"/>
      <w:spacing w:line="300" w:lineRule="auto"/>
      <w:ind w:left="0" w:firstLine="0"/>
    </w:pPr>
    <w:rPr>
      <w:rFonts w:ascii="宋体" w:hAnsi="宋体" w:eastAsia="宋体" w:cs="宋体"/>
      <w:snapToGrid/>
      <w:kern w:val="2"/>
      <w:sz w:val="24"/>
      <w:szCs w:val="20"/>
    </w:rPr>
  </w:style>
  <w:style w:type="paragraph" w:customStyle="1" w:styleId="517">
    <w:name w:val="扉页1"/>
    <w:basedOn w:val="518"/>
    <w:semiHidden/>
    <w:qFormat/>
    <w:uiPriority w:val="0"/>
    <w:pPr>
      <w:spacing w:line="360" w:lineRule="auto"/>
      <w:ind w:left="2160" w:leftChars="900" w:firstLine="560"/>
    </w:pPr>
  </w:style>
  <w:style w:type="paragraph" w:customStyle="1" w:styleId="518">
    <w:name w:val="扉页"/>
    <w:basedOn w:val="1"/>
    <w:semiHidden/>
    <w:qFormat/>
    <w:uiPriority w:val="0"/>
    <w:pPr>
      <w:adjustRightInd w:val="0"/>
      <w:snapToGrid w:val="0"/>
      <w:spacing w:line="480" w:lineRule="auto"/>
    </w:pPr>
    <w:rPr>
      <w:rFonts w:ascii="宋体" w:hAnsi="宋体"/>
      <w:b/>
      <w:bCs/>
      <w:snapToGrid w:val="0"/>
      <w:kern w:val="0"/>
      <w:szCs w:val="28"/>
      <w:shd w:val="clear" w:color="auto" w:fill="FFFFFF"/>
    </w:rPr>
  </w:style>
  <w:style w:type="paragraph" w:customStyle="1" w:styleId="519">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20">
    <w:name w:val="bhq表格"/>
    <w:basedOn w:val="189"/>
    <w:semiHidden/>
    <w:qFormat/>
    <w:uiPriority w:val="0"/>
    <w:pPr>
      <w:widowControl/>
      <w:wordWrap/>
      <w:adjustRightInd/>
      <w:ind w:firstLine="0"/>
      <w:jc w:val="left"/>
      <w:textAlignment w:val="auto"/>
    </w:pPr>
    <w:rPr>
      <w:kern w:val="2"/>
      <w:sz w:val="21"/>
      <w:szCs w:val="21"/>
    </w:rPr>
  </w:style>
  <w:style w:type="paragraph" w:customStyle="1" w:styleId="521">
    <w:name w:val="表格标题"/>
    <w:basedOn w:val="1"/>
    <w:semiHidden/>
    <w:qFormat/>
    <w:uiPriority w:val="0"/>
    <w:pPr>
      <w:spacing w:beforeLines="50" w:line="360" w:lineRule="auto"/>
      <w:jc w:val="center"/>
    </w:pPr>
    <w:rPr>
      <w:rFonts w:eastAsia="黑体"/>
      <w:bCs/>
    </w:rPr>
  </w:style>
  <w:style w:type="paragraph" w:customStyle="1" w:styleId="522">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bCs/>
      <w:kern w:val="0"/>
      <w:sz w:val="20"/>
      <w:szCs w:val="20"/>
    </w:rPr>
  </w:style>
  <w:style w:type="paragraph" w:customStyle="1" w:styleId="524">
    <w:name w:val="xl81"/>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525">
    <w:name w:val="彩色底纹 - 强调文字颜色 111"/>
    <w:semiHidden/>
    <w:qFormat/>
    <w:uiPriority w:val="0"/>
    <w:rPr>
      <w:rFonts w:ascii="Times New Roman" w:hAnsi="Times New Roman" w:eastAsia="宋体" w:cs="Times New Roman"/>
      <w:kern w:val="2"/>
      <w:sz w:val="21"/>
      <w:szCs w:val="24"/>
      <w:lang w:val="en-US" w:eastAsia="zh-CN" w:bidi="ar-SA"/>
    </w:rPr>
  </w:style>
  <w:style w:type="paragraph" w:customStyle="1" w:styleId="526">
    <w:name w:val="Char Char"/>
    <w:basedOn w:val="1"/>
    <w:semiHidden/>
    <w:qFormat/>
    <w:uiPriority w:val="0"/>
    <w:rPr>
      <w:rFonts w:ascii="Tahoma" w:hAnsi="Tahoma"/>
      <w:szCs w:val="20"/>
    </w:rPr>
  </w:style>
  <w:style w:type="paragraph" w:customStyle="1" w:styleId="527">
    <w:name w:val="样式 宋体 居中 行距: 最小值 15.5 磅"/>
    <w:basedOn w:val="1"/>
    <w:semiHidden/>
    <w:qFormat/>
    <w:uiPriority w:val="0"/>
    <w:pPr>
      <w:spacing w:before="60" w:after="60" w:line="310" w:lineRule="atLeast"/>
      <w:jc w:val="center"/>
    </w:pPr>
    <w:rPr>
      <w:rFonts w:ascii="宋体" w:cs="宋体"/>
      <w:sz w:val="21"/>
      <w:szCs w:val="20"/>
    </w:rPr>
  </w:style>
  <w:style w:type="paragraph" w:customStyle="1" w:styleId="528">
    <w:name w:val="Char Char Char Char Char Char Char Char Char"/>
    <w:basedOn w:val="1"/>
    <w:semiHidden/>
    <w:qFormat/>
    <w:uiPriority w:val="0"/>
    <w:rPr>
      <w:sz w:val="21"/>
    </w:rPr>
  </w:style>
  <w:style w:type="paragraph" w:customStyle="1" w:styleId="529">
    <w:name w:val="样式 首行缩进:  2 字符"/>
    <w:basedOn w:val="1"/>
    <w:qFormat/>
    <w:uiPriority w:val="0"/>
    <w:pPr>
      <w:spacing w:line="360" w:lineRule="auto"/>
      <w:ind w:firstLine="200" w:firstLineChars="200"/>
    </w:pPr>
    <w:rPr>
      <w:rFonts w:cs="宋体"/>
      <w:szCs w:val="28"/>
    </w:rPr>
  </w:style>
  <w:style w:type="paragraph" w:customStyle="1" w:styleId="530">
    <w:name w:val="样式 正文首行缩进 2 + 首行缩进:  2 字符"/>
    <w:basedOn w:val="76"/>
    <w:semiHidden/>
    <w:qFormat/>
    <w:uiPriority w:val="0"/>
    <w:pPr>
      <w:wordWrap/>
      <w:spacing w:after="0" w:line="360" w:lineRule="auto"/>
      <w:ind w:left="0" w:leftChars="0" w:firstLine="480"/>
    </w:pPr>
    <w:rPr>
      <w:szCs w:val="20"/>
    </w:rPr>
  </w:style>
  <w:style w:type="paragraph" w:customStyle="1" w:styleId="531">
    <w:name w:val="004 条"/>
    <w:basedOn w:val="1"/>
    <w:next w:val="1"/>
    <w:semiHidden/>
    <w:qFormat/>
    <w:uiPriority w:val="0"/>
    <w:pPr>
      <w:keepNext/>
      <w:adjustRightInd w:val="0"/>
      <w:snapToGrid w:val="0"/>
      <w:spacing w:before="120" w:line="288" w:lineRule="auto"/>
      <w:textAlignment w:val="baseline"/>
      <w:outlineLvl w:val="3"/>
    </w:pPr>
    <w:rPr>
      <w:rFonts w:ascii="Arial" w:hAnsi="Arial" w:eastAsia="黑体"/>
      <w:kern w:val="0"/>
      <w:sz w:val="28"/>
      <w:szCs w:val="21"/>
    </w:rPr>
  </w:style>
  <w:style w:type="paragraph" w:customStyle="1" w:styleId="532">
    <w:name w:val="xl94"/>
    <w:basedOn w:val="1"/>
    <w:semiHidden/>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2"/>
      <w:szCs w:val="22"/>
    </w:rPr>
  </w:style>
  <w:style w:type="paragraph" w:customStyle="1" w:styleId="53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b/>
      <w:bCs/>
      <w:kern w:val="0"/>
      <w:sz w:val="20"/>
      <w:szCs w:val="20"/>
    </w:rPr>
  </w:style>
  <w:style w:type="paragraph" w:customStyle="1" w:styleId="534">
    <w:name w:val="样式 正文（首行缩进两字） + 首行缩进:  0.89 厘米"/>
    <w:basedOn w:val="4"/>
    <w:semiHidden/>
    <w:qFormat/>
    <w:uiPriority w:val="0"/>
    <w:pPr>
      <w:adjustRightInd w:val="0"/>
      <w:snapToGrid w:val="0"/>
      <w:spacing w:line="300" w:lineRule="auto"/>
      <w:ind w:firstLine="560"/>
      <w:textAlignment w:val="baseline"/>
    </w:pPr>
    <w:rPr>
      <w:sz w:val="28"/>
      <w:szCs w:val="28"/>
    </w:rPr>
  </w:style>
  <w:style w:type="paragraph" w:customStyle="1" w:styleId="535">
    <w:name w:val="xl122"/>
    <w:basedOn w:val="1"/>
    <w:semiHidden/>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rPr>
  </w:style>
  <w:style w:type="paragraph" w:customStyle="1" w:styleId="536">
    <w:name w:val="表中齐小四"/>
    <w:basedOn w:val="157"/>
    <w:semiHidden/>
    <w:qFormat/>
    <w:uiPriority w:val="0"/>
    <w:pPr>
      <w:widowControl/>
      <w:wordWrap/>
      <w:adjustRightInd/>
      <w:snapToGrid/>
      <w:spacing w:line="264" w:lineRule="auto"/>
      <w:ind w:left="0" w:leftChars="0" w:right="0" w:rightChars="0" w:firstLine="0"/>
      <w:jc w:val="right"/>
    </w:pPr>
    <w:rPr>
      <w:sz w:val="21"/>
    </w:rPr>
  </w:style>
  <w:style w:type="paragraph" w:customStyle="1" w:styleId="537">
    <w:name w:val="xl87"/>
    <w:basedOn w:val="1"/>
    <w:semiHidden/>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538">
    <w:name w:val="样式 标题 1 + 三号 居中 行距: 多倍行距 1.25 字行2"/>
    <w:basedOn w:val="2"/>
    <w:semiHidden/>
    <w:qFormat/>
    <w:uiPriority w:val="0"/>
    <w:pPr>
      <w:keepNext/>
      <w:keepLines/>
      <w:numPr>
        <w:numId w:val="0"/>
      </w:numPr>
      <w:tabs>
        <w:tab w:val="left" w:pos="420"/>
      </w:tabs>
      <w:autoSpaceDE/>
      <w:autoSpaceDN/>
      <w:snapToGrid w:val="0"/>
      <w:spacing w:before="340" w:after="330" w:line="300" w:lineRule="auto"/>
      <w:ind w:hanging="420"/>
      <w:jc w:val="center"/>
    </w:pPr>
    <w:rPr>
      <w:rFonts w:ascii="Times New Roman" w:eastAsia="宋体" w:cs="宋体"/>
      <w:b/>
      <w:bCs/>
      <w:kern w:val="44"/>
      <w:sz w:val="32"/>
      <w:szCs w:val="20"/>
    </w:rPr>
  </w:style>
  <w:style w:type="paragraph" w:customStyle="1" w:styleId="539">
    <w:name w:val="标题加宽"/>
    <w:basedOn w:val="470"/>
    <w:semiHidden/>
    <w:qFormat/>
    <w:uiPriority w:val="0"/>
    <w:rPr>
      <w:spacing w:val="20"/>
    </w:rPr>
  </w:style>
  <w:style w:type="paragraph" w:customStyle="1" w:styleId="540">
    <w:name w:val="封面2"/>
    <w:basedOn w:val="55"/>
    <w:semiHidden/>
    <w:qFormat/>
    <w:uiPriority w:val="0"/>
    <w:pPr>
      <w:wordWrap/>
      <w:snapToGrid w:val="0"/>
      <w:spacing w:before="0" w:after="0" w:line="0" w:lineRule="atLeast"/>
      <w:ind w:firstLine="0"/>
      <w:outlineLvl w:val="9"/>
    </w:pPr>
    <w:rPr>
      <w:rFonts w:eastAsia="黑体"/>
      <w:sz w:val="72"/>
    </w:rPr>
  </w:style>
  <w:style w:type="paragraph" w:customStyle="1" w:styleId="541">
    <w:name w:val="Char Char Char Char Char Char Char Char Char Char Char Char Char Char Char Char Char Char"/>
    <w:basedOn w:val="1"/>
    <w:semiHidden/>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542">
    <w:name w:val="图"/>
    <w:basedOn w:val="1"/>
    <w:next w:val="1"/>
    <w:semiHidden/>
    <w:qFormat/>
    <w:uiPriority w:val="0"/>
    <w:rPr>
      <w:szCs w:val="20"/>
    </w:rPr>
  </w:style>
  <w:style w:type="paragraph" w:customStyle="1" w:styleId="543">
    <w:name w:val="样式 表中齐小 + 字距调整8 磅"/>
    <w:basedOn w:val="347"/>
    <w:semiHidden/>
    <w:qFormat/>
    <w:uiPriority w:val="0"/>
    <w:rPr>
      <w:spacing w:val="-6"/>
    </w:rPr>
  </w:style>
  <w:style w:type="paragraph" w:customStyle="1" w:styleId="544">
    <w:name w:val="样式 正文2 表内文字 + 字距调整8 磅"/>
    <w:basedOn w:val="1"/>
    <w:semiHidden/>
    <w:qFormat/>
    <w:uiPriority w:val="0"/>
    <w:pPr>
      <w:widowControl/>
      <w:spacing w:line="360" w:lineRule="auto"/>
      <w:ind w:left="200" w:right="-21" w:hanging="200" w:hangingChars="200"/>
      <w:jc w:val="left"/>
    </w:pPr>
    <w:rPr>
      <w:color w:val="000000"/>
      <w:kern w:val="16"/>
    </w:rPr>
  </w:style>
  <w:style w:type="paragraph" w:customStyle="1" w:styleId="545">
    <w:name w:val="题注－图"/>
    <w:basedOn w:val="1"/>
    <w:semiHidden/>
    <w:qFormat/>
    <w:uiPriority w:val="0"/>
    <w:pPr>
      <w:spacing w:before="60" w:after="60" w:line="312" w:lineRule="auto"/>
      <w:ind w:firstLine="200" w:firstLineChars="200"/>
      <w:jc w:val="center"/>
    </w:pPr>
    <w:rPr>
      <w:rFonts w:ascii="Arial" w:hAnsi="Arial" w:eastAsia="黑体"/>
      <w:kern w:val="28"/>
      <w:szCs w:val="26"/>
    </w:rPr>
  </w:style>
  <w:style w:type="paragraph" w:customStyle="1" w:styleId="546">
    <w:name w:val="样式 样式 正文2 表内文字 + 字距调整8 磅 + 左侧:  0 厘米 悬挂缩进: 2 字符"/>
    <w:basedOn w:val="544"/>
    <w:semiHidden/>
    <w:qFormat/>
    <w:uiPriority w:val="0"/>
    <w:pPr>
      <w:tabs>
        <w:tab w:val="left" w:pos="-3914"/>
      </w:tabs>
      <w:spacing w:line="240" w:lineRule="auto"/>
      <w:ind w:left="420" w:hanging="420"/>
      <w:jc w:val="center"/>
    </w:pPr>
    <w:rPr>
      <w:kern w:val="0"/>
      <w:sz w:val="21"/>
      <w:szCs w:val="21"/>
    </w:rPr>
  </w:style>
  <w:style w:type="paragraph" w:customStyle="1" w:styleId="547">
    <w:name w:val="xl89"/>
    <w:basedOn w:val="1"/>
    <w:semiHidden/>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548">
    <w:name w:val="表中齐大"/>
    <w:basedOn w:val="157"/>
    <w:semiHidden/>
    <w:qFormat/>
    <w:uiPriority w:val="0"/>
    <w:pPr>
      <w:wordWrap/>
      <w:snapToGrid/>
      <w:spacing w:line="300" w:lineRule="exact"/>
      <w:ind w:left="0" w:leftChars="0" w:right="0" w:rightChars="0" w:firstLine="0"/>
      <w:textAlignment w:val="baseline"/>
    </w:pPr>
    <w:rPr>
      <w:kern w:val="0"/>
      <w:sz w:val="28"/>
      <w:szCs w:val="20"/>
    </w:rPr>
  </w:style>
  <w:style w:type="paragraph" w:customStyle="1" w:styleId="549">
    <w:name w:val="广州一级标题"/>
    <w:basedOn w:val="1"/>
    <w:next w:val="75"/>
    <w:semiHidden/>
    <w:qFormat/>
    <w:uiPriority w:val="0"/>
    <w:pPr>
      <w:spacing w:beforeLines="100" w:afterLines="100" w:line="360" w:lineRule="auto"/>
    </w:pPr>
    <w:rPr>
      <w:rFonts w:ascii="黑体" w:eastAsia="黑体"/>
      <w:sz w:val="36"/>
      <w:szCs w:val="36"/>
    </w:rPr>
  </w:style>
  <w:style w:type="paragraph" w:customStyle="1" w:styleId="550">
    <w:name w:val="普通(Web)"/>
    <w:basedOn w:val="1"/>
    <w:semiHidden/>
    <w:qFormat/>
    <w:uiPriority w:val="0"/>
    <w:rPr>
      <w:szCs w:val="20"/>
    </w:rPr>
  </w:style>
  <w:style w:type="paragraph" w:customStyle="1" w:styleId="551">
    <w:name w:val="+1."/>
    <w:basedOn w:val="1"/>
    <w:semiHidden/>
    <w:qFormat/>
    <w:uiPriority w:val="0"/>
    <w:pPr>
      <w:tabs>
        <w:tab w:val="left" w:pos="624"/>
      </w:tabs>
      <w:spacing w:line="360" w:lineRule="auto"/>
      <w:ind w:left="198"/>
    </w:pPr>
    <w:rPr>
      <w:szCs w:val="28"/>
    </w:rPr>
  </w:style>
  <w:style w:type="paragraph" w:customStyle="1" w:styleId="552">
    <w:name w:val="样式 样式 样式 样式 样式 左侧:  0.93 厘米 + 左侧:  0.47 厘米 右侧:  0.47 厘米 首行缩进:  1..."/>
    <w:basedOn w:val="1"/>
    <w:semiHidden/>
    <w:qFormat/>
    <w:uiPriority w:val="0"/>
    <w:pPr>
      <w:spacing w:before="60" w:after="60" w:line="312" w:lineRule="auto"/>
      <w:ind w:firstLine="200" w:firstLineChars="200"/>
    </w:pPr>
    <w:rPr>
      <w:rFonts w:cs="宋体"/>
      <w:szCs w:val="20"/>
    </w:rPr>
  </w:style>
  <w:style w:type="paragraph" w:customStyle="1" w:styleId="553">
    <w:name w:val="Header Base"/>
    <w:basedOn w:val="30"/>
    <w:semiHidden/>
    <w:qFormat/>
    <w:uiPriority w:val="0"/>
    <w:pPr>
      <w:keepLines/>
      <w:widowControl/>
      <w:tabs>
        <w:tab w:val="center" w:pos="4320"/>
        <w:tab w:val="right" w:pos="8640"/>
      </w:tabs>
      <w:spacing w:line="240" w:lineRule="atLeast"/>
      <w:ind w:firstLine="360" w:firstLineChars="200"/>
    </w:pPr>
    <w:rPr>
      <w:rFonts w:ascii="Garamond" w:hAnsi="Garamond"/>
      <w:kern w:val="0"/>
      <w:sz w:val="22"/>
      <w:shd w:val="clear" w:color="auto" w:fill="FFFFFF"/>
    </w:rPr>
  </w:style>
  <w:style w:type="paragraph" w:customStyle="1" w:styleId="554">
    <w:name w:val="xl114"/>
    <w:basedOn w:val="1"/>
    <w:semiHidden/>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宋体" w:hAnsi="宋体" w:cs="宋体"/>
      <w:color w:val="000000"/>
      <w:kern w:val="0"/>
      <w:sz w:val="22"/>
      <w:szCs w:val="22"/>
    </w:rPr>
  </w:style>
  <w:style w:type="paragraph" w:customStyle="1" w:styleId="555">
    <w:name w:val="样式 表格 + 五号 两端对齐"/>
    <w:basedOn w:val="189"/>
    <w:semiHidden/>
    <w:qFormat/>
    <w:uiPriority w:val="0"/>
    <w:pPr>
      <w:wordWrap/>
      <w:jc w:val="left"/>
    </w:pPr>
    <w:rPr>
      <w:rFonts w:cs="宋体"/>
    </w:rPr>
  </w:style>
  <w:style w:type="paragraph" w:customStyle="1" w:styleId="556">
    <w:name w:val="样式 大标题 + 段前: 2 行1"/>
    <w:basedOn w:val="448"/>
    <w:semiHidden/>
    <w:qFormat/>
    <w:uiPriority w:val="0"/>
    <w:pPr>
      <w:tabs>
        <w:tab w:val="left" w:pos="420"/>
        <w:tab w:val="clear" w:pos="1440"/>
      </w:tabs>
      <w:spacing w:beforeLines="50"/>
      <w:ind w:left="420" w:hanging="420"/>
    </w:pPr>
    <w:rPr>
      <w:bCs/>
      <w:szCs w:val="20"/>
    </w:rPr>
  </w:style>
  <w:style w:type="paragraph" w:customStyle="1" w:styleId="557">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FF0000"/>
      <w:kern w:val="0"/>
      <w:sz w:val="20"/>
      <w:szCs w:val="20"/>
    </w:rPr>
  </w:style>
  <w:style w:type="paragraph" w:customStyle="1" w:styleId="558">
    <w:name w:val="11号线正文首行缩进2字符"/>
    <w:basedOn w:val="1"/>
    <w:semiHidden/>
    <w:qFormat/>
    <w:uiPriority w:val="0"/>
    <w:pPr>
      <w:spacing w:before="60" w:after="60" w:line="500" w:lineRule="exact"/>
      <w:ind w:firstLine="200" w:firstLineChars="200"/>
    </w:pPr>
    <w:rPr>
      <w:rFonts w:ascii="宋体" w:hAnsi="宋体" w:cs="宋体"/>
      <w:sz w:val="28"/>
      <w:szCs w:val="28"/>
    </w:rPr>
  </w:style>
  <w:style w:type="paragraph" w:customStyle="1" w:styleId="559">
    <w:name w:val="样式 正文1 表内数字 + 四号"/>
    <w:basedOn w:val="1"/>
    <w:semiHidden/>
    <w:qFormat/>
    <w:uiPriority w:val="0"/>
    <w:pPr>
      <w:widowControl/>
      <w:spacing w:line="300" w:lineRule="exact"/>
      <w:ind w:left="-105" w:right="-21"/>
      <w:jc w:val="center"/>
    </w:pPr>
    <w:rPr>
      <w:color w:val="000000"/>
      <w:kern w:val="0"/>
    </w:rPr>
  </w:style>
  <w:style w:type="paragraph" w:customStyle="1" w:styleId="560">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561">
    <w:name w:val="Char Char Char Char Char Char Char Char"/>
    <w:basedOn w:val="1"/>
    <w:semiHidden/>
    <w:qFormat/>
    <w:uiPriority w:val="0"/>
    <w:rPr>
      <w:sz w:val="21"/>
      <w:szCs w:val="21"/>
    </w:rPr>
  </w:style>
  <w:style w:type="paragraph" w:customStyle="1" w:styleId="562">
    <w:name w:val="页脚1"/>
    <w:basedOn w:val="47"/>
    <w:semiHidden/>
    <w:qFormat/>
    <w:uiPriority w:val="0"/>
    <w:pPr>
      <w:adjustRightInd w:val="0"/>
      <w:snapToGrid/>
      <w:spacing w:line="360" w:lineRule="auto"/>
      <w:ind w:right="360" w:firstLine="360" w:firstLineChars="200"/>
      <w:jc w:val="center"/>
      <w:textAlignment w:val="baseline"/>
    </w:pPr>
    <w:rPr>
      <w:kern w:val="0"/>
      <w:lang w:val="zh-CN"/>
    </w:rPr>
  </w:style>
  <w:style w:type="paragraph" w:customStyle="1" w:styleId="563">
    <w:name w:val="bhq标高"/>
    <w:basedOn w:val="1"/>
    <w:semiHidden/>
    <w:qFormat/>
    <w:uiPriority w:val="0"/>
    <w:pPr>
      <w:adjustRightInd w:val="0"/>
      <w:snapToGrid w:val="0"/>
      <w:jc w:val="center"/>
      <w:textAlignment w:val="baseline"/>
    </w:pPr>
    <w:rPr>
      <w:kern w:val="0"/>
      <w:szCs w:val="21"/>
    </w:rPr>
  </w:style>
  <w:style w:type="paragraph" w:customStyle="1" w:styleId="564">
    <w:name w:val="文本样式"/>
    <w:basedOn w:val="31"/>
    <w:semiHidden/>
    <w:qFormat/>
    <w:uiPriority w:val="0"/>
    <w:pPr>
      <w:tabs>
        <w:tab w:val="left" w:pos="1440"/>
      </w:tabs>
      <w:spacing w:before="60" w:after="60" w:line="312" w:lineRule="auto"/>
      <w:ind w:left="1440" w:leftChars="0" w:firstLine="0" w:firstLineChars="0"/>
      <w:jc w:val="left"/>
    </w:pPr>
    <w:rPr>
      <w:kern w:val="0"/>
      <w:sz w:val="21"/>
      <w:szCs w:val="20"/>
    </w:rPr>
  </w:style>
  <w:style w:type="paragraph" w:customStyle="1" w:styleId="565">
    <w:name w:val="Style Heading 2节标题章标题2－节 + 12 pt"/>
    <w:basedOn w:val="3"/>
    <w:semiHidden/>
    <w:qFormat/>
    <w:uiPriority w:val="0"/>
    <w:pPr>
      <w:keepLines w:val="0"/>
      <w:numPr>
        <w:ilvl w:val="0"/>
        <w:numId w:val="0"/>
      </w:numPr>
      <w:tabs>
        <w:tab w:val="left" w:pos="720"/>
      </w:tabs>
      <w:autoSpaceDE w:val="0"/>
      <w:autoSpaceDN w:val="0"/>
      <w:adjustRightInd w:val="0"/>
      <w:spacing w:before="0" w:after="240" w:line="240" w:lineRule="atLeast"/>
      <w:ind w:left="720" w:hanging="720"/>
    </w:pPr>
    <w:rPr>
      <w:rFonts w:ascii="Arial Bold" w:hAnsi="Arial Bold" w:eastAsia="宋体" w:cs="Arial Bold"/>
      <w:bCs/>
      <w:caps/>
      <w:snapToGrid/>
      <w:color w:val="000000"/>
      <w:kern w:val="2"/>
      <w:sz w:val="24"/>
    </w:rPr>
  </w:style>
  <w:style w:type="paragraph" w:customStyle="1" w:styleId="566">
    <w:name w:val="使用样式"/>
    <w:basedOn w:val="1"/>
    <w:semiHidden/>
    <w:qFormat/>
    <w:uiPriority w:val="0"/>
    <w:pPr>
      <w:spacing w:before="60" w:after="60" w:line="312" w:lineRule="auto"/>
    </w:pPr>
    <w:rPr>
      <w:szCs w:val="20"/>
    </w:rPr>
  </w:style>
  <w:style w:type="paragraph" w:customStyle="1" w:styleId="567">
    <w:name w:val="xl112"/>
    <w:basedOn w:val="1"/>
    <w:semiHidden/>
    <w:qFormat/>
    <w:uiPriority w:val="0"/>
    <w:pPr>
      <w:widowControl/>
      <w:pBdr>
        <w:left w:val="single" w:color="auto" w:sz="4" w:space="0"/>
        <w:bottom w:val="single" w:color="auto" w:sz="4" w:space="0"/>
        <w:right w:val="single" w:color="auto" w:sz="4" w:space="0"/>
      </w:pBdr>
      <w:shd w:val="clear" w:color="000000" w:fill="00FFFF"/>
      <w:spacing w:before="100" w:beforeAutospacing="1" w:after="100" w:afterAutospacing="1"/>
      <w:jc w:val="center"/>
      <w:textAlignment w:val="center"/>
    </w:pPr>
    <w:rPr>
      <w:rFonts w:ascii="宋体" w:hAnsi="宋体" w:cs="宋体"/>
      <w:color w:val="000000"/>
      <w:kern w:val="0"/>
      <w:sz w:val="22"/>
      <w:szCs w:val="22"/>
    </w:rPr>
  </w:style>
  <w:style w:type="paragraph" w:customStyle="1" w:styleId="568">
    <w:name w:val="图表名称"/>
    <w:basedOn w:val="1"/>
    <w:semiHidden/>
    <w:qFormat/>
    <w:uiPriority w:val="0"/>
    <w:pPr>
      <w:spacing w:beforeLines="50" w:afterLines="50"/>
      <w:jc w:val="center"/>
    </w:pPr>
    <w:rPr>
      <w:b/>
      <w:bCs/>
      <w:kern w:val="0"/>
      <w:szCs w:val="28"/>
    </w:rPr>
  </w:style>
  <w:style w:type="paragraph" w:customStyle="1" w:styleId="569">
    <w:name w:val="样式5"/>
    <w:basedOn w:val="3"/>
    <w:qFormat/>
    <w:uiPriority w:val="0"/>
    <w:pPr>
      <w:numPr>
        <w:ilvl w:val="0"/>
        <w:numId w:val="0"/>
      </w:numPr>
      <w:tabs>
        <w:tab w:val="left" w:pos="1080"/>
      </w:tabs>
      <w:adjustRightInd w:val="0"/>
      <w:snapToGrid w:val="0"/>
      <w:spacing w:before="0" w:after="0" w:line="360" w:lineRule="auto"/>
      <w:ind w:left="240" w:right="280" w:rightChars="100" w:hanging="240" w:hangingChars="100"/>
    </w:pPr>
    <w:rPr>
      <w:rFonts w:ascii="宋体" w:hAnsi="宋体" w:eastAsia="宋体"/>
      <w:b w:val="0"/>
      <w:snapToGrid/>
      <w:kern w:val="2"/>
      <w:sz w:val="30"/>
    </w:rPr>
  </w:style>
  <w:style w:type="paragraph" w:customStyle="1" w:styleId="570">
    <w:name w:val="xl115"/>
    <w:basedOn w:val="1"/>
    <w:semiHidden/>
    <w:qFormat/>
    <w:uiPriority w:val="0"/>
    <w:pPr>
      <w:widowControl/>
      <w:pBdr>
        <w:top w:val="single" w:color="auto" w:sz="4" w:space="0"/>
        <w:left w:val="single" w:color="auto" w:sz="4" w:space="0"/>
        <w:right w:val="single" w:color="auto" w:sz="4" w:space="0"/>
      </w:pBdr>
      <w:shd w:val="clear" w:color="000000" w:fill="FF00FF"/>
      <w:spacing w:before="100" w:beforeAutospacing="1" w:after="100" w:afterAutospacing="1"/>
      <w:jc w:val="center"/>
      <w:textAlignment w:val="center"/>
    </w:pPr>
    <w:rPr>
      <w:rFonts w:ascii="宋体" w:hAnsi="宋体" w:cs="宋体"/>
      <w:color w:val="000000"/>
      <w:kern w:val="0"/>
      <w:sz w:val="22"/>
      <w:szCs w:val="22"/>
    </w:rPr>
  </w:style>
  <w:style w:type="paragraph" w:customStyle="1" w:styleId="571">
    <w:name w:val="样式 表格 + 小四 两端对齐 行距: 固定值 15 磅"/>
    <w:basedOn w:val="189"/>
    <w:semiHidden/>
    <w:qFormat/>
    <w:uiPriority w:val="0"/>
    <w:pPr>
      <w:widowControl/>
      <w:wordWrap/>
      <w:adjustRightInd/>
      <w:spacing w:line="300" w:lineRule="exact"/>
      <w:ind w:firstLine="0"/>
      <w:textAlignment w:val="auto"/>
    </w:pPr>
    <w:rPr>
      <w:rFonts w:cs="宋体"/>
      <w:kern w:val="2"/>
    </w:rPr>
  </w:style>
  <w:style w:type="paragraph" w:customStyle="1" w:styleId="572">
    <w:name w:val="表左齐小四"/>
    <w:basedOn w:val="182"/>
    <w:semiHidden/>
    <w:qFormat/>
    <w:uiPriority w:val="0"/>
    <w:pPr>
      <w:wordWrap/>
      <w:adjustRightInd w:val="0"/>
      <w:spacing w:line="240" w:lineRule="auto"/>
      <w:ind w:firstLine="47"/>
      <w:jc w:val="both"/>
    </w:pPr>
    <w:rPr>
      <w:rFonts w:ascii="仿宋_GB2312"/>
      <w:color w:val="FF0000"/>
      <w:kern w:val="18"/>
      <w:szCs w:val="24"/>
      <w:shd w:val="clear" w:color="auto" w:fill="FFFFFF"/>
    </w:rPr>
  </w:style>
  <w:style w:type="paragraph" w:customStyle="1" w:styleId="57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kern w:val="0"/>
      <w:sz w:val="20"/>
      <w:szCs w:val="20"/>
    </w:rPr>
  </w:style>
  <w:style w:type="paragraph" w:customStyle="1" w:styleId="574">
    <w:name w:val="Char1 Char Char Char Char Char Char1 Char Char Char"/>
    <w:basedOn w:val="1"/>
    <w:semiHidden/>
    <w:qFormat/>
    <w:uiPriority w:val="0"/>
    <w:pPr>
      <w:spacing w:line="360" w:lineRule="auto"/>
      <w:ind w:firstLine="200" w:firstLineChars="200"/>
    </w:pPr>
    <w:rPr>
      <w:rFonts w:ascii="宋体" w:hAnsi="宋体" w:cs="宋体"/>
      <w:szCs w:val="28"/>
    </w:rPr>
  </w:style>
  <w:style w:type="paragraph" w:customStyle="1" w:styleId="575">
    <w:name w:val="Char Char2 Char Char Char Char Char Char Char"/>
    <w:basedOn w:val="22"/>
    <w:semiHidden/>
    <w:qFormat/>
    <w:uiPriority w:val="0"/>
    <w:pPr>
      <w:adjustRightInd w:val="0"/>
      <w:spacing w:line="436" w:lineRule="exact"/>
      <w:ind w:left="357"/>
      <w:jc w:val="left"/>
      <w:outlineLvl w:val="3"/>
    </w:pPr>
    <w:rPr>
      <w:rFonts w:ascii="Tahoma" w:hAnsi="Tahoma"/>
      <w:b/>
      <w:szCs w:val="28"/>
    </w:rPr>
  </w:style>
  <w:style w:type="paragraph" w:customStyle="1" w:styleId="576">
    <w:name w:val="Style Heading 3????"/>
    <w:basedOn w:val="1"/>
    <w:semiHidden/>
    <w:qFormat/>
    <w:uiPriority w:val="0"/>
    <w:rPr>
      <w:snapToGrid w:val="0"/>
      <w:sz w:val="21"/>
      <w:szCs w:val="21"/>
    </w:rPr>
  </w:style>
  <w:style w:type="paragraph" w:customStyle="1" w:styleId="577">
    <w:name w:val="xl117"/>
    <w:basedOn w:val="1"/>
    <w:semiHidden/>
    <w:qFormat/>
    <w:uiPriority w:val="0"/>
    <w:pPr>
      <w:widowControl/>
      <w:pBdr>
        <w:top w:val="single" w:color="auto" w:sz="4" w:space="0"/>
        <w:left w:val="single" w:color="auto" w:sz="4" w:space="0"/>
        <w:right w:val="single" w:color="auto" w:sz="4" w:space="0"/>
      </w:pBdr>
      <w:shd w:val="clear" w:color="000000" w:fill="00FFFF"/>
      <w:spacing w:before="100" w:beforeAutospacing="1" w:after="100" w:afterAutospacing="1"/>
      <w:jc w:val="center"/>
      <w:textAlignment w:val="center"/>
    </w:pPr>
    <w:rPr>
      <w:rFonts w:ascii="宋体" w:hAnsi="宋体" w:cs="宋体"/>
      <w:color w:val="000000"/>
      <w:kern w:val="0"/>
      <w:sz w:val="22"/>
      <w:szCs w:val="22"/>
    </w:rPr>
  </w:style>
  <w:style w:type="paragraph" w:customStyle="1" w:styleId="578">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b/>
      <w:bCs/>
      <w:kern w:val="0"/>
      <w:sz w:val="20"/>
      <w:szCs w:val="20"/>
    </w:rPr>
  </w:style>
  <w:style w:type="paragraph" w:customStyle="1" w:styleId="579">
    <w:name w:val="样式 首行缩进:  2 字符 + 首行缩进:  2 字符 段前: 0.5 行 段后: 0.5 行"/>
    <w:basedOn w:val="1"/>
    <w:semiHidden/>
    <w:qFormat/>
    <w:uiPriority w:val="0"/>
    <w:pPr>
      <w:spacing w:beforeLines="50" w:afterLines="50" w:line="360" w:lineRule="auto"/>
      <w:ind w:firstLine="420" w:firstLineChars="200"/>
    </w:pPr>
    <w:rPr>
      <w:rFonts w:ascii="Arial" w:hAnsi="Arial" w:cs="宋体"/>
    </w:rPr>
  </w:style>
  <w:style w:type="paragraph" w:customStyle="1" w:styleId="580">
    <w:name w:val="样式 正文文本缩进 + 宋体 四号 左侧:  0 厘米 首行缩进:  0.74 厘米 行距: 1.5 倍行距"/>
    <w:basedOn w:val="31"/>
    <w:semiHidden/>
    <w:qFormat/>
    <w:uiPriority w:val="0"/>
    <w:pPr>
      <w:spacing w:before="0" w:line="360" w:lineRule="auto"/>
      <w:ind w:left="0" w:leftChars="0" w:firstLine="0" w:firstLineChars="0"/>
    </w:pPr>
    <w:rPr>
      <w:rFonts w:ascii="宋体" w:cs="宋体"/>
      <w:b/>
      <w:sz w:val="28"/>
      <w:szCs w:val="20"/>
      <w:lang w:val="zh-CN"/>
    </w:rPr>
  </w:style>
  <w:style w:type="paragraph" w:customStyle="1" w:styleId="581">
    <w:name w:val="xl102"/>
    <w:basedOn w:val="1"/>
    <w:semiHidden/>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58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b/>
      <w:bCs/>
      <w:kern w:val="0"/>
      <w:sz w:val="20"/>
      <w:szCs w:val="20"/>
    </w:rPr>
  </w:style>
  <w:style w:type="paragraph" w:customStyle="1" w:styleId="583">
    <w:name w:val="xl97"/>
    <w:basedOn w:val="1"/>
    <w:semiHidden/>
    <w:qFormat/>
    <w:uiPriority w:val="0"/>
    <w:pPr>
      <w:widowControl/>
      <w:pBdr>
        <w:top w:val="single" w:color="auto" w:sz="4" w:space="0"/>
        <w:right w:val="single" w:color="auto" w:sz="4" w:space="0"/>
      </w:pBdr>
      <w:spacing w:before="100" w:beforeAutospacing="1" w:after="100" w:afterAutospacing="1"/>
      <w:jc w:val="center"/>
    </w:pPr>
    <w:rPr>
      <w:b/>
      <w:bCs/>
      <w:kern w:val="0"/>
      <w:sz w:val="22"/>
      <w:szCs w:val="22"/>
    </w:rPr>
  </w:style>
  <w:style w:type="paragraph" w:customStyle="1" w:styleId="584">
    <w:name w:val="xl91"/>
    <w:basedOn w:val="1"/>
    <w:semiHidden/>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585">
    <w:name w:val="正文01"/>
    <w:basedOn w:val="1"/>
    <w:semiHidden/>
    <w:qFormat/>
    <w:uiPriority w:val="0"/>
    <w:pPr>
      <w:spacing w:before="60" w:line="460" w:lineRule="exact"/>
      <w:ind w:firstLine="200" w:firstLineChars="200"/>
    </w:pPr>
  </w:style>
  <w:style w:type="paragraph" w:customStyle="1" w:styleId="586">
    <w:name w:val="样式 标题 1 + (西文) Times New Roman (中文) 宋体 三号 加粗 自定义颜(RGB(0020..."/>
    <w:basedOn w:val="2"/>
    <w:semiHidden/>
    <w:qFormat/>
    <w:uiPriority w:val="0"/>
    <w:pPr>
      <w:keepNext/>
      <w:pageBreakBefore/>
      <w:widowControl/>
      <w:numPr>
        <w:numId w:val="0"/>
      </w:numPr>
      <w:tabs>
        <w:tab w:val="left" w:pos="1440"/>
      </w:tabs>
      <w:overflowPunct w:val="0"/>
      <w:spacing w:before="120" w:after="240" w:line="360" w:lineRule="auto"/>
      <w:jc w:val="center"/>
      <w:textAlignment w:val="baseline"/>
    </w:pPr>
    <w:rPr>
      <w:rFonts w:ascii="Times New Roman" w:eastAsia="宋体"/>
      <w:b/>
      <w:bCs/>
      <w:color w:val="0000CC"/>
      <w:kern w:val="2"/>
      <w:sz w:val="48"/>
      <w:szCs w:val="36"/>
    </w:rPr>
  </w:style>
  <w:style w:type="paragraph" w:customStyle="1" w:styleId="587">
    <w:name w:val="Char12"/>
    <w:basedOn w:val="1"/>
    <w:semiHidden/>
    <w:qFormat/>
    <w:uiPriority w:val="0"/>
    <w:rPr>
      <w:sz w:val="21"/>
      <w:szCs w:val="28"/>
    </w:rPr>
  </w:style>
  <w:style w:type="paragraph" w:customStyle="1" w:styleId="588">
    <w:name w:val="编号-1"/>
    <w:basedOn w:val="30"/>
    <w:semiHidden/>
    <w:qFormat/>
    <w:uiPriority w:val="0"/>
    <w:pPr>
      <w:spacing w:before="60" w:after="60" w:line="520" w:lineRule="exact"/>
    </w:pPr>
    <w:rPr>
      <w:rFonts w:ascii="宋体"/>
      <w:sz w:val="28"/>
    </w:rPr>
  </w:style>
  <w:style w:type="paragraph" w:customStyle="1" w:styleId="589">
    <w:name w:val="样式 正文首行缩进 + 首行缩进:  2 字符"/>
    <w:basedOn w:val="75"/>
    <w:semiHidden/>
    <w:qFormat/>
    <w:uiPriority w:val="0"/>
    <w:pPr>
      <w:wordWrap/>
      <w:spacing w:before="60" w:after="60" w:line="312" w:lineRule="auto"/>
      <w:ind w:firstLine="557" w:firstLineChars="199"/>
    </w:pPr>
    <w:rPr>
      <w:szCs w:val="20"/>
      <w:lang w:val="en-US"/>
    </w:rPr>
  </w:style>
  <w:style w:type="paragraph" w:customStyle="1" w:styleId="590">
    <w:name w:val="表文小"/>
    <w:basedOn w:val="505"/>
    <w:semiHidden/>
    <w:qFormat/>
    <w:uiPriority w:val="0"/>
    <w:pPr>
      <w:adjustRightInd/>
      <w:spacing w:line="240" w:lineRule="auto"/>
      <w:jc w:val="both"/>
      <w:textAlignment w:val="auto"/>
    </w:pPr>
    <w:rPr>
      <w:rFonts w:ascii="Times New Roman" w:hAnsi="Times New Roman"/>
      <w:kern w:val="2"/>
      <w:szCs w:val="28"/>
    </w:rPr>
  </w:style>
  <w:style w:type="paragraph" w:customStyle="1" w:styleId="591">
    <w:name w:val="样式8"/>
    <w:basedOn w:val="176"/>
    <w:semiHidden/>
    <w:qFormat/>
    <w:uiPriority w:val="0"/>
    <w:pPr>
      <w:wordWrap/>
      <w:spacing w:line="360" w:lineRule="auto"/>
      <w:ind w:firstLine="580" w:firstLineChars="200"/>
      <w:jc w:val="both"/>
      <w:outlineLvl w:val="9"/>
    </w:pPr>
    <w:rPr>
      <w:rFonts w:eastAsia="宋体"/>
      <w:kern w:val="2"/>
      <w:sz w:val="28"/>
      <w:szCs w:val="28"/>
    </w:rPr>
  </w:style>
  <w:style w:type="paragraph" w:customStyle="1" w:styleId="592">
    <w:name w:val="Char Char2 Char Char Char Char Char Char1"/>
    <w:basedOn w:val="1"/>
    <w:semiHidden/>
    <w:qFormat/>
    <w:uiPriority w:val="0"/>
    <w:pPr>
      <w:adjustRightInd w:val="0"/>
      <w:spacing w:line="436" w:lineRule="exact"/>
      <w:ind w:left="357"/>
      <w:jc w:val="left"/>
      <w:outlineLvl w:val="3"/>
    </w:pPr>
    <w:rPr>
      <w:rFonts w:ascii="Tahoma" w:hAnsi="Tahoma" w:cs="宋体"/>
      <w:b/>
      <w:szCs w:val="20"/>
    </w:rPr>
  </w:style>
  <w:style w:type="paragraph" w:customStyle="1" w:styleId="593">
    <w:name w:val="表头1"/>
    <w:basedOn w:val="1"/>
    <w:semiHidden/>
    <w:qFormat/>
    <w:uiPriority w:val="0"/>
    <w:pPr>
      <w:adjustRightInd w:val="0"/>
      <w:spacing w:line="360" w:lineRule="auto"/>
      <w:ind w:firstLine="567"/>
      <w:jc w:val="center"/>
      <w:textAlignment w:val="baseline"/>
    </w:pPr>
    <w:rPr>
      <w:rFonts w:ascii="宋体" w:hAnsi="宋体"/>
      <w:kern w:val="0"/>
      <w:sz w:val="28"/>
      <w:szCs w:val="32"/>
    </w:rPr>
  </w:style>
  <w:style w:type="paragraph" w:customStyle="1" w:styleId="594">
    <w:name w:val="ZWX表格5号"/>
    <w:semiHidden/>
    <w:qFormat/>
    <w:uiPriority w:val="0"/>
    <w:pPr>
      <w:widowControl w:val="0"/>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59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kern w:val="0"/>
      <w:sz w:val="20"/>
      <w:szCs w:val="20"/>
    </w:rPr>
  </w:style>
  <w:style w:type="paragraph" w:customStyle="1" w:styleId="596">
    <w:name w:val="font9"/>
    <w:basedOn w:val="1"/>
    <w:qFormat/>
    <w:uiPriority w:val="0"/>
    <w:pPr>
      <w:widowControl/>
      <w:spacing w:before="100" w:beforeAutospacing="1" w:after="100" w:afterAutospacing="1"/>
      <w:jc w:val="left"/>
    </w:pPr>
    <w:rPr>
      <w:kern w:val="0"/>
      <w:sz w:val="20"/>
      <w:szCs w:val="20"/>
    </w:rPr>
  </w:style>
  <w:style w:type="paragraph" w:customStyle="1" w:styleId="597">
    <w:name w:val="Char1 Char Char Char"/>
    <w:basedOn w:val="1"/>
    <w:semiHidden/>
    <w:qFormat/>
    <w:uiPriority w:val="0"/>
    <w:pPr>
      <w:adjustRightInd w:val="0"/>
      <w:spacing w:line="436" w:lineRule="exact"/>
      <w:ind w:left="357"/>
      <w:jc w:val="left"/>
      <w:outlineLvl w:val="3"/>
    </w:pPr>
    <w:rPr>
      <w:rFonts w:ascii="Tahoma" w:hAnsi="Tahoma" w:cs="宋体"/>
      <w:b/>
      <w:shd w:val="clear" w:color="auto" w:fill="000080"/>
    </w:rPr>
  </w:style>
  <w:style w:type="paragraph" w:customStyle="1" w:styleId="59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color w:val="FF0000"/>
      <w:kern w:val="0"/>
      <w:sz w:val="20"/>
      <w:szCs w:val="20"/>
    </w:rPr>
  </w:style>
  <w:style w:type="paragraph" w:customStyle="1" w:styleId="599">
    <w:name w:val="xl118"/>
    <w:basedOn w:val="1"/>
    <w:semiHidden/>
    <w:qFormat/>
    <w:uiPriority w:val="0"/>
    <w:pPr>
      <w:widowControl/>
      <w:pBdr>
        <w:left w:val="single" w:color="auto" w:sz="4" w:space="0"/>
        <w:bottom w:val="single" w:color="auto" w:sz="4" w:space="0"/>
        <w:right w:val="single" w:color="auto" w:sz="4" w:space="0"/>
      </w:pBdr>
      <w:shd w:val="clear" w:color="000000" w:fill="00FFFF"/>
      <w:spacing w:before="100" w:beforeAutospacing="1" w:after="100" w:afterAutospacing="1"/>
      <w:jc w:val="center"/>
      <w:textAlignment w:val="center"/>
    </w:pPr>
    <w:rPr>
      <w:rFonts w:ascii="宋体" w:hAnsi="宋体" w:cs="宋体"/>
      <w:color w:val="000000"/>
      <w:kern w:val="0"/>
      <w:sz w:val="22"/>
      <w:szCs w:val="22"/>
    </w:rPr>
  </w:style>
  <w:style w:type="paragraph" w:customStyle="1" w:styleId="600">
    <w:name w:val="样式 左侧:  2 字符 段前: 0.5 行 段后: 0.5 行"/>
    <w:basedOn w:val="1"/>
    <w:semiHidden/>
    <w:qFormat/>
    <w:uiPriority w:val="0"/>
    <w:pPr>
      <w:adjustRightInd w:val="0"/>
      <w:snapToGrid w:val="0"/>
      <w:spacing w:beforeLines="50" w:afterLines="50" w:line="300" w:lineRule="auto"/>
      <w:ind w:firstLine="200" w:firstLineChars="200"/>
      <w:jc w:val="left"/>
    </w:pPr>
    <w:rPr>
      <w:rFonts w:ascii="Arial" w:hAnsi="Arial" w:cs="宋体"/>
    </w:rPr>
  </w:style>
  <w:style w:type="paragraph" w:customStyle="1" w:styleId="601">
    <w:name w:val="样式 表中齐 +"/>
    <w:basedOn w:val="157"/>
    <w:semiHidden/>
    <w:qFormat/>
    <w:uiPriority w:val="0"/>
    <w:pPr>
      <w:wordWrap/>
    </w:pPr>
    <w:rPr>
      <w:kern w:val="0"/>
    </w:rPr>
  </w:style>
  <w:style w:type="paragraph" w:customStyle="1" w:styleId="6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03">
    <w:name w:val="font7"/>
    <w:basedOn w:val="1"/>
    <w:qFormat/>
    <w:uiPriority w:val="0"/>
    <w:pPr>
      <w:widowControl/>
      <w:spacing w:before="100" w:beforeAutospacing="1" w:after="100" w:afterAutospacing="1"/>
      <w:jc w:val="left"/>
    </w:pPr>
    <w:rPr>
      <w:rFonts w:hint="eastAsia" w:ascii="宋体" w:hAnsi="宋体"/>
      <w:kern w:val="0"/>
      <w:sz w:val="28"/>
      <w:szCs w:val="21"/>
    </w:rPr>
  </w:style>
  <w:style w:type="paragraph" w:customStyle="1" w:styleId="604">
    <w:name w:val="报告图表"/>
    <w:semiHidden/>
    <w:qFormat/>
    <w:uiPriority w:val="0"/>
    <w:pPr>
      <w:jc w:val="center"/>
    </w:pPr>
    <w:rPr>
      <w:rFonts w:ascii="宋体" w:hAnsi="Times New Roman" w:eastAsia="宋体" w:cs="Times New Roman"/>
      <w:b/>
      <w:sz w:val="24"/>
      <w:lang w:val="en-US" w:eastAsia="zh-CN" w:bidi="ar-SA"/>
    </w:rPr>
  </w:style>
  <w:style w:type="paragraph" w:customStyle="1" w:styleId="605">
    <w:name w:val="样式 表格 + 首行缩进:  2 字符2"/>
    <w:basedOn w:val="189"/>
    <w:semiHidden/>
    <w:qFormat/>
    <w:uiPriority w:val="0"/>
    <w:pPr>
      <w:wordWrap/>
      <w:snapToGrid w:val="0"/>
      <w:ind w:firstLine="0"/>
      <w:jc w:val="both"/>
    </w:pPr>
    <w:rPr>
      <w:rFonts w:ascii="宋体" w:cs="宋体"/>
    </w:rPr>
  </w:style>
  <w:style w:type="paragraph" w:customStyle="1" w:styleId="606">
    <w:name w:val="font1"/>
    <w:basedOn w:val="1"/>
    <w:semiHidden/>
    <w:qFormat/>
    <w:uiPriority w:val="0"/>
    <w:pPr>
      <w:widowControl/>
      <w:spacing w:before="100" w:beforeAutospacing="1" w:after="100" w:afterAutospacing="1"/>
      <w:jc w:val="left"/>
    </w:pPr>
    <w:rPr>
      <w:rFonts w:ascii="宋体" w:hAnsi="宋体" w:cs="宋体"/>
      <w:kern w:val="0"/>
      <w:sz w:val="18"/>
      <w:szCs w:val="18"/>
    </w:rPr>
  </w:style>
  <w:style w:type="paragraph" w:customStyle="1" w:styleId="60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60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bCs/>
      <w:kern w:val="0"/>
      <w:sz w:val="20"/>
      <w:szCs w:val="20"/>
    </w:rPr>
  </w:style>
  <w:style w:type="paragraph" w:customStyle="1" w:styleId="609">
    <w:name w:val="xl92"/>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rPr>
  </w:style>
  <w:style w:type="paragraph" w:customStyle="1" w:styleId="610">
    <w:name w:val="Body Text Indent 32"/>
    <w:basedOn w:val="1"/>
    <w:semiHidden/>
    <w:qFormat/>
    <w:uiPriority w:val="0"/>
    <w:pPr>
      <w:adjustRightInd w:val="0"/>
      <w:spacing w:before="60" w:after="60" w:line="312" w:lineRule="auto"/>
      <w:ind w:firstLine="1094"/>
      <w:textAlignment w:val="baseline"/>
    </w:pPr>
    <w:rPr>
      <w:sz w:val="21"/>
      <w:szCs w:val="20"/>
    </w:rPr>
  </w:style>
  <w:style w:type="paragraph" w:customStyle="1" w:styleId="61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612">
    <w:name w:val="标题2"/>
    <w:basedOn w:val="3"/>
    <w:semiHidden/>
    <w:qFormat/>
    <w:uiPriority w:val="0"/>
    <w:pPr>
      <w:numPr>
        <w:numId w:val="0"/>
      </w:numPr>
      <w:tabs>
        <w:tab w:val="left" w:pos="1080"/>
      </w:tabs>
      <w:spacing w:beforeLines="50" w:afterLines="50"/>
    </w:pPr>
    <w:rPr>
      <w:rFonts w:ascii="宋体" w:hAnsi="宋体" w:eastAsia="宋体"/>
      <w:bCs/>
      <w:snapToGrid/>
      <w:kern w:val="44"/>
      <w:sz w:val="32"/>
      <w:szCs w:val="32"/>
    </w:rPr>
  </w:style>
  <w:style w:type="paragraph" w:customStyle="1" w:styleId="613">
    <w:name w:val="font11"/>
    <w:basedOn w:val="1"/>
    <w:qFormat/>
    <w:uiPriority w:val="0"/>
    <w:pPr>
      <w:widowControl/>
      <w:spacing w:before="100" w:beforeAutospacing="1" w:after="100" w:afterAutospacing="1"/>
      <w:jc w:val="left"/>
    </w:pPr>
    <w:rPr>
      <w:rFonts w:hint="eastAsia" w:ascii="仿宋_GB2312" w:eastAsia="仿宋_GB2312"/>
      <w:kern w:val="0"/>
      <w:sz w:val="21"/>
      <w:szCs w:val="21"/>
    </w:rPr>
  </w:style>
  <w:style w:type="paragraph" w:customStyle="1" w:styleId="614">
    <w:name w:val="表格内文字"/>
    <w:basedOn w:val="1"/>
    <w:semiHidden/>
    <w:qFormat/>
    <w:uiPriority w:val="0"/>
    <w:pPr>
      <w:adjustRightInd w:val="0"/>
      <w:snapToGrid w:val="0"/>
      <w:spacing w:before="80" w:line="240" w:lineRule="exact"/>
      <w:jc w:val="center"/>
    </w:pPr>
    <w:rPr>
      <w:snapToGrid w:val="0"/>
      <w:spacing w:val="6"/>
      <w:kern w:val="0"/>
      <w:szCs w:val="20"/>
    </w:rPr>
  </w:style>
  <w:style w:type="paragraph" w:customStyle="1" w:styleId="615">
    <w:name w:val="样式 首行缩进:  0.74 厘米 段前: 3.6 磅"/>
    <w:basedOn w:val="1"/>
    <w:semiHidden/>
    <w:qFormat/>
    <w:uiPriority w:val="0"/>
    <w:pPr>
      <w:adjustRightInd w:val="0"/>
      <w:snapToGrid w:val="0"/>
      <w:spacing w:line="360" w:lineRule="auto"/>
      <w:ind w:firstLine="420"/>
    </w:pPr>
    <w:rPr>
      <w:rFonts w:ascii="Arial" w:hAnsi="Arial"/>
      <w:szCs w:val="20"/>
    </w:rPr>
  </w:style>
  <w:style w:type="paragraph" w:customStyle="1" w:styleId="616">
    <w:name w:val="bt3"/>
    <w:basedOn w:val="1"/>
    <w:semiHidden/>
    <w:qFormat/>
    <w:uiPriority w:val="0"/>
    <w:pPr>
      <w:tabs>
        <w:tab w:val="left" w:pos="709"/>
      </w:tabs>
      <w:adjustRightInd w:val="0"/>
      <w:spacing w:beforeLines="100" w:afterLines="100"/>
      <w:ind w:left="709" w:hanging="709" w:firstLineChars="200"/>
      <w:textAlignment w:val="baseline"/>
      <w:outlineLvl w:val="2"/>
    </w:pPr>
    <w:rPr>
      <w:b/>
      <w:kern w:val="0"/>
      <w:sz w:val="28"/>
      <w:szCs w:val="20"/>
    </w:rPr>
  </w:style>
  <w:style w:type="paragraph" w:customStyle="1" w:styleId="617">
    <w:name w:val="样式 样式 四号 悬挂缩进: 0.39 字符 + 左侧:  -0.03 厘米 悬挂缩进: 0.2 字符"/>
    <w:basedOn w:val="1"/>
    <w:semiHidden/>
    <w:qFormat/>
    <w:uiPriority w:val="0"/>
    <w:pPr>
      <w:snapToGrid w:val="0"/>
      <w:spacing w:line="360" w:lineRule="auto"/>
      <w:ind w:left="-17" w:firstLine="567"/>
    </w:pPr>
    <w:rPr>
      <w:rFonts w:ascii="宋体" w:hAnsi="宋体" w:cs="宋体"/>
      <w:sz w:val="28"/>
      <w:szCs w:val="20"/>
    </w:rPr>
  </w:style>
  <w:style w:type="paragraph" w:customStyle="1" w:styleId="618">
    <w:name w:val="xl85"/>
    <w:basedOn w:val="1"/>
    <w:semiHidden/>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19">
    <w:name w:val="Char Char2 Char Char Char Char Char Char Char Char Char Char Char Char"/>
    <w:basedOn w:val="22"/>
    <w:semiHidden/>
    <w:qFormat/>
    <w:uiPriority w:val="0"/>
    <w:pPr>
      <w:adjustRightInd w:val="0"/>
      <w:spacing w:line="436" w:lineRule="exact"/>
      <w:ind w:left="357"/>
      <w:jc w:val="left"/>
      <w:outlineLvl w:val="3"/>
    </w:pPr>
    <w:rPr>
      <w:rFonts w:ascii="Tahoma" w:hAnsi="Tahoma"/>
      <w:b/>
      <w:szCs w:val="28"/>
    </w:rPr>
  </w:style>
  <w:style w:type="paragraph" w:customStyle="1" w:styleId="620">
    <w:name w:val="xl101"/>
    <w:basedOn w:val="1"/>
    <w:semiHidden/>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1">
    <w:name w:val="样式 表格 + 五号2"/>
    <w:basedOn w:val="189"/>
    <w:semiHidden/>
    <w:qFormat/>
    <w:uiPriority w:val="0"/>
    <w:pPr>
      <w:wordWrap/>
      <w:spacing w:line="240" w:lineRule="auto"/>
    </w:pPr>
    <w:rPr>
      <w:sz w:val="21"/>
    </w:rPr>
  </w:style>
  <w:style w:type="paragraph" w:customStyle="1" w:styleId="622">
    <w:name w:val="表中文字"/>
    <w:basedOn w:val="1"/>
    <w:semiHidden/>
    <w:qFormat/>
    <w:uiPriority w:val="0"/>
    <w:pPr>
      <w:adjustRightInd w:val="0"/>
      <w:snapToGrid w:val="0"/>
      <w:spacing w:line="240" w:lineRule="atLeast"/>
      <w:jc w:val="center"/>
    </w:pPr>
    <w:rPr>
      <w:snapToGrid w:val="0"/>
      <w:kern w:val="0"/>
      <w:szCs w:val="20"/>
    </w:rPr>
  </w:style>
  <w:style w:type="paragraph" w:customStyle="1" w:styleId="623">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b/>
      <w:bCs/>
      <w:kern w:val="0"/>
      <w:sz w:val="20"/>
      <w:szCs w:val="20"/>
    </w:rPr>
  </w:style>
  <w:style w:type="paragraph" w:customStyle="1" w:styleId="624">
    <w:name w:val="xl124"/>
    <w:basedOn w:val="1"/>
    <w:semiHidden/>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textAlignment w:val="center"/>
    </w:pPr>
    <w:rPr>
      <w:rFonts w:ascii="宋体" w:hAnsi="宋体" w:cs="宋体"/>
      <w:color w:val="000000"/>
      <w:kern w:val="0"/>
      <w:sz w:val="22"/>
      <w:szCs w:val="22"/>
    </w:rPr>
  </w:style>
  <w:style w:type="paragraph" w:customStyle="1" w:styleId="625">
    <w:name w:val="样式 目录 3 + 首行缩进:  2 字符"/>
    <w:basedOn w:val="38"/>
    <w:semiHidden/>
    <w:qFormat/>
    <w:uiPriority w:val="0"/>
    <w:pPr>
      <w:tabs>
        <w:tab w:val="right" w:leader="dot" w:pos="9061"/>
      </w:tabs>
      <w:spacing w:line="312" w:lineRule="auto"/>
      <w:ind w:left="839" w:firstLine="200" w:firstLineChars="200"/>
    </w:pPr>
    <w:rPr>
      <w:rFonts w:ascii="Calibri" w:hAnsi="Calibri" w:cs="宋体"/>
      <w:sz w:val="28"/>
    </w:rPr>
  </w:style>
  <w:style w:type="paragraph" w:customStyle="1" w:styleId="626">
    <w:name w:val="样式 表格 + 小四"/>
    <w:basedOn w:val="189"/>
    <w:semiHidden/>
    <w:qFormat/>
    <w:uiPriority w:val="0"/>
    <w:pPr>
      <w:widowControl/>
      <w:wordWrap/>
      <w:adjustRightInd/>
      <w:spacing w:line="264" w:lineRule="auto"/>
      <w:ind w:firstLine="0"/>
      <w:jc w:val="right"/>
      <w:textAlignment w:val="auto"/>
    </w:pPr>
    <w:rPr>
      <w:kern w:val="2"/>
    </w:rPr>
  </w:style>
  <w:style w:type="paragraph" w:customStyle="1" w:styleId="627">
    <w:name w:val="样式 标题 1 + 三号 居中 行距: 多倍行距 1.25 字行"/>
    <w:basedOn w:val="2"/>
    <w:semiHidden/>
    <w:qFormat/>
    <w:uiPriority w:val="0"/>
    <w:pPr>
      <w:keepNext/>
      <w:keepLines/>
      <w:numPr>
        <w:numId w:val="0"/>
      </w:numPr>
      <w:tabs>
        <w:tab w:val="left" w:pos="1440"/>
      </w:tabs>
      <w:autoSpaceDE/>
      <w:autoSpaceDN/>
      <w:snapToGrid w:val="0"/>
      <w:spacing w:line="300" w:lineRule="auto"/>
      <w:jc w:val="center"/>
    </w:pPr>
    <w:rPr>
      <w:rFonts w:ascii="Times New Roman" w:eastAsia="宋体" w:cs="宋体"/>
      <w:b/>
      <w:bCs/>
      <w:kern w:val="44"/>
      <w:sz w:val="32"/>
      <w:szCs w:val="36"/>
    </w:rPr>
  </w:style>
  <w:style w:type="paragraph" w:customStyle="1" w:styleId="628">
    <w:name w:val="正文文本 21"/>
    <w:basedOn w:val="1"/>
    <w:qFormat/>
    <w:uiPriority w:val="0"/>
    <w:pPr>
      <w:widowControl/>
      <w:overflowPunct w:val="0"/>
      <w:autoSpaceDE w:val="0"/>
      <w:autoSpaceDN w:val="0"/>
      <w:adjustRightInd w:val="0"/>
      <w:ind w:firstLine="420"/>
      <w:jc w:val="left"/>
      <w:textAlignment w:val="baseline"/>
    </w:pPr>
    <w:rPr>
      <w:rFonts w:ascii="宋体" w:hAnsi="MS Sans Serif"/>
      <w:kern w:val="0"/>
      <w:sz w:val="28"/>
      <w:szCs w:val="20"/>
    </w:rPr>
  </w:style>
  <w:style w:type="paragraph" w:customStyle="1" w:styleId="62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630">
    <w:name w:val="样式 加粗 居中1"/>
    <w:basedOn w:val="1"/>
    <w:semiHidden/>
    <w:qFormat/>
    <w:uiPriority w:val="0"/>
    <w:pPr>
      <w:widowControl/>
      <w:adjustRightInd w:val="0"/>
      <w:spacing w:line="340" w:lineRule="exact"/>
      <w:ind w:firstLine="567"/>
      <w:jc w:val="center"/>
      <w:textAlignment w:val="baseline"/>
    </w:pPr>
    <w:rPr>
      <w:rFonts w:ascii="宋体" w:hAnsi="宋体" w:eastAsia="黑体" w:cs="宋体"/>
      <w:b/>
      <w:bCs/>
      <w:color w:val="000000"/>
      <w:kern w:val="0"/>
      <w:sz w:val="32"/>
      <w:szCs w:val="20"/>
    </w:rPr>
  </w:style>
  <w:style w:type="paragraph" w:customStyle="1" w:styleId="631">
    <w:name w:val="xl100"/>
    <w:basedOn w:val="1"/>
    <w:semiHidden/>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32">
    <w:name w:val="Style Heading 3小标题节， + (Latin) 12 pt"/>
    <w:basedOn w:val="5"/>
    <w:semiHidden/>
    <w:qFormat/>
    <w:uiPriority w:val="0"/>
    <w:pPr>
      <w:keepLines w:val="0"/>
      <w:widowControl/>
      <w:tabs>
        <w:tab w:val="left" w:pos="720"/>
        <w:tab w:val="clear" w:pos="425"/>
      </w:tabs>
      <w:autoSpaceDN w:val="0"/>
      <w:spacing w:before="0" w:after="240" w:line="240" w:lineRule="atLeast"/>
      <w:ind w:left="720" w:hanging="720"/>
    </w:pPr>
    <w:rPr>
      <w:rFonts w:ascii="Arial Bold" w:hAnsi="Arial Bold" w:eastAsia="宋体" w:cs="Arial Bold"/>
      <w:bCs/>
      <w:snapToGrid/>
      <w:color w:val="000000"/>
      <w:kern w:val="2"/>
      <w:sz w:val="24"/>
      <w:szCs w:val="22"/>
    </w:rPr>
  </w:style>
  <w:style w:type="paragraph" w:customStyle="1" w:styleId="633">
    <w:name w:val="无缩进"/>
    <w:basedOn w:val="1"/>
    <w:semiHidden/>
    <w:qFormat/>
    <w:uiPriority w:val="0"/>
    <w:pPr>
      <w:spacing w:line="360" w:lineRule="auto"/>
    </w:pPr>
    <w:rPr>
      <w:rFonts w:cs="宋体"/>
      <w:sz w:val="28"/>
      <w:szCs w:val="20"/>
    </w:rPr>
  </w:style>
  <w:style w:type="paragraph" w:customStyle="1" w:styleId="634">
    <w:name w:val="PDS Annex Heading"/>
    <w:next w:val="1"/>
    <w:semiHidden/>
    <w:qFormat/>
    <w:uiPriority w:val="0"/>
    <w:pPr>
      <w:keepNext/>
      <w:spacing w:after="120"/>
      <w:jc w:val="center"/>
    </w:pPr>
    <w:rPr>
      <w:rFonts w:ascii="Times New Roman" w:hAnsi="Times New Roman" w:eastAsia="Times New Roman" w:cs="Times New Roman"/>
      <w:b/>
      <w:sz w:val="24"/>
      <w:lang w:val="en-US" w:eastAsia="en-US" w:bidi="ar-SA"/>
    </w:rPr>
  </w:style>
  <w:style w:type="paragraph" w:customStyle="1" w:styleId="635">
    <w:name w:val="11号线三级目录"/>
    <w:basedOn w:val="5"/>
    <w:semiHidden/>
    <w:qFormat/>
    <w:uiPriority w:val="0"/>
    <w:pPr>
      <w:tabs>
        <w:tab w:val="clear" w:pos="425"/>
      </w:tabs>
      <w:spacing w:before="0" w:after="0" w:line="360" w:lineRule="auto"/>
      <w:ind w:left="0" w:firstLine="605" w:firstLineChars="200"/>
    </w:pPr>
    <w:rPr>
      <w:rFonts w:ascii="宋体" w:hAnsi="宋体"/>
      <w:snapToGrid/>
      <w:kern w:val="2"/>
      <w:szCs w:val="28"/>
    </w:rPr>
  </w:style>
  <w:style w:type="paragraph" w:customStyle="1" w:styleId="636">
    <w:name w:val="d Char"/>
    <w:basedOn w:val="1"/>
    <w:semiHidden/>
    <w:qFormat/>
    <w:uiPriority w:val="0"/>
    <w:pPr>
      <w:adjustRightInd w:val="0"/>
      <w:snapToGrid w:val="0"/>
      <w:spacing w:line="360" w:lineRule="auto"/>
      <w:jc w:val="center"/>
    </w:pPr>
    <w:rPr>
      <w:rFonts w:ascii="宋体" w:hAnsi="宋体"/>
      <w:b/>
      <w:bCs/>
      <w:color w:val="000000"/>
    </w:rPr>
  </w:style>
  <w:style w:type="paragraph" w:customStyle="1" w:styleId="637">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38">
    <w:name w:val="xl82"/>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color w:val="000000"/>
      <w:kern w:val="0"/>
      <w:sz w:val="20"/>
      <w:szCs w:val="20"/>
    </w:rPr>
  </w:style>
  <w:style w:type="paragraph" w:customStyle="1" w:styleId="63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40">
    <w:name w:val="样式 标题 3头小节标题标题 3 Char1标题 3 Char Char标题 4 Char小标题一Heading..."/>
    <w:basedOn w:val="5"/>
    <w:semiHidden/>
    <w:qFormat/>
    <w:uiPriority w:val="0"/>
    <w:pPr>
      <w:tabs>
        <w:tab w:val="left" w:pos="1000"/>
        <w:tab w:val="clear" w:pos="425"/>
      </w:tabs>
      <w:adjustRightInd w:val="0"/>
      <w:snapToGrid w:val="0"/>
      <w:spacing w:before="380" w:after="380" w:line="360" w:lineRule="auto"/>
      <w:ind w:left="280" w:right="280" w:rightChars="100" w:hanging="720"/>
      <w:jc w:val="left"/>
      <w:textAlignment w:val="baseline"/>
    </w:pPr>
    <w:rPr>
      <w:rFonts w:ascii="宋体" w:hAnsi="宋体" w:eastAsia="宋体" w:cs="宋体"/>
      <w:snapToGrid/>
      <w:sz w:val="32"/>
      <w:szCs w:val="20"/>
    </w:rPr>
  </w:style>
  <w:style w:type="paragraph" w:customStyle="1" w:styleId="641">
    <w:name w:val="二级标题"/>
    <w:basedOn w:val="3"/>
    <w:next w:val="1"/>
    <w:semiHidden/>
    <w:qFormat/>
    <w:uiPriority w:val="0"/>
    <w:pPr>
      <w:keepNext w:val="0"/>
      <w:keepLines w:val="0"/>
      <w:numPr>
        <w:numId w:val="0"/>
      </w:numPr>
      <w:tabs>
        <w:tab w:val="left" w:pos="420"/>
        <w:tab w:val="left" w:pos="1080"/>
      </w:tabs>
      <w:spacing w:beforeLines="50" w:afterLines="50" w:line="360" w:lineRule="auto"/>
      <w:ind w:left="420" w:firstLine="400"/>
      <w:jc w:val="left"/>
    </w:pPr>
    <w:rPr>
      <w:rFonts w:ascii="黑体"/>
      <w:b w:val="0"/>
      <w:snapToGrid/>
      <w:kern w:val="2"/>
      <w:sz w:val="30"/>
      <w:szCs w:val="32"/>
    </w:rPr>
  </w:style>
  <w:style w:type="paragraph" w:customStyle="1" w:styleId="642">
    <w:name w:val="space"/>
    <w:semiHidden/>
    <w:qFormat/>
    <w:uiPriority w:val="0"/>
    <w:rPr>
      <w:rFonts w:ascii="Times New Roman" w:hAnsi="Times New Roman" w:eastAsia="宋体" w:cs="Times New Roman"/>
      <w:sz w:val="16"/>
      <w:lang w:val="en-US" w:eastAsia="en-US" w:bidi="ar-SA"/>
    </w:rPr>
  </w:style>
  <w:style w:type="paragraph" w:customStyle="1" w:styleId="643">
    <w:name w:val="xl83"/>
    <w:basedOn w:val="1"/>
    <w:semiHidden/>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color w:val="000000"/>
      <w:kern w:val="0"/>
      <w:sz w:val="20"/>
      <w:szCs w:val="20"/>
    </w:rPr>
  </w:style>
  <w:style w:type="paragraph" w:customStyle="1" w:styleId="644">
    <w:name w:val="二级正文"/>
    <w:basedOn w:val="1"/>
    <w:semiHidden/>
    <w:qFormat/>
    <w:uiPriority w:val="0"/>
    <w:pPr>
      <w:widowControl/>
      <w:tabs>
        <w:tab w:val="left" w:pos="981"/>
      </w:tabs>
      <w:adjustRightInd w:val="0"/>
      <w:snapToGrid w:val="0"/>
      <w:spacing w:after="240"/>
      <w:ind w:left="578"/>
    </w:pPr>
    <w:rPr>
      <w:kern w:val="0"/>
      <w:szCs w:val="20"/>
    </w:rPr>
  </w:style>
  <w:style w:type="paragraph" w:customStyle="1" w:styleId="645">
    <w:name w:val="目录4"/>
    <w:basedOn w:val="1"/>
    <w:semiHidden/>
    <w:qFormat/>
    <w:uiPriority w:val="0"/>
    <w:pPr>
      <w:widowControl/>
      <w:tabs>
        <w:tab w:val="left" w:pos="1080"/>
        <w:tab w:val="left" w:leader="dot" w:pos="7370"/>
      </w:tabs>
      <w:spacing w:line="317" w:lineRule="atLeast"/>
      <w:ind w:firstLine="629"/>
      <w:textAlignment w:val="baseline"/>
    </w:pPr>
    <w:rPr>
      <w:color w:val="000000"/>
      <w:kern w:val="0"/>
      <w:szCs w:val="20"/>
      <w:u w:color="000000"/>
    </w:rPr>
  </w:style>
  <w:style w:type="paragraph" w:customStyle="1" w:styleId="646">
    <w:name w:val="正文2 Char Char Char Char Char Char Char Char Char Char Char Char1 Char Char Char Char Char Char Char Char1 Char Char Char Char Char Char"/>
    <w:basedOn w:val="1"/>
    <w:semiHidden/>
    <w:qFormat/>
    <w:uiPriority w:val="0"/>
    <w:pPr>
      <w:widowControl/>
      <w:spacing w:line="400" w:lineRule="exact"/>
      <w:jc w:val="center"/>
    </w:pPr>
    <w:rPr>
      <w:rFonts w:ascii="Verdana" w:hAnsi="Verdana"/>
      <w:kern w:val="0"/>
      <w:sz w:val="21"/>
      <w:szCs w:val="20"/>
      <w:lang w:eastAsia="en-US"/>
    </w:rPr>
  </w:style>
  <w:style w:type="paragraph" w:customStyle="1" w:styleId="647">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648">
    <w:name w:val="xl106"/>
    <w:basedOn w:val="1"/>
    <w:semiHidden/>
    <w:qFormat/>
    <w:uiPriority w:val="0"/>
    <w:pPr>
      <w:widowControl/>
      <w:pBdr>
        <w:top w:val="single" w:color="auto" w:sz="4" w:space="0"/>
        <w:left w:val="single" w:color="auto" w:sz="4" w:space="0"/>
        <w:right w:val="single" w:color="auto" w:sz="4" w:space="0"/>
      </w:pBdr>
      <w:shd w:val="clear" w:color="000000" w:fill="00B0F0"/>
      <w:spacing w:before="100" w:beforeAutospacing="1" w:after="100" w:afterAutospacing="1"/>
      <w:jc w:val="center"/>
      <w:textAlignment w:val="center"/>
    </w:pPr>
    <w:rPr>
      <w:rFonts w:ascii="宋体" w:hAnsi="宋体" w:cs="宋体"/>
      <w:color w:val="000000"/>
      <w:kern w:val="0"/>
      <w:sz w:val="22"/>
      <w:szCs w:val="22"/>
    </w:rPr>
  </w:style>
  <w:style w:type="paragraph" w:customStyle="1" w:styleId="64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650">
    <w:name w:val="xl93"/>
    <w:basedOn w:val="1"/>
    <w:semiHidden/>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5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652">
    <w:name w:val="正文1 表内数字"/>
    <w:basedOn w:val="1"/>
    <w:semiHidden/>
    <w:qFormat/>
    <w:uiPriority w:val="0"/>
    <w:pPr>
      <w:widowControl/>
      <w:spacing w:line="280" w:lineRule="exact"/>
      <w:jc w:val="center"/>
    </w:pPr>
    <w:rPr>
      <w:color w:val="000000"/>
      <w:kern w:val="0"/>
      <w:szCs w:val="21"/>
    </w:rPr>
  </w:style>
  <w:style w:type="paragraph" w:customStyle="1" w:styleId="653">
    <w:name w:val="Body Text 21"/>
    <w:basedOn w:val="1"/>
    <w:semiHidden/>
    <w:qFormat/>
    <w:uiPriority w:val="0"/>
    <w:pPr>
      <w:adjustRightInd w:val="0"/>
      <w:snapToGrid w:val="0"/>
      <w:spacing w:line="300" w:lineRule="auto"/>
      <w:ind w:firstLine="600" w:firstLineChars="200"/>
      <w:textAlignment w:val="baseline"/>
    </w:pPr>
    <w:rPr>
      <w:rFonts w:ascii="宋体"/>
      <w:kern w:val="32"/>
      <w:sz w:val="28"/>
      <w:szCs w:val="28"/>
    </w:rPr>
  </w:style>
  <w:style w:type="paragraph" w:customStyle="1" w:styleId="654">
    <w:name w:val="Body Text Indent 31"/>
    <w:basedOn w:val="1"/>
    <w:semiHidden/>
    <w:qFormat/>
    <w:uiPriority w:val="0"/>
    <w:pPr>
      <w:adjustRightInd w:val="0"/>
      <w:spacing w:before="60" w:after="60" w:line="312" w:lineRule="auto"/>
      <w:ind w:firstLine="1094"/>
      <w:textAlignment w:val="baseline"/>
    </w:pPr>
    <w:rPr>
      <w:sz w:val="21"/>
      <w:szCs w:val="20"/>
    </w:rPr>
  </w:style>
  <w:style w:type="paragraph" w:customStyle="1" w:styleId="655">
    <w:name w:val="样式 正文缩进正文（首行缩进两字）正文（首行缩进两字） Char + (符号) Verdana 加粗 黑色 首行缩进:..."/>
    <w:basedOn w:val="4"/>
    <w:semiHidden/>
    <w:qFormat/>
    <w:uiPriority w:val="0"/>
    <w:pPr>
      <w:adjustRightInd w:val="0"/>
      <w:spacing w:line="360" w:lineRule="auto"/>
      <w:ind w:firstLine="200"/>
      <w:textAlignment w:val="baseline"/>
    </w:pPr>
    <w:rPr>
      <w:rFonts w:ascii="宋体" w:cs="宋体"/>
      <w:bCs/>
      <w:kern w:val="0"/>
      <w:sz w:val="28"/>
      <w:szCs w:val="28"/>
    </w:rPr>
  </w:style>
  <w:style w:type="paragraph" w:customStyle="1" w:styleId="656">
    <w:name w:val="Char Char Char Char Char Char Char Char Char Char Char Char Char Char Char Char Char Char1"/>
    <w:basedOn w:val="1"/>
    <w:semiHidden/>
    <w:qFormat/>
    <w:uiPriority w:val="0"/>
    <w:rPr>
      <w:sz w:val="21"/>
    </w:rPr>
  </w:style>
  <w:style w:type="paragraph" w:customStyle="1" w:styleId="657">
    <w:name w:val="Char1 Char Char Char Char Char Char"/>
    <w:basedOn w:val="1"/>
    <w:semiHidden/>
    <w:qFormat/>
    <w:uiPriority w:val="0"/>
    <w:pPr>
      <w:spacing w:line="360" w:lineRule="auto"/>
      <w:ind w:firstLine="200" w:firstLineChars="200"/>
    </w:pPr>
    <w:rPr>
      <w:rFonts w:ascii="宋体" w:hAnsi="宋体" w:cs="宋体"/>
    </w:rPr>
  </w:style>
  <w:style w:type="paragraph" w:customStyle="1" w:styleId="658">
    <w:name w:val="Style Heading 3小标题条，（一）一节，一黑四（一）条标题3-0909标题 3 Char Char Ch..."/>
    <w:basedOn w:val="1"/>
    <w:semiHidden/>
    <w:qFormat/>
    <w:uiPriority w:val="0"/>
    <w:rPr>
      <w:sz w:val="21"/>
    </w:rPr>
  </w:style>
  <w:style w:type="paragraph" w:customStyle="1" w:styleId="659">
    <w:name w:val="样式正文"/>
    <w:basedOn w:val="1"/>
    <w:semiHidden/>
    <w:qFormat/>
    <w:uiPriority w:val="0"/>
    <w:pPr>
      <w:spacing w:before="60" w:after="60" w:line="500" w:lineRule="exact"/>
      <w:ind w:firstLine="200" w:firstLineChars="200"/>
      <w:jc w:val="left"/>
    </w:pPr>
    <w:rPr>
      <w:rFonts w:cs="宋体"/>
      <w:sz w:val="26"/>
      <w:szCs w:val="26"/>
    </w:rPr>
  </w:style>
  <w:style w:type="paragraph" w:customStyle="1" w:styleId="660">
    <w:name w:val="List Paragraph2"/>
    <w:basedOn w:val="1"/>
    <w:semiHidden/>
    <w:qFormat/>
    <w:uiPriority w:val="0"/>
    <w:pPr>
      <w:ind w:firstLine="420" w:firstLineChars="200"/>
    </w:pPr>
    <w:rPr>
      <w:rFonts w:ascii="Calibri" w:hAnsi="Calibri" w:cs="Calibri"/>
      <w:sz w:val="21"/>
      <w:szCs w:val="21"/>
    </w:rPr>
  </w:style>
  <w:style w:type="paragraph" w:customStyle="1" w:styleId="661">
    <w:name w:val="样式 表格 + 五号3"/>
    <w:basedOn w:val="189"/>
    <w:semiHidden/>
    <w:qFormat/>
    <w:uiPriority w:val="0"/>
    <w:pPr>
      <w:wordWrap/>
      <w:spacing w:line="240" w:lineRule="auto"/>
    </w:pPr>
    <w:rPr>
      <w:spacing w:val="26"/>
      <w:sz w:val="21"/>
    </w:rPr>
  </w:style>
  <w:style w:type="paragraph" w:customStyle="1" w:styleId="66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63">
    <w:name w:val="Char Char2 Char Char Char Char Char Char Char Char Char1"/>
    <w:basedOn w:val="22"/>
    <w:semiHidden/>
    <w:qFormat/>
    <w:uiPriority w:val="0"/>
    <w:pPr>
      <w:adjustRightInd w:val="0"/>
      <w:spacing w:line="436" w:lineRule="exact"/>
      <w:ind w:left="357"/>
      <w:jc w:val="left"/>
      <w:outlineLvl w:val="3"/>
    </w:pPr>
    <w:rPr>
      <w:rFonts w:ascii="Tahoma" w:hAnsi="Tahoma"/>
      <w:b/>
      <w:szCs w:val="28"/>
    </w:rPr>
  </w:style>
  <w:style w:type="paragraph" w:customStyle="1" w:styleId="664">
    <w:name w:val="样式 五号 居中"/>
    <w:basedOn w:val="1"/>
    <w:semiHidden/>
    <w:qFormat/>
    <w:uiPriority w:val="0"/>
    <w:pPr>
      <w:jc w:val="center"/>
    </w:pPr>
    <w:rPr>
      <w:rFonts w:cs="宋体"/>
      <w:sz w:val="21"/>
      <w:szCs w:val="20"/>
    </w:rPr>
  </w:style>
  <w:style w:type="paragraph" w:customStyle="1" w:styleId="665">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666">
    <w:name w:val="列出段落1"/>
    <w:basedOn w:val="1"/>
    <w:semiHidden/>
    <w:qFormat/>
    <w:uiPriority w:val="0"/>
    <w:pPr>
      <w:ind w:firstLine="420" w:firstLineChars="200"/>
    </w:pPr>
    <w:rPr>
      <w:sz w:val="21"/>
    </w:rPr>
  </w:style>
  <w:style w:type="paragraph" w:customStyle="1" w:styleId="667">
    <w:name w:val="Table"/>
    <w:basedOn w:val="1"/>
    <w:semiHidden/>
    <w:qFormat/>
    <w:uiPriority w:val="0"/>
    <w:pPr>
      <w:suppressAutoHyphens/>
      <w:spacing w:before="40" w:after="40"/>
    </w:pPr>
    <w:rPr>
      <w:rFonts w:ascii="Arial" w:hAnsi="Arial"/>
      <w:spacing w:val="-2"/>
      <w:kern w:val="0"/>
      <w:sz w:val="20"/>
      <w:szCs w:val="20"/>
      <w:lang w:val="en-CA" w:eastAsia="en-US"/>
    </w:rPr>
  </w:style>
  <w:style w:type="paragraph" w:customStyle="1" w:styleId="668">
    <w:name w:val="样式 表格 + 小四1"/>
    <w:basedOn w:val="189"/>
    <w:semiHidden/>
    <w:qFormat/>
    <w:uiPriority w:val="0"/>
    <w:pPr>
      <w:widowControl/>
      <w:wordWrap/>
      <w:adjustRightInd/>
      <w:spacing w:line="264" w:lineRule="auto"/>
      <w:ind w:firstLine="0"/>
      <w:textAlignment w:val="auto"/>
    </w:pPr>
    <w:rPr>
      <w:kern w:val="2"/>
    </w:rPr>
  </w:style>
  <w:style w:type="paragraph" w:customStyle="1" w:styleId="669">
    <w:name w:val="样式 宋体 五号 居中"/>
    <w:basedOn w:val="1"/>
    <w:semiHidden/>
    <w:qFormat/>
    <w:uiPriority w:val="0"/>
    <w:pPr>
      <w:adjustRightInd w:val="0"/>
      <w:spacing w:line="360" w:lineRule="auto"/>
      <w:ind w:firstLine="567"/>
      <w:jc w:val="center"/>
      <w:textAlignment w:val="baseline"/>
    </w:pPr>
    <w:rPr>
      <w:rFonts w:ascii="宋体" w:cs="宋体"/>
      <w:kern w:val="0"/>
      <w:sz w:val="28"/>
      <w:szCs w:val="20"/>
    </w:rPr>
  </w:style>
  <w:style w:type="paragraph" w:customStyle="1" w:styleId="670">
    <w:name w:val="Char Char Char Char Char Char Char Char Char Char Char Char Char Char Char Char Char Char Char Char Char Char Char Char Char Char Char Char Char Char Char Char Char Char Char Char Char Char Char Char Char Char Char"/>
    <w:basedOn w:val="22"/>
    <w:semiHidden/>
    <w:qFormat/>
    <w:uiPriority w:val="0"/>
    <w:pPr>
      <w:adjustRightInd w:val="0"/>
      <w:spacing w:line="436" w:lineRule="exact"/>
      <w:ind w:left="357"/>
      <w:jc w:val="left"/>
      <w:outlineLvl w:val="3"/>
    </w:pPr>
  </w:style>
  <w:style w:type="paragraph" w:customStyle="1" w:styleId="67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672">
    <w:name w:val="xl116"/>
    <w:basedOn w:val="1"/>
    <w:semiHidden/>
    <w:qFormat/>
    <w:uiPriority w:val="0"/>
    <w:pPr>
      <w:widowControl/>
      <w:pBdr>
        <w:left w:val="single" w:color="auto" w:sz="4" w:space="0"/>
        <w:bottom w:val="single" w:color="auto" w:sz="4" w:space="0"/>
        <w:right w:val="single" w:color="auto" w:sz="4" w:space="0"/>
      </w:pBdr>
      <w:shd w:val="clear" w:color="000000" w:fill="FF00FF"/>
      <w:spacing w:before="100" w:beforeAutospacing="1" w:after="100" w:afterAutospacing="1"/>
      <w:jc w:val="center"/>
      <w:textAlignment w:val="center"/>
    </w:pPr>
    <w:rPr>
      <w:rFonts w:ascii="宋体" w:hAnsi="宋体" w:cs="宋体"/>
      <w:color w:val="000000"/>
      <w:kern w:val="0"/>
      <w:sz w:val="22"/>
      <w:szCs w:val="22"/>
    </w:rPr>
  </w:style>
  <w:style w:type="paragraph" w:customStyle="1" w:styleId="673">
    <w:name w:val="样式 正文首行缩进 + 首行缩进:  2 字符 段前: 0.5 行 段后: 0.5 行"/>
    <w:basedOn w:val="75"/>
    <w:semiHidden/>
    <w:qFormat/>
    <w:uiPriority w:val="0"/>
    <w:pPr>
      <w:wordWrap/>
      <w:adjustRightInd w:val="0"/>
      <w:snapToGrid w:val="0"/>
      <w:spacing w:beforeLines="50" w:afterLines="50" w:line="360" w:lineRule="auto"/>
      <w:ind w:firstLine="200" w:firstLineChars="200"/>
    </w:pPr>
    <w:rPr>
      <w:rFonts w:ascii="宋体" w:cs="宋体"/>
      <w:snapToGrid w:val="0"/>
      <w:kern w:val="0"/>
      <w:szCs w:val="20"/>
      <w:lang w:val="en-US"/>
    </w:rPr>
  </w:style>
  <w:style w:type="paragraph" w:customStyle="1" w:styleId="674">
    <w:name w:val="任务页"/>
    <w:basedOn w:val="1"/>
    <w:semiHidden/>
    <w:qFormat/>
    <w:uiPriority w:val="0"/>
    <w:pPr>
      <w:spacing w:line="360" w:lineRule="auto"/>
      <w:ind w:firstLine="1144" w:firstLineChars="200"/>
    </w:pPr>
    <w:rPr>
      <w:sz w:val="28"/>
      <w:szCs w:val="20"/>
      <w:shd w:val="clear" w:color="auto" w:fill="FFFFFF"/>
    </w:rPr>
  </w:style>
  <w:style w:type="paragraph" w:customStyle="1" w:styleId="675">
    <w:name w:val="封面1"/>
    <w:basedOn w:val="1"/>
    <w:semiHidden/>
    <w:qFormat/>
    <w:uiPriority w:val="0"/>
    <w:pPr>
      <w:adjustRightInd w:val="0"/>
      <w:spacing w:line="0" w:lineRule="atLeast"/>
      <w:jc w:val="center"/>
      <w:textAlignment w:val="baseline"/>
    </w:pPr>
    <w:rPr>
      <w:rFonts w:eastAsia="方正姚体"/>
      <w:b/>
      <w:kern w:val="0"/>
      <w:sz w:val="44"/>
      <w:szCs w:val="36"/>
    </w:rPr>
  </w:style>
  <w:style w:type="paragraph" w:customStyle="1" w:styleId="676">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677">
    <w:name w:val="样式 居中"/>
    <w:basedOn w:val="1"/>
    <w:semiHidden/>
    <w:qFormat/>
    <w:uiPriority w:val="0"/>
    <w:pPr>
      <w:adjustRightInd w:val="0"/>
      <w:snapToGrid w:val="0"/>
      <w:jc w:val="center"/>
    </w:pPr>
    <w:rPr>
      <w:rFonts w:eastAsia="华文仿宋"/>
      <w:b/>
      <w:sz w:val="32"/>
      <w:szCs w:val="32"/>
    </w:rPr>
  </w:style>
  <w:style w:type="paragraph" w:customStyle="1" w:styleId="678">
    <w:name w:val="样式 楷体_GB2312 黑色 首行缩进:  1.06 厘米"/>
    <w:basedOn w:val="1"/>
    <w:semiHidden/>
    <w:qFormat/>
    <w:uiPriority w:val="0"/>
    <w:pPr>
      <w:adjustRightInd w:val="0"/>
      <w:spacing w:line="312" w:lineRule="auto"/>
      <w:ind w:firstLine="600"/>
      <w:textAlignment w:val="baseline"/>
    </w:pPr>
    <w:rPr>
      <w:rFonts w:ascii="楷体_GB2312"/>
      <w:color w:val="000000"/>
      <w:kern w:val="0"/>
      <w:sz w:val="28"/>
      <w:szCs w:val="20"/>
    </w:rPr>
  </w:style>
  <w:style w:type="paragraph" w:customStyle="1" w:styleId="679">
    <w:name w:val="表目录"/>
    <w:basedOn w:val="1"/>
    <w:semiHidden/>
    <w:qFormat/>
    <w:uiPriority w:val="0"/>
    <w:pPr>
      <w:adjustRightInd w:val="0"/>
      <w:snapToGrid w:val="0"/>
      <w:spacing w:line="360" w:lineRule="auto"/>
    </w:pPr>
    <w:rPr>
      <w:rFonts w:ascii="黑体" w:eastAsia="黑体"/>
      <w:sz w:val="21"/>
      <w:szCs w:val="21"/>
    </w:rPr>
  </w:style>
  <w:style w:type="paragraph" w:customStyle="1" w:styleId="680">
    <w:name w:val="样式 (西文) 宋体 小五 居中 行距: 最小值 15.5 磅"/>
    <w:basedOn w:val="1"/>
    <w:semiHidden/>
    <w:qFormat/>
    <w:uiPriority w:val="0"/>
    <w:pPr>
      <w:topLinePunct/>
      <w:adjustRightInd w:val="0"/>
      <w:spacing w:before="60" w:after="60" w:line="310" w:lineRule="atLeast"/>
      <w:jc w:val="center"/>
      <w:textAlignment w:val="bottom"/>
    </w:pPr>
    <w:rPr>
      <w:rFonts w:ascii="宋体" w:cs="宋体"/>
      <w:kern w:val="0"/>
      <w:sz w:val="21"/>
      <w:szCs w:val="20"/>
    </w:rPr>
  </w:style>
  <w:style w:type="paragraph" w:customStyle="1" w:styleId="681">
    <w:name w:val="广州二级标题"/>
    <w:basedOn w:val="1"/>
    <w:next w:val="1"/>
    <w:semiHidden/>
    <w:qFormat/>
    <w:uiPriority w:val="0"/>
    <w:pPr>
      <w:spacing w:beforeLines="50" w:afterLines="50" w:line="360" w:lineRule="auto"/>
    </w:pPr>
    <w:rPr>
      <w:rFonts w:ascii="黑体"/>
      <w:sz w:val="32"/>
      <w:szCs w:val="36"/>
    </w:rPr>
  </w:style>
  <w:style w:type="paragraph" w:customStyle="1" w:styleId="682">
    <w:name w:val="Char Char2 Char Char Char Char"/>
    <w:basedOn w:val="22"/>
    <w:semiHidden/>
    <w:qFormat/>
    <w:uiPriority w:val="0"/>
    <w:pPr>
      <w:adjustRightInd w:val="0"/>
      <w:spacing w:line="436" w:lineRule="exact"/>
      <w:ind w:left="357"/>
      <w:jc w:val="left"/>
      <w:outlineLvl w:val="3"/>
    </w:pPr>
    <w:rPr>
      <w:rFonts w:ascii="Tahoma" w:hAnsi="Tahoma"/>
      <w:b/>
      <w:szCs w:val="28"/>
    </w:rPr>
  </w:style>
  <w:style w:type="paragraph" w:customStyle="1" w:styleId="683">
    <w:name w:val="正文左齐"/>
    <w:basedOn w:val="2"/>
    <w:semiHidden/>
    <w:qFormat/>
    <w:uiPriority w:val="0"/>
    <w:pPr>
      <w:numPr>
        <w:numId w:val="0"/>
      </w:numPr>
      <w:tabs>
        <w:tab w:val="left" w:pos="1440"/>
      </w:tabs>
      <w:autoSpaceDE/>
      <w:autoSpaceDN/>
      <w:snapToGrid w:val="0"/>
      <w:spacing w:before="0" w:line="240" w:lineRule="auto"/>
      <w:jc w:val="both"/>
      <w:textAlignment w:val="baseline"/>
      <w:outlineLvl w:val="9"/>
    </w:pPr>
    <w:rPr>
      <w:rFonts w:ascii="宋体" w:hAnsi="宋体" w:eastAsia="宋体"/>
      <w:color w:val="000000"/>
      <w:kern w:val="16"/>
      <w:sz w:val="24"/>
      <w:szCs w:val="21"/>
    </w:rPr>
  </w:style>
  <w:style w:type="paragraph" w:customStyle="1" w:styleId="684">
    <w:name w:val="Table Title"/>
    <w:basedOn w:val="1"/>
    <w:next w:val="1"/>
    <w:semiHidden/>
    <w:qFormat/>
    <w:uiPriority w:val="0"/>
    <w:pPr>
      <w:widowControl/>
      <w:jc w:val="center"/>
    </w:pPr>
    <w:rPr>
      <w:rFonts w:ascii="Arial" w:hAnsi="Arial"/>
      <w:b/>
      <w:kern w:val="0"/>
      <w:sz w:val="22"/>
    </w:rPr>
  </w:style>
  <w:style w:type="paragraph" w:customStyle="1" w:styleId="685">
    <w:name w:val="公正文"/>
    <w:basedOn w:val="4"/>
    <w:semiHidden/>
    <w:qFormat/>
    <w:uiPriority w:val="0"/>
    <w:pPr>
      <w:adjustRightInd w:val="0"/>
      <w:snapToGrid w:val="0"/>
      <w:spacing w:line="353" w:lineRule="auto"/>
      <w:ind w:firstLine="200"/>
    </w:pPr>
    <w:rPr>
      <w:rFonts w:ascii="宋体" w:hAnsi="宋体" w:eastAsia="仿宋_GB2312"/>
      <w:sz w:val="28"/>
    </w:rPr>
  </w:style>
  <w:style w:type="paragraph" w:customStyle="1" w:styleId="686">
    <w:name w:val="newtdfont"/>
    <w:basedOn w:val="1"/>
    <w:semiHidden/>
    <w:qFormat/>
    <w:uiPriority w:val="0"/>
    <w:pPr>
      <w:widowControl/>
      <w:spacing w:before="100" w:beforeAutospacing="1" w:after="100" w:afterAutospacing="1" w:line="330" w:lineRule="atLeast"/>
      <w:ind w:firstLine="480"/>
      <w:jc w:val="left"/>
    </w:pPr>
    <w:rPr>
      <w:rFonts w:ascii="宋体" w:hAnsi="宋体" w:cs="宋体"/>
      <w:kern w:val="0"/>
      <w:sz w:val="21"/>
      <w:szCs w:val="21"/>
    </w:rPr>
  </w:style>
  <w:style w:type="paragraph" w:customStyle="1" w:styleId="687">
    <w:name w:val="1正文"/>
    <w:basedOn w:val="1"/>
    <w:semiHidden/>
    <w:qFormat/>
    <w:uiPriority w:val="0"/>
    <w:pPr>
      <w:spacing w:before="60" w:afterLines="50" w:line="400" w:lineRule="exact"/>
    </w:pPr>
    <w:rPr>
      <w:rFonts w:ascii="Arial" w:hAnsi="Arial" w:eastAsia="楷体_GB2312"/>
      <w:sz w:val="28"/>
      <w:szCs w:val="20"/>
    </w:rPr>
  </w:style>
  <w:style w:type="paragraph" w:customStyle="1" w:styleId="688">
    <w:name w:val="大标题 + 段前: 1 行"/>
    <w:basedOn w:val="448"/>
    <w:semiHidden/>
    <w:qFormat/>
    <w:uiPriority w:val="0"/>
    <w:pPr>
      <w:tabs>
        <w:tab w:val="clear" w:pos="1440"/>
      </w:tabs>
      <w:spacing w:beforeLines="0"/>
    </w:pPr>
  </w:style>
  <w:style w:type="paragraph" w:customStyle="1" w:styleId="689">
    <w:name w:val="xl111"/>
    <w:basedOn w:val="1"/>
    <w:semiHidden/>
    <w:qFormat/>
    <w:uiPriority w:val="0"/>
    <w:pPr>
      <w:widowControl/>
      <w:pBdr>
        <w:top w:val="single" w:color="auto" w:sz="4" w:space="0"/>
        <w:left w:val="single" w:color="auto" w:sz="4" w:space="0"/>
        <w:right w:val="single" w:color="auto" w:sz="4" w:space="0"/>
      </w:pBdr>
      <w:shd w:val="clear" w:color="000000" w:fill="00FFFF"/>
      <w:spacing w:before="100" w:beforeAutospacing="1" w:after="100" w:afterAutospacing="1"/>
      <w:jc w:val="center"/>
      <w:textAlignment w:val="center"/>
    </w:pPr>
    <w:rPr>
      <w:rFonts w:ascii="宋体" w:hAnsi="宋体" w:cs="宋体"/>
      <w:color w:val="000000"/>
      <w:kern w:val="0"/>
      <w:sz w:val="22"/>
      <w:szCs w:val="22"/>
    </w:rPr>
  </w:style>
  <w:style w:type="paragraph" w:customStyle="1" w:styleId="690">
    <w:name w:val="SMEDI正文"/>
    <w:basedOn w:val="1"/>
    <w:qFormat/>
    <w:uiPriority w:val="0"/>
    <w:pPr>
      <w:spacing w:line="540" w:lineRule="exact"/>
      <w:ind w:firstLine="578"/>
    </w:pPr>
    <w:rPr>
      <w:rFonts w:cs="宋体"/>
      <w:spacing w:val="8"/>
      <w:sz w:val="28"/>
      <w:szCs w:val="20"/>
    </w:rPr>
  </w:style>
  <w:style w:type="character" w:customStyle="1" w:styleId="691">
    <w:name w:val="页眉2 Char1"/>
    <w:semiHidden/>
    <w:qFormat/>
    <w:uiPriority w:val="0"/>
    <w:rPr>
      <w:kern w:val="2"/>
      <w:sz w:val="18"/>
      <w:szCs w:val="28"/>
      <w:lang w:bidi="ar-SA"/>
    </w:rPr>
  </w:style>
  <w:style w:type="character" w:customStyle="1" w:styleId="692">
    <w:name w:val="节 Char1"/>
    <w:semiHidden/>
    <w:qFormat/>
    <w:uiPriority w:val="0"/>
    <w:rPr>
      <w:b/>
      <w:color w:val="000000"/>
      <w:sz w:val="24"/>
      <w:lang w:val="en-GB" w:eastAsia="zh-CN" w:bidi="ar-SA"/>
    </w:rPr>
  </w:style>
  <w:style w:type="character" w:customStyle="1" w:styleId="693">
    <w:name w:val="头 Char1"/>
    <w:semiHidden/>
    <w:qFormat/>
    <w:uiPriority w:val="0"/>
    <w:rPr>
      <w:rFonts w:eastAsia="宋体"/>
      <w:color w:val="000000"/>
      <w:sz w:val="24"/>
      <w:lang w:val="en-GB" w:eastAsia="zh-CN" w:bidi="ar-SA"/>
    </w:rPr>
  </w:style>
  <w:style w:type="character" w:customStyle="1" w:styleId="694">
    <w:name w:val="四 Char2"/>
    <w:semiHidden/>
    <w:qFormat/>
    <w:uiPriority w:val="0"/>
    <w:rPr>
      <w:rFonts w:ascii="Arial" w:hAnsi="Arial" w:eastAsia="黑体"/>
      <w:b/>
      <w:bCs/>
      <w:kern w:val="2"/>
      <w:sz w:val="28"/>
      <w:szCs w:val="28"/>
      <w:lang w:val="en-US" w:eastAsia="zh-CN" w:bidi="ar-SA"/>
    </w:rPr>
  </w:style>
  <w:style w:type="character" w:customStyle="1" w:styleId="695">
    <w:name w:val="H5 Char"/>
    <w:semiHidden/>
    <w:qFormat/>
    <w:uiPriority w:val="0"/>
    <w:rPr>
      <w:rFonts w:ascii="Arial" w:hAnsi="Arial" w:eastAsia="宋体"/>
      <w:b/>
      <w:sz w:val="22"/>
      <w:lang w:val="en-GB" w:eastAsia="en-US" w:bidi="ar-SA"/>
    </w:rPr>
  </w:style>
  <w:style w:type="character" w:customStyle="1" w:styleId="696">
    <w:name w:val="H6 Char"/>
    <w:semiHidden/>
    <w:qFormat/>
    <w:uiPriority w:val="0"/>
    <w:rPr>
      <w:rFonts w:ascii="Arial" w:hAnsi="Arial" w:eastAsia="宋体"/>
      <w:sz w:val="22"/>
      <w:lang w:val="en-GB" w:eastAsia="en-US" w:bidi="ar-SA"/>
    </w:rPr>
  </w:style>
  <w:style w:type="character" w:customStyle="1" w:styleId="697">
    <w:name w:val="L7 Char1"/>
    <w:semiHidden/>
    <w:qFormat/>
    <w:uiPriority w:val="0"/>
    <w:rPr>
      <w:rFonts w:ascii="Arial" w:hAnsi="Arial" w:eastAsia="宋体"/>
      <w:sz w:val="22"/>
      <w:lang w:val="en-GB" w:eastAsia="en-US" w:bidi="ar-SA"/>
    </w:rPr>
  </w:style>
  <w:style w:type="character" w:customStyle="1" w:styleId="698">
    <w:name w:val="注意框体 Char1"/>
    <w:semiHidden/>
    <w:qFormat/>
    <w:uiPriority w:val="0"/>
    <w:rPr>
      <w:rFonts w:ascii="Arial" w:hAnsi="Arial" w:eastAsia="宋体"/>
      <w:sz w:val="22"/>
      <w:lang w:val="en-GB" w:eastAsia="en-US" w:bidi="ar-SA"/>
    </w:rPr>
  </w:style>
  <w:style w:type="character" w:customStyle="1" w:styleId="699">
    <w:name w:val="huh Char1"/>
    <w:semiHidden/>
    <w:qFormat/>
    <w:uiPriority w:val="0"/>
    <w:rPr>
      <w:rFonts w:ascii="Arial" w:hAnsi="Arial" w:eastAsia="宋体"/>
      <w:sz w:val="22"/>
      <w:lang w:val="en-GB" w:eastAsia="en-US" w:bidi="ar-SA"/>
    </w:rPr>
  </w:style>
  <w:style w:type="character" w:customStyle="1" w:styleId="700">
    <w:name w:val="apple-style-span"/>
    <w:basedOn w:val="79"/>
    <w:semiHidden/>
    <w:qFormat/>
    <w:uiPriority w:val="0"/>
  </w:style>
  <w:style w:type="character" w:customStyle="1" w:styleId="701">
    <w:name w:val="apple-converted-space"/>
    <w:basedOn w:val="79"/>
    <w:semiHidden/>
    <w:qFormat/>
    <w:uiPriority w:val="0"/>
  </w:style>
  <w:style w:type="character" w:customStyle="1" w:styleId="702">
    <w:name w:val="t31"/>
    <w:semiHidden/>
    <w:qFormat/>
    <w:uiPriority w:val="0"/>
    <w:rPr>
      <w:rFonts w:hint="eastAsia" w:ascii="宋体" w:hAnsi="宋体" w:eastAsia="宋体"/>
      <w:color w:val="000060"/>
      <w:sz w:val="28"/>
      <w:szCs w:val="28"/>
    </w:rPr>
  </w:style>
  <w:style w:type="character" w:customStyle="1" w:styleId="703">
    <w:name w:val="正文文本 Char"/>
    <w:qFormat/>
    <w:uiPriority w:val="0"/>
    <w:rPr>
      <w:rFonts w:eastAsia="宋体"/>
      <w:sz w:val="22"/>
      <w:lang w:val="en-GB" w:eastAsia="en-US" w:bidi="ar-SA"/>
    </w:rPr>
  </w:style>
  <w:style w:type="character" w:customStyle="1" w:styleId="704">
    <w:name w:val="date1"/>
    <w:semiHidden/>
    <w:qFormat/>
    <w:uiPriority w:val="0"/>
    <w:rPr>
      <w:color w:val="999999"/>
      <w:sz w:val="17"/>
      <w:szCs w:val="17"/>
    </w:rPr>
  </w:style>
  <w:style w:type="character" w:customStyle="1" w:styleId="705">
    <w:name w:val="！正文 Char"/>
    <w:link w:val="706"/>
    <w:qFormat/>
    <w:uiPriority w:val="0"/>
    <w:rPr>
      <w:rFonts w:eastAsia="宋体"/>
      <w:sz w:val="24"/>
      <w:szCs w:val="24"/>
      <w:lang w:bidi="ar-SA"/>
    </w:rPr>
  </w:style>
  <w:style w:type="paragraph" w:customStyle="1" w:styleId="706">
    <w:name w:val="！正文"/>
    <w:basedOn w:val="1"/>
    <w:link w:val="705"/>
    <w:semiHidden/>
    <w:qFormat/>
    <w:uiPriority w:val="0"/>
    <w:pPr>
      <w:spacing w:line="360" w:lineRule="auto"/>
      <w:ind w:firstLine="200" w:firstLineChars="200"/>
    </w:pPr>
    <w:rPr>
      <w:kern w:val="0"/>
      <w:lang w:val="zh-CN"/>
    </w:rPr>
  </w:style>
  <w:style w:type="character" w:customStyle="1" w:styleId="707">
    <w:name w:val="Char Char22"/>
    <w:semiHidden/>
    <w:qFormat/>
    <w:locked/>
    <w:uiPriority w:val="0"/>
    <w:rPr>
      <w:rFonts w:ascii="黑体" w:eastAsia="黑体"/>
      <w:sz w:val="60"/>
      <w:szCs w:val="60"/>
      <w:lang w:val="en-US" w:eastAsia="zh-CN" w:bidi="ar-SA"/>
    </w:rPr>
  </w:style>
  <w:style w:type="character" w:customStyle="1" w:styleId="708">
    <w:name w:val="Body Text1 Char1"/>
    <w:semiHidden/>
    <w:qFormat/>
    <w:locked/>
    <w:uiPriority w:val="0"/>
    <w:rPr>
      <w:rFonts w:eastAsia="宋体"/>
      <w:kern w:val="2"/>
      <w:sz w:val="21"/>
      <w:lang w:val="en-US" w:eastAsia="zh-CN" w:bidi="ar-SA"/>
    </w:rPr>
  </w:style>
  <w:style w:type="character" w:customStyle="1" w:styleId="709">
    <w:name w:val="批注文字 Char"/>
    <w:qFormat/>
    <w:uiPriority w:val="0"/>
    <w:rPr>
      <w:sz w:val="24"/>
      <w:szCs w:val="24"/>
    </w:rPr>
  </w:style>
  <w:style w:type="character" w:customStyle="1" w:styleId="710">
    <w:name w:val="表格正文 Char Char"/>
    <w:semiHidden/>
    <w:qFormat/>
    <w:locked/>
    <w:uiPriority w:val="0"/>
    <w:rPr>
      <w:rFonts w:eastAsia="宋体"/>
      <w:kern w:val="2"/>
      <w:sz w:val="24"/>
      <w:lang w:val="en-US" w:eastAsia="zh-CN" w:bidi="ar-SA"/>
    </w:rPr>
  </w:style>
  <w:style w:type="paragraph" w:customStyle="1" w:styleId="711">
    <w:name w:val="样式 标题 3头小节标题 + 非加粗 段前: 0.5 行 段后: 0.5 行"/>
    <w:basedOn w:val="5"/>
    <w:semiHidden/>
    <w:qFormat/>
    <w:uiPriority w:val="0"/>
    <w:pPr>
      <w:keepLines w:val="0"/>
      <w:widowControl/>
      <w:tabs>
        <w:tab w:val="clear" w:pos="425"/>
      </w:tabs>
      <w:adjustRightInd w:val="0"/>
      <w:snapToGrid w:val="0"/>
      <w:spacing w:beforeLines="50" w:afterLines="50" w:line="500" w:lineRule="exact"/>
      <w:ind w:left="0" w:firstLine="0"/>
    </w:pPr>
    <w:rPr>
      <w:rFonts w:eastAsia="宋体" w:cs="宋体"/>
      <w:snapToGrid/>
      <w:color w:val="000000"/>
      <w:sz w:val="24"/>
      <w:szCs w:val="20"/>
      <w:lang w:val="en-GB"/>
    </w:rPr>
  </w:style>
  <w:style w:type="paragraph" w:customStyle="1" w:styleId="712">
    <w:name w:val="正文23"/>
    <w:basedOn w:val="4"/>
    <w:link w:val="713"/>
    <w:semiHidden/>
    <w:qFormat/>
    <w:uiPriority w:val="0"/>
    <w:pPr>
      <w:spacing w:line="360" w:lineRule="auto"/>
      <w:ind w:firstLine="200"/>
      <w:jc w:val="left"/>
    </w:pPr>
    <w:rPr>
      <w:rFonts w:ascii="宋体" w:hAnsi="宋体"/>
      <w:szCs w:val="28"/>
    </w:rPr>
  </w:style>
  <w:style w:type="character" w:customStyle="1" w:styleId="713">
    <w:name w:val="正文23 Char"/>
    <w:link w:val="712"/>
    <w:qFormat/>
    <w:uiPriority w:val="0"/>
    <w:rPr>
      <w:rFonts w:ascii="宋体" w:hAnsi="宋体" w:eastAsia="宋体"/>
      <w:kern w:val="2"/>
      <w:sz w:val="24"/>
      <w:szCs w:val="28"/>
      <w:lang w:val="en-US" w:eastAsia="zh-CN" w:bidi="ar-SA"/>
    </w:rPr>
  </w:style>
  <w:style w:type="paragraph" w:customStyle="1" w:styleId="714">
    <w:name w:val="Text"/>
    <w:qFormat/>
    <w:uiPriority w:val="0"/>
    <w:pPr>
      <w:spacing w:line="360" w:lineRule="auto"/>
      <w:jc w:val="both"/>
    </w:pPr>
    <w:rPr>
      <w:rFonts w:ascii="Arial" w:hAnsi="Arial" w:eastAsia="宋体" w:cs="Times New Roman"/>
      <w:color w:val="000000"/>
      <w:sz w:val="24"/>
      <w:lang w:val="en-US" w:eastAsia="zh-CN" w:bidi="ar-SA"/>
    </w:rPr>
  </w:style>
  <w:style w:type="paragraph" w:customStyle="1" w:styleId="715">
    <w:name w:val="Main Heading"/>
    <w:semiHidden/>
    <w:qFormat/>
    <w:uiPriority w:val="0"/>
    <w:pPr>
      <w:adjustRightInd w:val="0"/>
      <w:jc w:val="center"/>
      <w:textAlignment w:val="baseline"/>
    </w:pPr>
    <w:rPr>
      <w:rFonts w:ascii="Optima" w:hAnsi="Optima" w:eastAsia="MS Mincho" w:cs="Times New Roman"/>
      <w:b/>
      <w:caps/>
      <w:sz w:val="32"/>
      <w:lang w:val="en-US" w:eastAsia="ja-JP" w:bidi="ar-SA"/>
    </w:rPr>
  </w:style>
  <w:style w:type="paragraph" w:customStyle="1" w:styleId="716">
    <w:name w:val="SuepHeading"/>
    <w:basedOn w:val="1"/>
    <w:semiHidden/>
    <w:qFormat/>
    <w:uiPriority w:val="0"/>
    <w:pPr>
      <w:widowControl/>
      <w:numPr>
        <w:ilvl w:val="1"/>
        <w:numId w:val="3"/>
      </w:numPr>
      <w:tabs>
        <w:tab w:val="left" w:pos="828"/>
        <w:tab w:val="left" w:pos="1394"/>
        <w:tab w:val="left" w:pos="2245"/>
        <w:tab w:val="left" w:pos="3094"/>
        <w:tab w:val="left" w:pos="3945"/>
        <w:tab w:val="left" w:pos="5079"/>
        <w:tab w:val="left" w:pos="6496"/>
        <w:tab w:val="left" w:pos="7630"/>
      </w:tabs>
      <w:suppressAutoHyphens/>
      <w:adjustRightInd w:val="0"/>
      <w:spacing w:line="360" w:lineRule="auto"/>
    </w:pPr>
    <w:rPr>
      <w:rFonts w:ascii="Arial" w:hAnsi="Arial"/>
      <w:b/>
      <w:spacing w:val="-2"/>
      <w:kern w:val="0"/>
      <w:sz w:val="22"/>
      <w:szCs w:val="20"/>
      <w:lang w:val="en-GB" w:eastAsia="en-US"/>
    </w:rPr>
  </w:style>
  <w:style w:type="paragraph" w:customStyle="1" w:styleId="717">
    <w:name w:val="SuepChapter"/>
    <w:basedOn w:val="716"/>
    <w:semiHidden/>
    <w:qFormat/>
    <w:uiPriority w:val="0"/>
    <w:pPr>
      <w:numPr>
        <w:ilvl w:val="0"/>
        <w:numId w:val="4"/>
      </w:numPr>
      <w:tabs>
        <w:tab w:val="clear" w:pos="828"/>
        <w:tab w:val="clear" w:pos="1394"/>
        <w:tab w:val="clear" w:pos="2245"/>
        <w:tab w:val="clear" w:pos="3094"/>
        <w:tab w:val="clear" w:pos="3945"/>
        <w:tab w:val="clear" w:pos="5079"/>
        <w:tab w:val="clear" w:pos="6496"/>
        <w:tab w:val="clear" w:pos="7630"/>
      </w:tabs>
      <w:jc w:val="center"/>
    </w:pPr>
  </w:style>
  <w:style w:type="paragraph" w:customStyle="1" w:styleId="718">
    <w:name w:val="样式 (西文) 仿宋_GB2312 (中文) 仿宋_GB2312 小四 黑色 行距: 固定值 18 磅"/>
    <w:basedOn w:val="1"/>
    <w:semiHidden/>
    <w:qFormat/>
    <w:uiPriority w:val="0"/>
    <w:pPr>
      <w:snapToGrid w:val="0"/>
      <w:spacing w:before="30" w:line="360" w:lineRule="exact"/>
    </w:pPr>
    <w:rPr>
      <w:rFonts w:ascii="宋体" w:hAnsi="Arial"/>
      <w:color w:val="000000"/>
      <w:spacing w:val="-10"/>
      <w:szCs w:val="20"/>
    </w:rPr>
  </w:style>
  <w:style w:type="paragraph" w:customStyle="1" w:styleId="719">
    <w:name w:val="SuepSubHead"/>
    <w:basedOn w:val="1"/>
    <w:semiHidden/>
    <w:qFormat/>
    <w:uiPriority w:val="0"/>
    <w:pPr>
      <w:widowControl/>
      <w:numPr>
        <w:ilvl w:val="2"/>
        <w:numId w:val="3"/>
      </w:numPr>
      <w:adjustRightInd w:val="0"/>
      <w:spacing w:line="360" w:lineRule="auto"/>
      <w:jc w:val="left"/>
    </w:pPr>
    <w:rPr>
      <w:rFonts w:ascii="Arial" w:hAnsi="Arial"/>
      <w:b/>
      <w:kern w:val="0"/>
      <w:sz w:val="22"/>
      <w:szCs w:val="20"/>
      <w:lang w:val="en-GB" w:eastAsia="en-US"/>
    </w:rPr>
  </w:style>
  <w:style w:type="paragraph" w:customStyle="1" w:styleId="720">
    <w:name w:val="项目符号_圆点"/>
    <w:basedOn w:val="1"/>
    <w:semiHidden/>
    <w:qFormat/>
    <w:uiPriority w:val="0"/>
    <w:pPr>
      <w:numPr>
        <w:ilvl w:val="0"/>
        <w:numId w:val="5"/>
      </w:numPr>
      <w:spacing w:before="78"/>
    </w:pPr>
    <w:rPr>
      <w:szCs w:val="20"/>
    </w:rPr>
  </w:style>
  <w:style w:type="paragraph" w:customStyle="1" w:styleId="721">
    <w:name w:val="项目符号_“-”"/>
    <w:basedOn w:val="1"/>
    <w:semiHidden/>
    <w:qFormat/>
    <w:uiPriority w:val="0"/>
    <w:pPr>
      <w:numPr>
        <w:ilvl w:val="0"/>
        <w:numId w:val="6"/>
      </w:numPr>
      <w:spacing w:before="78"/>
      <w:ind w:left="820" w:leftChars="400"/>
    </w:pPr>
    <w:rPr>
      <w:sz w:val="21"/>
      <w:szCs w:val="20"/>
    </w:rPr>
  </w:style>
  <w:style w:type="paragraph" w:customStyle="1" w:styleId="722">
    <w:name w:val="Char Char Char Char Char Char Char Char Char Char"/>
    <w:basedOn w:val="1"/>
    <w:semiHidden/>
    <w:qFormat/>
    <w:uiPriority w:val="0"/>
    <w:pPr>
      <w:widowControl/>
      <w:spacing w:after="160" w:line="360" w:lineRule="auto"/>
      <w:jc w:val="left"/>
    </w:pPr>
    <w:rPr>
      <w:rFonts w:ascii="宋体" w:hAnsi="宋体" w:cs="Courier New"/>
      <w:spacing w:val="-2"/>
      <w:sz w:val="22"/>
      <w:szCs w:val="32"/>
    </w:rPr>
  </w:style>
  <w:style w:type="paragraph" w:customStyle="1" w:styleId="723">
    <w:name w:val="样式 宋体 行距: 固定值 18 磅"/>
    <w:basedOn w:val="1"/>
    <w:qFormat/>
    <w:uiPriority w:val="0"/>
    <w:pPr>
      <w:adjustRightInd w:val="0"/>
      <w:spacing w:beforeLines="30" w:line="360" w:lineRule="exact"/>
      <w:ind w:firstLine="480"/>
    </w:pPr>
    <w:rPr>
      <w:rFonts w:ascii="宋体" w:hAnsi="宋体"/>
      <w:sz w:val="21"/>
      <w:szCs w:val="20"/>
    </w:rPr>
  </w:style>
  <w:style w:type="paragraph" w:customStyle="1" w:styleId="724">
    <w:name w:val="Char21"/>
    <w:basedOn w:val="1"/>
    <w:semiHidden/>
    <w:qFormat/>
    <w:uiPriority w:val="0"/>
    <w:rPr>
      <w:sz w:val="21"/>
      <w:szCs w:val="21"/>
    </w:rPr>
  </w:style>
  <w:style w:type="paragraph" w:customStyle="1" w:styleId="725">
    <w:name w:val="T0105"/>
    <w:basedOn w:val="1"/>
    <w:qFormat/>
    <w:uiPriority w:val="0"/>
    <w:pPr>
      <w:adjustRightInd w:val="0"/>
      <w:spacing w:before="120" w:line="340" w:lineRule="atLeast"/>
      <w:ind w:firstLine="480"/>
    </w:pPr>
    <w:rPr>
      <w:rFonts w:eastAsia="仿宋_GB2312"/>
      <w:szCs w:val="20"/>
    </w:rPr>
  </w:style>
  <w:style w:type="paragraph" w:customStyle="1" w:styleId="726">
    <w:name w:val="用户标题1"/>
    <w:basedOn w:val="2"/>
    <w:qFormat/>
    <w:uiPriority w:val="0"/>
    <w:pPr>
      <w:keepNext/>
      <w:keepLines/>
      <w:numPr>
        <w:numId w:val="0"/>
      </w:numPr>
      <w:autoSpaceDE/>
      <w:autoSpaceDN/>
      <w:spacing w:before="360" w:after="360" w:line="240" w:lineRule="atLeast"/>
      <w:textAlignment w:val="baseline"/>
      <w:outlineLvl w:val="9"/>
    </w:pPr>
    <w:rPr>
      <w:rFonts w:ascii="Times New Roman" w:eastAsia="宋体"/>
      <w:b/>
      <w:kern w:val="44"/>
      <w:sz w:val="36"/>
      <w:szCs w:val="20"/>
    </w:rPr>
  </w:style>
  <w:style w:type="paragraph" w:customStyle="1" w:styleId="727">
    <w:name w:val="ÕýÎÄ"/>
    <w:qFormat/>
    <w:uiPriority w:val="0"/>
    <w:pPr>
      <w:widowControl w:val="0"/>
      <w:overflowPunct w:val="0"/>
      <w:autoSpaceDE w:val="0"/>
      <w:autoSpaceDN w:val="0"/>
      <w:adjustRightInd w:val="0"/>
      <w:textAlignment w:val="baseline"/>
    </w:pPr>
    <w:rPr>
      <w:rFonts w:ascii="Courier New" w:hAnsi="Courier New" w:eastAsia="宋体" w:cs="Times New Roman"/>
      <w:sz w:val="24"/>
      <w:lang w:val="en-US" w:eastAsia="zh-CN" w:bidi="ar-SA"/>
    </w:rPr>
  </w:style>
  <w:style w:type="paragraph" w:customStyle="1" w:styleId="728">
    <w:name w:val="列表项目编号"/>
    <w:basedOn w:val="257"/>
    <w:semiHidden/>
    <w:qFormat/>
    <w:uiPriority w:val="0"/>
    <w:pPr>
      <w:keepNext w:val="0"/>
      <w:keepLines w:val="0"/>
      <w:tabs>
        <w:tab w:val="clear" w:pos="1440"/>
      </w:tabs>
      <w:wordWrap/>
      <w:snapToGrid/>
      <w:spacing w:before="0" w:after="0"/>
      <w:ind w:firstLine="0" w:firstLineChars="0"/>
      <w:jc w:val="both"/>
      <w:outlineLvl w:val="9"/>
    </w:pPr>
    <w:rPr>
      <w:rFonts w:ascii="Times New Roman" w:hAnsi="Times New Roman" w:eastAsia="宋体"/>
      <w:b w:val="0"/>
      <w:kern w:val="0"/>
      <w:sz w:val="28"/>
      <w:szCs w:val="20"/>
    </w:rPr>
  </w:style>
  <w:style w:type="paragraph" w:customStyle="1" w:styleId="729">
    <w:name w:val="正文首行缩进2"/>
    <w:basedOn w:val="76"/>
    <w:semiHidden/>
    <w:qFormat/>
    <w:uiPriority w:val="0"/>
    <w:pPr>
      <w:wordWrap/>
      <w:ind w:left="0" w:leftChars="0" w:firstLine="210" w:firstLineChars="0"/>
    </w:pPr>
    <w:rPr>
      <w:sz w:val="21"/>
      <w:szCs w:val="20"/>
      <w:lang w:val="en-US"/>
    </w:rPr>
  </w:style>
  <w:style w:type="paragraph" w:customStyle="1" w:styleId="730">
    <w:name w:val="标准中文版式_正文"/>
    <w:basedOn w:val="1"/>
    <w:link w:val="731"/>
    <w:qFormat/>
    <w:uiPriority w:val="0"/>
    <w:pPr>
      <w:snapToGrid w:val="0"/>
      <w:spacing w:beforeLines="30" w:line="360" w:lineRule="auto"/>
    </w:pPr>
    <w:rPr>
      <w:spacing w:val="-10"/>
      <w:sz w:val="21"/>
      <w:szCs w:val="21"/>
    </w:rPr>
  </w:style>
  <w:style w:type="character" w:customStyle="1" w:styleId="731">
    <w:name w:val="标准中文版式_正文 Char"/>
    <w:link w:val="730"/>
    <w:qFormat/>
    <w:locked/>
    <w:uiPriority w:val="0"/>
    <w:rPr>
      <w:rFonts w:eastAsia="宋体"/>
      <w:spacing w:val="-10"/>
      <w:kern w:val="2"/>
      <w:sz w:val="21"/>
      <w:szCs w:val="21"/>
      <w:lang w:val="en-US" w:eastAsia="zh-CN" w:bidi="ar-SA"/>
    </w:rPr>
  </w:style>
  <w:style w:type="paragraph" w:customStyle="1" w:styleId="732">
    <w:name w:val="用户标题2"/>
    <w:basedOn w:val="3"/>
    <w:qFormat/>
    <w:uiPriority w:val="0"/>
    <w:pPr>
      <w:numPr>
        <w:ilvl w:val="0"/>
        <w:numId w:val="0"/>
      </w:numPr>
      <w:adjustRightInd w:val="0"/>
      <w:spacing w:before="300" w:after="300" w:line="240" w:lineRule="atLeast"/>
      <w:ind w:firstLine="142"/>
      <w:jc w:val="left"/>
      <w:textAlignment w:val="baseline"/>
      <w:outlineLvl w:val="9"/>
    </w:pPr>
    <w:rPr>
      <w:rFonts w:eastAsia="宋体"/>
      <w:snapToGrid/>
      <w:sz w:val="32"/>
      <w:szCs w:val="20"/>
    </w:rPr>
  </w:style>
  <w:style w:type="paragraph" w:customStyle="1" w:styleId="733">
    <w:name w:val="+列表2"/>
    <w:basedOn w:val="1"/>
    <w:qFormat/>
    <w:uiPriority w:val="0"/>
    <w:pPr>
      <w:jc w:val="center"/>
    </w:pPr>
    <w:rPr>
      <w:szCs w:val="21"/>
    </w:rPr>
  </w:style>
  <w:style w:type="paragraph" w:customStyle="1" w:styleId="734">
    <w:name w:val="用户标题3"/>
    <w:basedOn w:val="5"/>
    <w:qFormat/>
    <w:uiPriority w:val="0"/>
    <w:pPr>
      <w:tabs>
        <w:tab w:val="clear" w:pos="425"/>
      </w:tabs>
      <w:adjustRightInd w:val="0"/>
      <w:spacing w:before="240" w:after="240" w:line="240" w:lineRule="atLeast"/>
      <w:ind w:left="0" w:firstLine="284"/>
      <w:jc w:val="left"/>
      <w:textAlignment w:val="baseline"/>
      <w:outlineLvl w:val="9"/>
    </w:pPr>
    <w:rPr>
      <w:rFonts w:eastAsia="宋体"/>
      <w:snapToGrid/>
      <w:sz w:val="30"/>
      <w:szCs w:val="20"/>
    </w:rPr>
  </w:style>
  <w:style w:type="paragraph" w:customStyle="1" w:styleId="735">
    <w:name w:val="reader-word-layer reader-word-s1-13"/>
    <w:basedOn w:val="1"/>
    <w:semiHidden/>
    <w:qFormat/>
    <w:uiPriority w:val="0"/>
    <w:pPr>
      <w:widowControl/>
      <w:spacing w:before="100" w:beforeAutospacing="1" w:after="100" w:afterAutospacing="1"/>
      <w:jc w:val="left"/>
    </w:pPr>
    <w:rPr>
      <w:rFonts w:ascii="宋体" w:hAnsi="宋体" w:cs="宋体"/>
      <w:kern w:val="0"/>
    </w:rPr>
  </w:style>
  <w:style w:type="paragraph" w:customStyle="1" w:styleId="736">
    <w:name w:val="font14"/>
    <w:basedOn w:val="1"/>
    <w:semiHidden/>
    <w:qFormat/>
    <w:uiPriority w:val="0"/>
    <w:pPr>
      <w:widowControl/>
      <w:spacing w:before="100" w:beforeAutospacing="1" w:after="100" w:afterAutospacing="1"/>
      <w:jc w:val="left"/>
    </w:pPr>
    <w:rPr>
      <w:color w:val="000000"/>
      <w:kern w:val="0"/>
    </w:rPr>
  </w:style>
  <w:style w:type="paragraph" w:customStyle="1" w:styleId="737">
    <w:name w:val="列表编号1"/>
    <w:basedOn w:val="1"/>
    <w:semiHidden/>
    <w:qFormat/>
    <w:uiPriority w:val="0"/>
    <w:pPr>
      <w:numPr>
        <w:ilvl w:val="0"/>
        <w:numId w:val="7"/>
      </w:numPr>
      <w:suppressAutoHyphens/>
      <w:spacing w:line="360" w:lineRule="auto"/>
      <w:jc w:val="left"/>
    </w:pPr>
    <w:rPr>
      <w:kern w:val="1"/>
      <w:sz w:val="28"/>
      <w:szCs w:val="28"/>
      <w:lang w:eastAsia="ar-SA"/>
    </w:rPr>
  </w:style>
  <w:style w:type="paragraph" w:customStyle="1" w:styleId="738">
    <w:name w:val="+正文"/>
    <w:basedOn w:val="1"/>
    <w:link w:val="739"/>
    <w:qFormat/>
    <w:uiPriority w:val="0"/>
    <w:pPr>
      <w:spacing w:line="360" w:lineRule="auto"/>
      <w:ind w:firstLine="200" w:firstLineChars="200"/>
    </w:pPr>
    <w:rPr>
      <w:szCs w:val="28"/>
    </w:rPr>
  </w:style>
  <w:style w:type="character" w:customStyle="1" w:styleId="739">
    <w:name w:val="+正文 Char"/>
    <w:link w:val="738"/>
    <w:qFormat/>
    <w:locked/>
    <w:uiPriority w:val="0"/>
    <w:rPr>
      <w:rFonts w:eastAsia="宋体"/>
      <w:kern w:val="2"/>
      <w:sz w:val="24"/>
      <w:szCs w:val="28"/>
      <w:lang w:val="en-US" w:eastAsia="zh-CN" w:bidi="ar-SA"/>
    </w:rPr>
  </w:style>
  <w:style w:type="paragraph" w:customStyle="1" w:styleId="740">
    <w:name w:val="表内容"/>
    <w:basedOn w:val="1"/>
    <w:qFormat/>
    <w:uiPriority w:val="0"/>
    <w:pPr>
      <w:autoSpaceDE w:val="0"/>
      <w:autoSpaceDN w:val="0"/>
      <w:adjustRightInd w:val="0"/>
      <w:spacing w:before="60" w:after="60" w:line="288" w:lineRule="auto"/>
      <w:jc w:val="center"/>
      <w:textAlignment w:val="baseline"/>
    </w:pPr>
    <w:rPr>
      <w:rFonts w:ascii="Arial" w:hAnsi="Arial"/>
      <w:kern w:val="0"/>
      <w:sz w:val="21"/>
      <w:szCs w:val="20"/>
    </w:rPr>
  </w:style>
  <w:style w:type="paragraph" w:customStyle="1" w:styleId="741">
    <w:name w:val="样式 加粗 段前: 7.8 磅 段后: 7.8 磅 行距: 固定值 20 磅"/>
    <w:basedOn w:val="1"/>
    <w:qFormat/>
    <w:uiPriority w:val="0"/>
    <w:pPr>
      <w:spacing w:before="60" w:after="60" w:line="360" w:lineRule="exact"/>
    </w:pPr>
    <w:rPr>
      <w:rFonts w:cs="宋体"/>
      <w:b/>
      <w:bCs/>
      <w:spacing w:val="-2"/>
      <w:szCs w:val="20"/>
    </w:rPr>
  </w:style>
  <w:style w:type="paragraph" w:customStyle="1" w:styleId="742">
    <w:name w:val="项目符号1"/>
    <w:basedOn w:val="1"/>
    <w:qFormat/>
    <w:uiPriority w:val="0"/>
    <w:pPr>
      <w:tabs>
        <w:tab w:val="left" w:pos="425"/>
      </w:tabs>
      <w:ind w:left="425" w:hanging="425"/>
    </w:pPr>
    <w:rPr>
      <w:sz w:val="21"/>
      <w:szCs w:val="20"/>
    </w:rPr>
  </w:style>
  <w:style w:type="paragraph" w:customStyle="1" w:styleId="743">
    <w:name w:val="Style2"/>
    <w:basedOn w:val="1"/>
    <w:qFormat/>
    <w:uiPriority w:val="0"/>
    <w:pPr>
      <w:widowControl/>
      <w:overflowPunct w:val="0"/>
      <w:autoSpaceDE w:val="0"/>
      <w:autoSpaceDN w:val="0"/>
      <w:adjustRightInd w:val="0"/>
      <w:spacing w:line="360" w:lineRule="auto"/>
      <w:jc w:val="left"/>
      <w:textAlignment w:val="baseline"/>
    </w:pPr>
    <w:rPr>
      <w:rFonts w:ascii="宋体"/>
      <w:spacing w:val="10"/>
      <w:kern w:val="0"/>
      <w:sz w:val="28"/>
      <w:szCs w:val="20"/>
    </w:rPr>
  </w:style>
  <w:style w:type="paragraph" w:customStyle="1" w:styleId="744">
    <w:name w:val="表格目录"/>
    <w:basedOn w:val="50"/>
    <w:next w:val="4"/>
    <w:qFormat/>
    <w:uiPriority w:val="0"/>
    <w:pPr>
      <w:spacing w:before="0" w:after="0" w:line="360" w:lineRule="auto"/>
      <w:jc w:val="center"/>
    </w:pPr>
    <w:rPr>
      <w:rFonts w:eastAsia="黑体"/>
      <w:iCs/>
      <w:caps w:val="0"/>
      <w:sz w:val="28"/>
      <w:szCs w:val="28"/>
    </w:rPr>
  </w:style>
  <w:style w:type="paragraph" w:customStyle="1" w:styleId="745">
    <w:name w:val="Char Char5"/>
    <w:basedOn w:val="1"/>
    <w:semiHidden/>
    <w:qFormat/>
    <w:uiPriority w:val="0"/>
    <w:rPr>
      <w:sz w:val="21"/>
    </w:rPr>
  </w:style>
  <w:style w:type="paragraph" w:customStyle="1" w:styleId="746">
    <w:name w:val="样式 标题 2 + (符号) 宋体"/>
    <w:basedOn w:val="3"/>
    <w:qFormat/>
    <w:uiPriority w:val="0"/>
    <w:pPr>
      <w:numPr>
        <w:ilvl w:val="0"/>
        <w:numId w:val="0"/>
      </w:numPr>
      <w:autoSpaceDE w:val="0"/>
      <w:autoSpaceDN w:val="0"/>
      <w:adjustRightInd w:val="0"/>
      <w:spacing w:before="100" w:after="100" w:line="360" w:lineRule="auto"/>
      <w:jc w:val="left"/>
      <w:textAlignment w:val="baseline"/>
    </w:pPr>
    <w:rPr>
      <w:rFonts w:ascii="宋体" w:hAnsi="宋体" w:eastAsia="宋体"/>
      <w:snapToGrid/>
      <w:kern w:val="2"/>
      <w:szCs w:val="28"/>
    </w:rPr>
  </w:style>
  <w:style w:type="paragraph" w:customStyle="1" w:styleId="747">
    <w:name w:val="Formatvorlage1"/>
    <w:basedOn w:val="1"/>
    <w:qFormat/>
    <w:uiPriority w:val="0"/>
    <w:pPr>
      <w:widowControl/>
      <w:jc w:val="left"/>
    </w:pPr>
    <w:rPr>
      <w:rFonts w:ascii="Arial" w:hAnsi="Arial" w:eastAsia="PMingLiU"/>
      <w:kern w:val="0"/>
      <w:sz w:val="22"/>
      <w:szCs w:val="22"/>
      <w:lang w:eastAsia="de-DE"/>
    </w:rPr>
  </w:style>
  <w:style w:type="paragraph" w:customStyle="1" w:styleId="748">
    <w:name w:val="Char Char Char Char Char Char2 Char"/>
    <w:basedOn w:val="1"/>
    <w:qFormat/>
    <w:uiPriority w:val="0"/>
    <w:pPr>
      <w:spacing w:line="360" w:lineRule="auto"/>
      <w:ind w:firstLine="200" w:firstLineChars="200"/>
    </w:pPr>
    <w:rPr>
      <w:rFonts w:ascii="宋体" w:hAnsi="宋体" w:cs="宋体"/>
    </w:rPr>
  </w:style>
  <w:style w:type="paragraph" w:customStyle="1" w:styleId="749">
    <w:name w:val="Char Char1 Char Char"/>
    <w:basedOn w:val="1"/>
    <w:semiHidden/>
    <w:qFormat/>
    <w:uiPriority w:val="0"/>
    <w:rPr>
      <w:sz w:val="21"/>
    </w:rPr>
  </w:style>
  <w:style w:type="paragraph" w:customStyle="1" w:styleId="750">
    <w:name w:val="CM4"/>
    <w:basedOn w:val="1"/>
    <w:next w:val="1"/>
    <w:qFormat/>
    <w:uiPriority w:val="0"/>
    <w:pPr>
      <w:autoSpaceDE w:val="0"/>
      <w:autoSpaceDN w:val="0"/>
      <w:adjustRightInd w:val="0"/>
      <w:spacing w:after="120"/>
      <w:jc w:val="left"/>
    </w:pPr>
    <w:rPr>
      <w:rFonts w:ascii="Melior" w:hAnsi="Calibri" w:eastAsia="Melior"/>
      <w:kern w:val="0"/>
    </w:rPr>
  </w:style>
  <w:style w:type="paragraph" w:customStyle="1" w:styleId="751">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Cs w:val="20"/>
    </w:rPr>
  </w:style>
  <w:style w:type="paragraph" w:customStyle="1" w:styleId="752">
    <w:name w:val="Normal2"/>
    <w:qFormat/>
    <w:uiPriority w:val="0"/>
    <w:pPr>
      <w:widowControl w:val="0"/>
      <w:adjustRightInd w:val="0"/>
      <w:spacing w:line="312" w:lineRule="atLeast"/>
      <w:jc w:val="both"/>
      <w:textAlignment w:val="baseline"/>
    </w:pPr>
    <w:rPr>
      <w:rFonts w:ascii="Times New Roman" w:hAnsi="Times New Roman" w:eastAsia="宋体" w:cs="Times New Roman"/>
      <w:sz w:val="24"/>
      <w:lang w:val="en-US" w:eastAsia="zh-CN" w:bidi="ar-SA"/>
    </w:rPr>
  </w:style>
  <w:style w:type="paragraph" w:customStyle="1" w:styleId="753">
    <w:name w:val="Headings Font"/>
    <w:basedOn w:val="1"/>
    <w:next w:val="30"/>
    <w:semiHidden/>
    <w:qFormat/>
    <w:uiPriority w:val="0"/>
    <w:pPr>
      <w:keepNext/>
      <w:spacing w:line="280" w:lineRule="atLeast"/>
      <w:jc w:val="left"/>
    </w:pPr>
    <w:rPr>
      <w:rFonts w:ascii="Arial" w:hAnsi="Arial"/>
      <w:kern w:val="0"/>
      <w:sz w:val="22"/>
      <w:szCs w:val="20"/>
      <w:lang w:val="en-GB"/>
    </w:rPr>
  </w:style>
  <w:style w:type="paragraph" w:customStyle="1" w:styleId="754">
    <w:name w:val="1.1"/>
    <w:basedOn w:val="1"/>
    <w:next w:val="1"/>
    <w:qFormat/>
    <w:uiPriority w:val="0"/>
    <w:pPr>
      <w:adjustRightInd w:val="0"/>
      <w:snapToGrid w:val="0"/>
      <w:spacing w:before="240" w:after="240" w:line="400" w:lineRule="atLeast"/>
      <w:ind w:left="901" w:right="480" w:rightChars="200" w:hanging="901" w:hangingChars="299"/>
      <w:textAlignment w:val="baseline"/>
    </w:pPr>
    <w:rPr>
      <w:rFonts w:ascii="宋体" w:hAnsi="宋体"/>
      <w:b/>
      <w:kern w:val="0"/>
      <w:sz w:val="30"/>
      <w:szCs w:val="20"/>
    </w:rPr>
  </w:style>
  <w:style w:type="paragraph" w:customStyle="1" w:styleId="755">
    <w:name w:val="项目编号_a)"/>
    <w:basedOn w:val="1"/>
    <w:semiHidden/>
    <w:qFormat/>
    <w:uiPriority w:val="0"/>
    <w:pPr>
      <w:tabs>
        <w:tab w:val="left" w:pos="851"/>
        <w:tab w:val="left" w:pos="2070"/>
      </w:tabs>
      <w:spacing w:before="78" w:line="360" w:lineRule="auto"/>
      <w:ind w:left="851" w:hanging="426"/>
    </w:pPr>
    <w:rPr>
      <w:rFonts w:ascii="宋体" w:hAnsi="宋体"/>
      <w:szCs w:val="21"/>
    </w:rPr>
  </w:style>
  <w:style w:type="paragraph" w:customStyle="1" w:styleId="756">
    <w:name w:val="自定义正文"/>
    <w:basedOn w:val="30"/>
    <w:semiHidden/>
    <w:qFormat/>
    <w:uiPriority w:val="0"/>
    <w:pPr>
      <w:adjustRightInd w:val="0"/>
      <w:spacing w:before="72" w:after="120"/>
      <w:jc w:val="left"/>
    </w:pPr>
    <w:rPr>
      <w:rFonts w:eastAsia="仿宋_GB2312"/>
      <w:sz w:val="28"/>
      <w:szCs w:val="28"/>
    </w:rPr>
  </w:style>
  <w:style w:type="paragraph" w:customStyle="1" w:styleId="757">
    <w:name w:val="F00"/>
    <w:basedOn w:val="1"/>
    <w:semiHidden/>
    <w:qFormat/>
    <w:uiPriority w:val="0"/>
    <w:pPr>
      <w:adjustRightInd w:val="0"/>
      <w:spacing w:afterLines="50" w:line="400" w:lineRule="atLeast"/>
      <w:ind w:firstLine="200" w:firstLineChars="200"/>
    </w:pPr>
    <w:rPr>
      <w:kern w:val="24"/>
      <w:sz w:val="28"/>
      <w:szCs w:val="20"/>
    </w:rPr>
  </w:style>
  <w:style w:type="paragraph" w:customStyle="1" w:styleId="758">
    <w:name w:val="Biao00"/>
    <w:semiHidden/>
    <w:qFormat/>
    <w:uiPriority w:val="0"/>
    <w:pPr>
      <w:widowControl w:val="0"/>
      <w:spacing w:line="0" w:lineRule="atLeast"/>
      <w:jc w:val="center"/>
    </w:pPr>
    <w:rPr>
      <w:rFonts w:ascii="Arial" w:hAnsi="Arial" w:eastAsia="仿宋_GB2312" w:cs="Times New Roman"/>
      <w:bCs/>
      <w:w w:val="90"/>
      <w:kern w:val="18"/>
      <w:sz w:val="21"/>
      <w:szCs w:val="21"/>
      <w:lang w:val="en-US" w:eastAsia="zh-CN" w:bidi="ar-SA"/>
    </w:rPr>
  </w:style>
  <w:style w:type="paragraph" w:customStyle="1" w:styleId="759">
    <w:name w:val="A."/>
    <w:basedOn w:val="1"/>
    <w:link w:val="760"/>
    <w:qFormat/>
    <w:uiPriority w:val="0"/>
    <w:pPr>
      <w:widowControl/>
      <w:snapToGrid w:val="0"/>
      <w:spacing w:line="264" w:lineRule="auto"/>
    </w:pPr>
    <w:rPr>
      <w:spacing w:val="-10"/>
    </w:rPr>
  </w:style>
  <w:style w:type="character" w:customStyle="1" w:styleId="760">
    <w:name w:val="A. Char1"/>
    <w:link w:val="759"/>
    <w:qFormat/>
    <w:uiPriority w:val="0"/>
    <w:rPr>
      <w:rFonts w:eastAsia="宋体"/>
      <w:spacing w:val="-10"/>
      <w:kern w:val="2"/>
      <w:sz w:val="24"/>
      <w:szCs w:val="24"/>
      <w:lang w:val="en-US" w:eastAsia="zh-CN" w:bidi="ar-SA"/>
    </w:rPr>
  </w:style>
  <w:style w:type="paragraph" w:customStyle="1" w:styleId="761">
    <w:name w:val="reader-word-layer reader-word-s1-14"/>
    <w:basedOn w:val="1"/>
    <w:semiHidden/>
    <w:qFormat/>
    <w:uiPriority w:val="0"/>
    <w:pPr>
      <w:widowControl/>
      <w:spacing w:before="100" w:beforeAutospacing="1" w:after="100" w:afterAutospacing="1"/>
      <w:jc w:val="left"/>
    </w:pPr>
    <w:rPr>
      <w:rFonts w:ascii="宋体" w:hAnsi="宋体" w:cs="宋体"/>
      <w:kern w:val="0"/>
    </w:rPr>
  </w:style>
  <w:style w:type="paragraph" w:customStyle="1" w:styleId="762">
    <w:name w:val="reader-word-layer reader-word-s1-3"/>
    <w:basedOn w:val="1"/>
    <w:semiHidden/>
    <w:qFormat/>
    <w:uiPriority w:val="0"/>
    <w:pPr>
      <w:widowControl/>
      <w:spacing w:before="100" w:beforeAutospacing="1" w:after="100" w:afterAutospacing="1"/>
      <w:jc w:val="left"/>
    </w:pPr>
    <w:rPr>
      <w:rFonts w:ascii="宋体" w:hAnsi="宋体" w:cs="宋体"/>
      <w:kern w:val="0"/>
    </w:rPr>
  </w:style>
  <w:style w:type="character" w:customStyle="1" w:styleId="763">
    <w:name w:val="节 Char"/>
    <w:semiHidden/>
    <w:qFormat/>
    <w:uiPriority w:val="0"/>
    <w:rPr>
      <w:rFonts w:ascii="Arial" w:hAnsi="Arial" w:eastAsia="宋体"/>
      <w:b/>
      <w:bCs/>
      <w:kern w:val="2"/>
      <w:sz w:val="32"/>
      <w:szCs w:val="32"/>
      <w:lang w:val="en-US" w:eastAsia="zh-CN" w:bidi="ar-SA"/>
    </w:rPr>
  </w:style>
  <w:style w:type="paragraph" w:customStyle="1" w:styleId="764">
    <w:name w:val="样式 样式 正文缩进表正文特点框图图表标题正文不缩进首行缩进两字正文非缩进 + 首行缩进:  2 字符 + 首行缩进:  2 字符"/>
    <w:basedOn w:val="1"/>
    <w:semiHidden/>
    <w:qFormat/>
    <w:uiPriority w:val="0"/>
    <w:pPr>
      <w:spacing w:line="540" w:lineRule="exact"/>
      <w:ind w:firstLine="200" w:firstLineChars="200"/>
    </w:pPr>
    <w:rPr>
      <w:rFonts w:cs="宋体"/>
      <w:szCs w:val="20"/>
    </w:rPr>
  </w:style>
  <w:style w:type="paragraph" w:customStyle="1" w:styleId="765">
    <w:name w:val="_正文"/>
    <w:basedOn w:val="1"/>
    <w:qFormat/>
    <w:uiPriority w:val="0"/>
    <w:pPr>
      <w:widowControl/>
      <w:tabs>
        <w:tab w:val="left" w:pos="3780"/>
      </w:tabs>
      <w:spacing w:beforeLines="50" w:line="360" w:lineRule="auto"/>
      <w:jc w:val="left"/>
    </w:pPr>
    <w:rPr>
      <w:rFonts w:ascii="Arial" w:hAnsi="Arial"/>
    </w:rPr>
  </w:style>
  <w:style w:type="paragraph" w:customStyle="1" w:styleId="766">
    <w:name w:val="Char3"/>
    <w:basedOn w:val="1"/>
    <w:semiHidden/>
    <w:qFormat/>
    <w:uiPriority w:val="0"/>
    <w:pPr>
      <w:spacing w:line="360" w:lineRule="auto"/>
      <w:ind w:firstLine="200" w:firstLineChars="200"/>
    </w:pPr>
    <w:rPr>
      <w:rFonts w:ascii="宋体" w:hAnsi="宋体" w:cs="宋体"/>
    </w:rPr>
  </w:style>
  <w:style w:type="paragraph" w:customStyle="1" w:styleId="767">
    <w:name w:val="ST20_12"/>
    <w:basedOn w:val="1"/>
    <w:semiHidden/>
    <w:qFormat/>
    <w:uiPriority w:val="0"/>
    <w:pPr>
      <w:autoSpaceDE w:val="0"/>
      <w:autoSpaceDN w:val="0"/>
      <w:adjustRightInd w:val="0"/>
      <w:spacing w:after="120"/>
      <w:ind w:left="426" w:firstLine="425"/>
    </w:pPr>
    <w:rPr>
      <w:rFonts w:ascii="宋体" w:hAnsi="Tms Rmn"/>
      <w:kern w:val="0"/>
      <w:szCs w:val="20"/>
    </w:rPr>
  </w:style>
  <w:style w:type="paragraph" w:customStyle="1" w:styleId="768">
    <w:name w:val="1."/>
    <w:basedOn w:val="1"/>
    <w:link w:val="769"/>
    <w:qFormat/>
    <w:uiPriority w:val="0"/>
    <w:pPr>
      <w:tabs>
        <w:tab w:val="left" w:pos="0"/>
        <w:tab w:val="left" w:pos="426"/>
        <w:tab w:val="left" w:pos="900"/>
      </w:tabs>
      <w:adjustRightInd w:val="0"/>
      <w:snapToGrid w:val="0"/>
      <w:spacing w:beforeLines="50" w:afterLines="50" w:line="400" w:lineRule="atLeast"/>
      <w:ind w:left="425" w:leftChars="50" w:right="32" w:hanging="425"/>
      <w:jc w:val="center"/>
      <w:textAlignment w:val="baseline"/>
    </w:pPr>
    <w:rPr>
      <w:rFonts w:ascii="Arial" w:hAnsi="Arial"/>
      <w:b/>
      <w:bCs/>
      <w:kern w:val="0"/>
      <w:sz w:val="32"/>
      <w:szCs w:val="20"/>
    </w:rPr>
  </w:style>
  <w:style w:type="character" w:customStyle="1" w:styleId="769">
    <w:name w:val="1. Char"/>
    <w:link w:val="768"/>
    <w:qFormat/>
    <w:uiPriority w:val="0"/>
    <w:rPr>
      <w:rFonts w:ascii="Arial" w:hAnsi="Arial" w:eastAsia="宋体"/>
      <w:b/>
      <w:bCs/>
      <w:sz w:val="32"/>
      <w:lang w:val="en-US" w:eastAsia="zh-CN" w:bidi="ar-SA"/>
    </w:rPr>
  </w:style>
  <w:style w:type="paragraph" w:customStyle="1" w:styleId="770">
    <w:name w:val="肖正"/>
    <w:basedOn w:val="1"/>
    <w:semiHidden/>
    <w:qFormat/>
    <w:uiPriority w:val="0"/>
    <w:pPr>
      <w:ind w:firstLine="567"/>
    </w:pPr>
    <w:rPr>
      <w:szCs w:val="18"/>
    </w:rPr>
  </w:style>
  <w:style w:type="character" w:customStyle="1" w:styleId="771">
    <w:name w:val="样式 正文首行缩进 + 首行缩进:  2 字符1 Char"/>
    <w:link w:val="772"/>
    <w:qFormat/>
    <w:locked/>
    <w:uiPriority w:val="0"/>
    <w:rPr>
      <w:rFonts w:ascii="仿宋_GB2312" w:eastAsia="仿宋_GB2312" w:cs="宋体"/>
      <w:kern w:val="2"/>
      <w:sz w:val="24"/>
      <w:lang w:val="en-US" w:eastAsia="zh-CN" w:bidi="ar-SA"/>
    </w:rPr>
  </w:style>
  <w:style w:type="paragraph" w:customStyle="1" w:styleId="772">
    <w:name w:val="样式 正文首行缩进 + 首行缩进:  2 字符1"/>
    <w:basedOn w:val="75"/>
    <w:link w:val="771"/>
    <w:semiHidden/>
    <w:qFormat/>
    <w:uiPriority w:val="0"/>
    <w:pPr>
      <w:wordWrap/>
      <w:adjustRightInd w:val="0"/>
      <w:spacing w:after="0" w:line="400" w:lineRule="exact"/>
      <w:ind w:firstLine="480" w:firstLineChars="200"/>
    </w:pPr>
    <w:rPr>
      <w:rFonts w:ascii="仿宋_GB2312" w:eastAsia="仿宋_GB2312" w:cs="宋体"/>
      <w:sz w:val="24"/>
      <w:szCs w:val="20"/>
      <w:lang w:val="en-US"/>
    </w:rPr>
  </w:style>
  <w:style w:type="paragraph" w:customStyle="1" w:styleId="773">
    <w:name w:val="样式 正文缩进表正文特点框图图表标题正文不缩进首行缩进两字正文非缩进 + 首行缩进:  2 字符"/>
    <w:basedOn w:val="4"/>
    <w:semiHidden/>
    <w:qFormat/>
    <w:uiPriority w:val="0"/>
    <w:pPr>
      <w:spacing w:line="500" w:lineRule="exact"/>
      <w:ind w:firstLine="200"/>
    </w:pPr>
    <w:rPr>
      <w:rFonts w:cs="宋体"/>
      <w:szCs w:val="20"/>
    </w:rPr>
  </w:style>
  <w:style w:type="paragraph" w:customStyle="1" w:styleId="774">
    <w:name w:val="样式 标题 2节第一章 标题 2Heading 2 HiddenHeading 2 CCBSheading 2H2...1"/>
    <w:basedOn w:val="3"/>
    <w:semiHidden/>
    <w:qFormat/>
    <w:uiPriority w:val="0"/>
    <w:pPr>
      <w:numPr>
        <w:ilvl w:val="0"/>
        <w:numId w:val="0"/>
      </w:numPr>
      <w:spacing w:before="260" w:line="360" w:lineRule="auto"/>
    </w:pPr>
    <w:rPr>
      <w:rFonts w:eastAsia="宋体" w:cs="宋体"/>
      <w:bCs/>
      <w:snapToGrid/>
      <w:kern w:val="2"/>
      <w:sz w:val="32"/>
      <w:szCs w:val="32"/>
    </w:rPr>
  </w:style>
  <w:style w:type="paragraph" w:customStyle="1" w:styleId="775">
    <w:name w:val="b-b1"/>
    <w:basedOn w:val="1"/>
    <w:next w:val="1"/>
    <w:semiHidden/>
    <w:qFormat/>
    <w:uiPriority w:val="0"/>
    <w:pPr>
      <w:spacing w:before="160" w:after="160" w:line="400" w:lineRule="exact"/>
      <w:outlineLvl w:val="0"/>
    </w:pPr>
    <w:rPr>
      <w:rFonts w:eastAsia="黑体"/>
      <w:sz w:val="36"/>
      <w:szCs w:val="36"/>
    </w:rPr>
  </w:style>
  <w:style w:type="paragraph" w:customStyle="1" w:styleId="776">
    <w:name w:val="b-b5"/>
    <w:basedOn w:val="1"/>
    <w:next w:val="1"/>
    <w:semiHidden/>
    <w:qFormat/>
    <w:uiPriority w:val="0"/>
    <w:pPr>
      <w:spacing w:before="40" w:after="40" w:line="400" w:lineRule="exact"/>
      <w:ind w:firstLine="113"/>
      <w:outlineLvl w:val="4"/>
    </w:pPr>
    <w:rPr>
      <w:rFonts w:eastAsia="黑体"/>
    </w:rPr>
  </w:style>
  <w:style w:type="paragraph" w:customStyle="1" w:styleId="777">
    <w:name w:val="b-b2"/>
    <w:basedOn w:val="1"/>
    <w:next w:val="1"/>
    <w:semiHidden/>
    <w:qFormat/>
    <w:uiPriority w:val="0"/>
    <w:pPr>
      <w:spacing w:before="120" w:after="120" w:line="400" w:lineRule="exact"/>
      <w:outlineLvl w:val="1"/>
    </w:pPr>
    <w:rPr>
      <w:rFonts w:eastAsia="黑体"/>
      <w:sz w:val="30"/>
      <w:szCs w:val="30"/>
    </w:rPr>
  </w:style>
  <w:style w:type="paragraph" w:customStyle="1" w:styleId="778">
    <w:name w:val="b-b3"/>
    <w:basedOn w:val="1"/>
    <w:next w:val="1"/>
    <w:semiHidden/>
    <w:qFormat/>
    <w:uiPriority w:val="0"/>
    <w:pPr>
      <w:tabs>
        <w:tab w:val="left" w:pos="1260"/>
      </w:tabs>
      <w:spacing w:before="80" w:after="80" w:line="400" w:lineRule="exact"/>
      <w:ind w:left="1260" w:hanging="420"/>
      <w:outlineLvl w:val="2"/>
    </w:pPr>
    <w:rPr>
      <w:rFonts w:eastAsia="黑体"/>
      <w:sz w:val="28"/>
      <w:szCs w:val="28"/>
    </w:rPr>
  </w:style>
  <w:style w:type="paragraph" w:customStyle="1" w:styleId="779">
    <w:name w:val="b-b4"/>
    <w:basedOn w:val="1"/>
    <w:next w:val="1"/>
    <w:semiHidden/>
    <w:qFormat/>
    <w:uiPriority w:val="0"/>
    <w:pPr>
      <w:tabs>
        <w:tab w:val="left" w:pos="1680"/>
      </w:tabs>
      <w:spacing w:before="60" w:after="60" w:line="400" w:lineRule="exact"/>
      <w:ind w:left="1680" w:hanging="420"/>
      <w:outlineLvl w:val="3"/>
    </w:pPr>
    <w:rPr>
      <w:rFonts w:eastAsia="黑体"/>
    </w:rPr>
  </w:style>
  <w:style w:type="paragraph" w:customStyle="1" w:styleId="780">
    <w:name w:val="b-b6"/>
    <w:basedOn w:val="1"/>
    <w:next w:val="1"/>
    <w:semiHidden/>
    <w:qFormat/>
    <w:uiPriority w:val="0"/>
    <w:pPr>
      <w:tabs>
        <w:tab w:val="left" w:pos="2520"/>
      </w:tabs>
      <w:spacing w:line="400" w:lineRule="exact"/>
      <w:ind w:left="2520" w:hanging="420"/>
      <w:outlineLvl w:val="5"/>
    </w:pPr>
  </w:style>
  <w:style w:type="paragraph" w:customStyle="1" w:styleId="781">
    <w:name w:val="正文文字缩进"/>
    <w:basedOn w:val="1"/>
    <w:qFormat/>
    <w:uiPriority w:val="0"/>
    <w:pPr>
      <w:adjustRightInd w:val="0"/>
      <w:spacing w:line="400" w:lineRule="exact"/>
      <w:ind w:firstLine="555"/>
      <w:textAlignment w:val="baseline"/>
    </w:pPr>
    <w:rPr>
      <w:rFonts w:ascii="仿宋_GB2312" w:eastAsia="仿宋_GB2312"/>
      <w:szCs w:val="20"/>
    </w:rPr>
  </w:style>
  <w:style w:type="character" w:customStyle="1" w:styleId="782">
    <w:name w:val="四 Char"/>
    <w:semiHidden/>
    <w:qFormat/>
    <w:locked/>
    <w:uiPriority w:val="0"/>
    <w:rPr>
      <w:rFonts w:ascii="Arial" w:hAnsi="Arial" w:eastAsia="宋体"/>
      <w:b/>
      <w:sz w:val="22"/>
      <w:lang w:val="en-GB" w:eastAsia="zh-CN" w:bidi="ar-SA"/>
    </w:rPr>
  </w:style>
  <w:style w:type="paragraph" w:customStyle="1" w:styleId="783">
    <w:name w:val="方案标题2"/>
    <w:basedOn w:val="3"/>
    <w:next w:val="1"/>
    <w:semiHidden/>
    <w:qFormat/>
    <w:uiPriority w:val="0"/>
    <w:pPr>
      <w:numPr>
        <w:ilvl w:val="0"/>
        <w:numId w:val="0"/>
      </w:numPr>
      <w:tabs>
        <w:tab w:val="left" w:pos="0"/>
      </w:tabs>
      <w:adjustRightInd w:val="0"/>
      <w:spacing w:before="200" w:after="200" w:line="360" w:lineRule="auto"/>
    </w:pPr>
    <w:rPr>
      <w:rFonts w:ascii="Arial" w:hAnsi="Arial"/>
      <w:b w:val="0"/>
      <w:bCs/>
      <w:snapToGrid/>
      <w:szCs w:val="32"/>
    </w:rPr>
  </w:style>
  <w:style w:type="paragraph" w:customStyle="1" w:styleId="784">
    <w:name w:val="方案标题3"/>
    <w:basedOn w:val="5"/>
    <w:next w:val="1"/>
    <w:semiHidden/>
    <w:qFormat/>
    <w:uiPriority w:val="0"/>
    <w:pPr>
      <w:tabs>
        <w:tab w:val="clear" w:pos="425"/>
      </w:tabs>
      <w:adjustRightInd w:val="0"/>
      <w:spacing w:before="200" w:after="200" w:line="360" w:lineRule="auto"/>
      <w:ind w:left="0" w:firstLine="0"/>
    </w:pPr>
    <w:rPr>
      <w:b w:val="0"/>
      <w:bCs/>
      <w:snapToGrid/>
      <w:sz w:val="24"/>
      <w:szCs w:val="32"/>
    </w:rPr>
  </w:style>
  <w:style w:type="paragraph" w:customStyle="1" w:styleId="785">
    <w:name w:val="Char Char Char Char Char Char1 Char Char Char Char"/>
    <w:basedOn w:val="1"/>
    <w:semiHidden/>
    <w:qFormat/>
    <w:uiPriority w:val="0"/>
    <w:rPr>
      <w:sz w:val="21"/>
    </w:rPr>
  </w:style>
  <w:style w:type="paragraph" w:customStyle="1" w:styleId="786">
    <w:name w:val="正文-宋4行25"/>
    <w:basedOn w:val="1"/>
    <w:semiHidden/>
    <w:qFormat/>
    <w:uiPriority w:val="0"/>
    <w:pPr>
      <w:adjustRightInd w:val="0"/>
      <w:spacing w:line="500" w:lineRule="exact"/>
      <w:ind w:firstLine="567"/>
    </w:pPr>
    <w:rPr>
      <w:rFonts w:ascii="宋体"/>
      <w:kern w:val="0"/>
      <w:sz w:val="27"/>
      <w:szCs w:val="20"/>
    </w:rPr>
  </w:style>
  <w:style w:type="paragraph" w:customStyle="1" w:styleId="787">
    <w:name w:val="方案标题1"/>
    <w:basedOn w:val="2"/>
    <w:next w:val="1"/>
    <w:semiHidden/>
    <w:qFormat/>
    <w:uiPriority w:val="0"/>
    <w:pPr>
      <w:keepNext/>
      <w:keepLines/>
      <w:numPr>
        <w:numId w:val="0"/>
      </w:numPr>
      <w:autoSpaceDE/>
      <w:autoSpaceDN/>
      <w:spacing w:before="200" w:after="200" w:line="360" w:lineRule="auto"/>
      <w:jc w:val="both"/>
    </w:pPr>
    <w:rPr>
      <w:rFonts w:ascii="Times New Roman"/>
      <w:bCs/>
      <w:kern w:val="44"/>
      <w:sz w:val="30"/>
      <w:szCs w:val="44"/>
    </w:rPr>
  </w:style>
  <w:style w:type="character" w:customStyle="1" w:styleId="788">
    <w:name w:val="页眉 Char1"/>
    <w:qFormat/>
    <w:uiPriority w:val="0"/>
    <w:rPr>
      <w:kern w:val="2"/>
      <w:sz w:val="18"/>
      <w:szCs w:val="18"/>
    </w:rPr>
  </w:style>
  <w:style w:type="paragraph" w:customStyle="1" w:styleId="789">
    <w:name w:val="1.1.1.1.1"/>
    <w:basedOn w:val="712"/>
    <w:semiHidden/>
    <w:qFormat/>
    <w:uiPriority w:val="0"/>
    <w:pPr>
      <w:ind w:firstLine="0" w:firstLineChars="0"/>
      <w:outlineLvl w:val="4"/>
    </w:pPr>
  </w:style>
  <w:style w:type="paragraph" w:customStyle="1" w:styleId="790">
    <w:name w:val="正常1"/>
    <w:semiHidden/>
    <w:qFormat/>
    <w:uiPriority w:val="0"/>
    <w:pPr>
      <w:widowControl w:val="0"/>
      <w:adjustRightInd w:val="0"/>
      <w:spacing w:line="312" w:lineRule="atLeast"/>
      <w:jc w:val="both"/>
      <w:textAlignment w:val="baseline"/>
    </w:pPr>
    <w:rPr>
      <w:rFonts w:ascii="Times New Roman" w:hAnsi="Times New Roman" w:eastAsia="宋体" w:cs="Times New Roman"/>
      <w:sz w:val="24"/>
      <w:lang w:val="en-US" w:eastAsia="zh-CN" w:bidi="ar-SA"/>
    </w:rPr>
  </w:style>
  <w:style w:type="paragraph" w:customStyle="1" w:styleId="791">
    <w:name w:val="正文1"/>
    <w:basedOn w:val="1"/>
    <w:qFormat/>
    <w:uiPriority w:val="0"/>
    <w:pPr>
      <w:adjustRightInd w:val="0"/>
      <w:spacing w:line="360" w:lineRule="atLeast"/>
      <w:jc w:val="left"/>
    </w:pPr>
    <w:rPr>
      <w:rFonts w:ascii="宋体"/>
      <w:kern w:val="0"/>
      <w:szCs w:val="20"/>
    </w:rPr>
  </w:style>
  <w:style w:type="paragraph" w:customStyle="1" w:styleId="792">
    <w:name w:val="Dot Body"/>
    <w:basedOn w:val="1"/>
    <w:semiHidden/>
    <w:qFormat/>
    <w:uiPriority w:val="0"/>
    <w:pPr>
      <w:widowControl/>
      <w:numPr>
        <w:ilvl w:val="0"/>
        <w:numId w:val="8"/>
      </w:numPr>
      <w:tabs>
        <w:tab w:val="left" w:pos="714"/>
        <w:tab w:val="clear" w:pos="680"/>
      </w:tabs>
      <w:ind w:left="714" w:hanging="357"/>
    </w:pPr>
    <w:rPr>
      <w:rFonts w:eastAsia="楷体_GB2312"/>
      <w:kern w:val="0"/>
      <w:szCs w:val="20"/>
    </w:rPr>
  </w:style>
  <w:style w:type="character" w:customStyle="1" w:styleId="793">
    <w:name w:val="样式 正文首行缩进 + 首行缩进:  2 字符1 Char Char Char"/>
    <w:link w:val="794"/>
    <w:qFormat/>
    <w:uiPriority w:val="0"/>
    <w:rPr>
      <w:rFonts w:eastAsia="仿宋_GB2312"/>
      <w:kern w:val="2"/>
      <w:sz w:val="24"/>
      <w:lang w:bidi="ar-SA"/>
    </w:rPr>
  </w:style>
  <w:style w:type="paragraph" w:customStyle="1" w:styleId="794">
    <w:name w:val="样式 正文首行缩进 + 首行缩进:  2 字符1 Char Char"/>
    <w:basedOn w:val="75"/>
    <w:link w:val="793"/>
    <w:semiHidden/>
    <w:qFormat/>
    <w:uiPriority w:val="0"/>
    <w:pPr>
      <w:wordWrap/>
      <w:adjustRightInd w:val="0"/>
      <w:spacing w:after="0" w:line="400" w:lineRule="exact"/>
      <w:ind w:firstLine="480" w:firstLineChars="200"/>
      <w:textAlignment w:val="baseline"/>
    </w:pPr>
    <w:rPr>
      <w:rFonts w:eastAsia="仿宋_GB2312"/>
      <w:sz w:val="24"/>
      <w:szCs w:val="20"/>
    </w:rPr>
  </w:style>
  <w:style w:type="paragraph" w:customStyle="1" w:styleId="795">
    <w:name w:val="+列表1"/>
    <w:basedOn w:val="1"/>
    <w:semiHidden/>
    <w:qFormat/>
    <w:uiPriority w:val="0"/>
    <w:pPr>
      <w:jc w:val="center"/>
    </w:pPr>
    <w:rPr>
      <w:sz w:val="21"/>
      <w:szCs w:val="20"/>
    </w:rPr>
  </w:style>
  <w:style w:type="paragraph" w:customStyle="1" w:styleId="796">
    <w:name w:val="表格-居中"/>
    <w:basedOn w:val="1"/>
    <w:semiHidden/>
    <w:qFormat/>
    <w:uiPriority w:val="0"/>
    <w:pPr>
      <w:ind w:left="2" w:leftChars="1"/>
      <w:jc w:val="left"/>
    </w:pPr>
    <w:rPr>
      <w:sz w:val="21"/>
      <w:szCs w:val="21"/>
    </w:rPr>
  </w:style>
  <w:style w:type="character" w:customStyle="1" w:styleId="797">
    <w:name w:val="正文new Char"/>
    <w:link w:val="798"/>
    <w:qFormat/>
    <w:uiPriority w:val="0"/>
    <w:rPr>
      <w:rFonts w:eastAsia="宋体" w:cs="宋体"/>
      <w:kern w:val="21"/>
      <w:sz w:val="24"/>
      <w:lang w:val="en-US" w:eastAsia="zh-CN" w:bidi="ar-SA"/>
    </w:rPr>
  </w:style>
  <w:style w:type="paragraph" w:customStyle="1" w:styleId="798">
    <w:name w:val="正文new"/>
    <w:basedOn w:val="1"/>
    <w:link w:val="797"/>
    <w:semiHidden/>
    <w:qFormat/>
    <w:uiPriority w:val="0"/>
    <w:pPr>
      <w:spacing w:beforeLines="50" w:afterLines="50" w:line="300" w:lineRule="auto"/>
      <w:ind w:firstLine="200" w:firstLineChars="200"/>
    </w:pPr>
    <w:rPr>
      <w:rFonts w:cs="宋体"/>
      <w:kern w:val="21"/>
      <w:szCs w:val="20"/>
    </w:rPr>
  </w:style>
  <w:style w:type="character" w:customStyle="1" w:styleId="799">
    <w:name w:val="+正文 Char Char2 Char Char"/>
    <w:link w:val="800"/>
    <w:qFormat/>
    <w:uiPriority w:val="0"/>
    <w:rPr>
      <w:rFonts w:eastAsia="宋体"/>
      <w:kern w:val="2"/>
      <w:sz w:val="24"/>
      <w:szCs w:val="28"/>
      <w:lang w:val="en-US" w:eastAsia="zh-CN" w:bidi="ar-SA"/>
    </w:rPr>
  </w:style>
  <w:style w:type="paragraph" w:customStyle="1" w:styleId="800">
    <w:name w:val="+正文 Char Char2 Char"/>
    <w:basedOn w:val="1"/>
    <w:link w:val="799"/>
    <w:semiHidden/>
    <w:qFormat/>
    <w:uiPriority w:val="0"/>
    <w:pPr>
      <w:spacing w:line="360" w:lineRule="auto"/>
      <w:ind w:firstLine="200" w:firstLineChars="200"/>
    </w:pPr>
    <w:rPr>
      <w:szCs w:val="28"/>
    </w:rPr>
  </w:style>
  <w:style w:type="character" w:customStyle="1" w:styleId="801">
    <w:name w:val="方案－正文 Char"/>
    <w:link w:val="802"/>
    <w:qFormat/>
    <w:uiPriority w:val="0"/>
    <w:rPr>
      <w:rFonts w:ascii="仿宋_GB2312" w:hAnsi="宋体" w:eastAsia="宋体"/>
      <w:kern w:val="2"/>
      <w:sz w:val="24"/>
      <w:szCs w:val="24"/>
      <w:lang w:val="en-US" w:eastAsia="zh-CN" w:bidi="ar-SA"/>
    </w:rPr>
  </w:style>
  <w:style w:type="paragraph" w:customStyle="1" w:styleId="802">
    <w:name w:val="方案－正文"/>
    <w:basedOn w:val="1"/>
    <w:link w:val="801"/>
    <w:semiHidden/>
    <w:qFormat/>
    <w:uiPriority w:val="0"/>
    <w:pPr>
      <w:spacing w:line="360" w:lineRule="auto"/>
      <w:ind w:firstLine="480" w:firstLineChars="200"/>
    </w:pPr>
    <w:rPr>
      <w:rFonts w:ascii="仿宋_GB2312" w:hAnsi="宋体"/>
    </w:rPr>
  </w:style>
  <w:style w:type="character" w:customStyle="1" w:styleId="803">
    <w:name w:val="+正文 Char Char3 Char Char"/>
    <w:link w:val="804"/>
    <w:qFormat/>
    <w:uiPriority w:val="0"/>
    <w:rPr>
      <w:rFonts w:eastAsia="宋体"/>
      <w:kern w:val="2"/>
      <w:sz w:val="24"/>
      <w:szCs w:val="24"/>
      <w:lang w:val="en-US" w:eastAsia="zh-CN" w:bidi="ar-SA"/>
    </w:rPr>
  </w:style>
  <w:style w:type="paragraph" w:customStyle="1" w:styleId="804">
    <w:name w:val="+正文 Char Char3 Char"/>
    <w:basedOn w:val="1"/>
    <w:link w:val="803"/>
    <w:semiHidden/>
    <w:qFormat/>
    <w:uiPriority w:val="0"/>
    <w:pPr>
      <w:spacing w:line="360" w:lineRule="auto"/>
      <w:ind w:firstLine="200" w:firstLineChars="200"/>
    </w:pPr>
  </w:style>
  <w:style w:type="character" w:customStyle="1" w:styleId="805">
    <w:name w:val="样式 样式 首行缩进:  2 字符 段前: 4.65 磅 + 首行缩进:  2 字符 Char"/>
    <w:link w:val="806"/>
    <w:qFormat/>
    <w:uiPriority w:val="0"/>
    <w:rPr>
      <w:rFonts w:eastAsia="宋体"/>
      <w:kern w:val="2"/>
      <w:sz w:val="24"/>
      <w:lang w:val="en-US" w:eastAsia="zh-CN" w:bidi="ar-SA"/>
    </w:rPr>
  </w:style>
  <w:style w:type="paragraph" w:customStyle="1" w:styleId="806">
    <w:name w:val="样式 样式 首行缩进:  2 字符 段前: 4.65 磅 + 首行缩进:  2 字符"/>
    <w:basedOn w:val="1"/>
    <w:link w:val="805"/>
    <w:semiHidden/>
    <w:qFormat/>
    <w:uiPriority w:val="0"/>
    <w:pPr>
      <w:topLinePunct/>
      <w:spacing w:before="93" w:line="360" w:lineRule="auto"/>
      <w:ind w:firstLine="480" w:firstLineChars="200"/>
    </w:pPr>
    <w:rPr>
      <w:szCs w:val="20"/>
    </w:rPr>
  </w:style>
  <w:style w:type="character" w:customStyle="1" w:styleId="807">
    <w:name w:val="内容 Char"/>
    <w:link w:val="808"/>
    <w:qFormat/>
    <w:uiPriority w:val="0"/>
    <w:rPr>
      <w:rFonts w:eastAsia="宋体"/>
      <w:kern w:val="2"/>
      <w:sz w:val="21"/>
      <w:szCs w:val="24"/>
      <w:lang w:bidi="ar-SA"/>
    </w:rPr>
  </w:style>
  <w:style w:type="paragraph" w:customStyle="1" w:styleId="808">
    <w:name w:val="内容"/>
    <w:basedOn w:val="1"/>
    <w:link w:val="807"/>
    <w:qFormat/>
    <w:uiPriority w:val="0"/>
    <w:pPr>
      <w:spacing w:line="480" w:lineRule="exact"/>
      <w:ind w:firstLine="200" w:firstLineChars="200"/>
    </w:pPr>
    <w:rPr>
      <w:sz w:val="21"/>
      <w:lang w:val="zh-CN"/>
    </w:rPr>
  </w:style>
  <w:style w:type="character" w:customStyle="1" w:styleId="809">
    <w:name w:val="C Char"/>
    <w:link w:val="810"/>
    <w:qFormat/>
    <w:uiPriority w:val="0"/>
    <w:rPr>
      <w:rFonts w:ascii="宋体" w:eastAsia="宋体"/>
      <w:kern w:val="2"/>
      <w:sz w:val="24"/>
      <w:szCs w:val="24"/>
      <w:lang w:val="en-US" w:eastAsia="zh-CN" w:bidi="ar-SA"/>
    </w:rPr>
  </w:style>
  <w:style w:type="paragraph" w:customStyle="1" w:styleId="810">
    <w:name w:val="C"/>
    <w:basedOn w:val="1"/>
    <w:link w:val="809"/>
    <w:semiHidden/>
    <w:qFormat/>
    <w:uiPriority w:val="0"/>
    <w:pPr>
      <w:spacing w:line="360" w:lineRule="auto"/>
      <w:ind w:firstLine="480" w:firstLineChars="200"/>
    </w:pPr>
    <w:rPr>
      <w:rFonts w:ascii="宋体"/>
    </w:rPr>
  </w:style>
  <w:style w:type="character" w:customStyle="1" w:styleId="811">
    <w:name w:val="编号A Char"/>
    <w:link w:val="812"/>
    <w:qFormat/>
    <w:uiPriority w:val="0"/>
    <w:rPr>
      <w:rFonts w:ascii="宋体" w:eastAsia="宋体"/>
      <w:kern w:val="2"/>
      <w:sz w:val="24"/>
      <w:szCs w:val="24"/>
      <w:lang w:val="en-US" w:eastAsia="zh-CN" w:bidi="ar-SA"/>
    </w:rPr>
  </w:style>
  <w:style w:type="paragraph" w:customStyle="1" w:styleId="812">
    <w:name w:val="编号A"/>
    <w:basedOn w:val="810"/>
    <w:next w:val="810"/>
    <w:link w:val="811"/>
    <w:semiHidden/>
    <w:qFormat/>
    <w:uiPriority w:val="0"/>
    <w:pPr>
      <w:ind w:firstLine="0" w:firstLineChars="0"/>
    </w:pPr>
  </w:style>
  <w:style w:type="character" w:customStyle="1" w:styleId="813">
    <w:name w:val="+正文 Char Char Char2"/>
    <w:link w:val="814"/>
    <w:qFormat/>
    <w:uiPriority w:val="0"/>
    <w:rPr>
      <w:rFonts w:eastAsia="宋体"/>
      <w:kern w:val="2"/>
      <w:sz w:val="24"/>
      <w:szCs w:val="28"/>
      <w:lang w:val="en-US" w:eastAsia="zh-CN" w:bidi="ar-SA"/>
    </w:rPr>
  </w:style>
  <w:style w:type="paragraph" w:customStyle="1" w:styleId="814">
    <w:name w:val="+正文 Char Char3"/>
    <w:basedOn w:val="1"/>
    <w:link w:val="813"/>
    <w:semiHidden/>
    <w:qFormat/>
    <w:uiPriority w:val="0"/>
    <w:pPr>
      <w:spacing w:line="360" w:lineRule="auto"/>
      <w:ind w:firstLine="200" w:firstLineChars="200"/>
    </w:pPr>
    <w:rPr>
      <w:szCs w:val="28"/>
    </w:rPr>
  </w:style>
  <w:style w:type="character" w:customStyle="1" w:styleId="815">
    <w:name w:val="+1. Char Char"/>
    <w:link w:val="816"/>
    <w:qFormat/>
    <w:uiPriority w:val="0"/>
    <w:rPr>
      <w:rFonts w:eastAsia="宋体"/>
      <w:kern w:val="2"/>
      <w:sz w:val="24"/>
      <w:szCs w:val="28"/>
      <w:lang w:val="en-US" w:eastAsia="zh-CN" w:bidi="ar-SA"/>
    </w:rPr>
  </w:style>
  <w:style w:type="paragraph" w:customStyle="1" w:styleId="816">
    <w:name w:val="+1. Char"/>
    <w:basedOn w:val="817"/>
    <w:link w:val="815"/>
    <w:semiHidden/>
    <w:qFormat/>
    <w:uiPriority w:val="0"/>
    <w:pPr>
      <w:ind w:firstLine="0" w:firstLineChars="0"/>
    </w:pPr>
  </w:style>
  <w:style w:type="paragraph" w:customStyle="1" w:styleId="817">
    <w:name w:val="+正文 Char Char Char"/>
    <w:basedOn w:val="1"/>
    <w:semiHidden/>
    <w:qFormat/>
    <w:uiPriority w:val="0"/>
    <w:pPr>
      <w:spacing w:line="360" w:lineRule="auto"/>
      <w:ind w:firstLine="200" w:firstLineChars="200"/>
    </w:pPr>
    <w:rPr>
      <w:szCs w:val="28"/>
    </w:rPr>
  </w:style>
  <w:style w:type="character" w:customStyle="1" w:styleId="818">
    <w:name w:val="+正文 Char Char1"/>
    <w:link w:val="819"/>
    <w:qFormat/>
    <w:uiPriority w:val="0"/>
    <w:rPr>
      <w:rFonts w:eastAsia="宋体"/>
      <w:kern w:val="2"/>
      <w:sz w:val="24"/>
      <w:szCs w:val="28"/>
      <w:lang w:val="en-US" w:eastAsia="zh-CN" w:bidi="ar-SA"/>
    </w:rPr>
  </w:style>
  <w:style w:type="paragraph" w:customStyle="1" w:styleId="819">
    <w:name w:val="+正文 Char5"/>
    <w:basedOn w:val="1"/>
    <w:link w:val="818"/>
    <w:semiHidden/>
    <w:qFormat/>
    <w:uiPriority w:val="0"/>
    <w:pPr>
      <w:spacing w:line="360" w:lineRule="auto"/>
      <w:ind w:firstLine="200" w:firstLineChars="200"/>
    </w:pPr>
    <w:rPr>
      <w:szCs w:val="28"/>
    </w:rPr>
  </w:style>
  <w:style w:type="character" w:customStyle="1" w:styleId="820">
    <w:name w:val="样式 样式 样式 标题 3 + 首行缩进:  2 字符 + 首行缩进:  2 字符 + 首行缩进:  2 字符 Char Char Char"/>
    <w:link w:val="821"/>
    <w:qFormat/>
    <w:uiPriority w:val="0"/>
    <w:rPr>
      <w:rFonts w:ascii="黑体" w:hAnsi="宋体" w:eastAsia="黑体" w:cs="黑体"/>
      <w:sz w:val="24"/>
      <w:szCs w:val="24"/>
      <w:lang w:val="en-US" w:eastAsia="zh-CN" w:bidi="ar-SA"/>
    </w:rPr>
  </w:style>
  <w:style w:type="paragraph" w:customStyle="1" w:styleId="821">
    <w:name w:val="样式 样式 样式 标题 3 + 首行缩进:  2 字符 + 首行缩进:  2 字符 + 首行缩进:  2 字符 Char Char"/>
    <w:basedOn w:val="1"/>
    <w:link w:val="820"/>
    <w:semiHidden/>
    <w:qFormat/>
    <w:uiPriority w:val="0"/>
    <w:pPr>
      <w:keepNext/>
      <w:keepLines/>
      <w:tabs>
        <w:tab w:val="left" w:pos="720"/>
        <w:tab w:val="left" w:pos="900"/>
        <w:tab w:val="left" w:pos="1350"/>
      </w:tabs>
      <w:adjustRightInd w:val="0"/>
      <w:snapToGrid w:val="0"/>
      <w:spacing w:before="120" w:after="120" w:line="500" w:lineRule="exact"/>
      <w:jc w:val="left"/>
      <w:textAlignment w:val="baseline"/>
      <w:outlineLvl w:val="2"/>
    </w:pPr>
    <w:rPr>
      <w:rFonts w:ascii="黑体" w:hAnsi="宋体" w:eastAsia="黑体" w:cs="黑体"/>
      <w:kern w:val="0"/>
    </w:rPr>
  </w:style>
  <w:style w:type="character" w:customStyle="1" w:styleId="822">
    <w:name w:val="标准正文 Char Char"/>
    <w:link w:val="823"/>
    <w:qFormat/>
    <w:uiPriority w:val="0"/>
    <w:rPr>
      <w:rFonts w:eastAsia="宋体" w:cs="宋体"/>
      <w:kern w:val="2"/>
      <w:sz w:val="24"/>
      <w:lang w:val="en-US" w:eastAsia="zh-CN" w:bidi="ar-SA"/>
    </w:rPr>
  </w:style>
  <w:style w:type="paragraph" w:customStyle="1" w:styleId="823">
    <w:name w:val="标准正文 Char"/>
    <w:basedOn w:val="1"/>
    <w:link w:val="822"/>
    <w:semiHidden/>
    <w:qFormat/>
    <w:uiPriority w:val="0"/>
    <w:pPr>
      <w:spacing w:line="360" w:lineRule="auto"/>
      <w:ind w:left="840" w:leftChars="400" w:firstLine="480" w:firstLineChars="200"/>
    </w:pPr>
    <w:rPr>
      <w:rFonts w:cs="宋体"/>
      <w:szCs w:val="20"/>
    </w:rPr>
  </w:style>
  <w:style w:type="character" w:customStyle="1" w:styleId="824">
    <w:name w:val="+正文 Char Char Char4"/>
    <w:link w:val="825"/>
    <w:qFormat/>
    <w:uiPriority w:val="0"/>
    <w:rPr>
      <w:rFonts w:eastAsia="宋体"/>
      <w:kern w:val="2"/>
      <w:sz w:val="24"/>
      <w:szCs w:val="24"/>
      <w:lang w:val="en-US" w:eastAsia="zh-CN" w:bidi="ar-SA"/>
    </w:rPr>
  </w:style>
  <w:style w:type="paragraph" w:customStyle="1" w:styleId="825">
    <w:name w:val="+正文 Char Char7"/>
    <w:basedOn w:val="1"/>
    <w:link w:val="824"/>
    <w:qFormat/>
    <w:uiPriority w:val="0"/>
    <w:pPr>
      <w:spacing w:line="360" w:lineRule="auto"/>
      <w:ind w:firstLine="200" w:firstLineChars="200"/>
    </w:pPr>
  </w:style>
  <w:style w:type="character" w:customStyle="1" w:styleId="826">
    <w:name w:val="+正文 Char5 Char Char Char"/>
    <w:link w:val="827"/>
    <w:qFormat/>
    <w:uiPriority w:val="0"/>
    <w:rPr>
      <w:rFonts w:eastAsia="宋体"/>
      <w:kern w:val="2"/>
      <w:sz w:val="24"/>
      <w:szCs w:val="24"/>
      <w:lang w:val="en-US" w:eastAsia="zh-CN" w:bidi="ar-SA"/>
    </w:rPr>
  </w:style>
  <w:style w:type="paragraph" w:customStyle="1" w:styleId="827">
    <w:name w:val="+正文 Char5 Char Char"/>
    <w:basedOn w:val="1"/>
    <w:link w:val="826"/>
    <w:semiHidden/>
    <w:qFormat/>
    <w:uiPriority w:val="0"/>
    <w:pPr>
      <w:spacing w:line="360" w:lineRule="auto"/>
      <w:ind w:firstLine="200" w:firstLineChars="200"/>
    </w:pPr>
  </w:style>
  <w:style w:type="paragraph" w:customStyle="1" w:styleId="828">
    <w:name w:val="pa-31"/>
    <w:basedOn w:val="1"/>
    <w:semiHidden/>
    <w:qFormat/>
    <w:uiPriority w:val="0"/>
    <w:pPr>
      <w:widowControl/>
      <w:spacing w:line="360" w:lineRule="atLeast"/>
      <w:ind w:firstLine="480"/>
      <w:jc w:val="left"/>
    </w:pPr>
    <w:rPr>
      <w:rFonts w:ascii="宋体" w:hAnsi="宋体" w:cs="宋体"/>
      <w:kern w:val="0"/>
    </w:rPr>
  </w:style>
  <w:style w:type="paragraph" w:customStyle="1" w:styleId="829">
    <w:name w:val="样式 标题 2标题 2 CharH2 Charheading 2+ Indent: Left 0.25 in Charh...1"/>
    <w:basedOn w:val="3"/>
    <w:semiHidden/>
    <w:qFormat/>
    <w:uiPriority w:val="0"/>
    <w:pPr>
      <w:numPr>
        <w:ilvl w:val="0"/>
        <w:numId w:val="0"/>
      </w:numPr>
      <w:jc w:val="left"/>
    </w:pPr>
    <w:rPr>
      <w:rFonts w:ascii="Arial" w:hAnsi="Arial" w:eastAsia="宋体"/>
      <w:b w:val="0"/>
      <w:snapToGrid/>
      <w:spacing w:val="14"/>
      <w:kern w:val="24"/>
      <w:szCs w:val="28"/>
    </w:rPr>
  </w:style>
  <w:style w:type="paragraph" w:customStyle="1" w:styleId="830">
    <w:name w:val="封面扉页文字"/>
    <w:basedOn w:val="1"/>
    <w:semiHidden/>
    <w:qFormat/>
    <w:uiPriority w:val="0"/>
    <w:pPr>
      <w:snapToGrid w:val="0"/>
      <w:spacing w:line="360" w:lineRule="auto"/>
      <w:ind w:firstLine="480" w:firstLineChars="200"/>
      <w:jc w:val="center"/>
    </w:pPr>
    <w:rPr>
      <w:rFonts w:eastAsia="新宋体"/>
    </w:rPr>
  </w:style>
  <w:style w:type="paragraph" w:customStyle="1" w:styleId="831">
    <w:name w:val="xl1232"/>
    <w:basedOn w:val="1"/>
    <w:semiHidden/>
    <w:qFormat/>
    <w:uiPriority w:val="0"/>
    <w:pPr>
      <w:widowControl/>
      <w:pBdr>
        <w:left w:val="single" w:color="auto" w:sz="4" w:space="0"/>
      </w:pBdr>
      <w:spacing w:before="100" w:after="100" w:line="360" w:lineRule="auto"/>
      <w:jc w:val="center"/>
      <w:textAlignment w:val="center"/>
    </w:pPr>
    <w:rPr>
      <w:rFonts w:hint="eastAsia" w:ascii="宋体" w:hAnsi="宋体"/>
      <w:kern w:val="0"/>
      <w:sz w:val="20"/>
      <w:szCs w:val="20"/>
    </w:rPr>
  </w:style>
  <w:style w:type="paragraph" w:customStyle="1" w:styleId="832">
    <w:name w:val="xl130"/>
    <w:basedOn w:val="1"/>
    <w:semiHidden/>
    <w:qFormat/>
    <w:uiPriority w:val="0"/>
    <w:pPr>
      <w:widowControl/>
      <w:pBdr>
        <w:top w:val="single" w:color="auto" w:sz="8" w:space="0"/>
        <w:left w:val="single" w:color="auto" w:sz="8" w:space="0"/>
        <w:bottom w:val="single" w:color="auto" w:sz="4" w:space="0"/>
        <w:right w:val="single" w:color="auto" w:sz="4" w:space="0"/>
      </w:pBdr>
      <w:spacing w:before="100" w:after="100" w:line="360" w:lineRule="auto"/>
      <w:jc w:val="left"/>
      <w:textAlignment w:val="center"/>
    </w:pPr>
    <w:rPr>
      <w:kern w:val="0"/>
      <w:sz w:val="20"/>
      <w:szCs w:val="20"/>
    </w:rPr>
  </w:style>
  <w:style w:type="paragraph" w:customStyle="1" w:styleId="833">
    <w:name w:val="Char3 Char Char Char"/>
    <w:basedOn w:val="1"/>
    <w:semiHidden/>
    <w:qFormat/>
    <w:uiPriority w:val="0"/>
    <w:pPr>
      <w:snapToGrid w:val="0"/>
      <w:jc w:val="center"/>
    </w:pPr>
    <w:rPr>
      <w:rFonts w:eastAsia="新宋体"/>
      <w:sz w:val="21"/>
      <w:szCs w:val="20"/>
    </w:rPr>
  </w:style>
  <w:style w:type="paragraph" w:customStyle="1" w:styleId="834">
    <w:name w:val="SPECText[9]"/>
    <w:basedOn w:val="1"/>
    <w:semiHidden/>
    <w:qFormat/>
    <w:uiPriority w:val="0"/>
    <w:pPr>
      <w:widowControl/>
      <w:tabs>
        <w:tab w:val="left" w:pos="4260"/>
      </w:tabs>
      <w:ind w:left="4260" w:hanging="420"/>
      <w:jc w:val="left"/>
      <w:outlineLvl w:val="8"/>
    </w:pPr>
    <w:rPr>
      <w:snapToGrid w:val="0"/>
      <w:kern w:val="0"/>
      <w:sz w:val="22"/>
      <w:szCs w:val="20"/>
      <w:lang w:eastAsia="en-US"/>
    </w:rPr>
  </w:style>
  <w:style w:type="paragraph" w:customStyle="1" w:styleId="835">
    <w:name w:val="样式 标题 1 + 四号 居中 段前: 0 磅 行距: 2 倍行距"/>
    <w:basedOn w:val="2"/>
    <w:semiHidden/>
    <w:qFormat/>
    <w:uiPriority w:val="0"/>
    <w:pPr>
      <w:keepNext/>
      <w:keepLines/>
      <w:numPr>
        <w:numId w:val="0"/>
      </w:numPr>
      <w:tabs>
        <w:tab w:val="left" w:pos="360"/>
      </w:tabs>
      <w:autoSpaceDE/>
      <w:autoSpaceDN/>
      <w:adjustRightInd/>
      <w:spacing w:before="0" w:line="480" w:lineRule="auto"/>
      <w:ind w:left="360" w:leftChars="50" w:hanging="360" w:hangingChars="200"/>
      <w:jc w:val="center"/>
    </w:pPr>
    <w:rPr>
      <w:rFonts w:ascii="Times New Roman" w:hAnsi="宋体"/>
      <w:b/>
      <w:kern w:val="44"/>
      <w:sz w:val="28"/>
      <w:szCs w:val="30"/>
    </w:rPr>
  </w:style>
  <w:style w:type="paragraph" w:customStyle="1" w:styleId="836">
    <w:name w:val="xl1255"/>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837">
    <w:name w:val="xl1263"/>
    <w:basedOn w:val="1"/>
    <w:semiHidden/>
    <w:qFormat/>
    <w:uiPriority w:val="0"/>
    <w:pPr>
      <w:widowControl/>
      <w:pBdr>
        <w:left w:val="single" w:color="auto" w:sz="4" w:space="0"/>
        <w:bottom w:val="single" w:color="auto" w:sz="4" w:space="0"/>
      </w:pBdr>
      <w:spacing w:before="100" w:after="100" w:line="360" w:lineRule="auto"/>
      <w:jc w:val="left"/>
      <w:textAlignment w:val="center"/>
    </w:pPr>
    <w:rPr>
      <w:rFonts w:ascii="Arial Unicode MS" w:hAnsi="Arial Unicode MS" w:eastAsia="Arial Unicode MS"/>
      <w:kern w:val="0"/>
      <w:sz w:val="20"/>
      <w:szCs w:val="20"/>
    </w:rPr>
  </w:style>
  <w:style w:type="paragraph" w:customStyle="1" w:styleId="838">
    <w:name w:val="用户标题5"/>
    <w:basedOn w:val="839"/>
    <w:semiHidden/>
    <w:qFormat/>
    <w:uiPriority w:val="0"/>
    <w:pPr>
      <w:tabs>
        <w:tab w:val="left" w:pos="851"/>
      </w:tabs>
      <w:spacing w:line="300" w:lineRule="auto"/>
    </w:pPr>
    <w:rPr>
      <w:sz w:val="24"/>
    </w:rPr>
  </w:style>
  <w:style w:type="paragraph" w:customStyle="1" w:styleId="839">
    <w:name w:val="用户标题4"/>
    <w:basedOn w:val="6"/>
    <w:semiHidden/>
    <w:qFormat/>
    <w:uiPriority w:val="0"/>
    <w:pPr>
      <w:tabs>
        <w:tab w:val="left" w:pos="851"/>
      </w:tabs>
      <w:adjustRightInd w:val="0"/>
      <w:spacing w:before="200" w:after="200" w:line="240" w:lineRule="atLeast"/>
      <w:ind w:firstLine="425"/>
      <w:jc w:val="left"/>
      <w:textAlignment w:val="baseline"/>
      <w:outlineLvl w:val="9"/>
    </w:pPr>
    <w:rPr>
      <w:rFonts w:ascii="Times New Roman" w:hAnsi="Times New Roman" w:eastAsia="宋体"/>
      <w:b w:val="0"/>
      <w:bCs w:val="0"/>
      <w:kern w:val="0"/>
      <w:szCs w:val="20"/>
    </w:rPr>
  </w:style>
  <w:style w:type="paragraph" w:customStyle="1" w:styleId="840">
    <w:name w:val="样式 标题 3 + Times New Roman Char Char"/>
    <w:basedOn w:val="5"/>
    <w:semiHidden/>
    <w:qFormat/>
    <w:uiPriority w:val="0"/>
    <w:pPr>
      <w:keepNext w:val="0"/>
      <w:keepLines w:val="0"/>
      <w:tabs>
        <w:tab w:val="clear" w:pos="425"/>
      </w:tabs>
      <w:snapToGrid w:val="0"/>
      <w:spacing w:before="0" w:after="0" w:line="360" w:lineRule="auto"/>
      <w:ind w:left="0" w:firstLine="0"/>
    </w:pPr>
    <w:rPr>
      <w:rFonts w:hAnsi="宋体"/>
      <w:bCs/>
      <w:snapToGrid/>
      <w:kern w:val="2"/>
      <w:sz w:val="32"/>
    </w:rPr>
  </w:style>
  <w:style w:type="paragraph" w:customStyle="1" w:styleId="841">
    <w:name w:val="+a)"/>
    <w:basedOn w:val="738"/>
    <w:semiHidden/>
    <w:qFormat/>
    <w:uiPriority w:val="0"/>
    <w:pPr>
      <w:tabs>
        <w:tab w:val="left" w:pos="4677"/>
      </w:tabs>
      <w:ind w:left="4252" w:firstLine="0" w:firstLineChars="0"/>
    </w:pPr>
  </w:style>
  <w:style w:type="paragraph" w:customStyle="1" w:styleId="842">
    <w:name w:val="+标题3"/>
    <w:basedOn w:val="5"/>
    <w:semiHidden/>
    <w:qFormat/>
    <w:uiPriority w:val="0"/>
    <w:pPr>
      <w:tabs>
        <w:tab w:val="left" w:pos="1315"/>
        <w:tab w:val="clear" w:pos="425"/>
      </w:tabs>
      <w:spacing w:line="360" w:lineRule="auto"/>
      <w:ind w:left="1315" w:hanging="833"/>
    </w:pPr>
    <w:rPr>
      <w:rFonts w:hAnsi="宋体" w:eastAsia="宋体"/>
      <w:bCs/>
      <w:snapToGrid/>
      <w:kern w:val="2"/>
      <w:sz w:val="24"/>
      <w:szCs w:val="28"/>
    </w:rPr>
  </w:style>
  <w:style w:type="paragraph" w:customStyle="1" w:styleId="843">
    <w:name w:val="+正文标题"/>
    <w:basedOn w:val="1"/>
    <w:semiHidden/>
    <w:qFormat/>
    <w:uiPriority w:val="0"/>
    <w:pPr>
      <w:keepNext/>
      <w:keepLines/>
      <w:pageBreakBefore/>
      <w:spacing w:before="240" w:after="240" w:line="360" w:lineRule="auto"/>
      <w:jc w:val="center"/>
      <w:outlineLvl w:val="4"/>
    </w:pPr>
    <w:rPr>
      <w:rFonts w:eastAsia="黑体"/>
      <w:b/>
      <w:sz w:val="32"/>
      <w:szCs w:val="32"/>
    </w:rPr>
  </w:style>
  <w:style w:type="paragraph" w:customStyle="1" w:styleId="844">
    <w:name w:val="样式 样式 标题 3 + 段前: 0.5 行 段后: 0.5 行 + 段前: 0.5 行 段后: 0.5 行"/>
    <w:basedOn w:val="1"/>
    <w:semiHidden/>
    <w:qFormat/>
    <w:uiPriority w:val="0"/>
    <w:pPr>
      <w:widowControl/>
      <w:tabs>
        <w:tab w:val="left" w:pos="840"/>
        <w:tab w:val="left" w:pos="1260"/>
      </w:tabs>
      <w:spacing w:before="156" w:after="156" w:line="360" w:lineRule="auto"/>
      <w:ind w:left="1260" w:hanging="420"/>
      <w:outlineLvl w:val="2"/>
    </w:pPr>
    <w:rPr>
      <w:rFonts w:eastAsia="黑体"/>
      <w:b/>
      <w:sz w:val="28"/>
      <w:szCs w:val="20"/>
    </w:rPr>
  </w:style>
  <w:style w:type="paragraph" w:customStyle="1" w:styleId="845">
    <w:name w:val="样式 加粗 行距: 单倍行距"/>
    <w:basedOn w:val="1"/>
    <w:semiHidden/>
    <w:qFormat/>
    <w:uiPriority w:val="0"/>
    <w:pPr>
      <w:ind w:firstLine="200" w:firstLineChars="200"/>
      <w:outlineLvl w:val="3"/>
    </w:pPr>
    <w:rPr>
      <w:rFonts w:ascii="Arial" w:hAnsi="Arial"/>
      <w:b/>
      <w:bCs/>
      <w:szCs w:val="20"/>
    </w:rPr>
  </w:style>
  <w:style w:type="paragraph" w:customStyle="1" w:styleId="846">
    <w:name w:val="xl140"/>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center"/>
    </w:pPr>
    <w:rPr>
      <w:rFonts w:ascii="宋体" w:hAnsi="宋体"/>
      <w:kern w:val="0"/>
      <w:sz w:val="20"/>
      <w:szCs w:val="20"/>
    </w:rPr>
  </w:style>
  <w:style w:type="paragraph" w:customStyle="1" w:styleId="847">
    <w:name w:val="xl143"/>
    <w:basedOn w:val="1"/>
    <w:semiHidden/>
    <w:qFormat/>
    <w:uiPriority w:val="0"/>
    <w:pPr>
      <w:widowControl/>
      <w:pBdr>
        <w:top w:val="single" w:color="auto" w:sz="8" w:space="0"/>
        <w:left w:val="single" w:color="auto" w:sz="4" w:space="0"/>
        <w:bottom w:val="single" w:color="auto" w:sz="4" w:space="0"/>
        <w:right w:val="single" w:color="auto" w:sz="4" w:space="0"/>
      </w:pBdr>
      <w:spacing w:before="100" w:after="100" w:line="360" w:lineRule="auto"/>
      <w:jc w:val="center"/>
    </w:pPr>
    <w:rPr>
      <w:rFonts w:ascii="宋体" w:hAnsi="宋体"/>
      <w:kern w:val="0"/>
      <w:sz w:val="20"/>
      <w:szCs w:val="20"/>
    </w:rPr>
  </w:style>
  <w:style w:type="paragraph" w:customStyle="1" w:styleId="848">
    <w:name w:val="-1.1.1.1"/>
    <w:basedOn w:val="7"/>
    <w:semiHidden/>
    <w:qFormat/>
    <w:uiPriority w:val="0"/>
    <w:pPr>
      <w:keepLines w:val="0"/>
      <w:widowControl/>
      <w:numPr>
        <w:numId w:val="0"/>
      </w:numPr>
      <w:tabs>
        <w:tab w:val="left" w:pos="851"/>
        <w:tab w:val="left" w:pos="1008"/>
      </w:tabs>
      <w:overflowPunct w:val="0"/>
      <w:autoSpaceDE w:val="0"/>
      <w:autoSpaceDN w:val="0"/>
      <w:adjustRightInd w:val="0"/>
      <w:spacing w:before="0" w:after="0"/>
      <w:ind w:left="1008" w:firstLine="180" w:firstLineChars="200"/>
      <w:jc w:val="left"/>
      <w:textAlignment w:val="baseline"/>
    </w:pPr>
    <w:rPr>
      <w:rFonts w:ascii="Arial" w:hAnsi="Arial" w:eastAsia="宋体"/>
      <w:b/>
      <w:kern w:val="0"/>
      <w:sz w:val="24"/>
      <w:szCs w:val="24"/>
    </w:rPr>
  </w:style>
  <w:style w:type="paragraph" w:customStyle="1" w:styleId="849">
    <w:name w:val="xl1224"/>
    <w:basedOn w:val="1"/>
    <w:semiHidden/>
    <w:qFormat/>
    <w:uiPriority w:val="0"/>
    <w:pPr>
      <w:widowControl/>
      <w:pBdr>
        <w:top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850">
    <w:name w:val="标书正文"/>
    <w:basedOn w:val="30"/>
    <w:semiHidden/>
    <w:qFormat/>
    <w:uiPriority w:val="0"/>
    <w:pPr>
      <w:adjustRightInd w:val="0"/>
      <w:snapToGrid w:val="0"/>
      <w:ind w:firstLine="480"/>
    </w:pPr>
    <w:rPr>
      <w:rFonts w:ascii="宋体" w:hAnsi="宋体"/>
      <w:b/>
      <w:bCs/>
      <w:color w:val="0000FF"/>
      <w:kern w:val="0"/>
      <w:szCs w:val="24"/>
      <w:u w:val="single"/>
    </w:rPr>
  </w:style>
  <w:style w:type="paragraph" w:customStyle="1" w:styleId="851">
    <w:name w:val="正文文字"/>
    <w:basedOn w:val="1"/>
    <w:semiHidden/>
    <w:qFormat/>
    <w:uiPriority w:val="0"/>
    <w:pPr>
      <w:spacing w:line="420" w:lineRule="exact"/>
      <w:ind w:left="471" w:hanging="471" w:firstLineChars="200"/>
    </w:pPr>
  </w:style>
  <w:style w:type="paragraph" w:customStyle="1" w:styleId="852">
    <w:name w:val="xl127"/>
    <w:basedOn w:val="1"/>
    <w:semiHidden/>
    <w:qFormat/>
    <w:uiPriority w:val="0"/>
    <w:pPr>
      <w:widowControl/>
      <w:pBdr>
        <w:top w:val="single" w:color="auto" w:sz="8" w:space="0"/>
        <w:left w:val="single" w:color="auto" w:sz="4" w:space="0"/>
        <w:bottom w:val="single" w:color="auto" w:sz="4" w:space="0"/>
        <w:right w:val="single" w:color="auto" w:sz="4" w:space="0"/>
      </w:pBdr>
      <w:spacing w:before="100" w:after="100" w:line="360" w:lineRule="auto"/>
      <w:jc w:val="right"/>
      <w:textAlignment w:val="center"/>
    </w:pPr>
    <w:rPr>
      <w:kern w:val="0"/>
      <w:szCs w:val="20"/>
    </w:rPr>
  </w:style>
  <w:style w:type="paragraph" w:customStyle="1" w:styleId="853">
    <w:name w:val="xl141"/>
    <w:basedOn w:val="1"/>
    <w:semiHidden/>
    <w:qFormat/>
    <w:uiPriority w:val="0"/>
    <w:pPr>
      <w:widowControl/>
      <w:pBdr>
        <w:top w:val="single" w:color="auto" w:sz="4" w:space="0"/>
        <w:left w:val="single" w:color="auto" w:sz="4" w:space="0"/>
        <w:bottom w:val="single" w:color="auto" w:sz="4" w:space="0"/>
        <w:right w:val="single" w:color="auto" w:sz="8" w:space="0"/>
      </w:pBdr>
      <w:spacing w:before="100" w:after="100" w:line="360" w:lineRule="auto"/>
      <w:jc w:val="center"/>
    </w:pPr>
    <w:rPr>
      <w:rFonts w:ascii="宋体" w:hAnsi="宋体"/>
      <w:kern w:val="0"/>
      <w:sz w:val="20"/>
      <w:szCs w:val="20"/>
    </w:rPr>
  </w:style>
  <w:style w:type="paragraph" w:customStyle="1" w:styleId="854">
    <w:name w:val="+注："/>
    <w:basedOn w:val="1"/>
    <w:semiHidden/>
    <w:qFormat/>
    <w:uiPriority w:val="0"/>
    <w:pPr>
      <w:spacing w:line="360" w:lineRule="auto"/>
      <w:ind w:firstLine="200" w:firstLineChars="200"/>
    </w:pPr>
    <w:rPr>
      <w:sz w:val="21"/>
      <w:szCs w:val="21"/>
    </w:rPr>
  </w:style>
  <w:style w:type="paragraph" w:customStyle="1" w:styleId="855">
    <w:name w:val="xl144"/>
    <w:basedOn w:val="1"/>
    <w:semiHidden/>
    <w:qFormat/>
    <w:uiPriority w:val="0"/>
    <w:pPr>
      <w:widowControl/>
      <w:pBdr>
        <w:top w:val="single" w:color="auto" w:sz="8" w:space="0"/>
        <w:left w:val="single" w:color="auto" w:sz="4" w:space="0"/>
        <w:bottom w:val="single" w:color="auto" w:sz="4" w:space="0"/>
        <w:right w:val="single" w:color="auto" w:sz="8" w:space="0"/>
      </w:pBdr>
      <w:spacing w:before="100" w:after="100" w:line="360" w:lineRule="auto"/>
      <w:jc w:val="center"/>
    </w:pPr>
    <w:rPr>
      <w:rFonts w:ascii="宋体" w:hAnsi="宋体"/>
      <w:kern w:val="0"/>
      <w:sz w:val="20"/>
      <w:szCs w:val="20"/>
    </w:rPr>
  </w:style>
  <w:style w:type="paragraph" w:customStyle="1" w:styleId="856">
    <w:name w:val="F00_02"/>
    <w:basedOn w:val="1"/>
    <w:semiHidden/>
    <w:qFormat/>
    <w:uiPriority w:val="0"/>
    <w:pPr>
      <w:spacing w:beforeLines="50" w:line="0" w:lineRule="atLeast"/>
      <w:ind w:firstLine="562" w:firstLineChars="200"/>
      <w:outlineLvl w:val="7"/>
    </w:pPr>
    <w:rPr>
      <w:rFonts w:eastAsia="仿宋_GB2312"/>
      <w:b/>
      <w:sz w:val="28"/>
      <w:szCs w:val="28"/>
    </w:rPr>
  </w:style>
  <w:style w:type="paragraph" w:customStyle="1" w:styleId="857">
    <w:name w:val="xl1221"/>
    <w:basedOn w:val="1"/>
    <w:semiHidden/>
    <w:qFormat/>
    <w:uiPriority w:val="0"/>
    <w:pPr>
      <w:widowControl/>
      <w:spacing w:before="100" w:after="100" w:line="360" w:lineRule="auto"/>
      <w:jc w:val="left"/>
      <w:textAlignment w:val="center"/>
    </w:pPr>
    <w:rPr>
      <w:rFonts w:hint="eastAsia" w:ascii="宋体" w:hAnsi="宋体"/>
      <w:kern w:val="0"/>
      <w:sz w:val="20"/>
      <w:szCs w:val="20"/>
    </w:rPr>
  </w:style>
  <w:style w:type="paragraph" w:customStyle="1" w:styleId="858">
    <w:name w:val="正文文字格式"/>
    <w:basedOn w:val="1"/>
    <w:semiHidden/>
    <w:qFormat/>
    <w:uiPriority w:val="0"/>
    <w:pPr>
      <w:spacing w:line="460" w:lineRule="exact"/>
      <w:ind w:firstLine="505"/>
      <w:jc w:val="left"/>
    </w:pPr>
    <w:rPr>
      <w:rFonts w:ascii="宋体"/>
      <w:kern w:val="24"/>
      <w:szCs w:val="20"/>
    </w:rPr>
  </w:style>
  <w:style w:type="paragraph" w:customStyle="1" w:styleId="859">
    <w:name w:val="xl1253"/>
    <w:basedOn w:val="1"/>
    <w:semiHidden/>
    <w:qFormat/>
    <w:uiPriority w:val="0"/>
    <w:pPr>
      <w:widowControl/>
      <w:pBdr>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b/>
      <w:kern w:val="0"/>
      <w:sz w:val="20"/>
      <w:szCs w:val="20"/>
    </w:rPr>
  </w:style>
  <w:style w:type="paragraph" w:customStyle="1" w:styleId="860">
    <w:name w:val="xl1235"/>
    <w:basedOn w:val="1"/>
    <w:semiHidden/>
    <w:qFormat/>
    <w:uiPriority w:val="0"/>
    <w:pPr>
      <w:widowControl/>
      <w:pBdr>
        <w:top w:val="single" w:color="auto" w:sz="4" w:space="0"/>
        <w:left w:val="single" w:color="auto" w:sz="4" w:space="0"/>
      </w:pBdr>
      <w:spacing w:before="100" w:after="100" w:line="360" w:lineRule="auto"/>
      <w:jc w:val="center"/>
      <w:textAlignment w:val="center"/>
    </w:pPr>
    <w:rPr>
      <w:rFonts w:hint="eastAsia" w:ascii="宋体" w:hAnsi="宋体"/>
      <w:kern w:val="0"/>
      <w:sz w:val="20"/>
      <w:szCs w:val="20"/>
    </w:rPr>
  </w:style>
  <w:style w:type="paragraph" w:customStyle="1" w:styleId="861">
    <w:name w:val="Reference Initials"/>
    <w:basedOn w:val="1"/>
    <w:next w:val="1"/>
    <w:semiHidden/>
    <w:qFormat/>
    <w:uiPriority w:val="0"/>
    <w:pPr>
      <w:keepNext/>
      <w:adjustRightInd w:val="0"/>
      <w:spacing w:before="240" w:line="360" w:lineRule="atLeast"/>
      <w:textAlignment w:val="baseline"/>
    </w:pPr>
    <w:rPr>
      <w:rFonts w:ascii="Courier New" w:hAnsi="Courier New" w:eastAsia="仿宋_GB2312" w:cs="Arial"/>
      <w:color w:val="000000"/>
      <w:kern w:val="0"/>
      <w:szCs w:val="20"/>
    </w:rPr>
  </w:style>
  <w:style w:type="paragraph" w:customStyle="1" w:styleId="862">
    <w:name w:val="样式 标题 4四 + Times New Roman 段前: 0 磅 段后: 0 磅 行距: 1.5 倍行距1"/>
    <w:basedOn w:val="6"/>
    <w:semiHidden/>
    <w:qFormat/>
    <w:uiPriority w:val="0"/>
    <w:pPr>
      <w:tabs>
        <w:tab w:val="left" w:pos="851"/>
        <w:tab w:val="left" w:pos="2020"/>
      </w:tabs>
      <w:spacing w:before="0" w:after="0" w:line="360" w:lineRule="auto"/>
      <w:ind w:left="2020" w:hanging="420"/>
    </w:pPr>
    <w:rPr>
      <w:rFonts w:ascii="Times New Roman" w:hAnsi="Times New Roman" w:cs="宋体"/>
      <w:szCs w:val="20"/>
    </w:rPr>
  </w:style>
  <w:style w:type="paragraph" w:customStyle="1" w:styleId="863">
    <w:name w:val="样式 宋体 小四 首行缩进:  0.9 厘米 行距: 1.5 倍行距"/>
    <w:basedOn w:val="1"/>
    <w:semiHidden/>
    <w:qFormat/>
    <w:uiPriority w:val="0"/>
    <w:pPr>
      <w:spacing w:line="360" w:lineRule="auto"/>
      <w:ind w:firstLine="510"/>
    </w:pPr>
    <w:rPr>
      <w:rFonts w:ascii="宋体" w:eastAsia="楷体_GB2312"/>
      <w:szCs w:val="20"/>
    </w:rPr>
  </w:style>
  <w:style w:type="paragraph" w:customStyle="1" w:styleId="864">
    <w:name w:val="正文文字缩进 2"/>
    <w:basedOn w:val="1"/>
    <w:qFormat/>
    <w:uiPriority w:val="0"/>
    <w:pPr>
      <w:spacing w:line="420" w:lineRule="exact"/>
      <w:ind w:firstLine="540" w:firstLineChars="200"/>
    </w:pPr>
    <w:rPr>
      <w:rFonts w:ascii="宋体" w:cs="宋体"/>
      <w:sz w:val="28"/>
      <w:szCs w:val="28"/>
    </w:rPr>
  </w:style>
  <w:style w:type="paragraph" w:customStyle="1" w:styleId="865">
    <w:name w:val="xl139"/>
    <w:basedOn w:val="1"/>
    <w:semiHidden/>
    <w:qFormat/>
    <w:uiPriority w:val="0"/>
    <w:pPr>
      <w:widowControl/>
      <w:pBdr>
        <w:top w:val="single" w:color="auto" w:sz="4" w:space="0"/>
        <w:left w:val="single" w:color="auto" w:sz="8" w:space="0"/>
        <w:bottom w:val="single" w:color="auto" w:sz="4" w:space="0"/>
        <w:right w:val="single" w:color="auto" w:sz="4" w:space="0"/>
      </w:pBdr>
      <w:spacing w:before="100" w:after="100" w:line="360" w:lineRule="auto"/>
      <w:jc w:val="center"/>
    </w:pPr>
    <w:rPr>
      <w:rFonts w:ascii="宋体" w:hAnsi="宋体"/>
      <w:kern w:val="0"/>
      <w:sz w:val="20"/>
      <w:szCs w:val="20"/>
    </w:rPr>
  </w:style>
  <w:style w:type="paragraph" w:customStyle="1" w:styleId="866">
    <w:name w:val="标书标题1"/>
    <w:basedOn w:val="2"/>
    <w:semiHidden/>
    <w:qFormat/>
    <w:uiPriority w:val="0"/>
    <w:pPr>
      <w:numPr>
        <w:numId w:val="0"/>
      </w:numPr>
      <w:autoSpaceDE/>
      <w:autoSpaceDN/>
      <w:adjustRightInd/>
      <w:spacing w:before="0" w:line="320" w:lineRule="exact"/>
      <w:ind w:left="120" w:leftChars="50"/>
      <w:jc w:val="center"/>
      <w:outlineLvl w:val="9"/>
    </w:pPr>
    <w:rPr>
      <w:rFonts w:ascii="Times New Roman" w:hAnsi="宋体" w:eastAsia="宋体"/>
      <w:spacing w:val="6"/>
      <w:kern w:val="2"/>
      <w:sz w:val="24"/>
      <w:szCs w:val="24"/>
    </w:rPr>
  </w:style>
  <w:style w:type="paragraph" w:customStyle="1" w:styleId="867">
    <w:name w:val="样式 标题 3 + 左侧:  0.75 厘米 首行缩进:  0 厘米 段前: 1 行 段后: 0.5 行1"/>
    <w:basedOn w:val="5"/>
    <w:next w:val="4"/>
    <w:semiHidden/>
    <w:qFormat/>
    <w:uiPriority w:val="0"/>
    <w:pPr>
      <w:tabs>
        <w:tab w:val="clear" w:pos="425"/>
      </w:tabs>
      <w:adjustRightInd w:val="0"/>
      <w:snapToGrid w:val="0"/>
      <w:spacing w:beforeLines="100" w:afterLines="50" w:line="360" w:lineRule="auto"/>
      <w:ind w:left="0" w:firstLine="560" w:firstLineChars="200"/>
      <w:jc w:val="left"/>
    </w:pPr>
    <w:rPr>
      <w:rFonts w:ascii="宋体" w:hAnsi="宋体" w:eastAsia="宋体"/>
      <w:b w:val="0"/>
      <w:bCs/>
      <w:snapToGrid/>
      <w:szCs w:val="20"/>
    </w:rPr>
  </w:style>
  <w:style w:type="paragraph" w:customStyle="1" w:styleId="868">
    <w:name w:val="zhw"/>
    <w:basedOn w:val="1"/>
    <w:semiHidden/>
    <w:qFormat/>
    <w:uiPriority w:val="0"/>
    <w:pPr>
      <w:adjustRightInd w:val="0"/>
      <w:jc w:val="left"/>
      <w:textAlignment w:val="baseline"/>
    </w:pPr>
    <w:rPr>
      <w:rFonts w:ascii="Arial" w:hAnsi="Arial" w:eastAsia="Wingdings"/>
      <w:szCs w:val="20"/>
    </w:rPr>
  </w:style>
  <w:style w:type="paragraph" w:customStyle="1" w:styleId="869">
    <w:name w:val="xl1220"/>
    <w:basedOn w:val="1"/>
    <w:semiHidden/>
    <w:qFormat/>
    <w:uiPriority w:val="0"/>
    <w:pPr>
      <w:widowControl/>
      <w:spacing w:before="100" w:after="100" w:line="360" w:lineRule="auto"/>
      <w:jc w:val="left"/>
      <w:textAlignment w:val="center"/>
    </w:pPr>
    <w:rPr>
      <w:rFonts w:ascii="Arial Unicode MS" w:hAnsi="Arial Unicode MS" w:eastAsia="Arial Unicode MS"/>
      <w:kern w:val="0"/>
      <w:szCs w:val="20"/>
    </w:rPr>
  </w:style>
  <w:style w:type="paragraph" w:customStyle="1" w:styleId="870">
    <w:name w:val="xl1237"/>
    <w:basedOn w:val="1"/>
    <w:semiHidden/>
    <w:qFormat/>
    <w:uiPriority w:val="0"/>
    <w:pPr>
      <w:widowControl/>
      <w:pBdr>
        <w:left w:val="single" w:color="auto" w:sz="4" w:space="0"/>
        <w:bottom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871">
    <w:name w:val="说明标题3"/>
    <w:basedOn w:val="1"/>
    <w:semiHidden/>
    <w:qFormat/>
    <w:uiPriority w:val="0"/>
    <w:pPr>
      <w:tabs>
        <w:tab w:val="left" w:pos="720"/>
      </w:tabs>
      <w:ind w:left="709" w:hanging="709"/>
    </w:pPr>
    <w:rPr>
      <w:sz w:val="28"/>
      <w:szCs w:val="20"/>
    </w:rPr>
  </w:style>
  <w:style w:type="paragraph" w:customStyle="1" w:styleId="872">
    <w:name w:val="标题模版样式1"/>
    <w:basedOn w:val="1"/>
    <w:semiHidden/>
    <w:qFormat/>
    <w:uiPriority w:val="0"/>
    <w:pPr>
      <w:tabs>
        <w:tab w:val="left" w:pos="144"/>
      </w:tabs>
      <w:spacing w:beforeLines="50" w:afterLines="50"/>
      <w:ind w:left="320" w:hanging="320"/>
    </w:pPr>
    <w:rPr>
      <w:rFonts w:ascii="宋体" w:hAnsi="宋体"/>
      <w:b/>
      <w:sz w:val="18"/>
      <w:szCs w:val="18"/>
    </w:rPr>
  </w:style>
  <w:style w:type="paragraph" w:customStyle="1" w:styleId="873">
    <w:name w:val="-正文"/>
    <w:basedOn w:val="1"/>
    <w:semiHidden/>
    <w:qFormat/>
    <w:uiPriority w:val="0"/>
    <w:pPr>
      <w:spacing w:line="360" w:lineRule="auto"/>
      <w:ind w:firstLine="200" w:firstLineChars="200"/>
      <w:jc w:val="left"/>
    </w:pPr>
  </w:style>
  <w:style w:type="paragraph" w:customStyle="1" w:styleId="874">
    <w:name w:val="++标题1"/>
    <w:basedOn w:val="2"/>
    <w:semiHidden/>
    <w:qFormat/>
    <w:uiPriority w:val="0"/>
    <w:pPr>
      <w:keepNext/>
      <w:keepLines/>
      <w:numPr>
        <w:numId w:val="0"/>
      </w:numPr>
      <w:autoSpaceDE/>
      <w:autoSpaceDN/>
      <w:adjustRightInd/>
      <w:spacing w:beforeLines="100" w:afterLines="100" w:line="320" w:lineRule="exact"/>
      <w:ind w:left="120" w:leftChars="50"/>
      <w:jc w:val="center"/>
      <w:outlineLvl w:val="1"/>
    </w:pPr>
    <w:rPr>
      <w:rFonts w:ascii="Times New Roman" w:hAnsi="宋体"/>
      <w:b/>
      <w:bCs/>
      <w:kern w:val="44"/>
      <w:sz w:val="32"/>
      <w:szCs w:val="32"/>
    </w:rPr>
  </w:style>
  <w:style w:type="paragraph" w:customStyle="1" w:styleId="875">
    <w:name w:val="Char Char Char1 Char Char Char Char Char Char Char Char"/>
    <w:basedOn w:val="1"/>
    <w:semiHidden/>
    <w:qFormat/>
    <w:uiPriority w:val="0"/>
    <w:rPr>
      <w:sz w:val="21"/>
    </w:rPr>
  </w:style>
  <w:style w:type="paragraph" w:customStyle="1" w:styleId="876">
    <w:name w:val="(1)"/>
    <w:basedOn w:val="1"/>
    <w:semiHidden/>
    <w:qFormat/>
    <w:uiPriority w:val="0"/>
    <w:pPr>
      <w:widowControl/>
      <w:tabs>
        <w:tab w:val="left" w:pos="2608"/>
      </w:tabs>
      <w:overflowPunct w:val="0"/>
      <w:autoSpaceDE w:val="0"/>
      <w:autoSpaceDN w:val="0"/>
      <w:adjustRightInd w:val="0"/>
      <w:spacing w:before="120" w:after="120" w:line="264" w:lineRule="auto"/>
      <w:ind w:left="2608" w:hanging="567"/>
      <w:textAlignment w:val="baseline"/>
    </w:pPr>
    <w:rPr>
      <w:kern w:val="0"/>
      <w:sz w:val="22"/>
      <w:szCs w:val="22"/>
    </w:rPr>
  </w:style>
  <w:style w:type="paragraph" w:customStyle="1" w:styleId="877">
    <w:name w:val="xl1256"/>
    <w:basedOn w:val="1"/>
    <w:semiHidden/>
    <w:qFormat/>
    <w:uiPriority w:val="0"/>
    <w:pPr>
      <w:widowControl/>
      <w:pBdr>
        <w:left w:val="single" w:color="auto" w:sz="4" w:space="0"/>
        <w:bottom w:val="single" w:color="auto" w:sz="4" w:space="0"/>
      </w:pBdr>
      <w:spacing w:before="100" w:after="100" w:line="360" w:lineRule="auto"/>
      <w:jc w:val="left"/>
      <w:textAlignment w:val="center"/>
    </w:pPr>
    <w:rPr>
      <w:rFonts w:hint="eastAsia" w:ascii="宋体" w:hAnsi="宋体"/>
      <w:kern w:val="0"/>
      <w:sz w:val="20"/>
      <w:szCs w:val="20"/>
    </w:rPr>
  </w:style>
  <w:style w:type="paragraph" w:customStyle="1" w:styleId="878">
    <w:name w:val="xl1231"/>
    <w:basedOn w:val="1"/>
    <w:semiHidden/>
    <w:qFormat/>
    <w:uiPriority w:val="0"/>
    <w:pPr>
      <w:widowControl/>
      <w:pBdr>
        <w:left w:val="single" w:color="auto" w:sz="4" w:space="0"/>
        <w:right w:val="single" w:color="auto" w:sz="4" w:space="0"/>
      </w:pBdr>
      <w:spacing w:before="100" w:after="100" w:line="360" w:lineRule="auto"/>
      <w:jc w:val="center"/>
      <w:textAlignment w:val="center"/>
    </w:pPr>
    <w:rPr>
      <w:rFonts w:hint="eastAsia" w:ascii="宋体" w:hAnsi="宋体"/>
      <w:kern w:val="0"/>
      <w:sz w:val="20"/>
      <w:szCs w:val="20"/>
    </w:rPr>
  </w:style>
  <w:style w:type="paragraph" w:customStyle="1" w:styleId="879">
    <w:name w:val="xl1264"/>
    <w:basedOn w:val="1"/>
    <w:semiHidden/>
    <w:qFormat/>
    <w:uiPriority w:val="0"/>
    <w:pPr>
      <w:widowControl/>
      <w:pBdr>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kern w:val="0"/>
      <w:sz w:val="20"/>
      <w:szCs w:val="20"/>
    </w:rPr>
  </w:style>
  <w:style w:type="paragraph" w:customStyle="1" w:styleId="880">
    <w:name w:val="样式 标题 3h33rd level3H3标题 3(节)l3CTsect1.2.3Heading 3 - ol..."/>
    <w:basedOn w:val="5"/>
    <w:semiHidden/>
    <w:qFormat/>
    <w:uiPriority w:val="0"/>
    <w:pPr>
      <w:tabs>
        <w:tab w:val="clear" w:pos="425"/>
      </w:tabs>
      <w:spacing w:before="240" w:after="240" w:line="640" w:lineRule="exact"/>
      <w:ind w:left="0" w:firstLine="0"/>
      <w:jc w:val="left"/>
    </w:pPr>
    <w:rPr>
      <w:rFonts w:ascii="Arial" w:hAnsi="Arial" w:eastAsia="宋体"/>
      <w:bCs/>
      <w:snapToGrid/>
      <w:color w:val="000000"/>
      <w:kern w:val="24"/>
      <w:szCs w:val="28"/>
    </w:rPr>
  </w:style>
  <w:style w:type="paragraph" w:customStyle="1" w:styleId="881">
    <w:name w:val="+1、"/>
    <w:basedOn w:val="817"/>
    <w:semiHidden/>
    <w:qFormat/>
    <w:uiPriority w:val="0"/>
    <w:pPr>
      <w:tabs>
        <w:tab w:val="left" w:pos="958"/>
      </w:tabs>
      <w:ind w:firstLine="0" w:firstLineChars="0"/>
    </w:pPr>
  </w:style>
  <w:style w:type="paragraph" w:customStyle="1" w:styleId="882">
    <w:name w:val="样式 黑体 小三 加粗 黑色 行距: 1.5 倍行距"/>
    <w:basedOn w:val="1"/>
    <w:semiHidden/>
    <w:qFormat/>
    <w:uiPriority w:val="0"/>
    <w:pPr>
      <w:spacing w:beforeLines="50" w:afterLines="50" w:line="520" w:lineRule="exact"/>
    </w:pPr>
    <w:rPr>
      <w:rFonts w:ascii="黑体" w:cs="黑体"/>
      <w:b/>
      <w:bCs/>
      <w:color w:val="000000"/>
      <w:spacing w:val="6"/>
      <w:sz w:val="28"/>
      <w:szCs w:val="20"/>
    </w:rPr>
  </w:style>
  <w:style w:type="paragraph" w:customStyle="1" w:styleId="883">
    <w:name w:val="xl1248"/>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b/>
      <w:kern w:val="0"/>
      <w:szCs w:val="20"/>
    </w:rPr>
  </w:style>
  <w:style w:type="paragraph" w:customStyle="1" w:styleId="884">
    <w:name w:val="SPECText[6]"/>
    <w:basedOn w:val="1"/>
    <w:semiHidden/>
    <w:qFormat/>
    <w:uiPriority w:val="0"/>
    <w:pPr>
      <w:widowControl/>
      <w:tabs>
        <w:tab w:val="left" w:pos="3000"/>
      </w:tabs>
      <w:ind w:left="3000" w:hanging="420"/>
      <w:jc w:val="left"/>
      <w:outlineLvl w:val="5"/>
    </w:pPr>
    <w:rPr>
      <w:snapToGrid w:val="0"/>
      <w:kern w:val="0"/>
      <w:sz w:val="22"/>
      <w:szCs w:val="20"/>
      <w:lang w:eastAsia="en-US"/>
    </w:rPr>
  </w:style>
  <w:style w:type="paragraph" w:customStyle="1" w:styleId="885">
    <w:name w:val="SPECText[3]"/>
    <w:basedOn w:val="1"/>
    <w:semiHidden/>
    <w:qFormat/>
    <w:uiPriority w:val="0"/>
    <w:pPr>
      <w:widowControl/>
      <w:tabs>
        <w:tab w:val="left" w:pos="1740"/>
      </w:tabs>
      <w:spacing w:before="240"/>
      <w:ind w:left="1740" w:hanging="420"/>
      <w:jc w:val="left"/>
      <w:outlineLvl w:val="2"/>
    </w:pPr>
    <w:rPr>
      <w:snapToGrid w:val="0"/>
      <w:kern w:val="0"/>
      <w:sz w:val="22"/>
      <w:szCs w:val="20"/>
      <w:lang w:eastAsia="en-US"/>
    </w:rPr>
  </w:style>
  <w:style w:type="paragraph" w:customStyle="1" w:styleId="886">
    <w:name w:val="样式 标题 5H5h5dashdsddRoman listPIM 5Titre5Heading5l55A...2"/>
    <w:basedOn w:val="7"/>
    <w:semiHidden/>
    <w:qFormat/>
    <w:uiPriority w:val="0"/>
    <w:pPr>
      <w:numPr>
        <w:numId w:val="0"/>
      </w:numPr>
      <w:tabs>
        <w:tab w:val="left" w:pos="851"/>
      </w:tabs>
      <w:spacing w:before="240" w:after="240" w:line="480" w:lineRule="exact"/>
      <w:jc w:val="left"/>
    </w:pPr>
    <w:rPr>
      <w:rFonts w:ascii="黑体" w:cs="宋体"/>
      <w:b/>
      <w:bCs/>
      <w:spacing w:val="20"/>
      <w:sz w:val="28"/>
    </w:rPr>
  </w:style>
  <w:style w:type="paragraph" w:customStyle="1" w:styleId="887">
    <w:name w:val="+A."/>
    <w:basedOn w:val="738"/>
    <w:semiHidden/>
    <w:qFormat/>
    <w:uiPriority w:val="0"/>
    <w:pPr>
      <w:tabs>
        <w:tab w:val="left" w:pos="3827"/>
      </w:tabs>
      <w:ind w:left="3402" w:firstLine="0" w:firstLineChars="0"/>
    </w:pPr>
  </w:style>
  <w:style w:type="paragraph" w:customStyle="1" w:styleId="888">
    <w:name w:val="样式 标题 1 + 段前: 0.5 行 段后: 0.5 行"/>
    <w:basedOn w:val="2"/>
    <w:semiHidden/>
    <w:qFormat/>
    <w:uiPriority w:val="0"/>
    <w:pPr>
      <w:keepNext/>
      <w:pageBreakBefore/>
      <w:widowControl/>
      <w:numPr>
        <w:numId w:val="0"/>
      </w:numPr>
      <w:tabs>
        <w:tab w:val="left" w:pos="420"/>
      </w:tabs>
      <w:autoSpaceDE/>
      <w:autoSpaceDN/>
      <w:adjustRightInd/>
      <w:spacing w:before="156" w:after="156" w:line="480" w:lineRule="auto"/>
      <w:ind w:left="420" w:leftChars="50" w:hanging="420"/>
      <w:jc w:val="center"/>
    </w:pPr>
    <w:rPr>
      <w:rFonts w:ascii="Times New Roman" w:hAnsi="宋体"/>
      <w:b/>
      <w:kern w:val="44"/>
      <w:sz w:val="30"/>
      <w:szCs w:val="30"/>
    </w:rPr>
  </w:style>
  <w:style w:type="paragraph" w:customStyle="1" w:styleId="889">
    <w:name w:val="xl1250"/>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b/>
      <w:kern w:val="0"/>
      <w:szCs w:val="20"/>
    </w:rPr>
  </w:style>
  <w:style w:type="paragraph" w:customStyle="1" w:styleId="890">
    <w:name w:val="Z正文"/>
    <w:basedOn w:val="30"/>
    <w:semiHidden/>
    <w:qFormat/>
    <w:uiPriority w:val="0"/>
    <w:pPr>
      <w:snapToGrid w:val="0"/>
      <w:ind w:firstLine="480" w:firstLineChars="200"/>
      <w:outlineLvl w:val="0"/>
    </w:pPr>
    <w:rPr>
      <w:rFonts w:ascii="宋体" w:hAnsi="宋体" w:eastAsia="新宋体"/>
    </w:rPr>
  </w:style>
  <w:style w:type="paragraph" w:customStyle="1" w:styleId="891">
    <w:name w:val="xl134"/>
    <w:basedOn w:val="1"/>
    <w:semiHidden/>
    <w:qFormat/>
    <w:uiPriority w:val="0"/>
    <w:pPr>
      <w:widowControl/>
      <w:pBdr>
        <w:top w:val="single" w:color="auto" w:sz="8" w:space="0"/>
        <w:left w:val="single" w:color="auto" w:sz="8" w:space="0"/>
      </w:pBdr>
      <w:spacing w:before="100" w:after="100" w:line="360" w:lineRule="auto"/>
      <w:jc w:val="center"/>
      <w:textAlignment w:val="center"/>
    </w:pPr>
    <w:rPr>
      <w:rFonts w:ascii="宋体" w:hAnsi="宋体"/>
      <w:kern w:val="0"/>
      <w:sz w:val="20"/>
      <w:szCs w:val="20"/>
    </w:rPr>
  </w:style>
  <w:style w:type="paragraph" w:customStyle="1" w:styleId="892">
    <w:name w:val="xl1230"/>
    <w:basedOn w:val="1"/>
    <w:semiHidden/>
    <w:qFormat/>
    <w:uiPriority w:val="0"/>
    <w:pPr>
      <w:widowControl/>
      <w:spacing w:before="100" w:after="100" w:line="360" w:lineRule="auto"/>
      <w:jc w:val="center"/>
      <w:textAlignment w:val="center"/>
    </w:pPr>
    <w:rPr>
      <w:rFonts w:ascii="Arial Unicode MS" w:hAnsi="Arial Unicode MS" w:eastAsia="Arial Unicode MS"/>
      <w:kern w:val="0"/>
      <w:sz w:val="20"/>
      <w:szCs w:val="20"/>
    </w:rPr>
  </w:style>
  <w:style w:type="paragraph" w:customStyle="1" w:styleId="893">
    <w:name w:val="表格文字1"/>
    <w:basedOn w:val="1"/>
    <w:semiHidden/>
    <w:qFormat/>
    <w:uiPriority w:val="0"/>
    <w:pPr>
      <w:snapToGrid w:val="0"/>
      <w:spacing w:line="240" w:lineRule="exact"/>
      <w:jc w:val="left"/>
    </w:pPr>
    <w:rPr>
      <w:rFonts w:eastAsia="新宋体"/>
      <w:sz w:val="21"/>
      <w:szCs w:val="20"/>
      <w:lang w:val="en-GB"/>
    </w:rPr>
  </w:style>
  <w:style w:type="paragraph" w:customStyle="1" w:styleId="894">
    <w:name w:val="xl131"/>
    <w:basedOn w:val="1"/>
    <w:semiHidden/>
    <w:qFormat/>
    <w:uiPriority w:val="0"/>
    <w:pPr>
      <w:widowControl/>
      <w:pBdr>
        <w:top w:val="single" w:color="auto" w:sz="8" w:space="0"/>
        <w:left w:val="single" w:color="auto" w:sz="4" w:space="0"/>
        <w:bottom w:val="single" w:color="auto" w:sz="4" w:space="0"/>
        <w:right w:val="single" w:color="auto" w:sz="4" w:space="0"/>
      </w:pBdr>
      <w:spacing w:before="100" w:after="100" w:line="360" w:lineRule="auto"/>
      <w:jc w:val="left"/>
      <w:textAlignment w:val="center"/>
    </w:pPr>
    <w:rPr>
      <w:kern w:val="0"/>
      <w:sz w:val="20"/>
      <w:szCs w:val="20"/>
    </w:rPr>
  </w:style>
  <w:style w:type="paragraph" w:customStyle="1" w:styleId="895">
    <w:name w:val="+a"/>
    <w:basedOn w:val="1"/>
    <w:semiHidden/>
    <w:qFormat/>
    <w:uiPriority w:val="0"/>
    <w:pPr>
      <w:tabs>
        <w:tab w:val="left" w:pos="958"/>
      </w:tabs>
      <w:spacing w:line="360" w:lineRule="auto"/>
    </w:pPr>
    <w:rPr>
      <w:szCs w:val="28"/>
    </w:rPr>
  </w:style>
  <w:style w:type="paragraph" w:customStyle="1" w:styleId="896">
    <w:name w:val="样式 标题 3h33rd level3H3标题 3"/>
    <w:basedOn w:val="5"/>
    <w:semiHidden/>
    <w:qFormat/>
    <w:uiPriority w:val="0"/>
    <w:pPr>
      <w:tabs>
        <w:tab w:val="clear" w:pos="425"/>
      </w:tabs>
      <w:spacing w:before="240" w:after="240" w:line="640" w:lineRule="exact"/>
      <w:ind w:left="0" w:firstLine="0"/>
      <w:jc w:val="left"/>
    </w:pPr>
    <w:rPr>
      <w:rFonts w:ascii="Arial" w:hAnsi="Arial" w:eastAsia="宋体"/>
      <w:bCs/>
      <w:snapToGrid/>
      <w:color w:val="000000"/>
      <w:kern w:val="24"/>
      <w:szCs w:val="28"/>
    </w:rPr>
  </w:style>
  <w:style w:type="paragraph" w:customStyle="1" w:styleId="897">
    <w:name w:val="Char Char Char Char Char"/>
    <w:basedOn w:val="1"/>
    <w:semiHidden/>
    <w:qFormat/>
    <w:uiPriority w:val="0"/>
    <w:pPr>
      <w:tabs>
        <w:tab w:val="left" w:pos="420"/>
      </w:tabs>
      <w:spacing w:beforeLines="50" w:afterLines="50" w:line="312" w:lineRule="auto"/>
      <w:ind w:left="420" w:hanging="420"/>
    </w:pPr>
    <w:rPr>
      <w:sz w:val="21"/>
      <w:szCs w:val="20"/>
    </w:rPr>
  </w:style>
  <w:style w:type="paragraph" w:customStyle="1" w:styleId="898">
    <w:name w:val="+正文 Char6"/>
    <w:basedOn w:val="1"/>
    <w:semiHidden/>
    <w:qFormat/>
    <w:uiPriority w:val="0"/>
    <w:pPr>
      <w:spacing w:line="360" w:lineRule="auto"/>
      <w:ind w:firstLine="200" w:firstLineChars="200"/>
    </w:pPr>
    <w:rPr>
      <w:szCs w:val="28"/>
    </w:rPr>
  </w:style>
  <w:style w:type="paragraph" w:customStyle="1" w:styleId="899">
    <w:name w:val="SPECText[1]"/>
    <w:basedOn w:val="1"/>
    <w:semiHidden/>
    <w:qFormat/>
    <w:uiPriority w:val="0"/>
    <w:pPr>
      <w:keepNext/>
      <w:widowControl/>
      <w:tabs>
        <w:tab w:val="left" w:pos="900"/>
      </w:tabs>
      <w:spacing w:before="480"/>
      <w:ind w:left="900" w:hanging="420"/>
      <w:jc w:val="left"/>
      <w:outlineLvl w:val="0"/>
    </w:pPr>
    <w:rPr>
      <w:snapToGrid w:val="0"/>
      <w:kern w:val="0"/>
      <w:sz w:val="22"/>
      <w:szCs w:val="20"/>
      <w:lang w:eastAsia="en-US"/>
    </w:rPr>
  </w:style>
  <w:style w:type="paragraph" w:customStyle="1" w:styleId="900">
    <w:name w:val="Aufzählung"/>
    <w:basedOn w:val="1"/>
    <w:semiHidden/>
    <w:qFormat/>
    <w:uiPriority w:val="0"/>
    <w:pPr>
      <w:keepLines/>
      <w:widowControl/>
      <w:shd w:val="clear" w:color="auto" w:fill="FFFFFF"/>
      <w:tabs>
        <w:tab w:val="center" w:pos="5170"/>
      </w:tabs>
      <w:snapToGrid w:val="0"/>
      <w:spacing w:line="276" w:lineRule="auto"/>
      <w:ind w:left="565" w:leftChars="256" w:right="284" w:hanging="2"/>
      <w:jc w:val="left"/>
    </w:pPr>
    <w:rPr>
      <w:rFonts w:ascii="Arial" w:hAnsi="Arial" w:eastAsia="新宋体" w:cs="Arial"/>
      <w:color w:val="000000"/>
      <w:kern w:val="0"/>
      <w:sz w:val="22"/>
      <w:szCs w:val="20"/>
      <w:lang w:val="en-GB"/>
    </w:rPr>
  </w:style>
  <w:style w:type="paragraph" w:customStyle="1" w:styleId="901">
    <w:name w:val="样式 标题 2标题 2 CharH2 Charheading 2+ Indent: Left 0.25 in Charh...2"/>
    <w:basedOn w:val="3"/>
    <w:semiHidden/>
    <w:qFormat/>
    <w:uiPriority w:val="0"/>
    <w:pPr>
      <w:numPr>
        <w:ilvl w:val="0"/>
        <w:numId w:val="0"/>
      </w:numPr>
      <w:spacing w:line="440" w:lineRule="exact"/>
      <w:jc w:val="left"/>
    </w:pPr>
    <w:rPr>
      <w:rFonts w:ascii="Arial" w:hAnsi="Arial" w:eastAsia="宋体"/>
      <w:bCs/>
      <w:snapToGrid/>
      <w:spacing w:val="14"/>
      <w:kern w:val="24"/>
      <w:szCs w:val="28"/>
    </w:rPr>
  </w:style>
  <w:style w:type="paragraph" w:customStyle="1" w:styleId="902">
    <w:name w:val="文本框"/>
    <w:basedOn w:val="1"/>
    <w:semiHidden/>
    <w:qFormat/>
    <w:uiPriority w:val="0"/>
    <w:pPr>
      <w:spacing w:before="20" w:after="20"/>
      <w:jc w:val="center"/>
    </w:pPr>
    <w:rPr>
      <w:szCs w:val="20"/>
    </w:rPr>
  </w:style>
  <w:style w:type="paragraph" w:customStyle="1" w:styleId="903">
    <w:name w:val="样式 标题 2 + 左侧:  0 厘米 首行缩进:  0 厘米"/>
    <w:basedOn w:val="3"/>
    <w:semiHidden/>
    <w:qFormat/>
    <w:uiPriority w:val="0"/>
    <w:pPr>
      <w:numPr>
        <w:ilvl w:val="0"/>
        <w:numId w:val="0"/>
      </w:numPr>
      <w:tabs>
        <w:tab w:val="left" w:pos="600"/>
      </w:tabs>
      <w:adjustRightInd w:val="0"/>
      <w:snapToGrid w:val="0"/>
      <w:spacing w:before="240" w:after="160"/>
      <w:ind w:left="-126"/>
      <w:jc w:val="left"/>
      <w:textAlignment w:val="baseline"/>
    </w:pPr>
    <w:rPr>
      <w:rFonts w:ascii="宋体" w:hAnsi="宋体" w:eastAsia="宋体" w:cs="宋体"/>
      <w:b w:val="0"/>
      <w:snapToGrid/>
      <w:spacing w:val="4"/>
      <w:szCs w:val="28"/>
    </w:rPr>
  </w:style>
  <w:style w:type="paragraph" w:customStyle="1" w:styleId="904">
    <w:name w:val="标书标题4"/>
    <w:basedOn w:val="6"/>
    <w:semiHidden/>
    <w:qFormat/>
    <w:uiPriority w:val="0"/>
    <w:pPr>
      <w:keepLines w:val="0"/>
      <w:tabs>
        <w:tab w:val="left" w:pos="851"/>
      </w:tabs>
      <w:adjustRightInd w:val="0"/>
      <w:snapToGrid w:val="0"/>
      <w:spacing w:beforeLines="50" w:afterLines="50" w:line="400" w:lineRule="exact"/>
      <w:jc w:val="left"/>
    </w:pPr>
    <w:rPr>
      <w:rFonts w:ascii="宋体" w:hAnsi="宋体" w:eastAsia="宋体"/>
      <w:bCs w:val="0"/>
      <w:kern w:val="0"/>
      <w:sz w:val="24"/>
      <w:szCs w:val="24"/>
    </w:rPr>
  </w:style>
  <w:style w:type="paragraph" w:customStyle="1" w:styleId="905">
    <w:name w:val="pa-39"/>
    <w:basedOn w:val="1"/>
    <w:semiHidden/>
    <w:qFormat/>
    <w:uiPriority w:val="0"/>
    <w:pPr>
      <w:widowControl/>
      <w:spacing w:line="360" w:lineRule="atLeast"/>
      <w:jc w:val="left"/>
    </w:pPr>
    <w:rPr>
      <w:rFonts w:ascii="宋体" w:hAnsi="宋体" w:cs="宋体"/>
      <w:kern w:val="0"/>
    </w:rPr>
  </w:style>
  <w:style w:type="paragraph" w:customStyle="1" w:styleId="906">
    <w:name w:val="F07"/>
    <w:semiHidden/>
    <w:qFormat/>
    <w:uiPriority w:val="0"/>
    <w:pPr>
      <w:widowControl w:val="0"/>
      <w:spacing w:line="0" w:lineRule="atLeast"/>
      <w:jc w:val="both"/>
      <w:outlineLvl w:val="6"/>
    </w:pPr>
    <w:rPr>
      <w:rFonts w:ascii="宋体" w:hAnsi="宋体" w:eastAsia="宋体" w:cs="Times New Roman"/>
      <w:bCs/>
      <w:iCs/>
      <w:kern w:val="28"/>
      <w:sz w:val="28"/>
      <w:lang w:val="en-US" w:eastAsia="zh-CN" w:bidi="ar-SA"/>
    </w:rPr>
  </w:style>
  <w:style w:type="paragraph" w:customStyle="1" w:styleId="907">
    <w:name w:val="+正文 Char Char5"/>
    <w:basedOn w:val="1"/>
    <w:semiHidden/>
    <w:qFormat/>
    <w:uiPriority w:val="0"/>
    <w:pPr>
      <w:spacing w:line="360" w:lineRule="auto"/>
      <w:ind w:firstLine="200" w:firstLineChars="200"/>
    </w:pPr>
    <w:rPr>
      <w:szCs w:val="28"/>
    </w:rPr>
  </w:style>
  <w:style w:type="paragraph" w:customStyle="1" w:styleId="908">
    <w:name w:val="xl1251"/>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right"/>
      <w:textAlignment w:val="center"/>
    </w:pPr>
    <w:rPr>
      <w:rFonts w:ascii="Arial Unicode MS" w:hAnsi="Arial Unicode MS" w:eastAsia="Arial Unicode MS"/>
      <w:b/>
      <w:kern w:val="0"/>
      <w:sz w:val="20"/>
      <w:szCs w:val="20"/>
    </w:rPr>
  </w:style>
  <w:style w:type="paragraph" w:customStyle="1" w:styleId="909">
    <w:name w:val="样式 标题 1 + (西文) Arial (中文) 黑体 四号 非加粗 居中 段前: 20 磅 段后: 0 磅 行...1"/>
    <w:basedOn w:val="2"/>
    <w:semiHidden/>
    <w:qFormat/>
    <w:uiPriority w:val="0"/>
    <w:pPr>
      <w:keepNext/>
      <w:keepLines/>
      <w:numPr>
        <w:numId w:val="0"/>
      </w:numPr>
      <w:autoSpaceDE/>
      <w:autoSpaceDN/>
      <w:adjustRightInd/>
      <w:spacing w:before="400" w:line="320" w:lineRule="exact"/>
      <w:ind w:left="420" w:leftChars="50"/>
      <w:jc w:val="center"/>
    </w:pPr>
    <w:rPr>
      <w:rFonts w:ascii="Arial" w:hAnsi="Arial"/>
      <w:b/>
      <w:kern w:val="44"/>
      <w:sz w:val="28"/>
      <w:szCs w:val="30"/>
    </w:rPr>
  </w:style>
  <w:style w:type="paragraph" w:customStyle="1" w:styleId="910">
    <w:name w:val="标书标题2"/>
    <w:basedOn w:val="3"/>
    <w:semiHidden/>
    <w:qFormat/>
    <w:uiPriority w:val="0"/>
    <w:pPr>
      <w:keepLines w:val="0"/>
      <w:widowControl/>
      <w:numPr>
        <w:ilvl w:val="0"/>
        <w:numId w:val="0"/>
      </w:numPr>
      <w:tabs>
        <w:tab w:val="left" w:pos="720"/>
      </w:tabs>
      <w:adjustRightInd w:val="0"/>
      <w:snapToGrid w:val="0"/>
      <w:spacing w:beforeLines="50" w:after="60" w:line="300" w:lineRule="auto"/>
      <w:jc w:val="left"/>
    </w:pPr>
    <w:rPr>
      <w:rFonts w:ascii="Arial Narrow" w:hAnsi="Arial Narrow" w:eastAsia="仿宋_GB2312"/>
      <w:snapToGrid/>
      <w:szCs w:val="20"/>
    </w:rPr>
  </w:style>
  <w:style w:type="paragraph" w:customStyle="1" w:styleId="911">
    <w:name w:val="用户段落(标书)"/>
    <w:basedOn w:val="1"/>
    <w:semiHidden/>
    <w:qFormat/>
    <w:uiPriority w:val="0"/>
    <w:pPr>
      <w:adjustRightInd w:val="0"/>
      <w:spacing w:line="420" w:lineRule="exact"/>
      <w:ind w:firstLine="482"/>
      <w:jc w:val="left"/>
      <w:textAlignment w:val="baseline"/>
    </w:pPr>
    <w:rPr>
      <w:kern w:val="0"/>
      <w:szCs w:val="20"/>
    </w:rPr>
  </w:style>
  <w:style w:type="paragraph" w:customStyle="1" w:styleId="912">
    <w:name w:val="+标题4"/>
    <w:basedOn w:val="6"/>
    <w:semiHidden/>
    <w:qFormat/>
    <w:uiPriority w:val="0"/>
    <w:pPr>
      <w:tabs>
        <w:tab w:val="left" w:pos="0"/>
        <w:tab w:val="left" w:pos="851"/>
      </w:tabs>
      <w:spacing w:before="120" w:after="120" w:line="360" w:lineRule="auto"/>
    </w:pPr>
    <w:rPr>
      <w:rFonts w:ascii="Times New Roman" w:hAnsi="Times New Roman" w:eastAsia="宋体"/>
      <w:sz w:val="24"/>
    </w:rPr>
  </w:style>
  <w:style w:type="paragraph" w:customStyle="1" w:styleId="913">
    <w:name w:val="样式 标题 2 + (中文) 黑体 四号 黑色"/>
    <w:basedOn w:val="3"/>
    <w:semiHidden/>
    <w:qFormat/>
    <w:uiPriority w:val="0"/>
    <w:pPr>
      <w:numPr>
        <w:ilvl w:val="0"/>
        <w:numId w:val="0"/>
      </w:numPr>
      <w:spacing w:line="520" w:lineRule="exact"/>
      <w:jc w:val="left"/>
    </w:pPr>
    <w:rPr>
      <w:rFonts w:ascii="Arial" w:hAnsi="Arial" w:eastAsia="宋体"/>
      <w:bCs/>
      <w:snapToGrid/>
      <w:color w:val="000000"/>
      <w:kern w:val="24"/>
      <w:szCs w:val="20"/>
    </w:rPr>
  </w:style>
  <w:style w:type="paragraph" w:customStyle="1" w:styleId="914">
    <w:name w:val="无固定格式"/>
    <w:basedOn w:val="1"/>
    <w:semiHidden/>
    <w:qFormat/>
    <w:uiPriority w:val="0"/>
    <w:pPr>
      <w:snapToGrid w:val="0"/>
      <w:spacing w:line="240" w:lineRule="exact"/>
      <w:jc w:val="left"/>
    </w:pPr>
    <w:rPr>
      <w:rFonts w:eastAsia="新宋体"/>
      <w:sz w:val="21"/>
      <w:szCs w:val="20"/>
      <w:lang w:val="en-GB"/>
    </w:rPr>
  </w:style>
  <w:style w:type="paragraph" w:customStyle="1" w:styleId="915">
    <w:name w:val="02"/>
    <w:basedOn w:val="1"/>
    <w:semiHidden/>
    <w:qFormat/>
    <w:uiPriority w:val="0"/>
    <w:pPr>
      <w:spacing w:line="500" w:lineRule="exact"/>
      <w:ind w:firstLine="567"/>
      <w:outlineLvl w:val="0"/>
    </w:pPr>
    <w:rPr>
      <w:b/>
      <w:spacing w:val="20"/>
      <w:sz w:val="28"/>
      <w:szCs w:val="20"/>
    </w:rPr>
  </w:style>
  <w:style w:type="paragraph" w:customStyle="1" w:styleId="916">
    <w:name w:val="函数"/>
    <w:basedOn w:val="1"/>
    <w:semiHidden/>
    <w:qFormat/>
    <w:uiPriority w:val="0"/>
    <w:pPr>
      <w:adjustRightInd w:val="0"/>
      <w:spacing w:line="312" w:lineRule="atLeast"/>
      <w:textAlignment w:val="baseline"/>
    </w:pPr>
    <w:rPr>
      <w:rFonts w:ascii="宋体"/>
      <w:kern w:val="0"/>
      <w:sz w:val="21"/>
      <w:szCs w:val="20"/>
    </w:rPr>
  </w:style>
  <w:style w:type="paragraph" w:customStyle="1" w:styleId="917">
    <w:name w:val="正文首缩"/>
    <w:basedOn w:val="1"/>
    <w:next w:val="6"/>
    <w:qFormat/>
    <w:uiPriority w:val="0"/>
    <w:pPr>
      <w:adjustRightInd w:val="0"/>
      <w:spacing w:line="324" w:lineRule="auto"/>
      <w:ind w:firstLine="425"/>
      <w:textAlignment w:val="baseline"/>
    </w:pPr>
    <w:rPr>
      <w:kern w:val="0"/>
      <w:sz w:val="28"/>
      <w:szCs w:val="20"/>
    </w:rPr>
  </w:style>
  <w:style w:type="paragraph" w:customStyle="1" w:styleId="918">
    <w:name w:val="a.样式4"/>
    <w:basedOn w:val="898"/>
    <w:semiHidden/>
    <w:qFormat/>
    <w:uiPriority w:val="0"/>
    <w:pPr>
      <w:tabs>
        <w:tab w:val="left" w:pos="1380"/>
      </w:tabs>
      <w:ind w:left="1380" w:hanging="420" w:firstLineChars="0"/>
    </w:pPr>
    <w:rPr>
      <w:szCs w:val="24"/>
    </w:rPr>
  </w:style>
  <w:style w:type="paragraph" w:customStyle="1" w:styleId="919">
    <w:name w:val="xl1228"/>
    <w:basedOn w:val="1"/>
    <w:semiHidden/>
    <w:qFormat/>
    <w:uiPriority w:val="0"/>
    <w:pPr>
      <w:widowControl/>
      <w:pBdr>
        <w:top w:val="single" w:color="auto" w:sz="4" w:space="0"/>
        <w:bottom w:val="single" w:color="auto" w:sz="4" w:space="0"/>
      </w:pBdr>
      <w:spacing w:before="100" w:after="100" w:line="360" w:lineRule="auto"/>
      <w:jc w:val="center"/>
      <w:textAlignment w:val="center"/>
    </w:pPr>
    <w:rPr>
      <w:rFonts w:hint="eastAsia" w:ascii="宋体" w:hAnsi="宋体"/>
      <w:kern w:val="0"/>
      <w:sz w:val="20"/>
      <w:szCs w:val="20"/>
    </w:rPr>
  </w:style>
  <w:style w:type="paragraph" w:customStyle="1" w:styleId="920">
    <w:name w:val="样式 正文（首行缩进两字） + 首行缩进:  2 字符"/>
    <w:basedOn w:val="4"/>
    <w:semiHidden/>
    <w:qFormat/>
    <w:uiPriority w:val="0"/>
    <w:pPr>
      <w:spacing w:line="460" w:lineRule="exact"/>
      <w:ind w:firstLine="536"/>
    </w:pPr>
    <w:rPr>
      <w:rFonts w:cs="黑体"/>
      <w:spacing w:val="6"/>
      <w:kern w:val="24"/>
    </w:rPr>
  </w:style>
  <w:style w:type="paragraph" w:customStyle="1" w:styleId="921">
    <w:name w:val="正文文字3"/>
    <w:basedOn w:val="30"/>
    <w:qFormat/>
    <w:uiPriority w:val="0"/>
    <w:pPr>
      <w:adjustRightInd w:val="0"/>
      <w:spacing w:line="360" w:lineRule="atLeast"/>
      <w:ind w:left="72" w:leftChars="30" w:right="72" w:rightChars="30"/>
      <w:textAlignment w:val="baseline"/>
    </w:pPr>
    <w:rPr>
      <w:kern w:val="0"/>
      <w:sz w:val="21"/>
    </w:rPr>
  </w:style>
  <w:style w:type="paragraph" w:customStyle="1" w:styleId="922">
    <w:name w:val="样式 标题 2节 + Times New Roman 四号 行距: 1.5 倍行距"/>
    <w:basedOn w:val="3"/>
    <w:semiHidden/>
    <w:qFormat/>
    <w:uiPriority w:val="0"/>
    <w:pPr>
      <w:numPr>
        <w:ilvl w:val="0"/>
        <w:numId w:val="0"/>
      </w:numPr>
      <w:tabs>
        <w:tab w:val="left" w:pos="1180"/>
      </w:tabs>
      <w:spacing w:before="260" w:after="260" w:line="360" w:lineRule="auto"/>
      <w:ind w:left="1180" w:hanging="420"/>
    </w:pPr>
    <w:rPr>
      <w:rFonts w:hAnsi="宋体" w:eastAsia="宋体" w:cs="宋体"/>
      <w:bCs/>
      <w:snapToGrid/>
      <w:kern w:val="2"/>
      <w:szCs w:val="20"/>
    </w:rPr>
  </w:style>
  <w:style w:type="paragraph" w:customStyle="1" w:styleId="923">
    <w:name w:val="+列表编号"/>
    <w:basedOn w:val="1"/>
    <w:semiHidden/>
    <w:qFormat/>
    <w:uiPriority w:val="0"/>
    <w:pPr>
      <w:tabs>
        <w:tab w:val="center" w:pos="4200"/>
        <w:tab w:val="right" w:pos="8400"/>
      </w:tabs>
      <w:spacing w:before="120" w:after="120"/>
      <w:ind w:firstLine="560"/>
    </w:pPr>
    <w:rPr>
      <w:sz w:val="21"/>
      <w:szCs w:val="21"/>
    </w:rPr>
  </w:style>
  <w:style w:type="paragraph" w:customStyle="1" w:styleId="924">
    <w:name w:val="+(1)"/>
    <w:basedOn w:val="738"/>
    <w:semiHidden/>
    <w:qFormat/>
    <w:uiPriority w:val="0"/>
    <w:pPr>
      <w:tabs>
        <w:tab w:val="left" w:pos="709"/>
      </w:tabs>
      <w:ind w:left="284" w:firstLine="0" w:firstLineChars="0"/>
    </w:pPr>
  </w:style>
  <w:style w:type="paragraph" w:customStyle="1" w:styleId="925">
    <w:name w:val="xl136"/>
    <w:basedOn w:val="1"/>
    <w:semiHidden/>
    <w:qFormat/>
    <w:uiPriority w:val="0"/>
    <w:pPr>
      <w:widowControl/>
      <w:pBdr>
        <w:left w:val="single" w:color="auto" w:sz="8" w:space="0"/>
        <w:bottom w:val="single" w:color="auto" w:sz="8" w:space="0"/>
      </w:pBdr>
      <w:spacing w:before="100" w:after="100" w:line="360" w:lineRule="auto"/>
      <w:jc w:val="center"/>
      <w:textAlignment w:val="center"/>
    </w:pPr>
    <w:rPr>
      <w:rFonts w:ascii="宋体" w:hAnsi="宋体"/>
      <w:kern w:val="0"/>
      <w:sz w:val="20"/>
      <w:szCs w:val="20"/>
    </w:rPr>
  </w:style>
  <w:style w:type="paragraph" w:customStyle="1" w:styleId="926">
    <w:name w:val="+a."/>
    <w:basedOn w:val="817"/>
    <w:semiHidden/>
    <w:qFormat/>
    <w:uiPriority w:val="0"/>
    <w:pPr>
      <w:tabs>
        <w:tab w:val="left" w:pos="958"/>
      </w:tabs>
      <w:ind w:firstLine="0" w:firstLineChars="0"/>
    </w:pPr>
  </w:style>
  <w:style w:type="paragraph" w:customStyle="1" w:styleId="927">
    <w:name w:val="xl1261"/>
    <w:basedOn w:val="1"/>
    <w:semiHidden/>
    <w:qFormat/>
    <w:uiPriority w:val="0"/>
    <w:pPr>
      <w:widowControl/>
      <w:pBdr>
        <w:top w:val="single" w:color="auto" w:sz="4" w:space="0"/>
        <w:bottom w:val="single" w:color="auto" w:sz="4" w:space="0"/>
      </w:pBdr>
      <w:spacing w:before="100" w:after="100" w:line="360" w:lineRule="auto"/>
      <w:jc w:val="right"/>
      <w:textAlignment w:val="center"/>
    </w:pPr>
    <w:rPr>
      <w:rFonts w:ascii="Arial Unicode MS" w:hAnsi="Arial Unicode MS" w:eastAsia="Arial Unicode MS"/>
      <w:kern w:val="0"/>
      <w:sz w:val="20"/>
      <w:szCs w:val="20"/>
    </w:rPr>
  </w:style>
  <w:style w:type="paragraph" w:customStyle="1" w:styleId="928">
    <w:name w:val="样式 标题 4 + 首行缩进:  0 厘米 段前: 0 磅 段后: 0 磅 行距: 1.5 倍行距"/>
    <w:basedOn w:val="6"/>
    <w:semiHidden/>
    <w:qFormat/>
    <w:uiPriority w:val="0"/>
    <w:pPr>
      <w:tabs>
        <w:tab w:val="left" w:pos="851"/>
      </w:tabs>
      <w:spacing w:before="0" w:after="0" w:line="440" w:lineRule="exact"/>
      <w:jc w:val="left"/>
    </w:pPr>
    <w:rPr>
      <w:rFonts w:ascii="仿宋_GB2312" w:eastAsia="仿宋_GB2312" w:cs="宋体"/>
      <w:sz w:val="24"/>
      <w:szCs w:val="24"/>
    </w:rPr>
  </w:style>
  <w:style w:type="paragraph" w:customStyle="1" w:styleId="929">
    <w:name w:val="w2"/>
    <w:basedOn w:val="1"/>
    <w:semiHidden/>
    <w:qFormat/>
    <w:uiPriority w:val="0"/>
    <w:pPr>
      <w:keepNext/>
      <w:keepLines/>
      <w:tabs>
        <w:tab w:val="left" w:pos="360"/>
      </w:tabs>
      <w:spacing w:before="96" w:line="360" w:lineRule="auto"/>
      <w:ind w:left="360" w:hanging="360" w:hangingChars="200"/>
      <w:outlineLvl w:val="1"/>
    </w:pPr>
    <w:rPr>
      <w:rFonts w:eastAsia="黑体"/>
      <w:b/>
      <w:sz w:val="28"/>
      <w:szCs w:val="20"/>
    </w:rPr>
  </w:style>
  <w:style w:type="paragraph" w:customStyle="1" w:styleId="930">
    <w:name w:val="样式 标题 1 + (西文) Arial (中文) 黑体 四号 非加粗 居中 段前: 20 磅 段后: 0 磅 行...3"/>
    <w:basedOn w:val="2"/>
    <w:semiHidden/>
    <w:qFormat/>
    <w:uiPriority w:val="0"/>
    <w:pPr>
      <w:keepNext/>
      <w:keepLines/>
      <w:numPr>
        <w:numId w:val="0"/>
      </w:numPr>
      <w:autoSpaceDE/>
      <w:autoSpaceDN/>
      <w:adjustRightInd/>
      <w:spacing w:before="400" w:line="320" w:lineRule="exact"/>
      <w:ind w:left="420" w:leftChars="50"/>
      <w:jc w:val="center"/>
    </w:pPr>
    <w:rPr>
      <w:rFonts w:ascii="Arial" w:hAnsi="Arial"/>
      <w:b/>
      <w:kern w:val="44"/>
      <w:sz w:val="28"/>
      <w:szCs w:val="30"/>
    </w:rPr>
  </w:style>
  <w:style w:type="paragraph" w:customStyle="1" w:styleId="931">
    <w:name w:val="标书正文（编号）"/>
    <w:basedOn w:val="850"/>
    <w:semiHidden/>
    <w:qFormat/>
    <w:uiPriority w:val="0"/>
    <w:pPr>
      <w:tabs>
        <w:tab w:val="left" w:pos="1140"/>
        <w:tab w:val="left" w:pos="7782"/>
      </w:tabs>
      <w:ind w:left="1140" w:hanging="720"/>
    </w:pPr>
    <w:rPr>
      <w:b w:val="0"/>
      <w:color w:val="000000"/>
    </w:rPr>
  </w:style>
  <w:style w:type="paragraph" w:customStyle="1" w:styleId="932">
    <w:name w:val="pa-38"/>
    <w:basedOn w:val="1"/>
    <w:semiHidden/>
    <w:qFormat/>
    <w:uiPriority w:val="0"/>
    <w:pPr>
      <w:widowControl/>
      <w:spacing w:line="360" w:lineRule="atLeast"/>
      <w:ind w:firstLine="120"/>
      <w:jc w:val="left"/>
    </w:pPr>
    <w:rPr>
      <w:rFonts w:ascii="宋体" w:hAnsi="宋体" w:cs="宋体"/>
      <w:kern w:val="0"/>
    </w:rPr>
  </w:style>
  <w:style w:type="paragraph" w:customStyle="1" w:styleId="933">
    <w:name w:val="xl1225"/>
    <w:basedOn w:val="1"/>
    <w:semiHidden/>
    <w:qFormat/>
    <w:uiPriority w:val="0"/>
    <w:pPr>
      <w:widowControl/>
      <w:pBdr>
        <w:top w:val="single" w:color="auto" w:sz="4" w:space="0"/>
        <w:right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934">
    <w:name w:val="样式 宋体 居中"/>
    <w:basedOn w:val="1"/>
    <w:semiHidden/>
    <w:qFormat/>
    <w:uiPriority w:val="0"/>
    <w:pPr>
      <w:jc w:val="center"/>
    </w:pPr>
    <w:rPr>
      <w:rFonts w:cs="宋体"/>
      <w:kern w:val="0"/>
      <w:sz w:val="21"/>
      <w:szCs w:val="21"/>
    </w:rPr>
  </w:style>
  <w:style w:type="paragraph" w:customStyle="1" w:styleId="935">
    <w:name w:val="pa-18"/>
    <w:basedOn w:val="1"/>
    <w:semiHidden/>
    <w:qFormat/>
    <w:uiPriority w:val="0"/>
    <w:pPr>
      <w:widowControl/>
      <w:spacing w:line="360" w:lineRule="atLeast"/>
      <w:jc w:val="left"/>
    </w:pPr>
    <w:rPr>
      <w:rFonts w:ascii="宋体" w:hAnsi="宋体" w:cs="宋体"/>
      <w:kern w:val="0"/>
    </w:rPr>
  </w:style>
  <w:style w:type="paragraph" w:customStyle="1" w:styleId="936">
    <w:name w:val="样式 我的正文 + 左侧:  2 字符 首行缩进:  2 字符"/>
    <w:basedOn w:val="1"/>
    <w:semiHidden/>
    <w:qFormat/>
    <w:uiPriority w:val="0"/>
    <w:pPr>
      <w:widowControl/>
      <w:autoSpaceDE w:val="0"/>
      <w:autoSpaceDN w:val="0"/>
      <w:adjustRightInd w:val="0"/>
      <w:spacing w:line="360" w:lineRule="auto"/>
      <w:ind w:left="200" w:leftChars="200" w:firstLine="200" w:firstLineChars="200"/>
      <w:jc w:val="left"/>
    </w:pPr>
    <w:rPr>
      <w:rFonts w:ascii="宋体" w:hAnsi="宋体"/>
      <w:color w:val="000000"/>
      <w:kern w:val="0"/>
      <w:szCs w:val="20"/>
    </w:rPr>
  </w:style>
  <w:style w:type="paragraph" w:customStyle="1" w:styleId="937">
    <w:name w:val="yyn2"/>
    <w:basedOn w:val="1"/>
    <w:semiHidden/>
    <w:qFormat/>
    <w:uiPriority w:val="0"/>
    <w:pPr>
      <w:keepNext/>
      <w:widowControl/>
      <w:overflowPunct w:val="0"/>
      <w:autoSpaceDE w:val="0"/>
      <w:autoSpaceDN w:val="0"/>
      <w:adjustRightInd w:val="0"/>
      <w:spacing w:before="60" w:line="360" w:lineRule="auto"/>
      <w:jc w:val="center"/>
      <w:textAlignment w:val="baseline"/>
    </w:pPr>
    <w:rPr>
      <w:rFonts w:ascii="楷体_GB2312" w:eastAsia="楷体_GB2312"/>
      <w:kern w:val="16"/>
      <w:sz w:val="21"/>
      <w:szCs w:val="20"/>
    </w:rPr>
  </w:style>
  <w:style w:type="paragraph" w:customStyle="1" w:styleId="938">
    <w:name w:val="-1.1"/>
    <w:basedOn w:val="5"/>
    <w:semiHidden/>
    <w:qFormat/>
    <w:uiPriority w:val="0"/>
    <w:pPr>
      <w:widowControl/>
      <w:tabs>
        <w:tab w:val="clear" w:pos="425"/>
      </w:tabs>
      <w:overflowPunct w:val="0"/>
      <w:autoSpaceDE w:val="0"/>
      <w:autoSpaceDN w:val="0"/>
      <w:adjustRightInd w:val="0"/>
      <w:spacing w:line="360" w:lineRule="auto"/>
      <w:ind w:left="0" w:firstLine="0" w:firstLineChars="200"/>
      <w:textAlignment w:val="baseline"/>
    </w:pPr>
    <w:rPr>
      <w:rFonts w:ascii="宋体" w:hAnsi="宋体" w:eastAsia="宋体"/>
      <w:snapToGrid/>
      <w:kern w:val="2"/>
      <w:sz w:val="24"/>
    </w:rPr>
  </w:style>
  <w:style w:type="paragraph" w:customStyle="1" w:styleId="939">
    <w:name w:val="0"/>
    <w:basedOn w:val="1"/>
    <w:semiHidden/>
    <w:qFormat/>
    <w:uiPriority w:val="0"/>
    <w:pPr>
      <w:widowControl/>
      <w:spacing w:before="100" w:beforeAutospacing="1" w:after="100" w:afterAutospacing="1"/>
      <w:jc w:val="left"/>
    </w:pPr>
    <w:rPr>
      <w:rFonts w:ascii="宋体" w:hAnsi="宋体" w:cs="宋体"/>
      <w:kern w:val="0"/>
    </w:rPr>
  </w:style>
  <w:style w:type="paragraph" w:customStyle="1" w:styleId="940">
    <w:name w:val="xl1260"/>
    <w:basedOn w:val="1"/>
    <w:semiHidden/>
    <w:qFormat/>
    <w:uiPriority w:val="0"/>
    <w:pPr>
      <w:widowControl/>
      <w:pBdr>
        <w:top w:val="single" w:color="auto" w:sz="4" w:space="0"/>
        <w:left w:val="single" w:color="auto" w:sz="4" w:space="0"/>
        <w:bottom w:val="single" w:color="auto" w:sz="4" w:space="0"/>
      </w:pBdr>
      <w:spacing w:before="100" w:after="100" w:line="360" w:lineRule="auto"/>
      <w:jc w:val="left"/>
      <w:textAlignment w:val="center"/>
    </w:pPr>
    <w:rPr>
      <w:rFonts w:hint="eastAsia" w:ascii="宋体" w:hAnsi="宋体"/>
      <w:kern w:val="0"/>
      <w:sz w:val="20"/>
      <w:szCs w:val="20"/>
    </w:rPr>
  </w:style>
  <w:style w:type="paragraph" w:customStyle="1" w:styleId="941">
    <w:name w:val="TABLE"/>
    <w:basedOn w:val="1"/>
    <w:semiHidden/>
    <w:qFormat/>
    <w:uiPriority w:val="0"/>
    <w:pPr>
      <w:framePr w:hSpace="181" w:wrap="around" w:vAnchor="text" w:hAnchor="text" w:x="76" w:y="1"/>
      <w:adjustRightInd w:val="0"/>
      <w:spacing w:line="0" w:lineRule="atLeast"/>
      <w:jc w:val="center"/>
      <w:textAlignment w:val="baseline"/>
    </w:pPr>
    <w:rPr>
      <w:rFonts w:ascii="Arial" w:hAnsi="Arial" w:eastAsia="仿宋_GB2312"/>
      <w:kern w:val="0"/>
      <w:sz w:val="28"/>
      <w:szCs w:val="28"/>
    </w:rPr>
  </w:style>
  <w:style w:type="paragraph" w:customStyle="1" w:styleId="942">
    <w:name w:val="notice1"/>
    <w:basedOn w:val="1"/>
    <w:semiHidden/>
    <w:qFormat/>
    <w:uiPriority w:val="0"/>
    <w:pPr>
      <w:widowControl/>
      <w:spacing w:before="100" w:beforeAutospacing="1" w:after="100" w:afterAutospacing="1" w:line="375" w:lineRule="atLeast"/>
      <w:jc w:val="left"/>
    </w:pPr>
    <w:rPr>
      <w:rFonts w:ascii="宋体" w:hAnsi="宋体" w:cs="宋体"/>
      <w:kern w:val="0"/>
    </w:rPr>
  </w:style>
  <w:style w:type="paragraph" w:customStyle="1" w:styleId="943">
    <w:name w:val="样式 样式 标题 2节 + 四号 段前: 13 磅 段后: 13 磅 行距: 1.5 倍行距 + 段前: 0.6 行"/>
    <w:basedOn w:val="1"/>
    <w:semiHidden/>
    <w:qFormat/>
    <w:uiPriority w:val="0"/>
    <w:pPr>
      <w:keepNext/>
      <w:keepLines/>
      <w:tabs>
        <w:tab w:val="left" w:pos="360"/>
      </w:tabs>
      <w:spacing w:before="120" w:line="360" w:lineRule="auto"/>
      <w:ind w:left="360" w:hanging="360" w:hangingChars="200"/>
      <w:outlineLvl w:val="1"/>
    </w:pPr>
    <w:rPr>
      <w:rFonts w:eastAsia="黑体"/>
      <w:b/>
      <w:sz w:val="28"/>
      <w:szCs w:val="20"/>
    </w:rPr>
  </w:style>
  <w:style w:type="paragraph" w:customStyle="1" w:styleId="944">
    <w:name w:val="样式 标题 1 + (中文) 黑体 四号 居中 段前: 0 磅 段后: 0 磅 行距: 2 倍行距"/>
    <w:basedOn w:val="2"/>
    <w:semiHidden/>
    <w:qFormat/>
    <w:uiPriority w:val="0"/>
    <w:pPr>
      <w:keepNext/>
      <w:keepLines/>
      <w:numPr>
        <w:numId w:val="0"/>
      </w:numPr>
      <w:tabs>
        <w:tab w:val="left" w:pos="1260"/>
      </w:tabs>
      <w:autoSpaceDE/>
      <w:autoSpaceDN/>
      <w:adjustRightInd/>
      <w:spacing w:before="0" w:line="480" w:lineRule="auto"/>
      <w:ind w:left="1260" w:leftChars="50" w:hanging="360"/>
      <w:jc w:val="center"/>
    </w:pPr>
    <w:rPr>
      <w:rFonts w:ascii="Times New Roman" w:hAnsi="宋体" w:cs="宋体"/>
      <w:b/>
      <w:bCs/>
      <w:kern w:val="44"/>
      <w:sz w:val="28"/>
      <w:szCs w:val="30"/>
    </w:rPr>
  </w:style>
  <w:style w:type="paragraph" w:customStyle="1" w:styleId="945">
    <w:name w:val="font15"/>
    <w:basedOn w:val="1"/>
    <w:semiHidden/>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946">
    <w:name w:val="font16"/>
    <w:basedOn w:val="1"/>
    <w:semiHidden/>
    <w:qFormat/>
    <w:uiPriority w:val="0"/>
    <w:pPr>
      <w:widowControl/>
      <w:spacing w:before="100" w:beforeAutospacing="1" w:after="100" w:afterAutospacing="1"/>
      <w:jc w:val="left"/>
    </w:pPr>
    <w:rPr>
      <w:kern w:val="0"/>
      <w:sz w:val="22"/>
      <w:szCs w:val="22"/>
    </w:rPr>
  </w:style>
  <w:style w:type="paragraph" w:customStyle="1" w:styleId="947">
    <w:name w:val="xl1239"/>
    <w:basedOn w:val="1"/>
    <w:semiHidden/>
    <w:qFormat/>
    <w:uiPriority w:val="0"/>
    <w:pPr>
      <w:widowControl/>
      <w:pBdr>
        <w:bottom w:val="single" w:color="auto" w:sz="4" w:space="0"/>
        <w:right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948">
    <w:name w:val="SPECText[8]"/>
    <w:basedOn w:val="1"/>
    <w:semiHidden/>
    <w:qFormat/>
    <w:uiPriority w:val="0"/>
    <w:pPr>
      <w:widowControl/>
      <w:tabs>
        <w:tab w:val="left" w:pos="3840"/>
      </w:tabs>
      <w:ind w:left="3840" w:hanging="420"/>
      <w:jc w:val="left"/>
      <w:outlineLvl w:val="7"/>
    </w:pPr>
    <w:rPr>
      <w:snapToGrid w:val="0"/>
      <w:kern w:val="0"/>
      <w:sz w:val="22"/>
      <w:szCs w:val="20"/>
      <w:lang w:eastAsia="en-US"/>
    </w:rPr>
  </w:style>
  <w:style w:type="paragraph" w:customStyle="1" w:styleId="949">
    <w:name w:val="样式10"/>
    <w:basedOn w:val="1"/>
    <w:semiHidden/>
    <w:qFormat/>
    <w:uiPriority w:val="0"/>
    <w:pPr>
      <w:spacing w:line="480" w:lineRule="exact"/>
      <w:jc w:val="left"/>
    </w:pPr>
    <w:rPr>
      <w:b/>
      <w:spacing w:val="6"/>
      <w:szCs w:val="20"/>
    </w:rPr>
  </w:style>
  <w:style w:type="paragraph" w:customStyle="1" w:styleId="950">
    <w:name w:val="+列表3"/>
    <w:basedOn w:val="1"/>
    <w:semiHidden/>
    <w:qFormat/>
    <w:uiPriority w:val="0"/>
    <w:pPr>
      <w:jc w:val="center"/>
    </w:pPr>
    <w:rPr>
      <w:sz w:val="15"/>
      <w:szCs w:val="18"/>
    </w:rPr>
  </w:style>
  <w:style w:type="paragraph" w:customStyle="1" w:styleId="951">
    <w:name w:val="ST20_2"/>
    <w:basedOn w:val="1"/>
    <w:semiHidden/>
    <w:qFormat/>
    <w:uiPriority w:val="0"/>
    <w:pPr>
      <w:autoSpaceDE w:val="0"/>
      <w:autoSpaceDN w:val="0"/>
      <w:adjustRightInd w:val="0"/>
      <w:ind w:left="840" w:hanging="420"/>
      <w:jc w:val="left"/>
    </w:pPr>
    <w:rPr>
      <w:rFonts w:ascii="宋体" w:hAnsi="Tms Rmn"/>
      <w:kern w:val="0"/>
      <w:szCs w:val="20"/>
    </w:rPr>
  </w:style>
  <w:style w:type="paragraph" w:customStyle="1" w:styleId="952">
    <w:name w:val="++111"/>
    <w:basedOn w:val="1"/>
    <w:semiHidden/>
    <w:qFormat/>
    <w:uiPriority w:val="0"/>
    <w:pPr>
      <w:tabs>
        <w:tab w:val="left" w:pos="964"/>
        <w:tab w:val="left" w:pos="1240"/>
      </w:tabs>
      <w:spacing w:line="360" w:lineRule="auto"/>
      <w:ind w:left="440" w:firstLine="400"/>
    </w:pPr>
    <w:rPr>
      <w:b/>
      <w:kern w:val="0"/>
    </w:rPr>
  </w:style>
  <w:style w:type="paragraph" w:customStyle="1" w:styleId="953">
    <w:name w:val="样式 标题 3头 + (中文) 黑体 四号 段前: 0 磅 段后: 0 磅 行距: 1.5 倍行距2"/>
    <w:basedOn w:val="5"/>
    <w:semiHidden/>
    <w:qFormat/>
    <w:uiPriority w:val="0"/>
    <w:pPr>
      <w:tabs>
        <w:tab w:val="left" w:pos="1600"/>
        <w:tab w:val="clear" w:pos="425"/>
      </w:tabs>
      <w:spacing w:before="0" w:after="0" w:line="360" w:lineRule="auto"/>
      <w:ind w:left="1600" w:hanging="420"/>
    </w:pPr>
    <w:rPr>
      <w:rFonts w:hAnsi="宋体" w:cs="宋体"/>
      <w:bCs/>
      <w:snapToGrid/>
      <w:kern w:val="2"/>
    </w:rPr>
  </w:style>
  <w:style w:type="paragraph" w:customStyle="1" w:styleId="954">
    <w:name w:val="xl1222"/>
    <w:basedOn w:val="1"/>
    <w:semiHidden/>
    <w:qFormat/>
    <w:uiPriority w:val="0"/>
    <w:pPr>
      <w:widowControl/>
      <w:pBdr>
        <w:top w:val="single" w:color="auto" w:sz="4" w:space="0"/>
        <w:left w:val="single" w:color="auto" w:sz="4" w:space="0"/>
        <w:right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955">
    <w:name w:val="xl138"/>
    <w:basedOn w:val="1"/>
    <w:semiHidden/>
    <w:qFormat/>
    <w:uiPriority w:val="0"/>
    <w:pPr>
      <w:widowControl/>
      <w:pBdr>
        <w:left w:val="single" w:color="auto" w:sz="8" w:space="0"/>
        <w:bottom w:val="single" w:color="auto" w:sz="8" w:space="0"/>
        <w:right w:val="single" w:color="auto" w:sz="8" w:space="0"/>
      </w:pBdr>
      <w:spacing w:before="100" w:after="100" w:line="360" w:lineRule="auto"/>
      <w:jc w:val="center"/>
      <w:textAlignment w:val="center"/>
    </w:pPr>
    <w:rPr>
      <w:rFonts w:ascii="宋体" w:hAnsi="宋体"/>
      <w:kern w:val="0"/>
      <w:sz w:val="20"/>
      <w:szCs w:val="20"/>
    </w:rPr>
  </w:style>
  <w:style w:type="paragraph" w:customStyle="1" w:styleId="956">
    <w:name w:val="xl1241"/>
    <w:basedOn w:val="1"/>
    <w:semiHidden/>
    <w:qFormat/>
    <w:uiPriority w:val="0"/>
    <w:pPr>
      <w:widowControl/>
      <w:pBdr>
        <w:left w:val="single" w:color="auto" w:sz="4" w:space="0"/>
        <w:bottom w:val="single" w:color="auto" w:sz="4" w:space="0"/>
      </w:pBdr>
      <w:spacing w:before="100" w:after="100" w:line="360" w:lineRule="auto"/>
      <w:jc w:val="center"/>
      <w:textAlignment w:val="center"/>
    </w:pPr>
    <w:rPr>
      <w:rFonts w:hint="eastAsia" w:ascii="宋体" w:hAnsi="宋体"/>
      <w:kern w:val="0"/>
      <w:sz w:val="20"/>
      <w:szCs w:val="20"/>
    </w:rPr>
  </w:style>
  <w:style w:type="paragraph" w:customStyle="1" w:styleId="957">
    <w:name w:val="xl1254"/>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b/>
      <w:kern w:val="0"/>
      <w:sz w:val="20"/>
      <w:szCs w:val="20"/>
    </w:rPr>
  </w:style>
  <w:style w:type="paragraph" w:customStyle="1" w:styleId="958">
    <w:name w:val="+标题1"/>
    <w:basedOn w:val="2"/>
    <w:semiHidden/>
    <w:qFormat/>
    <w:uiPriority w:val="0"/>
    <w:pPr>
      <w:keepNext/>
      <w:keepLines/>
      <w:pageBreakBefore/>
      <w:numPr>
        <w:numId w:val="0"/>
      </w:numPr>
      <w:autoSpaceDE/>
      <w:autoSpaceDN/>
      <w:adjustRightInd/>
      <w:spacing w:after="240" w:line="320" w:lineRule="exact"/>
      <w:ind w:left="120" w:leftChars="50"/>
      <w:jc w:val="center"/>
    </w:pPr>
    <w:rPr>
      <w:rFonts w:ascii="Times New Roman" w:hAnsi="宋体"/>
      <w:b/>
      <w:bCs/>
      <w:kern w:val="32"/>
      <w:sz w:val="30"/>
      <w:szCs w:val="30"/>
    </w:rPr>
  </w:style>
  <w:style w:type="paragraph" w:customStyle="1" w:styleId="959">
    <w:name w:val="xl133"/>
    <w:basedOn w:val="1"/>
    <w:semiHidden/>
    <w:qFormat/>
    <w:uiPriority w:val="0"/>
    <w:pPr>
      <w:widowControl/>
      <w:pBdr>
        <w:left w:val="single" w:color="auto" w:sz="8" w:space="0"/>
        <w:right w:val="single" w:color="auto" w:sz="8" w:space="0"/>
      </w:pBdr>
      <w:spacing w:before="100" w:after="100" w:line="360" w:lineRule="auto"/>
      <w:jc w:val="center"/>
      <w:textAlignment w:val="center"/>
    </w:pPr>
    <w:rPr>
      <w:rFonts w:ascii="宋体" w:hAnsi="宋体"/>
      <w:kern w:val="0"/>
      <w:sz w:val="20"/>
      <w:szCs w:val="20"/>
    </w:rPr>
  </w:style>
  <w:style w:type="paragraph" w:customStyle="1" w:styleId="960">
    <w:name w:val="pa-21"/>
    <w:basedOn w:val="1"/>
    <w:semiHidden/>
    <w:qFormat/>
    <w:uiPriority w:val="0"/>
    <w:pPr>
      <w:widowControl/>
      <w:spacing w:line="360" w:lineRule="atLeast"/>
      <w:ind w:firstLine="480"/>
      <w:jc w:val="left"/>
    </w:pPr>
    <w:rPr>
      <w:rFonts w:ascii="宋体" w:hAnsi="宋体" w:cs="宋体"/>
      <w:kern w:val="0"/>
    </w:rPr>
  </w:style>
  <w:style w:type="paragraph" w:customStyle="1" w:styleId="961">
    <w:name w:val="说明标题2"/>
    <w:basedOn w:val="1"/>
    <w:semiHidden/>
    <w:qFormat/>
    <w:uiPriority w:val="0"/>
    <w:pPr>
      <w:tabs>
        <w:tab w:val="left" w:pos="360"/>
      </w:tabs>
    </w:pPr>
    <w:rPr>
      <w:sz w:val="28"/>
      <w:szCs w:val="20"/>
    </w:rPr>
  </w:style>
  <w:style w:type="paragraph" w:customStyle="1" w:styleId="962">
    <w:name w:val="xl1252"/>
    <w:basedOn w:val="1"/>
    <w:semiHidden/>
    <w:qFormat/>
    <w:uiPriority w:val="0"/>
    <w:pPr>
      <w:widowControl/>
      <w:pBdr>
        <w:left w:val="single" w:color="auto" w:sz="4" w:space="0"/>
        <w:bottom w:val="single" w:color="auto" w:sz="4" w:space="0"/>
      </w:pBdr>
      <w:spacing w:before="100" w:after="100" w:line="360" w:lineRule="auto"/>
      <w:jc w:val="left"/>
      <w:textAlignment w:val="center"/>
    </w:pPr>
    <w:rPr>
      <w:rFonts w:ascii="Arial Unicode MS" w:hAnsi="Arial Unicode MS" w:eastAsia="Arial Unicode MS"/>
      <w:b/>
      <w:kern w:val="0"/>
      <w:sz w:val="20"/>
      <w:szCs w:val="20"/>
    </w:rPr>
  </w:style>
  <w:style w:type="paragraph" w:customStyle="1" w:styleId="963">
    <w:name w:val="+标题2"/>
    <w:basedOn w:val="3"/>
    <w:semiHidden/>
    <w:qFormat/>
    <w:uiPriority w:val="0"/>
    <w:pPr>
      <w:numPr>
        <w:ilvl w:val="0"/>
        <w:numId w:val="0"/>
      </w:numPr>
      <w:tabs>
        <w:tab w:val="left" w:pos="999"/>
      </w:tabs>
      <w:spacing w:line="360" w:lineRule="auto"/>
      <w:ind w:left="999" w:hanging="431"/>
    </w:pPr>
    <w:rPr>
      <w:rFonts w:hAnsi="宋体" w:eastAsia="宋体"/>
      <w:bCs/>
      <w:snapToGrid/>
      <w:kern w:val="2"/>
      <w:sz w:val="24"/>
      <w:szCs w:val="28"/>
    </w:rPr>
  </w:style>
  <w:style w:type="paragraph" w:customStyle="1" w:styleId="964">
    <w:name w:val="xl1258"/>
    <w:basedOn w:val="1"/>
    <w:semiHidden/>
    <w:qFormat/>
    <w:uiPriority w:val="0"/>
    <w:pPr>
      <w:widowControl/>
      <w:pBdr>
        <w:top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kern w:val="0"/>
      <w:sz w:val="20"/>
      <w:szCs w:val="20"/>
    </w:rPr>
  </w:style>
  <w:style w:type="paragraph" w:customStyle="1" w:styleId="965">
    <w:name w:val="xl135"/>
    <w:basedOn w:val="1"/>
    <w:semiHidden/>
    <w:qFormat/>
    <w:uiPriority w:val="0"/>
    <w:pPr>
      <w:widowControl/>
      <w:pBdr>
        <w:left w:val="single" w:color="auto" w:sz="8" w:space="0"/>
      </w:pBdr>
      <w:spacing w:before="100" w:after="100" w:line="360" w:lineRule="auto"/>
      <w:jc w:val="center"/>
      <w:textAlignment w:val="center"/>
    </w:pPr>
    <w:rPr>
      <w:rFonts w:ascii="宋体" w:hAnsi="宋体"/>
      <w:kern w:val="0"/>
      <w:sz w:val="20"/>
      <w:szCs w:val="20"/>
    </w:rPr>
  </w:style>
  <w:style w:type="paragraph" w:customStyle="1" w:styleId="966">
    <w:name w:val="SPECText[5]"/>
    <w:basedOn w:val="1"/>
    <w:semiHidden/>
    <w:qFormat/>
    <w:uiPriority w:val="0"/>
    <w:pPr>
      <w:widowControl/>
      <w:tabs>
        <w:tab w:val="left" w:pos="2580"/>
      </w:tabs>
      <w:ind w:left="2580" w:hanging="420"/>
      <w:jc w:val="left"/>
      <w:outlineLvl w:val="4"/>
    </w:pPr>
    <w:rPr>
      <w:snapToGrid w:val="0"/>
      <w:kern w:val="0"/>
      <w:sz w:val="22"/>
      <w:szCs w:val="20"/>
      <w:lang w:eastAsia="en-US"/>
    </w:rPr>
  </w:style>
  <w:style w:type="paragraph" w:customStyle="1" w:styleId="967">
    <w:name w:val="+●"/>
    <w:basedOn w:val="738"/>
    <w:semiHidden/>
    <w:qFormat/>
    <w:uiPriority w:val="0"/>
    <w:pPr>
      <w:tabs>
        <w:tab w:val="left" w:pos="3420"/>
      </w:tabs>
      <w:ind w:left="3420" w:hanging="420" w:firstLineChars="0"/>
    </w:pPr>
  </w:style>
  <w:style w:type="paragraph" w:customStyle="1" w:styleId="968">
    <w:name w:val="xl1240"/>
    <w:basedOn w:val="1"/>
    <w:semiHidden/>
    <w:qFormat/>
    <w:uiPriority w:val="0"/>
    <w:pPr>
      <w:widowControl/>
      <w:pBdr>
        <w:left w:val="single" w:color="auto" w:sz="4" w:space="0"/>
        <w:bottom w:val="single" w:color="auto" w:sz="4" w:space="0"/>
        <w:right w:val="single" w:color="auto" w:sz="4" w:space="0"/>
      </w:pBdr>
      <w:spacing w:before="100" w:after="100" w:line="360" w:lineRule="auto"/>
      <w:jc w:val="center"/>
      <w:textAlignment w:val="center"/>
    </w:pPr>
    <w:rPr>
      <w:rFonts w:hint="eastAsia" w:ascii="宋体" w:hAnsi="宋体"/>
      <w:kern w:val="0"/>
      <w:sz w:val="20"/>
      <w:szCs w:val="20"/>
    </w:rPr>
  </w:style>
  <w:style w:type="paragraph" w:customStyle="1" w:styleId="969">
    <w:name w:val="xl1219"/>
    <w:basedOn w:val="1"/>
    <w:semiHidden/>
    <w:qFormat/>
    <w:uiPriority w:val="0"/>
    <w:pPr>
      <w:widowControl/>
      <w:spacing w:before="100" w:after="100" w:line="360" w:lineRule="auto"/>
      <w:jc w:val="left"/>
      <w:textAlignment w:val="center"/>
    </w:pPr>
    <w:rPr>
      <w:rFonts w:ascii="Arial Unicode MS" w:hAnsi="Arial Unicode MS" w:eastAsia="Arial Unicode MS"/>
      <w:kern w:val="0"/>
      <w:sz w:val="20"/>
      <w:szCs w:val="20"/>
    </w:rPr>
  </w:style>
  <w:style w:type="paragraph" w:customStyle="1" w:styleId="970">
    <w:name w:val="xl1216"/>
    <w:basedOn w:val="1"/>
    <w:semiHidden/>
    <w:qFormat/>
    <w:uiPriority w:val="0"/>
    <w:pPr>
      <w:widowControl/>
      <w:spacing w:before="100" w:after="100" w:line="360" w:lineRule="auto"/>
      <w:jc w:val="left"/>
      <w:textAlignment w:val="center"/>
    </w:pPr>
    <w:rPr>
      <w:rFonts w:hint="eastAsia" w:ascii="宋体" w:hAnsi="宋体"/>
      <w:b/>
      <w:kern w:val="0"/>
      <w:sz w:val="28"/>
      <w:szCs w:val="20"/>
    </w:rPr>
  </w:style>
  <w:style w:type="paragraph" w:customStyle="1" w:styleId="971">
    <w:name w:val="+1)"/>
    <w:basedOn w:val="738"/>
    <w:semiHidden/>
    <w:qFormat/>
    <w:uiPriority w:val="0"/>
    <w:pPr>
      <w:tabs>
        <w:tab w:val="left" w:pos="2976"/>
      </w:tabs>
      <w:ind w:left="2551" w:firstLine="0" w:firstLineChars="0"/>
    </w:pPr>
  </w:style>
  <w:style w:type="paragraph" w:customStyle="1" w:styleId="972">
    <w:name w:val="Char Char Char"/>
    <w:basedOn w:val="1"/>
    <w:semiHidden/>
    <w:qFormat/>
    <w:uiPriority w:val="0"/>
    <w:pPr>
      <w:adjustRightInd w:val="0"/>
      <w:spacing w:line="360" w:lineRule="auto"/>
    </w:pPr>
    <w:rPr>
      <w:kern w:val="0"/>
      <w:szCs w:val="20"/>
    </w:rPr>
  </w:style>
  <w:style w:type="paragraph" w:customStyle="1" w:styleId="973">
    <w:name w:val="正文文字缩进 3"/>
    <w:basedOn w:val="1"/>
    <w:semiHidden/>
    <w:qFormat/>
    <w:uiPriority w:val="0"/>
    <w:pPr>
      <w:spacing w:line="360" w:lineRule="auto"/>
      <w:ind w:firstLine="480" w:firstLineChars="200"/>
    </w:pPr>
    <w:rPr>
      <w:rFonts w:ascii="Arial" w:hAnsi="Arial"/>
      <w:color w:val="FF00FF"/>
    </w:rPr>
  </w:style>
  <w:style w:type="paragraph" w:customStyle="1" w:styleId="974">
    <w:name w:val="样式 标题 4 + 首行缩进:  2 字符"/>
    <w:basedOn w:val="6"/>
    <w:semiHidden/>
    <w:qFormat/>
    <w:uiPriority w:val="0"/>
    <w:pPr>
      <w:tabs>
        <w:tab w:val="left" w:pos="851"/>
      </w:tabs>
      <w:snapToGrid w:val="0"/>
      <w:spacing w:before="0" w:after="0" w:line="360" w:lineRule="auto"/>
      <w:ind w:right="-449" w:rightChars="-214" w:firstLine="200"/>
    </w:pPr>
    <w:rPr>
      <w:rFonts w:ascii="Times New Roman" w:hAnsi="Times New Roman" w:eastAsia="宋体" w:cs="宋体"/>
      <w:color w:val="000000"/>
      <w:sz w:val="24"/>
      <w:szCs w:val="24"/>
      <w:u w:val="single"/>
    </w:rPr>
  </w:style>
  <w:style w:type="paragraph" w:customStyle="1" w:styleId="975">
    <w:name w:val="样式 标题 4heading 4 + Indent: Left 0.5 in + 黑色"/>
    <w:basedOn w:val="6"/>
    <w:semiHidden/>
    <w:qFormat/>
    <w:uiPriority w:val="0"/>
    <w:pPr>
      <w:tabs>
        <w:tab w:val="left" w:pos="851"/>
      </w:tabs>
      <w:spacing w:before="120" w:after="120" w:line="560" w:lineRule="exact"/>
      <w:jc w:val="left"/>
    </w:pPr>
    <w:rPr>
      <w:rFonts w:eastAsia="宋体"/>
      <w:bCs w:val="0"/>
      <w:color w:val="000000"/>
      <w:spacing w:val="10"/>
      <w:kern w:val="24"/>
      <w:sz w:val="24"/>
      <w:szCs w:val="24"/>
    </w:rPr>
  </w:style>
  <w:style w:type="paragraph" w:customStyle="1" w:styleId="976">
    <w:name w:val="样式 样式 标题 3 + (符号) 宋体 四号 加粗 黑色 段前: 0 磅 段后: 0 磅 行距: 固定值 22 磅 + 段前:..."/>
    <w:basedOn w:val="1"/>
    <w:semiHidden/>
    <w:qFormat/>
    <w:uiPriority w:val="0"/>
    <w:pPr>
      <w:keepNext/>
      <w:keepLines/>
      <w:spacing w:beforeLines="50" w:afterLines="50" w:line="580" w:lineRule="exact"/>
      <w:jc w:val="left"/>
      <w:outlineLvl w:val="2"/>
    </w:pPr>
    <w:rPr>
      <w:rFonts w:ascii="宋体" w:hAnsi="宋体" w:cs="黑体"/>
      <w:b/>
      <w:bCs/>
      <w:color w:val="000000"/>
      <w:kern w:val="24"/>
      <w:sz w:val="28"/>
      <w:szCs w:val="20"/>
    </w:rPr>
  </w:style>
  <w:style w:type="paragraph" w:customStyle="1" w:styleId="977">
    <w:name w:val="字元"/>
    <w:basedOn w:val="1"/>
    <w:semiHidden/>
    <w:qFormat/>
    <w:uiPriority w:val="0"/>
    <w:rPr>
      <w:sz w:val="21"/>
    </w:rPr>
  </w:style>
  <w:style w:type="paragraph" w:customStyle="1" w:styleId="978">
    <w:name w:val="pa-33"/>
    <w:basedOn w:val="1"/>
    <w:semiHidden/>
    <w:qFormat/>
    <w:uiPriority w:val="0"/>
    <w:pPr>
      <w:widowControl/>
      <w:spacing w:line="360" w:lineRule="atLeast"/>
      <w:ind w:firstLine="240"/>
      <w:jc w:val="left"/>
    </w:pPr>
    <w:rPr>
      <w:rFonts w:ascii="宋体" w:hAnsi="宋体" w:cs="宋体"/>
      <w:kern w:val="0"/>
    </w:rPr>
  </w:style>
  <w:style w:type="paragraph" w:customStyle="1" w:styleId="979">
    <w:name w:val="样式 正文缩进 + 首行缩进:  2 字符 Char"/>
    <w:basedOn w:val="4"/>
    <w:semiHidden/>
    <w:qFormat/>
    <w:uiPriority w:val="0"/>
    <w:pPr>
      <w:widowControl/>
      <w:overflowPunct w:val="0"/>
      <w:autoSpaceDE w:val="0"/>
      <w:autoSpaceDN w:val="0"/>
      <w:adjustRightInd w:val="0"/>
      <w:spacing w:line="360" w:lineRule="auto"/>
      <w:ind w:firstLine="560"/>
      <w:textAlignment w:val="baseline"/>
    </w:pPr>
    <w:rPr>
      <w:rFonts w:cs="宋体"/>
      <w:kern w:val="0"/>
      <w:sz w:val="28"/>
      <w:szCs w:val="20"/>
    </w:rPr>
  </w:style>
  <w:style w:type="paragraph" w:customStyle="1" w:styleId="980">
    <w:name w:val="yyn4"/>
    <w:basedOn w:val="937"/>
    <w:semiHidden/>
    <w:qFormat/>
    <w:uiPriority w:val="0"/>
    <w:pPr>
      <w:spacing w:before="120" w:after="120" w:line="240" w:lineRule="auto"/>
      <w:jc w:val="left"/>
    </w:pPr>
    <w:rPr>
      <w:rFonts w:ascii="宋体" w:eastAsia="宋体"/>
      <w:sz w:val="28"/>
    </w:rPr>
  </w:style>
  <w:style w:type="paragraph" w:customStyle="1" w:styleId="981">
    <w:name w:val="pa-34"/>
    <w:basedOn w:val="1"/>
    <w:semiHidden/>
    <w:qFormat/>
    <w:uiPriority w:val="0"/>
    <w:pPr>
      <w:widowControl/>
      <w:spacing w:line="360" w:lineRule="atLeast"/>
      <w:ind w:firstLine="480"/>
      <w:jc w:val="left"/>
    </w:pPr>
    <w:rPr>
      <w:rFonts w:ascii="宋体" w:hAnsi="宋体" w:cs="宋体"/>
      <w:kern w:val="0"/>
    </w:rPr>
  </w:style>
  <w:style w:type="paragraph" w:customStyle="1" w:styleId="982">
    <w:name w:val="pa-40"/>
    <w:basedOn w:val="1"/>
    <w:semiHidden/>
    <w:qFormat/>
    <w:uiPriority w:val="0"/>
    <w:pPr>
      <w:widowControl/>
      <w:spacing w:line="360" w:lineRule="atLeast"/>
      <w:ind w:firstLine="480"/>
      <w:jc w:val="left"/>
    </w:pPr>
    <w:rPr>
      <w:rFonts w:ascii="宋体" w:hAnsi="宋体" w:cs="宋体"/>
      <w:kern w:val="0"/>
    </w:rPr>
  </w:style>
  <w:style w:type="paragraph" w:customStyle="1" w:styleId="983">
    <w:name w:val="样式 样式 黑体 小三 加粗 黑色 行距: 1.5 倍行距 + 段前: 0.5 行 段后: 0.5 行"/>
    <w:basedOn w:val="882"/>
    <w:semiHidden/>
    <w:qFormat/>
    <w:uiPriority w:val="0"/>
    <w:pPr>
      <w:spacing w:beforeLines="100" w:afterLines="100"/>
    </w:pPr>
    <w:rPr>
      <w:szCs w:val="28"/>
    </w:rPr>
  </w:style>
  <w:style w:type="paragraph" w:customStyle="1" w:styleId="984">
    <w:name w:val="样式 样式 首行缩进:  2 字符 + 首行缩进:  2 字符1"/>
    <w:basedOn w:val="1"/>
    <w:semiHidden/>
    <w:qFormat/>
    <w:uiPriority w:val="0"/>
    <w:pPr>
      <w:adjustRightInd w:val="0"/>
      <w:snapToGrid w:val="0"/>
      <w:spacing w:line="360" w:lineRule="auto"/>
      <w:ind w:firstLine="422" w:firstLineChars="200"/>
    </w:pPr>
    <w:rPr>
      <w:rFonts w:ascii="宋体" w:hAnsi="宋体" w:cs="宋体"/>
      <w:b/>
      <w:sz w:val="21"/>
      <w:szCs w:val="21"/>
    </w:rPr>
  </w:style>
  <w:style w:type="paragraph" w:customStyle="1" w:styleId="985">
    <w:name w:val="Char Char Char1 Char Char Char Char"/>
    <w:basedOn w:val="1"/>
    <w:semiHidden/>
    <w:qFormat/>
    <w:uiPriority w:val="0"/>
    <w:rPr>
      <w:rFonts w:ascii="Tahoma" w:hAnsi="Tahoma"/>
      <w:szCs w:val="20"/>
    </w:rPr>
  </w:style>
  <w:style w:type="paragraph" w:customStyle="1" w:styleId="986">
    <w:name w:val="中文正文1"/>
    <w:basedOn w:val="1"/>
    <w:semiHidden/>
    <w:qFormat/>
    <w:uiPriority w:val="0"/>
    <w:pPr>
      <w:tabs>
        <w:tab w:val="left" w:pos="735"/>
      </w:tabs>
      <w:adjustRightInd w:val="0"/>
      <w:spacing w:line="312" w:lineRule="atLeast"/>
      <w:ind w:left="735" w:firstLine="525"/>
      <w:textAlignment w:val="baseline"/>
    </w:pPr>
    <w:rPr>
      <w:rFonts w:ascii="宋体" w:hAnsi="Arial"/>
      <w:kern w:val="0"/>
      <w:szCs w:val="20"/>
    </w:rPr>
  </w:style>
  <w:style w:type="paragraph" w:customStyle="1" w:styleId="987">
    <w:name w:val="++标题4"/>
    <w:basedOn w:val="6"/>
    <w:semiHidden/>
    <w:qFormat/>
    <w:uiPriority w:val="0"/>
    <w:pPr>
      <w:tabs>
        <w:tab w:val="left" w:pos="851"/>
      </w:tabs>
      <w:spacing w:before="0" w:after="0" w:line="360" w:lineRule="auto"/>
      <w:outlineLvl w:val="4"/>
    </w:pPr>
    <w:rPr>
      <w:rFonts w:ascii="Times New Roman" w:hAnsi="Times New Roman" w:eastAsia="宋体"/>
      <w:sz w:val="24"/>
    </w:rPr>
  </w:style>
  <w:style w:type="paragraph" w:customStyle="1" w:styleId="988">
    <w:name w:val="表格1"/>
    <w:basedOn w:val="1"/>
    <w:semiHidden/>
    <w:qFormat/>
    <w:uiPriority w:val="0"/>
    <w:pPr>
      <w:spacing w:before="60" w:after="60"/>
      <w:jc w:val="left"/>
    </w:pPr>
    <w:rPr>
      <w:szCs w:val="20"/>
    </w:rPr>
  </w:style>
  <w:style w:type="paragraph" w:customStyle="1" w:styleId="989">
    <w:name w:val="xl125"/>
    <w:basedOn w:val="1"/>
    <w:semiHidden/>
    <w:qFormat/>
    <w:uiPriority w:val="0"/>
    <w:pPr>
      <w:widowControl/>
      <w:pBdr>
        <w:top w:val="single" w:color="auto" w:sz="4" w:space="0"/>
        <w:left w:val="single" w:color="auto" w:sz="4" w:space="0"/>
        <w:bottom w:val="single" w:color="auto" w:sz="4" w:space="0"/>
        <w:right w:val="single" w:color="auto" w:sz="8" w:space="0"/>
      </w:pBdr>
      <w:spacing w:before="100" w:after="100" w:line="360" w:lineRule="auto"/>
      <w:jc w:val="left"/>
    </w:pPr>
    <w:rPr>
      <w:rFonts w:ascii="宋体" w:hAnsi="宋体"/>
      <w:kern w:val="0"/>
      <w:szCs w:val="20"/>
    </w:rPr>
  </w:style>
  <w:style w:type="paragraph" w:customStyle="1" w:styleId="990">
    <w:name w:val="xl1218"/>
    <w:basedOn w:val="1"/>
    <w:semiHidden/>
    <w:qFormat/>
    <w:uiPriority w:val="0"/>
    <w:pPr>
      <w:widowControl/>
      <w:spacing w:before="100" w:after="100" w:line="360" w:lineRule="auto"/>
      <w:jc w:val="left"/>
      <w:textAlignment w:val="center"/>
    </w:pPr>
    <w:rPr>
      <w:rFonts w:ascii="Arial Unicode MS" w:hAnsi="Arial Unicode MS" w:eastAsia="Arial Unicode MS"/>
      <w:kern w:val="0"/>
      <w:szCs w:val="20"/>
    </w:rPr>
  </w:style>
  <w:style w:type="paragraph" w:customStyle="1" w:styleId="991">
    <w:name w:val="xl1215"/>
    <w:basedOn w:val="1"/>
    <w:semiHidden/>
    <w:qFormat/>
    <w:uiPriority w:val="0"/>
    <w:pPr>
      <w:widowControl/>
      <w:spacing w:before="100" w:after="100" w:line="360" w:lineRule="auto"/>
      <w:jc w:val="left"/>
      <w:textAlignment w:val="center"/>
    </w:pPr>
    <w:rPr>
      <w:rFonts w:ascii="Arial Unicode MS" w:hAnsi="Arial Unicode MS" w:eastAsia="Arial Unicode MS"/>
      <w:kern w:val="0"/>
      <w:szCs w:val="20"/>
    </w:rPr>
  </w:style>
  <w:style w:type="paragraph" w:customStyle="1" w:styleId="992">
    <w:name w:val="+标题4 Char"/>
    <w:basedOn w:val="6"/>
    <w:semiHidden/>
    <w:qFormat/>
    <w:uiPriority w:val="0"/>
    <w:pPr>
      <w:tabs>
        <w:tab w:val="left" w:pos="851"/>
        <w:tab w:val="left" w:pos="1200"/>
      </w:tabs>
      <w:spacing w:before="0" w:after="0" w:line="360" w:lineRule="auto"/>
    </w:pPr>
    <w:rPr>
      <w:rFonts w:ascii="Times New Roman" w:hAnsi="Times New Roman" w:eastAsia="宋体"/>
      <w:sz w:val="24"/>
    </w:rPr>
  </w:style>
  <w:style w:type="paragraph" w:customStyle="1" w:styleId="993">
    <w:name w:val="++标题2"/>
    <w:basedOn w:val="3"/>
    <w:semiHidden/>
    <w:qFormat/>
    <w:uiPriority w:val="0"/>
    <w:pPr>
      <w:keepLines w:val="0"/>
      <w:numPr>
        <w:ilvl w:val="0"/>
        <w:numId w:val="0"/>
      </w:numPr>
      <w:spacing w:beforeLines="50" w:after="0" w:line="360" w:lineRule="auto"/>
      <w:outlineLvl w:val="2"/>
    </w:pPr>
    <w:rPr>
      <w:rFonts w:hAnsi="宋体" w:eastAsia="宋体"/>
      <w:bCs/>
      <w:snapToGrid/>
      <w:kern w:val="2"/>
      <w:sz w:val="24"/>
      <w:szCs w:val="28"/>
    </w:rPr>
  </w:style>
  <w:style w:type="paragraph" w:customStyle="1" w:styleId="994">
    <w:name w:val="xl1244"/>
    <w:basedOn w:val="1"/>
    <w:semiHidden/>
    <w:qFormat/>
    <w:uiPriority w:val="0"/>
    <w:pPr>
      <w:widowControl/>
      <w:pBdr>
        <w:top w:val="single" w:color="auto" w:sz="4" w:space="0"/>
        <w:left w:val="single" w:color="auto" w:sz="4" w:space="0"/>
        <w:bottom w:val="single" w:color="auto" w:sz="4" w:space="0"/>
      </w:pBdr>
      <w:spacing w:before="100" w:after="100" w:line="360" w:lineRule="auto"/>
      <w:jc w:val="left"/>
      <w:textAlignment w:val="center"/>
    </w:pPr>
    <w:rPr>
      <w:rFonts w:hint="eastAsia" w:ascii="宋体" w:hAnsi="宋体"/>
      <w:b/>
      <w:kern w:val="0"/>
      <w:sz w:val="20"/>
      <w:szCs w:val="20"/>
    </w:rPr>
  </w:style>
  <w:style w:type="paragraph" w:customStyle="1" w:styleId="995">
    <w:name w:val="++标题3"/>
    <w:basedOn w:val="5"/>
    <w:semiHidden/>
    <w:qFormat/>
    <w:uiPriority w:val="0"/>
    <w:pPr>
      <w:keepLines w:val="0"/>
      <w:tabs>
        <w:tab w:val="clear" w:pos="425"/>
      </w:tabs>
      <w:spacing w:before="0" w:after="0" w:line="360" w:lineRule="auto"/>
      <w:ind w:left="0" w:firstLine="0"/>
      <w:outlineLvl w:val="3"/>
    </w:pPr>
    <w:rPr>
      <w:rFonts w:ascii="宋体" w:hAnsi="宋体" w:eastAsia="宋体"/>
      <w:bCs/>
      <w:snapToGrid/>
      <w:kern w:val="2"/>
      <w:sz w:val="24"/>
    </w:rPr>
  </w:style>
  <w:style w:type="paragraph" w:customStyle="1" w:styleId="996">
    <w:name w:val="+b1、"/>
    <w:basedOn w:val="881"/>
    <w:semiHidden/>
    <w:qFormat/>
    <w:uiPriority w:val="0"/>
    <w:rPr>
      <w:b/>
    </w:rPr>
  </w:style>
  <w:style w:type="paragraph" w:customStyle="1" w:styleId="997">
    <w:name w:val="+A、"/>
    <w:basedOn w:val="817"/>
    <w:semiHidden/>
    <w:qFormat/>
    <w:uiPriority w:val="0"/>
    <w:pPr>
      <w:tabs>
        <w:tab w:val="left" w:pos="840"/>
        <w:tab w:val="left" w:pos="958"/>
      </w:tabs>
      <w:ind w:left="840" w:hanging="420" w:firstLineChars="0"/>
    </w:pPr>
    <w:rPr>
      <w:b/>
    </w:rPr>
  </w:style>
  <w:style w:type="paragraph" w:customStyle="1" w:styleId="998">
    <w:name w:val="++AAA"/>
    <w:basedOn w:val="817"/>
    <w:semiHidden/>
    <w:qFormat/>
    <w:uiPriority w:val="0"/>
    <w:pPr>
      <w:tabs>
        <w:tab w:val="left" w:pos="840"/>
        <w:tab w:val="left" w:pos="964"/>
      </w:tabs>
      <w:ind w:left="840" w:hanging="420" w:firstLineChars="0"/>
    </w:pPr>
    <w:rPr>
      <w:b/>
    </w:rPr>
  </w:style>
  <w:style w:type="paragraph" w:customStyle="1" w:styleId="999">
    <w:name w:val="flName"/>
    <w:basedOn w:val="1"/>
    <w:qFormat/>
    <w:uiPriority w:val="0"/>
    <w:pPr>
      <w:adjustRightInd w:val="0"/>
      <w:spacing w:before="320" w:after="160" w:line="360" w:lineRule="atLeast"/>
      <w:ind w:firstLine="200" w:firstLineChars="200"/>
      <w:jc w:val="center"/>
    </w:pPr>
    <w:rPr>
      <w:rFonts w:ascii="Arial" w:eastAsia="黑体"/>
      <w:kern w:val="0"/>
      <w:sz w:val="32"/>
    </w:rPr>
  </w:style>
  <w:style w:type="paragraph" w:customStyle="1" w:styleId="1000">
    <w:name w:val="－正文 Char"/>
    <w:basedOn w:val="1"/>
    <w:semiHidden/>
    <w:qFormat/>
    <w:uiPriority w:val="0"/>
    <w:pPr>
      <w:spacing w:line="360" w:lineRule="auto"/>
      <w:ind w:firstLine="200" w:firstLineChars="200"/>
    </w:pPr>
    <w:rPr>
      <w:rFonts w:ascii="楷体_GB2312"/>
      <w:sz w:val="28"/>
      <w:szCs w:val="28"/>
    </w:rPr>
  </w:style>
  <w:style w:type="paragraph" w:customStyle="1" w:styleId="1001">
    <w:name w:val="Tabelle Standard"/>
    <w:semiHidden/>
    <w:qFormat/>
    <w:uiPriority w:val="0"/>
    <w:pPr>
      <w:tabs>
        <w:tab w:val="left" w:pos="4536"/>
      </w:tabs>
      <w:spacing w:before="120"/>
      <w:ind w:left="567"/>
    </w:pPr>
    <w:rPr>
      <w:rFonts w:ascii="Arial" w:hAnsi="Arial" w:eastAsia="宋体" w:cs="Times New Roman"/>
      <w:sz w:val="22"/>
      <w:lang w:val="de-DE" w:eastAsia="zh-CN" w:bidi="ar-SA"/>
    </w:rPr>
  </w:style>
  <w:style w:type="paragraph" w:customStyle="1" w:styleId="1002">
    <w:name w:val="首缩"/>
    <w:basedOn w:val="1"/>
    <w:semiHidden/>
    <w:qFormat/>
    <w:uiPriority w:val="0"/>
    <w:pPr>
      <w:adjustRightInd w:val="0"/>
      <w:spacing w:line="312" w:lineRule="atLeast"/>
      <w:ind w:firstLine="454"/>
    </w:pPr>
    <w:rPr>
      <w:kern w:val="0"/>
      <w:sz w:val="18"/>
      <w:szCs w:val="20"/>
    </w:rPr>
  </w:style>
  <w:style w:type="paragraph" w:customStyle="1" w:styleId="1003">
    <w:name w:val="小节"/>
    <w:basedOn w:val="5"/>
    <w:semiHidden/>
    <w:qFormat/>
    <w:uiPriority w:val="0"/>
    <w:pPr>
      <w:tabs>
        <w:tab w:val="clear" w:pos="425"/>
      </w:tabs>
      <w:spacing w:before="200" w:after="200" w:line="560" w:lineRule="exact"/>
      <w:ind w:left="0" w:firstLine="0"/>
      <w:jc w:val="left"/>
    </w:pPr>
    <w:rPr>
      <w:rFonts w:ascii="Arial" w:hAnsi="Arial" w:eastAsia="宋体"/>
      <w:b w:val="0"/>
      <w:snapToGrid/>
      <w:spacing w:val="14"/>
      <w:kern w:val="24"/>
    </w:rPr>
  </w:style>
  <w:style w:type="paragraph" w:customStyle="1" w:styleId="1004">
    <w:name w:val="-1章"/>
    <w:basedOn w:val="2"/>
    <w:semiHidden/>
    <w:qFormat/>
    <w:uiPriority w:val="0"/>
    <w:pPr>
      <w:keepNext/>
      <w:keepLines/>
      <w:pageBreakBefore/>
      <w:widowControl/>
      <w:numPr>
        <w:ilvl w:val="0"/>
        <w:numId w:val="0"/>
      </w:numPr>
      <w:overflowPunct w:val="0"/>
      <w:spacing w:before="120" w:after="240" w:line="480" w:lineRule="auto"/>
      <w:ind w:left="120" w:leftChars="50" w:right="-167" w:firstLine="200" w:firstLineChars="200"/>
      <w:jc w:val="center"/>
      <w:textAlignment w:val="baseline"/>
    </w:pPr>
    <w:rPr>
      <w:rFonts w:ascii="宋体" w:hAnsi="宋体" w:eastAsia="宋体"/>
      <w:b/>
      <w:kern w:val="44"/>
      <w:sz w:val="28"/>
      <w:szCs w:val="24"/>
    </w:rPr>
  </w:style>
  <w:style w:type="paragraph" w:customStyle="1" w:styleId="1005">
    <w:name w:val="标题３"/>
    <w:basedOn w:val="5"/>
    <w:semiHidden/>
    <w:qFormat/>
    <w:uiPriority w:val="0"/>
    <w:pPr>
      <w:keepNext w:val="0"/>
      <w:keepLines w:val="0"/>
      <w:tabs>
        <w:tab w:val="left" w:pos="1054"/>
        <w:tab w:val="clear" w:pos="425"/>
      </w:tabs>
      <w:autoSpaceDE w:val="0"/>
      <w:autoSpaceDN w:val="0"/>
      <w:adjustRightInd w:val="0"/>
      <w:snapToGrid w:val="0"/>
      <w:spacing w:beforeLines="10" w:afterLines="10"/>
      <w:ind w:left="0" w:firstLine="0"/>
      <w:outlineLvl w:val="9"/>
    </w:pPr>
    <w:rPr>
      <w:rFonts w:ascii="宋体" w:hAnsi="宋体" w:eastAsia="宋体"/>
      <w:b w:val="0"/>
      <w:snapToGrid/>
      <w:kern w:val="2"/>
      <w:sz w:val="24"/>
    </w:rPr>
  </w:style>
  <w:style w:type="paragraph" w:customStyle="1" w:styleId="1006">
    <w:name w:val="xl1266"/>
    <w:basedOn w:val="1"/>
    <w:semiHidden/>
    <w:qFormat/>
    <w:uiPriority w:val="0"/>
    <w:pPr>
      <w:widowControl/>
      <w:pBdr>
        <w:top w:val="single" w:color="auto" w:sz="4" w:space="0"/>
        <w:bottom w:val="single" w:color="auto" w:sz="4" w:space="0"/>
      </w:pBdr>
      <w:spacing w:before="100" w:after="100" w:line="360" w:lineRule="auto"/>
      <w:jc w:val="left"/>
      <w:textAlignment w:val="center"/>
    </w:pPr>
    <w:rPr>
      <w:rFonts w:ascii="Arial Unicode MS" w:hAnsi="Arial Unicode MS" w:eastAsia="Arial Unicode MS"/>
      <w:kern w:val="0"/>
      <w:sz w:val="20"/>
      <w:szCs w:val="20"/>
    </w:rPr>
  </w:style>
  <w:style w:type="paragraph" w:customStyle="1" w:styleId="1007">
    <w:name w:val="标书标题3"/>
    <w:basedOn w:val="5"/>
    <w:semiHidden/>
    <w:qFormat/>
    <w:uiPriority w:val="0"/>
    <w:pPr>
      <w:keepLines w:val="0"/>
      <w:widowControl/>
      <w:tabs>
        <w:tab w:val="left" w:pos="709"/>
        <w:tab w:val="clear" w:pos="425"/>
      </w:tabs>
      <w:adjustRightInd w:val="0"/>
      <w:snapToGrid w:val="0"/>
      <w:spacing w:after="60" w:line="300" w:lineRule="auto"/>
      <w:ind w:left="709" w:hanging="709"/>
      <w:jc w:val="left"/>
    </w:pPr>
    <w:rPr>
      <w:rFonts w:ascii="Arial Narrow" w:hAnsi="Arial Narrow" w:eastAsia="仿宋_GB2312"/>
      <w:snapToGrid/>
      <w:kern w:val="2"/>
    </w:rPr>
  </w:style>
  <w:style w:type="paragraph" w:customStyle="1" w:styleId="1008">
    <w:name w:val="样式 标题 1 + (西文) Arial (中文) 黑体 四号 非加粗 居中 段前: 20 磅 段后: 0 磅 行..."/>
    <w:basedOn w:val="2"/>
    <w:semiHidden/>
    <w:qFormat/>
    <w:uiPriority w:val="0"/>
    <w:pPr>
      <w:keepNext/>
      <w:keepLines/>
      <w:numPr>
        <w:numId w:val="0"/>
      </w:numPr>
      <w:autoSpaceDE/>
      <w:autoSpaceDN/>
      <w:adjustRightInd/>
      <w:spacing w:before="400" w:line="320" w:lineRule="exact"/>
      <w:ind w:left="420" w:leftChars="50"/>
      <w:jc w:val="center"/>
    </w:pPr>
    <w:rPr>
      <w:rFonts w:ascii="Arial" w:hAnsi="Arial"/>
      <w:b/>
      <w:kern w:val="44"/>
      <w:sz w:val="28"/>
      <w:szCs w:val="30"/>
    </w:rPr>
  </w:style>
  <w:style w:type="paragraph" w:customStyle="1" w:styleId="1009">
    <w:name w:val="样式 样式 标题 3h3标题 3(节)H3l3CTsect1.2.3Heading 3 - old一level_3... + 段..."/>
    <w:basedOn w:val="1"/>
    <w:semiHidden/>
    <w:qFormat/>
    <w:uiPriority w:val="0"/>
    <w:pPr>
      <w:keepNext/>
      <w:keepLines/>
      <w:spacing w:beforeLines="50" w:after="240" w:line="440" w:lineRule="exact"/>
      <w:jc w:val="left"/>
      <w:outlineLvl w:val="2"/>
    </w:pPr>
    <w:rPr>
      <w:rFonts w:ascii="宋体" w:hAnsi="Arial"/>
      <w:b/>
      <w:color w:val="000000"/>
    </w:rPr>
  </w:style>
  <w:style w:type="paragraph" w:customStyle="1" w:styleId="1010">
    <w:name w:val="+▲"/>
    <w:basedOn w:val="738"/>
    <w:semiHidden/>
    <w:qFormat/>
    <w:uiPriority w:val="0"/>
    <w:pPr>
      <w:tabs>
        <w:tab w:val="left" w:pos="900"/>
      </w:tabs>
      <w:ind w:left="900" w:hanging="420" w:firstLineChars="0"/>
    </w:pPr>
  </w:style>
  <w:style w:type="paragraph" w:customStyle="1" w:styleId="1011">
    <w:name w:val="Footer First"/>
    <w:basedOn w:val="47"/>
    <w:semiHidden/>
    <w:qFormat/>
    <w:uiPriority w:val="0"/>
    <w:pPr>
      <w:keepLines/>
      <w:widowControl/>
      <w:pBdr>
        <w:top w:val="single" w:color="auto" w:sz="4" w:space="1"/>
        <w:bottom w:val="single" w:color="auto" w:sz="6" w:space="1"/>
      </w:pBdr>
      <w:tabs>
        <w:tab w:val="center" w:pos="4320"/>
        <w:tab w:val="right" w:pos="8640"/>
        <w:tab w:val="clear" w:pos="4153"/>
        <w:tab w:val="clear" w:pos="8306"/>
      </w:tabs>
      <w:snapToGrid/>
      <w:spacing w:before="600" w:line="360" w:lineRule="auto"/>
      <w:ind w:firstLine="567"/>
      <w:jc w:val="center"/>
    </w:pPr>
    <w:rPr>
      <w:rFonts w:ascii="Arial" w:hAnsi="Arial"/>
      <w:b/>
      <w:spacing w:val="-4"/>
      <w:kern w:val="0"/>
      <w:sz w:val="20"/>
      <w:lang w:eastAsia="en-US"/>
    </w:rPr>
  </w:style>
  <w:style w:type="paragraph" w:customStyle="1" w:styleId="1012">
    <w:name w:val="+一、"/>
    <w:basedOn w:val="738"/>
    <w:semiHidden/>
    <w:qFormat/>
    <w:uiPriority w:val="0"/>
    <w:pPr>
      <w:tabs>
        <w:tab w:val="left" w:pos="425"/>
        <w:tab w:val="left" w:pos="540"/>
      </w:tabs>
      <w:spacing w:before="120" w:after="120" w:line="240" w:lineRule="auto"/>
      <w:ind w:firstLine="0" w:firstLineChars="0"/>
      <w:outlineLvl w:val="5"/>
    </w:pPr>
    <w:rPr>
      <w:b/>
    </w:rPr>
  </w:style>
  <w:style w:type="paragraph" w:customStyle="1" w:styleId="1013">
    <w:name w:val="03"/>
    <w:basedOn w:val="1"/>
    <w:semiHidden/>
    <w:qFormat/>
    <w:uiPriority w:val="0"/>
    <w:pPr>
      <w:spacing w:line="500" w:lineRule="exact"/>
      <w:ind w:firstLine="567"/>
    </w:pPr>
    <w:rPr>
      <w:spacing w:val="20"/>
      <w:sz w:val="28"/>
      <w:szCs w:val="20"/>
    </w:rPr>
  </w:style>
  <w:style w:type="paragraph" w:customStyle="1" w:styleId="1014">
    <w:name w:val="Char31"/>
    <w:basedOn w:val="1"/>
    <w:semiHidden/>
    <w:qFormat/>
    <w:uiPriority w:val="0"/>
    <w:pPr>
      <w:snapToGrid w:val="0"/>
      <w:jc w:val="center"/>
    </w:pPr>
    <w:rPr>
      <w:rFonts w:eastAsia="新宋体"/>
      <w:sz w:val="21"/>
      <w:szCs w:val="20"/>
    </w:rPr>
  </w:style>
  <w:style w:type="paragraph" w:customStyle="1" w:styleId="1015">
    <w:name w:val="样式 标题 2标题 2 CharH2 Charheading 2+ Indent: Left 0.25 in Charh..."/>
    <w:basedOn w:val="3"/>
    <w:semiHidden/>
    <w:qFormat/>
    <w:uiPriority w:val="0"/>
    <w:pPr>
      <w:numPr>
        <w:ilvl w:val="0"/>
        <w:numId w:val="0"/>
      </w:numPr>
    </w:pPr>
    <w:rPr>
      <w:rFonts w:ascii="Arial" w:hAnsi="Arial" w:eastAsia="宋体" w:cs="黑体"/>
      <w:b w:val="0"/>
      <w:snapToGrid/>
      <w:spacing w:val="14"/>
      <w:kern w:val="24"/>
      <w:szCs w:val="28"/>
    </w:rPr>
  </w:style>
  <w:style w:type="paragraph" w:customStyle="1" w:styleId="1016">
    <w:name w:val="xl1217"/>
    <w:basedOn w:val="1"/>
    <w:semiHidden/>
    <w:qFormat/>
    <w:uiPriority w:val="0"/>
    <w:pPr>
      <w:widowControl/>
      <w:spacing w:before="100" w:after="100" w:line="360" w:lineRule="auto"/>
      <w:jc w:val="left"/>
      <w:textAlignment w:val="center"/>
    </w:pPr>
    <w:rPr>
      <w:rFonts w:ascii="Arial Unicode MS" w:hAnsi="Arial Unicode MS" w:eastAsia="Arial Unicode MS"/>
      <w:kern w:val="0"/>
      <w:szCs w:val="20"/>
    </w:rPr>
  </w:style>
  <w:style w:type="paragraph" w:customStyle="1" w:styleId="1017">
    <w:name w:val="样式 样式 样式 标题 4 + 段前: 0.5 行 段后: 0.5 行 + 段前: 0.5 行 段后: 0.5 行 + 段前: ..."/>
    <w:basedOn w:val="1"/>
    <w:semiHidden/>
    <w:qFormat/>
    <w:uiPriority w:val="0"/>
    <w:pPr>
      <w:widowControl/>
      <w:tabs>
        <w:tab w:val="left" w:pos="1050"/>
        <w:tab w:val="left" w:pos="1620"/>
      </w:tabs>
      <w:spacing w:before="156" w:after="156" w:line="360" w:lineRule="auto"/>
      <w:ind w:left="1620" w:hanging="360"/>
      <w:outlineLvl w:val="3"/>
    </w:pPr>
    <w:rPr>
      <w:rFonts w:eastAsia="黑体"/>
      <w:b/>
      <w:sz w:val="28"/>
      <w:szCs w:val="20"/>
    </w:rPr>
  </w:style>
  <w:style w:type="paragraph" w:customStyle="1" w:styleId="1018">
    <w:name w:val="xl1223"/>
    <w:basedOn w:val="1"/>
    <w:semiHidden/>
    <w:qFormat/>
    <w:uiPriority w:val="0"/>
    <w:pPr>
      <w:widowControl/>
      <w:pBdr>
        <w:top w:val="single" w:color="auto" w:sz="4" w:space="0"/>
        <w:left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1019">
    <w:name w:val="xl1226"/>
    <w:basedOn w:val="1"/>
    <w:semiHidden/>
    <w:qFormat/>
    <w:uiPriority w:val="0"/>
    <w:pPr>
      <w:widowControl/>
      <w:pBdr>
        <w:top w:val="single" w:color="auto" w:sz="4" w:space="0"/>
        <w:left w:val="single" w:color="auto" w:sz="4" w:space="0"/>
        <w:bottom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1020">
    <w:name w:val="xl132"/>
    <w:basedOn w:val="1"/>
    <w:semiHidden/>
    <w:qFormat/>
    <w:uiPriority w:val="0"/>
    <w:pPr>
      <w:widowControl/>
      <w:pBdr>
        <w:top w:val="single" w:color="auto" w:sz="8" w:space="0"/>
        <w:left w:val="single" w:color="auto" w:sz="8" w:space="0"/>
        <w:right w:val="single" w:color="auto" w:sz="8" w:space="0"/>
      </w:pBdr>
      <w:spacing w:before="100" w:after="100" w:line="360" w:lineRule="auto"/>
      <w:jc w:val="center"/>
      <w:textAlignment w:val="center"/>
    </w:pPr>
    <w:rPr>
      <w:rFonts w:ascii="宋体" w:hAnsi="宋体"/>
      <w:kern w:val="0"/>
      <w:sz w:val="20"/>
      <w:szCs w:val="20"/>
    </w:rPr>
  </w:style>
  <w:style w:type="paragraph" w:customStyle="1" w:styleId="1021">
    <w:name w:val="xl1267"/>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kern w:val="0"/>
      <w:sz w:val="20"/>
      <w:szCs w:val="20"/>
    </w:rPr>
  </w:style>
  <w:style w:type="paragraph" w:customStyle="1" w:styleId="1022">
    <w:name w:val="xl1227"/>
    <w:basedOn w:val="1"/>
    <w:semiHidden/>
    <w:qFormat/>
    <w:uiPriority w:val="0"/>
    <w:pPr>
      <w:widowControl/>
      <w:pBdr>
        <w:top w:val="single" w:color="auto" w:sz="4" w:space="0"/>
        <w:bottom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1023">
    <w:name w:val="xl1229"/>
    <w:basedOn w:val="1"/>
    <w:semiHidden/>
    <w:qFormat/>
    <w:uiPriority w:val="0"/>
    <w:pPr>
      <w:widowControl/>
      <w:pBdr>
        <w:top w:val="single" w:color="auto" w:sz="4" w:space="0"/>
        <w:bottom w:val="single" w:color="auto" w:sz="4" w:space="0"/>
        <w:right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1024">
    <w:name w:val="xl1259"/>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kern w:val="0"/>
      <w:sz w:val="20"/>
      <w:szCs w:val="20"/>
    </w:rPr>
  </w:style>
  <w:style w:type="paragraph" w:customStyle="1" w:styleId="1025">
    <w:name w:val="xl1242"/>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right"/>
      <w:textAlignment w:val="center"/>
    </w:pPr>
    <w:rPr>
      <w:rFonts w:hint="eastAsia" w:ascii="宋体" w:hAnsi="宋体"/>
      <w:b/>
      <w:kern w:val="0"/>
      <w:szCs w:val="20"/>
    </w:rPr>
  </w:style>
  <w:style w:type="paragraph" w:customStyle="1" w:styleId="1026">
    <w:name w:val="xl1236"/>
    <w:basedOn w:val="1"/>
    <w:semiHidden/>
    <w:qFormat/>
    <w:uiPriority w:val="0"/>
    <w:pPr>
      <w:widowControl/>
      <w:pBdr>
        <w:left w:val="single" w:color="auto" w:sz="4" w:space="0"/>
        <w:bottom w:val="single" w:color="auto" w:sz="4" w:space="0"/>
        <w:right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1027">
    <w:name w:val="xl142"/>
    <w:basedOn w:val="1"/>
    <w:semiHidden/>
    <w:qFormat/>
    <w:uiPriority w:val="0"/>
    <w:pPr>
      <w:widowControl/>
      <w:pBdr>
        <w:top w:val="single" w:color="auto" w:sz="8" w:space="0"/>
        <w:left w:val="single" w:color="auto" w:sz="8" w:space="0"/>
        <w:bottom w:val="single" w:color="auto" w:sz="4" w:space="0"/>
        <w:right w:val="single" w:color="auto" w:sz="4" w:space="0"/>
      </w:pBdr>
      <w:spacing w:before="100" w:after="100" w:line="360" w:lineRule="auto"/>
      <w:jc w:val="center"/>
    </w:pPr>
    <w:rPr>
      <w:rFonts w:ascii="宋体" w:hAnsi="宋体"/>
      <w:kern w:val="0"/>
      <w:sz w:val="20"/>
      <w:szCs w:val="20"/>
    </w:rPr>
  </w:style>
  <w:style w:type="paragraph" w:customStyle="1" w:styleId="1028">
    <w:name w:val="xl1265"/>
    <w:basedOn w:val="1"/>
    <w:semiHidden/>
    <w:qFormat/>
    <w:uiPriority w:val="0"/>
    <w:pPr>
      <w:widowControl/>
      <w:pBdr>
        <w:top w:val="single" w:color="auto" w:sz="4" w:space="0"/>
        <w:left w:val="single" w:color="auto" w:sz="4" w:space="0"/>
        <w:bottom w:val="single" w:color="auto" w:sz="4" w:space="0"/>
      </w:pBdr>
      <w:spacing w:before="100" w:after="100" w:line="360" w:lineRule="auto"/>
      <w:jc w:val="left"/>
      <w:textAlignment w:val="center"/>
    </w:pPr>
    <w:rPr>
      <w:rFonts w:ascii="Arial Unicode MS" w:hAnsi="Arial Unicode MS" w:eastAsia="Arial Unicode MS"/>
      <w:kern w:val="0"/>
      <w:sz w:val="20"/>
      <w:szCs w:val="20"/>
    </w:rPr>
  </w:style>
  <w:style w:type="paragraph" w:customStyle="1" w:styleId="1029">
    <w:name w:val="xl1233"/>
    <w:basedOn w:val="1"/>
    <w:semiHidden/>
    <w:qFormat/>
    <w:uiPriority w:val="0"/>
    <w:pPr>
      <w:widowControl/>
      <w:pBdr>
        <w:right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1030">
    <w:name w:val="xl137"/>
    <w:basedOn w:val="1"/>
    <w:semiHidden/>
    <w:qFormat/>
    <w:uiPriority w:val="0"/>
    <w:pPr>
      <w:widowControl/>
      <w:pBdr>
        <w:top w:val="single" w:color="auto" w:sz="8" w:space="0"/>
        <w:left w:val="single" w:color="auto" w:sz="8" w:space="0"/>
        <w:right w:val="single" w:color="auto" w:sz="8" w:space="0"/>
      </w:pBdr>
      <w:spacing w:before="100" w:after="100" w:line="360" w:lineRule="auto"/>
      <w:jc w:val="left"/>
      <w:textAlignment w:val="center"/>
    </w:pPr>
    <w:rPr>
      <w:rFonts w:ascii="宋体" w:hAnsi="宋体"/>
      <w:kern w:val="0"/>
      <w:sz w:val="20"/>
      <w:szCs w:val="20"/>
    </w:rPr>
  </w:style>
  <w:style w:type="paragraph" w:customStyle="1" w:styleId="1031">
    <w:name w:val="xl1234"/>
    <w:basedOn w:val="1"/>
    <w:semiHidden/>
    <w:qFormat/>
    <w:uiPriority w:val="0"/>
    <w:pPr>
      <w:widowControl/>
      <w:pBdr>
        <w:top w:val="single" w:color="auto" w:sz="4" w:space="0"/>
        <w:left w:val="single" w:color="auto" w:sz="4" w:space="0"/>
        <w:right w:val="single" w:color="auto" w:sz="4" w:space="0"/>
      </w:pBdr>
      <w:spacing w:before="100" w:after="100" w:line="360" w:lineRule="auto"/>
      <w:jc w:val="center"/>
      <w:textAlignment w:val="center"/>
    </w:pPr>
    <w:rPr>
      <w:rFonts w:hint="eastAsia" w:ascii="宋体" w:hAnsi="宋体"/>
      <w:kern w:val="0"/>
      <w:sz w:val="20"/>
      <w:szCs w:val="20"/>
    </w:rPr>
  </w:style>
  <w:style w:type="paragraph" w:customStyle="1" w:styleId="1032">
    <w:name w:val="xl128"/>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right"/>
    </w:pPr>
    <w:rPr>
      <w:kern w:val="0"/>
      <w:szCs w:val="20"/>
    </w:rPr>
  </w:style>
  <w:style w:type="paragraph" w:customStyle="1" w:styleId="1033">
    <w:name w:val="xl1262"/>
    <w:basedOn w:val="1"/>
    <w:semiHidden/>
    <w:qFormat/>
    <w:uiPriority w:val="0"/>
    <w:pPr>
      <w:widowControl/>
      <w:pBdr>
        <w:top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kern w:val="0"/>
      <w:sz w:val="20"/>
      <w:szCs w:val="20"/>
    </w:rPr>
  </w:style>
  <w:style w:type="paragraph" w:customStyle="1" w:styleId="1034">
    <w:name w:val="xl1238"/>
    <w:basedOn w:val="1"/>
    <w:semiHidden/>
    <w:qFormat/>
    <w:uiPriority w:val="0"/>
    <w:pPr>
      <w:widowControl/>
      <w:pBdr>
        <w:bottom w:val="single" w:color="auto" w:sz="4" w:space="0"/>
      </w:pBdr>
      <w:spacing w:before="100" w:after="100" w:line="360" w:lineRule="auto"/>
      <w:jc w:val="center"/>
      <w:textAlignment w:val="center"/>
    </w:pPr>
    <w:rPr>
      <w:rFonts w:ascii="Arial Unicode MS" w:hAnsi="Arial Unicode MS" w:eastAsia="Arial Unicode MS"/>
      <w:kern w:val="0"/>
      <w:sz w:val="20"/>
      <w:szCs w:val="20"/>
    </w:rPr>
  </w:style>
  <w:style w:type="paragraph" w:customStyle="1" w:styleId="1035">
    <w:name w:val="xl1243"/>
    <w:basedOn w:val="1"/>
    <w:semiHidden/>
    <w:qFormat/>
    <w:uiPriority w:val="0"/>
    <w:pPr>
      <w:widowControl/>
      <w:pBdr>
        <w:top w:val="single" w:color="auto" w:sz="4" w:space="0"/>
        <w:left w:val="single" w:color="auto" w:sz="4" w:space="0"/>
        <w:bottom w:val="single" w:color="auto" w:sz="4" w:space="0"/>
      </w:pBdr>
      <w:spacing w:before="100" w:after="100" w:line="360" w:lineRule="auto"/>
      <w:jc w:val="left"/>
      <w:textAlignment w:val="center"/>
    </w:pPr>
    <w:rPr>
      <w:rFonts w:hint="eastAsia" w:ascii="宋体" w:hAnsi="宋体"/>
      <w:b/>
      <w:kern w:val="0"/>
      <w:sz w:val="20"/>
      <w:szCs w:val="20"/>
    </w:rPr>
  </w:style>
  <w:style w:type="paragraph" w:customStyle="1" w:styleId="1036">
    <w:name w:val="sma."/>
    <w:basedOn w:val="1"/>
    <w:qFormat/>
    <w:uiPriority w:val="0"/>
    <w:pPr>
      <w:widowControl/>
      <w:tabs>
        <w:tab w:val="left" w:pos="1588"/>
      </w:tabs>
      <w:spacing w:before="240" w:line="0" w:lineRule="atLeast"/>
      <w:ind w:left="1588" w:hanging="454"/>
    </w:pPr>
    <w:rPr>
      <w:szCs w:val="20"/>
    </w:rPr>
  </w:style>
  <w:style w:type="paragraph" w:customStyle="1" w:styleId="1037">
    <w:name w:val="SPECText[4]"/>
    <w:basedOn w:val="1"/>
    <w:semiHidden/>
    <w:qFormat/>
    <w:uiPriority w:val="0"/>
    <w:pPr>
      <w:widowControl/>
      <w:tabs>
        <w:tab w:val="left" w:pos="2160"/>
      </w:tabs>
      <w:ind w:left="2160" w:hanging="420"/>
      <w:jc w:val="left"/>
      <w:outlineLvl w:val="3"/>
    </w:pPr>
    <w:rPr>
      <w:snapToGrid w:val="0"/>
      <w:kern w:val="0"/>
      <w:sz w:val="22"/>
      <w:szCs w:val="20"/>
      <w:lang w:eastAsia="en-US"/>
    </w:rPr>
  </w:style>
  <w:style w:type="paragraph" w:customStyle="1" w:styleId="1038">
    <w:name w:val="xl1247"/>
    <w:basedOn w:val="1"/>
    <w:semiHidden/>
    <w:qFormat/>
    <w:uiPriority w:val="0"/>
    <w:pPr>
      <w:widowControl/>
      <w:pBdr>
        <w:top w:val="single" w:color="auto" w:sz="4" w:space="0"/>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b/>
      <w:kern w:val="0"/>
      <w:sz w:val="20"/>
      <w:szCs w:val="20"/>
    </w:rPr>
  </w:style>
  <w:style w:type="paragraph" w:customStyle="1" w:styleId="1039">
    <w:name w:val="xl1245"/>
    <w:basedOn w:val="1"/>
    <w:semiHidden/>
    <w:qFormat/>
    <w:uiPriority w:val="0"/>
    <w:pPr>
      <w:widowControl/>
      <w:pBdr>
        <w:top w:val="single" w:color="auto" w:sz="4" w:space="0"/>
        <w:bottom w:val="single" w:color="auto" w:sz="4" w:space="0"/>
      </w:pBdr>
      <w:spacing w:before="100" w:after="100" w:line="360" w:lineRule="auto"/>
      <w:jc w:val="left"/>
      <w:textAlignment w:val="center"/>
    </w:pPr>
    <w:rPr>
      <w:rFonts w:ascii="Arial Unicode MS" w:hAnsi="Arial Unicode MS" w:eastAsia="Arial Unicode MS"/>
      <w:b/>
      <w:kern w:val="0"/>
      <w:sz w:val="20"/>
      <w:szCs w:val="20"/>
    </w:rPr>
  </w:style>
  <w:style w:type="paragraph" w:customStyle="1" w:styleId="1040">
    <w:name w:val="xl1249"/>
    <w:basedOn w:val="1"/>
    <w:semiHidden/>
    <w:qFormat/>
    <w:uiPriority w:val="0"/>
    <w:pPr>
      <w:widowControl/>
      <w:pBdr>
        <w:left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b/>
      <w:kern w:val="0"/>
      <w:szCs w:val="20"/>
    </w:rPr>
  </w:style>
  <w:style w:type="paragraph" w:customStyle="1" w:styleId="1041">
    <w:name w:val="xl1246"/>
    <w:basedOn w:val="1"/>
    <w:semiHidden/>
    <w:qFormat/>
    <w:uiPriority w:val="0"/>
    <w:pPr>
      <w:widowControl/>
      <w:pBdr>
        <w:top w:val="single" w:color="auto" w:sz="4" w:space="0"/>
        <w:bottom w:val="single" w:color="auto" w:sz="4" w:space="0"/>
        <w:right w:val="single" w:color="auto" w:sz="4" w:space="0"/>
      </w:pBdr>
      <w:spacing w:before="100" w:after="100" w:line="360" w:lineRule="auto"/>
      <w:jc w:val="left"/>
      <w:textAlignment w:val="center"/>
    </w:pPr>
    <w:rPr>
      <w:rFonts w:ascii="Arial Unicode MS" w:hAnsi="Arial Unicode MS" w:eastAsia="Arial Unicode MS"/>
      <w:b/>
      <w:kern w:val="0"/>
      <w:sz w:val="20"/>
      <w:szCs w:val="20"/>
    </w:rPr>
  </w:style>
  <w:style w:type="paragraph" w:customStyle="1" w:styleId="1042">
    <w:name w:val="xl1257"/>
    <w:basedOn w:val="1"/>
    <w:semiHidden/>
    <w:qFormat/>
    <w:uiPriority w:val="0"/>
    <w:pPr>
      <w:widowControl/>
      <w:pBdr>
        <w:top w:val="single" w:color="auto" w:sz="4" w:space="0"/>
        <w:bottom w:val="single" w:color="auto" w:sz="4" w:space="0"/>
      </w:pBdr>
      <w:spacing w:before="100" w:after="100" w:line="360" w:lineRule="auto"/>
      <w:jc w:val="right"/>
      <w:textAlignment w:val="center"/>
    </w:pPr>
    <w:rPr>
      <w:rFonts w:ascii="Arial Unicode MS" w:hAnsi="Arial Unicode MS" w:eastAsia="Arial Unicode MS"/>
      <w:kern w:val="0"/>
      <w:sz w:val="20"/>
      <w:szCs w:val="20"/>
    </w:rPr>
  </w:style>
  <w:style w:type="paragraph" w:customStyle="1" w:styleId="1043">
    <w:name w:val="样式 标题 1 + (西文) Arial (中文) 黑体 四号 非加粗 居中 段前: 20 磅 段后: 0 磅 行...2"/>
    <w:basedOn w:val="2"/>
    <w:semiHidden/>
    <w:qFormat/>
    <w:uiPriority w:val="0"/>
    <w:pPr>
      <w:keepNext/>
      <w:keepLines/>
      <w:numPr>
        <w:numId w:val="0"/>
      </w:numPr>
      <w:autoSpaceDE/>
      <w:autoSpaceDN/>
      <w:adjustRightInd/>
      <w:spacing w:before="400" w:line="320" w:lineRule="exact"/>
      <w:ind w:left="420" w:leftChars="50"/>
      <w:jc w:val="center"/>
    </w:pPr>
    <w:rPr>
      <w:rFonts w:ascii="Arial" w:hAnsi="Arial"/>
      <w:b/>
      <w:kern w:val="44"/>
      <w:sz w:val="28"/>
      <w:szCs w:val="30"/>
    </w:rPr>
  </w:style>
  <w:style w:type="paragraph" w:customStyle="1" w:styleId="1044">
    <w:name w:val="样式 首行缩进:  1.02 厘米"/>
    <w:basedOn w:val="1"/>
    <w:semiHidden/>
    <w:qFormat/>
    <w:uiPriority w:val="0"/>
    <w:pPr>
      <w:snapToGrid w:val="0"/>
      <w:spacing w:line="440" w:lineRule="exact"/>
      <w:ind w:firstLine="578"/>
    </w:pPr>
    <w:rPr>
      <w:rFonts w:cs="宋体"/>
      <w:spacing w:val="6"/>
    </w:rPr>
  </w:style>
  <w:style w:type="paragraph" w:customStyle="1" w:styleId="1045">
    <w:name w:val="xl129"/>
    <w:basedOn w:val="1"/>
    <w:semiHidden/>
    <w:qFormat/>
    <w:uiPriority w:val="0"/>
    <w:pPr>
      <w:widowControl/>
      <w:pBdr>
        <w:left w:val="single" w:color="auto" w:sz="8" w:space="0"/>
        <w:right w:val="single" w:color="auto" w:sz="4" w:space="0"/>
      </w:pBdr>
      <w:spacing w:before="100" w:after="100" w:line="360" w:lineRule="auto"/>
      <w:jc w:val="left"/>
      <w:textAlignment w:val="center"/>
    </w:pPr>
    <w:rPr>
      <w:rFonts w:ascii="宋体" w:hAnsi="宋体"/>
      <w:kern w:val="0"/>
      <w:sz w:val="20"/>
      <w:szCs w:val="20"/>
    </w:rPr>
  </w:style>
  <w:style w:type="paragraph" w:customStyle="1" w:styleId="1046">
    <w:name w:val="SPECText[7]"/>
    <w:basedOn w:val="1"/>
    <w:semiHidden/>
    <w:qFormat/>
    <w:uiPriority w:val="0"/>
    <w:pPr>
      <w:widowControl/>
      <w:tabs>
        <w:tab w:val="left" w:pos="3420"/>
      </w:tabs>
      <w:ind w:left="3420" w:hanging="420"/>
      <w:jc w:val="left"/>
      <w:outlineLvl w:val="6"/>
    </w:pPr>
    <w:rPr>
      <w:snapToGrid w:val="0"/>
      <w:kern w:val="0"/>
      <w:sz w:val="22"/>
      <w:szCs w:val="20"/>
      <w:lang w:eastAsia="en-US"/>
    </w:rPr>
  </w:style>
  <w:style w:type="paragraph" w:customStyle="1" w:styleId="1047">
    <w:name w:val="样式 标题 3头 + 非加宽量 / 紧缩量"/>
    <w:basedOn w:val="5"/>
    <w:semiHidden/>
    <w:qFormat/>
    <w:uiPriority w:val="0"/>
    <w:pPr>
      <w:tabs>
        <w:tab w:val="left" w:pos="360"/>
        <w:tab w:val="clear" w:pos="425"/>
      </w:tabs>
      <w:spacing w:before="20" w:after="0" w:line="360" w:lineRule="auto"/>
      <w:ind w:left="360" w:hanging="360" w:firstLineChars="87"/>
    </w:pPr>
    <w:rPr>
      <w:rFonts w:hAnsi="宋体"/>
      <w:snapToGrid/>
      <w:color w:val="000000"/>
      <w:kern w:val="2"/>
    </w:rPr>
  </w:style>
  <w:style w:type="paragraph" w:customStyle="1" w:styleId="1048">
    <w:name w:val="TabC"/>
    <w:basedOn w:val="1"/>
    <w:semiHidden/>
    <w:qFormat/>
    <w:uiPriority w:val="0"/>
    <w:pPr>
      <w:keepLines/>
      <w:widowControl/>
      <w:spacing w:before="120" w:after="120"/>
      <w:jc w:val="center"/>
    </w:pPr>
    <w:rPr>
      <w:kern w:val="0"/>
      <w:szCs w:val="20"/>
      <w:lang w:val="fr-FR"/>
    </w:rPr>
  </w:style>
  <w:style w:type="paragraph" w:customStyle="1" w:styleId="1049">
    <w:name w:val="标题1.1"/>
    <w:basedOn w:val="8"/>
    <w:semiHidden/>
    <w:qFormat/>
    <w:uiPriority w:val="0"/>
    <w:pPr>
      <w:numPr>
        <w:ilvl w:val="0"/>
        <w:numId w:val="0"/>
      </w:numPr>
      <w:tabs>
        <w:tab w:val="left" w:pos="720"/>
        <w:tab w:val="left" w:pos="1701"/>
      </w:tabs>
      <w:spacing w:before="240" w:after="64" w:line="320" w:lineRule="auto"/>
      <w:ind w:left="425" w:hanging="425"/>
    </w:pPr>
    <w:rPr>
      <w:rFonts w:ascii="Arial"/>
      <w:b/>
      <w:sz w:val="24"/>
    </w:rPr>
  </w:style>
  <w:style w:type="paragraph" w:customStyle="1" w:styleId="1050">
    <w:name w:val="小项目"/>
    <w:basedOn w:val="1"/>
    <w:semiHidden/>
    <w:qFormat/>
    <w:uiPriority w:val="0"/>
    <w:pPr>
      <w:widowControl/>
      <w:tabs>
        <w:tab w:val="left" w:pos="810"/>
      </w:tabs>
      <w:ind w:left="810" w:hanging="810"/>
      <w:jc w:val="left"/>
    </w:pPr>
    <w:rPr>
      <w:rFonts w:ascii="宋体" w:hAnsi="Arial" w:cs="Arial"/>
      <w:color w:val="000000"/>
      <w:kern w:val="0"/>
      <w:szCs w:val="20"/>
    </w:rPr>
  </w:style>
  <w:style w:type="paragraph" w:customStyle="1" w:styleId="1051">
    <w:name w:val="Fließtext"/>
    <w:basedOn w:val="1"/>
    <w:semiHidden/>
    <w:qFormat/>
    <w:uiPriority w:val="0"/>
    <w:pPr>
      <w:widowControl/>
      <w:shd w:val="clear" w:color="auto" w:fill="FFFFFF"/>
      <w:tabs>
        <w:tab w:val="left" w:pos="567"/>
        <w:tab w:val="left" w:pos="851"/>
        <w:tab w:val="left" w:pos="1134"/>
      </w:tabs>
      <w:spacing w:before="120" w:after="60" w:line="276" w:lineRule="auto"/>
      <w:ind w:left="567" w:right="284"/>
    </w:pPr>
    <w:rPr>
      <w:rFonts w:ascii="Arial" w:hAnsi="Arial" w:cs="Arial"/>
      <w:color w:val="000000"/>
      <w:kern w:val="0"/>
      <w:sz w:val="22"/>
      <w:szCs w:val="20"/>
      <w:lang w:val="en-GB" w:eastAsia="de-DE"/>
    </w:rPr>
  </w:style>
  <w:style w:type="paragraph" w:customStyle="1" w:styleId="1052">
    <w:name w:val="SPECText[2]"/>
    <w:basedOn w:val="1"/>
    <w:semiHidden/>
    <w:qFormat/>
    <w:uiPriority w:val="0"/>
    <w:pPr>
      <w:keepNext/>
      <w:widowControl/>
      <w:tabs>
        <w:tab w:val="left" w:pos="1320"/>
      </w:tabs>
      <w:spacing w:before="240"/>
      <w:ind w:left="1320" w:hanging="420"/>
      <w:jc w:val="left"/>
      <w:outlineLvl w:val="1"/>
    </w:pPr>
    <w:rPr>
      <w:snapToGrid w:val="0"/>
      <w:kern w:val="0"/>
      <w:sz w:val="22"/>
      <w:szCs w:val="20"/>
      <w:lang w:eastAsia="en-US"/>
    </w:rPr>
  </w:style>
  <w:style w:type="paragraph" w:customStyle="1" w:styleId="1053">
    <w:name w:val="样式 样式 标题 2 + 段前: 0.5 行 段后: 0.5 行 + 段前: 0.5 行 段后: 0.5 行"/>
    <w:basedOn w:val="1"/>
    <w:semiHidden/>
    <w:qFormat/>
    <w:uiPriority w:val="0"/>
    <w:pPr>
      <w:spacing w:line="480" w:lineRule="exact"/>
      <w:ind w:left="465"/>
    </w:pPr>
    <w:rPr>
      <w:rFonts w:ascii="宋体" w:hAnsi="宋体"/>
      <w:spacing w:val="6"/>
      <w:szCs w:val="20"/>
    </w:rPr>
  </w:style>
  <w:style w:type="paragraph" w:customStyle="1" w:styleId="1054">
    <w:name w:val="xl126"/>
    <w:basedOn w:val="1"/>
    <w:semiHidden/>
    <w:qFormat/>
    <w:uiPriority w:val="0"/>
    <w:pPr>
      <w:widowControl/>
      <w:pBdr>
        <w:top w:val="single" w:color="auto" w:sz="4" w:space="0"/>
        <w:left w:val="single" w:color="auto" w:sz="8" w:space="0"/>
        <w:bottom w:val="single" w:color="auto" w:sz="8" w:space="0"/>
        <w:right w:val="single" w:color="auto" w:sz="8" w:space="0"/>
      </w:pBdr>
      <w:spacing w:before="100" w:after="100" w:line="360" w:lineRule="auto"/>
      <w:jc w:val="left"/>
    </w:pPr>
    <w:rPr>
      <w:rFonts w:ascii="宋体" w:hAnsi="宋体"/>
      <w:kern w:val="0"/>
      <w:szCs w:val="20"/>
    </w:rPr>
  </w:style>
  <w:style w:type="paragraph" w:customStyle="1" w:styleId="1055">
    <w:name w:val="1.正文"/>
    <w:basedOn w:val="1"/>
    <w:semiHidden/>
    <w:qFormat/>
    <w:uiPriority w:val="0"/>
    <w:pPr>
      <w:widowControl/>
      <w:spacing w:line="240" w:lineRule="exact"/>
    </w:pPr>
    <w:rPr>
      <w:sz w:val="18"/>
      <w:szCs w:val="20"/>
    </w:rPr>
  </w:style>
  <w:style w:type="paragraph" w:customStyle="1" w:styleId="1056">
    <w:name w:val="正文1.2"/>
    <w:basedOn w:val="1"/>
    <w:semiHidden/>
    <w:qFormat/>
    <w:uiPriority w:val="0"/>
    <w:pPr>
      <w:spacing w:line="288" w:lineRule="auto"/>
      <w:jc w:val="left"/>
    </w:pPr>
    <w:rPr>
      <w:rFonts w:ascii="宋体"/>
      <w:kern w:val="0"/>
      <w:sz w:val="28"/>
      <w:szCs w:val="20"/>
      <w:lang w:eastAsia="en-US"/>
    </w:rPr>
  </w:style>
  <w:style w:type="paragraph" w:customStyle="1" w:styleId="1057">
    <w:name w:val="样式 标题 1章节标题H1Section Headh11st levell11H11H12H13H14H..."/>
    <w:basedOn w:val="2"/>
    <w:semiHidden/>
    <w:qFormat/>
    <w:uiPriority w:val="0"/>
    <w:pPr>
      <w:keepNext/>
      <w:keepLines/>
      <w:numPr>
        <w:numId w:val="0"/>
      </w:numPr>
      <w:autoSpaceDE/>
      <w:autoSpaceDN/>
      <w:adjustRightInd/>
      <w:spacing w:before="360" w:after="360" w:line="860" w:lineRule="exact"/>
      <w:ind w:left="420" w:leftChars="50"/>
      <w:jc w:val="center"/>
    </w:pPr>
    <w:rPr>
      <w:rFonts w:ascii="Times New Roman" w:hAnsi="宋体" w:eastAsia="宋体" w:cs="黑体"/>
      <w:b/>
      <w:bCs/>
      <w:spacing w:val="10"/>
      <w:kern w:val="36"/>
      <w:sz w:val="30"/>
      <w:szCs w:val="30"/>
    </w:rPr>
  </w:style>
  <w:style w:type="paragraph" w:customStyle="1" w:styleId="1058">
    <w:name w:val="表格5号"/>
    <w:basedOn w:val="1"/>
    <w:semiHidden/>
    <w:qFormat/>
    <w:uiPriority w:val="0"/>
    <w:pPr>
      <w:autoSpaceDE w:val="0"/>
      <w:autoSpaceDN w:val="0"/>
      <w:adjustRightInd w:val="0"/>
      <w:snapToGrid w:val="0"/>
      <w:jc w:val="center"/>
      <w:textAlignment w:val="baseline"/>
    </w:pPr>
    <w:rPr>
      <w:rFonts w:ascii="Arial Narrow" w:hAnsi="Arial Narrow" w:eastAsia="新宋体"/>
      <w:color w:val="000000"/>
      <w:kern w:val="0"/>
      <w:sz w:val="21"/>
      <w:szCs w:val="20"/>
    </w:rPr>
  </w:style>
  <w:style w:type="paragraph" w:customStyle="1" w:styleId="1059">
    <w:name w:val="test"/>
    <w:basedOn w:val="1"/>
    <w:semiHidden/>
    <w:qFormat/>
    <w:uiPriority w:val="0"/>
    <w:pPr>
      <w:widowControl/>
      <w:overflowPunct w:val="0"/>
      <w:autoSpaceDE w:val="0"/>
      <w:autoSpaceDN w:val="0"/>
      <w:adjustRightInd w:val="0"/>
      <w:snapToGrid w:val="0"/>
      <w:spacing w:before="60" w:after="60"/>
      <w:textAlignment w:val="baseline"/>
    </w:pPr>
    <w:rPr>
      <w:rFonts w:ascii="楷体_GB2312" w:eastAsia="楷体_GB2312"/>
      <w:spacing w:val="-30"/>
      <w:kern w:val="0"/>
      <w:sz w:val="22"/>
      <w:szCs w:val="20"/>
    </w:rPr>
  </w:style>
  <w:style w:type="paragraph" w:customStyle="1" w:styleId="1060">
    <w:name w:val="1.2标题"/>
    <w:basedOn w:val="1"/>
    <w:next w:val="1"/>
    <w:semiHidden/>
    <w:qFormat/>
    <w:uiPriority w:val="0"/>
    <w:pPr>
      <w:adjustRightInd w:val="0"/>
      <w:textAlignment w:val="baseline"/>
    </w:pPr>
    <w:rPr>
      <w:rFonts w:ascii="宋体"/>
      <w:b/>
      <w:kern w:val="0"/>
      <w:sz w:val="32"/>
      <w:szCs w:val="20"/>
    </w:rPr>
  </w:style>
  <w:style w:type="paragraph" w:customStyle="1" w:styleId="1061">
    <w:name w:val="表注"/>
    <w:next w:val="505"/>
    <w:semiHidden/>
    <w:qFormat/>
    <w:uiPriority w:val="0"/>
    <w:pPr>
      <w:widowControl w:val="0"/>
      <w:adjustRightInd w:val="0"/>
      <w:snapToGrid w:val="0"/>
      <w:ind w:left="150" w:leftChars="150" w:right="150" w:rightChars="150"/>
      <w:jc w:val="both"/>
    </w:pPr>
    <w:rPr>
      <w:rFonts w:ascii="Times New Roman" w:hAnsi="Times New Roman" w:eastAsia="宋体" w:cs="Times New Roman"/>
      <w:snapToGrid w:val="0"/>
      <w:kern w:val="10"/>
      <w:sz w:val="21"/>
      <w:szCs w:val="21"/>
      <w:lang w:val="en-US" w:eastAsia="zh-CN" w:bidi="ar-SA"/>
    </w:rPr>
  </w:style>
  <w:style w:type="paragraph" w:customStyle="1" w:styleId="1062">
    <w:name w:val="Char Char Char Char Char Char Char Char Char Char Char Char Char Char Char Char Char Char Char Char Char Char Char Char Char Char Char Char Char Char2 Char Char Char1 Char Char Char Char Char Char Char"/>
    <w:basedOn w:val="1"/>
    <w:semiHidden/>
    <w:qFormat/>
    <w:uiPriority w:val="0"/>
    <w:rPr>
      <w:sz w:val="21"/>
    </w:rPr>
  </w:style>
  <w:style w:type="paragraph" w:customStyle="1" w:styleId="1063">
    <w:name w:val="样式 纯文本 + 段前: 6 磅 段后: 6 磅"/>
    <w:basedOn w:val="39"/>
    <w:semiHidden/>
    <w:qFormat/>
    <w:uiPriority w:val="0"/>
    <w:pPr>
      <w:spacing w:before="120" w:after="120" w:line="360" w:lineRule="auto"/>
      <w:ind w:left="17"/>
      <w:jc w:val="center"/>
    </w:pPr>
    <w:rPr>
      <w:rFonts w:ascii="宋体" w:eastAsia="宋体" w:cs="宋体"/>
      <w:sz w:val="24"/>
    </w:rPr>
  </w:style>
  <w:style w:type="paragraph" w:customStyle="1" w:styleId="1064">
    <w:name w:val="MM"/>
    <w:basedOn w:val="1"/>
    <w:semiHidden/>
    <w:qFormat/>
    <w:uiPriority w:val="0"/>
    <w:pPr>
      <w:adjustRightInd w:val="0"/>
      <w:spacing w:before="60" w:after="60" w:line="360" w:lineRule="atLeast"/>
      <w:ind w:left="1560" w:hanging="426"/>
      <w:textAlignment w:val="baseline"/>
    </w:pPr>
    <w:rPr>
      <w:rFonts w:ascii="宋体"/>
      <w:spacing w:val="5"/>
      <w:kern w:val="0"/>
      <w:szCs w:val="20"/>
    </w:rPr>
  </w:style>
  <w:style w:type="paragraph" w:customStyle="1" w:styleId="1065">
    <w:name w:val="样式 小四 行距: 1.5 倍行距"/>
    <w:basedOn w:val="1"/>
    <w:semiHidden/>
    <w:qFormat/>
    <w:uiPriority w:val="0"/>
    <w:pPr>
      <w:spacing w:line="360" w:lineRule="auto"/>
      <w:ind w:right="178" w:rightChars="85" w:firstLine="480" w:firstLineChars="200"/>
      <w:outlineLvl w:val="4"/>
    </w:pPr>
    <w:rPr>
      <w:rFonts w:ascii="宋体" w:hAnsi="宋体"/>
      <w:shd w:val="clear" w:color="auto" w:fill="FFFFFF"/>
    </w:rPr>
  </w:style>
  <w:style w:type="character" w:customStyle="1" w:styleId="1066">
    <w:name w:val="正文文本 Char2"/>
    <w:qFormat/>
    <w:locked/>
    <w:uiPriority w:val="0"/>
    <w:rPr>
      <w:rFonts w:eastAsia="宋体"/>
      <w:kern w:val="2"/>
      <w:sz w:val="21"/>
      <w:szCs w:val="24"/>
      <w:lang w:val="en-US" w:eastAsia="zh-CN" w:bidi="ar-SA"/>
    </w:rPr>
  </w:style>
  <w:style w:type="character" w:customStyle="1" w:styleId="1067">
    <w:name w:val="正文文本 Char1"/>
    <w:qFormat/>
    <w:uiPriority w:val="0"/>
    <w:rPr>
      <w:rFonts w:hint="eastAsia" w:ascii="宋体" w:hAnsi="宋体" w:eastAsia="宋体"/>
      <w:sz w:val="28"/>
      <w:lang w:val="en-US" w:eastAsia="zh-CN" w:bidi="ar-SA"/>
    </w:rPr>
  </w:style>
  <w:style w:type="character" w:customStyle="1" w:styleId="1068">
    <w:name w:val="Char Char1"/>
    <w:qFormat/>
    <w:uiPriority w:val="0"/>
    <w:rPr>
      <w:rFonts w:hint="eastAsia" w:ascii="宋体" w:hAnsi="宋体" w:eastAsia="宋体"/>
      <w:kern w:val="2"/>
      <w:sz w:val="21"/>
      <w:szCs w:val="24"/>
      <w:lang w:val="en-US" w:eastAsia="zh-CN" w:bidi="ar-SA"/>
    </w:rPr>
  </w:style>
  <w:style w:type="character" w:customStyle="1" w:styleId="1069">
    <w:name w:val="正文文本 3 Char1"/>
    <w:qFormat/>
    <w:uiPriority w:val="0"/>
    <w:rPr>
      <w:kern w:val="2"/>
      <w:sz w:val="16"/>
      <w:szCs w:val="16"/>
    </w:rPr>
  </w:style>
  <w:style w:type="character" w:customStyle="1" w:styleId="1070">
    <w:name w:val="正文首行缩进 Char2"/>
    <w:basedOn w:val="1066"/>
    <w:semiHidden/>
    <w:qFormat/>
    <w:uiPriority w:val="0"/>
    <w:rPr>
      <w:rFonts w:eastAsia="宋体"/>
      <w:kern w:val="2"/>
      <w:sz w:val="21"/>
      <w:szCs w:val="24"/>
      <w:lang w:val="en-US" w:eastAsia="zh-CN" w:bidi="ar-SA"/>
    </w:rPr>
  </w:style>
  <w:style w:type="character" w:customStyle="1" w:styleId="1071">
    <w:name w:val="页脚 Char1"/>
    <w:qFormat/>
    <w:uiPriority w:val="99"/>
    <w:rPr>
      <w:kern w:val="2"/>
      <w:sz w:val="18"/>
      <w:szCs w:val="18"/>
    </w:rPr>
  </w:style>
  <w:style w:type="character" w:customStyle="1" w:styleId="1072">
    <w:name w:val="kleintab1"/>
    <w:basedOn w:val="79"/>
    <w:semiHidden/>
    <w:qFormat/>
    <w:uiPriority w:val="0"/>
  </w:style>
  <w:style w:type="character" w:customStyle="1" w:styleId="1073">
    <w:name w:val="四 Char Char"/>
    <w:semiHidden/>
    <w:qFormat/>
    <w:uiPriority w:val="0"/>
    <w:rPr>
      <w:rFonts w:ascii="楷体_GB2312" w:eastAsia="楷体_GB2312"/>
      <w:b/>
      <w:sz w:val="24"/>
      <w:lang w:val="en-US" w:eastAsia="zh-CN" w:bidi="ar-SA"/>
    </w:rPr>
  </w:style>
  <w:style w:type="character" w:customStyle="1" w:styleId="1074">
    <w:name w:val="point_normal"/>
    <w:basedOn w:val="79"/>
    <w:semiHidden/>
    <w:qFormat/>
    <w:uiPriority w:val="0"/>
  </w:style>
  <w:style w:type="character" w:customStyle="1" w:styleId="1075">
    <w:name w:val="sbody1"/>
    <w:semiHidden/>
    <w:qFormat/>
    <w:uiPriority w:val="0"/>
    <w:rPr>
      <w:sz w:val="18"/>
      <w:szCs w:val="18"/>
    </w:rPr>
  </w:style>
  <w:style w:type="character" w:customStyle="1" w:styleId="1076">
    <w:name w:val="标题 9 Char"/>
    <w:qFormat/>
    <w:uiPriority w:val="0"/>
    <w:rPr>
      <w:rFonts w:ascii="Arial" w:hAnsi="Arial" w:eastAsia="宋体"/>
      <w:b/>
      <w:sz w:val="22"/>
      <w:lang w:val="en-GB" w:eastAsia="zh-CN" w:bidi="ar-SA"/>
    </w:rPr>
  </w:style>
  <w:style w:type="character" w:customStyle="1" w:styleId="1077">
    <w:name w:val="标题 8 Char1"/>
    <w:qFormat/>
    <w:uiPriority w:val="0"/>
    <w:rPr>
      <w:rFonts w:ascii="Arial" w:hAnsi="Arial" w:eastAsia="宋体"/>
      <w:b/>
      <w:sz w:val="22"/>
      <w:lang w:val="en-GB" w:eastAsia="zh-CN" w:bidi="ar-SA"/>
    </w:rPr>
  </w:style>
  <w:style w:type="character" w:customStyle="1" w:styleId="1078">
    <w:name w:val="+标题4 Char Char"/>
    <w:semiHidden/>
    <w:qFormat/>
    <w:uiPriority w:val="0"/>
    <w:rPr>
      <w:rFonts w:ascii="楷体_GB2312" w:eastAsia="宋体"/>
      <w:b/>
      <w:bCs/>
      <w:kern w:val="2"/>
      <w:sz w:val="24"/>
      <w:szCs w:val="28"/>
      <w:lang w:val="en-US" w:eastAsia="zh-CN" w:bidi="ar-SA"/>
    </w:rPr>
  </w:style>
  <w:style w:type="character" w:customStyle="1" w:styleId="1079">
    <w:name w:val="样式 宋体 四号"/>
    <w:semiHidden/>
    <w:qFormat/>
    <w:uiPriority w:val="0"/>
    <w:rPr>
      <w:rFonts w:ascii="Times New Roman" w:hAnsi="Times New Roman" w:eastAsia="宋体"/>
      <w:sz w:val="28"/>
    </w:rPr>
  </w:style>
  <w:style w:type="character" w:customStyle="1" w:styleId="1080">
    <w:name w:val="正文文本缩进 2 Char"/>
    <w:qFormat/>
    <w:uiPriority w:val="0"/>
    <w:rPr>
      <w:rFonts w:eastAsia="宋体"/>
      <w:kern w:val="2"/>
      <w:sz w:val="24"/>
      <w:szCs w:val="24"/>
      <w:lang w:val="en-US" w:eastAsia="zh-CN" w:bidi="ar-SA"/>
    </w:rPr>
  </w:style>
  <w:style w:type="character" w:customStyle="1" w:styleId="1081">
    <w:name w:val="para"/>
    <w:basedOn w:val="79"/>
    <w:semiHidden/>
    <w:qFormat/>
    <w:uiPriority w:val="0"/>
  </w:style>
  <w:style w:type="character" w:customStyle="1" w:styleId="1082">
    <w:name w:val="gray11"/>
    <w:semiHidden/>
    <w:qFormat/>
    <w:uiPriority w:val="0"/>
    <w:rPr>
      <w:color w:val="000000"/>
      <w:sz w:val="18"/>
      <w:szCs w:val="18"/>
      <w:u w:val="none"/>
    </w:rPr>
  </w:style>
  <w:style w:type="character" w:customStyle="1" w:styleId="1083">
    <w:name w:val="标题 31"/>
    <w:semiHidden/>
    <w:qFormat/>
    <w:uiPriority w:val="0"/>
    <w:rPr>
      <w:rFonts w:ascii="Arial" w:hAnsi="Arial" w:eastAsia="宋体"/>
      <w:b/>
      <w:spacing w:val="14"/>
      <w:kern w:val="24"/>
      <w:sz w:val="28"/>
      <w:lang w:val="en-US" w:eastAsia="zh-CN" w:bidi="ar-SA"/>
    </w:rPr>
  </w:style>
  <w:style w:type="character" w:customStyle="1" w:styleId="1084">
    <w:name w:val="页脚 Char"/>
    <w:qFormat/>
    <w:uiPriority w:val="99"/>
    <w:rPr>
      <w:rFonts w:eastAsia="宋体"/>
      <w:kern w:val="2"/>
      <w:sz w:val="18"/>
      <w:lang w:val="en-US" w:eastAsia="zh-CN" w:bidi="ar-SA"/>
    </w:rPr>
  </w:style>
  <w:style w:type="character" w:customStyle="1" w:styleId="1085">
    <w:name w:val="正文文本缩进 3 Char"/>
    <w:qFormat/>
    <w:uiPriority w:val="0"/>
    <w:rPr>
      <w:rFonts w:eastAsia="宋体"/>
      <w:kern w:val="2"/>
      <w:sz w:val="28"/>
      <w:lang w:val="en-US" w:eastAsia="zh-CN" w:bidi="ar-SA"/>
    </w:rPr>
  </w:style>
  <w:style w:type="character" w:customStyle="1" w:styleId="1086">
    <w:name w:val="style15"/>
    <w:basedOn w:val="79"/>
    <w:semiHidden/>
    <w:qFormat/>
    <w:uiPriority w:val="0"/>
  </w:style>
  <w:style w:type="character" w:customStyle="1" w:styleId="1087">
    <w:name w:val="style18"/>
    <w:basedOn w:val="79"/>
    <w:semiHidden/>
    <w:qFormat/>
    <w:uiPriority w:val="0"/>
  </w:style>
  <w:style w:type="character" w:customStyle="1" w:styleId="1088">
    <w:name w:val="ca-81"/>
    <w:semiHidden/>
    <w:qFormat/>
    <w:uiPriority w:val="0"/>
    <w:rPr>
      <w:rFonts w:hint="eastAsia" w:ascii="宋体" w:hAnsi="宋体" w:eastAsia="宋体"/>
      <w:sz w:val="24"/>
      <w:szCs w:val="24"/>
    </w:rPr>
  </w:style>
  <w:style w:type="character" w:customStyle="1" w:styleId="1089">
    <w:name w:val="ca-51"/>
    <w:semiHidden/>
    <w:qFormat/>
    <w:uiPriority w:val="0"/>
    <w:rPr>
      <w:rFonts w:hint="default" w:ascii="Arial" w:hAnsi="Arial" w:cs="Arial"/>
      <w:sz w:val="24"/>
      <w:szCs w:val="24"/>
    </w:rPr>
  </w:style>
  <w:style w:type="character" w:customStyle="1" w:styleId="1090">
    <w:name w:val="dsbold3"/>
    <w:semiHidden/>
    <w:qFormat/>
    <w:uiPriority w:val="0"/>
    <w:rPr>
      <w:b/>
      <w:bCs/>
    </w:rPr>
  </w:style>
  <w:style w:type="character" w:customStyle="1" w:styleId="1091">
    <w:name w:val="标题 7 Char"/>
    <w:qFormat/>
    <w:uiPriority w:val="0"/>
    <w:rPr>
      <w:rFonts w:ascii="Arial" w:hAnsi="Arial" w:eastAsia="宋体"/>
      <w:b/>
      <w:sz w:val="22"/>
      <w:lang w:val="en-GB" w:eastAsia="zh-CN" w:bidi="ar-SA"/>
    </w:rPr>
  </w:style>
  <w:style w:type="character" w:customStyle="1" w:styleId="1092">
    <w:name w:val="批注框文本 Char"/>
    <w:qFormat/>
    <w:uiPriority w:val="0"/>
    <w:rPr>
      <w:rFonts w:ascii="宋体" w:hAnsi="宋体" w:eastAsia="宋体"/>
      <w:kern w:val="2"/>
      <w:sz w:val="18"/>
      <w:szCs w:val="18"/>
      <w:lang w:val="en-US" w:eastAsia="zh-CN" w:bidi="ar-SA"/>
    </w:rPr>
  </w:style>
  <w:style w:type="character" w:customStyle="1" w:styleId="1093">
    <w:name w:val="页眉 Char"/>
    <w:qFormat/>
    <w:uiPriority w:val="99"/>
    <w:rPr>
      <w:rFonts w:ascii="宋体" w:hAnsi="宋体" w:eastAsia="宋体"/>
      <w:kern w:val="2"/>
      <w:sz w:val="18"/>
      <w:lang w:val="en-US" w:eastAsia="zh-CN" w:bidi="ar-SA"/>
    </w:rPr>
  </w:style>
  <w:style w:type="character" w:customStyle="1" w:styleId="1094">
    <w:name w:val="+正文 Char4"/>
    <w:semiHidden/>
    <w:qFormat/>
    <w:uiPriority w:val="0"/>
    <w:rPr>
      <w:rFonts w:eastAsia="宋体"/>
      <w:kern w:val="2"/>
      <w:sz w:val="28"/>
      <w:szCs w:val="28"/>
      <w:lang w:val="en-US" w:eastAsia="zh-CN" w:bidi="ar-SA"/>
    </w:rPr>
  </w:style>
  <w:style w:type="character" w:customStyle="1" w:styleId="1095">
    <w:name w:val="+列表编号 Char"/>
    <w:semiHidden/>
    <w:qFormat/>
    <w:uiPriority w:val="0"/>
    <w:rPr>
      <w:rFonts w:eastAsia="宋体"/>
      <w:b/>
      <w:spacing w:val="8"/>
      <w:kern w:val="2"/>
      <w:sz w:val="24"/>
      <w:szCs w:val="28"/>
      <w:lang w:val="en-US" w:eastAsia="zh-CN" w:bidi="ar-SA"/>
    </w:rPr>
  </w:style>
  <w:style w:type="character" w:customStyle="1" w:styleId="1096">
    <w:name w:val="+正文 Char Char"/>
    <w:semiHidden/>
    <w:qFormat/>
    <w:uiPriority w:val="0"/>
    <w:rPr>
      <w:rFonts w:ascii="楷体_GB2312" w:eastAsia="宋体"/>
      <w:kern w:val="2"/>
      <w:sz w:val="24"/>
      <w:szCs w:val="28"/>
      <w:lang w:val="en-US" w:eastAsia="zh-CN" w:bidi="ar-SA"/>
    </w:rPr>
  </w:style>
  <w:style w:type="character" w:customStyle="1" w:styleId="1097">
    <w:name w:val="+正文 Char Char6"/>
    <w:semiHidden/>
    <w:qFormat/>
    <w:uiPriority w:val="0"/>
    <w:rPr>
      <w:rFonts w:eastAsia="宋体"/>
      <w:kern w:val="2"/>
      <w:sz w:val="24"/>
      <w:szCs w:val="28"/>
      <w:lang w:val="en-US" w:eastAsia="zh-CN" w:bidi="ar-SA"/>
    </w:rPr>
  </w:style>
  <w:style w:type="character" w:customStyle="1" w:styleId="1098">
    <w:name w:val="样式3 Char"/>
    <w:basedOn w:val="1097"/>
    <w:semiHidden/>
    <w:qFormat/>
    <w:uiPriority w:val="0"/>
    <w:rPr>
      <w:rFonts w:eastAsia="宋体"/>
      <w:kern w:val="2"/>
      <w:sz w:val="24"/>
      <w:szCs w:val="28"/>
      <w:lang w:val="en-US" w:eastAsia="zh-CN" w:bidi="ar-SA"/>
    </w:rPr>
  </w:style>
  <w:style w:type="character" w:customStyle="1" w:styleId="1099">
    <w:name w:val="超级链接"/>
    <w:qFormat/>
    <w:uiPriority w:val="0"/>
    <w:rPr>
      <w:color w:val="0000FF"/>
      <w:u w:val="single"/>
    </w:rPr>
  </w:style>
  <w:style w:type="character" w:customStyle="1" w:styleId="1100">
    <w:name w:val="已访问的超级链接"/>
    <w:semiHidden/>
    <w:qFormat/>
    <w:uiPriority w:val="0"/>
    <w:rPr>
      <w:color w:val="800080"/>
      <w:u w:val="single"/>
    </w:rPr>
  </w:style>
  <w:style w:type="character" w:customStyle="1" w:styleId="1101">
    <w:name w:val="+正文 Char Char4"/>
    <w:semiHidden/>
    <w:qFormat/>
    <w:uiPriority w:val="0"/>
    <w:rPr>
      <w:rFonts w:eastAsia="宋体"/>
      <w:kern w:val="2"/>
      <w:sz w:val="24"/>
      <w:szCs w:val="28"/>
      <w:lang w:val="en-US" w:eastAsia="zh-CN" w:bidi="ar-SA"/>
    </w:rPr>
  </w:style>
  <w:style w:type="character" w:customStyle="1" w:styleId="1102">
    <w:name w:val="+● Char"/>
    <w:basedOn w:val="1101"/>
    <w:semiHidden/>
    <w:qFormat/>
    <w:uiPriority w:val="0"/>
    <w:rPr>
      <w:rFonts w:eastAsia="宋体"/>
      <w:kern w:val="2"/>
      <w:sz w:val="24"/>
      <w:szCs w:val="28"/>
      <w:lang w:val="en-US" w:eastAsia="zh-CN" w:bidi="ar-SA"/>
    </w:rPr>
  </w:style>
  <w:style w:type="character" w:customStyle="1" w:styleId="1103">
    <w:name w:val="－正文 Char Char"/>
    <w:semiHidden/>
    <w:qFormat/>
    <w:uiPriority w:val="0"/>
    <w:rPr>
      <w:rFonts w:ascii="楷体_GB2312" w:eastAsia="宋体"/>
      <w:kern w:val="2"/>
      <w:sz w:val="28"/>
      <w:szCs w:val="28"/>
      <w:lang w:val="en-US" w:eastAsia="zh-CN" w:bidi="ar-SA"/>
    </w:rPr>
  </w:style>
  <w:style w:type="character" w:customStyle="1" w:styleId="1104">
    <w:name w:val="+正文 Char3"/>
    <w:semiHidden/>
    <w:qFormat/>
    <w:uiPriority w:val="0"/>
    <w:rPr>
      <w:rFonts w:eastAsia="宋体"/>
      <w:kern w:val="2"/>
      <w:sz w:val="24"/>
      <w:szCs w:val="28"/>
      <w:lang w:val="en-US" w:eastAsia="zh-CN" w:bidi="ar-SA"/>
    </w:rPr>
  </w:style>
  <w:style w:type="character" w:customStyle="1" w:styleId="1105">
    <w:name w:val="-正文 Char Char"/>
    <w:semiHidden/>
    <w:qFormat/>
    <w:uiPriority w:val="0"/>
    <w:rPr>
      <w:rFonts w:ascii="Arial" w:hAnsi="Arial" w:eastAsia="宋体"/>
      <w:sz w:val="24"/>
      <w:szCs w:val="24"/>
      <w:lang w:val="en-US" w:eastAsia="zh-CN" w:bidi="ar-SA"/>
    </w:rPr>
  </w:style>
  <w:style w:type="character" w:customStyle="1" w:styleId="1106">
    <w:name w:val="+正文 Char Char Char1"/>
    <w:semiHidden/>
    <w:qFormat/>
    <w:uiPriority w:val="0"/>
    <w:rPr>
      <w:rFonts w:ascii="楷体_GB2312" w:eastAsia="宋体"/>
      <w:kern w:val="2"/>
      <w:sz w:val="24"/>
      <w:szCs w:val="28"/>
      <w:lang w:val="en-US" w:eastAsia="zh-CN" w:bidi="ar-SA"/>
    </w:rPr>
  </w:style>
  <w:style w:type="character" w:customStyle="1" w:styleId="1107">
    <w:name w:val="样式3 Char Char"/>
    <w:basedOn w:val="1106"/>
    <w:semiHidden/>
    <w:qFormat/>
    <w:uiPriority w:val="0"/>
    <w:rPr>
      <w:rFonts w:ascii="楷体_GB2312" w:eastAsia="宋体"/>
      <w:kern w:val="2"/>
      <w:sz w:val="24"/>
      <w:szCs w:val="28"/>
      <w:lang w:val="en-US" w:eastAsia="zh-CN" w:bidi="ar-SA"/>
    </w:rPr>
  </w:style>
  <w:style w:type="character" w:customStyle="1" w:styleId="1108">
    <w:name w:val="+正文 Char1"/>
    <w:semiHidden/>
    <w:qFormat/>
    <w:uiPriority w:val="0"/>
    <w:rPr>
      <w:rFonts w:eastAsia="宋体"/>
      <w:kern w:val="2"/>
      <w:sz w:val="24"/>
      <w:szCs w:val="28"/>
      <w:lang w:val="en-US" w:eastAsia="zh-CN" w:bidi="ar-SA"/>
    </w:rPr>
  </w:style>
  <w:style w:type="character" w:customStyle="1" w:styleId="1109">
    <w:name w:val="标题 21"/>
    <w:semiHidden/>
    <w:qFormat/>
    <w:uiPriority w:val="0"/>
    <w:rPr>
      <w:rFonts w:ascii="Arial" w:hAnsi="Arial" w:eastAsia="黑体"/>
      <w:spacing w:val="14"/>
      <w:kern w:val="24"/>
      <w:sz w:val="32"/>
      <w:lang w:val="en-US" w:eastAsia="zh-CN" w:bidi="ar-SA"/>
    </w:rPr>
  </w:style>
  <w:style w:type="character" w:customStyle="1" w:styleId="1110">
    <w:name w:val="样式 正文（首行缩进两字） + 宋体 Char"/>
    <w:semiHidden/>
    <w:qFormat/>
    <w:uiPriority w:val="0"/>
    <w:rPr>
      <w:rFonts w:ascii="宋体" w:hAnsi="宋体" w:eastAsia="宋体"/>
      <w:spacing w:val="6"/>
      <w:kern w:val="24"/>
      <w:sz w:val="24"/>
      <w:szCs w:val="24"/>
      <w:lang w:val="en-US" w:eastAsia="zh-CN" w:bidi="ar-SA"/>
    </w:rPr>
  </w:style>
  <w:style w:type="character" w:customStyle="1" w:styleId="1111">
    <w:name w:val="样式 黑色"/>
    <w:semiHidden/>
    <w:qFormat/>
    <w:uiPriority w:val="0"/>
    <w:rPr>
      <w:color w:val="000000"/>
      <w:spacing w:val="4"/>
    </w:rPr>
  </w:style>
  <w:style w:type="character" w:customStyle="1" w:styleId="1112">
    <w:name w:val="标书正文 Char"/>
    <w:semiHidden/>
    <w:qFormat/>
    <w:uiPriority w:val="0"/>
    <w:rPr>
      <w:rFonts w:ascii="宋体" w:hAnsi="宋体" w:eastAsia="宋体"/>
      <w:color w:val="000000"/>
      <w:kern w:val="2"/>
      <w:sz w:val="24"/>
      <w:lang w:val="en-US" w:eastAsia="zh-CN" w:bidi="ar-SA"/>
    </w:rPr>
  </w:style>
  <w:style w:type="character" w:customStyle="1" w:styleId="1113">
    <w:name w:val="标题 2 Char1"/>
    <w:qFormat/>
    <w:uiPriority w:val="0"/>
    <w:rPr>
      <w:rFonts w:ascii="Arial" w:hAnsi="Arial" w:eastAsia="黑体"/>
      <w:spacing w:val="14"/>
      <w:kern w:val="24"/>
      <w:sz w:val="32"/>
      <w:lang w:val="en-US" w:eastAsia="zh-CN" w:bidi="ar-SA"/>
    </w:rPr>
  </w:style>
  <w:style w:type="character" w:customStyle="1" w:styleId="1114">
    <w:name w:val="样式 标题 2标题 2 CharH2 Charheading 2+ Indent: Left 0.25 in Charh...2 Char"/>
    <w:semiHidden/>
    <w:qFormat/>
    <w:uiPriority w:val="0"/>
    <w:rPr>
      <w:rFonts w:ascii="Arial" w:hAnsi="Arial" w:eastAsia="黑体"/>
      <w:b/>
      <w:bCs/>
      <w:spacing w:val="14"/>
      <w:kern w:val="24"/>
      <w:sz w:val="28"/>
      <w:szCs w:val="28"/>
      <w:lang w:val="en-US" w:eastAsia="zh-CN" w:bidi="ar-SA"/>
    </w:rPr>
  </w:style>
  <w:style w:type="character" w:customStyle="1" w:styleId="1115">
    <w:name w:val="zbggmain style9"/>
    <w:basedOn w:val="79"/>
    <w:semiHidden/>
    <w:qFormat/>
    <w:uiPriority w:val="0"/>
  </w:style>
  <w:style w:type="character" w:customStyle="1" w:styleId="1116">
    <w:name w:val="e1"/>
    <w:basedOn w:val="79"/>
    <w:semiHidden/>
    <w:qFormat/>
    <w:uiPriority w:val="0"/>
  </w:style>
  <w:style w:type="character" w:customStyle="1" w:styleId="1117">
    <w:name w:val="tpc_content1"/>
    <w:semiHidden/>
    <w:qFormat/>
    <w:uiPriority w:val="0"/>
    <w:rPr>
      <w:sz w:val="26"/>
    </w:rPr>
  </w:style>
  <w:style w:type="character" w:customStyle="1" w:styleId="1118">
    <w:name w:val="样式 宋体 四号 加粗"/>
    <w:semiHidden/>
    <w:qFormat/>
    <w:uiPriority w:val="0"/>
    <w:rPr>
      <w:rFonts w:ascii="Times New Roman" w:hAnsi="Times New Roman" w:eastAsia="宋体"/>
      <w:sz w:val="28"/>
    </w:rPr>
  </w:style>
  <w:style w:type="character" w:customStyle="1" w:styleId="1119">
    <w:name w:val="1.标题 1 Char Char"/>
    <w:semiHidden/>
    <w:qFormat/>
    <w:uiPriority w:val="0"/>
    <w:rPr>
      <w:rFonts w:ascii="Arial" w:hAnsi="Arial" w:eastAsia="黑体"/>
      <w:b/>
      <w:kern w:val="44"/>
      <w:sz w:val="36"/>
      <w:lang w:val="en-US" w:eastAsia="zh-CN"/>
    </w:rPr>
  </w:style>
  <w:style w:type="character" w:customStyle="1" w:styleId="1120">
    <w:name w:val="textcontents"/>
    <w:basedOn w:val="79"/>
    <w:semiHidden/>
    <w:qFormat/>
    <w:uiPriority w:val="0"/>
  </w:style>
  <w:style w:type="character" w:customStyle="1" w:styleId="1121">
    <w:name w:val="weby1"/>
    <w:semiHidden/>
    <w:qFormat/>
    <w:uiPriority w:val="0"/>
    <w:rPr>
      <w:color w:val="003300"/>
      <w:sz w:val="18"/>
      <w:szCs w:val="18"/>
    </w:rPr>
  </w:style>
  <w:style w:type="character" w:customStyle="1" w:styleId="1122">
    <w:name w:val="Heading apps Char"/>
    <w:semiHidden/>
    <w:qFormat/>
    <w:uiPriority w:val="0"/>
    <w:rPr>
      <w:rFonts w:ascii="宋体" w:hAnsi="宋体" w:eastAsia="宋体"/>
      <w:b/>
      <w:bCs/>
      <w:kern w:val="2"/>
      <w:sz w:val="30"/>
      <w:szCs w:val="30"/>
      <w:lang w:val="en-US" w:eastAsia="zh-CN" w:bidi="ar-SA"/>
    </w:rPr>
  </w:style>
  <w:style w:type="character" w:customStyle="1" w:styleId="1123">
    <w:name w:val="Gerenal"/>
    <w:semiHidden/>
    <w:qFormat/>
    <w:uiPriority w:val="0"/>
    <w:rPr>
      <w:rFonts w:ascii="RomanD" w:hAnsi="RomanD" w:eastAsia="宋体"/>
      <w:b/>
      <w:i/>
      <w:sz w:val="24"/>
      <w:szCs w:val="24"/>
      <w:u w:val="none"/>
    </w:rPr>
  </w:style>
  <w:style w:type="character" w:customStyle="1" w:styleId="1124">
    <w:name w:val="param_td12"/>
    <w:basedOn w:val="79"/>
    <w:semiHidden/>
    <w:qFormat/>
    <w:uiPriority w:val="0"/>
  </w:style>
  <w:style w:type="character" w:customStyle="1" w:styleId="1125">
    <w:name w:val="hzt21"/>
    <w:semiHidden/>
    <w:qFormat/>
    <w:uiPriority w:val="0"/>
    <w:rPr>
      <w:color w:val="000000"/>
      <w:sz w:val="24"/>
      <w:szCs w:val="24"/>
      <w:u w:val="none"/>
    </w:rPr>
  </w:style>
  <w:style w:type="character" w:customStyle="1" w:styleId="1126">
    <w:name w:val="font111"/>
    <w:semiHidden/>
    <w:qFormat/>
    <w:uiPriority w:val="0"/>
    <w:rPr>
      <w:rFonts w:hint="default" w:ascii="Times New Roman" w:hAnsi="Times New Roman" w:cs="Times New Roman"/>
      <w:color w:val="000000"/>
      <w:sz w:val="20"/>
      <w:szCs w:val="20"/>
      <w:u w:val="none"/>
    </w:rPr>
  </w:style>
  <w:style w:type="character" w:customStyle="1" w:styleId="1127">
    <w:name w:val="font71"/>
    <w:qFormat/>
    <w:uiPriority w:val="0"/>
    <w:rPr>
      <w:rFonts w:hint="eastAsia" w:ascii="宋体" w:hAnsi="宋体" w:eastAsia="宋体" w:cs="宋体"/>
      <w:b/>
      <w:color w:val="000000"/>
      <w:sz w:val="21"/>
      <w:szCs w:val="21"/>
      <w:u w:val="none"/>
    </w:rPr>
  </w:style>
  <w:style w:type="character" w:customStyle="1" w:styleId="1128">
    <w:name w:val="font01"/>
    <w:qFormat/>
    <w:uiPriority w:val="0"/>
    <w:rPr>
      <w:rFonts w:hint="default" w:ascii="Times New Roman" w:hAnsi="Times New Roman" w:cs="Times New Roman"/>
      <w:color w:val="000000"/>
      <w:sz w:val="21"/>
      <w:szCs w:val="21"/>
      <w:u w:val="none"/>
      <w:vertAlign w:val="superscript"/>
    </w:rPr>
  </w:style>
  <w:style w:type="character" w:customStyle="1" w:styleId="1129">
    <w:name w:val="font61"/>
    <w:qFormat/>
    <w:uiPriority w:val="0"/>
    <w:rPr>
      <w:rFonts w:hint="default" w:ascii="Times New Roman" w:hAnsi="Times New Roman" w:cs="Times New Roman"/>
      <w:color w:val="000000"/>
      <w:sz w:val="20"/>
      <w:szCs w:val="20"/>
      <w:u w:val="none"/>
    </w:rPr>
  </w:style>
  <w:style w:type="character" w:customStyle="1" w:styleId="1130">
    <w:name w:val="font91"/>
    <w:semiHidden/>
    <w:qFormat/>
    <w:uiPriority w:val="0"/>
    <w:rPr>
      <w:rFonts w:hint="default" w:ascii="Times New Roman" w:hAnsi="Times New Roman" w:cs="Times New Roman"/>
      <w:b/>
      <w:color w:val="000000"/>
      <w:sz w:val="20"/>
      <w:szCs w:val="20"/>
      <w:u w:val="none"/>
    </w:rPr>
  </w:style>
  <w:style w:type="character" w:customStyle="1" w:styleId="1131">
    <w:name w:val="font81"/>
    <w:qFormat/>
    <w:uiPriority w:val="0"/>
    <w:rPr>
      <w:rFonts w:hint="default" w:ascii="Times New Roman" w:hAnsi="Times New Roman" w:cs="Times New Roman"/>
      <w:b/>
      <w:color w:val="000000"/>
      <w:sz w:val="20"/>
      <w:szCs w:val="20"/>
      <w:u w:val="none"/>
    </w:rPr>
  </w:style>
  <w:style w:type="character" w:customStyle="1" w:styleId="1132">
    <w:name w:val="font141"/>
    <w:semiHidden/>
    <w:qFormat/>
    <w:uiPriority w:val="0"/>
    <w:rPr>
      <w:rFonts w:hint="default" w:ascii="Times New Roman" w:hAnsi="Times New Roman" w:cs="Times New Roman"/>
      <w:color w:val="000000"/>
      <w:sz w:val="21"/>
      <w:szCs w:val="21"/>
      <w:u w:val="none"/>
      <w:vertAlign w:val="superscript"/>
    </w:rPr>
  </w:style>
  <w:style w:type="character" w:customStyle="1" w:styleId="1133">
    <w:name w:val="font41"/>
    <w:semiHidden/>
    <w:qFormat/>
    <w:uiPriority w:val="0"/>
    <w:rPr>
      <w:rFonts w:hint="eastAsia" w:ascii="宋体" w:hAnsi="宋体" w:eastAsia="宋体" w:cs="宋体"/>
      <w:color w:val="000000"/>
      <w:sz w:val="21"/>
      <w:szCs w:val="21"/>
      <w:u w:val="none"/>
    </w:rPr>
  </w:style>
  <w:style w:type="character" w:customStyle="1" w:styleId="1134">
    <w:name w:val="font21"/>
    <w:qFormat/>
    <w:uiPriority w:val="0"/>
    <w:rPr>
      <w:rFonts w:hint="default" w:ascii="Times New Roman" w:hAnsi="Times New Roman" w:cs="Times New Roman"/>
      <w:color w:val="000000"/>
      <w:sz w:val="21"/>
      <w:szCs w:val="21"/>
      <w:u w:val="none"/>
    </w:rPr>
  </w:style>
  <w:style w:type="character" w:customStyle="1" w:styleId="1135">
    <w:name w:val="font101"/>
    <w:semiHidden/>
    <w:qFormat/>
    <w:uiPriority w:val="0"/>
    <w:rPr>
      <w:rFonts w:hint="eastAsia" w:ascii="宋体" w:hAnsi="宋体" w:eastAsia="宋体" w:cs="宋体"/>
      <w:b/>
      <w:color w:val="000000"/>
      <w:sz w:val="20"/>
      <w:szCs w:val="20"/>
      <w:u w:val="none"/>
    </w:rPr>
  </w:style>
  <w:style w:type="character" w:customStyle="1" w:styleId="1136">
    <w:name w:val="font51"/>
    <w:semiHidden/>
    <w:qFormat/>
    <w:uiPriority w:val="0"/>
    <w:rPr>
      <w:rFonts w:hint="default" w:ascii="Times New Roman" w:hAnsi="Times New Roman" w:cs="Times New Roman"/>
      <w:color w:val="000000"/>
      <w:sz w:val="21"/>
      <w:szCs w:val="21"/>
      <w:u w:val="none"/>
    </w:rPr>
  </w:style>
  <w:style w:type="character" w:customStyle="1" w:styleId="1137">
    <w:name w:val="font31"/>
    <w:qFormat/>
    <w:uiPriority w:val="0"/>
    <w:rPr>
      <w:rFonts w:hint="eastAsia" w:ascii="宋体" w:hAnsi="宋体" w:eastAsia="宋体" w:cs="宋体"/>
      <w:color w:val="000000"/>
      <w:sz w:val="20"/>
      <w:szCs w:val="20"/>
      <w:u w:val="none"/>
    </w:rPr>
  </w:style>
  <w:style w:type="character" w:customStyle="1" w:styleId="1138">
    <w:name w:val="font161"/>
    <w:semiHidden/>
    <w:qFormat/>
    <w:uiPriority w:val="0"/>
    <w:rPr>
      <w:rFonts w:ascii="font-weight : 400" w:hAnsi="font-weight : 400" w:eastAsia="font-weight : 400" w:cs="font-weight : 400"/>
      <w:color w:val="000000"/>
      <w:sz w:val="21"/>
      <w:szCs w:val="21"/>
      <w:u w:val="none"/>
    </w:rPr>
  </w:style>
  <w:style w:type="character" w:customStyle="1" w:styleId="1139">
    <w:name w:val="Char Char13"/>
    <w:semiHidden/>
    <w:qFormat/>
    <w:locked/>
    <w:uiPriority w:val="0"/>
    <w:rPr>
      <w:rFonts w:ascii="宋体" w:hAnsi="宋体" w:eastAsia="宋体"/>
      <w:spacing w:val="-2"/>
      <w:kern w:val="2"/>
      <w:sz w:val="24"/>
      <w:lang w:val="en-US" w:eastAsia="zh-CN" w:bidi="ar-SA"/>
    </w:rPr>
  </w:style>
  <w:style w:type="paragraph" w:customStyle="1" w:styleId="1140">
    <w:name w:val="m1"/>
    <w:basedOn w:val="1"/>
    <w:semiHidden/>
    <w:qFormat/>
    <w:uiPriority w:val="0"/>
    <w:pPr>
      <w:adjustRightInd w:val="0"/>
      <w:snapToGrid w:val="0"/>
      <w:spacing w:line="320" w:lineRule="atLeast"/>
      <w:jc w:val="left"/>
      <w:textAlignment w:val="bottom"/>
    </w:pPr>
    <w:rPr>
      <w:rFonts w:eastAsia="楷体"/>
      <w:kern w:val="0"/>
      <w:sz w:val="28"/>
      <w:szCs w:val="20"/>
    </w:rPr>
  </w:style>
  <w:style w:type="paragraph" w:customStyle="1" w:styleId="1141">
    <w:name w:val="样式 样式 标题 1章标题 1 Char + 小二 + 段前: 0.2 行 段后: 1 行"/>
    <w:basedOn w:val="1"/>
    <w:semiHidden/>
    <w:qFormat/>
    <w:uiPriority w:val="0"/>
    <w:pPr>
      <w:keepNext/>
      <w:keepLines/>
      <w:adjustRightInd w:val="0"/>
      <w:spacing w:beforeLines="20" w:afterLines="100"/>
      <w:jc w:val="left"/>
      <w:textAlignment w:val="baseline"/>
      <w:outlineLvl w:val="0"/>
    </w:pPr>
    <w:rPr>
      <w:rFonts w:hAnsi="宋体"/>
      <w:b/>
      <w:kern w:val="44"/>
      <w:sz w:val="32"/>
      <w:szCs w:val="20"/>
    </w:rPr>
  </w:style>
  <w:style w:type="paragraph" w:customStyle="1" w:styleId="1142">
    <w:name w:val="样式 标题 2 + 段前: 1 行 段后: 0.5 行"/>
    <w:basedOn w:val="3"/>
    <w:semiHidden/>
    <w:qFormat/>
    <w:uiPriority w:val="0"/>
    <w:pPr>
      <w:numPr>
        <w:ilvl w:val="0"/>
        <w:numId w:val="0"/>
      </w:numPr>
      <w:tabs>
        <w:tab w:val="left" w:pos="567"/>
      </w:tabs>
      <w:spacing w:beforeLines="100" w:afterLines="50" w:line="500" w:lineRule="atLeast"/>
      <w:ind w:left="567" w:right="-295" w:rightChars="-295" w:hanging="567"/>
    </w:pPr>
    <w:rPr>
      <w:rFonts w:eastAsia="宋体"/>
      <w:b w:val="0"/>
      <w:snapToGrid/>
      <w:spacing w:val="10"/>
      <w:kern w:val="2"/>
      <w:sz w:val="32"/>
      <w:szCs w:val="20"/>
    </w:rPr>
  </w:style>
  <w:style w:type="paragraph" w:customStyle="1" w:styleId="1143">
    <w:name w:val="seepex Standard Tab"/>
    <w:basedOn w:val="1"/>
    <w:semiHidden/>
    <w:qFormat/>
    <w:uiPriority w:val="0"/>
    <w:pPr>
      <w:widowControl/>
      <w:tabs>
        <w:tab w:val="left" w:pos="595"/>
        <w:tab w:val="left" w:pos="1196"/>
        <w:tab w:val="left" w:pos="1797"/>
        <w:tab w:val="left" w:pos="2398"/>
        <w:tab w:val="left" w:pos="2999"/>
        <w:tab w:val="left" w:pos="3600"/>
        <w:tab w:val="left" w:pos="4201"/>
        <w:tab w:val="left" w:pos="4797"/>
        <w:tab w:val="left" w:pos="5404"/>
        <w:tab w:val="left" w:pos="5999"/>
        <w:tab w:val="left" w:pos="6600"/>
        <w:tab w:val="left" w:pos="7201"/>
        <w:tab w:val="left" w:pos="7802"/>
        <w:tab w:val="left" w:pos="8397"/>
      </w:tabs>
      <w:ind w:right="2074"/>
      <w:jc w:val="left"/>
    </w:pPr>
    <w:rPr>
      <w:rFonts w:ascii="Arial" w:hAnsi="Arial"/>
      <w:kern w:val="0"/>
      <w:sz w:val="20"/>
      <w:szCs w:val="20"/>
      <w:lang w:val="de-DE"/>
    </w:rPr>
  </w:style>
  <w:style w:type="paragraph" w:customStyle="1" w:styleId="1144">
    <w:name w:val="样式 首行缩进:  2 字符 行距: 1.5 倍行距"/>
    <w:basedOn w:val="1"/>
    <w:semiHidden/>
    <w:qFormat/>
    <w:uiPriority w:val="0"/>
    <w:pPr>
      <w:adjustRightInd w:val="0"/>
      <w:snapToGrid w:val="0"/>
      <w:spacing w:before="120" w:line="360" w:lineRule="auto"/>
      <w:jc w:val="center"/>
    </w:pPr>
    <w:rPr>
      <w:rFonts w:ascii="文鼎小标宋简" w:hAnsi="华文中宋" w:eastAsia="文鼎小标宋简"/>
      <w:bCs/>
      <w:snapToGrid w:val="0"/>
      <w:kern w:val="0"/>
      <w:sz w:val="32"/>
      <w:szCs w:val="30"/>
    </w:rPr>
  </w:style>
  <w:style w:type="paragraph" w:customStyle="1" w:styleId="1145">
    <w:name w:val="Char Char Char Char Char Char1 Char Char Char Char1"/>
    <w:basedOn w:val="1"/>
    <w:semiHidden/>
    <w:qFormat/>
    <w:uiPriority w:val="0"/>
    <w:rPr>
      <w:sz w:val="21"/>
      <w:szCs w:val="21"/>
    </w:rPr>
  </w:style>
  <w:style w:type="character" w:customStyle="1" w:styleId="1146">
    <w:name w:val="Char Char71"/>
    <w:semiHidden/>
    <w:qFormat/>
    <w:locked/>
    <w:uiPriority w:val="0"/>
    <w:rPr>
      <w:rFonts w:ascii="宋体" w:hAnsi="宋体" w:eastAsia="宋体"/>
      <w:kern w:val="2"/>
      <w:sz w:val="21"/>
      <w:lang w:bidi="ar-SA"/>
    </w:rPr>
  </w:style>
  <w:style w:type="paragraph" w:customStyle="1" w:styleId="1147">
    <w:name w:val="Char Char5 Char Char Char Char Char Char Char Char"/>
    <w:basedOn w:val="1"/>
    <w:semiHidden/>
    <w:qFormat/>
    <w:uiPriority w:val="0"/>
    <w:rPr>
      <w:sz w:val="21"/>
    </w:rPr>
  </w:style>
  <w:style w:type="paragraph" w:customStyle="1" w:styleId="1148">
    <w:name w:val="样式 样式 首行缩进:  2 字符1 + 首行缩进:  2 字符4"/>
    <w:basedOn w:val="1"/>
    <w:semiHidden/>
    <w:qFormat/>
    <w:uiPriority w:val="0"/>
    <w:pPr>
      <w:spacing w:line="360" w:lineRule="auto"/>
      <w:ind w:firstLine="200" w:firstLineChars="200"/>
    </w:pPr>
    <w:rPr>
      <w:rFonts w:cs="宋体"/>
      <w:sz w:val="28"/>
      <w:szCs w:val="20"/>
    </w:rPr>
  </w:style>
  <w:style w:type="paragraph" w:customStyle="1" w:styleId="1149">
    <w:name w:val="表格-小四-左对齐"/>
    <w:basedOn w:val="1"/>
    <w:semiHidden/>
    <w:qFormat/>
    <w:uiPriority w:val="0"/>
    <w:pPr>
      <w:adjustRightInd w:val="0"/>
      <w:spacing w:line="400" w:lineRule="exact"/>
      <w:textAlignment w:val="baseline"/>
    </w:pPr>
    <w:rPr>
      <w:rFonts w:ascii="宋体" w:hAnsi="宋体" w:eastAsia="仿宋_GB2312" w:cs="宋体"/>
    </w:rPr>
  </w:style>
  <w:style w:type="paragraph" w:customStyle="1" w:styleId="1150">
    <w:name w:val="表格-左对齐-小四-"/>
    <w:basedOn w:val="1"/>
    <w:semiHidden/>
    <w:qFormat/>
    <w:uiPriority w:val="0"/>
    <w:pPr>
      <w:adjustRightInd w:val="0"/>
      <w:snapToGrid w:val="0"/>
      <w:spacing w:line="400" w:lineRule="exact"/>
      <w:textAlignment w:val="baseline"/>
    </w:pPr>
    <w:rPr>
      <w:rFonts w:ascii="楷体_GB2312" w:hAnsi="宋体" w:eastAsia="仿宋_GB2312" w:cs="宋体"/>
      <w:color w:val="17365D"/>
      <w:kern w:val="0"/>
      <w:szCs w:val="20"/>
    </w:rPr>
  </w:style>
  <w:style w:type="paragraph" w:customStyle="1" w:styleId="1151">
    <w:name w:val="投标正文"/>
    <w:basedOn w:val="1"/>
    <w:link w:val="1152"/>
    <w:qFormat/>
    <w:uiPriority w:val="0"/>
    <w:pPr>
      <w:widowControl/>
      <w:spacing w:line="360" w:lineRule="auto"/>
      <w:ind w:firstLine="560" w:firstLineChars="200"/>
      <w:jc w:val="left"/>
    </w:pPr>
    <w:rPr>
      <w:spacing w:val="20"/>
      <w:szCs w:val="20"/>
    </w:rPr>
  </w:style>
  <w:style w:type="character" w:customStyle="1" w:styleId="1152">
    <w:name w:val="投标正文 Char"/>
    <w:link w:val="1151"/>
    <w:qFormat/>
    <w:uiPriority w:val="0"/>
    <w:rPr>
      <w:spacing w:val="20"/>
      <w:kern w:val="2"/>
      <w:sz w:val="24"/>
    </w:rPr>
  </w:style>
  <w:style w:type="paragraph" w:customStyle="1" w:styleId="1153">
    <w:name w:val="题注图"/>
    <w:basedOn w:val="1"/>
    <w:next w:val="1"/>
    <w:qFormat/>
    <w:uiPriority w:val="0"/>
    <w:pPr>
      <w:numPr>
        <w:ilvl w:val="0"/>
        <w:numId w:val="9"/>
      </w:numPr>
      <w:tabs>
        <w:tab w:val="clear" w:pos="425"/>
      </w:tabs>
      <w:adjustRightInd w:val="0"/>
      <w:spacing w:line="360" w:lineRule="auto"/>
      <w:ind w:left="0" w:firstLine="454" w:firstLineChars="200"/>
      <w:jc w:val="center"/>
      <w:textAlignment w:val="baseline"/>
    </w:pPr>
    <w:rPr>
      <w:kern w:val="0"/>
      <w:szCs w:val="20"/>
    </w:rPr>
  </w:style>
  <w:style w:type="paragraph" w:customStyle="1" w:styleId="1154">
    <w:name w:val="Table Paragraph"/>
    <w:basedOn w:val="1"/>
    <w:qFormat/>
    <w:uiPriority w:val="1"/>
    <w:pPr>
      <w:ind w:firstLine="200" w:firstLineChars="200"/>
      <w:jc w:val="left"/>
    </w:pPr>
    <w:rPr>
      <w:rFonts w:ascii="Calibri" w:hAnsi="Calibri"/>
      <w:kern w:val="0"/>
      <w:sz w:val="22"/>
      <w:szCs w:val="22"/>
      <w:lang w:eastAsia="en-US"/>
    </w:rPr>
  </w:style>
  <w:style w:type="character" w:customStyle="1" w:styleId="1155">
    <w:name w:val="未处理的提及1"/>
    <w:unhideWhenUsed/>
    <w:qFormat/>
    <w:uiPriority w:val="99"/>
    <w:rPr>
      <w:color w:val="605E5C"/>
      <w:shd w:val="clear" w:color="auto" w:fill="E1DFDD"/>
    </w:rPr>
  </w:style>
  <w:style w:type="paragraph" w:styleId="1156">
    <w:name w:val="List Paragraph"/>
    <w:basedOn w:val="1"/>
    <w:qFormat/>
    <w:uiPriority w:val="34"/>
    <w:pPr>
      <w:spacing w:line="360" w:lineRule="auto"/>
      <w:ind w:firstLine="420" w:firstLineChars="200"/>
    </w:pPr>
    <w:rPr>
      <w:szCs w:val="20"/>
    </w:rPr>
  </w:style>
  <w:style w:type="character" w:customStyle="1" w:styleId="1157">
    <w:name w:val="正文文本 Char3"/>
    <w:qFormat/>
    <w:uiPriority w:val="0"/>
    <w:rPr>
      <w:rFonts w:eastAsia="宋体"/>
      <w:kern w:val="2"/>
      <w:sz w:val="24"/>
      <w:lang w:val="en-US" w:eastAsia="zh-CN" w:bidi="ar-SA"/>
    </w:rPr>
  </w:style>
  <w:style w:type="character" w:customStyle="1" w:styleId="1158">
    <w:name w:val="纯文本 Char3"/>
    <w:qFormat/>
    <w:uiPriority w:val="0"/>
    <w:rPr>
      <w:rFonts w:ascii="Wingdings" w:hAnsi="宋体" w:eastAsia="Wingdings"/>
      <w:kern w:val="2"/>
      <w:sz w:val="28"/>
      <w:szCs w:val="24"/>
      <w:lang w:val="en-US" w:eastAsia="zh-CN" w:bidi="ar-SA"/>
    </w:rPr>
  </w:style>
  <w:style w:type="paragraph" w:customStyle="1" w:styleId="1159">
    <w:name w:val="_Style 1152"/>
    <w:basedOn w:val="1"/>
    <w:next w:val="1156"/>
    <w:qFormat/>
    <w:uiPriority w:val="34"/>
    <w:pPr>
      <w:ind w:firstLine="420" w:firstLineChars="200"/>
    </w:pPr>
  </w:style>
  <w:style w:type="character" w:customStyle="1" w:styleId="1160">
    <w:name w:val="标题 4 Char1"/>
    <w:qFormat/>
    <w:uiPriority w:val="0"/>
    <w:rPr>
      <w:rFonts w:ascii="Arial" w:hAnsi="Arial" w:eastAsia="黑体"/>
      <w:b/>
      <w:bCs/>
      <w:kern w:val="2"/>
      <w:sz w:val="28"/>
      <w:szCs w:val="28"/>
      <w:lang w:val="en-US" w:eastAsia="zh-CN" w:bidi="ar-SA"/>
    </w:rPr>
  </w:style>
  <w:style w:type="paragraph" w:customStyle="1" w:styleId="1161">
    <w:name w:val="_Style 1154"/>
    <w:basedOn w:val="31"/>
    <w:next w:val="76"/>
    <w:qFormat/>
    <w:uiPriority w:val="0"/>
    <w:pPr>
      <w:wordWrap w:val="0"/>
      <w:spacing w:before="0" w:after="120"/>
      <w:ind w:left="420" w:leftChars="200" w:firstLine="420" w:firstLineChars="200"/>
      <w:jc w:val="both"/>
    </w:pPr>
    <w:rPr>
      <w:sz w:val="28"/>
      <w:szCs w:val="28"/>
    </w:rPr>
  </w:style>
  <w:style w:type="character" w:customStyle="1" w:styleId="1162">
    <w:name w:val="页脚 Char2"/>
    <w:qFormat/>
    <w:uiPriority w:val="0"/>
    <w:rPr>
      <w:rFonts w:eastAsia="宋体"/>
      <w:kern w:val="2"/>
      <w:sz w:val="18"/>
      <w:lang w:val="en-US" w:eastAsia="zh-CN" w:bidi="ar-SA"/>
    </w:rPr>
  </w:style>
  <w:style w:type="paragraph" w:customStyle="1" w:styleId="1163">
    <w:name w:val="正文[858D7CFB-ED40-4347-BF05-701D383B685F][858D7CFB-ED40-4347-BF05-701D383B685F]"/>
    <w:qFormat/>
    <w:uiPriority w:val="0"/>
    <w:pPr>
      <w:widowControl w:val="0"/>
      <w:spacing w:line="360" w:lineRule="auto"/>
      <w:ind w:firstLine="200"/>
      <w:jc w:val="both"/>
    </w:pPr>
    <w:rPr>
      <w:rFonts w:ascii="Lucida Grande" w:hAnsi="Lucida Grande" w:eastAsia="ヒラギノ角ゴ Pro W3" w:cs="Times New Roman"/>
      <w:color w:val="000000"/>
      <w:kern w:val="2"/>
      <w:sz w:val="24"/>
      <w:lang w:val="en-US" w:eastAsia="zh-CN" w:bidi="ar-SA"/>
    </w:rPr>
  </w:style>
  <w:style w:type="character" w:customStyle="1" w:styleId="1164">
    <w:name w:val="标题 2 Char3"/>
    <w:qFormat/>
    <w:uiPriority w:val="0"/>
    <w:rPr>
      <w:rFonts w:eastAsia="黑体"/>
      <w:b/>
      <w:snapToGrid w:val="0"/>
      <w:sz w:val="28"/>
      <w:szCs w:val="24"/>
      <w:lang w:val="en-US" w:eastAsia="zh-CN" w:bidi="ar-SA"/>
    </w:rPr>
  </w:style>
  <w:style w:type="character" w:customStyle="1" w:styleId="1165">
    <w:name w:val="标题 3 Char1"/>
    <w:qFormat/>
    <w:uiPriority w:val="0"/>
    <w:rPr>
      <w:rFonts w:eastAsia="黑体"/>
      <w:b/>
      <w:snapToGrid w:val="0"/>
      <w:sz w:val="28"/>
      <w:szCs w:val="24"/>
      <w:lang w:val="en-US" w:eastAsia="zh-CN" w:bidi="ar-SA"/>
    </w:rPr>
  </w:style>
  <w:style w:type="character" w:customStyle="1" w:styleId="1166">
    <w:name w:val="标题 5 Char"/>
    <w:qFormat/>
    <w:uiPriority w:val="0"/>
    <w:rPr>
      <w:rFonts w:eastAsia="黑体"/>
      <w:kern w:val="2"/>
      <w:sz w:val="21"/>
      <w:lang w:val="en-US" w:eastAsia="zh-CN" w:bidi="ar-SA"/>
    </w:rPr>
  </w:style>
  <w:style w:type="character" w:customStyle="1" w:styleId="1167">
    <w:name w:val="标题 6 Char"/>
    <w:qFormat/>
    <w:uiPriority w:val="0"/>
    <w:rPr>
      <w:rFonts w:hAnsi="Arial" w:eastAsia="黑体"/>
      <w:kern w:val="2"/>
      <w:sz w:val="21"/>
      <w:lang w:val="en-US" w:eastAsia="zh-CN" w:bidi="ar-SA"/>
    </w:rPr>
  </w:style>
  <w:style w:type="character" w:customStyle="1" w:styleId="1168">
    <w:name w:val="标题 7 Char1"/>
    <w:qFormat/>
    <w:uiPriority w:val="0"/>
    <w:rPr>
      <w:rFonts w:eastAsia="黑体"/>
      <w:kern w:val="2"/>
      <w:sz w:val="21"/>
      <w:lang w:val="en-US" w:eastAsia="zh-CN" w:bidi="ar-SA"/>
    </w:rPr>
  </w:style>
  <w:style w:type="character" w:customStyle="1" w:styleId="1169">
    <w:name w:val="标题 9 Char1"/>
    <w:qFormat/>
    <w:uiPriority w:val="0"/>
    <w:rPr>
      <w:rFonts w:hAnsi="Arial" w:eastAsia="黑体"/>
      <w:kern w:val="2"/>
      <w:sz w:val="21"/>
      <w:lang w:val="en-US" w:eastAsia="zh-CN" w:bidi="ar-SA"/>
    </w:rPr>
  </w:style>
  <w:style w:type="paragraph" w:customStyle="1" w:styleId="1170">
    <w:name w:val="_Style 1164"/>
    <w:basedOn w:val="1"/>
    <w:next w:val="1156"/>
    <w:link w:val="1171"/>
    <w:qFormat/>
    <w:uiPriority w:val="0"/>
    <w:pPr>
      <w:ind w:firstLine="420" w:firstLineChars="200"/>
    </w:pPr>
    <w:rPr>
      <w:sz w:val="28"/>
      <w:szCs w:val="28"/>
    </w:rPr>
  </w:style>
  <w:style w:type="character" w:customStyle="1" w:styleId="1171">
    <w:name w:val="正文首行缩进 Char1"/>
    <w:link w:val="1170"/>
    <w:qFormat/>
    <w:uiPriority w:val="0"/>
    <w:rPr>
      <w:kern w:val="2"/>
      <w:sz w:val="28"/>
      <w:szCs w:val="28"/>
    </w:rPr>
  </w:style>
  <w:style w:type="character" w:customStyle="1" w:styleId="1172">
    <w:name w:val="文档结构图 Char"/>
    <w:semiHidden/>
    <w:qFormat/>
    <w:locked/>
    <w:uiPriority w:val="0"/>
    <w:rPr>
      <w:rFonts w:eastAsia="宋体"/>
      <w:kern w:val="2"/>
      <w:sz w:val="24"/>
      <w:szCs w:val="24"/>
      <w:lang w:val="en-US" w:eastAsia="zh-CN" w:bidi="ar-SA"/>
    </w:rPr>
  </w:style>
  <w:style w:type="character" w:customStyle="1" w:styleId="1173">
    <w:name w:val="批注文字 Char1"/>
    <w:qFormat/>
    <w:uiPriority w:val="0"/>
    <w:rPr>
      <w:rFonts w:eastAsia="宋体"/>
      <w:kern w:val="2"/>
      <w:sz w:val="21"/>
      <w:lang w:val="en-US" w:eastAsia="zh-CN" w:bidi="ar-SA"/>
    </w:rPr>
  </w:style>
  <w:style w:type="character" w:customStyle="1" w:styleId="1174">
    <w:name w:val="正文文本 3 Char"/>
    <w:qFormat/>
    <w:uiPriority w:val="0"/>
    <w:rPr>
      <w:sz w:val="24"/>
      <w:lang w:bidi="ar-SA"/>
    </w:rPr>
  </w:style>
  <w:style w:type="character" w:customStyle="1" w:styleId="1175">
    <w:name w:val="结束语 Char"/>
    <w:qFormat/>
    <w:uiPriority w:val="0"/>
    <w:rPr>
      <w:rFonts w:ascii="Garamond" w:hAnsi="Garamond"/>
      <w:sz w:val="22"/>
      <w:lang w:bidi="ar-SA"/>
    </w:rPr>
  </w:style>
  <w:style w:type="character" w:customStyle="1" w:styleId="1176">
    <w:name w:val="正文文本缩进 Char1"/>
    <w:qFormat/>
    <w:uiPriority w:val="0"/>
    <w:rPr>
      <w:rFonts w:eastAsia="宋体"/>
      <w:kern w:val="2"/>
      <w:sz w:val="24"/>
      <w:szCs w:val="24"/>
      <w:lang w:val="en-US" w:eastAsia="zh-CN" w:bidi="ar-SA"/>
    </w:rPr>
  </w:style>
  <w:style w:type="character" w:customStyle="1" w:styleId="1177">
    <w:name w:val="日期 Char"/>
    <w:qFormat/>
    <w:uiPriority w:val="0"/>
    <w:rPr>
      <w:rFonts w:eastAsia="宋体"/>
      <w:b/>
      <w:bCs/>
      <w:kern w:val="2"/>
      <w:sz w:val="30"/>
      <w:szCs w:val="24"/>
      <w:lang w:val="en-US" w:eastAsia="zh-CN" w:bidi="ar-SA"/>
    </w:rPr>
  </w:style>
  <w:style w:type="character" w:customStyle="1" w:styleId="1178">
    <w:name w:val="正文文本缩进 2 Char1"/>
    <w:qFormat/>
    <w:uiPriority w:val="0"/>
    <w:rPr>
      <w:rFonts w:eastAsia="宋体"/>
      <w:sz w:val="24"/>
      <w:lang w:val="en-US" w:eastAsia="zh-CN" w:bidi="ar-SA"/>
    </w:rPr>
  </w:style>
  <w:style w:type="character" w:customStyle="1" w:styleId="1179">
    <w:name w:val="批注框文本 Char1"/>
    <w:qFormat/>
    <w:uiPriority w:val="0"/>
    <w:rPr>
      <w:rFonts w:eastAsia="宋体"/>
      <w:kern w:val="2"/>
      <w:sz w:val="18"/>
      <w:szCs w:val="18"/>
      <w:lang w:val="en-US" w:eastAsia="zh-CN" w:bidi="ar-SA"/>
    </w:rPr>
  </w:style>
  <w:style w:type="character" w:customStyle="1" w:styleId="1180">
    <w:name w:val="页眉 Char2"/>
    <w:qFormat/>
    <w:uiPriority w:val="0"/>
    <w:rPr>
      <w:rFonts w:eastAsia="宋体"/>
      <w:kern w:val="2"/>
      <w:sz w:val="18"/>
      <w:szCs w:val="18"/>
      <w:lang w:val="en-US" w:eastAsia="zh-CN" w:bidi="ar-SA"/>
    </w:rPr>
  </w:style>
  <w:style w:type="character" w:customStyle="1" w:styleId="1181">
    <w:name w:val="副标题 Char"/>
    <w:qFormat/>
    <w:uiPriority w:val="0"/>
    <w:rPr>
      <w:rFonts w:ascii="Arial" w:hAnsi="Arial"/>
      <w:b/>
      <w:bCs/>
      <w:kern w:val="28"/>
      <w:sz w:val="32"/>
      <w:szCs w:val="32"/>
      <w:lang w:bidi="ar-SA"/>
    </w:rPr>
  </w:style>
  <w:style w:type="character" w:customStyle="1" w:styleId="1182">
    <w:name w:val="脚注文本 Char"/>
    <w:qFormat/>
    <w:uiPriority w:val="0"/>
    <w:rPr>
      <w:rFonts w:ascii="Arial" w:hAnsi="Arial"/>
      <w:color w:val="000000"/>
      <w:kern w:val="2"/>
      <w:sz w:val="18"/>
      <w:lang w:bidi="ar-SA"/>
    </w:rPr>
  </w:style>
  <w:style w:type="character" w:customStyle="1" w:styleId="1183">
    <w:name w:val="正文文本缩进 3 Char1"/>
    <w:qFormat/>
    <w:uiPriority w:val="0"/>
    <w:rPr>
      <w:rFonts w:ascii="Wingdings" w:eastAsia="宋体"/>
      <w:kern w:val="2"/>
      <w:sz w:val="24"/>
      <w:lang w:val="en-US" w:eastAsia="zh-CN" w:bidi="ar-SA"/>
    </w:rPr>
  </w:style>
  <w:style w:type="character" w:customStyle="1" w:styleId="1184">
    <w:name w:val="正文文本 2 Char"/>
    <w:qFormat/>
    <w:uiPriority w:val="0"/>
    <w:rPr>
      <w:kern w:val="2"/>
      <w:sz w:val="28"/>
      <w:szCs w:val="28"/>
      <w:lang w:bidi="ar-SA"/>
    </w:rPr>
  </w:style>
  <w:style w:type="character" w:customStyle="1" w:styleId="1185">
    <w:name w:val="HTML 预设格式 Char"/>
    <w:qFormat/>
    <w:uiPriority w:val="99"/>
    <w:rPr>
      <w:rFonts w:ascii="Arial" w:hAnsi="Arial" w:eastAsia="宋体" w:cs="Arial"/>
      <w:sz w:val="24"/>
      <w:szCs w:val="24"/>
      <w:lang w:val="en-US" w:eastAsia="zh-CN" w:bidi="ar-SA"/>
    </w:rPr>
  </w:style>
  <w:style w:type="character" w:customStyle="1" w:styleId="1186">
    <w:name w:val="标题 Char"/>
    <w:qFormat/>
    <w:uiPriority w:val="0"/>
    <w:rPr>
      <w:rFonts w:eastAsia="黑体" w:cs="Arial"/>
      <w:b/>
      <w:kern w:val="2"/>
      <w:sz w:val="30"/>
      <w:szCs w:val="24"/>
      <w:lang w:val="en-US" w:eastAsia="zh-CN" w:bidi="ar-SA"/>
    </w:rPr>
  </w:style>
  <w:style w:type="character" w:customStyle="1" w:styleId="1187">
    <w:name w:val="批注主题 Char"/>
    <w:qFormat/>
    <w:uiPriority w:val="0"/>
    <w:rPr>
      <w:rFonts w:eastAsia="宋体"/>
      <w:b/>
      <w:bCs/>
      <w:kern w:val="2"/>
      <w:sz w:val="21"/>
      <w:lang w:val="en-US" w:eastAsia="zh-CN" w:bidi="ar-SA"/>
    </w:rPr>
  </w:style>
  <w:style w:type="paragraph" w:customStyle="1" w:styleId="1188">
    <w:name w:val="Salutation Char"/>
    <w:basedOn w:val="1"/>
    <w:semiHidden/>
    <w:qFormat/>
    <w:uiPriority w:val="0"/>
    <w:rPr>
      <w:sz w:val="21"/>
    </w:rPr>
  </w:style>
  <w:style w:type="paragraph" w:customStyle="1" w:styleId="1189">
    <w:name w:val="彩色列表 - 强调文字颜色 11"/>
    <w:basedOn w:val="1"/>
    <w:qFormat/>
    <w:uiPriority w:val="0"/>
    <w:pPr>
      <w:wordWrap w:val="0"/>
      <w:ind w:firstLine="420" w:firstLineChars="200"/>
    </w:pPr>
    <w:rPr>
      <w:rFonts w:ascii="Calibri" w:hAnsi="Calibri"/>
      <w:sz w:val="21"/>
      <w:szCs w:val="22"/>
    </w:rPr>
  </w:style>
  <w:style w:type="paragraph" w:customStyle="1" w:styleId="1190">
    <w:name w:val="TOC 标题1"/>
    <w:basedOn w:val="2"/>
    <w:next w:val="1"/>
    <w:qFormat/>
    <w:uiPriority w:val="0"/>
    <w:pPr>
      <w:keepNext/>
      <w:keepLines/>
      <w:widowControl/>
      <w:numPr>
        <w:numId w:val="0"/>
      </w:numPr>
      <w:tabs>
        <w:tab w:val="left" w:pos="1440"/>
      </w:tabs>
      <w:autoSpaceDE/>
      <w:autoSpaceDN/>
      <w:adjustRightInd/>
      <w:spacing w:before="480" w:line="276" w:lineRule="auto"/>
      <w:outlineLvl w:val="9"/>
    </w:pPr>
    <w:rPr>
      <w:rFonts w:ascii="Cambria" w:hAnsi="Cambria" w:eastAsia="宋体"/>
      <w:b/>
      <w:bCs/>
      <w:color w:val="365F91"/>
      <w:sz w:val="28"/>
      <w:szCs w:val="28"/>
    </w:rPr>
  </w:style>
  <w:style w:type="paragraph" w:customStyle="1" w:styleId="1191">
    <w:name w:val="彩色底纹 - 强调文字颜色 11"/>
    <w:semiHidden/>
    <w:qFormat/>
    <w:uiPriority w:val="0"/>
    <w:rPr>
      <w:rFonts w:ascii="Times New Roman" w:hAnsi="Times New Roman" w:eastAsia="宋体" w:cs="Times New Roman"/>
      <w:kern w:val="2"/>
      <w:sz w:val="21"/>
      <w:szCs w:val="24"/>
      <w:lang w:val="en-US" w:eastAsia="zh-CN" w:bidi="ar-SA"/>
    </w:rPr>
  </w:style>
  <w:style w:type="character" w:customStyle="1" w:styleId="1192">
    <w:name w:val="font112"/>
    <w:qFormat/>
    <w:uiPriority w:val="0"/>
    <w:rPr>
      <w:rFonts w:hint="eastAsia" w:ascii="仿宋" w:hAnsi="仿宋" w:eastAsia="仿宋" w:cs="仿宋"/>
      <w:color w:val="000000"/>
      <w:sz w:val="24"/>
      <w:szCs w:val="24"/>
      <w:u w:val="none"/>
    </w:rPr>
  </w:style>
  <w:style w:type="paragraph" w:customStyle="1" w:styleId="1193">
    <w:name w:val="_Style 1187"/>
    <w:basedOn w:val="1"/>
    <w:next w:val="1156"/>
    <w:qFormat/>
    <w:uiPriority w:val="34"/>
    <w:pPr>
      <w:ind w:firstLine="420" w:firstLineChars="200"/>
    </w:pPr>
  </w:style>
  <w:style w:type="paragraph" w:customStyle="1" w:styleId="1194">
    <w:name w:val="江建权"/>
    <w:basedOn w:val="1"/>
    <w:qFormat/>
    <w:uiPriority w:val="0"/>
    <w:pPr>
      <w:spacing w:line="440" w:lineRule="exact"/>
    </w:pPr>
    <w:rPr>
      <w:kern w:val="0"/>
    </w:rPr>
  </w:style>
  <w:style w:type="character" w:customStyle="1" w:styleId="1195">
    <w:name w:val="未处理的提及2"/>
    <w:basedOn w:val="79"/>
    <w:semiHidden/>
    <w:unhideWhenUsed/>
    <w:qFormat/>
    <w:uiPriority w:val="99"/>
    <w:rPr>
      <w:color w:val="605E5C"/>
      <w:shd w:val="clear" w:color="auto" w:fill="E1DFDD"/>
    </w:rPr>
  </w:style>
  <w:style w:type="paragraph" w:customStyle="1" w:styleId="1196">
    <w:name w:val="修订1"/>
    <w:hidden/>
    <w:uiPriority w:val="99"/>
    <w:rPr>
      <w:rFonts w:ascii="Times New Roman" w:hAnsi="Times New Roman" w:eastAsia="宋体" w:cs="Times New Roman"/>
      <w:kern w:val="2"/>
      <w:sz w:val="24"/>
      <w:szCs w:val="24"/>
      <w:lang w:val="en-US" w:eastAsia="zh-CN" w:bidi="ar-SA"/>
    </w:rPr>
  </w:style>
  <w:style w:type="paragraph" w:customStyle="1" w:styleId="1197">
    <w:name w:val="TOC 标题2"/>
    <w:basedOn w:val="2"/>
    <w:next w:val="1"/>
    <w:unhideWhenUsed/>
    <w:qFormat/>
    <w:uiPriority w:val="39"/>
    <w:pPr>
      <w:keepNext/>
      <w:keepLines/>
      <w:numPr>
        <w:numId w:val="0"/>
      </w:numPr>
      <w:autoSpaceDE/>
      <w:autoSpaceDN/>
      <w:adjustRightInd/>
      <w:spacing w:before="340" w:after="330" w:line="578" w:lineRule="auto"/>
      <w:jc w:val="both"/>
      <w:outlineLvl w:val="9"/>
    </w:pPr>
    <w:rPr>
      <w:rFonts w:ascii="Times New Roman" w:eastAsia="宋体"/>
      <w:b/>
      <w:bCs/>
      <w:kern w:val="44"/>
      <w:sz w:val="44"/>
      <w:szCs w:val="44"/>
    </w:rPr>
  </w:style>
  <w:style w:type="paragraph" w:customStyle="1" w:styleId="1198">
    <w:name w:val="纯文本1"/>
    <w:basedOn w:val="1"/>
    <w:qFormat/>
    <w:uiPriority w:val="0"/>
    <w:pPr>
      <w:widowControl/>
      <w:adjustRightInd w:val="0"/>
      <w:spacing w:before="100" w:beforeAutospacing="1" w:after="100" w:afterAutospacing="1" w:line="410" w:lineRule="atLeast"/>
      <w:jc w:val="left"/>
      <w:textAlignment w:val="baseline"/>
    </w:pPr>
    <w:rPr>
      <w:rFonts w:ascii="宋体" w:hAnsi="宋体" w:cs="宋体"/>
      <w:kern w:val="0"/>
    </w:rPr>
  </w:style>
  <w:style w:type="paragraph" w:customStyle="1" w:styleId="1199">
    <w:name w:val="列表段落4"/>
    <w:basedOn w:val="1"/>
    <w:uiPriority w:val="0"/>
    <w:pPr>
      <w:ind w:firstLine="420" w:firstLineChars="200"/>
    </w:pPr>
    <w:rPr>
      <w:sz w:val="21"/>
      <w:szCs w:val="22"/>
    </w:rPr>
  </w:style>
  <w:style w:type="paragraph" w:customStyle="1" w:styleId="1200">
    <w:name w:val="列表段落1"/>
    <w:basedOn w:val="1"/>
    <w:qFormat/>
    <w:uiPriority w:val="34"/>
    <w:pPr>
      <w:adjustRightInd w:val="0"/>
      <w:ind w:firstLine="420" w:firstLineChars="200"/>
      <w:textAlignment w:val="baseline"/>
    </w:pPr>
    <w:rPr>
      <w:rFonts w:ascii="Calibri" w:hAnsi="Calibri"/>
      <w:kern w:val="0"/>
      <w:sz w:val="21"/>
      <w:szCs w:val="22"/>
    </w:rPr>
  </w:style>
  <w:style w:type="paragraph" w:customStyle="1" w:styleId="1201">
    <w:name w:val="表头3"/>
    <w:uiPriority w:val="0"/>
    <w:pPr>
      <w:spacing w:beforeLines="50" w:line="360" w:lineRule="auto"/>
      <w:jc w:val="center"/>
    </w:pPr>
    <w:rPr>
      <w:rFonts w:ascii="Times New Roman" w:hAnsi="Times New Roman" w:eastAsia="宋体" w:cs="Times New Roman"/>
      <w:b/>
      <w:bCs/>
      <w:sz w:val="24"/>
      <w:szCs w:val="30"/>
      <w:lang w:val="en-US" w:eastAsia="zh-CN" w:bidi="ar-SA"/>
    </w:rPr>
  </w:style>
  <w:style w:type="character" w:customStyle="1" w:styleId="1202">
    <w:name w:val="未处理的提及3"/>
    <w:basedOn w:val="79"/>
    <w:semiHidden/>
    <w:unhideWhenUsed/>
    <w:uiPriority w:val="99"/>
    <w:rPr>
      <w:color w:val="605E5C"/>
      <w:shd w:val="clear" w:color="auto" w:fill="E1DFDD"/>
    </w:rPr>
  </w:style>
  <w:style w:type="character" w:customStyle="1" w:styleId="1203">
    <w:name w:val="未处理的提及4"/>
    <w:basedOn w:val="79"/>
    <w:semiHidden/>
    <w:unhideWhenUsed/>
    <w:uiPriority w:val="99"/>
    <w:rPr>
      <w:color w:val="605E5C"/>
      <w:shd w:val="clear" w:color="auto" w:fill="E1DFDD"/>
    </w:rPr>
  </w:style>
  <w:style w:type="paragraph" w:customStyle="1" w:styleId="1204">
    <w:name w:val="Char Char2 Char Char Char Char11"/>
    <w:basedOn w:val="1"/>
    <w:next w:val="1"/>
    <w:uiPriority w:val="0"/>
    <w:pPr>
      <w:spacing w:line="360" w:lineRule="auto"/>
      <w:ind w:firstLine="200" w:firstLineChars="200"/>
    </w:pPr>
    <w:rPr>
      <w:rFonts w:ascii="宋体" w:hAnsi="宋体" w:cs="宋体"/>
    </w:rPr>
  </w:style>
  <w:style w:type="paragraph" w:customStyle="1" w:styleId="1205">
    <w:name w:val="用户章节标题"/>
    <w:basedOn w:val="1"/>
    <w:uiPriority w:val="0"/>
    <w:pPr>
      <w:adjustRightInd w:val="0"/>
      <w:spacing w:before="240" w:after="360" w:line="240" w:lineRule="atLeast"/>
      <w:jc w:val="center"/>
      <w:textAlignment w:val="baseline"/>
    </w:pPr>
    <w:rPr>
      <w:b/>
      <w:kern w:val="0"/>
      <w:sz w:val="44"/>
      <w:szCs w:val="20"/>
    </w:rPr>
  </w:style>
  <w:style w:type="paragraph" w:customStyle="1" w:styleId="1206">
    <w:name w:val="whit"/>
    <w:basedOn w:val="1"/>
    <w:uiPriority w:val="0"/>
    <w:pPr>
      <w:widowControl/>
      <w:spacing w:before="100" w:beforeAutospacing="1" w:after="100" w:afterAutospacing="1"/>
      <w:jc w:val="left"/>
    </w:pPr>
    <w:rPr>
      <w:rFonts w:ascii="宋体" w:hAnsi="宋体"/>
      <w:color w:val="FFFFFF"/>
      <w:kern w:val="0"/>
      <w:sz w:val="18"/>
      <w:szCs w:val="18"/>
    </w:rPr>
  </w:style>
  <w:style w:type="character" w:customStyle="1" w:styleId="1207">
    <w:name w:val="whit1"/>
    <w:uiPriority w:val="0"/>
    <w:rPr>
      <w:color w:val="FFFFFF"/>
      <w:sz w:val="18"/>
      <w:szCs w:val="18"/>
    </w:rPr>
  </w:style>
  <w:style w:type="paragraph" w:customStyle="1" w:styleId="1208">
    <w:name w:val="条目"/>
    <w:basedOn w:val="39"/>
    <w:uiPriority w:val="0"/>
    <w:pPr>
      <w:adjustRightInd w:val="0"/>
      <w:snapToGrid w:val="0"/>
      <w:spacing w:before="200" w:after="200"/>
      <w:outlineLvl w:val="3"/>
    </w:pPr>
    <w:rPr>
      <w:rFonts w:hint="eastAsia" w:ascii="BatangChe" w:hAnsi="BatangChe" w:eastAsia="黑体" w:cs="Lucida Sans Unicode"/>
      <w:kern w:val="0"/>
      <w:sz w:val="21"/>
      <w:szCs w:val="21"/>
    </w:rPr>
  </w:style>
  <w:style w:type="paragraph" w:customStyle="1" w:styleId="1209">
    <w:name w:val="标题6"/>
    <w:basedOn w:val="1"/>
    <w:next w:val="1"/>
    <w:uiPriority w:val="0"/>
    <w:pPr>
      <w:adjustRightInd w:val="0"/>
      <w:snapToGrid w:val="0"/>
      <w:ind w:left="578"/>
      <w:jc w:val="left"/>
      <w:outlineLvl w:val="5"/>
    </w:pPr>
    <w:rPr>
      <w:rFonts w:ascii="宋体" w:hAnsi="Arial"/>
      <w:b/>
      <w:snapToGrid w:val="0"/>
      <w:kern w:val="0"/>
      <w:sz w:val="28"/>
      <w:szCs w:val="20"/>
    </w:rPr>
  </w:style>
  <w:style w:type="paragraph" w:customStyle="1" w:styleId="1210">
    <w:name w:val="工可"/>
    <w:basedOn w:val="2"/>
    <w:uiPriority w:val="0"/>
    <w:pPr>
      <w:keepNext/>
      <w:keepLines/>
      <w:numPr>
        <w:numId w:val="0"/>
      </w:numPr>
      <w:tabs>
        <w:tab w:val="left" w:pos="720"/>
      </w:tabs>
      <w:autoSpaceDE/>
      <w:autoSpaceDN/>
      <w:snapToGrid w:val="0"/>
      <w:spacing w:before="0" w:line="533" w:lineRule="auto"/>
      <w:ind w:left="839" w:right="-238" w:hanging="720"/>
    </w:pPr>
    <w:rPr>
      <w:rFonts w:ascii="宋体" w:hAnsi="Arial" w:eastAsia="宋体"/>
      <w:b/>
      <w:snapToGrid w:val="0"/>
      <w:kern w:val="28"/>
      <w:sz w:val="28"/>
      <w:szCs w:val="20"/>
    </w:rPr>
  </w:style>
  <w:style w:type="paragraph" w:customStyle="1" w:styleId="1211">
    <w:name w:val="篇章"/>
    <w:basedOn w:val="1"/>
    <w:uiPriority w:val="0"/>
    <w:pPr>
      <w:adjustRightInd w:val="0"/>
      <w:snapToGrid w:val="0"/>
      <w:spacing w:before="500" w:after="500"/>
      <w:jc w:val="center"/>
      <w:outlineLvl w:val="0"/>
    </w:pPr>
    <w:rPr>
      <w:rFonts w:ascii="方正魏碑简体" w:hAnsi="Courier New" w:eastAsia="方正魏碑简体"/>
      <w:snapToGrid w:val="0"/>
      <w:kern w:val="0"/>
      <w:sz w:val="44"/>
      <w:szCs w:val="21"/>
    </w:rPr>
  </w:style>
  <w:style w:type="character" w:customStyle="1" w:styleId="1212">
    <w:name w:val="t071"/>
    <w:uiPriority w:val="0"/>
    <w:rPr>
      <w:rFonts w:hint="default" w:ascii="ˎ̥" w:hAnsi="ˎ̥"/>
      <w:b/>
      <w:bCs/>
      <w:color w:val="17AA17"/>
      <w:sz w:val="24"/>
      <w:szCs w:val="24"/>
    </w:rPr>
  </w:style>
  <w:style w:type="paragraph" w:customStyle="1" w:styleId="1213">
    <w:name w:val="Char Char Char Char2"/>
    <w:basedOn w:val="1"/>
    <w:uiPriority w:val="0"/>
    <w:rPr>
      <w:sz w:val="21"/>
      <w:szCs w:val="21"/>
    </w:rPr>
  </w:style>
  <w:style w:type="character" w:customStyle="1" w:styleId="1214">
    <w:name w:val="answerref"/>
    <w:basedOn w:val="79"/>
    <w:uiPriority w:val="0"/>
  </w:style>
  <w:style w:type="paragraph" w:customStyle="1" w:styleId="1215">
    <w:name w:val="样式 样式 正文文字1 + 首行缩进:  2 字符1 + 首行缩进:  2 字符"/>
    <w:basedOn w:val="1"/>
    <w:uiPriority w:val="0"/>
    <w:pPr>
      <w:numPr>
        <w:ilvl w:val="0"/>
        <w:numId w:val="10"/>
      </w:numPr>
      <w:spacing w:line="300" w:lineRule="auto"/>
      <w:ind w:left="0" w:firstLine="200" w:firstLineChars="200"/>
    </w:pPr>
    <w:rPr>
      <w:szCs w:val="20"/>
    </w:rPr>
  </w:style>
  <w:style w:type="paragraph" w:customStyle="1" w:styleId="1216">
    <w:name w:val="表头文字"/>
    <w:basedOn w:val="1"/>
    <w:uiPriority w:val="0"/>
    <w:pPr>
      <w:adjustRightInd w:val="0"/>
      <w:snapToGrid w:val="0"/>
      <w:spacing w:before="120" w:line="300" w:lineRule="auto"/>
      <w:jc w:val="center"/>
    </w:pPr>
    <w:rPr>
      <w:rFonts w:eastAsia="黑体"/>
      <w:sz w:val="21"/>
    </w:rPr>
  </w:style>
  <w:style w:type="character" w:customStyle="1" w:styleId="1217">
    <w:name w:val="sh141"/>
    <w:uiPriority w:val="0"/>
    <w:rPr>
      <w:color w:val="2B2B2B"/>
      <w:sz w:val="14"/>
      <w:szCs w:val="14"/>
    </w:rPr>
  </w:style>
  <w:style w:type="character" w:customStyle="1" w:styleId="1218">
    <w:name w:val="Char Char12"/>
    <w:uiPriority w:val="0"/>
    <w:rPr>
      <w:rFonts w:ascii="宋体" w:hAnsi="Courier New" w:eastAsia="宋体" w:cs="Lucida Sans Unicode"/>
      <w:sz w:val="21"/>
      <w:szCs w:val="21"/>
      <w:lang w:val="en-US" w:eastAsia="zh-CN" w:bidi="ar-SA"/>
    </w:rPr>
  </w:style>
  <w:style w:type="character" w:customStyle="1" w:styleId="1219">
    <w:name w:val="普通文字 Char Char Char Char1"/>
    <w:uiPriority w:val="0"/>
    <w:rPr>
      <w:rFonts w:ascii="宋体" w:hAnsi="Courier New" w:eastAsia="宋体"/>
      <w:kern w:val="2"/>
      <w:sz w:val="21"/>
      <w:szCs w:val="21"/>
      <w:lang w:val="en-US" w:eastAsia="zh-CN" w:bidi="ar-SA"/>
    </w:rPr>
  </w:style>
  <w:style w:type="paragraph" w:customStyle="1" w:styleId="1220">
    <w:name w:val="Char4"/>
    <w:basedOn w:val="1"/>
    <w:uiPriority w:val="0"/>
    <w:rPr>
      <w:sz w:val="21"/>
      <w:szCs w:val="28"/>
    </w:rPr>
  </w:style>
  <w:style w:type="paragraph" w:customStyle="1" w:styleId="1221">
    <w:name w:val="B"/>
    <w:basedOn w:val="1"/>
    <w:uiPriority w:val="0"/>
    <w:pPr>
      <w:widowControl/>
      <w:tabs>
        <w:tab w:val="left" w:pos="1200"/>
      </w:tabs>
      <w:spacing w:before="240" w:line="0" w:lineRule="atLeast"/>
    </w:pPr>
    <w:rPr>
      <w:szCs w:val="20"/>
    </w:rPr>
  </w:style>
  <w:style w:type="paragraph" w:customStyle="1" w:styleId="1222">
    <w:name w:val="a"/>
    <w:basedOn w:val="1223"/>
    <w:uiPriority w:val="0"/>
    <w:pPr>
      <w:numPr>
        <w:numId w:val="11"/>
      </w:numPr>
      <w:tabs>
        <w:tab w:val="left" w:pos="1050"/>
        <w:tab w:val="left" w:pos="1260"/>
        <w:tab w:val="left" w:pos="1325"/>
      </w:tabs>
      <w:ind w:left="1325" w:hanging="425"/>
    </w:pPr>
  </w:style>
  <w:style w:type="paragraph" w:customStyle="1" w:styleId="1223">
    <w:name w:val="()"/>
    <w:basedOn w:val="138"/>
    <w:uiPriority w:val="0"/>
    <w:pPr>
      <w:numPr>
        <w:ilvl w:val="0"/>
        <w:numId w:val="12"/>
      </w:numPr>
      <w:tabs>
        <w:tab w:val="left" w:pos="1050"/>
        <w:tab w:val="left" w:pos="1325"/>
        <w:tab w:val="clear" w:pos="2665"/>
      </w:tabs>
      <w:spacing w:before="240" w:after="0"/>
      <w:ind w:left="1325"/>
    </w:pPr>
    <w:rPr>
      <w:rFonts w:ascii="Times New Roman"/>
    </w:rPr>
  </w:style>
  <w:style w:type="paragraph" w:customStyle="1" w:styleId="1224">
    <w:name w:val=")"/>
    <w:basedOn w:val="1"/>
    <w:uiPriority w:val="0"/>
    <w:pPr>
      <w:widowControl/>
      <w:overflowPunct w:val="0"/>
      <w:autoSpaceDE w:val="0"/>
      <w:autoSpaceDN w:val="0"/>
      <w:adjustRightInd w:val="0"/>
      <w:spacing w:before="120"/>
      <w:textAlignment w:val="baseline"/>
    </w:pPr>
    <w:rPr>
      <w:rFonts w:ascii="宋体"/>
      <w:kern w:val="0"/>
      <w:szCs w:val="20"/>
    </w:rPr>
  </w:style>
  <w:style w:type="paragraph" w:customStyle="1" w:styleId="1225">
    <w:name w:val="Style1"/>
    <w:basedOn w:val="1"/>
    <w:uiPriority w:val="0"/>
    <w:pPr>
      <w:widowControl/>
      <w:overflowPunct w:val="0"/>
      <w:autoSpaceDE w:val="0"/>
      <w:autoSpaceDN w:val="0"/>
      <w:adjustRightInd w:val="0"/>
      <w:spacing w:before="240"/>
      <w:ind w:left="851"/>
      <w:textAlignment w:val="baseline"/>
    </w:pPr>
    <w:rPr>
      <w:b/>
      <w:bCs/>
      <w:kern w:val="0"/>
      <w:szCs w:val="20"/>
    </w:rPr>
  </w:style>
  <w:style w:type="paragraph" w:customStyle="1" w:styleId="1226">
    <w:name w:val="l_text"/>
    <w:basedOn w:val="1"/>
    <w:uiPriority w:val="0"/>
    <w:pPr>
      <w:widowControl/>
      <w:overflowPunct w:val="0"/>
      <w:autoSpaceDE w:val="0"/>
      <w:autoSpaceDN w:val="0"/>
      <w:adjustRightInd w:val="0"/>
      <w:spacing w:beforeLines="100"/>
      <w:jc w:val="center"/>
      <w:textAlignment w:val="baseline"/>
    </w:pPr>
    <w:rPr>
      <w:rFonts w:eastAsia="楷体"/>
      <w:kern w:val="0"/>
      <w:szCs w:val="20"/>
    </w:rPr>
  </w:style>
  <w:style w:type="paragraph" w:customStyle="1" w:styleId="1227">
    <w:name w:val="point"/>
    <w:basedOn w:val="1"/>
    <w:uiPriority w:val="0"/>
    <w:pPr>
      <w:widowControl/>
      <w:tabs>
        <w:tab w:val="left" w:pos="985"/>
      </w:tabs>
      <w:overflowPunct w:val="0"/>
      <w:autoSpaceDE w:val="0"/>
      <w:autoSpaceDN w:val="0"/>
      <w:adjustRightInd w:val="0"/>
      <w:spacing w:line="360" w:lineRule="auto"/>
      <w:ind w:left="992" w:hanging="425"/>
      <w:textAlignment w:val="baseline"/>
    </w:pPr>
    <w:rPr>
      <w:rFonts w:ascii="Arial" w:hAnsi="Arial"/>
      <w:kern w:val="0"/>
      <w:sz w:val="28"/>
      <w:szCs w:val="20"/>
      <w:lang w:val="en-GB"/>
    </w:rPr>
  </w:style>
  <w:style w:type="paragraph" w:customStyle="1" w:styleId="1228">
    <w:name w:val="l1"/>
    <w:basedOn w:val="1"/>
    <w:uiPriority w:val="0"/>
  </w:style>
  <w:style w:type="paragraph" w:customStyle="1" w:styleId="1229">
    <w:name w:val="i."/>
    <w:basedOn w:val="1"/>
    <w:uiPriority w:val="0"/>
    <w:pPr>
      <w:tabs>
        <w:tab w:val="left" w:pos="2041"/>
        <w:tab w:val="left" w:pos="2308"/>
      </w:tabs>
      <w:spacing w:before="60" w:after="60" w:line="264" w:lineRule="auto"/>
      <w:ind w:left="2041" w:hanging="453"/>
    </w:pPr>
    <w:rPr>
      <w:sz w:val="22"/>
      <w:szCs w:val="20"/>
    </w:rPr>
  </w:style>
  <w:style w:type="paragraph" w:customStyle="1" w:styleId="1230">
    <w:name w:val="i"/>
    <w:basedOn w:val="1"/>
    <w:uiPriority w:val="0"/>
    <w:pPr>
      <w:widowControl/>
      <w:tabs>
        <w:tab w:val="left" w:pos="2268"/>
        <w:tab w:val="left" w:pos="2340"/>
      </w:tabs>
      <w:spacing w:before="120" w:after="120" w:line="264" w:lineRule="auto"/>
      <w:jc w:val="center"/>
    </w:pPr>
    <w:rPr>
      <w:rFonts w:ascii="宋体" w:hAnsi="宋体"/>
      <w:sz w:val="22"/>
    </w:rPr>
  </w:style>
  <w:style w:type="paragraph" w:customStyle="1" w:styleId="1231">
    <w:name w:val="sm a"/>
    <w:basedOn w:val="1"/>
    <w:uiPriority w:val="0"/>
    <w:pPr>
      <w:widowControl/>
      <w:tabs>
        <w:tab w:val="left" w:pos="2308"/>
        <w:tab w:val="left" w:pos="2340"/>
      </w:tabs>
      <w:spacing w:before="120" w:after="120" w:line="264" w:lineRule="auto"/>
      <w:ind w:left="2041" w:leftChars="150" w:hanging="453" w:firstLineChars="5"/>
      <w:jc w:val="center"/>
    </w:pPr>
    <w:rPr>
      <w:rFonts w:ascii="宋体" w:hAnsi="宋体"/>
      <w:sz w:val="22"/>
    </w:rPr>
  </w:style>
  <w:style w:type="paragraph" w:customStyle="1" w:styleId="1232">
    <w:name w:val="文字块"/>
    <w:basedOn w:val="1"/>
    <w:uiPriority w:val="0"/>
    <w:pPr>
      <w:widowControl/>
      <w:tabs>
        <w:tab w:val="left" w:pos="900"/>
      </w:tabs>
      <w:spacing w:beforeLines="100"/>
      <w:ind w:left="900" w:right="301"/>
    </w:pPr>
    <w:rPr>
      <w:rFonts w:ascii="宋体" w:hAnsi="宋体" w:cs="宋体"/>
      <w:sz w:val="21"/>
      <w:szCs w:val="21"/>
    </w:rPr>
  </w:style>
  <w:style w:type="paragraph" w:customStyle="1" w:styleId="1233">
    <w:name w:val="2"/>
    <w:basedOn w:val="2"/>
    <w:uiPriority w:val="0"/>
    <w:pPr>
      <w:keepNext/>
      <w:keepLines/>
      <w:numPr>
        <w:numId w:val="0"/>
      </w:numPr>
      <w:tabs>
        <w:tab w:val="left" w:pos="420"/>
        <w:tab w:val="left" w:pos="850"/>
      </w:tabs>
      <w:autoSpaceDE/>
      <w:autoSpaceDN/>
      <w:adjustRightInd/>
      <w:spacing w:beforeLines="50" w:afterLines="50" w:line="240" w:lineRule="auto"/>
      <w:ind w:left="420" w:hanging="845"/>
      <w:jc w:val="both"/>
    </w:pPr>
    <w:rPr>
      <w:rFonts w:ascii="Times New Roman"/>
      <w:kern w:val="44"/>
      <w:sz w:val="24"/>
      <w:szCs w:val="44"/>
    </w:rPr>
  </w:style>
  <w:style w:type="paragraph" w:customStyle="1" w:styleId="1234">
    <w:name w:val="3"/>
    <w:basedOn w:val="3"/>
    <w:uiPriority w:val="0"/>
    <w:pPr>
      <w:numPr>
        <w:ilvl w:val="0"/>
        <w:numId w:val="0"/>
      </w:numPr>
      <w:snapToGrid w:val="0"/>
      <w:spacing w:before="0" w:after="0"/>
    </w:pPr>
    <w:rPr>
      <w:rFonts w:ascii="宋体" w:hAnsi="宋体" w:eastAsia="宋体"/>
      <w:b w:val="0"/>
      <w:bCs/>
      <w:snapToGrid/>
      <w:kern w:val="2"/>
      <w:sz w:val="21"/>
      <w:szCs w:val="21"/>
    </w:rPr>
  </w:style>
  <w:style w:type="paragraph" w:customStyle="1" w:styleId="1235">
    <w:name w:val="6.3.2"/>
    <w:basedOn w:val="1"/>
    <w:uiPriority w:val="0"/>
    <w:rPr>
      <w:sz w:val="21"/>
      <w:szCs w:val="21"/>
    </w:rPr>
  </w:style>
  <w:style w:type="paragraph" w:customStyle="1" w:styleId="1236">
    <w:name w:val="宋体 五号 非加粗 段前: 7.8 磅 段后: 7.8 磅2"/>
    <w:basedOn w:val="1"/>
    <w:uiPriority w:val="0"/>
    <w:pPr>
      <w:spacing w:before="156" w:after="156"/>
    </w:pPr>
    <w:rPr>
      <w:rFonts w:hAnsi="宋体" w:cs="宋体"/>
      <w:b/>
      <w:sz w:val="21"/>
      <w:szCs w:val="20"/>
      <w:vertAlign w:val="subscript"/>
    </w:rPr>
  </w:style>
  <w:style w:type="paragraph" w:customStyle="1" w:styleId="1237">
    <w:name w:val="Char22"/>
    <w:basedOn w:val="1"/>
    <w:uiPriority w:val="0"/>
    <w:rPr>
      <w:sz w:val="21"/>
    </w:rPr>
  </w:style>
  <w:style w:type="character" w:customStyle="1" w:styleId="1238">
    <w:name w:val="样式 宋体 行距: 固定值 18 磅 Char"/>
    <w:uiPriority w:val="0"/>
    <w:rPr>
      <w:rFonts w:ascii="宋体" w:hAnsi="宋体" w:eastAsia="宋体" w:cs="黑体"/>
      <w:kern w:val="2"/>
      <w:sz w:val="21"/>
      <w:lang w:val="en-US" w:eastAsia="zh-CN" w:bidi="ar-SA"/>
    </w:rPr>
  </w:style>
  <w:style w:type="character" w:customStyle="1" w:styleId="1239">
    <w:name w:val="p12"/>
    <w:basedOn w:val="79"/>
    <w:uiPriority w:val="0"/>
  </w:style>
  <w:style w:type="character" w:customStyle="1" w:styleId="1240">
    <w:name w:val="头 Char"/>
    <w:uiPriority w:val="0"/>
    <w:rPr>
      <w:rFonts w:eastAsia="宋体"/>
      <w:b/>
      <w:kern w:val="2"/>
      <w:sz w:val="28"/>
      <w:lang w:val="en-US" w:eastAsia="zh-CN" w:bidi="ar-SA"/>
    </w:rPr>
  </w:style>
  <w:style w:type="paragraph" w:customStyle="1" w:styleId="1241">
    <w:name w:val="Char Char2 Char Char"/>
    <w:basedOn w:val="1"/>
    <w:next w:val="1"/>
    <w:uiPriority w:val="0"/>
    <w:pPr>
      <w:numPr>
        <w:ilvl w:val="0"/>
        <w:numId w:val="13"/>
      </w:numPr>
      <w:tabs>
        <w:tab w:val="clear" w:pos="1200"/>
      </w:tabs>
      <w:spacing w:line="360" w:lineRule="auto"/>
      <w:ind w:left="0" w:leftChars="0" w:firstLine="200" w:firstLineChars="200"/>
    </w:pPr>
    <w:rPr>
      <w:rFonts w:ascii="宋体" w:hAnsi="宋体" w:cs="宋体"/>
    </w:rPr>
  </w:style>
  <w:style w:type="paragraph" w:customStyle="1" w:styleId="1242">
    <w:name w:val="Char Char2 Char Char Char Char1"/>
    <w:basedOn w:val="1"/>
    <w:next w:val="1"/>
    <w:uiPriority w:val="0"/>
    <w:pPr>
      <w:numPr>
        <w:ilvl w:val="0"/>
        <w:numId w:val="14"/>
      </w:numPr>
      <w:tabs>
        <w:tab w:val="clear" w:pos="2040"/>
      </w:tabs>
      <w:spacing w:line="360" w:lineRule="auto"/>
      <w:ind w:left="0" w:leftChars="0" w:firstLine="200" w:firstLineChars="200"/>
    </w:pPr>
    <w:rPr>
      <w:rFonts w:ascii="宋体" w:hAnsi="宋体" w:cs="宋体"/>
    </w:rPr>
  </w:style>
  <w:style w:type="paragraph" w:customStyle="1" w:styleId="1243">
    <w:name w:val="修订版本号"/>
    <w:hidden/>
    <w:semiHidden/>
    <w:uiPriority w:val="99"/>
    <w:rPr>
      <w:rFonts w:ascii="Times New Roman" w:hAnsi="Times New Roman" w:eastAsia="宋体" w:cs="Times New Roman"/>
      <w:kern w:val="2"/>
      <w:sz w:val="21"/>
      <w:szCs w:val="24"/>
      <w:lang w:val="en-US" w:eastAsia="zh-CN" w:bidi="ar-SA"/>
    </w:rPr>
  </w:style>
  <w:style w:type="paragraph" w:customStyle="1" w:styleId="1244">
    <w:name w:val="Char Char2 Char Char Char Char12"/>
    <w:basedOn w:val="1"/>
    <w:next w:val="1"/>
    <w:uiPriority w:val="0"/>
    <w:pPr>
      <w:spacing w:line="360" w:lineRule="auto"/>
      <w:ind w:firstLine="200" w:firstLineChars="200"/>
    </w:pPr>
    <w:rPr>
      <w:rFonts w:ascii="宋体" w:hAnsi="宋体" w:cs="宋体"/>
    </w:rPr>
  </w:style>
  <w:style w:type="paragraph" w:customStyle="1" w:styleId="1245">
    <w:name w:val="表格，五宋"/>
    <w:uiPriority w:val="0"/>
    <w:pPr>
      <w:adjustRightInd w:val="0"/>
      <w:spacing w:line="360" w:lineRule="exact"/>
      <w:jc w:val="center"/>
    </w:pPr>
    <w:rPr>
      <w:rFonts w:ascii="Times New Roman" w:hAnsi="Times New Roman" w:eastAsia="宋体" w:cs="Times New Roman"/>
      <w:sz w:val="21"/>
      <w:lang w:val="en-US" w:eastAsia="zh-CN" w:bidi="ar-SA"/>
    </w:rPr>
  </w:style>
  <w:style w:type="paragraph" w:customStyle="1" w:styleId="1246">
    <w:name w:val="成简1"/>
    <w:basedOn w:val="1"/>
    <w:uiPriority w:val="0"/>
    <w:pPr>
      <w:spacing w:line="480" w:lineRule="auto"/>
      <w:outlineLvl w:val="0"/>
    </w:pPr>
    <w:rPr>
      <w:rFonts w:ascii="黑体" w:eastAsia="黑体"/>
      <w:sz w:val="30"/>
      <w:szCs w:val="28"/>
    </w:rPr>
  </w:style>
  <w:style w:type="paragraph" w:customStyle="1" w:styleId="1247">
    <w:name w:val="成简2"/>
    <w:basedOn w:val="1"/>
    <w:uiPriority w:val="0"/>
    <w:pPr>
      <w:spacing w:line="360" w:lineRule="auto"/>
      <w:outlineLvl w:val="1"/>
    </w:pPr>
    <w:rPr>
      <w:rFonts w:ascii="黑体" w:eastAsia="楷体_GB2312"/>
      <w:sz w:val="28"/>
      <w:szCs w:val="28"/>
    </w:rPr>
  </w:style>
  <w:style w:type="paragraph" w:customStyle="1" w:styleId="1248">
    <w:name w:val="Char Char23"/>
    <w:basedOn w:val="1"/>
    <w:next w:val="1"/>
    <w:uiPriority w:val="0"/>
    <w:pPr>
      <w:spacing w:line="360" w:lineRule="auto"/>
      <w:ind w:firstLine="200" w:firstLineChars="200"/>
    </w:pPr>
    <w:rPr>
      <w:rFonts w:ascii="宋体" w:hAnsi="宋体" w:cs="宋体"/>
    </w:rPr>
  </w:style>
  <w:style w:type="paragraph" w:customStyle="1" w:styleId="1249">
    <w:name w:val="正文首行缩进1"/>
    <w:basedOn w:val="791"/>
    <w:uiPriority w:val="0"/>
  </w:style>
  <w:style w:type="paragraph" w:customStyle="1" w:styleId="1250">
    <w:name w:val="正文首行缩进 21"/>
    <w:basedOn w:val="628"/>
    <w:uiPriority w:val="0"/>
    <w:pPr>
      <w:widowControl w:val="0"/>
      <w:overflowPunct/>
      <w:autoSpaceDE/>
      <w:autoSpaceDN/>
      <w:spacing w:line="360" w:lineRule="atLeast"/>
      <w:ind w:firstLine="600"/>
      <w:jc w:val="both"/>
    </w:pPr>
    <w:rPr>
      <w:rFonts w:hAnsi="Times New Roman"/>
      <w:sz w:val="24"/>
    </w:rPr>
  </w:style>
  <w:style w:type="paragraph" w:customStyle="1" w:styleId="1251">
    <w:name w:val="五级条标题"/>
    <w:basedOn w:val="1252"/>
    <w:next w:val="1"/>
    <w:uiPriority w:val="0"/>
    <w:pPr>
      <w:tabs>
        <w:tab w:val="left" w:pos="864"/>
      </w:tabs>
      <w:outlineLvl w:val="5"/>
    </w:pPr>
  </w:style>
  <w:style w:type="paragraph" w:customStyle="1" w:styleId="1252">
    <w:name w:val="四级条标题"/>
    <w:basedOn w:val="1253"/>
    <w:next w:val="1"/>
    <w:uiPriority w:val="0"/>
    <w:pPr>
      <w:tabs>
        <w:tab w:val="left" w:pos="864"/>
      </w:tabs>
    </w:pPr>
  </w:style>
  <w:style w:type="paragraph" w:customStyle="1" w:styleId="1253">
    <w:name w:val="三级条标题"/>
    <w:basedOn w:val="1"/>
    <w:next w:val="1"/>
    <w:uiPriority w:val="0"/>
    <w:pPr>
      <w:widowControl/>
      <w:tabs>
        <w:tab w:val="left" w:pos="864"/>
      </w:tabs>
      <w:ind w:left="864" w:hanging="864"/>
      <w:jc w:val="left"/>
      <w:outlineLvl w:val="4"/>
    </w:pPr>
    <w:rPr>
      <w:rFonts w:eastAsia="黑体"/>
      <w:kern w:val="0"/>
      <w:sz w:val="21"/>
      <w:szCs w:val="20"/>
    </w:rPr>
  </w:style>
  <w:style w:type="paragraph" w:customStyle="1" w:styleId="1254">
    <w:name w:val="二级条标题"/>
    <w:basedOn w:val="1255"/>
    <w:next w:val="1"/>
    <w:uiPriority w:val="0"/>
    <w:pPr>
      <w:tabs>
        <w:tab w:val="left" w:pos="720"/>
      </w:tabs>
    </w:pPr>
  </w:style>
  <w:style w:type="paragraph" w:customStyle="1" w:styleId="1255">
    <w:name w:val="一级条标题"/>
    <w:next w:val="1"/>
    <w:uiPriority w:val="0"/>
    <w:pPr>
      <w:tabs>
        <w:tab w:val="left" w:pos="720"/>
      </w:tabs>
      <w:ind w:left="720" w:hanging="720"/>
      <w:outlineLvl w:val="2"/>
    </w:pPr>
    <w:rPr>
      <w:rFonts w:ascii="Times New Roman" w:hAnsi="Times New Roman" w:eastAsia="黑体" w:cs="Times New Roman"/>
      <w:sz w:val="21"/>
      <w:lang w:val="en-US" w:eastAsia="zh-CN" w:bidi="ar-SA"/>
    </w:rPr>
  </w:style>
  <w:style w:type="paragraph" w:customStyle="1" w:styleId="1256">
    <w:name w:val="正文3"/>
    <w:basedOn w:val="791"/>
    <w:uiPriority w:val="0"/>
  </w:style>
  <w:style w:type="paragraph" w:customStyle="1" w:styleId="1257">
    <w:name w:val="Body Text First Indent1"/>
    <w:basedOn w:val="791"/>
    <w:uiPriority w:val="0"/>
  </w:style>
  <w:style w:type="character" w:customStyle="1" w:styleId="1258">
    <w:name w:val="尾注文本 Char2"/>
    <w:link w:val="45"/>
    <w:uiPriority w:val="0"/>
    <w:rPr>
      <w:rFonts w:ascii="Courier New" w:hAnsi="Courier New" w:eastAsia="Times New Roman"/>
      <w:sz w:val="24"/>
    </w:rPr>
  </w:style>
  <w:style w:type="character" w:customStyle="1" w:styleId="1259">
    <w:name w:val="尾注文本 Char"/>
    <w:basedOn w:val="79"/>
    <w:uiPriority w:val="0"/>
    <w:rPr>
      <w:kern w:val="2"/>
      <w:sz w:val="24"/>
      <w:szCs w:val="24"/>
    </w:rPr>
  </w:style>
  <w:style w:type="character" w:customStyle="1" w:styleId="1260">
    <w:name w:val="尾注文本 Char1"/>
    <w:uiPriority w:val="0"/>
    <w:rPr>
      <w:kern w:val="2"/>
      <w:sz w:val="21"/>
      <w:szCs w:val="24"/>
    </w:rPr>
  </w:style>
  <w:style w:type="paragraph" w:customStyle="1" w:styleId="1261">
    <w:name w:val="投标文件三级标题"/>
    <w:basedOn w:val="5"/>
    <w:link w:val="1262"/>
    <w:uiPriority w:val="0"/>
    <w:pPr>
      <w:tabs>
        <w:tab w:val="left" w:pos="851"/>
        <w:tab w:val="clear" w:pos="425"/>
      </w:tabs>
      <w:spacing w:before="93" w:after="93" w:line="400" w:lineRule="exact"/>
      <w:ind w:left="0" w:right="33" w:firstLine="0"/>
      <w:jc w:val="left"/>
    </w:pPr>
    <w:rPr>
      <w:rFonts w:ascii="Arial" w:hAnsi="Arial"/>
      <w:b w:val="0"/>
      <w:bCs/>
      <w:iCs/>
      <w:snapToGrid/>
      <w:color w:val="000000"/>
      <w:sz w:val="26"/>
      <w:szCs w:val="26"/>
    </w:rPr>
  </w:style>
  <w:style w:type="character" w:customStyle="1" w:styleId="1262">
    <w:name w:val="投标文件三级标题 Char"/>
    <w:link w:val="1261"/>
    <w:uiPriority w:val="0"/>
    <w:rPr>
      <w:rFonts w:ascii="Arial" w:hAnsi="Arial" w:eastAsia="黑体"/>
      <w:bCs/>
      <w:iCs/>
      <w:color w:val="000000"/>
      <w:sz w:val="26"/>
      <w:szCs w:val="26"/>
    </w:rPr>
  </w:style>
  <w:style w:type="paragraph" w:customStyle="1" w:styleId="1263">
    <w:name w:val="居中"/>
    <w:basedOn w:val="1"/>
    <w:link w:val="1264"/>
    <w:uiPriority w:val="0"/>
    <w:pPr>
      <w:adjustRightInd w:val="0"/>
      <w:spacing w:line="300" w:lineRule="auto"/>
      <w:jc w:val="center"/>
    </w:pPr>
    <w:rPr>
      <w:kern w:val="0"/>
      <w:szCs w:val="20"/>
    </w:rPr>
  </w:style>
  <w:style w:type="character" w:customStyle="1" w:styleId="1264">
    <w:name w:val="居中 Char"/>
    <w:link w:val="1263"/>
    <w:uiPriority w:val="0"/>
    <w:rPr>
      <w:sz w:val="24"/>
    </w:rPr>
  </w:style>
  <w:style w:type="paragraph" w:customStyle="1" w:styleId="1265">
    <w:name w:val="1 表格样式"/>
    <w:basedOn w:val="1"/>
    <w:link w:val="1266"/>
    <w:qFormat/>
    <w:uiPriority w:val="0"/>
    <w:pPr>
      <w:adjustRightInd w:val="0"/>
      <w:snapToGrid w:val="0"/>
      <w:spacing w:line="240" w:lineRule="atLeast"/>
      <w:jc w:val="center"/>
    </w:pPr>
    <w:rPr>
      <w:color w:val="000000"/>
      <w:kern w:val="0"/>
      <w:sz w:val="20"/>
      <w:szCs w:val="20"/>
    </w:rPr>
  </w:style>
  <w:style w:type="character" w:customStyle="1" w:styleId="1266">
    <w:name w:val="1 表格样式 Char"/>
    <w:link w:val="1265"/>
    <w:uiPriority w:val="0"/>
    <w:rPr>
      <w:color w:val="000000"/>
    </w:rPr>
  </w:style>
  <w:style w:type="paragraph" w:customStyle="1" w:styleId="1267">
    <w:name w:val="彩色列表 - 强调文字颜色 12"/>
    <w:basedOn w:val="1"/>
    <w:qFormat/>
    <w:uiPriority w:val="34"/>
    <w:pPr>
      <w:ind w:firstLine="420" w:firstLineChars="200"/>
    </w:pPr>
    <w:rPr>
      <w:sz w:val="21"/>
    </w:rPr>
  </w:style>
  <w:style w:type="paragraph" w:customStyle="1" w:styleId="1268">
    <w:name w:val="样式 纯文本 + 黑体 加粗 Char"/>
    <w:basedOn w:val="30"/>
    <w:uiPriority w:val="0"/>
    <w:pPr>
      <w:spacing w:after="120" w:line="240" w:lineRule="auto"/>
    </w:pPr>
    <w:rPr>
      <w:sz w:val="21"/>
      <w:szCs w:val="24"/>
    </w:rPr>
  </w:style>
  <w:style w:type="paragraph" w:customStyle="1" w:styleId="1269">
    <w:name w:val="彩色列表 - 强调文字颜色 13"/>
    <w:basedOn w:val="1"/>
    <w:qFormat/>
    <w:uiPriority w:val="34"/>
    <w:pPr>
      <w:ind w:firstLine="420" w:firstLineChars="200"/>
    </w:pPr>
    <w:rPr>
      <w:rFonts w:ascii="Calibri" w:hAnsi="Calibri"/>
      <w:sz w:val="21"/>
      <w:szCs w:val="22"/>
    </w:rPr>
  </w:style>
  <w:style w:type="paragraph" w:customStyle="1" w:styleId="1270">
    <w:name w:val="Char Char2 Char Char Char Char Char Char Char1"/>
    <w:basedOn w:val="1"/>
    <w:next w:val="1"/>
    <w:uiPriority w:val="0"/>
    <w:pPr>
      <w:spacing w:line="360" w:lineRule="auto"/>
      <w:ind w:firstLine="200" w:firstLineChars="200"/>
    </w:pPr>
    <w:rPr>
      <w:rFonts w:ascii="宋体" w:hAnsi="宋体" w:cs="宋体"/>
    </w:rPr>
  </w:style>
  <w:style w:type="character" w:customStyle="1" w:styleId="1271">
    <w:name w:val="一 Char Char"/>
    <w:uiPriority w:val="0"/>
    <w:rPr>
      <w:rFonts w:eastAsia="宋体"/>
      <w:b/>
      <w:kern w:val="2"/>
      <w:sz w:val="28"/>
      <w:lang w:val="en-US" w:eastAsia="zh-CN" w:bidi="ar-SA"/>
    </w:rPr>
  </w:style>
  <w:style w:type="character" w:customStyle="1" w:styleId="1272">
    <w:name w:val="Char Char41"/>
    <w:uiPriority w:val="0"/>
    <w:rPr>
      <w:rFonts w:ascii="宋体" w:hAnsi="Courier New" w:eastAsia="宋体"/>
      <w:kern w:val="2"/>
      <w:sz w:val="28"/>
      <w:lang w:val="en-US" w:eastAsia="zh-CN" w:bidi="ar-SA"/>
    </w:rPr>
  </w:style>
  <w:style w:type="character" w:customStyle="1" w:styleId="1273">
    <w:name w:val="Char Char3"/>
    <w:qFormat/>
    <w:uiPriority w:val="0"/>
    <w:rPr>
      <w:rFonts w:ascii="Wingdings" w:hAnsi="宋体" w:eastAsia="Wingdings"/>
      <w:kern w:val="2"/>
      <w:sz w:val="28"/>
      <w:lang w:val="en-US" w:eastAsia="zh-CN" w:bidi="ar-SA"/>
    </w:rPr>
  </w:style>
  <w:style w:type="paragraph" w:customStyle="1" w:styleId="1274">
    <w:name w:val="Char Char51"/>
    <w:basedOn w:val="1"/>
    <w:uiPriority w:val="0"/>
    <w:rPr>
      <w:sz w:val="21"/>
    </w:rPr>
  </w:style>
  <w:style w:type="paragraph" w:customStyle="1" w:styleId="1275">
    <w:name w:val="内容 Char Char Char Char Char"/>
    <w:basedOn w:val="1"/>
    <w:qFormat/>
    <w:uiPriority w:val="0"/>
    <w:pPr>
      <w:spacing w:line="480" w:lineRule="exact"/>
      <w:ind w:firstLine="200" w:firstLineChars="200"/>
    </w:pPr>
    <w:rPr>
      <w:rFonts w:ascii="Calibri" w:hAnsi="Calibri"/>
      <w:sz w:val="21"/>
    </w:rPr>
  </w:style>
  <w:style w:type="paragraph" w:customStyle="1" w:styleId="1276">
    <w:name w:val="_Style 206"/>
    <w:next w:val="1"/>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77">
    <w:name w:val="title-prefix"/>
    <w:basedOn w:val="79"/>
    <w:uiPriority w:val="0"/>
  </w:style>
  <w:style w:type="paragraph" w:customStyle="1" w:styleId="1278">
    <w:name w:val="_Style 2061"/>
    <w:next w:val="1"/>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79">
    <w:name w:val="未处理的提及5"/>
    <w:unhideWhenUsed/>
    <w:uiPriority w:val="99"/>
    <w:rPr>
      <w:color w:val="605E5C"/>
      <w:shd w:val="clear" w:color="auto" w:fill="E1DFDD"/>
    </w:rPr>
  </w:style>
  <w:style w:type="paragraph" w:customStyle="1" w:styleId="1280">
    <w:name w:val="宝正文"/>
    <w:basedOn w:val="132"/>
    <w:link w:val="1283"/>
    <w:qFormat/>
    <w:uiPriority w:val="0"/>
    <w:pPr>
      <w:snapToGrid w:val="0"/>
      <w:spacing w:line="360" w:lineRule="auto"/>
      <w:ind w:firstLine="420" w:firstLineChars="200"/>
    </w:pPr>
    <w:rPr>
      <w:rFonts w:ascii="Times New Roman" w:hAnsi="宋体"/>
      <w:sz w:val="21"/>
      <w:szCs w:val="21"/>
    </w:rPr>
  </w:style>
  <w:style w:type="paragraph" w:customStyle="1" w:styleId="1281">
    <w:name w:val="宝2"/>
    <w:basedOn w:val="3"/>
    <w:link w:val="1285"/>
    <w:qFormat/>
    <w:uiPriority w:val="0"/>
    <w:pPr>
      <w:keepNext w:val="0"/>
      <w:keepLines w:val="0"/>
      <w:numPr>
        <w:ilvl w:val="0"/>
        <w:numId w:val="0"/>
      </w:numPr>
      <w:adjustRightInd w:val="0"/>
      <w:snapToGrid w:val="0"/>
      <w:spacing w:before="0" w:after="0" w:line="360" w:lineRule="auto"/>
    </w:pPr>
    <w:rPr>
      <w:rFonts w:eastAsia="宋体"/>
      <w:bCs/>
      <w:snapToGrid/>
      <w:color w:val="000000"/>
      <w:kern w:val="2"/>
      <w:sz w:val="24"/>
    </w:rPr>
  </w:style>
  <w:style w:type="character" w:customStyle="1" w:styleId="1282">
    <w:name w:val="Normal1 字符"/>
    <w:link w:val="132"/>
    <w:uiPriority w:val="0"/>
    <w:rPr>
      <w:rFonts w:ascii="Arial" w:hAnsi="Arial"/>
      <w:sz w:val="24"/>
    </w:rPr>
  </w:style>
  <w:style w:type="character" w:customStyle="1" w:styleId="1283">
    <w:name w:val="宝正文 字符"/>
    <w:link w:val="1280"/>
    <w:uiPriority w:val="0"/>
    <w:rPr>
      <w:rFonts w:hAnsi="宋体"/>
      <w:sz w:val="21"/>
      <w:szCs w:val="21"/>
    </w:rPr>
  </w:style>
  <w:style w:type="paragraph" w:customStyle="1" w:styleId="1284">
    <w:name w:val="宝3"/>
    <w:basedOn w:val="5"/>
    <w:link w:val="1287"/>
    <w:qFormat/>
    <w:uiPriority w:val="0"/>
    <w:pPr>
      <w:keepNext w:val="0"/>
      <w:keepLines w:val="0"/>
      <w:tabs>
        <w:tab w:val="clear" w:pos="425"/>
      </w:tabs>
      <w:adjustRightInd w:val="0"/>
      <w:snapToGrid w:val="0"/>
      <w:spacing w:before="0" w:after="0" w:line="360" w:lineRule="auto"/>
      <w:ind w:left="0" w:firstLine="0"/>
      <w:jc w:val="left"/>
    </w:pPr>
    <w:rPr>
      <w:rFonts w:eastAsia="宋体"/>
      <w:bCs/>
      <w:snapToGrid/>
      <w:kern w:val="2"/>
      <w:sz w:val="24"/>
      <w:szCs w:val="20"/>
    </w:rPr>
  </w:style>
  <w:style w:type="character" w:customStyle="1" w:styleId="1285">
    <w:name w:val="宝2 字符"/>
    <w:link w:val="1281"/>
    <w:uiPriority w:val="0"/>
    <w:rPr>
      <w:b/>
      <w:bCs/>
      <w:color w:val="000000"/>
      <w:kern w:val="2"/>
      <w:sz w:val="24"/>
      <w:szCs w:val="24"/>
    </w:rPr>
  </w:style>
  <w:style w:type="paragraph" w:customStyle="1" w:styleId="1286">
    <w:name w:val="宝表格"/>
    <w:link w:val="1289"/>
    <w:qFormat/>
    <w:uiPriority w:val="0"/>
    <w:pPr>
      <w:spacing w:line="240" w:lineRule="atLeast"/>
    </w:pPr>
    <w:rPr>
      <w:rFonts w:ascii="Times New Roman" w:hAnsi="Times New Roman" w:eastAsia="宋体" w:cs="Times New Roman"/>
      <w:color w:val="000000"/>
      <w:kern w:val="2"/>
      <w:sz w:val="18"/>
      <w:szCs w:val="18"/>
      <w:lang w:val="en-US" w:eastAsia="zh-CN" w:bidi="ar-SA"/>
    </w:rPr>
  </w:style>
  <w:style w:type="character" w:customStyle="1" w:styleId="1287">
    <w:name w:val="宝3 字符"/>
    <w:link w:val="1284"/>
    <w:uiPriority w:val="0"/>
    <w:rPr>
      <w:b/>
      <w:bCs/>
      <w:kern w:val="2"/>
      <w:sz w:val="24"/>
    </w:rPr>
  </w:style>
  <w:style w:type="paragraph" w:customStyle="1" w:styleId="1288">
    <w:name w:val="宝4"/>
    <w:basedOn w:val="1"/>
    <w:link w:val="1291"/>
    <w:qFormat/>
    <w:uiPriority w:val="0"/>
    <w:pPr>
      <w:spacing w:line="360" w:lineRule="auto"/>
      <w:outlineLvl w:val="3"/>
    </w:pPr>
    <w:rPr>
      <w:b/>
      <w:color w:val="000000"/>
      <w:sz w:val="21"/>
    </w:rPr>
  </w:style>
  <w:style w:type="character" w:customStyle="1" w:styleId="1289">
    <w:name w:val="宝表格 字符"/>
    <w:link w:val="1286"/>
    <w:uiPriority w:val="0"/>
    <w:rPr>
      <w:color w:val="000000"/>
      <w:kern w:val="2"/>
      <w:sz w:val="18"/>
      <w:szCs w:val="18"/>
    </w:rPr>
  </w:style>
  <w:style w:type="character" w:customStyle="1" w:styleId="1290">
    <w:name w:val="批注文字 字符"/>
    <w:uiPriority w:val="0"/>
    <w:rPr>
      <w:kern w:val="2"/>
      <w:sz w:val="21"/>
      <w:szCs w:val="24"/>
    </w:rPr>
  </w:style>
  <w:style w:type="character" w:customStyle="1" w:styleId="1291">
    <w:name w:val="宝4 字符"/>
    <w:link w:val="1288"/>
    <w:qFormat/>
    <w:uiPriority w:val="0"/>
    <w:rPr>
      <w:b/>
      <w:color w:val="000000"/>
      <w:kern w:val="2"/>
      <w:sz w:val="21"/>
      <w:szCs w:val="24"/>
    </w:rPr>
  </w:style>
  <w:style w:type="character" w:customStyle="1" w:styleId="1292">
    <w:name w:val="正文文本缩进 3 字符"/>
    <w:uiPriority w:val="0"/>
    <w:rPr>
      <w:rFonts w:ascii="宋体"/>
      <w:kern w:val="2"/>
      <w:sz w:val="24"/>
    </w:rPr>
  </w:style>
  <w:style w:type="character" w:customStyle="1" w:styleId="1293">
    <w:name w:val="日期 字符"/>
    <w:uiPriority w:val="0"/>
    <w:rPr>
      <w:b/>
      <w:bCs/>
      <w:kern w:val="2"/>
      <w:sz w:val="30"/>
      <w:szCs w:val="24"/>
    </w:rPr>
  </w:style>
  <w:style w:type="character" w:customStyle="1" w:styleId="1294">
    <w:name w:val="标题 1 字符"/>
    <w:qFormat/>
    <w:uiPriority w:val="0"/>
    <w:rPr>
      <w:rFonts w:eastAsia="宋体"/>
      <w:b/>
      <w:kern w:val="44"/>
      <w:sz w:val="36"/>
      <w:lang w:val="en-US" w:eastAsia="zh-CN" w:bidi="ar-SA"/>
    </w:rPr>
  </w:style>
  <w:style w:type="character" w:customStyle="1" w:styleId="1295">
    <w:name w:val="标题 字符"/>
    <w:uiPriority w:val="0"/>
    <w:rPr>
      <w:b/>
      <w:kern w:val="2"/>
      <w:sz w:val="28"/>
    </w:rPr>
  </w:style>
  <w:style w:type="character" w:customStyle="1" w:styleId="1296">
    <w:name w:val="批注框文本 字符"/>
    <w:uiPriority w:val="0"/>
    <w:rPr>
      <w:kern w:val="2"/>
      <w:sz w:val="18"/>
      <w:szCs w:val="18"/>
    </w:rPr>
  </w:style>
  <w:style w:type="character" w:customStyle="1" w:styleId="1297">
    <w:name w:val="页眉 字符"/>
    <w:uiPriority w:val="0"/>
    <w:rPr>
      <w:rFonts w:ascii="宋体" w:hAnsi="宋体"/>
      <w:color w:val="000000"/>
      <w:kern w:val="2"/>
      <w:sz w:val="18"/>
      <w:szCs w:val="18"/>
    </w:rPr>
  </w:style>
  <w:style w:type="character" w:customStyle="1" w:styleId="1298">
    <w:name w:val="标题 3 字符"/>
    <w:uiPriority w:val="0"/>
    <w:rPr>
      <w:rFonts w:eastAsia="宋体"/>
      <w:b/>
      <w:kern w:val="2"/>
      <w:sz w:val="28"/>
      <w:lang w:val="en-US" w:eastAsia="zh-CN" w:bidi="ar-SA"/>
    </w:rPr>
  </w:style>
  <w:style w:type="character" w:customStyle="1" w:styleId="1299">
    <w:name w:val="正文文本缩进 2 字符"/>
    <w:uiPriority w:val="0"/>
    <w:rPr>
      <w:kern w:val="2"/>
      <w:sz w:val="24"/>
    </w:rPr>
  </w:style>
  <w:style w:type="character" w:customStyle="1" w:styleId="1300">
    <w:name w:val="标题 6 字符"/>
    <w:uiPriority w:val="0"/>
    <w:rPr>
      <w:rFonts w:ascii="Arial" w:hAnsi="Arial" w:eastAsia="黑体"/>
      <w:b/>
      <w:kern w:val="2"/>
      <w:sz w:val="24"/>
    </w:rPr>
  </w:style>
  <w:style w:type="character" w:customStyle="1" w:styleId="1301">
    <w:name w:val="标题 8 字符"/>
    <w:uiPriority w:val="0"/>
    <w:rPr>
      <w:rFonts w:ascii="Arial" w:hAnsi="Arial" w:eastAsia="黑体"/>
      <w:kern w:val="2"/>
      <w:sz w:val="24"/>
    </w:rPr>
  </w:style>
  <w:style w:type="character" w:customStyle="1" w:styleId="1302">
    <w:name w:val="标题 4 字符"/>
    <w:uiPriority w:val="0"/>
    <w:rPr>
      <w:rFonts w:hAnsi="Arial"/>
      <w:b/>
      <w:kern w:val="2"/>
      <w:sz w:val="28"/>
    </w:rPr>
  </w:style>
  <w:style w:type="character" w:customStyle="1" w:styleId="1303">
    <w:name w:val="正文文本 字符"/>
    <w:uiPriority w:val="0"/>
    <w:rPr>
      <w:rFonts w:eastAsia="宋体"/>
      <w:kern w:val="2"/>
      <w:sz w:val="21"/>
      <w:szCs w:val="24"/>
      <w:lang w:val="en-US" w:eastAsia="zh-CN" w:bidi="ar-SA"/>
    </w:rPr>
  </w:style>
  <w:style w:type="character" w:customStyle="1" w:styleId="1304">
    <w:name w:val="标题 9 字符"/>
    <w:uiPriority w:val="0"/>
    <w:rPr>
      <w:rFonts w:ascii="Arial" w:hAnsi="Arial" w:eastAsia="黑体"/>
      <w:kern w:val="2"/>
      <w:sz w:val="21"/>
    </w:rPr>
  </w:style>
  <w:style w:type="character" w:customStyle="1" w:styleId="1305">
    <w:name w:val="文档结构图 字符"/>
    <w:semiHidden/>
    <w:uiPriority w:val="0"/>
    <w:rPr>
      <w:kern w:val="2"/>
      <w:sz w:val="21"/>
      <w:szCs w:val="24"/>
      <w:shd w:val="clear" w:color="auto" w:fill="000080"/>
    </w:rPr>
  </w:style>
  <w:style w:type="character" w:customStyle="1" w:styleId="1306">
    <w:name w:val="批注主题 字符"/>
    <w:uiPriority w:val="0"/>
    <w:rPr>
      <w:b/>
      <w:bCs/>
      <w:kern w:val="2"/>
      <w:sz w:val="21"/>
      <w:szCs w:val="24"/>
    </w:rPr>
  </w:style>
  <w:style w:type="character" w:customStyle="1" w:styleId="1307">
    <w:name w:val="正文文本 3 字符"/>
    <w:uiPriority w:val="0"/>
    <w:rPr>
      <w:kern w:val="2"/>
      <w:sz w:val="16"/>
      <w:szCs w:val="16"/>
    </w:rPr>
  </w:style>
  <w:style w:type="character" w:customStyle="1" w:styleId="1308">
    <w:name w:val="正文缩进 字符"/>
    <w:uiPriority w:val="0"/>
    <w:rPr>
      <w:rFonts w:eastAsia="宋体"/>
      <w:kern w:val="2"/>
      <w:sz w:val="21"/>
      <w:lang w:val="en-US" w:eastAsia="zh-CN" w:bidi="ar-SA"/>
    </w:rPr>
  </w:style>
  <w:style w:type="character" w:customStyle="1" w:styleId="1309">
    <w:name w:val="正文文本首行缩进 字符"/>
    <w:uiPriority w:val="0"/>
    <w:rPr>
      <w:rFonts w:eastAsia="仿宋体"/>
      <w:spacing w:val="-10"/>
      <w:kern w:val="2"/>
      <w:sz w:val="24"/>
    </w:rPr>
  </w:style>
  <w:style w:type="character" w:customStyle="1" w:styleId="1310">
    <w:name w:val="HTML 预设格式 字符"/>
    <w:uiPriority w:val="0"/>
    <w:rPr>
      <w:rFonts w:ascii="Arial" w:hAnsi="Arial" w:cs="Arial"/>
      <w:sz w:val="24"/>
      <w:szCs w:val="24"/>
    </w:rPr>
  </w:style>
  <w:style w:type="character" w:customStyle="1" w:styleId="1311">
    <w:name w:val="标题 2 字符"/>
    <w:uiPriority w:val="0"/>
    <w:rPr>
      <w:kern w:val="2"/>
      <w:sz w:val="24"/>
    </w:rPr>
  </w:style>
  <w:style w:type="character" w:customStyle="1" w:styleId="1312">
    <w:name w:val="纯文本 字符"/>
    <w:uiPriority w:val="0"/>
    <w:rPr>
      <w:rFonts w:ascii="宋体" w:hAnsi="Courier New" w:eastAsia="宋体"/>
      <w:kern w:val="2"/>
      <w:sz w:val="28"/>
      <w:lang w:val="en-US" w:eastAsia="zh-CN" w:bidi="ar-SA"/>
    </w:rPr>
  </w:style>
  <w:style w:type="character" w:customStyle="1" w:styleId="1313">
    <w:name w:val="页脚 字符"/>
    <w:uiPriority w:val="99"/>
    <w:rPr>
      <w:kern w:val="2"/>
      <w:sz w:val="18"/>
      <w:szCs w:val="18"/>
    </w:rPr>
  </w:style>
  <w:style w:type="character" w:customStyle="1" w:styleId="1314">
    <w:name w:val="脚注文本 字符"/>
    <w:uiPriority w:val="0"/>
    <w:rPr>
      <w:rFonts w:ascii="宋体" w:hAnsi="宋体"/>
      <w:color w:val="000000"/>
      <w:kern w:val="2"/>
      <w:sz w:val="18"/>
      <w:szCs w:val="18"/>
    </w:rPr>
  </w:style>
  <w:style w:type="character" w:customStyle="1" w:styleId="1315">
    <w:name w:val="正文文本缩进 字符"/>
    <w:locked/>
    <w:uiPriority w:val="0"/>
    <w:rPr>
      <w:rFonts w:ascii="宋体"/>
      <w:sz w:val="24"/>
    </w:rPr>
  </w:style>
  <w:style w:type="character" w:customStyle="1" w:styleId="1316">
    <w:name w:val="正文文本 2 字符"/>
    <w:uiPriority w:val="0"/>
    <w:rPr>
      <w:rFonts w:eastAsia="楷体_GB2312"/>
      <w:color w:val="000000"/>
      <w:kern w:val="2"/>
      <w:sz w:val="21"/>
      <w:szCs w:val="24"/>
    </w:rPr>
  </w:style>
  <w:style w:type="character" w:customStyle="1" w:styleId="1317">
    <w:name w:val="尾注文本 字符"/>
    <w:uiPriority w:val="0"/>
    <w:rPr>
      <w:rFonts w:ascii="Courier New" w:hAnsi="Courier New" w:eastAsia="Times New Roman"/>
      <w:sz w:val="24"/>
    </w:rPr>
  </w:style>
  <w:style w:type="character" w:customStyle="1" w:styleId="1318">
    <w:name w:val="副标题 字符"/>
    <w:uiPriority w:val="0"/>
    <w:rPr>
      <w:rFonts w:ascii="Arial" w:hAnsi="Arial" w:eastAsia="黑体"/>
      <w:i/>
      <w:sz w:val="24"/>
    </w:rPr>
  </w:style>
  <w:style w:type="character" w:customStyle="1" w:styleId="1319">
    <w:name w:val="标题 7 字符"/>
    <w:uiPriority w:val="0"/>
    <w:rPr>
      <w:b/>
      <w:kern w:val="2"/>
      <w:sz w:val="24"/>
    </w:rPr>
  </w:style>
  <w:style w:type="character" w:customStyle="1" w:styleId="1320">
    <w:name w:val="标题 5 字符"/>
    <w:uiPriority w:val="0"/>
    <w:rPr>
      <w:b/>
      <w:kern w:val="2"/>
      <w:sz w:val="28"/>
    </w:rPr>
  </w:style>
  <w:style w:type="paragraph" w:customStyle="1" w:styleId="1321">
    <w:name w:val="Char Char Char Char Char Char Char2"/>
    <w:basedOn w:val="1"/>
    <w:next w:val="1"/>
    <w:uiPriority w:val="0"/>
    <w:pPr>
      <w:spacing w:line="360" w:lineRule="auto"/>
      <w:ind w:firstLine="200" w:firstLineChars="200"/>
    </w:pPr>
    <w:rPr>
      <w:rFonts w:ascii="宋体" w:hAnsi="宋体" w:cs="宋体"/>
    </w:rPr>
  </w:style>
  <w:style w:type="paragraph" w:customStyle="1" w:styleId="1322">
    <w:name w:val="Char Char161"/>
    <w:basedOn w:val="1"/>
    <w:uiPriority w:val="0"/>
  </w:style>
  <w:style w:type="character" w:customStyle="1" w:styleId="1323">
    <w:name w:val="Char Char151"/>
    <w:locked/>
    <w:uiPriority w:val="0"/>
    <w:rPr>
      <w:rFonts w:ascii="Wingdings" w:hAnsi="宋体"/>
      <w:kern w:val="2"/>
      <w:sz w:val="28"/>
      <w:szCs w:val="28"/>
      <w:lang w:val="en-US" w:eastAsia="zh-CN" w:bidi="ar-SA"/>
    </w:rPr>
  </w:style>
  <w:style w:type="paragraph" w:customStyle="1" w:styleId="1324">
    <w:name w:val="Char Char4 Char Char1"/>
    <w:basedOn w:val="1"/>
    <w:uiPriority w:val="0"/>
  </w:style>
  <w:style w:type="paragraph" w:customStyle="1" w:styleId="1325">
    <w:name w:val="Char Char1 Char Char1"/>
    <w:basedOn w:val="1"/>
    <w:uiPriority w:val="0"/>
    <w:rPr>
      <w:sz w:val="21"/>
    </w:rPr>
  </w:style>
  <w:style w:type="paragraph" w:customStyle="1" w:styleId="1326">
    <w:name w:val="正文4"/>
    <w:uiPriority w:val="0"/>
    <w:pPr>
      <w:widowControl w:val="0"/>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1327">
    <w:name w:val="宝5"/>
    <w:basedOn w:val="1280"/>
    <w:link w:val="1329"/>
    <w:qFormat/>
    <w:uiPriority w:val="0"/>
    <w:pPr>
      <w:ind w:firstLine="0" w:firstLineChars="0"/>
      <w:outlineLvl w:val="4"/>
    </w:pPr>
    <w:rPr>
      <w:b/>
    </w:rPr>
  </w:style>
  <w:style w:type="paragraph" w:customStyle="1" w:styleId="1328">
    <w:name w:val="宝1"/>
    <w:basedOn w:val="134"/>
    <w:link w:val="1331"/>
    <w:qFormat/>
    <w:uiPriority w:val="0"/>
    <w:pPr>
      <w:adjustRightInd w:val="0"/>
      <w:snapToGrid w:val="0"/>
      <w:spacing w:before="0" w:beforeAutospacing="0" w:after="0" w:afterAutospacing="0" w:line="360" w:lineRule="auto"/>
      <w:jc w:val="both"/>
      <w:outlineLvl w:val="0"/>
    </w:pPr>
    <w:rPr>
      <w:rFonts w:ascii="Times New Roman" w:hAnsi="Times New Roman"/>
      <w:b/>
      <w:bCs/>
      <w:sz w:val="28"/>
      <w:szCs w:val="28"/>
    </w:rPr>
  </w:style>
  <w:style w:type="character" w:customStyle="1" w:styleId="1329">
    <w:name w:val="宝5 字符"/>
    <w:link w:val="1327"/>
    <w:uiPriority w:val="0"/>
    <w:rPr>
      <w:rFonts w:hAnsi="宋体"/>
      <w:b/>
      <w:sz w:val="21"/>
      <w:szCs w:val="21"/>
    </w:rPr>
  </w:style>
  <w:style w:type="character" w:customStyle="1" w:styleId="1330">
    <w:name w:val="xl69 字符"/>
    <w:link w:val="134"/>
    <w:uiPriority w:val="0"/>
    <w:rPr>
      <w:rFonts w:ascii="宋体" w:hAnsi="宋体"/>
    </w:rPr>
  </w:style>
  <w:style w:type="character" w:customStyle="1" w:styleId="1331">
    <w:name w:val="宝1 字符"/>
    <w:link w:val="1328"/>
    <w:uiPriority w:val="0"/>
    <w:rPr>
      <w:b/>
      <w:bCs/>
      <w:sz w:val="28"/>
      <w:szCs w:val="28"/>
    </w:rPr>
  </w:style>
  <w:style w:type="paragraph" w:customStyle="1" w:styleId="1332">
    <w:name w:val="_Style 20611"/>
    <w:next w:val="1"/>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33">
    <w:name w:val="宝清表"/>
    <w:basedOn w:val="1"/>
    <w:link w:val="1334"/>
    <w:qFormat/>
    <w:uiPriority w:val="0"/>
    <w:pPr>
      <w:widowControl/>
      <w:jc w:val="left"/>
    </w:pPr>
    <w:rPr>
      <w:kern w:val="0"/>
      <w:sz w:val="18"/>
      <w:szCs w:val="21"/>
    </w:rPr>
  </w:style>
  <w:style w:type="character" w:customStyle="1" w:styleId="1334">
    <w:name w:val="宝清表 字符"/>
    <w:link w:val="1333"/>
    <w:uiPriority w:val="0"/>
    <w:rPr>
      <w:sz w:val="18"/>
      <w:szCs w:val="21"/>
    </w:rPr>
  </w:style>
  <w:style w:type="paragraph" w:customStyle="1" w:styleId="1335">
    <w:name w:val="Char Char Char Char Char Char2 Char1"/>
    <w:basedOn w:val="1"/>
    <w:uiPriority w:val="0"/>
    <w:pPr>
      <w:spacing w:line="360" w:lineRule="auto"/>
      <w:ind w:firstLine="200" w:firstLineChars="200"/>
    </w:pPr>
    <w:rPr>
      <w:rFonts w:ascii="宋体" w:hAnsi="宋体" w:cs="宋体"/>
    </w:rPr>
  </w:style>
  <w:style w:type="character" w:customStyle="1" w:styleId="1336">
    <w:name w:val="称呼 Char"/>
    <w:link w:val="26"/>
    <w:uiPriority w:val="0"/>
    <w:rPr>
      <w:sz w:val="28"/>
    </w:rPr>
  </w:style>
  <w:style w:type="character" w:customStyle="1" w:styleId="1337">
    <w:name w:val="标题 4 字符1"/>
    <w:uiPriority w:val="0"/>
    <w:rPr>
      <w:rFonts w:hAnsi="Arial"/>
      <w:b/>
      <w:kern w:val="2"/>
      <w:sz w:val="28"/>
    </w:rPr>
  </w:style>
  <w:style w:type="character" w:customStyle="1" w:styleId="1338">
    <w:name w:val="标题 5 字符1"/>
    <w:uiPriority w:val="0"/>
    <w:rPr>
      <w:b/>
      <w:kern w:val="2"/>
      <w:sz w:val="28"/>
    </w:rPr>
  </w:style>
  <w:style w:type="character" w:customStyle="1" w:styleId="1339">
    <w:name w:val="纯文本 字符1"/>
    <w:uiPriority w:val="0"/>
    <w:rPr>
      <w:rFonts w:ascii="宋体" w:hAnsi="Courier New" w:eastAsia="宋体"/>
      <w:kern w:val="2"/>
      <w:sz w:val="28"/>
      <w:lang w:val="en-US" w:eastAsia="zh-CN" w:bidi="ar-SA"/>
    </w:rPr>
  </w:style>
  <w:style w:type="character" w:customStyle="1" w:styleId="1340">
    <w:name w:val="正文文本 字符1"/>
    <w:uiPriority w:val="0"/>
    <w:rPr>
      <w:rFonts w:eastAsia="宋体"/>
      <w:kern w:val="2"/>
      <w:sz w:val="21"/>
      <w:szCs w:val="24"/>
      <w:lang w:val="en-US" w:eastAsia="zh-CN" w:bidi="ar-SA"/>
    </w:rPr>
  </w:style>
  <w:style w:type="character" w:customStyle="1" w:styleId="1341">
    <w:name w:val="文档结构图 字符1"/>
    <w:semiHidden/>
    <w:uiPriority w:val="0"/>
    <w:rPr>
      <w:kern w:val="2"/>
      <w:sz w:val="21"/>
      <w:szCs w:val="24"/>
      <w:shd w:val="clear" w:color="auto" w:fill="000080"/>
    </w:rPr>
  </w:style>
  <w:style w:type="character" w:customStyle="1" w:styleId="1342">
    <w:name w:val="标题 3 字符1"/>
    <w:uiPriority w:val="0"/>
    <w:rPr>
      <w:rFonts w:eastAsia="宋体"/>
      <w:b/>
      <w:kern w:val="2"/>
      <w:sz w:val="28"/>
      <w:lang w:val="en-US" w:eastAsia="zh-CN" w:bidi="ar-SA"/>
    </w:rPr>
  </w:style>
  <w:style w:type="character" w:customStyle="1" w:styleId="1343">
    <w:name w:val="标题 字符1"/>
    <w:uiPriority w:val="0"/>
    <w:rPr>
      <w:b/>
      <w:kern w:val="2"/>
      <w:sz w:val="28"/>
    </w:rPr>
  </w:style>
  <w:style w:type="character" w:customStyle="1" w:styleId="1344">
    <w:name w:val="日期 字符1"/>
    <w:uiPriority w:val="0"/>
    <w:rPr>
      <w:b/>
      <w:bCs/>
      <w:kern w:val="2"/>
      <w:sz w:val="30"/>
      <w:szCs w:val="24"/>
    </w:rPr>
  </w:style>
  <w:style w:type="character" w:customStyle="1" w:styleId="1345">
    <w:name w:val="称呼 字符1"/>
    <w:uiPriority w:val="0"/>
    <w:rPr>
      <w:kern w:val="2"/>
      <w:sz w:val="21"/>
    </w:rPr>
  </w:style>
  <w:style w:type="character" w:customStyle="1" w:styleId="1346">
    <w:name w:val="正文文本缩进 3 字符1"/>
    <w:uiPriority w:val="0"/>
    <w:rPr>
      <w:rFonts w:ascii="宋体"/>
      <w:kern w:val="2"/>
      <w:sz w:val="24"/>
    </w:rPr>
  </w:style>
  <w:style w:type="character" w:customStyle="1" w:styleId="1347">
    <w:name w:val="正文文本缩进 字符1"/>
    <w:locked/>
    <w:uiPriority w:val="0"/>
    <w:rPr>
      <w:rFonts w:ascii="宋体"/>
      <w:sz w:val="24"/>
    </w:rPr>
  </w:style>
  <w:style w:type="character" w:customStyle="1" w:styleId="1348">
    <w:name w:val="正文文本首行缩进 2 字符"/>
    <w:uiPriority w:val="0"/>
    <w:rPr>
      <w:kern w:val="2"/>
      <w:sz w:val="21"/>
      <w:szCs w:val="24"/>
    </w:rPr>
  </w:style>
  <w:style w:type="character" w:customStyle="1" w:styleId="1349">
    <w:name w:val="脚注文本 字符1"/>
    <w:uiPriority w:val="0"/>
    <w:rPr>
      <w:rFonts w:ascii="宋体" w:hAnsi="宋体"/>
      <w:color w:val="000000"/>
      <w:kern w:val="2"/>
      <w:sz w:val="18"/>
      <w:szCs w:val="18"/>
    </w:rPr>
  </w:style>
  <w:style w:type="character" w:customStyle="1" w:styleId="1350">
    <w:name w:val="正文缩进 字符1"/>
    <w:uiPriority w:val="0"/>
    <w:rPr>
      <w:rFonts w:eastAsia="宋体"/>
      <w:kern w:val="2"/>
      <w:sz w:val="21"/>
      <w:lang w:val="en-US" w:eastAsia="zh-CN" w:bidi="ar-SA"/>
    </w:rPr>
  </w:style>
  <w:style w:type="character" w:customStyle="1" w:styleId="1351">
    <w:name w:val="HTML 预设格式 字符1"/>
    <w:uiPriority w:val="0"/>
    <w:rPr>
      <w:rFonts w:ascii="Arial" w:hAnsi="Arial" w:cs="Arial"/>
      <w:sz w:val="24"/>
      <w:szCs w:val="24"/>
    </w:rPr>
  </w:style>
  <w:style w:type="character" w:customStyle="1" w:styleId="1352">
    <w:name w:val="批注文字 字符1"/>
    <w:uiPriority w:val="0"/>
    <w:rPr>
      <w:kern w:val="2"/>
      <w:sz w:val="21"/>
      <w:szCs w:val="24"/>
    </w:rPr>
  </w:style>
  <w:style w:type="character" w:customStyle="1" w:styleId="1353">
    <w:name w:val="尾注文本 字符1"/>
    <w:uiPriority w:val="0"/>
    <w:rPr>
      <w:rFonts w:ascii="Courier New" w:hAnsi="Courier New" w:eastAsia="Times New Roman"/>
      <w:sz w:val="24"/>
    </w:rPr>
  </w:style>
  <w:style w:type="character" w:customStyle="1" w:styleId="1354">
    <w:name w:val="正文文本 3 字符1"/>
    <w:uiPriority w:val="0"/>
    <w:rPr>
      <w:kern w:val="2"/>
      <w:sz w:val="16"/>
      <w:szCs w:val="16"/>
    </w:rPr>
  </w:style>
  <w:style w:type="character" w:customStyle="1" w:styleId="1355">
    <w:name w:val="标题 8 字符1"/>
    <w:uiPriority w:val="0"/>
    <w:rPr>
      <w:rFonts w:ascii="Arial" w:hAnsi="Arial" w:eastAsia="黑体"/>
      <w:kern w:val="2"/>
      <w:sz w:val="24"/>
    </w:rPr>
  </w:style>
  <w:style w:type="character" w:customStyle="1" w:styleId="1356">
    <w:name w:val="标题 7 字符1"/>
    <w:uiPriority w:val="0"/>
    <w:rPr>
      <w:b/>
      <w:kern w:val="2"/>
      <w:sz w:val="24"/>
    </w:rPr>
  </w:style>
  <w:style w:type="character" w:customStyle="1" w:styleId="1357">
    <w:name w:val="页脚 字符1"/>
    <w:uiPriority w:val="99"/>
    <w:rPr>
      <w:kern w:val="2"/>
      <w:sz w:val="18"/>
      <w:szCs w:val="18"/>
    </w:rPr>
  </w:style>
  <w:style w:type="character" w:customStyle="1" w:styleId="1358">
    <w:name w:val="标题 6 字符1"/>
    <w:uiPriority w:val="0"/>
    <w:rPr>
      <w:rFonts w:ascii="Arial" w:hAnsi="Arial" w:eastAsia="黑体"/>
      <w:b/>
      <w:kern w:val="2"/>
      <w:sz w:val="24"/>
    </w:rPr>
  </w:style>
  <w:style w:type="character" w:customStyle="1" w:styleId="1359">
    <w:name w:val="标题 9 字符1"/>
    <w:uiPriority w:val="0"/>
    <w:rPr>
      <w:rFonts w:ascii="Arial" w:hAnsi="Arial" w:eastAsia="黑体"/>
      <w:kern w:val="2"/>
      <w:sz w:val="21"/>
    </w:rPr>
  </w:style>
  <w:style w:type="character" w:customStyle="1" w:styleId="1360">
    <w:name w:val="正文文本缩进 2 字符1"/>
    <w:uiPriority w:val="0"/>
    <w:rPr>
      <w:kern w:val="2"/>
      <w:sz w:val="24"/>
    </w:rPr>
  </w:style>
  <w:style w:type="character" w:customStyle="1" w:styleId="1361">
    <w:name w:val="页眉 字符1"/>
    <w:uiPriority w:val="0"/>
    <w:rPr>
      <w:rFonts w:ascii="宋体" w:hAnsi="宋体"/>
      <w:color w:val="000000"/>
      <w:kern w:val="2"/>
      <w:sz w:val="18"/>
      <w:szCs w:val="18"/>
    </w:rPr>
  </w:style>
  <w:style w:type="character" w:customStyle="1" w:styleId="1362">
    <w:name w:val="批注框文本 字符1"/>
    <w:uiPriority w:val="0"/>
    <w:rPr>
      <w:kern w:val="2"/>
      <w:sz w:val="18"/>
      <w:szCs w:val="18"/>
    </w:rPr>
  </w:style>
  <w:style w:type="character" w:customStyle="1" w:styleId="1363">
    <w:name w:val="正文文本首行缩进 字符1"/>
    <w:uiPriority w:val="0"/>
    <w:rPr>
      <w:rFonts w:eastAsia="仿宋体"/>
      <w:spacing w:val="-10"/>
      <w:kern w:val="2"/>
      <w:sz w:val="24"/>
    </w:rPr>
  </w:style>
  <w:style w:type="character" w:customStyle="1" w:styleId="1364">
    <w:name w:val="批注主题 字符1"/>
    <w:uiPriority w:val="0"/>
    <w:rPr>
      <w:b/>
      <w:bCs/>
      <w:kern w:val="2"/>
      <w:sz w:val="21"/>
      <w:szCs w:val="24"/>
    </w:rPr>
  </w:style>
  <w:style w:type="character" w:customStyle="1" w:styleId="1365">
    <w:name w:val="标题 1 字符1"/>
    <w:uiPriority w:val="0"/>
    <w:rPr>
      <w:rFonts w:eastAsia="宋体"/>
      <w:b/>
      <w:kern w:val="44"/>
      <w:sz w:val="36"/>
      <w:lang w:val="en-US" w:eastAsia="zh-CN" w:bidi="ar-SA"/>
    </w:rPr>
  </w:style>
  <w:style w:type="character" w:customStyle="1" w:styleId="1366">
    <w:name w:val="副标题 字符1"/>
    <w:uiPriority w:val="0"/>
    <w:rPr>
      <w:rFonts w:ascii="Arial" w:hAnsi="Arial" w:eastAsia="黑体"/>
      <w:i/>
      <w:sz w:val="24"/>
    </w:rPr>
  </w:style>
  <w:style w:type="character" w:customStyle="1" w:styleId="1367">
    <w:name w:val="标题 2 字符1"/>
    <w:uiPriority w:val="0"/>
    <w:rPr>
      <w:kern w:val="2"/>
      <w:sz w:val="24"/>
    </w:rPr>
  </w:style>
  <w:style w:type="character" w:customStyle="1" w:styleId="1368">
    <w:name w:val="正文文本 2 字符1"/>
    <w:uiPriority w:val="0"/>
    <w:rPr>
      <w:rFonts w:eastAsia="楷体_GB2312"/>
      <w:color w:val="000000"/>
      <w:kern w:val="2"/>
      <w:sz w:val="21"/>
      <w:szCs w:val="24"/>
    </w:rPr>
  </w:style>
  <w:style w:type="character" w:customStyle="1" w:styleId="1369">
    <w:name w:val="Unresolved Mention"/>
    <w:basedOn w:val="7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image" Target="media/image2.wmf"/><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Wang\Desktop\&#23882;&#24030;&#38271;&#20048;&#35268;&#3353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6C233-47AB-42F5-B0AD-6A1DE7460399}">
  <ds:schemaRefs/>
</ds:datastoreItem>
</file>

<file path=docProps/app.xml><?xml version="1.0" encoding="utf-8"?>
<Properties xmlns="http://schemas.openxmlformats.org/officeDocument/2006/extended-properties" xmlns:vt="http://schemas.openxmlformats.org/officeDocument/2006/docPropsVTypes">
  <Template>嵊州长乐规范</Template>
  <Company>zy</Company>
  <Pages>660</Pages>
  <Words>390190</Words>
  <Characters>436516</Characters>
  <Lines>3672</Lines>
  <Paragraphs>1033</Paragraphs>
  <TotalTime>21</TotalTime>
  <ScaleCrop>false</ScaleCrop>
  <LinksUpToDate>false</LinksUpToDate>
  <CharactersWithSpaces>448671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2022-06-23T11:24:00Z</dcterms:created>
  <dc:creator>HSWang</dc:creator>
  <cp:lastModifiedBy>姚钱树</cp:lastModifiedBy>
  <cp:lastPrinted>2021-12-31T00:31:00Z</cp:lastPrinted>
  <dcterms:modified xsi:type="dcterms:W3CDTF">2022-07-07T00:41:21Z</dcterms:modified>
  <dc:title>第一节 工程描述和现场条件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ECA06CDD910B4EFDA4923C62B67EA459</vt:lpwstr>
  </property>
</Properties>
</file>